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9B0C3F" w14:textId="4975C6F0" w:rsidR="00922FEB" w:rsidRDefault="00922FEB" w:rsidP="00054B04">
      <w:pPr>
        <w:pStyle w:val="BodyText"/>
        <w:jc w:val="center"/>
        <w:rPr>
          <w:rFonts w:ascii="Times New Roman" w:hAnsi="Times New Roman" w:cs="Times New Roman"/>
          <w:b/>
          <w:bCs/>
          <w:sz w:val="18"/>
          <w:szCs w:val="18"/>
          <w:lang w:val="en-US"/>
        </w:rPr>
      </w:pPr>
      <w:r w:rsidRPr="00054B04">
        <w:rPr>
          <w:rFonts w:ascii="Times New Roman" w:hAnsi="Times New Roman" w:cs="Times New Roman"/>
          <w:b/>
          <w:bCs/>
          <w:sz w:val="18"/>
          <w:szCs w:val="18"/>
          <w:lang w:val="en-US"/>
        </w:rPr>
        <w:t xml:space="preserve">TABELA E </w:t>
      </w:r>
      <w:r w:rsidR="00054B04">
        <w:rPr>
          <w:rFonts w:ascii="Times New Roman" w:hAnsi="Times New Roman" w:cs="Times New Roman"/>
          <w:b/>
          <w:bCs/>
          <w:sz w:val="18"/>
          <w:szCs w:val="18"/>
          <w:lang w:val="en-US"/>
        </w:rPr>
        <w:t>PËRPUTHSHMËRISË</w:t>
      </w:r>
    </w:p>
    <w:p w14:paraId="38E47139" w14:textId="77777777" w:rsidR="00054B04" w:rsidRPr="00054B04" w:rsidRDefault="00054B04" w:rsidP="00054B04">
      <w:pPr>
        <w:pStyle w:val="BodyText"/>
        <w:jc w:val="center"/>
        <w:rPr>
          <w:rFonts w:ascii="Times New Roman" w:hAnsi="Times New Roman" w:cs="Times New Roman"/>
          <w:b/>
          <w:bCs/>
          <w:sz w:val="18"/>
          <w:szCs w:val="18"/>
          <w:lang w:val="en-US"/>
        </w:rPr>
      </w:pPr>
    </w:p>
    <w:p w14:paraId="34DF4CE6" w14:textId="77777777" w:rsidR="00922FEB" w:rsidRPr="004E6A4A" w:rsidRDefault="00922FEB" w:rsidP="00036F88">
      <w:pPr>
        <w:spacing w:after="0" w:line="240" w:lineRule="auto"/>
        <w:rPr>
          <w:rFonts w:ascii="Times New Roman" w:eastAsia="Times New Roman" w:hAnsi="Times New Roman" w:cs="Times New Roman"/>
          <w:kern w:val="0"/>
          <w:sz w:val="18"/>
          <w:szCs w:val="18"/>
          <w14:ligatures w14:val="none"/>
        </w:rPr>
      </w:pPr>
    </w:p>
    <w:tbl>
      <w:tblPr>
        <w:tblStyle w:val="TableGrid"/>
        <w:tblW w:w="16200" w:type="dxa"/>
        <w:tblInd w:w="-1085" w:type="dxa"/>
        <w:tblLayout w:type="fixed"/>
        <w:tblLook w:val="04A0" w:firstRow="1" w:lastRow="0" w:firstColumn="1" w:lastColumn="0" w:noHBand="0" w:noVBand="1"/>
      </w:tblPr>
      <w:tblGrid>
        <w:gridCol w:w="630"/>
        <w:gridCol w:w="4230"/>
        <w:gridCol w:w="1350"/>
        <w:gridCol w:w="810"/>
        <w:gridCol w:w="4590"/>
        <w:gridCol w:w="1620"/>
        <w:gridCol w:w="2970"/>
      </w:tblGrid>
      <w:tr w:rsidR="004E6A4A" w:rsidRPr="004E6A4A" w14:paraId="61092F5B" w14:textId="77777777" w:rsidTr="00153084">
        <w:trPr>
          <w:tblHeader/>
        </w:trPr>
        <w:tc>
          <w:tcPr>
            <w:tcW w:w="4860" w:type="dxa"/>
            <w:gridSpan w:val="2"/>
          </w:tcPr>
          <w:p w14:paraId="4EF835F0" w14:textId="3B29ADCF" w:rsidR="00153084" w:rsidRDefault="00153084" w:rsidP="00153084">
            <w:pPr>
              <w:pStyle w:val="ListParagraph"/>
              <w:pBdr>
                <w:top w:val="nil"/>
                <w:left w:val="nil"/>
                <w:bottom w:val="nil"/>
                <w:right w:val="nil"/>
                <w:between w:val="nil"/>
              </w:pBdr>
              <w:spacing w:before="120" w:after="0" w:line="240" w:lineRule="auto"/>
              <w:ind w:left="540"/>
              <w:jc w:val="both"/>
              <w:rPr>
                <w:rFonts w:ascii="Times New Roman" w:eastAsia="Calibri" w:hAnsi="Times New Roman" w:cs="Times New Roman"/>
                <w:sz w:val="18"/>
                <w:szCs w:val="18"/>
              </w:rPr>
            </w:pPr>
            <w:r>
              <w:rPr>
                <w:rFonts w:ascii="Times New Roman" w:eastAsia="Calibri" w:hAnsi="Times New Roman" w:cs="Times New Roman"/>
                <w:sz w:val="18"/>
                <w:szCs w:val="18"/>
              </w:rPr>
              <w:t>Legjislacioni i Bashkimit Evropian:</w:t>
            </w:r>
          </w:p>
          <w:p w14:paraId="08B2471C" w14:textId="77777777" w:rsidR="00153084" w:rsidRDefault="00153084" w:rsidP="00153084">
            <w:pPr>
              <w:pStyle w:val="ListParagraph"/>
              <w:pBdr>
                <w:top w:val="nil"/>
                <w:left w:val="nil"/>
                <w:bottom w:val="nil"/>
                <w:right w:val="nil"/>
                <w:between w:val="nil"/>
              </w:pBdr>
              <w:spacing w:before="120" w:after="0" w:line="240" w:lineRule="auto"/>
              <w:ind w:left="540"/>
              <w:jc w:val="both"/>
              <w:rPr>
                <w:rFonts w:ascii="Times New Roman" w:eastAsia="Calibri" w:hAnsi="Times New Roman" w:cs="Times New Roman"/>
                <w:sz w:val="18"/>
                <w:szCs w:val="18"/>
              </w:rPr>
            </w:pPr>
          </w:p>
          <w:p w14:paraId="7595DA82" w14:textId="6B5C4CB9" w:rsidR="009D0B38" w:rsidRPr="004E6A4A" w:rsidRDefault="0038082A" w:rsidP="00251AC3">
            <w:pPr>
              <w:pStyle w:val="ListParagraph"/>
              <w:numPr>
                <w:ilvl w:val="0"/>
                <w:numId w:val="2"/>
              </w:numPr>
              <w:pBdr>
                <w:top w:val="nil"/>
                <w:left w:val="nil"/>
                <w:bottom w:val="nil"/>
                <w:right w:val="nil"/>
                <w:between w:val="nil"/>
              </w:pBdr>
              <w:spacing w:before="120" w:after="0" w:line="240" w:lineRule="auto"/>
              <w:jc w:val="both"/>
              <w:rPr>
                <w:rFonts w:ascii="Times New Roman" w:eastAsia="Calibri" w:hAnsi="Times New Roman" w:cs="Times New Roman"/>
                <w:sz w:val="18"/>
                <w:szCs w:val="18"/>
              </w:rPr>
            </w:pPr>
            <w:r w:rsidRPr="004E6A4A">
              <w:rPr>
                <w:rFonts w:ascii="Times New Roman" w:eastAsia="Calibri" w:hAnsi="Times New Roman" w:cs="Times New Roman"/>
                <w:sz w:val="18"/>
                <w:szCs w:val="18"/>
              </w:rPr>
              <w:t xml:space="preserve">Direktiva </w:t>
            </w:r>
            <w:r w:rsidR="00C4419F" w:rsidRPr="004E6A4A">
              <w:rPr>
                <w:rFonts w:ascii="Times New Roman" w:eastAsia="Calibri" w:hAnsi="Times New Roman" w:cs="Times New Roman"/>
                <w:sz w:val="18"/>
                <w:szCs w:val="18"/>
              </w:rPr>
              <w:t>2014/107/BE e Këshillit, e 9 dhjetorit 2014, që ndryshon Direktivën 2011/16/BE në lidhje me shkëmbimin automatik të detyrueshëm të informacionit në</w:t>
            </w:r>
            <w:r w:rsidR="00251AC3">
              <w:rPr>
                <w:rFonts w:ascii="Times New Roman" w:eastAsia="Calibri" w:hAnsi="Times New Roman" w:cs="Times New Roman"/>
                <w:sz w:val="18"/>
                <w:szCs w:val="18"/>
              </w:rPr>
              <w:t xml:space="preserve"> </w:t>
            </w:r>
            <w:r w:rsidR="00C4419F" w:rsidRPr="004E6A4A">
              <w:rPr>
                <w:rFonts w:ascii="Times New Roman" w:eastAsia="Calibri" w:hAnsi="Times New Roman" w:cs="Times New Roman"/>
                <w:sz w:val="18"/>
                <w:szCs w:val="18"/>
              </w:rPr>
              <w:t>fushën e tatimeve</w:t>
            </w:r>
          </w:p>
        </w:tc>
        <w:tc>
          <w:tcPr>
            <w:tcW w:w="11340" w:type="dxa"/>
            <w:gridSpan w:val="5"/>
            <w:vAlign w:val="center"/>
          </w:tcPr>
          <w:p w14:paraId="70AC683B" w14:textId="77777777" w:rsidR="00153084" w:rsidRPr="00153084" w:rsidRDefault="00153084" w:rsidP="00036F88">
            <w:pPr>
              <w:jc w:val="both"/>
              <w:rPr>
                <w:rFonts w:ascii="Times New Roman" w:eastAsia="Calibri" w:hAnsi="Times New Roman" w:cs="Times New Roman"/>
                <w:sz w:val="14"/>
                <w:szCs w:val="14"/>
                <w:lang w:val="en-US"/>
              </w:rPr>
            </w:pPr>
          </w:p>
          <w:p w14:paraId="10ECADF5" w14:textId="48048699" w:rsidR="00922FEB" w:rsidRPr="004E6A4A" w:rsidRDefault="00922FEB" w:rsidP="00036F88">
            <w:pPr>
              <w:jc w:val="both"/>
              <w:rPr>
                <w:rFonts w:ascii="Times New Roman" w:eastAsia="Calibri" w:hAnsi="Times New Roman" w:cs="Times New Roman"/>
                <w:sz w:val="18"/>
                <w:szCs w:val="18"/>
                <w:lang w:val="en-US"/>
              </w:rPr>
            </w:pPr>
            <w:r w:rsidRPr="004E6A4A">
              <w:rPr>
                <w:rFonts w:ascii="Times New Roman" w:eastAsia="Calibri" w:hAnsi="Times New Roman" w:cs="Times New Roman"/>
                <w:sz w:val="18"/>
                <w:szCs w:val="18"/>
                <w:lang w:val="en-US"/>
              </w:rPr>
              <w:t>Legjislacioni shqiptar:</w:t>
            </w:r>
          </w:p>
          <w:p w14:paraId="7ACAF46C" w14:textId="77777777" w:rsidR="00462F38" w:rsidRPr="004E6A4A" w:rsidRDefault="00462F38" w:rsidP="00036F88">
            <w:pPr>
              <w:jc w:val="both"/>
              <w:rPr>
                <w:rFonts w:ascii="Times New Roman" w:eastAsia="Calibri" w:hAnsi="Times New Roman" w:cs="Times New Roman"/>
                <w:sz w:val="18"/>
                <w:szCs w:val="18"/>
                <w:lang w:val="en-US"/>
              </w:rPr>
            </w:pPr>
          </w:p>
          <w:p w14:paraId="0899A6A6" w14:textId="266CC5F4" w:rsidR="00D84EF8" w:rsidRDefault="00251AC3" w:rsidP="00777958">
            <w:pPr>
              <w:pStyle w:val="ListParagraph"/>
              <w:numPr>
                <w:ilvl w:val="0"/>
                <w:numId w:val="1"/>
              </w:numPr>
              <w:spacing w:after="0" w:line="240" w:lineRule="auto"/>
              <w:jc w:val="both"/>
              <w:rPr>
                <w:rFonts w:ascii="Times New Roman" w:hAnsi="Times New Roman" w:cs="Times New Roman"/>
                <w:sz w:val="20"/>
                <w:szCs w:val="24"/>
              </w:rPr>
            </w:pPr>
            <w:r>
              <w:rPr>
                <w:rFonts w:ascii="Times New Roman" w:eastAsia="Calibri" w:hAnsi="Times New Roman" w:cs="Times New Roman"/>
                <w:sz w:val="18"/>
                <w:szCs w:val="18"/>
              </w:rPr>
              <w:t>Projektl</w:t>
            </w:r>
            <w:r w:rsidR="00D84EF8" w:rsidRPr="004E6A4A">
              <w:rPr>
                <w:rFonts w:ascii="Times New Roman" w:eastAsia="Calibri" w:hAnsi="Times New Roman" w:cs="Times New Roman"/>
                <w:sz w:val="18"/>
                <w:szCs w:val="18"/>
              </w:rPr>
              <w:t>igji</w:t>
            </w:r>
            <w:r w:rsidR="0038082A" w:rsidRPr="004E6A4A">
              <w:rPr>
                <w:rFonts w:ascii="Times New Roman" w:eastAsia="Calibri" w:hAnsi="Times New Roman" w:cs="Times New Roman"/>
                <w:sz w:val="18"/>
                <w:szCs w:val="18"/>
              </w:rPr>
              <w:t xml:space="preserve"> </w:t>
            </w:r>
            <w:r w:rsidR="00D84EF8" w:rsidRPr="004E6A4A">
              <w:rPr>
                <w:rFonts w:ascii="Times New Roman" w:hAnsi="Times New Roman" w:cs="Times New Roman"/>
                <w:sz w:val="20"/>
                <w:szCs w:val="24"/>
              </w:rPr>
              <w:t>“</w:t>
            </w:r>
            <w:r w:rsidR="00C6481F" w:rsidRPr="004E6A4A">
              <w:rPr>
                <w:rFonts w:ascii="Times New Roman" w:hAnsi="Times New Roman" w:cs="Times New Roman"/>
                <w:sz w:val="20"/>
                <w:szCs w:val="24"/>
              </w:rPr>
              <w:t>Për Shkëmbimin Automatik Të Informacionit Të Llogarive Financiare</w:t>
            </w:r>
            <w:r w:rsidR="0038082A" w:rsidRPr="004E6A4A">
              <w:rPr>
                <w:rFonts w:ascii="Times New Roman" w:hAnsi="Times New Roman" w:cs="Times New Roman"/>
                <w:sz w:val="20"/>
                <w:szCs w:val="24"/>
              </w:rPr>
              <w:t>”</w:t>
            </w:r>
          </w:p>
          <w:p w14:paraId="77C73B9D" w14:textId="3D105E6C" w:rsidR="00251AC3" w:rsidRPr="00251AC3" w:rsidRDefault="00251AC3" w:rsidP="00251AC3">
            <w:pPr>
              <w:pStyle w:val="ListParagraph"/>
              <w:numPr>
                <w:ilvl w:val="0"/>
                <w:numId w:val="1"/>
              </w:numPr>
              <w:spacing w:after="0" w:line="240" w:lineRule="auto"/>
              <w:jc w:val="both"/>
              <w:rPr>
                <w:rFonts w:ascii="Times New Roman" w:hAnsi="Times New Roman" w:cs="Times New Roman"/>
                <w:sz w:val="18"/>
                <w:szCs w:val="18"/>
              </w:rPr>
            </w:pPr>
            <w:r>
              <w:rPr>
                <w:rFonts w:ascii="Times New Roman" w:hAnsi="Times New Roman" w:cs="Times New Roman"/>
                <w:sz w:val="20"/>
                <w:szCs w:val="24"/>
              </w:rPr>
              <w:t>P</w:t>
            </w:r>
            <w:r w:rsidRPr="00251AC3">
              <w:rPr>
                <w:rFonts w:ascii="Times New Roman" w:hAnsi="Times New Roman" w:cs="Times New Roman"/>
                <w:sz w:val="20"/>
                <w:szCs w:val="24"/>
              </w:rPr>
              <w:t xml:space="preserve">rojektvendimi </w:t>
            </w:r>
            <w:r>
              <w:rPr>
                <w:rFonts w:ascii="Times New Roman" w:hAnsi="Times New Roman" w:cs="Times New Roman"/>
                <w:sz w:val="20"/>
                <w:szCs w:val="24"/>
              </w:rPr>
              <w:t>i</w:t>
            </w:r>
            <w:r w:rsidRPr="00251AC3">
              <w:rPr>
                <w:rFonts w:ascii="Times New Roman" w:hAnsi="Times New Roman" w:cs="Times New Roman"/>
                <w:sz w:val="20"/>
                <w:szCs w:val="24"/>
              </w:rPr>
              <w:t xml:space="preserve"> Këshillit të Ministrave </w:t>
            </w:r>
            <w:r>
              <w:rPr>
                <w:rFonts w:ascii="Times New Roman" w:hAnsi="Times New Roman" w:cs="Times New Roman"/>
                <w:sz w:val="20"/>
                <w:szCs w:val="24"/>
              </w:rPr>
              <w:t>“P</w:t>
            </w:r>
            <w:r w:rsidRPr="00251AC3">
              <w:rPr>
                <w:rFonts w:ascii="Times New Roman" w:hAnsi="Times New Roman" w:cs="Times New Roman"/>
                <w:sz w:val="20"/>
                <w:szCs w:val="24"/>
              </w:rPr>
              <w:t>ër dispozitat zbatuese të ligjit nr. ___/____, “</w:t>
            </w:r>
            <w:r>
              <w:rPr>
                <w:rFonts w:ascii="Times New Roman" w:hAnsi="Times New Roman" w:cs="Times New Roman"/>
                <w:sz w:val="20"/>
                <w:szCs w:val="24"/>
              </w:rPr>
              <w:t>P</w:t>
            </w:r>
            <w:r w:rsidRPr="00251AC3">
              <w:rPr>
                <w:rFonts w:ascii="Times New Roman" w:hAnsi="Times New Roman" w:cs="Times New Roman"/>
                <w:sz w:val="20"/>
                <w:szCs w:val="24"/>
              </w:rPr>
              <w:t>ër shkëmbimin automatik të informacionit të llogarive financiare”</w:t>
            </w:r>
          </w:p>
          <w:p w14:paraId="2198D266" w14:textId="77777777" w:rsidR="00251AC3" w:rsidRPr="00251AC3" w:rsidRDefault="00251AC3" w:rsidP="00251AC3">
            <w:pPr>
              <w:pStyle w:val="ListParagraph"/>
              <w:spacing w:after="0" w:line="240" w:lineRule="auto"/>
              <w:jc w:val="both"/>
              <w:rPr>
                <w:rFonts w:ascii="Times New Roman" w:hAnsi="Times New Roman" w:cs="Times New Roman"/>
                <w:sz w:val="18"/>
                <w:szCs w:val="18"/>
              </w:rPr>
            </w:pPr>
          </w:p>
          <w:p w14:paraId="5306AA67" w14:textId="45415E30" w:rsidR="001D652C" w:rsidRPr="004E6A4A" w:rsidRDefault="001D652C" w:rsidP="00D84EF8">
            <w:pPr>
              <w:jc w:val="both"/>
              <w:rPr>
                <w:rFonts w:ascii="Times New Roman" w:hAnsi="Times New Roman" w:cs="Times New Roman"/>
                <w:sz w:val="20"/>
                <w:szCs w:val="24"/>
              </w:rPr>
            </w:pPr>
            <w:r w:rsidRPr="004E6A4A">
              <w:rPr>
                <w:rFonts w:ascii="Times New Roman" w:hAnsi="Times New Roman" w:cs="Times New Roman"/>
                <w:sz w:val="18"/>
                <w:szCs w:val="18"/>
              </w:rPr>
              <w:t>F - përputhshmëri e plotë</w:t>
            </w:r>
          </w:p>
          <w:p w14:paraId="41C41513" w14:textId="77777777" w:rsidR="001D652C" w:rsidRPr="004E6A4A" w:rsidRDefault="001D652C" w:rsidP="00036F88">
            <w:pPr>
              <w:jc w:val="both"/>
              <w:rPr>
                <w:rFonts w:ascii="Times New Roman" w:hAnsi="Times New Roman" w:cs="Times New Roman"/>
                <w:sz w:val="18"/>
                <w:szCs w:val="18"/>
              </w:rPr>
            </w:pPr>
            <w:r w:rsidRPr="004E6A4A">
              <w:rPr>
                <w:rFonts w:ascii="Times New Roman" w:hAnsi="Times New Roman" w:cs="Times New Roman"/>
                <w:sz w:val="18"/>
                <w:szCs w:val="18"/>
              </w:rPr>
              <w:t>P - përputhshmëri e pjesshme</w:t>
            </w:r>
          </w:p>
          <w:p w14:paraId="289EB650" w14:textId="14CE508D" w:rsidR="00922FEB" w:rsidRPr="004E6A4A" w:rsidRDefault="001D652C" w:rsidP="00036F88">
            <w:pPr>
              <w:jc w:val="both"/>
              <w:rPr>
                <w:rFonts w:ascii="Times New Roman" w:eastAsia="Calibri" w:hAnsi="Times New Roman" w:cs="Times New Roman"/>
                <w:sz w:val="18"/>
                <w:szCs w:val="18"/>
              </w:rPr>
            </w:pPr>
            <w:r w:rsidRPr="004E6A4A">
              <w:rPr>
                <w:rFonts w:ascii="Times New Roman" w:hAnsi="Times New Roman" w:cs="Times New Roman"/>
                <w:sz w:val="18"/>
                <w:szCs w:val="18"/>
              </w:rPr>
              <w:t>N - mospërputhshmëri</w:t>
            </w:r>
          </w:p>
          <w:p w14:paraId="7AA9D97B" w14:textId="77777777" w:rsidR="00922FEB" w:rsidRPr="004E6A4A" w:rsidRDefault="00922FEB" w:rsidP="00036F88">
            <w:pPr>
              <w:rPr>
                <w:rFonts w:ascii="Times New Roman" w:eastAsia="Calibri" w:hAnsi="Times New Roman" w:cs="Times New Roman"/>
                <w:sz w:val="18"/>
                <w:szCs w:val="18"/>
              </w:rPr>
            </w:pPr>
            <w:r w:rsidRPr="004E6A4A">
              <w:rPr>
                <w:rFonts w:ascii="Times New Roman" w:eastAsia="Calibri" w:hAnsi="Times New Roman" w:cs="Times New Roman"/>
                <w:sz w:val="18"/>
                <w:szCs w:val="18"/>
              </w:rPr>
              <w:t xml:space="preserve"> </w:t>
            </w:r>
          </w:p>
        </w:tc>
      </w:tr>
      <w:tr w:rsidR="004E6A4A" w:rsidRPr="004E6A4A" w14:paraId="01827783" w14:textId="77777777" w:rsidTr="00153084">
        <w:trPr>
          <w:tblHeader/>
        </w:trPr>
        <w:tc>
          <w:tcPr>
            <w:tcW w:w="630" w:type="dxa"/>
            <w:shd w:val="clear" w:color="auto" w:fill="BFBFBF"/>
          </w:tcPr>
          <w:p w14:paraId="52A84D2B" w14:textId="721D3075" w:rsidR="004F619A" w:rsidRPr="004E6A4A" w:rsidRDefault="004F619A" w:rsidP="00036F88">
            <w:pPr>
              <w:jc w:val="center"/>
              <w:rPr>
                <w:rFonts w:ascii="Times New Roman" w:eastAsia="Times New Roman" w:hAnsi="Times New Roman" w:cs="Times New Roman"/>
                <w:sz w:val="18"/>
                <w:szCs w:val="18"/>
              </w:rPr>
            </w:pPr>
            <w:r w:rsidRPr="004E6A4A">
              <w:rPr>
                <w:rFonts w:ascii="Times New Roman" w:hAnsi="Times New Roman" w:cs="Times New Roman"/>
                <w:sz w:val="18"/>
                <w:szCs w:val="18"/>
              </w:rPr>
              <w:t>1</w:t>
            </w:r>
          </w:p>
        </w:tc>
        <w:tc>
          <w:tcPr>
            <w:tcW w:w="4230" w:type="dxa"/>
            <w:shd w:val="clear" w:color="auto" w:fill="BFBFBF"/>
          </w:tcPr>
          <w:p w14:paraId="1DA553D3" w14:textId="64D8F57B" w:rsidR="004F619A" w:rsidRPr="004E6A4A" w:rsidRDefault="004F619A" w:rsidP="00036F88">
            <w:pPr>
              <w:jc w:val="center"/>
              <w:rPr>
                <w:rFonts w:ascii="Times New Roman" w:eastAsia="Times New Roman" w:hAnsi="Times New Roman" w:cs="Times New Roman"/>
                <w:i/>
                <w:sz w:val="18"/>
                <w:szCs w:val="18"/>
              </w:rPr>
            </w:pPr>
            <w:r w:rsidRPr="004E6A4A">
              <w:rPr>
                <w:rFonts w:ascii="Times New Roman" w:hAnsi="Times New Roman" w:cs="Times New Roman"/>
                <w:sz w:val="18"/>
                <w:szCs w:val="18"/>
              </w:rPr>
              <w:t>2</w:t>
            </w:r>
          </w:p>
        </w:tc>
        <w:tc>
          <w:tcPr>
            <w:tcW w:w="1350" w:type="dxa"/>
            <w:shd w:val="clear" w:color="auto" w:fill="BFBFBF"/>
          </w:tcPr>
          <w:p w14:paraId="6A8D7A06" w14:textId="724E6EFC" w:rsidR="004F619A" w:rsidRPr="004E6A4A" w:rsidRDefault="004F619A" w:rsidP="00036F88">
            <w:pPr>
              <w:jc w:val="center"/>
              <w:rPr>
                <w:rFonts w:ascii="Times New Roman" w:eastAsia="Times New Roman" w:hAnsi="Times New Roman" w:cs="Times New Roman"/>
                <w:i/>
                <w:sz w:val="18"/>
                <w:szCs w:val="18"/>
              </w:rPr>
            </w:pPr>
            <w:r w:rsidRPr="004E6A4A">
              <w:rPr>
                <w:rFonts w:ascii="Times New Roman" w:hAnsi="Times New Roman" w:cs="Times New Roman"/>
                <w:sz w:val="18"/>
                <w:szCs w:val="18"/>
              </w:rPr>
              <w:t>3</w:t>
            </w:r>
          </w:p>
        </w:tc>
        <w:tc>
          <w:tcPr>
            <w:tcW w:w="810" w:type="dxa"/>
            <w:shd w:val="clear" w:color="auto" w:fill="BFBFBF"/>
          </w:tcPr>
          <w:p w14:paraId="508F371C" w14:textId="4604AAB0" w:rsidR="004F619A" w:rsidRPr="004E6A4A" w:rsidRDefault="004F619A" w:rsidP="00036F88">
            <w:pPr>
              <w:jc w:val="center"/>
              <w:rPr>
                <w:rFonts w:ascii="Times New Roman" w:eastAsia="Times New Roman" w:hAnsi="Times New Roman" w:cs="Times New Roman"/>
                <w:i/>
                <w:sz w:val="18"/>
                <w:szCs w:val="18"/>
              </w:rPr>
            </w:pPr>
            <w:r w:rsidRPr="004E6A4A">
              <w:rPr>
                <w:rFonts w:ascii="Times New Roman" w:hAnsi="Times New Roman" w:cs="Times New Roman"/>
                <w:sz w:val="18"/>
                <w:szCs w:val="18"/>
              </w:rPr>
              <w:t>4</w:t>
            </w:r>
          </w:p>
        </w:tc>
        <w:tc>
          <w:tcPr>
            <w:tcW w:w="4590" w:type="dxa"/>
            <w:shd w:val="clear" w:color="auto" w:fill="BFBFBF"/>
          </w:tcPr>
          <w:p w14:paraId="2141FB79" w14:textId="3C150691" w:rsidR="004F619A" w:rsidRPr="004E6A4A" w:rsidRDefault="004F619A" w:rsidP="00036F88">
            <w:pPr>
              <w:jc w:val="center"/>
              <w:rPr>
                <w:rFonts w:ascii="Times New Roman" w:eastAsia="Times New Roman" w:hAnsi="Times New Roman" w:cs="Times New Roman"/>
                <w:i/>
                <w:sz w:val="18"/>
                <w:szCs w:val="18"/>
              </w:rPr>
            </w:pPr>
            <w:r w:rsidRPr="004E6A4A">
              <w:rPr>
                <w:rFonts w:ascii="Times New Roman" w:hAnsi="Times New Roman" w:cs="Times New Roman"/>
                <w:sz w:val="18"/>
                <w:szCs w:val="18"/>
              </w:rPr>
              <w:t>5</w:t>
            </w:r>
          </w:p>
        </w:tc>
        <w:tc>
          <w:tcPr>
            <w:tcW w:w="1620" w:type="dxa"/>
            <w:shd w:val="clear" w:color="auto" w:fill="BFBFBF"/>
          </w:tcPr>
          <w:p w14:paraId="7B5923AD" w14:textId="0DA9C058" w:rsidR="004F619A" w:rsidRPr="004E6A4A" w:rsidRDefault="004F619A" w:rsidP="00036F88">
            <w:pPr>
              <w:jc w:val="center"/>
              <w:rPr>
                <w:rFonts w:ascii="Times New Roman" w:eastAsia="Times New Roman" w:hAnsi="Times New Roman" w:cs="Times New Roman"/>
                <w:i/>
                <w:sz w:val="18"/>
                <w:szCs w:val="18"/>
              </w:rPr>
            </w:pPr>
            <w:r w:rsidRPr="004E6A4A">
              <w:rPr>
                <w:rFonts w:ascii="Times New Roman" w:hAnsi="Times New Roman" w:cs="Times New Roman"/>
                <w:sz w:val="18"/>
                <w:szCs w:val="18"/>
              </w:rPr>
              <w:t>6</w:t>
            </w:r>
          </w:p>
        </w:tc>
        <w:tc>
          <w:tcPr>
            <w:tcW w:w="2970" w:type="dxa"/>
            <w:shd w:val="clear" w:color="auto" w:fill="BFBFBF"/>
          </w:tcPr>
          <w:p w14:paraId="25BA9212" w14:textId="4444B760" w:rsidR="004F619A" w:rsidRPr="004E6A4A" w:rsidRDefault="004F619A" w:rsidP="00036F88">
            <w:pPr>
              <w:jc w:val="center"/>
              <w:rPr>
                <w:rFonts w:ascii="Times New Roman" w:eastAsia="Times New Roman" w:hAnsi="Times New Roman" w:cs="Times New Roman"/>
                <w:i/>
                <w:sz w:val="18"/>
                <w:szCs w:val="18"/>
              </w:rPr>
            </w:pPr>
            <w:r w:rsidRPr="004E6A4A">
              <w:rPr>
                <w:rFonts w:ascii="Times New Roman" w:hAnsi="Times New Roman" w:cs="Times New Roman"/>
                <w:sz w:val="18"/>
                <w:szCs w:val="18"/>
              </w:rPr>
              <w:t>7</w:t>
            </w:r>
          </w:p>
        </w:tc>
      </w:tr>
      <w:tr w:rsidR="004E6A4A" w:rsidRPr="004E6A4A" w14:paraId="405531F1" w14:textId="77777777" w:rsidTr="00153084">
        <w:trPr>
          <w:tblHeader/>
        </w:trPr>
        <w:tc>
          <w:tcPr>
            <w:tcW w:w="630" w:type="dxa"/>
            <w:shd w:val="clear" w:color="auto" w:fill="BFBFBF"/>
            <w:vAlign w:val="center"/>
          </w:tcPr>
          <w:p w14:paraId="1E9FDE14" w14:textId="77777777" w:rsidR="004F619A" w:rsidRPr="004E6A4A" w:rsidRDefault="004F619A" w:rsidP="00036F88">
            <w:pPr>
              <w:jc w:val="center"/>
              <w:rPr>
                <w:rFonts w:ascii="Times New Roman" w:eastAsia="Times New Roman" w:hAnsi="Times New Roman" w:cs="Times New Roman"/>
                <w:sz w:val="18"/>
                <w:szCs w:val="18"/>
                <w:lang w:val="en-US"/>
              </w:rPr>
            </w:pPr>
            <w:r w:rsidRPr="004E6A4A">
              <w:rPr>
                <w:rFonts w:ascii="Times New Roman" w:eastAsia="Times New Roman" w:hAnsi="Times New Roman" w:cs="Times New Roman"/>
                <w:sz w:val="18"/>
                <w:szCs w:val="18"/>
                <w:lang w:val="en-US"/>
              </w:rPr>
              <w:t>Neni</w:t>
            </w:r>
          </w:p>
        </w:tc>
        <w:tc>
          <w:tcPr>
            <w:tcW w:w="4230" w:type="dxa"/>
            <w:shd w:val="clear" w:color="auto" w:fill="BFBFBF"/>
            <w:vAlign w:val="center"/>
          </w:tcPr>
          <w:p w14:paraId="76176853" w14:textId="77777777" w:rsidR="004F619A" w:rsidRPr="004E6A4A" w:rsidRDefault="004F619A" w:rsidP="00036F88">
            <w:pPr>
              <w:jc w:val="center"/>
              <w:rPr>
                <w:rFonts w:ascii="Times New Roman" w:eastAsia="Times New Roman" w:hAnsi="Times New Roman" w:cs="Times New Roman"/>
                <w:i/>
                <w:sz w:val="18"/>
                <w:szCs w:val="18"/>
                <w:lang w:val="en-US"/>
              </w:rPr>
            </w:pPr>
            <w:r w:rsidRPr="004E6A4A">
              <w:rPr>
                <w:rFonts w:ascii="Times New Roman" w:eastAsia="Times New Roman" w:hAnsi="Times New Roman" w:cs="Times New Roman"/>
                <w:i/>
                <w:sz w:val="18"/>
                <w:szCs w:val="18"/>
                <w:lang w:val="en-US"/>
              </w:rPr>
              <w:t>Teksti</w:t>
            </w:r>
          </w:p>
        </w:tc>
        <w:tc>
          <w:tcPr>
            <w:tcW w:w="1350" w:type="dxa"/>
            <w:shd w:val="clear" w:color="auto" w:fill="BFBFBF"/>
            <w:vAlign w:val="center"/>
          </w:tcPr>
          <w:p w14:paraId="7B0A27CB" w14:textId="7F504EEA" w:rsidR="004F619A" w:rsidRPr="004E6A4A" w:rsidRDefault="004F619A" w:rsidP="00036F88">
            <w:pPr>
              <w:jc w:val="center"/>
              <w:rPr>
                <w:rFonts w:ascii="Times New Roman" w:eastAsia="Times New Roman" w:hAnsi="Times New Roman" w:cs="Times New Roman"/>
                <w:i/>
                <w:sz w:val="18"/>
                <w:szCs w:val="18"/>
                <w:lang w:val="en-US"/>
              </w:rPr>
            </w:pPr>
            <w:r w:rsidRPr="004E6A4A">
              <w:rPr>
                <w:rFonts w:ascii="Times New Roman" w:eastAsia="Times New Roman" w:hAnsi="Times New Roman" w:cs="Times New Roman"/>
                <w:i/>
                <w:sz w:val="18"/>
                <w:szCs w:val="18"/>
                <w:lang w:val="en-US"/>
              </w:rPr>
              <w:t>Referenca</w:t>
            </w:r>
          </w:p>
        </w:tc>
        <w:tc>
          <w:tcPr>
            <w:tcW w:w="810" w:type="dxa"/>
            <w:shd w:val="clear" w:color="auto" w:fill="BFBFBF"/>
            <w:vAlign w:val="center"/>
          </w:tcPr>
          <w:p w14:paraId="4FA58976" w14:textId="77777777" w:rsidR="004F619A" w:rsidRPr="004E6A4A" w:rsidRDefault="004F619A" w:rsidP="00036F88">
            <w:pPr>
              <w:jc w:val="center"/>
              <w:rPr>
                <w:rFonts w:ascii="Times New Roman" w:eastAsia="Times New Roman" w:hAnsi="Times New Roman" w:cs="Times New Roman"/>
                <w:i/>
                <w:sz w:val="18"/>
                <w:szCs w:val="18"/>
                <w:lang w:val="en-US"/>
              </w:rPr>
            </w:pPr>
            <w:r w:rsidRPr="004E6A4A">
              <w:rPr>
                <w:rFonts w:ascii="Times New Roman" w:eastAsia="Times New Roman" w:hAnsi="Times New Roman" w:cs="Times New Roman"/>
                <w:i/>
                <w:sz w:val="18"/>
                <w:szCs w:val="18"/>
                <w:lang w:val="en-US"/>
              </w:rPr>
              <w:t>Neni</w:t>
            </w:r>
          </w:p>
        </w:tc>
        <w:tc>
          <w:tcPr>
            <w:tcW w:w="4590" w:type="dxa"/>
            <w:shd w:val="clear" w:color="auto" w:fill="BFBFBF"/>
            <w:vAlign w:val="center"/>
          </w:tcPr>
          <w:p w14:paraId="1C97514E" w14:textId="77777777" w:rsidR="004F619A" w:rsidRPr="004E6A4A" w:rsidRDefault="004F619A" w:rsidP="00036F88">
            <w:pPr>
              <w:jc w:val="center"/>
              <w:rPr>
                <w:rFonts w:ascii="Times New Roman" w:eastAsia="Times New Roman" w:hAnsi="Times New Roman" w:cs="Times New Roman"/>
                <w:i/>
                <w:sz w:val="18"/>
                <w:szCs w:val="18"/>
                <w:lang w:val="en-US"/>
              </w:rPr>
            </w:pPr>
            <w:r w:rsidRPr="004E6A4A">
              <w:rPr>
                <w:rFonts w:ascii="Times New Roman" w:eastAsia="Times New Roman" w:hAnsi="Times New Roman" w:cs="Times New Roman"/>
                <w:i/>
                <w:sz w:val="18"/>
                <w:szCs w:val="18"/>
                <w:lang w:val="en-US"/>
              </w:rPr>
              <w:t>Teksti</w:t>
            </w:r>
          </w:p>
        </w:tc>
        <w:tc>
          <w:tcPr>
            <w:tcW w:w="1620" w:type="dxa"/>
            <w:shd w:val="clear" w:color="auto" w:fill="BFBFBF"/>
            <w:vAlign w:val="center"/>
          </w:tcPr>
          <w:p w14:paraId="7416E437" w14:textId="77777777" w:rsidR="004F619A" w:rsidRPr="004E6A4A" w:rsidRDefault="004F619A" w:rsidP="00036F88">
            <w:pPr>
              <w:jc w:val="center"/>
              <w:rPr>
                <w:rFonts w:ascii="Times New Roman" w:eastAsia="Times New Roman" w:hAnsi="Times New Roman" w:cs="Times New Roman"/>
                <w:i/>
                <w:sz w:val="18"/>
                <w:szCs w:val="18"/>
                <w:lang w:val="en-US"/>
              </w:rPr>
            </w:pPr>
            <w:r w:rsidRPr="004E6A4A">
              <w:rPr>
                <w:rFonts w:ascii="Times New Roman" w:eastAsia="Times New Roman" w:hAnsi="Times New Roman" w:cs="Times New Roman"/>
                <w:i/>
                <w:sz w:val="18"/>
                <w:szCs w:val="18"/>
                <w:lang w:val="en-US"/>
              </w:rPr>
              <w:t>Përputhshmëria</w:t>
            </w:r>
          </w:p>
        </w:tc>
        <w:tc>
          <w:tcPr>
            <w:tcW w:w="2970" w:type="dxa"/>
            <w:shd w:val="clear" w:color="auto" w:fill="BFBFBF"/>
            <w:vAlign w:val="center"/>
          </w:tcPr>
          <w:p w14:paraId="2D3E0BBE" w14:textId="77777777" w:rsidR="004F619A" w:rsidRPr="004E6A4A" w:rsidRDefault="004F619A" w:rsidP="00036F88">
            <w:pPr>
              <w:jc w:val="center"/>
              <w:rPr>
                <w:rFonts w:ascii="Times New Roman" w:eastAsia="Times New Roman" w:hAnsi="Times New Roman" w:cs="Times New Roman"/>
                <w:i/>
                <w:sz w:val="18"/>
                <w:szCs w:val="18"/>
                <w:lang w:val="en-US"/>
              </w:rPr>
            </w:pPr>
            <w:r w:rsidRPr="004E6A4A">
              <w:rPr>
                <w:rFonts w:ascii="Times New Roman" w:eastAsia="Times New Roman" w:hAnsi="Times New Roman" w:cs="Times New Roman"/>
                <w:i/>
                <w:sz w:val="18"/>
                <w:szCs w:val="18"/>
                <w:lang w:val="en-US"/>
              </w:rPr>
              <w:t>Shënime</w:t>
            </w:r>
          </w:p>
        </w:tc>
      </w:tr>
    </w:tbl>
    <w:p w14:paraId="1F69D40D" w14:textId="3855042B" w:rsidR="00922FEB" w:rsidRPr="004E6A4A" w:rsidRDefault="00922FEB" w:rsidP="00036F88">
      <w:pPr>
        <w:spacing w:after="200" w:line="240" w:lineRule="auto"/>
        <w:rPr>
          <w:rFonts w:ascii="Times New Roman" w:eastAsia="Calibri" w:hAnsi="Times New Roman" w:cs="Times New Roman"/>
          <w:kern w:val="0"/>
          <w:sz w:val="18"/>
          <w:szCs w:val="18"/>
          <w14:ligatures w14:val="none"/>
        </w:rPr>
      </w:pPr>
    </w:p>
    <w:tbl>
      <w:tblPr>
        <w:tblStyle w:val="TableGrid"/>
        <w:tblW w:w="16200" w:type="dxa"/>
        <w:tblInd w:w="-1085" w:type="dxa"/>
        <w:tblLayout w:type="fixed"/>
        <w:tblLook w:val="04A0" w:firstRow="1" w:lastRow="0" w:firstColumn="1" w:lastColumn="0" w:noHBand="0" w:noVBand="1"/>
      </w:tblPr>
      <w:tblGrid>
        <w:gridCol w:w="630"/>
        <w:gridCol w:w="4230"/>
        <w:gridCol w:w="1350"/>
        <w:gridCol w:w="810"/>
        <w:gridCol w:w="4590"/>
        <w:gridCol w:w="1620"/>
        <w:gridCol w:w="2970"/>
      </w:tblGrid>
      <w:tr w:rsidR="004E6A4A" w:rsidRPr="004E6A4A" w14:paraId="32F4D837" w14:textId="77777777" w:rsidTr="00153084">
        <w:trPr>
          <w:tblHeader/>
        </w:trPr>
        <w:tc>
          <w:tcPr>
            <w:tcW w:w="630" w:type="dxa"/>
            <w:shd w:val="clear" w:color="auto" w:fill="BFBFBF"/>
          </w:tcPr>
          <w:p w14:paraId="623B109C" w14:textId="4AA779B1" w:rsidR="000A7EA3" w:rsidRPr="004E6A4A" w:rsidRDefault="000A7EA3" w:rsidP="00036F88">
            <w:pPr>
              <w:jc w:val="center"/>
              <w:rPr>
                <w:rFonts w:ascii="Times New Roman" w:eastAsia="Times New Roman" w:hAnsi="Times New Roman" w:cs="Times New Roman"/>
                <w:sz w:val="18"/>
                <w:szCs w:val="18"/>
              </w:rPr>
            </w:pPr>
            <w:r w:rsidRPr="004E6A4A">
              <w:rPr>
                <w:rFonts w:ascii="Times New Roman" w:hAnsi="Times New Roman" w:cs="Times New Roman"/>
                <w:sz w:val="18"/>
                <w:szCs w:val="18"/>
              </w:rPr>
              <w:t>1</w:t>
            </w:r>
          </w:p>
        </w:tc>
        <w:tc>
          <w:tcPr>
            <w:tcW w:w="4230" w:type="dxa"/>
            <w:shd w:val="clear" w:color="auto" w:fill="BFBFBF"/>
          </w:tcPr>
          <w:p w14:paraId="0EF916BA" w14:textId="15F44D6D" w:rsidR="000A7EA3" w:rsidRPr="004E6A4A" w:rsidRDefault="000A7EA3" w:rsidP="00036F88">
            <w:pPr>
              <w:jc w:val="center"/>
              <w:rPr>
                <w:rFonts w:ascii="Times New Roman" w:eastAsia="Times New Roman" w:hAnsi="Times New Roman" w:cs="Times New Roman"/>
                <w:iCs/>
                <w:sz w:val="18"/>
                <w:szCs w:val="18"/>
              </w:rPr>
            </w:pPr>
            <w:r w:rsidRPr="004E6A4A">
              <w:rPr>
                <w:rFonts w:ascii="Times New Roman" w:hAnsi="Times New Roman" w:cs="Times New Roman"/>
                <w:sz w:val="18"/>
                <w:szCs w:val="18"/>
              </w:rPr>
              <w:t>2</w:t>
            </w:r>
          </w:p>
        </w:tc>
        <w:tc>
          <w:tcPr>
            <w:tcW w:w="1350" w:type="dxa"/>
            <w:shd w:val="clear" w:color="auto" w:fill="D0CECE" w:themeFill="background2" w:themeFillShade="E6"/>
          </w:tcPr>
          <w:p w14:paraId="04E9A02F" w14:textId="584B0512" w:rsidR="000A7EA3" w:rsidRPr="004E6A4A" w:rsidRDefault="000A7EA3" w:rsidP="00036F88">
            <w:pPr>
              <w:jc w:val="center"/>
              <w:rPr>
                <w:rFonts w:ascii="Times New Roman" w:hAnsi="Times New Roman" w:cs="Times New Roman"/>
                <w:sz w:val="18"/>
                <w:szCs w:val="18"/>
              </w:rPr>
            </w:pPr>
            <w:r w:rsidRPr="004E6A4A">
              <w:rPr>
                <w:rFonts w:ascii="Times New Roman" w:hAnsi="Times New Roman" w:cs="Times New Roman"/>
                <w:sz w:val="18"/>
                <w:szCs w:val="18"/>
              </w:rPr>
              <w:t>3</w:t>
            </w:r>
          </w:p>
        </w:tc>
        <w:tc>
          <w:tcPr>
            <w:tcW w:w="810" w:type="dxa"/>
            <w:shd w:val="clear" w:color="auto" w:fill="BFBFBF"/>
          </w:tcPr>
          <w:p w14:paraId="11B2F0E9" w14:textId="510E5F67" w:rsidR="000A7EA3" w:rsidRPr="004E6A4A" w:rsidRDefault="000A7EA3" w:rsidP="00036F88">
            <w:pPr>
              <w:jc w:val="center"/>
              <w:rPr>
                <w:rFonts w:ascii="Times New Roman" w:eastAsia="Times New Roman" w:hAnsi="Times New Roman" w:cs="Times New Roman"/>
                <w:i/>
                <w:sz w:val="18"/>
                <w:szCs w:val="18"/>
              </w:rPr>
            </w:pPr>
            <w:r w:rsidRPr="004E6A4A">
              <w:rPr>
                <w:rFonts w:ascii="Times New Roman" w:hAnsi="Times New Roman" w:cs="Times New Roman"/>
                <w:sz w:val="18"/>
                <w:szCs w:val="18"/>
              </w:rPr>
              <w:t>4</w:t>
            </w:r>
          </w:p>
        </w:tc>
        <w:tc>
          <w:tcPr>
            <w:tcW w:w="4590" w:type="dxa"/>
            <w:shd w:val="clear" w:color="auto" w:fill="BFBFBF"/>
          </w:tcPr>
          <w:p w14:paraId="18D0D936" w14:textId="2F6EC06B" w:rsidR="000A7EA3" w:rsidRPr="004E6A4A" w:rsidRDefault="000A7EA3" w:rsidP="00036F88">
            <w:pPr>
              <w:jc w:val="center"/>
              <w:rPr>
                <w:rFonts w:ascii="Times New Roman" w:eastAsia="Times New Roman" w:hAnsi="Times New Roman" w:cs="Times New Roman"/>
                <w:i/>
                <w:sz w:val="18"/>
                <w:szCs w:val="18"/>
              </w:rPr>
            </w:pPr>
            <w:r w:rsidRPr="004E6A4A">
              <w:rPr>
                <w:rFonts w:ascii="Times New Roman" w:hAnsi="Times New Roman" w:cs="Times New Roman"/>
                <w:sz w:val="18"/>
                <w:szCs w:val="18"/>
              </w:rPr>
              <w:t>5</w:t>
            </w:r>
          </w:p>
        </w:tc>
        <w:tc>
          <w:tcPr>
            <w:tcW w:w="1620" w:type="dxa"/>
            <w:shd w:val="clear" w:color="auto" w:fill="BFBFBF"/>
          </w:tcPr>
          <w:p w14:paraId="1F29B9CC" w14:textId="46D8A615" w:rsidR="000A7EA3" w:rsidRPr="004E6A4A" w:rsidRDefault="000A7EA3" w:rsidP="00036F88">
            <w:pPr>
              <w:jc w:val="center"/>
              <w:rPr>
                <w:rFonts w:ascii="Times New Roman" w:eastAsia="Times New Roman" w:hAnsi="Times New Roman" w:cs="Times New Roman"/>
                <w:i/>
                <w:sz w:val="18"/>
                <w:szCs w:val="18"/>
              </w:rPr>
            </w:pPr>
            <w:r w:rsidRPr="004E6A4A">
              <w:rPr>
                <w:rFonts w:ascii="Times New Roman" w:hAnsi="Times New Roman" w:cs="Times New Roman"/>
                <w:sz w:val="18"/>
                <w:szCs w:val="18"/>
              </w:rPr>
              <w:t>6</w:t>
            </w:r>
          </w:p>
        </w:tc>
        <w:tc>
          <w:tcPr>
            <w:tcW w:w="2970" w:type="dxa"/>
            <w:shd w:val="clear" w:color="auto" w:fill="BFBFBF"/>
          </w:tcPr>
          <w:p w14:paraId="1EC97E09" w14:textId="00684BF9" w:rsidR="000A7EA3" w:rsidRPr="004E6A4A" w:rsidRDefault="000A7EA3" w:rsidP="00036F88">
            <w:pPr>
              <w:jc w:val="center"/>
              <w:rPr>
                <w:rFonts w:ascii="Times New Roman" w:eastAsia="Times New Roman" w:hAnsi="Times New Roman" w:cs="Times New Roman"/>
                <w:i/>
                <w:sz w:val="18"/>
                <w:szCs w:val="18"/>
              </w:rPr>
            </w:pPr>
            <w:r w:rsidRPr="004E6A4A">
              <w:rPr>
                <w:rFonts w:ascii="Times New Roman" w:hAnsi="Times New Roman" w:cs="Times New Roman"/>
                <w:sz w:val="18"/>
                <w:szCs w:val="18"/>
              </w:rPr>
              <w:t>7</w:t>
            </w:r>
          </w:p>
        </w:tc>
      </w:tr>
      <w:tr w:rsidR="004E6A4A" w:rsidRPr="004E6A4A" w14:paraId="33DF4310" w14:textId="77777777" w:rsidTr="00153084">
        <w:trPr>
          <w:tblHeader/>
        </w:trPr>
        <w:tc>
          <w:tcPr>
            <w:tcW w:w="630" w:type="dxa"/>
            <w:shd w:val="clear" w:color="auto" w:fill="BFBFBF"/>
            <w:vAlign w:val="center"/>
          </w:tcPr>
          <w:p w14:paraId="39F8C6F9" w14:textId="77777777" w:rsidR="000A7EA3" w:rsidRPr="004E6A4A" w:rsidRDefault="000A7EA3" w:rsidP="00036F88">
            <w:pPr>
              <w:jc w:val="center"/>
              <w:rPr>
                <w:rFonts w:ascii="Times New Roman" w:eastAsia="Times New Roman" w:hAnsi="Times New Roman" w:cs="Times New Roman"/>
                <w:sz w:val="18"/>
                <w:szCs w:val="18"/>
                <w:lang w:val="en-US"/>
              </w:rPr>
            </w:pPr>
            <w:r w:rsidRPr="004E6A4A">
              <w:rPr>
                <w:rFonts w:ascii="Times New Roman" w:eastAsia="Times New Roman" w:hAnsi="Times New Roman" w:cs="Times New Roman"/>
                <w:sz w:val="18"/>
                <w:szCs w:val="18"/>
                <w:lang w:val="en-US"/>
              </w:rPr>
              <w:t>Neni</w:t>
            </w:r>
          </w:p>
        </w:tc>
        <w:tc>
          <w:tcPr>
            <w:tcW w:w="4230" w:type="dxa"/>
            <w:shd w:val="clear" w:color="auto" w:fill="BFBFBF"/>
            <w:vAlign w:val="center"/>
          </w:tcPr>
          <w:p w14:paraId="17F6068A" w14:textId="77777777" w:rsidR="000A7EA3" w:rsidRPr="004E6A4A" w:rsidRDefault="000A7EA3" w:rsidP="00036F88">
            <w:pPr>
              <w:jc w:val="center"/>
              <w:rPr>
                <w:rFonts w:ascii="Times New Roman" w:eastAsia="Times New Roman" w:hAnsi="Times New Roman" w:cs="Times New Roman"/>
                <w:iCs/>
                <w:sz w:val="18"/>
                <w:szCs w:val="18"/>
                <w:lang w:val="en-US"/>
              </w:rPr>
            </w:pPr>
            <w:r w:rsidRPr="004E6A4A">
              <w:rPr>
                <w:rFonts w:ascii="Times New Roman" w:eastAsia="Times New Roman" w:hAnsi="Times New Roman" w:cs="Times New Roman"/>
                <w:iCs/>
                <w:sz w:val="18"/>
                <w:szCs w:val="18"/>
                <w:lang w:val="en-US"/>
              </w:rPr>
              <w:t>Teksti</w:t>
            </w:r>
          </w:p>
        </w:tc>
        <w:tc>
          <w:tcPr>
            <w:tcW w:w="1350" w:type="dxa"/>
            <w:shd w:val="clear" w:color="auto" w:fill="D0CECE" w:themeFill="background2" w:themeFillShade="E6"/>
          </w:tcPr>
          <w:p w14:paraId="476E07DB" w14:textId="46F0603E" w:rsidR="000A7EA3" w:rsidRPr="004E6A4A" w:rsidRDefault="000A7EA3" w:rsidP="00036F88">
            <w:pPr>
              <w:jc w:val="center"/>
              <w:rPr>
                <w:rFonts w:ascii="Times New Roman" w:hAnsi="Times New Roman" w:cs="Times New Roman"/>
                <w:sz w:val="18"/>
                <w:szCs w:val="18"/>
              </w:rPr>
            </w:pPr>
            <w:r w:rsidRPr="004E6A4A">
              <w:rPr>
                <w:rFonts w:ascii="Times New Roman" w:hAnsi="Times New Roman" w:cs="Times New Roman"/>
                <w:sz w:val="18"/>
                <w:szCs w:val="18"/>
              </w:rPr>
              <w:t>Referenca</w:t>
            </w:r>
          </w:p>
        </w:tc>
        <w:tc>
          <w:tcPr>
            <w:tcW w:w="810" w:type="dxa"/>
            <w:shd w:val="clear" w:color="auto" w:fill="BFBFBF"/>
            <w:vAlign w:val="center"/>
          </w:tcPr>
          <w:p w14:paraId="5B81B475" w14:textId="25304259" w:rsidR="000A7EA3" w:rsidRPr="004E6A4A" w:rsidRDefault="000A7EA3" w:rsidP="00036F88">
            <w:pPr>
              <w:jc w:val="center"/>
              <w:rPr>
                <w:rFonts w:ascii="Times New Roman" w:eastAsia="Times New Roman" w:hAnsi="Times New Roman" w:cs="Times New Roman"/>
                <w:i/>
                <w:sz w:val="18"/>
                <w:szCs w:val="18"/>
                <w:lang w:val="en-US"/>
              </w:rPr>
            </w:pPr>
            <w:r w:rsidRPr="004E6A4A">
              <w:rPr>
                <w:rFonts w:ascii="Times New Roman" w:eastAsia="Times New Roman" w:hAnsi="Times New Roman" w:cs="Times New Roman"/>
                <w:i/>
                <w:sz w:val="18"/>
                <w:szCs w:val="18"/>
                <w:lang w:val="en-US"/>
              </w:rPr>
              <w:t>Neni</w:t>
            </w:r>
          </w:p>
        </w:tc>
        <w:tc>
          <w:tcPr>
            <w:tcW w:w="4590" w:type="dxa"/>
            <w:shd w:val="clear" w:color="auto" w:fill="BFBFBF"/>
            <w:vAlign w:val="center"/>
          </w:tcPr>
          <w:p w14:paraId="19F4D508" w14:textId="77777777" w:rsidR="000A7EA3" w:rsidRPr="004E6A4A" w:rsidRDefault="000A7EA3" w:rsidP="00036F88">
            <w:pPr>
              <w:jc w:val="center"/>
              <w:rPr>
                <w:rFonts w:ascii="Times New Roman" w:eastAsia="Times New Roman" w:hAnsi="Times New Roman" w:cs="Times New Roman"/>
                <w:i/>
                <w:sz w:val="18"/>
                <w:szCs w:val="18"/>
                <w:lang w:val="en-US"/>
              </w:rPr>
            </w:pPr>
            <w:r w:rsidRPr="004E6A4A">
              <w:rPr>
                <w:rFonts w:ascii="Times New Roman" w:eastAsia="Times New Roman" w:hAnsi="Times New Roman" w:cs="Times New Roman"/>
                <w:i/>
                <w:sz w:val="18"/>
                <w:szCs w:val="18"/>
                <w:lang w:val="en-US"/>
              </w:rPr>
              <w:t>Teksti</w:t>
            </w:r>
          </w:p>
        </w:tc>
        <w:tc>
          <w:tcPr>
            <w:tcW w:w="1620" w:type="dxa"/>
            <w:shd w:val="clear" w:color="auto" w:fill="BFBFBF"/>
            <w:vAlign w:val="center"/>
          </w:tcPr>
          <w:p w14:paraId="609D564B" w14:textId="77777777" w:rsidR="000A7EA3" w:rsidRPr="004E6A4A" w:rsidRDefault="000A7EA3" w:rsidP="00036F88">
            <w:pPr>
              <w:jc w:val="center"/>
              <w:rPr>
                <w:rFonts w:ascii="Times New Roman" w:eastAsia="Times New Roman" w:hAnsi="Times New Roman" w:cs="Times New Roman"/>
                <w:i/>
                <w:sz w:val="18"/>
                <w:szCs w:val="18"/>
                <w:lang w:val="en-US"/>
              </w:rPr>
            </w:pPr>
            <w:r w:rsidRPr="004E6A4A">
              <w:rPr>
                <w:rFonts w:ascii="Times New Roman" w:eastAsia="Times New Roman" w:hAnsi="Times New Roman" w:cs="Times New Roman"/>
                <w:i/>
                <w:sz w:val="18"/>
                <w:szCs w:val="18"/>
                <w:lang w:val="en-US"/>
              </w:rPr>
              <w:t>Përputhshmëria</w:t>
            </w:r>
          </w:p>
        </w:tc>
        <w:tc>
          <w:tcPr>
            <w:tcW w:w="2970" w:type="dxa"/>
            <w:shd w:val="clear" w:color="auto" w:fill="BFBFBF"/>
            <w:vAlign w:val="center"/>
          </w:tcPr>
          <w:p w14:paraId="0F04528A" w14:textId="77777777" w:rsidR="000A7EA3" w:rsidRPr="004E6A4A" w:rsidRDefault="000A7EA3" w:rsidP="00036F88">
            <w:pPr>
              <w:jc w:val="center"/>
              <w:rPr>
                <w:rFonts w:ascii="Times New Roman" w:eastAsia="Times New Roman" w:hAnsi="Times New Roman" w:cs="Times New Roman"/>
                <w:i/>
                <w:sz w:val="18"/>
                <w:szCs w:val="18"/>
                <w:lang w:val="en-US"/>
              </w:rPr>
            </w:pPr>
            <w:r w:rsidRPr="004E6A4A">
              <w:rPr>
                <w:rFonts w:ascii="Times New Roman" w:eastAsia="Times New Roman" w:hAnsi="Times New Roman" w:cs="Times New Roman"/>
                <w:i/>
                <w:sz w:val="18"/>
                <w:szCs w:val="18"/>
                <w:lang w:val="en-US"/>
              </w:rPr>
              <w:t>Shënime</w:t>
            </w:r>
          </w:p>
        </w:tc>
      </w:tr>
      <w:tr w:rsidR="004E6A4A" w:rsidRPr="004E6A4A" w14:paraId="28EB2598" w14:textId="77777777" w:rsidTr="00153084">
        <w:trPr>
          <w:trHeight w:val="764"/>
        </w:trPr>
        <w:tc>
          <w:tcPr>
            <w:tcW w:w="630" w:type="dxa"/>
          </w:tcPr>
          <w:p w14:paraId="3114F621" w14:textId="77777777" w:rsidR="00E94486" w:rsidRPr="004E6A4A" w:rsidRDefault="00E94486" w:rsidP="00DB7C8F">
            <w:pPr>
              <w:jc w:val="center"/>
              <w:rPr>
                <w:rFonts w:ascii="Times New Roman" w:eastAsia="Calibri" w:hAnsi="Times New Roman" w:cs="Times New Roman"/>
                <w:i/>
                <w:sz w:val="18"/>
                <w:szCs w:val="18"/>
              </w:rPr>
            </w:pPr>
          </w:p>
        </w:tc>
        <w:tc>
          <w:tcPr>
            <w:tcW w:w="4230" w:type="dxa"/>
          </w:tcPr>
          <w:p w14:paraId="1A199BEC" w14:textId="77777777" w:rsidR="008C56DE" w:rsidRPr="004E6A4A" w:rsidRDefault="00144445" w:rsidP="00994708">
            <w:pPr>
              <w:rPr>
                <w:rFonts w:ascii="Times New Roman" w:eastAsia="Times New Roman" w:hAnsi="Times New Roman" w:cs="Times New Roman"/>
                <w:b/>
                <w:bCs/>
                <w:sz w:val="20"/>
                <w:szCs w:val="20"/>
              </w:rPr>
            </w:pPr>
            <w:r w:rsidRPr="004E6A4A">
              <w:rPr>
                <w:rFonts w:ascii="Times New Roman" w:eastAsia="Times New Roman" w:hAnsi="Times New Roman" w:cs="Times New Roman"/>
                <w:b/>
                <w:bCs/>
                <w:sz w:val="20"/>
                <w:szCs w:val="20"/>
              </w:rPr>
              <w:t>Neni 1</w:t>
            </w:r>
          </w:p>
          <w:p w14:paraId="637F6262" w14:textId="77777777" w:rsidR="008C56DE" w:rsidRPr="004E6A4A" w:rsidRDefault="00144445" w:rsidP="00994708">
            <w:pPr>
              <w:rPr>
                <w:rFonts w:ascii="Times New Roman" w:eastAsia="Times New Roman" w:hAnsi="Times New Roman" w:cs="Times New Roman"/>
                <w:b/>
                <w:bCs/>
                <w:sz w:val="20"/>
                <w:szCs w:val="20"/>
              </w:rPr>
            </w:pPr>
            <w:r w:rsidRPr="004E6A4A">
              <w:rPr>
                <w:rFonts w:ascii="Times New Roman" w:eastAsia="Times New Roman" w:hAnsi="Times New Roman" w:cs="Times New Roman"/>
                <w:b/>
                <w:bCs/>
                <w:sz w:val="20"/>
                <w:szCs w:val="20"/>
              </w:rPr>
              <w:t>Neni 1(1) – Neni 3, pika 9</w:t>
            </w:r>
          </w:p>
          <w:p w14:paraId="28EE258A" w14:textId="77777777" w:rsidR="008C56DE" w:rsidRPr="004E6A4A" w:rsidRDefault="00144445" w:rsidP="00994708">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(1) Në nenin 3, pika 9 zëvendësohet me tekstin vijues:</w:t>
            </w:r>
          </w:p>
          <w:p w14:paraId="5322F41A" w14:textId="77777777" w:rsidR="008C56DE" w:rsidRPr="004E6A4A" w:rsidRDefault="00144445" w:rsidP="00994708">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‘9. “shkëmbim automatik” është komunikimi sistematik i informacionit të paracaktuar mbi rezidentët në shtete të tjera anëtare drejt shtetit anëtar përkatës të rezidencës, pa kërkesë paraprake, në intervale të rregullta të paracaktuara. Në kontekstin e nenit 8, informacioni i disponueshëm i referohet informacionit në dosjet tatimore të shtetit anëtar që komunikon informacionin, i cili mund të merret në përputhje me procedurat për mbledhjen dhe përpunimin e informacionit në atë shtet anëtar. Në kontekstin e nenit 8(3a), nenit 8(7a), nenit 21(2) dhe nenit 25(2) dhe (3), çdo term i shkruar me shkronjë të madhe ka kuptimin që ka sipas përkufizimeve përkatëse të përcaktuara në Aneksin I.’</w:t>
            </w:r>
          </w:p>
        </w:tc>
        <w:tc>
          <w:tcPr>
            <w:tcW w:w="1350" w:type="dxa"/>
          </w:tcPr>
          <w:p w14:paraId="2265555A" w14:textId="77777777" w:rsidR="00E94486" w:rsidRPr="004E6A4A" w:rsidRDefault="00E94486" w:rsidP="00DB7C8F">
            <w:pPr>
              <w:jc w:val="center"/>
              <w:rPr>
                <w:rFonts w:ascii="Times New Roman" w:eastAsia="Calibri" w:hAnsi="Times New Roman" w:cs="Times New Roman"/>
                <w:sz w:val="18"/>
                <w:szCs w:val="18"/>
              </w:rPr>
            </w:pPr>
          </w:p>
        </w:tc>
        <w:tc>
          <w:tcPr>
            <w:tcW w:w="810" w:type="dxa"/>
          </w:tcPr>
          <w:p w14:paraId="24882CF9" w14:textId="77777777" w:rsidR="00E94486" w:rsidRPr="004E6A4A" w:rsidRDefault="00E94486" w:rsidP="00DB7C8F">
            <w:pPr>
              <w:jc w:val="center"/>
              <w:rPr>
                <w:rFonts w:ascii="Times New Roman" w:eastAsia="Times New Roman" w:hAnsi="Times New Roman" w:cs="Times New Roman"/>
                <w:sz w:val="20"/>
                <w:szCs w:val="21"/>
                <w:lang w:eastAsia="sq-AL"/>
              </w:rPr>
            </w:pPr>
          </w:p>
        </w:tc>
        <w:tc>
          <w:tcPr>
            <w:tcW w:w="4590" w:type="dxa"/>
          </w:tcPr>
          <w:p w14:paraId="53394348" w14:textId="77777777" w:rsidR="00FA0CFF" w:rsidRPr="004E6A4A" w:rsidRDefault="00144445">
            <w:pPr>
              <w:jc w:val="center"/>
            </w:pPr>
            <w:r w:rsidRPr="004E6A4A">
              <w:rPr>
                <w:rFonts w:ascii="Times New Roman" w:eastAsia="Times New Roman" w:hAnsi="Times New Roman" w:cs="Times New Roman"/>
                <w:b/>
                <w:sz w:val="20"/>
              </w:rPr>
              <w:t>Ligji: Neni 5</w:t>
            </w:r>
          </w:p>
          <w:p w14:paraId="56D711FF" w14:textId="77777777" w:rsidR="00FA0CFF" w:rsidRPr="004E6A4A" w:rsidRDefault="00144445">
            <w:pPr>
              <w:jc w:val="center"/>
            </w:pPr>
            <w:r w:rsidRPr="004E6A4A">
              <w:rPr>
                <w:rFonts w:ascii="Times New Roman" w:eastAsia="Times New Roman" w:hAnsi="Times New Roman" w:cs="Times New Roman"/>
                <w:b/>
                <w:sz w:val="20"/>
              </w:rPr>
              <w:t>Përkufizime</w:t>
            </w:r>
          </w:p>
          <w:p w14:paraId="13DA529C" w14:textId="77777777" w:rsidR="00FA0CFF" w:rsidRPr="004E6A4A" w:rsidRDefault="00144445">
            <w:pPr>
              <w:jc w:val="both"/>
            </w:pPr>
            <w:r w:rsidRPr="004E6A4A">
              <w:rPr>
                <w:rFonts w:ascii="Times New Roman" w:eastAsia="Times New Roman" w:hAnsi="Times New Roman" w:cs="Times New Roman"/>
                <w:sz w:val="20"/>
              </w:rPr>
              <w:t>72. “Shkëmbim automatik” është komunikimi sistematik i informacionit të paracaktuar, pa kërkesë paraprake, në intervale të paracaktuara. Për shkëmbimet me shtetet anëtare të Bashkimit Evropian zbatohen gjithashtu përkufizimi dhe rregullat e parashikuara në ligjin “Për bashkëpunimin administrativ në fushën e tatimeve dhe shkëmbimin e informacionit tatimor”.</w:t>
            </w:r>
          </w:p>
          <w:p w14:paraId="399FDE86" w14:textId="77777777" w:rsidR="00FA0CFF" w:rsidRPr="004E6A4A" w:rsidRDefault="00FA0CFF"/>
          <w:p w14:paraId="452888D4" w14:textId="77777777" w:rsidR="00FA0CFF" w:rsidRPr="004E6A4A" w:rsidRDefault="00144445">
            <w:pPr>
              <w:jc w:val="center"/>
            </w:pPr>
            <w:r w:rsidRPr="004E6A4A">
              <w:rPr>
                <w:rFonts w:ascii="Times New Roman" w:eastAsia="Times New Roman" w:hAnsi="Times New Roman" w:cs="Times New Roman"/>
                <w:b/>
                <w:sz w:val="20"/>
              </w:rPr>
              <w:t>Ligji: Neni 21</w:t>
            </w:r>
          </w:p>
          <w:p w14:paraId="3F16182A" w14:textId="77777777" w:rsidR="00FA0CFF" w:rsidRPr="004E6A4A" w:rsidRDefault="00144445">
            <w:pPr>
              <w:jc w:val="center"/>
            </w:pPr>
            <w:r w:rsidRPr="004E6A4A">
              <w:rPr>
                <w:rFonts w:ascii="Times New Roman" w:eastAsia="Times New Roman" w:hAnsi="Times New Roman" w:cs="Times New Roman"/>
                <w:b/>
                <w:sz w:val="20"/>
              </w:rPr>
              <w:t>Interpretimi</w:t>
            </w:r>
          </w:p>
          <w:p w14:paraId="4DA9D35B" w14:textId="77777777" w:rsidR="00FA0CFF" w:rsidRPr="004E6A4A" w:rsidRDefault="00144445">
            <w:pPr>
              <w:jc w:val="both"/>
            </w:pPr>
            <w:r w:rsidRPr="004E6A4A">
              <w:rPr>
                <w:rFonts w:ascii="Times New Roman" w:eastAsia="Times New Roman" w:hAnsi="Times New Roman" w:cs="Times New Roman"/>
                <w:sz w:val="20"/>
              </w:rPr>
              <w:t xml:space="preserve">1. Për shkëmbimet me shtetet anëtare të Bashkimit Evropian, ky ligj dhe aktet nënligjore të nxjerra në zbatim të tij interpretohen dhe zbatohen në përputhje me Direktivën 2011/16/BE, të ndryshuar, dhe aktet përkatëse zbatuese të Bashkimit Evropian. Standardi i Përbashkët i Raportimit dhe Komentari i tij mund të përdoren si mjete ndihmëse interpretimi vetëm për aq </w:t>
            </w:r>
            <w:r w:rsidRPr="004E6A4A">
              <w:rPr>
                <w:rFonts w:ascii="Times New Roman" w:eastAsia="Times New Roman" w:hAnsi="Times New Roman" w:cs="Times New Roman"/>
                <w:sz w:val="20"/>
              </w:rPr>
              <w:lastRenderedPageBreak/>
              <w:t>sa janë në përputhje me Direktivën 2011/16/BE, të ndryshuar, dhe aktet e Bashkimit Evropian të zbatueshme.</w:t>
            </w:r>
          </w:p>
          <w:p w14:paraId="071E2A92" w14:textId="77777777" w:rsidR="00FA0CFF" w:rsidRPr="004E6A4A" w:rsidRDefault="00144445">
            <w:pPr>
              <w:jc w:val="both"/>
            </w:pPr>
            <w:r w:rsidRPr="004E6A4A">
              <w:rPr>
                <w:rFonts w:ascii="Times New Roman" w:eastAsia="Times New Roman" w:hAnsi="Times New Roman" w:cs="Times New Roman"/>
                <w:sz w:val="20"/>
              </w:rPr>
              <w:t>2. Për shkëmbimet me juridiksionet që nuk janë shtete anëtare të Bashkimit Evropian, ky ligj dhe aktet nënligjore interpretohen dhe zbatohen në përputhje me Standardin e Përbashkët të Raportimit, Komentarin e tij dhe instrumentin ndërkombëtar përkatës.</w:t>
            </w:r>
          </w:p>
          <w:p w14:paraId="2B53D4B8" w14:textId="77777777" w:rsidR="00FA0CFF" w:rsidRPr="004E6A4A" w:rsidRDefault="00144445">
            <w:pPr>
              <w:jc w:val="both"/>
            </w:pPr>
            <w:r w:rsidRPr="004E6A4A">
              <w:rPr>
                <w:rFonts w:ascii="Times New Roman" w:eastAsia="Times New Roman" w:hAnsi="Times New Roman" w:cs="Times New Roman"/>
                <w:sz w:val="20"/>
              </w:rPr>
              <w:t>3. Çdo term i papërkufizuar në këtë ligj ose në aktet nënligjore ka, për shkëmbimet me shtetet anëtare të Bashkimit Evropian, kuptimin e përcaktuar në anekset I dhe II të Direktivës 2011/16/BE, të ndryshuar, dhe, për shkëmbimet me juridiksionet e tjera, kuptimin e përcaktuar në Standardin e Përbashkët të Raportimit.</w:t>
            </w:r>
          </w:p>
        </w:tc>
        <w:tc>
          <w:tcPr>
            <w:tcW w:w="1620" w:type="dxa"/>
          </w:tcPr>
          <w:p w14:paraId="7536F9DB" w14:textId="6EF21C27" w:rsidR="00E94486" w:rsidRPr="004E6A4A" w:rsidRDefault="00345A6E" w:rsidP="00DB7C8F">
            <w:pPr>
              <w:jc w:val="center"/>
              <w:rPr>
                <w:rFonts w:ascii="Times New Roman" w:eastAsia="Calibri" w:hAnsi="Times New Roman" w:cs="Times New Roman"/>
                <w:sz w:val="18"/>
                <w:szCs w:val="18"/>
              </w:rPr>
            </w:pPr>
            <w:r>
              <w:rPr>
                <w:rFonts w:ascii="Times New Roman" w:eastAsia="Calibri" w:hAnsi="Times New Roman" w:cs="Times New Roman"/>
                <w:sz w:val="18"/>
                <w:szCs w:val="18"/>
              </w:rPr>
              <w:lastRenderedPageBreak/>
              <w:t>F</w:t>
            </w:r>
          </w:p>
        </w:tc>
        <w:tc>
          <w:tcPr>
            <w:tcW w:w="2970" w:type="dxa"/>
          </w:tcPr>
          <w:p w14:paraId="4A145ABA"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Përputhet.</w:t>
            </w:r>
          </w:p>
          <w:p w14:paraId="09E98124"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Transpozohet nga neni 5, pika 72, dhe neni 21 i projektligjit.</w:t>
            </w:r>
          </w:p>
        </w:tc>
      </w:tr>
      <w:tr w:rsidR="004E6A4A" w:rsidRPr="004E6A4A" w14:paraId="27111A5A" w14:textId="77777777" w:rsidTr="00153084">
        <w:trPr>
          <w:trHeight w:val="764"/>
        </w:trPr>
        <w:tc>
          <w:tcPr>
            <w:tcW w:w="630" w:type="dxa"/>
          </w:tcPr>
          <w:p w14:paraId="055007A8" w14:textId="77777777" w:rsidR="00DC3028" w:rsidRPr="004E6A4A" w:rsidRDefault="00DC3028" w:rsidP="00D77E79">
            <w:pPr>
              <w:jc w:val="center"/>
              <w:rPr>
                <w:rFonts w:ascii="Times New Roman" w:eastAsia="Calibri" w:hAnsi="Times New Roman" w:cs="Times New Roman"/>
                <w:i/>
                <w:sz w:val="18"/>
                <w:szCs w:val="18"/>
              </w:rPr>
            </w:pPr>
          </w:p>
        </w:tc>
        <w:tc>
          <w:tcPr>
            <w:tcW w:w="4230" w:type="dxa"/>
          </w:tcPr>
          <w:p w14:paraId="5E0C074F" w14:textId="77777777" w:rsidR="008C56DE" w:rsidRPr="004E6A4A" w:rsidRDefault="00144445" w:rsidP="00994708">
            <w:pPr>
              <w:rPr>
                <w:rFonts w:ascii="Times New Roman" w:eastAsia="Times New Roman" w:hAnsi="Times New Roman" w:cs="Times New Roman"/>
                <w:b/>
                <w:bCs/>
                <w:sz w:val="20"/>
                <w:szCs w:val="20"/>
              </w:rPr>
            </w:pPr>
            <w:r w:rsidRPr="004E6A4A">
              <w:rPr>
                <w:rFonts w:ascii="Times New Roman" w:eastAsia="Times New Roman" w:hAnsi="Times New Roman" w:cs="Times New Roman"/>
                <w:b/>
                <w:bCs/>
                <w:sz w:val="20"/>
                <w:szCs w:val="20"/>
              </w:rPr>
              <w:t>Neni 1(2)(a) – Neni 8, paragrafi 3</w:t>
            </w:r>
          </w:p>
          <w:p w14:paraId="0E815B9C" w14:textId="77777777" w:rsidR="008C56DE" w:rsidRPr="004E6A4A" w:rsidRDefault="00144445" w:rsidP="00994708">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Neni 8 ndryshohet si më poshtë:</w:t>
            </w:r>
          </w:p>
          <w:p w14:paraId="13A43775" w14:textId="77777777" w:rsidR="008C56DE" w:rsidRPr="004E6A4A" w:rsidRDefault="00144445" w:rsidP="00994708">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(a)</w:t>
            </w:r>
          </w:p>
          <w:p w14:paraId="1DF0376E" w14:textId="77777777" w:rsidR="008C56DE" w:rsidRPr="004E6A4A" w:rsidRDefault="00144445" w:rsidP="00994708">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Paragrafi 3 zëvendësohet me tekstin vijues:</w:t>
            </w:r>
          </w:p>
          <w:p w14:paraId="238B4C15" w14:textId="77777777" w:rsidR="008C56DE" w:rsidRPr="004E6A4A" w:rsidRDefault="00144445" w:rsidP="00994708">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‘3.   Autoriteti kompetent i një shteti anëtar mund t’i tregojë autoritetit kompetent të çdo shteti tjetër anëtar se nuk dëshiron të marrë informacion për një ose disa nga kategoritë e të ardhurave dhe kapitalit të përmendura në paragrafin 1. Ai informon gjithashtu Komisionin për këtë.</w:t>
            </w:r>
          </w:p>
          <w:p w14:paraId="31F2824B" w14:textId="77777777" w:rsidR="008C56DE" w:rsidRPr="004E6A4A" w:rsidRDefault="00144445" w:rsidP="00994708">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Një shtet anëtar mund të konsiderohet se nuk dëshiron të marrë informacion në përputhje me paragrafin 1, nëse nuk e informon Komisionin për asnjë kategori të vetme për të cilën disponon informacion.’</w:t>
            </w:r>
          </w:p>
        </w:tc>
        <w:tc>
          <w:tcPr>
            <w:tcW w:w="1350" w:type="dxa"/>
          </w:tcPr>
          <w:p w14:paraId="10263748" w14:textId="77777777" w:rsidR="00DC3028" w:rsidRPr="004E6A4A" w:rsidRDefault="00DC3028" w:rsidP="00D77E79">
            <w:pPr>
              <w:jc w:val="center"/>
              <w:rPr>
                <w:rFonts w:ascii="Times New Roman" w:eastAsia="Calibri" w:hAnsi="Times New Roman" w:cs="Times New Roman"/>
                <w:sz w:val="18"/>
                <w:szCs w:val="18"/>
              </w:rPr>
            </w:pPr>
          </w:p>
        </w:tc>
        <w:tc>
          <w:tcPr>
            <w:tcW w:w="810" w:type="dxa"/>
          </w:tcPr>
          <w:p w14:paraId="25238991" w14:textId="77777777" w:rsidR="00DC3028" w:rsidRPr="004E6A4A" w:rsidRDefault="00DC3028" w:rsidP="00D77E79">
            <w:pPr>
              <w:jc w:val="center"/>
              <w:rPr>
                <w:rFonts w:ascii="Times New Roman" w:eastAsia="Times New Roman" w:hAnsi="Times New Roman" w:cs="Times New Roman"/>
                <w:sz w:val="20"/>
                <w:szCs w:val="21"/>
                <w:lang w:eastAsia="sq-AL"/>
              </w:rPr>
            </w:pPr>
          </w:p>
        </w:tc>
        <w:tc>
          <w:tcPr>
            <w:tcW w:w="4590" w:type="dxa"/>
          </w:tcPr>
          <w:p w14:paraId="3F7D47B8" w14:textId="77777777" w:rsidR="00FA0CFF" w:rsidRPr="004E6A4A" w:rsidRDefault="00144445">
            <w:pPr>
              <w:jc w:val="center"/>
            </w:pPr>
            <w:r w:rsidRPr="004E6A4A">
              <w:rPr>
                <w:rFonts w:ascii="Times New Roman" w:eastAsia="Times New Roman" w:hAnsi="Times New Roman" w:cs="Times New Roman"/>
                <w:sz w:val="20"/>
              </w:rPr>
              <w:t>N/A</w:t>
            </w:r>
          </w:p>
        </w:tc>
        <w:tc>
          <w:tcPr>
            <w:tcW w:w="1620" w:type="dxa"/>
          </w:tcPr>
          <w:p w14:paraId="4B3BC825" w14:textId="77777777" w:rsidR="00DC3028" w:rsidRPr="004E6A4A" w:rsidRDefault="00DC3028" w:rsidP="00D77E79">
            <w:pPr>
              <w:jc w:val="center"/>
              <w:rPr>
                <w:rFonts w:ascii="Times New Roman" w:eastAsia="Calibri" w:hAnsi="Times New Roman" w:cs="Times New Roman"/>
                <w:sz w:val="18"/>
                <w:szCs w:val="18"/>
              </w:rPr>
            </w:pPr>
          </w:p>
          <w:p w14:paraId="33C5595C" w14:textId="0764A00A" w:rsidR="00B5258D" w:rsidRPr="004E6A4A" w:rsidRDefault="00B5258D" w:rsidP="00D77E79">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N/A</w:t>
            </w:r>
          </w:p>
        </w:tc>
        <w:tc>
          <w:tcPr>
            <w:tcW w:w="2970" w:type="dxa"/>
          </w:tcPr>
          <w:p w14:paraId="44353AD4"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Përputhet.</w:t>
            </w:r>
          </w:p>
          <w:p w14:paraId="491EC0D0"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Jashtë fushës së këtij projektligji. Nënparagrafi i parë transpozohet nga neni 12, pika 6, e projektligjit “Për bashkëpunimin administrativ në fushën e tatimeve dhe shkëmbimin e informacionit tatimor”. Nënparagrafi i dytë është shfuqizuar me Direktivën (BE) 2021/514 dhe për këtë arsye nuk pasqyrohet në legjislacionin kombëtar.</w:t>
            </w:r>
          </w:p>
        </w:tc>
      </w:tr>
      <w:tr w:rsidR="004E6A4A" w:rsidRPr="004E6A4A" w14:paraId="268B3219" w14:textId="77777777" w:rsidTr="00153084">
        <w:trPr>
          <w:trHeight w:val="764"/>
        </w:trPr>
        <w:tc>
          <w:tcPr>
            <w:tcW w:w="630" w:type="dxa"/>
          </w:tcPr>
          <w:p w14:paraId="562CABD6" w14:textId="77777777" w:rsidR="00DC3028" w:rsidRPr="004E6A4A" w:rsidRDefault="00DC3028" w:rsidP="00D77E79">
            <w:pPr>
              <w:jc w:val="center"/>
              <w:rPr>
                <w:rFonts w:ascii="Times New Roman" w:eastAsia="Calibri" w:hAnsi="Times New Roman" w:cs="Times New Roman"/>
                <w:i/>
                <w:sz w:val="18"/>
                <w:szCs w:val="18"/>
              </w:rPr>
            </w:pPr>
          </w:p>
        </w:tc>
        <w:tc>
          <w:tcPr>
            <w:tcW w:w="4230" w:type="dxa"/>
          </w:tcPr>
          <w:p w14:paraId="3BD7D7AF" w14:textId="77777777" w:rsidR="008C56DE" w:rsidRPr="004E6A4A" w:rsidRDefault="00144445" w:rsidP="00B71E13">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b)</w:t>
            </w:r>
          </w:p>
          <w:p w14:paraId="627A3288" w14:textId="77777777" w:rsidR="008C56DE" w:rsidRPr="004E6A4A" w:rsidRDefault="00144445" w:rsidP="00B71E13">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shtohet paragrafi vijues:</w:t>
            </w:r>
          </w:p>
          <w:p w14:paraId="04F18312" w14:textId="77777777" w:rsidR="008C56DE" w:rsidRPr="004E6A4A" w:rsidRDefault="00144445" w:rsidP="00B71E13">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 xml:space="preserve">‘3a.   Çdo shtet anëtar merr masat e nevojshme për t’u kërkuar Institucioneve Financiare Raportuese të tij të zbatojnë rregullat e raportimit dhe të vigjilencës së duhur të përfshira në Anekset I dhe II dhe për të siguruar zbatimin efektiv dhe </w:t>
            </w:r>
            <w:r w:rsidRPr="004E6A4A">
              <w:rPr>
                <w:rFonts w:ascii="Times New Roman" w:eastAsia="Times New Roman" w:hAnsi="Times New Roman" w:cs="Times New Roman"/>
                <w:sz w:val="20"/>
                <w:szCs w:val="20"/>
              </w:rPr>
              <w:lastRenderedPageBreak/>
              <w:t>respektimin e këtyre rregullave në përputhje me Seksionin IX të Aneksit I.</w:t>
            </w:r>
          </w:p>
          <w:p w14:paraId="403E0016" w14:textId="77777777" w:rsidR="008C56DE" w:rsidRPr="004E6A4A" w:rsidRDefault="00144445" w:rsidP="00B71E13">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Në zbatim të rregullave të raportimit dhe të vigjilencës së duhur të përfshira në Anekset I dhe II, autoriteti kompetent i çdo shteti anëtar i komunikon, nëpërmjet shkëmbimit automatik, brenda afatit të përcaktuar në shkronjën (b) të paragrafit 6, autoritetit kompetent të çdo shteti tjetër anëtar, informacionin vijues për periudhat tatimore duke filluar nga 1 janari 2016 në lidhje me një Llogari të Raportueshme:</w:t>
            </w:r>
          </w:p>
          <w:p w14:paraId="25962ED3" w14:textId="77777777" w:rsidR="008C56DE" w:rsidRPr="004E6A4A" w:rsidRDefault="00144445" w:rsidP="00B71E13">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(a) emrin, adresën, TIN-in ose TIN-et dhe datën dhe vendin e lindjes (në rastin e një individi) të çdo Personi të Raportueshëm që është Mbajtës i Llogarisë dhe, në rastin e çdo Njësie Ekonomike që është Mbajtëse e Llogarisë dhe që, pas zbatimit të rregullave të vigjilencës së duhur në përputhje me Anekset, identifikohet se ka një ose më shumë Persona Kontrollues që janë Persona të Raportueshëm, emrin, adresën dhe TIN-in ose TIN-et e Njësisë Ekonomike dhe emrin, adresën, TIN-in ose TIN-et dhe datën dhe vendin e lindjes së çdo Personi të Raportueshëm;</w:t>
            </w:r>
          </w:p>
          <w:p w14:paraId="0D8F1E89" w14:textId="77777777" w:rsidR="008C56DE" w:rsidRPr="004E6A4A" w:rsidRDefault="00144445" w:rsidP="00B71E13">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(b) numrin e llogarisë (ose ekuivalentin funksional në mungesë të një numri llogarie);</w:t>
            </w:r>
          </w:p>
          <w:p w14:paraId="469324FE" w14:textId="77777777" w:rsidR="008C56DE" w:rsidRPr="004E6A4A" w:rsidRDefault="00144445" w:rsidP="00B71E13">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 emrin dhe numrin identifikues (nëse ka) të Institucionit Financiar Raportues;</w:t>
            </w:r>
          </w:p>
          <w:p w14:paraId="15FEF918" w14:textId="77777777" w:rsidR="008C56DE" w:rsidRPr="004E6A4A" w:rsidRDefault="00144445" w:rsidP="00B71E13">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(d) gjendjen ose vlerën e llogarisë (përfshirë, në rastin e një Kontrate Sigurimi në Vlerë në Para të Gatshme ose Kontrate Pensioni Vjetor, Vlerën në Para të Gatshme ose vlerën e shlyerjes) në fund të vitit kalendarik përkatës ose të periudhës tjetër të përshtatshme raportuese ose, nëse llogaria është mbyllur gjatë këtij viti ose kësaj periudhe, mbylljen e llogarisë;</w:t>
            </w:r>
          </w:p>
          <w:p w14:paraId="71A6D8DE" w14:textId="77777777" w:rsidR="008C56DE" w:rsidRPr="004E6A4A" w:rsidRDefault="00144445" w:rsidP="00B71E13">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(e) në rastin e çdo Llogarie Kujdestarie:</w:t>
            </w:r>
          </w:p>
          <w:p w14:paraId="28DAC3F8" w14:textId="77777777" w:rsidR="008C56DE" w:rsidRPr="004E6A4A" w:rsidRDefault="008C56DE" w:rsidP="00B71E13">
            <w:pPr>
              <w:jc w:val="both"/>
              <w:rPr>
                <w:rFonts w:ascii="Times New Roman" w:eastAsia="Times New Roman" w:hAnsi="Times New Roman" w:cs="Times New Roman"/>
                <w:sz w:val="20"/>
                <w:szCs w:val="20"/>
              </w:rPr>
            </w:pPr>
          </w:p>
          <w:p w14:paraId="6B9CDCBB" w14:textId="77777777" w:rsidR="008C56DE" w:rsidRPr="004E6A4A" w:rsidRDefault="00144445" w:rsidP="00B71E13">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lastRenderedPageBreak/>
              <w:t>(i) shumën totale bruto të interesit, shumën totale bruto të dividendëve dhe shumën totale bruto të të ardhurave të tjera të krijuara në lidhje me aktivet e mbajtura në llogari, në secilin rast të paguara ose të kredituara në llogari (ose në lidhje me llogarinë) gjatë vitit kalendarik ose periudhës tjetër të përshtatshme raportuese; dhe</w:t>
            </w:r>
          </w:p>
          <w:p w14:paraId="7BCCD164" w14:textId="77777777" w:rsidR="008C56DE" w:rsidRPr="004E6A4A" w:rsidRDefault="00144445" w:rsidP="00B71E13">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(ii) të ardhurat totale bruto nga shitja ose shlyerja e Aktiveve Financiare të paguara ose të kredituara në llogari gjatë vitit kalendarik ose periudhës tjetër të përshtatshme raportuese, në lidhje me të cilat Institucioni Financiar Raportues ka vepruar si kujdestar, ndërmjetës, i emëruar ose në cilësi tjetër si agjent i Mbajtësit të Llogarisë;</w:t>
            </w:r>
          </w:p>
          <w:p w14:paraId="7B89D30C" w14:textId="77777777" w:rsidR="008C56DE" w:rsidRPr="004E6A4A" w:rsidRDefault="00144445" w:rsidP="00B71E13">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(f) në rastin e çdo Llogarie Depozite, shumën totale bruto të interesit të paguar ose të kredituar në llogari gjatë vitit kalendarik ose periudhës tjetër të përshtatshme raportuese; dhe</w:t>
            </w:r>
          </w:p>
          <w:p w14:paraId="71727EF3" w14:textId="77777777" w:rsidR="008C56DE" w:rsidRPr="004E6A4A" w:rsidRDefault="008C56DE" w:rsidP="00B71E13">
            <w:pPr>
              <w:jc w:val="both"/>
              <w:rPr>
                <w:rFonts w:ascii="Times New Roman" w:eastAsia="Times New Roman" w:hAnsi="Times New Roman" w:cs="Times New Roman"/>
                <w:sz w:val="20"/>
                <w:szCs w:val="20"/>
              </w:rPr>
            </w:pPr>
          </w:p>
          <w:p w14:paraId="507D1967" w14:textId="77777777" w:rsidR="008C56DE" w:rsidRPr="004E6A4A" w:rsidRDefault="00144445" w:rsidP="00B71E13">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(g) në rastin e çdo llogarie që nuk përshkruhet në shkronjën (e) ose (f), shumën totale bruto të paguar ose të kredituar Mbajtësit të Llogarisë në lidhje me llogarinë gjatë vitit kalendarik ose periudhës tjetër të përshtatshme raportuese, për të cilën Institucioni Financiar Raportues është detyrues ose debitor, përfshirë shumën e përgjithshme të çdo pagese shlyerjeje të bërë Mbajtësit të Llogarisë gjatë vitit kalendarik ose periudhës tjetër të përshtatshme raportuese.</w:t>
            </w:r>
          </w:p>
          <w:p w14:paraId="6A445843" w14:textId="77777777" w:rsidR="008C56DE" w:rsidRPr="004E6A4A" w:rsidRDefault="00144445" w:rsidP="00B71E13">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Për qëllimet e shkëmbimit të informacionit sipas këtij paragrafi, përveçse kur parashikohet ndryshe në këtë paragraf ose në Anekset, shuma dhe karakterizimi i pagesave të bëra në lidhje me një Llogari të Raportueshme përcaktohen në përputhje me legjislacionin kombëtar të shtetit anëtar që komunikon informacionin.</w:t>
            </w:r>
          </w:p>
          <w:p w14:paraId="5AFAE5FE" w14:textId="77777777" w:rsidR="008C56DE" w:rsidRPr="004E6A4A" w:rsidRDefault="00144445" w:rsidP="00B71E13">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lastRenderedPageBreak/>
              <w:t>Nënparagrafët e parë dhe të dytë të këtij paragrafi kanë përparësi ndaj shkronjës (c) të paragrafit 1 ose ndaj çdo instrumenti tjetër juridik të Bashkimit, përfshirë Direktivën 2003/48/KE të Këshillit (*1), për aq sa shkëmbimi i informacionit në fjalë do të binte në fushën e zbatimit të shkronjës (c) të paragrafit 1 ose të çdo instrumenti tjetër juridik të Bashkimit, përfshirë Direktivën 2003/48/KE.</w:t>
            </w:r>
          </w:p>
        </w:tc>
        <w:tc>
          <w:tcPr>
            <w:tcW w:w="1350" w:type="dxa"/>
          </w:tcPr>
          <w:p w14:paraId="5EE9B951" w14:textId="77777777" w:rsidR="00DC3028" w:rsidRPr="004E6A4A" w:rsidRDefault="00DC3028" w:rsidP="00D77E79">
            <w:pPr>
              <w:jc w:val="center"/>
              <w:rPr>
                <w:rFonts w:ascii="Times New Roman" w:eastAsia="Calibri" w:hAnsi="Times New Roman" w:cs="Times New Roman"/>
                <w:sz w:val="18"/>
                <w:szCs w:val="18"/>
              </w:rPr>
            </w:pPr>
          </w:p>
        </w:tc>
        <w:tc>
          <w:tcPr>
            <w:tcW w:w="810" w:type="dxa"/>
          </w:tcPr>
          <w:p w14:paraId="4777309E" w14:textId="77777777" w:rsidR="00DC3028" w:rsidRPr="004E6A4A" w:rsidRDefault="00DC3028" w:rsidP="00D77E79">
            <w:pPr>
              <w:jc w:val="center"/>
              <w:rPr>
                <w:rFonts w:ascii="Times New Roman" w:eastAsia="Times New Roman" w:hAnsi="Times New Roman" w:cs="Times New Roman"/>
                <w:sz w:val="20"/>
                <w:szCs w:val="21"/>
                <w:lang w:eastAsia="sq-AL"/>
              </w:rPr>
            </w:pPr>
          </w:p>
        </w:tc>
        <w:tc>
          <w:tcPr>
            <w:tcW w:w="4590" w:type="dxa"/>
          </w:tcPr>
          <w:p w14:paraId="66563170" w14:textId="77777777" w:rsidR="00FA0CFF" w:rsidRPr="004E6A4A" w:rsidRDefault="00144445">
            <w:pPr>
              <w:jc w:val="center"/>
            </w:pPr>
            <w:r w:rsidRPr="004E6A4A">
              <w:rPr>
                <w:rFonts w:ascii="Times New Roman" w:eastAsia="Times New Roman" w:hAnsi="Times New Roman" w:cs="Times New Roman"/>
                <w:b/>
                <w:sz w:val="20"/>
              </w:rPr>
              <w:t>Ligji: Neni 6</w:t>
            </w:r>
          </w:p>
          <w:p w14:paraId="13B392AC" w14:textId="77777777" w:rsidR="00FA0CFF" w:rsidRPr="004E6A4A" w:rsidRDefault="00144445">
            <w:pPr>
              <w:jc w:val="center"/>
            </w:pPr>
            <w:r w:rsidRPr="004E6A4A">
              <w:rPr>
                <w:rFonts w:ascii="Times New Roman" w:eastAsia="Times New Roman" w:hAnsi="Times New Roman" w:cs="Times New Roman"/>
                <w:b/>
                <w:sz w:val="20"/>
              </w:rPr>
              <w:t>Raportimi tek Autoriteti Kompetent</w:t>
            </w:r>
          </w:p>
          <w:p w14:paraId="6B0E830F" w14:textId="77777777" w:rsidR="00FA0CFF" w:rsidRPr="004E6A4A" w:rsidRDefault="00144445">
            <w:pPr>
              <w:jc w:val="both"/>
            </w:pPr>
            <w:r w:rsidRPr="004E6A4A">
              <w:rPr>
                <w:rFonts w:ascii="Times New Roman" w:eastAsia="Times New Roman" w:hAnsi="Times New Roman" w:cs="Times New Roman"/>
                <w:sz w:val="20"/>
              </w:rPr>
              <w:t xml:space="preserve">1. Çdo institucion financiar raportues në Republikën e Shqipërisë i raporton Autoritetit Kompetent, për çdo vit kalendarik ose periudhë tjetër të përshtatshme raportuese, informacionin e kërkuar për çdo llogari të raportueshme, sipas këtij ligji dhe akteve nënligjore në zbatim të tij, jo më vonë se data 30 maj e vitit që pason </w:t>
            </w:r>
            <w:r w:rsidRPr="004E6A4A">
              <w:rPr>
                <w:rFonts w:ascii="Times New Roman" w:eastAsia="Times New Roman" w:hAnsi="Times New Roman" w:cs="Times New Roman"/>
                <w:sz w:val="20"/>
              </w:rPr>
              <w:lastRenderedPageBreak/>
              <w:t>përfundimin e periudhës së raportimit. Informacioni që raportohet përfshin elementet e përcaktuara në këtë ligj, si dhe elementet e tjera të përcaktuara në aktet nënligjore në zbatim të tij.</w:t>
            </w:r>
          </w:p>
          <w:p w14:paraId="26C6C798" w14:textId="77777777" w:rsidR="00FA0CFF" w:rsidRPr="004E6A4A" w:rsidRDefault="00FA0CFF"/>
          <w:p w14:paraId="32E3D07C" w14:textId="77777777" w:rsidR="00FA0CFF" w:rsidRPr="004E6A4A" w:rsidRDefault="00144445">
            <w:pPr>
              <w:jc w:val="center"/>
            </w:pPr>
            <w:r w:rsidRPr="004E6A4A">
              <w:rPr>
                <w:rFonts w:ascii="Times New Roman" w:eastAsia="Times New Roman" w:hAnsi="Times New Roman" w:cs="Times New Roman"/>
                <w:b/>
                <w:sz w:val="20"/>
              </w:rPr>
              <w:t>Ligji: Neni 7</w:t>
            </w:r>
          </w:p>
          <w:p w14:paraId="68C1FCB6" w14:textId="77777777" w:rsidR="00FA0CFF" w:rsidRPr="004E6A4A" w:rsidRDefault="00144445">
            <w:pPr>
              <w:jc w:val="center"/>
            </w:pPr>
            <w:r w:rsidRPr="004E6A4A">
              <w:rPr>
                <w:rFonts w:ascii="Times New Roman" w:eastAsia="Times New Roman" w:hAnsi="Times New Roman" w:cs="Times New Roman"/>
                <w:b/>
                <w:sz w:val="20"/>
              </w:rPr>
              <w:t>Vigjilenca e duhur</w:t>
            </w:r>
          </w:p>
          <w:p w14:paraId="7508BFE2" w14:textId="77777777" w:rsidR="00FA0CFF" w:rsidRPr="004E6A4A" w:rsidRDefault="00144445">
            <w:pPr>
              <w:jc w:val="both"/>
            </w:pPr>
            <w:r w:rsidRPr="004E6A4A">
              <w:rPr>
                <w:rFonts w:ascii="Times New Roman" w:eastAsia="Times New Roman" w:hAnsi="Times New Roman" w:cs="Times New Roman"/>
                <w:sz w:val="20"/>
              </w:rPr>
              <w:t>1. Institucionet financiare raportuese zbatojnë procedurat e vigjilencës së duhur për identifikimin e Llogarive të Raportueshme dhe të Personave të Raportueshëm, në përputhje me këtë ligj.</w:t>
            </w:r>
          </w:p>
          <w:p w14:paraId="6BB64546" w14:textId="77777777" w:rsidR="00FA0CFF" w:rsidRPr="004E6A4A" w:rsidRDefault="00FA0CFF"/>
          <w:p w14:paraId="4A8C7827" w14:textId="77777777" w:rsidR="00FA0CFF" w:rsidRPr="004E6A4A" w:rsidRDefault="00144445">
            <w:pPr>
              <w:jc w:val="center"/>
            </w:pPr>
            <w:r w:rsidRPr="004E6A4A">
              <w:rPr>
                <w:rFonts w:ascii="Times New Roman" w:eastAsia="Times New Roman" w:hAnsi="Times New Roman" w:cs="Times New Roman"/>
                <w:b/>
                <w:sz w:val="20"/>
              </w:rPr>
              <w:t>VKM: Neni 4</w:t>
            </w:r>
          </w:p>
          <w:p w14:paraId="09EA5566" w14:textId="77777777" w:rsidR="00FA0CFF" w:rsidRPr="004E6A4A" w:rsidRDefault="00144445">
            <w:pPr>
              <w:jc w:val="center"/>
            </w:pPr>
            <w:r w:rsidRPr="004E6A4A">
              <w:rPr>
                <w:rFonts w:ascii="Times New Roman" w:eastAsia="Times New Roman" w:hAnsi="Times New Roman" w:cs="Times New Roman"/>
                <w:b/>
                <w:sz w:val="20"/>
              </w:rPr>
              <w:t>Kërkesat e përgjithshme të raportimit</w:t>
            </w:r>
          </w:p>
          <w:p w14:paraId="7DDAECBD" w14:textId="77777777" w:rsidR="00FA0CFF" w:rsidRPr="004E6A4A" w:rsidRDefault="00144445">
            <w:pPr>
              <w:jc w:val="both"/>
            </w:pPr>
            <w:r w:rsidRPr="004E6A4A">
              <w:rPr>
                <w:rFonts w:ascii="Times New Roman" w:eastAsia="Times New Roman" w:hAnsi="Times New Roman" w:cs="Times New Roman"/>
                <w:sz w:val="20"/>
              </w:rPr>
              <w:t xml:space="preserve">1. Çdo institucion financiar raportues i raporton DPT-së, për çdo Llogari të Raportueshme: a) emrin, adresën, juridiksionin ose juridiksionet e rezidencës, TIN-in ose TIN-et, datën dhe vendin e lindjes, në rastin e një individi, të çdo Personi të Raportueshëm që është Mbajtës i Llogarisë, si dhe faktin nëse është dhënë një vetëdeklarim i vlefshëm; b) për një njësi ekonomike që është Mbajtëse e Llogarisë dhe që, pas zbatimit të procedurave të vigjilencës së duhur, identifikohet se ka një ose më shumë Persona Kontrollues që janë Persona të Raportueshëm, emrin, adresën, juridiksionin ose juridiksionet e rezidencës dhe TIN-in ose TIN-et e njësisë ekonomike, si dhe emrin, adresën, juridiksionin ose juridiksionet e rezidencës, TIN-in ose TIN-et, datën dhe vendin e lindjes të secilit Person të Raportueshëm, rolin ose rolet në bazë të të cilave ai është Person Kontrollues dhe faktin nëse për secilin prej tyre është dhënë një vetëdeklarim i vlefshëm; c) faktin nëse llogaria është llogari e përbashkët dhe numrin e Mbajtësve të Llogarisë; ç) numrin e llogarisë ose ekuivalentin funksional, llojin e llogarisë dhe faktin nëse ajo është Llogari Paraekzistuese ose Llogari e Re sipas profilit përkatës; d) emrin dhe numrin </w:t>
            </w:r>
            <w:r w:rsidRPr="004E6A4A">
              <w:rPr>
                <w:rFonts w:ascii="Times New Roman" w:eastAsia="Times New Roman" w:hAnsi="Times New Roman" w:cs="Times New Roman"/>
                <w:sz w:val="20"/>
              </w:rPr>
              <w:lastRenderedPageBreak/>
              <w:t>identifikues, kur ka, të institucionit financiar raportues; dh) gjendjen ose vlerën e llogarisë në fund të vitit kalendarik ose periudhës tjetër përkatëse të raportimit, ose faktin e mbylljes së llogarisë gjatë kësaj periudhe; e) për Llogarinë e Kujdestarisë, shumat totale bruto të interesit, dividendëve dhe të ardhurave të tjera nga aktivet, si dhe të ardhurat totale bruto nga shitja ose shlyerja e aktiveve financiare, kur institucioni ka vepruar si kujdestar, ndërmjetës, i emëruar ose agjent; ë) për Llogarinë e Depozitës, shumën totale bruto të interesit; f) për çdo Interes në Kapital në një njësi ekonomike investimesh që është strukturë ligjore, rolin ose rolet në bazë të të cilave Personi i Raportueshëm është mbajtës i Interesit në Kapital; dhe g) për çdo llogari tjetër, shumën totale bruto të paguar ose kredituar Mbajtësit të Llogarisë, përfshirë pagesat e shlyerjes.</w:t>
            </w:r>
          </w:p>
          <w:p w14:paraId="52B901D3" w14:textId="77777777" w:rsidR="00FA0CFF" w:rsidRPr="004E6A4A" w:rsidRDefault="00FA0CFF"/>
          <w:p w14:paraId="67EF2CE6" w14:textId="78C6AA05" w:rsidR="00FA0CFF" w:rsidRPr="004E6A4A" w:rsidRDefault="00FA0CFF">
            <w:pPr>
              <w:jc w:val="both"/>
            </w:pPr>
          </w:p>
        </w:tc>
        <w:tc>
          <w:tcPr>
            <w:tcW w:w="1620" w:type="dxa"/>
          </w:tcPr>
          <w:p w14:paraId="4D361EAB" w14:textId="592EE859" w:rsidR="00DC3028" w:rsidRPr="004E6A4A" w:rsidRDefault="00345A6E" w:rsidP="00D77E79">
            <w:pPr>
              <w:jc w:val="center"/>
              <w:rPr>
                <w:rFonts w:ascii="Times New Roman" w:eastAsia="Calibri" w:hAnsi="Times New Roman" w:cs="Times New Roman"/>
                <w:sz w:val="18"/>
                <w:szCs w:val="18"/>
              </w:rPr>
            </w:pPr>
            <w:r>
              <w:rPr>
                <w:rFonts w:ascii="Times New Roman" w:eastAsia="Calibri" w:hAnsi="Times New Roman" w:cs="Times New Roman"/>
                <w:sz w:val="18"/>
                <w:szCs w:val="18"/>
              </w:rPr>
              <w:lastRenderedPageBreak/>
              <w:t>F</w:t>
            </w:r>
          </w:p>
        </w:tc>
        <w:tc>
          <w:tcPr>
            <w:tcW w:w="2970" w:type="dxa"/>
          </w:tcPr>
          <w:p w14:paraId="5D9A60CC"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Përputhet.</w:t>
            </w:r>
          </w:p>
          <w:p w14:paraId="06806BDF"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 xml:space="preserve">Shkronja (b) transpozohet nga neni 6, pika 1, neni 7, pika 1, neni 16, pika 1, shkronja a), dhe neni 25, pika 2, të projektligjit, si dhe nga neni 4, pika 1, neni 5, pika 1, dhe neni 12, pika 4, të VKM-së. Këto dispozita pasqyrojnë </w:t>
            </w:r>
            <w:r w:rsidRPr="004E6A4A">
              <w:rPr>
                <w:rFonts w:ascii="Times New Roman" w:eastAsia="Times New Roman" w:hAnsi="Times New Roman" w:cs="Times New Roman"/>
                <w:sz w:val="20"/>
                <w:szCs w:val="20"/>
              </w:rPr>
              <w:lastRenderedPageBreak/>
              <w:t>formulimin e nenit 8(3a) të Direktivës 2011/16/BE në fuqi, të ndryshuar me Direktivën 2025/872, dhe për rrjedhojë mbulojnë edhe elementet e përmendura në shkronjat (h) deri në (k) të tij,</w:t>
            </w:r>
          </w:p>
        </w:tc>
      </w:tr>
      <w:tr w:rsidR="004E6A4A" w:rsidRPr="004E6A4A" w14:paraId="38C642C2" w14:textId="77777777" w:rsidTr="00153084">
        <w:trPr>
          <w:trHeight w:val="764"/>
        </w:trPr>
        <w:tc>
          <w:tcPr>
            <w:tcW w:w="630" w:type="dxa"/>
          </w:tcPr>
          <w:p w14:paraId="07B703DC" w14:textId="77777777" w:rsidR="00FA0CFF" w:rsidRPr="004E6A4A" w:rsidRDefault="00FA0CFF"/>
        </w:tc>
        <w:tc>
          <w:tcPr>
            <w:tcW w:w="4230" w:type="dxa"/>
          </w:tcPr>
          <w:p w14:paraId="131BCB18" w14:textId="77777777" w:rsidR="008C56DE" w:rsidRPr="004E6A4A" w:rsidRDefault="00144445" w:rsidP="00ED3C6B">
            <w:pPr>
              <w:jc w:val="both"/>
              <w:rPr>
                <w:rFonts w:ascii="Times New Roman" w:eastAsia="Times New Roman" w:hAnsi="Times New Roman" w:cs="Times New Roman"/>
              </w:rPr>
            </w:pPr>
            <w:r w:rsidRPr="004E6A4A">
              <w:rPr>
                <w:rFonts w:ascii="Times New Roman" w:eastAsia="Times New Roman" w:hAnsi="Times New Roman" w:cs="Times New Roman"/>
              </w:rPr>
              <w:tab/>
            </w:r>
          </w:p>
          <w:p w14:paraId="2C4B05BA" w14:textId="77777777" w:rsidR="008C56DE" w:rsidRPr="004E6A4A" w:rsidRDefault="00144445" w:rsidP="00ED3C6B">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paragrafi 5 zëvendësohet me tekstin vijues:</w:t>
            </w:r>
          </w:p>
          <w:p w14:paraId="55277847" w14:textId="77777777" w:rsidR="008C56DE" w:rsidRPr="004E6A4A" w:rsidRDefault="00144445" w:rsidP="00ED3C6B">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‘5.   Përpara 1 korrikut 2017, Komisioni paraqet një raport që jep një përmbledhje dhe një vlerësim të statistikave dhe të informacionit të marrë, për çështje të tilla si kostot administrative dhe kostot e tjera përkatëse dhe përfitimet e shkëmbimit automatik të informacionit, si dhe aspektet praktike të lidhura me to. Nëse është e përshtatshme, Komisioni i paraqet Këshillit një propozim në lidhje me kategoritë dhe kushtet e përcaktuara në paragrafin 1, përfshirë kushtin që informacioni në lidhje me rezidentët në shtete të tjera anëtare duhet të jetë i disponueshëm, ose elementet e përmendura në paragrafin 3a, ose të dyja.</w:t>
            </w:r>
          </w:p>
          <w:p w14:paraId="663E0F1C" w14:textId="77777777" w:rsidR="008C56DE" w:rsidRPr="004E6A4A" w:rsidRDefault="00144445" w:rsidP="00ED3C6B">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Gjatë shqyrtimit të një propozimi të paraqitur nga Komisioni, Këshilli vlerëson forcimin e mëtejshëm të efikasitetit dhe funksionimit të shkëmbimit automatik të informacionit dhe ngritjen e standardit të tij, me qëllim që të parashikohet që:</w:t>
            </w:r>
          </w:p>
          <w:p w14:paraId="75D6A4C6" w14:textId="77777777" w:rsidR="008C56DE" w:rsidRPr="004E6A4A" w:rsidRDefault="00144445" w:rsidP="00ED3C6B">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(a)</w:t>
            </w:r>
          </w:p>
          <w:p w14:paraId="467C2695" w14:textId="77777777" w:rsidR="008C56DE" w:rsidRPr="004E6A4A" w:rsidRDefault="00144445" w:rsidP="00ED3C6B">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 xml:space="preserve">autoriteti kompetent i çdo shteti anëtar, nëpërmjet shkëmbimit automatik, t’i komunikojë autoritetit kompetent të çdo shteti tjetër anëtar informacionin për periudhat tatimore duke filluar nga 1 janari 2017 në lidhje me rezidentët në atë shtet tjetër </w:t>
            </w:r>
            <w:r w:rsidRPr="004E6A4A">
              <w:rPr>
                <w:rFonts w:ascii="Times New Roman" w:eastAsia="Times New Roman" w:hAnsi="Times New Roman" w:cs="Times New Roman"/>
                <w:sz w:val="20"/>
                <w:szCs w:val="20"/>
              </w:rPr>
              <w:lastRenderedPageBreak/>
              <w:t>anëtar, për të gjitha kategoritë e të ardhurave dhe kapitalit të renditura në paragrafin 1, siç kuptohen sipas legjislacionit kombëtar të shtetit anëtar që komunikon informacionin; dhe</w:t>
            </w:r>
          </w:p>
          <w:p w14:paraId="23E0F647" w14:textId="77777777" w:rsidR="008C56DE" w:rsidRPr="004E6A4A" w:rsidRDefault="00144445" w:rsidP="00ED3C6B">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(b)</w:t>
            </w:r>
          </w:p>
          <w:p w14:paraId="0854B499" w14:textId="77777777" w:rsidR="008C56DE" w:rsidRPr="004E6A4A" w:rsidRDefault="00144445" w:rsidP="00ED3C6B">
            <w:pPr>
              <w:jc w:val="both"/>
              <w:rPr>
                <w:rFonts w:ascii="Times New Roman" w:eastAsia="Times New Roman" w:hAnsi="Times New Roman" w:cs="Times New Roman"/>
              </w:rPr>
            </w:pPr>
            <w:r w:rsidRPr="004E6A4A">
              <w:rPr>
                <w:rFonts w:ascii="Times New Roman" w:eastAsia="Times New Roman" w:hAnsi="Times New Roman" w:cs="Times New Roman"/>
                <w:sz w:val="20"/>
                <w:szCs w:val="20"/>
              </w:rPr>
              <w:t>listat e kategorive dhe elementeve të përcaktuara në paragrafët 1 dhe 3a të zgjerohen për të përfshirë kategori dhe elemente të tjera, përfshirë honoraret e të drejtave (royalties).’</w:t>
            </w:r>
          </w:p>
        </w:tc>
        <w:tc>
          <w:tcPr>
            <w:tcW w:w="1350" w:type="dxa"/>
          </w:tcPr>
          <w:p w14:paraId="34A10AE7" w14:textId="77777777" w:rsidR="00FA0CFF" w:rsidRPr="004E6A4A" w:rsidRDefault="00FA0CFF"/>
        </w:tc>
        <w:tc>
          <w:tcPr>
            <w:tcW w:w="810" w:type="dxa"/>
          </w:tcPr>
          <w:p w14:paraId="212C1809" w14:textId="77777777" w:rsidR="00FA0CFF" w:rsidRPr="004E6A4A" w:rsidRDefault="00FA0CFF"/>
        </w:tc>
        <w:tc>
          <w:tcPr>
            <w:tcW w:w="4590" w:type="dxa"/>
          </w:tcPr>
          <w:p w14:paraId="33A2DC20" w14:textId="77777777" w:rsidR="00FA0CFF" w:rsidRPr="004E6A4A" w:rsidRDefault="00144445">
            <w:pPr>
              <w:jc w:val="center"/>
            </w:pPr>
            <w:r w:rsidRPr="004E6A4A">
              <w:rPr>
                <w:rFonts w:ascii="Times New Roman" w:eastAsia="Times New Roman" w:hAnsi="Times New Roman" w:cs="Times New Roman"/>
                <w:sz w:val="20"/>
              </w:rPr>
              <w:t>N/A</w:t>
            </w:r>
          </w:p>
        </w:tc>
        <w:tc>
          <w:tcPr>
            <w:tcW w:w="1620" w:type="dxa"/>
          </w:tcPr>
          <w:p w14:paraId="09E37CB6" w14:textId="77777777" w:rsidR="00FA0CFF" w:rsidRPr="004E6A4A" w:rsidRDefault="00144445">
            <w:pPr>
              <w:jc w:val="center"/>
            </w:pPr>
            <w:r w:rsidRPr="004E6A4A">
              <w:rPr>
                <w:rFonts w:ascii="Times New Roman" w:eastAsia="Times New Roman" w:hAnsi="Times New Roman" w:cs="Times New Roman"/>
                <w:sz w:val="20"/>
              </w:rPr>
              <w:t>N/A</w:t>
            </w:r>
          </w:p>
        </w:tc>
        <w:tc>
          <w:tcPr>
            <w:tcW w:w="2970" w:type="dxa"/>
          </w:tcPr>
          <w:p w14:paraId="773417B9" w14:textId="77777777" w:rsidR="008C56DE" w:rsidRPr="004E6A4A" w:rsidRDefault="00144445" w:rsidP="001B30C4">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Nuk kërkon transpozim.</w:t>
            </w:r>
          </w:p>
          <w:p w14:paraId="247F0A99" w14:textId="77777777" w:rsidR="008C56DE" w:rsidRPr="004E6A4A" w:rsidRDefault="00144445" w:rsidP="001B30C4">
            <w:pPr>
              <w:jc w:val="both"/>
              <w:rPr>
                <w:rFonts w:ascii="Times New Roman" w:eastAsia="Times New Roman" w:hAnsi="Times New Roman" w:cs="Times New Roman"/>
              </w:rPr>
            </w:pPr>
            <w:r w:rsidRPr="004E6A4A">
              <w:rPr>
                <w:rFonts w:ascii="Times New Roman" w:eastAsia="Times New Roman" w:hAnsi="Times New Roman" w:cs="Times New Roman"/>
                <w:sz w:val="20"/>
                <w:szCs w:val="20"/>
              </w:rPr>
              <w:t>Dispozita përcakton detyrimet e raportimit dhe të vlerësimit të Komisionit Evropian dhe kushtet në të cilat Këshilli shqyrton një propozim të paraqitur prej tij.</w:t>
            </w:r>
          </w:p>
        </w:tc>
      </w:tr>
      <w:tr w:rsidR="004E6A4A" w:rsidRPr="004E6A4A" w14:paraId="37228938" w14:textId="77777777" w:rsidTr="00153084">
        <w:trPr>
          <w:trHeight w:val="764"/>
        </w:trPr>
        <w:tc>
          <w:tcPr>
            <w:tcW w:w="630" w:type="dxa"/>
          </w:tcPr>
          <w:p w14:paraId="450DAE04" w14:textId="77777777" w:rsidR="00DC3028" w:rsidRPr="004E6A4A" w:rsidRDefault="00DC3028" w:rsidP="00D77E79">
            <w:pPr>
              <w:jc w:val="center"/>
              <w:rPr>
                <w:rFonts w:ascii="Times New Roman" w:eastAsia="Calibri" w:hAnsi="Times New Roman" w:cs="Times New Roman"/>
                <w:i/>
                <w:sz w:val="18"/>
                <w:szCs w:val="18"/>
              </w:rPr>
            </w:pPr>
          </w:p>
        </w:tc>
        <w:tc>
          <w:tcPr>
            <w:tcW w:w="4230" w:type="dxa"/>
          </w:tcPr>
          <w:p w14:paraId="28FBE8A4" w14:textId="77777777" w:rsidR="008C56DE" w:rsidRPr="004E6A4A" w:rsidRDefault="00144445" w:rsidP="00ED3C6B">
            <w:pPr>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(d) paragrafi 6 zëvendësohet me tekstin vijues:</w:t>
            </w:r>
          </w:p>
          <w:p w14:paraId="63189F16" w14:textId="77777777" w:rsidR="008C56DE" w:rsidRPr="004E6A4A" w:rsidRDefault="00144445" w:rsidP="00ED3C6B">
            <w:pPr>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‘6.   Komunikimi i informacionit bëhet si më poshtë:</w:t>
            </w:r>
          </w:p>
          <w:p w14:paraId="429C0215" w14:textId="77777777" w:rsidR="008C56DE" w:rsidRPr="004E6A4A" w:rsidRDefault="00144445" w:rsidP="00ED3C6B">
            <w:pPr>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(a) për kategoritë e përcaktuara në paragrafin 1: të paktën një herë në vit, brenda gjashtë muajve pas përfundimit të vitit tatimor të shtetit anëtar gjatë të cilit informacioni është bërë i disponueshëm;</w:t>
            </w:r>
          </w:p>
          <w:p w14:paraId="7608B977" w14:textId="77777777" w:rsidR="008C56DE" w:rsidRPr="004E6A4A" w:rsidRDefault="00144445" w:rsidP="00ED3C6B">
            <w:pPr>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(b) për informacionin e përcaktuar në paragrafin 3a: çdo vit, brenda nëntë muajve pas përfundimit të vitit kalendarik ose të periudhës tjetër të përshtatshme raportuese me të cilën lidhet informacioni.’</w:t>
            </w:r>
          </w:p>
        </w:tc>
        <w:tc>
          <w:tcPr>
            <w:tcW w:w="1350" w:type="dxa"/>
          </w:tcPr>
          <w:p w14:paraId="11E16CAE" w14:textId="77777777" w:rsidR="00DC3028" w:rsidRPr="004E6A4A" w:rsidRDefault="00DC3028" w:rsidP="00D77E79">
            <w:pPr>
              <w:jc w:val="center"/>
              <w:rPr>
                <w:rFonts w:ascii="Times New Roman" w:eastAsia="Calibri" w:hAnsi="Times New Roman" w:cs="Times New Roman"/>
                <w:sz w:val="18"/>
                <w:szCs w:val="18"/>
              </w:rPr>
            </w:pPr>
          </w:p>
        </w:tc>
        <w:tc>
          <w:tcPr>
            <w:tcW w:w="810" w:type="dxa"/>
          </w:tcPr>
          <w:p w14:paraId="101301A4" w14:textId="77777777" w:rsidR="00DC3028" w:rsidRPr="004E6A4A" w:rsidRDefault="00DC3028" w:rsidP="00D77E79">
            <w:pPr>
              <w:jc w:val="center"/>
              <w:rPr>
                <w:rFonts w:ascii="Times New Roman" w:eastAsia="Times New Roman" w:hAnsi="Times New Roman" w:cs="Times New Roman"/>
                <w:sz w:val="20"/>
                <w:szCs w:val="21"/>
                <w:lang w:eastAsia="sq-AL"/>
              </w:rPr>
            </w:pPr>
          </w:p>
        </w:tc>
        <w:tc>
          <w:tcPr>
            <w:tcW w:w="4590" w:type="dxa"/>
          </w:tcPr>
          <w:p w14:paraId="47C00244" w14:textId="77777777" w:rsidR="00FA0CFF" w:rsidRPr="004E6A4A" w:rsidRDefault="00144445">
            <w:pPr>
              <w:jc w:val="center"/>
            </w:pPr>
            <w:r w:rsidRPr="004E6A4A">
              <w:rPr>
                <w:rFonts w:ascii="Times New Roman" w:eastAsia="Times New Roman" w:hAnsi="Times New Roman" w:cs="Times New Roman"/>
                <w:b/>
                <w:sz w:val="20"/>
              </w:rPr>
              <w:t>Ligji: Neni 16</w:t>
            </w:r>
          </w:p>
          <w:p w14:paraId="2C23C43E" w14:textId="77777777" w:rsidR="00FA0CFF" w:rsidRPr="004E6A4A" w:rsidRDefault="00144445">
            <w:pPr>
              <w:jc w:val="center"/>
            </w:pPr>
            <w:r w:rsidRPr="004E6A4A">
              <w:rPr>
                <w:rFonts w:ascii="Times New Roman" w:eastAsia="Times New Roman" w:hAnsi="Times New Roman" w:cs="Times New Roman"/>
                <w:b/>
                <w:sz w:val="20"/>
              </w:rPr>
              <w:t>Shkëmbimi i informacionit mbi llogaritë e raportueshme</w:t>
            </w:r>
          </w:p>
          <w:p w14:paraId="732C5AAF" w14:textId="77777777" w:rsidR="00FA0CFF" w:rsidRPr="004E6A4A" w:rsidRDefault="00144445">
            <w:pPr>
              <w:jc w:val="both"/>
            </w:pPr>
            <w:r w:rsidRPr="004E6A4A">
              <w:rPr>
                <w:rFonts w:ascii="Times New Roman" w:eastAsia="Times New Roman" w:hAnsi="Times New Roman" w:cs="Times New Roman"/>
                <w:sz w:val="20"/>
              </w:rPr>
              <w:t>1. Autoriteti Kompetent shkëmben automatikisht:</w:t>
            </w:r>
          </w:p>
          <w:p w14:paraId="079FD574" w14:textId="77777777" w:rsidR="00FA0CFF" w:rsidRPr="004E6A4A" w:rsidRDefault="00144445">
            <w:pPr>
              <w:jc w:val="both"/>
            </w:pPr>
            <w:r w:rsidRPr="004E6A4A">
              <w:rPr>
                <w:rFonts w:ascii="Times New Roman" w:eastAsia="Times New Roman" w:hAnsi="Times New Roman" w:cs="Times New Roman"/>
                <w:sz w:val="20"/>
              </w:rPr>
              <w:t>a) me autoritetet kompetente të shteteve anëtare të Bashkimit Evropian, informacionin e përcaktuar në nenin 6 të këtij ligji, brenda nëntë muajve pas përfundimit të vitit kalendarik ose periudhës tjetër përkatëse të raportimit dhe, për një vit kalendarik, jo më vonë se data 30 shtator e vitit pasardhës, nëpërmjet rrjetit CCN dhe duke përdorur formatin standard të kompjuterizuar të përcaktuar në aktet përkatëse të Bashkimit Evropian;</w:t>
            </w:r>
          </w:p>
          <w:p w14:paraId="19CC6995" w14:textId="77777777" w:rsidR="00FA0CFF" w:rsidRPr="004E6A4A" w:rsidRDefault="00144445">
            <w:pPr>
              <w:jc w:val="both"/>
            </w:pPr>
            <w:r w:rsidRPr="004E6A4A">
              <w:rPr>
                <w:rFonts w:ascii="Times New Roman" w:eastAsia="Times New Roman" w:hAnsi="Times New Roman" w:cs="Times New Roman"/>
                <w:sz w:val="20"/>
              </w:rPr>
              <w:t>b) me autoritetet kompetente të juridiksioneve të tjera, informacionin e raportueshëm sipas këtij ligji, në përputhje me afatet, kanalin, formatin dhe kushtet e përcaktuara në marrëveshjet ndërkombëtare përkatëse dhe në Standardin e Përbashkët të Raportimit.</w:t>
            </w:r>
          </w:p>
          <w:p w14:paraId="51FB3392" w14:textId="77777777" w:rsidR="00FA0CFF" w:rsidRPr="004E6A4A" w:rsidRDefault="00144445">
            <w:pPr>
              <w:jc w:val="both"/>
            </w:pPr>
            <w:r w:rsidRPr="004E6A4A">
              <w:rPr>
                <w:rFonts w:ascii="Times New Roman" w:eastAsia="Times New Roman" w:hAnsi="Times New Roman" w:cs="Times New Roman"/>
                <w:sz w:val="20"/>
              </w:rPr>
              <w:t xml:space="preserve">2. Kur një institucion financiar raportues është subjekt i detyrimeve të raportimit sipas Direktivës 2011/16/BE dhe sipas Standardit të Përbashkët të Raportimit, ai mund t’i përmbushë këto detyrime nëpërmjet një dorëzimi të vetëm pranë Autoritetit Kompetent, me kusht që informacioni i dorëzuar të përmbajë të gjitha elementet e kërkuara sipas të dy regjimeve. Ky rregull nuk kufizon detyrimin e Autoritetit Kompetent për ta përpunuar dhe shkëmbyer informacionin nëpërmjet çdo kanali të zbatueshëm dhe me çdo autoritet </w:t>
            </w:r>
            <w:r w:rsidRPr="004E6A4A">
              <w:rPr>
                <w:rFonts w:ascii="Times New Roman" w:eastAsia="Times New Roman" w:hAnsi="Times New Roman" w:cs="Times New Roman"/>
                <w:sz w:val="20"/>
              </w:rPr>
              <w:lastRenderedPageBreak/>
              <w:t>kompetent që ka të drejtë ta marrë atë sipas instrumentit juridik përkatës.</w:t>
            </w:r>
          </w:p>
          <w:p w14:paraId="2CF65BF4" w14:textId="77777777" w:rsidR="00FA0CFF" w:rsidRPr="004E6A4A" w:rsidRDefault="00FA0CFF"/>
          <w:p w14:paraId="02327969" w14:textId="77777777" w:rsidR="00FA0CFF" w:rsidRPr="004E6A4A" w:rsidRDefault="00144445">
            <w:pPr>
              <w:jc w:val="center"/>
            </w:pPr>
            <w:r w:rsidRPr="004E6A4A">
              <w:rPr>
                <w:rFonts w:ascii="Times New Roman" w:eastAsia="Times New Roman" w:hAnsi="Times New Roman" w:cs="Times New Roman"/>
                <w:b/>
                <w:sz w:val="20"/>
              </w:rPr>
              <w:t>VKM: Neni 12</w:t>
            </w:r>
          </w:p>
          <w:p w14:paraId="6568557C" w14:textId="77777777" w:rsidR="00FA0CFF" w:rsidRPr="004E6A4A" w:rsidRDefault="00144445">
            <w:pPr>
              <w:jc w:val="center"/>
            </w:pPr>
            <w:r w:rsidRPr="004E6A4A">
              <w:rPr>
                <w:rFonts w:ascii="Times New Roman" w:eastAsia="Times New Roman" w:hAnsi="Times New Roman" w:cs="Times New Roman"/>
                <w:b/>
                <w:sz w:val="20"/>
              </w:rPr>
              <w:t>Shkëmbimi i informacionit mbi llogaritë e raportueshme</w:t>
            </w:r>
          </w:p>
          <w:p w14:paraId="6EA4538F" w14:textId="77777777" w:rsidR="00FA0CFF" w:rsidRPr="004E6A4A" w:rsidRDefault="00144445">
            <w:pPr>
              <w:jc w:val="both"/>
            </w:pPr>
            <w:r w:rsidRPr="004E6A4A">
              <w:rPr>
                <w:rFonts w:ascii="Times New Roman" w:eastAsia="Times New Roman" w:hAnsi="Times New Roman" w:cs="Times New Roman"/>
                <w:sz w:val="20"/>
              </w:rPr>
              <w:t>1. Çdo institucion financiar raportues në Republikën e Shqipërisë i dorëzon DPT-së informacionin e përcaktuar në nenin 4 në mënyrë elektronike, sipas strukturës, rregullave të validimit dhe metodave të transmetimit të përcaktuara në Shtojcën IV.</w:t>
            </w:r>
          </w:p>
          <w:p w14:paraId="312679CE" w14:textId="77777777" w:rsidR="00FA0CFF" w:rsidRPr="004E6A4A" w:rsidRDefault="00144445">
            <w:pPr>
              <w:jc w:val="both"/>
            </w:pPr>
            <w:r w:rsidRPr="004E6A4A">
              <w:rPr>
                <w:rFonts w:ascii="Times New Roman" w:eastAsia="Times New Roman" w:hAnsi="Times New Roman" w:cs="Times New Roman"/>
                <w:sz w:val="20"/>
              </w:rPr>
              <w:t>2. Kur i njëjti informacion kërkohet për profilin e Bashkimit Evropian dhe profilin e Standardit të Përbashkët të Raportimit, institucioni financiar raportues e dorëzon informacionin vetëm një herë në DPT, pa cenuar përpunimin, validimin, transformimin dhe transmetimin e veçantë nga DPT-ja sipas bazës juridike përkatëse.</w:t>
            </w:r>
          </w:p>
          <w:p w14:paraId="2C1B9A32" w14:textId="77777777" w:rsidR="00FA0CFF" w:rsidRPr="004E6A4A" w:rsidRDefault="00144445">
            <w:pPr>
              <w:jc w:val="both"/>
            </w:pPr>
            <w:r w:rsidRPr="004E6A4A">
              <w:rPr>
                <w:rFonts w:ascii="Times New Roman" w:eastAsia="Times New Roman" w:hAnsi="Times New Roman" w:cs="Times New Roman"/>
                <w:sz w:val="20"/>
              </w:rPr>
              <w:t>4. Informacioni sipas pikës 3 shkëmbehet çdo vit, sa më shpejt që të jetë i disponueshëm dhe, në çdo rast, jo më vonë se nëntë muaj pas përfundimit të vitit kalendarik ose periudhës tjetër përkatëse të raportimit.</w:t>
            </w:r>
          </w:p>
          <w:p w14:paraId="39F73925" w14:textId="77777777" w:rsidR="00FA0CFF" w:rsidRPr="004E6A4A" w:rsidRDefault="00FA0CFF"/>
          <w:p w14:paraId="5C581722" w14:textId="55B1DC5B" w:rsidR="00FA0CFF" w:rsidRPr="004E6A4A" w:rsidRDefault="00FA0CFF">
            <w:pPr>
              <w:jc w:val="both"/>
            </w:pPr>
          </w:p>
        </w:tc>
        <w:tc>
          <w:tcPr>
            <w:tcW w:w="1620" w:type="dxa"/>
          </w:tcPr>
          <w:p w14:paraId="536C964C" w14:textId="77777777" w:rsidR="00945058" w:rsidRPr="004E6A4A" w:rsidRDefault="00945058" w:rsidP="00D77E79">
            <w:pPr>
              <w:jc w:val="center"/>
              <w:rPr>
                <w:rFonts w:ascii="Times New Roman" w:eastAsia="Calibri" w:hAnsi="Times New Roman" w:cs="Times New Roman"/>
                <w:sz w:val="18"/>
                <w:szCs w:val="18"/>
              </w:rPr>
            </w:pPr>
          </w:p>
          <w:p w14:paraId="6733CE97" w14:textId="269F96E5" w:rsidR="00DC3028" w:rsidRPr="004E6A4A" w:rsidRDefault="00945058" w:rsidP="00D77E79">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3A7C5343"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Përputhet.</w:t>
            </w:r>
          </w:p>
          <w:p w14:paraId="4E92F7FF" w14:textId="0E95D374"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Transpozohet nga neni 16 i projektligjit dhe nga neni 12, pikat 1, 2 dhe 4, të VKM-së.</w:t>
            </w:r>
          </w:p>
        </w:tc>
      </w:tr>
      <w:tr w:rsidR="004E6A4A" w:rsidRPr="004E6A4A" w14:paraId="409D1824" w14:textId="77777777" w:rsidTr="00153084">
        <w:trPr>
          <w:trHeight w:val="764"/>
        </w:trPr>
        <w:tc>
          <w:tcPr>
            <w:tcW w:w="630" w:type="dxa"/>
          </w:tcPr>
          <w:p w14:paraId="39C6B241" w14:textId="77777777" w:rsidR="006D0605" w:rsidRPr="004E6A4A" w:rsidRDefault="006D0605" w:rsidP="00C4419F">
            <w:pPr>
              <w:jc w:val="center"/>
              <w:rPr>
                <w:rFonts w:ascii="Times New Roman" w:eastAsia="Calibri" w:hAnsi="Times New Roman" w:cs="Times New Roman"/>
                <w:i/>
                <w:sz w:val="18"/>
                <w:szCs w:val="18"/>
              </w:rPr>
            </w:pPr>
          </w:p>
        </w:tc>
        <w:tc>
          <w:tcPr>
            <w:tcW w:w="4230" w:type="dxa"/>
          </w:tcPr>
          <w:p w14:paraId="7740D67D" w14:textId="77777777" w:rsidR="008C56DE" w:rsidRPr="004E6A4A" w:rsidRDefault="00144445" w:rsidP="000E529E">
            <w:pPr>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shtohet paragrafi vijues:</w:t>
            </w:r>
          </w:p>
          <w:p w14:paraId="0D7165FC" w14:textId="77777777" w:rsidR="008C56DE" w:rsidRPr="004E6A4A" w:rsidRDefault="00144445" w:rsidP="000E529E">
            <w:pPr>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 xml:space="preserve">‘7a.   Për qëllimet e nënparagrafëve B.1(c) dhe C.17(g) të Seksionit VIII të Aneksit I, çdo shtet anëtar i jep Komisionit, deri më 31 korrik 2015, listën e njësive ekonomike dhe të llogarive që do të trajtohen, përkatësisht, si Institucione Financiare Joraportuese dhe si Llogari të Përjashtuara. Çdo shtet anëtar e informon gjithashtu Komisionin nëse ndodhin ndryshime në këtë drejtim. Komisioni publikon në Gazetën Zyrtare të Bashkimit Evropian një listë të </w:t>
            </w:r>
            <w:r w:rsidRPr="004E6A4A">
              <w:rPr>
                <w:rFonts w:ascii="Times New Roman" w:eastAsia="Times New Roman" w:hAnsi="Times New Roman" w:cs="Times New Roman"/>
                <w:sz w:val="20"/>
                <w:szCs w:val="20"/>
              </w:rPr>
              <w:lastRenderedPageBreak/>
              <w:t>përmbledhur të informacionit të marrë dhe e përditëson listën sipas nevojës.</w:t>
            </w:r>
          </w:p>
          <w:p w14:paraId="52622FAA" w14:textId="77777777" w:rsidR="008C56DE" w:rsidRPr="004E6A4A" w:rsidRDefault="00144445" w:rsidP="000E529E">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Shtetet anëtare sigurojnë që këto lloje të Institucioneve Financiare Joraportuese dhe të Llogarive të Përjashtuara të përmbushin të gjitha kërkesat e renditura në nënparagrafët B.1(c) dhe C.17(g) të Seksionit VIII të Aneksit I, dhe në veçanti që statusi i një Institucioni Financiar si Institucion Financiar Joraportues ose statusi i një llogarie si Llogari e Përjashtuar të mos cenojë qëllimet e kësaj Direktive.’</w:t>
            </w:r>
          </w:p>
        </w:tc>
        <w:tc>
          <w:tcPr>
            <w:tcW w:w="1350" w:type="dxa"/>
          </w:tcPr>
          <w:p w14:paraId="2AE37CE6" w14:textId="77777777" w:rsidR="006D0605" w:rsidRPr="004E6A4A" w:rsidRDefault="006D0605" w:rsidP="00C4419F">
            <w:pPr>
              <w:jc w:val="center"/>
              <w:rPr>
                <w:rFonts w:ascii="Times New Roman" w:eastAsia="Calibri" w:hAnsi="Times New Roman" w:cs="Times New Roman"/>
                <w:sz w:val="18"/>
                <w:szCs w:val="18"/>
              </w:rPr>
            </w:pPr>
          </w:p>
        </w:tc>
        <w:tc>
          <w:tcPr>
            <w:tcW w:w="810" w:type="dxa"/>
          </w:tcPr>
          <w:p w14:paraId="743B481C" w14:textId="77777777" w:rsidR="006D0605" w:rsidRPr="004E6A4A" w:rsidRDefault="006D0605" w:rsidP="00C4419F">
            <w:pPr>
              <w:jc w:val="center"/>
              <w:rPr>
                <w:rFonts w:ascii="Times New Roman" w:eastAsia="Times New Roman" w:hAnsi="Times New Roman" w:cs="Times New Roman"/>
                <w:sz w:val="20"/>
                <w:szCs w:val="21"/>
                <w:lang w:eastAsia="sq-AL"/>
              </w:rPr>
            </w:pPr>
          </w:p>
        </w:tc>
        <w:tc>
          <w:tcPr>
            <w:tcW w:w="4590" w:type="dxa"/>
          </w:tcPr>
          <w:p w14:paraId="1BCB72AA" w14:textId="77777777" w:rsidR="00FA0CFF" w:rsidRPr="004E6A4A" w:rsidRDefault="00144445">
            <w:pPr>
              <w:jc w:val="center"/>
            </w:pPr>
            <w:r w:rsidRPr="004E6A4A">
              <w:rPr>
                <w:rFonts w:ascii="Times New Roman" w:eastAsia="Times New Roman" w:hAnsi="Times New Roman" w:cs="Times New Roman"/>
                <w:b/>
                <w:sz w:val="20"/>
              </w:rPr>
              <w:t>Ligji: Neni 14</w:t>
            </w:r>
          </w:p>
          <w:p w14:paraId="66FA986E" w14:textId="77777777" w:rsidR="00FA0CFF" w:rsidRPr="004E6A4A" w:rsidRDefault="00144445">
            <w:pPr>
              <w:jc w:val="center"/>
            </w:pPr>
            <w:r w:rsidRPr="004E6A4A">
              <w:rPr>
                <w:rFonts w:ascii="Times New Roman" w:eastAsia="Times New Roman" w:hAnsi="Times New Roman" w:cs="Times New Roman"/>
                <w:b/>
                <w:sz w:val="20"/>
              </w:rPr>
              <w:t>Detyrat dhe kompetencat e Autoritetit Kompetent</w:t>
            </w:r>
          </w:p>
          <w:p w14:paraId="36B6A867" w14:textId="77777777" w:rsidR="00FA0CFF" w:rsidRPr="004E6A4A" w:rsidRDefault="00144445">
            <w:pPr>
              <w:jc w:val="both"/>
            </w:pPr>
            <w:r w:rsidRPr="004E6A4A">
              <w:rPr>
                <w:rFonts w:ascii="Times New Roman" w:eastAsia="Times New Roman" w:hAnsi="Times New Roman" w:cs="Times New Roman"/>
                <w:sz w:val="20"/>
              </w:rPr>
              <w:t>6. Autoriteti Kompetent verifikon periodikisht që entitetet dhe llogaritë e përcaktuara si institucione financiare joraportuese ose llogari të përjashtuara vazhdojnë të paraqesin rrezik të ulët për t’u përdorur për evazion tatimor. Kur kushtet nuk plotësohen më, Autoriteti Kompetent merr masat për ndryshimin e klasifikimit ose të listës përkatëse.</w:t>
            </w:r>
          </w:p>
          <w:p w14:paraId="1867353D" w14:textId="77777777" w:rsidR="00FA0CFF" w:rsidRPr="004E6A4A" w:rsidRDefault="00FA0CFF"/>
          <w:p w14:paraId="4A721304" w14:textId="77777777" w:rsidR="00FA0CFF" w:rsidRPr="004E6A4A" w:rsidRDefault="00144445">
            <w:pPr>
              <w:jc w:val="center"/>
            </w:pPr>
            <w:r w:rsidRPr="004E6A4A">
              <w:rPr>
                <w:rFonts w:ascii="Times New Roman" w:eastAsia="Times New Roman" w:hAnsi="Times New Roman" w:cs="Times New Roman"/>
                <w:b/>
                <w:sz w:val="20"/>
              </w:rPr>
              <w:t>VKM: Neni 13</w:t>
            </w:r>
          </w:p>
          <w:p w14:paraId="15506097" w14:textId="77777777" w:rsidR="00FA0CFF" w:rsidRPr="004E6A4A" w:rsidRDefault="00144445">
            <w:pPr>
              <w:jc w:val="center"/>
            </w:pPr>
            <w:r w:rsidRPr="004E6A4A">
              <w:rPr>
                <w:rFonts w:ascii="Times New Roman" w:eastAsia="Times New Roman" w:hAnsi="Times New Roman" w:cs="Times New Roman"/>
                <w:b/>
                <w:sz w:val="20"/>
              </w:rPr>
              <w:t>Zbatimi efektiv dhe kontrolli i përputhshmërisë</w:t>
            </w:r>
          </w:p>
          <w:p w14:paraId="4796360E" w14:textId="77777777" w:rsidR="00FA0CFF" w:rsidRPr="004E6A4A" w:rsidRDefault="00144445">
            <w:pPr>
              <w:jc w:val="both"/>
            </w:pPr>
            <w:r w:rsidRPr="004E6A4A">
              <w:rPr>
                <w:rFonts w:ascii="Times New Roman" w:eastAsia="Times New Roman" w:hAnsi="Times New Roman" w:cs="Times New Roman"/>
                <w:sz w:val="20"/>
              </w:rPr>
              <w:lastRenderedPageBreak/>
              <w:t>5. DPT-ja rishikon periodikisht nëse njësitë ekonomike dhe llogaritë që trajtohen si Institucione Financiare Joraportuese ose Llogari të Përjashtuara vazhdojnë të paraqesin rrezik të ulët për t’u përdorur për evazion tatimor dhe nëse statusi i tyre nuk cenon qëllimet e profilit përkatës.</w:t>
            </w:r>
          </w:p>
          <w:p w14:paraId="68A48F93" w14:textId="77777777" w:rsidR="00FA0CFF" w:rsidRPr="004E6A4A" w:rsidRDefault="00144445">
            <w:pPr>
              <w:jc w:val="both"/>
            </w:pPr>
            <w:r w:rsidRPr="004E6A4A">
              <w:rPr>
                <w:rFonts w:ascii="Times New Roman" w:eastAsia="Times New Roman" w:hAnsi="Times New Roman" w:cs="Times New Roman"/>
                <w:sz w:val="20"/>
              </w:rPr>
              <w:t>6. Kur kushtet e pikës 5 nuk plotësohen më, DPT-ja propozon ose merr, sipas kompetencës, masat e nevojshme për ndryshimin e klasifikimit ose të listës përkatëse.</w:t>
            </w:r>
          </w:p>
          <w:p w14:paraId="0C24E81A" w14:textId="77777777" w:rsidR="00FA0CFF" w:rsidRPr="004E6A4A" w:rsidRDefault="00FA0CFF"/>
          <w:p w14:paraId="7EE8DDEC" w14:textId="77777777" w:rsidR="00FA0CFF" w:rsidRPr="004E6A4A" w:rsidRDefault="00144445">
            <w:pPr>
              <w:jc w:val="center"/>
            </w:pPr>
            <w:r w:rsidRPr="004E6A4A">
              <w:rPr>
                <w:rFonts w:ascii="Times New Roman" w:eastAsia="Times New Roman" w:hAnsi="Times New Roman" w:cs="Times New Roman"/>
                <w:b/>
                <w:sz w:val="20"/>
              </w:rPr>
              <w:t>Ligji: Neni 5</w:t>
            </w:r>
          </w:p>
          <w:p w14:paraId="46969494" w14:textId="77777777" w:rsidR="00FA0CFF" w:rsidRPr="004E6A4A" w:rsidRDefault="00144445">
            <w:pPr>
              <w:jc w:val="center"/>
            </w:pPr>
            <w:r w:rsidRPr="004E6A4A">
              <w:rPr>
                <w:rFonts w:ascii="Times New Roman" w:eastAsia="Times New Roman" w:hAnsi="Times New Roman" w:cs="Times New Roman"/>
                <w:b/>
                <w:sz w:val="20"/>
              </w:rPr>
              <w:t>Përkufizime</w:t>
            </w:r>
          </w:p>
          <w:p w14:paraId="19CED6B2" w14:textId="77777777" w:rsidR="00FA0CFF" w:rsidRPr="004E6A4A" w:rsidRDefault="00144445">
            <w:pPr>
              <w:jc w:val="both"/>
            </w:pPr>
            <w:r w:rsidRPr="004E6A4A">
              <w:rPr>
                <w:rFonts w:ascii="Times New Roman" w:eastAsia="Times New Roman" w:hAnsi="Times New Roman" w:cs="Times New Roman"/>
                <w:sz w:val="20"/>
              </w:rPr>
              <w:t>33. “Institucion financiar joraportues” është çdo institucion financiar që është:</w:t>
            </w:r>
          </w:p>
          <w:p w14:paraId="2F0F37D7" w14:textId="77777777" w:rsidR="00FA0CFF" w:rsidRPr="004E6A4A" w:rsidRDefault="00144445">
            <w:pPr>
              <w:jc w:val="both"/>
            </w:pPr>
            <w:r w:rsidRPr="004E6A4A">
              <w:rPr>
                <w:rFonts w:ascii="Times New Roman" w:eastAsia="Times New Roman" w:hAnsi="Times New Roman" w:cs="Times New Roman"/>
                <w:sz w:val="20"/>
              </w:rPr>
              <w:t>a) një organ qeveritar, organizatë ndërkombëtare ose bankë qendrore, përveçse:</w:t>
            </w:r>
          </w:p>
          <w:p w14:paraId="75DE1063" w14:textId="77777777" w:rsidR="00FA0CFF" w:rsidRPr="004E6A4A" w:rsidRDefault="00144445">
            <w:pPr>
              <w:jc w:val="both"/>
            </w:pPr>
            <w:r w:rsidRPr="004E6A4A">
              <w:rPr>
                <w:rFonts w:ascii="Times New Roman" w:eastAsia="Times New Roman" w:hAnsi="Times New Roman" w:cs="Times New Roman"/>
                <w:sz w:val="20"/>
              </w:rPr>
              <w:t>i) në lidhje me një pagesë që rrjedh nga një detyrim i mbajtur në lidhje me një veprimtari financiare tregtare të llojit të ushtruar nga një shoqëri sigurimesh e specifikuar, institucion kujdestarie ose institucion depozitues; ose</w:t>
            </w:r>
          </w:p>
          <w:p w14:paraId="6327ABA3" w14:textId="77777777" w:rsidR="00FA0CFF" w:rsidRPr="004E6A4A" w:rsidRDefault="00144445">
            <w:pPr>
              <w:jc w:val="both"/>
            </w:pPr>
            <w:r w:rsidRPr="004E6A4A">
              <w:rPr>
                <w:rFonts w:ascii="Times New Roman" w:eastAsia="Times New Roman" w:hAnsi="Times New Roman" w:cs="Times New Roman"/>
                <w:sz w:val="20"/>
              </w:rPr>
              <w:t>ii) në lidhje me aktivitetin e mbajtjes së monedhave dixhitale të bankës qendrore për mbajtësit e llogarive që nuk janë institucione financiare, organe qeveritare, organizata ndërkombëtare ose banka qendrore;</w:t>
            </w:r>
          </w:p>
          <w:p w14:paraId="03F067DB" w14:textId="77777777" w:rsidR="00FA0CFF" w:rsidRPr="004E6A4A" w:rsidRDefault="00144445">
            <w:pPr>
              <w:jc w:val="both"/>
            </w:pPr>
            <w:r w:rsidRPr="004E6A4A">
              <w:rPr>
                <w:rFonts w:ascii="Times New Roman" w:eastAsia="Times New Roman" w:hAnsi="Times New Roman" w:cs="Times New Roman"/>
                <w:sz w:val="20"/>
              </w:rPr>
              <w:t>b) një fond pensioni me pjesëmarrje të gjerë, fond pensioni me pjesëmarrje të kufizuar, fond pensioni i një organi qeveritar, organizate ndërkombëtare ose banke qendrore, ose një emetues i kualifikuar i kartave të kreditit;</w:t>
            </w:r>
          </w:p>
          <w:p w14:paraId="38CCF5A8" w14:textId="77777777" w:rsidR="00FA0CFF" w:rsidRPr="004E6A4A" w:rsidRDefault="00144445">
            <w:pPr>
              <w:jc w:val="both"/>
            </w:pPr>
            <w:r w:rsidRPr="004E6A4A">
              <w:rPr>
                <w:rFonts w:ascii="Times New Roman" w:eastAsia="Times New Roman" w:hAnsi="Times New Roman" w:cs="Times New Roman"/>
                <w:sz w:val="20"/>
              </w:rPr>
              <w:t xml:space="preserve">c) çdo njësi tjetër ekonomike që paraqet rrezik të ulët për t’u përdorur për evazion tatimor, ka karakteristika në thelb të ngjashme me njësitë ekonomike të përshkruara në shkronjat “a” dhe “b” dhe përcaktohet me akt nënligjor si institucion financiar joraportues dhe, për qëllime të profilit të Bashkimit Evropian, </w:t>
            </w:r>
            <w:r w:rsidRPr="004E6A4A">
              <w:rPr>
                <w:rFonts w:ascii="Times New Roman" w:eastAsia="Times New Roman" w:hAnsi="Times New Roman" w:cs="Times New Roman"/>
                <w:sz w:val="20"/>
              </w:rPr>
              <w:lastRenderedPageBreak/>
              <w:t>përfshihet në listën e institucioneve financiare joraportuese të përcaktuar sipas këtij ligji, me kusht që statusi i saj si institucion financiar joraportues të mos cenojë qëllimet e regjimit përkatës të raportimit dhe shkëmbimit automatik të informacionit dhe, për qëllime të zbatimit të dispozitave që lidhen me të drejtën e Bashkimit Evropian, të mos cenojë qëllimet e Direktivës 2011/16/BE, të ndryshuar;</w:t>
            </w:r>
          </w:p>
          <w:p w14:paraId="29F8F13E" w14:textId="77777777" w:rsidR="00FA0CFF" w:rsidRPr="004E6A4A" w:rsidRDefault="00144445">
            <w:pPr>
              <w:jc w:val="both"/>
            </w:pPr>
            <w:r w:rsidRPr="004E6A4A">
              <w:rPr>
                <w:rFonts w:ascii="Times New Roman" w:eastAsia="Times New Roman" w:hAnsi="Times New Roman" w:cs="Times New Roman"/>
                <w:sz w:val="20"/>
              </w:rPr>
              <w:t>ç) një instrument investimesh kolektive i përjashtuar; ose</w:t>
            </w:r>
          </w:p>
          <w:p w14:paraId="4E4BAEBD" w14:textId="77777777" w:rsidR="00FA0CFF" w:rsidRPr="004E6A4A" w:rsidRDefault="00144445">
            <w:pPr>
              <w:jc w:val="both"/>
            </w:pPr>
            <w:r w:rsidRPr="004E6A4A">
              <w:rPr>
                <w:rFonts w:ascii="Times New Roman" w:eastAsia="Times New Roman" w:hAnsi="Times New Roman" w:cs="Times New Roman"/>
                <w:sz w:val="20"/>
              </w:rPr>
              <w:t>d) një trust, në masën që administratori i besuar i trustit është një institucion financiar raportues dhe raporton të gjithë informacionin që kërkohet të raportohet në përputhje me këtë ligj në lidhje me të gjitha llogaritë e raportueshme të trustit.</w:t>
            </w:r>
          </w:p>
          <w:p w14:paraId="487B72FC" w14:textId="77777777" w:rsidR="00FA0CFF" w:rsidRPr="004E6A4A" w:rsidRDefault="00144445">
            <w:pPr>
              <w:jc w:val="both"/>
            </w:pPr>
            <w:r w:rsidRPr="004E6A4A">
              <w:rPr>
                <w:rFonts w:ascii="Times New Roman" w:eastAsia="Times New Roman" w:hAnsi="Times New Roman" w:cs="Times New Roman"/>
                <w:sz w:val="20"/>
              </w:rPr>
              <w:t>44. “Llogari e përjashtuar” është secila prej llogarive të mëposhtme:</w:t>
            </w:r>
          </w:p>
          <w:p w14:paraId="42F6FDB8" w14:textId="77777777" w:rsidR="00FA0CFF" w:rsidRPr="004E6A4A" w:rsidRDefault="00144445">
            <w:pPr>
              <w:jc w:val="both"/>
            </w:pPr>
            <w:r w:rsidRPr="004E6A4A">
              <w:rPr>
                <w:rFonts w:ascii="Times New Roman" w:eastAsia="Times New Roman" w:hAnsi="Times New Roman" w:cs="Times New Roman"/>
                <w:sz w:val="20"/>
              </w:rPr>
              <w:t>ë) çdo llogari tjetër që paraqet rrezik të ulët për t’u përdorur për evazion tatimor, ka karakteristika në thelb të ngjashme me llogaritë e përshkruara në shkronjat “a” deri “e” të kësaj pike, përfshihet në listën e llogarive të përjashtuara të përcaktuar me akt nënligjor dhe statusi i saj si Llogari e Përjashtuar nuk cenon, për profilin e Bashkimit Evropian, qëllimet e Direktivës 2011/16/BE, të ndryshuar, dhe, për profilin e Standardit të Përbashkët të Raportimit, qëllimet e Standardit.</w:t>
            </w:r>
          </w:p>
          <w:p w14:paraId="18706353" w14:textId="77777777" w:rsidR="00FA0CFF" w:rsidRPr="004E6A4A" w:rsidRDefault="00FA0CFF"/>
          <w:p w14:paraId="2A9F14B6" w14:textId="2C7BA985" w:rsidR="00FA0CFF" w:rsidRPr="004E6A4A" w:rsidRDefault="00FA0CFF">
            <w:pPr>
              <w:jc w:val="both"/>
            </w:pPr>
          </w:p>
        </w:tc>
        <w:tc>
          <w:tcPr>
            <w:tcW w:w="1620" w:type="dxa"/>
          </w:tcPr>
          <w:p w14:paraId="3DA1F960" w14:textId="2EBDE266" w:rsidR="006D0605" w:rsidRPr="004E6A4A" w:rsidRDefault="00426889"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lastRenderedPageBreak/>
              <w:t>N/A</w:t>
            </w:r>
          </w:p>
        </w:tc>
        <w:tc>
          <w:tcPr>
            <w:tcW w:w="2970" w:type="dxa"/>
          </w:tcPr>
          <w:p w14:paraId="33EA4E61"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Përputhet.</w:t>
            </w:r>
          </w:p>
          <w:p w14:paraId="3ECDA4EC"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Transpozohet nga neni 14, pika 6, i projektligjit, neni 5, pika 33, neni 5, pika 44, dhe nga neni 13, pikat 5 dhe 6, të VKM-së.</w:t>
            </w:r>
          </w:p>
        </w:tc>
      </w:tr>
      <w:tr w:rsidR="004E6A4A" w:rsidRPr="004E6A4A" w14:paraId="70952CEA" w14:textId="77777777" w:rsidTr="00153084">
        <w:trPr>
          <w:trHeight w:val="764"/>
        </w:trPr>
        <w:tc>
          <w:tcPr>
            <w:tcW w:w="630" w:type="dxa"/>
          </w:tcPr>
          <w:p w14:paraId="65B3FE7C" w14:textId="77777777" w:rsidR="006D0605" w:rsidRPr="004E6A4A" w:rsidRDefault="006D0605" w:rsidP="00C4419F">
            <w:pPr>
              <w:jc w:val="center"/>
              <w:rPr>
                <w:rFonts w:ascii="Times New Roman" w:eastAsia="Calibri" w:hAnsi="Times New Roman" w:cs="Times New Roman"/>
                <w:i/>
                <w:sz w:val="18"/>
                <w:szCs w:val="18"/>
              </w:rPr>
            </w:pPr>
          </w:p>
        </w:tc>
        <w:tc>
          <w:tcPr>
            <w:tcW w:w="4230" w:type="dxa"/>
          </w:tcPr>
          <w:p w14:paraId="723CC8B9" w14:textId="77777777" w:rsidR="008C56DE" w:rsidRPr="004E6A4A" w:rsidRDefault="00144445">
            <w:pPr>
              <w:rPr>
                <w:rFonts w:ascii="Times New Roman" w:eastAsia="Times New Roman" w:hAnsi="Times New Roman" w:cs="Times New Roman"/>
                <w:b/>
                <w:bCs/>
                <w:sz w:val="20"/>
                <w:szCs w:val="20"/>
              </w:rPr>
            </w:pPr>
            <w:r w:rsidRPr="004E6A4A">
              <w:rPr>
                <w:rFonts w:ascii="Times New Roman" w:eastAsia="Times New Roman" w:hAnsi="Times New Roman" w:cs="Times New Roman"/>
                <w:b/>
                <w:bCs/>
                <w:sz w:val="20"/>
                <w:szCs w:val="20"/>
              </w:rPr>
              <w:t>Neni 1(3) – Neni 20, paragrafi 4</w:t>
            </w:r>
          </w:p>
          <w:p w14:paraId="20ED5CFE" w14:textId="77777777" w:rsidR="008C56DE" w:rsidRPr="004E6A4A" w:rsidRDefault="00144445" w:rsidP="00C5558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ab/>
            </w:r>
          </w:p>
          <w:p w14:paraId="4D153272" w14:textId="77777777" w:rsidR="008C56DE" w:rsidRPr="004E6A4A" w:rsidRDefault="00144445" w:rsidP="00C5558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Në nenin 20, paragrafi 4 zëvendësohet me tekstin vijues:</w:t>
            </w:r>
          </w:p>
          <w:p w14:paraId="413D25C4" w14:textId="77777777" w:rsidR="008C56DE" w:rsidRPr="004E6A4A" w:rsidRDefault="00144445" w:rsidP="00C5558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 xml:space="preserve">‘4.   Shkëmbimi automatik i informacionit në zbatim të nenit 8 dërgohet duke përdorur një format standard të kompjuterizuar që synon lehtësimin e këtij shkëmbimi automatik dhe që </w:t>
            </w:r>
            <w:r w:rsidRPr="004E6A4A">
              <w:rPr>
                <w:rFonts w:ascii="Times New Roman" w:eastAsia="Times New Roman" w:hAnsi="Times New Roman" w:cs="Times New Roman"/>
                <w:sz w:val="20"/>
                <w:szCs w:val="20"/>
              </w:rPr>
              <w:lastRenderedPageBreak/>
              <w:t>bazohet në formatin ekzistues të kompjuterizuar sipas nenit 9 të Direktivës 2003/48/KE, i cili përdoret për të gjitha llojet e shkëmbimit automatik të informacionit dhe miratohet nga Komisioni në përputhje me procedurën e përmendur në nenin 26(2).’</w:t>
            </w:r>
          </w:p>
        </w:tc>
        <w:tc>
          <w:tcPr>
            <w:tcW w:w="1350" w:type="dxa"/>
          </w:tcPr>
          <w:p w14:paraId="5F89B157" w14:textId="77777777" w:rsidR="006D0605" w:rsidRPr="004E6A4A" w:rsidRDefault="006D0605" w:rsidP="00C4419F">
            <w:pPr>
              <w:jc w:val="center"/>
              <w:rPr>
                <w:rFonts w:ascii="Times New Roman" w:eastAsia="Calibri" w:hAnsi="Times New Roman" w:cs="Times New Roman"/>
                <w:sz w:val="18"/>
                <w:szCs w:val="18"/>
              </w:rPr>
            </w:pPr>
          </w:p>
        </w:tc>
        <w:tc>
          <w:tcPr>
            <w:tcW w:w="810" w:type="dxa"/>
          </w:tcPr>
          <w:p w14:paraId="40654AAB" w14:textId="77777777" w:rsidR="006D0605" w:rsidRPr="004E6A4A" w:rsidRDefault="006D0605" w:rsidP="00C4419F">
            <w:pPr>
              <w:jc w:val="center"/>
              <w:rPr>
                <w:rFonts w:ascii="Times New Roman" w:eastAsia="Times New Roman" w:hAnsi="Times New Roman" w:cs="Times New Roman"/>
                <w:sz w:val="20"/>
                <w:szCs w:val="21"/>
                <w:lang w:eastAsia="sq-AL"/>
              </w:rPr>
            </w:pPr>
          </w:p>
        </w:tc>
        <w:tc>
          <w:tcPr>
            <w:tcW w:w="4590" w:type="dxa"/>
          </w:tcPr>
          <w:p w14:paraId="61DEAEB0" w14:textId="77777777" w:rsidR="00FA0CFF" w:rsidRPr="004E6A4A" w:rsidRDefault="00144445">
            <w:pPr>
              <w:jc w:val="center"/>
            </w:pPr>
            <w:r w:rsidRPr="004E6A4A">
              <w:rPr>
                <w:rFonts w:ascii="Times New Roman" w:eastAsia="Times New Roman" w:hAnsi="Times New Roman" w:cs="Times New Roman"/>
                <w:b/>
                <w:sz w:val="20"/>
              </w:rPr>
              <w:t>VKM: Neni 12</w:t>
            </w:r>
          </w:p>
          <w:p w14:paraId="36E071A7" w14:textId="77777777" w:rsidR="00FA0CFF" w:rsidRPr="004E6A4A" w:rsidRDefault="00144445">
            <w:pPr>
              <w:jc w:val="center"/>
            </w:pPr>
            <w:r w:rsidRPr="004E6A4A">
              <w:rPr>
                <w:rFonts w:ascii="Times New Roman" w:eastAsia="Times New Roman" w:hAnsi="Times New Roman" w:cs="Times New Roman"/>
                <w:b/>
                <w:sz w:val="20"/>
              </w:rPr>
              <w:t>Shkëmbimi i informacionit mbi llogaritë e raportueshme</w:t>
            </w:r>
          </w:p>
          <w:p w14:paraId="5B74D3BB" w14:textId="77777777" w:rsidR="00FA0CFF" w:rsidRPr="004E6A4A" w:rsidRDefault="00144445">
            <w:pPr>
              <w:jc w:val="both"/>
            </w:pPr>
            <w:r w:rsidRPr="004E6A4A">
              <w:rPr>
                <w:rFonts w:ascii="Times New Roman" w:eastAsia="Times New Roman" w:hAnsi="Times New Roman" w:cs="Times New Roman"/>
                <w:sz w:val="20"/>
              </w:rPr>
              <w:t xml:space="preserve">3. Për shkëmbimet me autoritetet kompetente të shteteve anëtare të Bashkimit Evropian, DPT-ja përdor rrjetin CCN dhe formatin standard të kompjuterizuar të përcaktuar në Aneksin VI të Rregullores Zbatuese të Komisionit (BE) 2015/2378, të ndryshuar, si dhe </w:t>
            </w:r>
            <w:r w:rsidRPr="004E6A4A">
              <w:rPr>
                <w:rFonts w:ascii="Times New Roman" w:eastAsia="Times New Roman" w:hAnsi="Times New Roman" w:cs="Times New Roman"/>
                <w:sz w:val="20"/>
              </w:rPr>
              <w:lastRenderedPageBreak/>
              <w:t>rregullat e zbatueshme të Bashkimit Evropian për validimin, mesazhet e statusit, korrigjimet, zëvendësimet, drejtimin e mesazheve dhe rregullimet praktike.</w:t>
            </w:r>
          </w:p>
          <w:p w14:paraId="2BEB9263" w14:textId="77777777" w:rsidR="00FA0CFF" w:rsidRPr="004E6A4A" w:rsidRDefault="00FA0CFF"/>
          <w:p w14:paraId="075BB78F" w14:textId="5B4CEE8A" w:rsidR="00FA0CFF" w:rsidRPr="004E6A4A" w:rsidRDefault="00FA0CFF">
            <w:pPr>
              <w:jc w:val="both"/>
            </w:pPr>
          </w:p>
        </w:tc>
        <w:tc>
          <w:tcPr>
            <w:tcW w:w="1620" w:type="dxa"/>
          </w:tcPr>
          <w:p w14:paraId="3D5E861D" w14:textId="5377C6DF" w:rsidR="006D0605" w:rsidRPr="004E6A4A" w:rsidRDefault="000B32AC"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lastRenderedPageBreak/>
              <w:t>N/A</w:t>
            </w:r>
          </w:p>
        </w:tc>
        <w:tc>
          <w:tcPr>
            <w:tcW w:w="2970" w:type="dxa"/>
          </w:tcPr>
          <w:p w14:paraId="649DA963"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Përputhet.</w:t>
            </w:r>
          </w:p>
          <w:p w14:paraId="0F781CE6" w14:textId="77777777" w:rsidR="008C56DE" w:rsidRPr="004E6A4A" w:rsidRDefault="008C56DE">
            <w:pPr>
              <w:jc w:val="both"/>
              <w:rPr>
                <w:rFonts w:ascii="Times New Roman" w:eastAsia="Times New Roman" w:hAnsi="Times New Roman" w:cs="Times New Roman"/>
                <w:sz w:val="20"/>
                <w:szCs w:val="20"/>
              </w:rPr>
            </w:pPr>
          </w:p>
          <w:p w14:paraId="0DF9668B"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 xml:space="preserve">Transpozohet nga neni 23, pika 7, i projektligjit “Për bashkëpunimin administrativ në fushën e tatimeve dhe shkëmbimin e informacionit tatimor”, i cili kërkon që shkëmbimet automatike sipas </w:t>
            </w:r>
            <w:r w:rsidRPr="004E6A4A">
              <w:rPr>
                <w:rFonts w:ascii="Times New Roman" w:eastAsia="Times New Roman" w:hAnsi="Times New Roman" w:cs="Times New Roman"/>
                <w:sz w:val="20"/>
                <w:szCs w:val="20"/>
              </w:rPr>
              <w:lastRenderedPageBreak/>
              <w:t>ligjeve të posaçme që transpozojnë Direktivën 2011/16/BE të kryhen duke përdorur formularët standardë dhe formatet standarde të kompjuterizuara të miratuara nga Komisioni Evropian, dhe, për këtë projektligj,  dhe nga neni 12, pika 3, i VKM-së.</w:t>
            </w:r>
          </w:p>
        </w:tc>
      </w:tr>
      <w:tr w:rsidR="004E6A4A" w:rsidRPr="004E6A4A" w14:paraId="6C5070AD" w14:textId="77777777" w:rsidTr="00153084">
        <w:trPr>
          <w:trHeight w:val="764"/>
        </w:trPr>
        <w:tc>
          <w:tcPr>
            <w:tcW w:w="630" w:type="dxa"/>
          </w:tcPr>
          <w:p w14:paraId="25E8FFE0" w14:textId="77777777" w:rsidR="006D0605" w:rsidRPr="004E6A4A" w:rsidRDefault="006D0605" w:rsidP="00C4419F">
            <w:pPr>
              <w:jc w:val="center"/>
              <w:rPr>
                <w:rFonts w:ascii="Times New Roman" w:eastAsia="Calibri" w:hAnsi="Times New Roman" w:cs="Times New Roman"/>
                <w:i/>
                <w:sz w:val="18"/>
                <w:szCs w:val="18"/>
              </w:rPr>
            </w:pPr>
          </w:p>
        </w:tc>
        <w:tc>
          <w:tcPr>
            <w:tcW w:w="4230" w:type="dxa"/>
          </w:tcPr>
          <w:p w14:paraId="33DFA4CF" w14:textId="77777777" w:rsidR="008C56DE" w:rsidRPr="004E6A4A" w:rsidRDefault="00144445">
            <w:pPr>
              <w:rPr>
                <w:rFonts w:ascii="Times New Roman" w:eastAsia="Times New Roman" w:hAnsi="Times New Roman" w:cs="Times New Roman"/>
                <w:b/>
                <w:bCs/>
                <w:sz w:val="20"/>
                <w:szCs w:val="20"/>
              </w:rPr>
            </w:pPr>
            <w:r w:rsidRPr="004E6A4A">
              <w:rPr>
                <w:rFonts w:ascii="Times New Roman" w:eastAsia="Times New Roman" w:hAnsi="Times New Roman" w:cs="Times New Roman"/>
                <w:b/>
                <w:bCs/>
                <w:sz w:val="20"/>
                <w:szCs w:val="20"/>
              </w:rPr>
              <w:t>Neni 1(4) – Neni 21, paragrafi 2</w:t>
            </w:r>
          </w:p>
          <w:p w14:paraId="25C26986" w14:textId="77777777" w:rsidR="008C56DE" w:rsidRPr="004E6A4A" w:rsidRDefault="00144445" w:rsidP="00DE2294">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2.   Komisioni është përgjegjës për çdo zhvillim të rrjetit CCN që është i nevojshëm për të lejuar shkëmbimin e këtij informacioni ndërmjet shteteve anëtare dhe për sigurimin e sigurisë së rrjetit CCN.</w:t>
            </w:r>
          </w:p>
          <w:p w14:paraId="2E5708BB" w14:textId="77777777" w:rsidR="008C56DE" w:rsidRPr="004E6A4A" w:rsidRDefault="00144445" w:rsidP="00DE2294">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Shtetet anëtare janë përgjegjëse për çdo zhvillim të sistemeve të tyre që është i nevojshëm për të mundësuar shkëmbimin e këtij informacioni nëpërmjet rrjetit CCN dhe për sigurimin e sigurisë së sistemeve të tyre.</w:t>
            </w:r>
          </w:p>
          <w:p w14:paraId="5BF6B99C" w14:textId="77777777" w:rsidR="008C56DE" w:rsidRPr="004E6A4A" w:rsidRDefault="00144445" w:rsidP="00DE2294">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Shtetet anëtare sigurojnë që çdo Person i Raportueshëm individ të njoftohet për një shkelje të sigurisë në lidhje me të dhënat e tij, kur kjo shkelje ka gjasa të ndikojë negativisht në mbrojtjen e të dhënave të tij personale ose të privatësisë së tij.</w:t>
            </w:r>
          </w:p>
          <w:p w14:paraId="233B810C" w14:textId="77777777" w:rsidR="008C56DE" w:rsidRPr="004E6A4A" w:rsidRDefault="00144445" w:rsidP="00DE2294">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Shtetet anëtare heqin dorë nga të gjitha kërkesat për rimbursimin e shpenzimeve të kryera në zbatim të kësaj Direktive, përveçse, kur është e përshtatshme, në lidhje me tarifat e paguara ekspertëve.’</w:t>
            </w:r>
          </w:p>
        </w:tc>
        <w:tc>
          <w:tcPr>
            <w:tcW w:w="1350" w:type="dxa"/>
          </w:tcPr>
          <w:p w14:paraId="64E8099A" w14:textId="77777777" w:rsidR="006D0605" w:rsidRPr="004E6A4A" w:rsidRDefault="006D0605" w:rsidP="00C4419F">
            <w:pPr>
              <w:jc w:val="center"/>
              <w:rPr>
                <w:rFonts w:ascii="Times New Roman" w:eastAsia="Calibri" w:hAnsi="Times New Roman" w:cs="Times New Roman"/>
                <w:sz w:val="18"/>
                <w:szCs w:val="18"/>
              </w:rPr>
            </w:pPr>
          </w:p>
        </w:tc>
        <w:tc>
          <w:tcPr>
            <w:tcW w:w="810" w:type="dxa"/>
          </w:tcPr>
          <w:p w14:paraId="34C55374" w14:textId="77777777" w:rsidR="006D0605" w:rsidRPr="004E6A4A" w:rsidRDefault="006D0605" w:rsidP="00C4419F">
            <w:pPr>
              <w:jc w:val="center"/>
              <w:rPr>
                <w:rFonts w:ascii="Times New Roman" w:eastAsia="Times New Roman" w:hAnsi="Times New Roman" w:cs="Times New Roman"/>
                <w:sz w:val="20"/>
                <w:szCs w:val="21"/>
                <w:lang w:eastAsia="sq-AL"/>
              </w:rPr>
            </w:pPr>
          </w:p>
        </w:tc>
        <w:tc>
          <w:tcPr>
            <w:tcW w:w="4590" w:type="dxa"/>
          </w:tcPr>
          <w:p w14:paraId="3CD26800" w14:textId="77777777" w:rsidR="00FA0CFF" w:rsidRPr="004E6A4A" w:rsidRDefault="00144445">
            <w:pPr>
              <w:jc w:val="center"/>
            </w:pPr>
            <w:r w:rsidRPr="004E6A4A">
              <w:rPr>
                <w:rFonts w:ascii="Times New Roman" w:eastAsia="Times New Roman" w:hAnsi="Times New Roman" w:cs="Times New Roman"/>
                <w:sz w:val="20"/>
              </w:rPr>
              <w:t>N/A</w:t>
            </w:r>
          </w:p>
        </w:tc>
        <w:tc>
          <w:tcPr>
            <w:tcW w:w="1620" w:type="dxa"/>
          </w:tcPr>
          <w:p w14:paraId="7C0B2A04" w14:textId="150017B4" w:rsidR="006D0605" w:rsidRPr="004E6A4A" w:rsidRDefault="000B32AC"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N/A</w:t>
            </w:r>
          </w:p>
        </w:tc>
        <w:tc>
          <w:tcPr>
            <w:tcW w:w="2970" w:type="dxa"/>
          </w:tcPr>
          <w:p w14:paraId="6EEC9C24"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Përputhet.</w:t>
            </w:r>
          </w:p>
          <w:p w14:paraId="062F109C" w14:textId="77777777" w:rsidR="008C56DE" w:rsidRPr="004E6A4A" w:rsidRDefault="008C56DE">
            <w:pPr>
              <w:jc w:val="both"/>
              <w:rPr>
                <w:rFonts w:ascii="Times New Roman" w:eastAsia="Times New Roman" w:hAnsi="Times New Roman" w:cs="Times New Roman"/>
                <w:sz w:val="20"/>
                <w:szCs w:val="20"/>
              </w:rPr>
            </w:pPr>
          </w:p>
          <w:p w14:paraId="569CEA24"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Nënparagrafi i parë nuk kërkon transpozim, pasi përcakton përgjegjësinë e Komisionit Evropian për zhvillimin dhe sigurinë e rrjetit CCN. Nënparagrafi i dytë transpozohet nga neni 24, pikat 1, 2 dhe 3, të projektligjit “Për bashkëpunimin administrativ në fushën e tatimeve dhe shkëmbimin e informacionit tatimor” dhe, për këtë projektligj. Nënparagrafi i tretë transpozohet nga neni 22, pika 9, i atij projektligji, të cilit i referohet neni 20 i këtij projektligji. Nënparagrafi i katërt transpozohet nga neni 25, pika 6, i atij projektligji.</w:t>
            </w:r>
          </w:p>
        </w:tc>
      </w:tr>
      <w:tr w:rsidR="004E6A4A" w:rsidRPr="004E6A4A" w14:paraId="615EC748" w14:textId="77777777" w:rsidTr="00153084">
        <w:trPr>
          <w:trHeight w:val="764"/>
        </w:trPr>
        <w:tc>
          <w:tcPr>
            <w:tcW w:w="630" w:type="dxa"/>
          </w:tcPr>
          <w:p w14:paraId="64FF884B" w14:textId="77777777" w:rsidR="006D0605" w:rsidRPr="004E6A4A" w:rsidRDefault="006D0605" w:rsidP="00C4419F">
            <w:pPr>
              <w:jc w:val="center"/>
              <w:rPr>
                <w:rFonts w:ascii="Times New Roman" w:eastAsia="Calibri" w:hAnsi="Times New Roman" w:cs="Times New Roman"/>
                <w:i/>
                <w:sz w:val="18"/>
                <w:szCs w:val="18"/>
              </w:rPr>
            </w:pPr>
          </w:p>
        </w:tc>
        <w:tc>
          <w:tcPr>
            <w:tcW w:w="4230" w:type="dxa"/>
          </w:tcPr>
          <w:p w14:paraId="5CCF4D21" w14:textId="77777777" w:rsidR="008C56DE" w:rsidRPr="004E6A4A" w:rsidRDefault="00144445">
            <w:pPr>
              <w:rPr>
                <w:rFonts w:ascii="Times New Roman" w:eastAsia="Times New Roman" w:hAnsi="Times New Roman" w:cs="Times New Roman"/>
                <w:b/>
                <w:bCs/>
                <w:sz w:val="20"/>
                <w:szCs w:val="20"/>
              </w:rPr>
            </w:pPr>
            <w:r w:rsidRPr="004E6A4A">
              <w:rPr>
                <w:rFonts w:ascii="Times New Roman" w:eastAsia="Times New Roman" w:hAnsi="Times New Roman" w:cs="Times New Roman"/>
                <w:b/>
                <w:bCs/>
                <w:sz w:val="20"/>
                <w:szCs w:val="20"/>
              </w:rPr>
              <w:t>Neni 1(5) – Neni 25, paragrafët 2–4</w:t>
            </w:r>
          </w:p>
          <w:p w14:paraId="17CED3F7" w14:textId="77777777" w:rsidR="008C56DE" w:rsidRPr="004E6A4A" w:rsidRDefault="008C56DE">
            <w:pPr>
              <w:jc w:val="both"/>
              <w:rPr>
                <w:rFonts w:ascii="Times New Roman" w:eastAsia="Times New Roman" w:hAnsi="Times New Roman" w:cs="Times New Roman"/>
                <w:sz w:val="20"/>
                <w:szCs w:val="20"/>
              </w:rPr>
            </w:pPr>
          </w:p>
          <w:p w14:paraId="74A67090" w14:textId="77777777" w:rsidR="008C56DE" w:rsidRPr="004E6A4A" w:rsidRDefault="00144445" w:rsidP="00DE2294">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Neni 25 ndryshohet si më poshtë:</w:t>
            </w:r>
          </w:p>
          <w:p w14:paraId="3039293E" w14:textId="77777777" w:rsidR="008C56DE" w:rsidRPr="004E6A4A" w:rsidRDefault="00144445" w:rsidP="00DE2294">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(a)</w:t>
            </w:r>
          </w:p>
          <w:p w14:paraId="1BEFFCC7" w14:textId="77777777" w:rsidR="008C56DE" w:rsidRPr="004E6A4A" w:rsidRDefault="00144445" w:rsidP="00DE2294">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teksti aktual i nenit 25 bëhet paragrafi 1;</w:t>
            </w:r>
          </w:p>
          <w:p w14:paraId="60C11C2F" w14:textId="77777777" w:rsidR="008C56DE" w:rsidRPr="004E6A4A" w:rsidRDefault="00144445" w:rsidP="00DE2294">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(b)</w:t>
            </w:r>
          </w:p>
          <w:p w14:paraId="6B631242" w14:textId="77777777" w:rsidR="008C56DE" w:rsidRPr="004E6A4A" w:rsidRDefault="00144445" w:rsidP="00DE2294">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shtohen paragrafët vijues:</w:t>
            </w:r>
          </w:p>
          <w:p w14:paraId="52C0705A" w14:textId="77777777" w:rsidR="008C56DE" w:rsidRPr="004E6A4A" w:rsidRDefault="00144445" w:rsidP="00DE2294">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lastRenderedPageBreak/>
              <w:t>‘2.   Institucionet Financiare Raportuese dhe autoritetet kompetente të çdo shteti anëtar konsiderohen kontrollues të të dhënave për qëllimet e Direktivës 95/46/KE.</w:t>
            </w:r>
          </w:p>
          <w:p w14:paraId="3BA308A2" w14:textId="77777777" w:rsidR="008C56DE" w:rsidRPr="004E6A4A" w:rsidRDefault="00144445" w:rsidP="00DE2294">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3.   Pavarësisht nga paragrafi 1, çdo shtet anëtar siguron që çdo Institucion Financiar Raportues nën juridiksionin e tij të informojë çdo Person të Raportueshëm individ të interesuar se informacioni që lidhet me të, i përmendur në nenin 8(3a), do të mblidhet dhe do të transferohet në përputhje me këtë Direktivë dhe siguron që Institucioni Financiar Raportues t’i japë atij individi të gjithë informacionin të cilin ai ka të drejtë ta marrë sipas legjislacionit të tij të brendshëm që zbaton Direktivën 95/46/KE, në kohë të mjaftueshme që individi të ushtrojë të drejtat e tij për mbrojtjen e të dhënave dhe, në çdo rast, përpara se Institucioni Financiar Raportues përkatës t’ia raportojë informacionin e përmendur në nenin 8(3a) autoritetit kompetent të shtetit anëtar të rezidencës së tij.</w:t>
            </w:r>
          </w:p>
          <w:p w14:paraId="788F03D1" w14:textId="77777777" w:rsidR="008C56DE" w:rsidRPr="004E6A4A" w:rsidRDefault="00144445" w:rsidP="00DE2294">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4.   Informacioni i përpunuar në përputhje me këtë Direktivë ruhet jo më gjatë se sa është e nevojshme për arritjen e qëllimeve të kësaj Direktive dhe, në çdo rast, në përputhje me rregullat e brendshme të çdo kontrolluesi të të dhënave për afatet e parashkrimit.’</w:t>
            </w:r>
          </w:p>
        </w:tc>
        <w:tc>
          <w:tcPr>
            <w:tcW w:w="1350" w:type="dxa"/>
          </w:tcPr>
          <w:p w14:paraId="7501A11B" w14:textId="77777777" w:rsidR="006D0605" w:rsidRPr="004E6A4A" w:rsidRDefault="006D0605" w:rsidP="00C4419F">
            <w:pPr>
              <w:jc w:val="center"/>
              <w:rPr>
                <w:rFonts w:ascii="Times New Roman" w:eastAsia="Calibri" w:hAnsi="Times New Roman" w:cs="Times New Roman"/>
                <w:sz w:val="18"/>
                <w:szCs w:val="18"/>
              </w:rPr>
            </w:pPr>
          </w:p>
        </w:tc>
        <w:tc>
          <w:tcPr>
            <w:tcW w:w="810" w:type="dxa"/>
          </w:tcPr>
          <w:p w14:paraId="5A8E8078" w14:textId="77777777" w:rsidR="006D0605" w:rsidRPr="004E6A4A" w:rsidRDefault="006D0605" w:rsidP="00C4419F">
            <w:pPr>
              <w:jc w:val="center"/>
              <w:rPr>
                <w:rFonts w:ascii="Times New Roman" w:eastAsia="Times New Roman" w:hAnsi="Times New Roman" w:cs="Times New Roman"/>
                <w:sz w:val="20"/>
                <w:szCs w:val="21"/>
                <w:lang w:eastAsia="sq-AL"/>
              </w:rPr>
            </w:pPr>
          </w:p>
        </w:tc>
        <w:tc>
          <w:tcPr>
            <w:tcW w:w="4590" w:type="dxa"/>
          </w:tcPr>
          <w:p w14:paraId="21926862" w14:textId="77777777" w:rsidR="00FA0CFF" w:rsidRPr="004E6A4A" w:rsidRDefault="00144445">
            <w:pPr>
              <w:jc w:val="center"/>
            </w:pPr>
            <w:r w:rsidRPr="004E6A4A">
              <w:rPr>
                <w:rFonts w:ascii="Times New Roman" w:eastAsia="Times New Roman" w:hAnsi="Times New Roman" w:cs="Times New Roman"/>
                <w:b/>
                <w:sz w:val="20"/>
              </w:rPr>
              <w:t>Ligji: Neni 20</w:t>
            </w:r>
          </w:p>
          <w:p w14:paraId="08BB2A08" w14:textId="77777777" w:rsidR="00FA0CFF" w:rsidRPr="004E6A4A" w:rsidRDefault="00144445">
            <w:pPr>
              <w:jc w:val="center"/>
            </w:pPr>
            <w:r w:rsidRPr="004E6A4A">
              <w:rPr>
                <w:rFonts w:ascii="Times New Roman" w:eastAsia="Times New Roman" w:hAnsi="Times New Roman" w:cs="Times New Roman"/>
                <w:b/>
                <w:sz w:val="20"/>
              </w:rPr>
              <w:t>Mbrojtja e të dhënave</w:t>
            </w:r>
          </w:p>
          <w:p w14:paraId="0F4831C0" w14:textId="77777777" w:rsidR="00FA0CFF" w:rsidRPr="004E6A4A" w:rsidRDefault="00144445">
            <w:pPr>
              <w:jc w:val="both"/>
            </w:pPr>
            <w:r w:rsidRPr="004E6A4A">
              <w:rPr>
                <w:rFonts w:ascii="Times New Roman" w:eastAsia="Times New Roman" w:hAnsi="Times New Roman" w:cs="Times New Roman"/>
                <w:sz w:val="20"/>
              </w:rPr>
              <w:t xml:space="preserve">1. Për mbledhjen, përpunimin, raportimin dhe shkëmbimin e të dhënave sipas Direktivës 2011/16/BE, të ndryshuar, zbatohen dispozitat për mbrojtjen e të dhënave personale dhe shkeljet e të dhënave të ligjit ‘Për bashkëpunimin administrativ në fushën e tatimeve </w:t>
            </w:r>
            <w:r w:rsidRPr="004E6A4A">
              <w:rPr>
                <w:rFonts w:ascii="Times New Roman" w:eastAsia="Times New Roman" w:hAnsi="Times New Roman" w:cs="Times New Roman"/>
                <w:sz w:val="20"/>
              </w:rPr>
              <w:lastRenderedPageBreak/>
              <w:t>dhe shkëmbimin e informacionit tatimor’. Për shkëmbimet me juridiksionet e tjera zbatohen legjislacioni kombëtar për mbrojtjen e të dhënave personale dhe instrumenti ndërkombëtar përkatës.</w:t>
            </w:r>
          </w:p>
          <w:p w14:paraId="5FA9591B" w14:textId="77777777" w:rsidR="00FA0CFF" w:rsidRPr="004E6A4A" w:rsidRDefault="00FA0CFF"/>
          <w:p w14:paraId="7ECC5026" w14:textId="77777777" w:rsidR="00FA0CFF" w:rsidRPr="004E6A4A" w:rsidRDefault="00144445">
            <w:pPr>
              <w:jc w:val="center"/>
            </w:pPr>
            <w:r w:rsidRPr="004E6A4A">
              <w:rPr>
                <w:rFonts w:ascii="Times New Roman" w:eastAsia="Times New Roman" w:hAnsi="Times New Roman" w:cs="Times New Roman"/>
                <w:b/>
                <w:sz w:val="20"/>
              </w:rPr>
              <w:t>Ligji: Neni 7</w:t>
            </w:r>
          </w:p>
          <w:p w14:paraId="7F2BBEDB" w14:textId="77777777" w:rsidR="00FA0CFF" w:rsidRPr="004E6A4A" w:rsidRDefault="00144445">
            <w:pPr>
              <w:jc w:val="center"/>
            </w:pPr>
            <w:r w:rsidRPr="004E6A4A">
              <w:rPr>
                <w:rFonts w:ascii="Times New Roman" w:eastAsia="Times New Roman" w:hAnsi="Times New Roman" w:cs="Times New Roman"/>
                <w:b/>
                <w:sz w:val="20"/>
              </w:rPr>
              <w:t>Vigjilenca e duhur</w:t>
            </w:r>
          </w:p>
          <w:p w14:paraId="4C45DDE8" w14:textId="77777777" w:rsidR="00FA0CFF" w:rsidRPr="004E6A4A" w:rsidRDefault="00144445">
            <w:pPr>
              <w:jc w:val="both"/>
            </w:pPr>
            <w:r w:rsidRPr="004E6A4A">
              <w:rPr>
                <w:rFonts w:ascii="Times New Roman" w:eastAsia="Times New Roman" w:hAnsi="Times New Roman" w:cs="Times New Roman"/>
                <w:sz w:val="20"/>
              </w:rPr>
              <w:t>10. Institucioni financiar raportues informon çdo individ të interesuar se informacioni që lidhet me të do të mblidhet, përpunohet dhe transmetohet për qëllimet e këtij ligji dhe i jep informacionin që i takon nga kontrolluesi i të dhënave në kohë të mjaftueshme për ushtrimin e të drejtave të tij dhe, në çdo rast, përpara raportimit të informacionit, në përputhje me legjislacionin për mbrojtjen e të dhënave personale.</w:t>
            </w:r>
          </w:p>
        </w:tc>
        <w:tc>
          <w:tcPr>
            <w:tcW w:w="1620" w:type="dxa"/>
          </w:tcPr>
          <w:p w14:paraId="2AC60FBC" w14:textId="77777777" w:rsidR="008820CF" w:rsidRPr="004E6A4A" w:rsidRDefault="008820CF" w:rsidP="00C4419F">
            <w:pPr>
              <w:jc w:val="center"/>
              <w:rPr>
                <w:rFonts w:ascii="Times New Roman" w:eastAsia="Calibri" w:hAnsi="Times New Roman" w:cs="Times New Roman"/>
                <w:sz w:val="18"/>
                <w:szCs w:val="18"/>
              </w:rPr>
            </w:pPr>
          </w:p>
          <w:p w14:paraId="57CA0F90" w14:textId="7AACEECE" w:rsidR="006D0605" w:rsidRPr="004E6A4A" w:rsidRDefault="006D0605" w:rsidP="00C4419F">
            <w:pPr>
              <w:jc w:val="center"/>
              <w:rPr>
                <w:rFonts w:ascii="Times New Roman" w:eastAsia="Calibri" w:hAnsi="Times New Roman" w:cs="Times New Roman"/>
                <w:sz w:val="18"/>
                <w:szCs w:val="18"/>
              </w:rPr>
            </w:pPr>
          </w:p>
        </w:tc>
        <w:tc>
          <w:tcPr>
            <w:tcW w:w="2970" w:type="dxa"/>
          </w:tcPr>
          <w:p w14:paraId="2F5EDAFC"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Përputhet.</w:t>
            </w:r>
          </w:p>
          <w:p w14:paraId="6503B6E2"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 xml:space="preserve">Transpozohet nga neni 22 i projektligjit “Për bashkëpunimin administrativ në fushën e tatimeve dhe shkëmbimin e informacionit tatimor” dhe, për këtë projektligj, </w:t>
            </w:r>
            <w:r w:rsidRPr="004E6A4A">
              <w:rPr>
                <w:rFonts w:ascii="Times New Roman" w:eastAsia="Times New Roman" w:hAnsi="Times New Roman" w:cs="Times New Roman"/>
                <w:sz w:val="20"/>
                <w:szCs w:val="20"/>
              </w:rPr>
              <w:lastRenderedPageBreak/>
              <w:t>nga neni 20 dhe nga neni 12, pika 7, i VKM-së.</w:t>
            </w:r>
          </w:p>
        </w:tc>
      </w:tr>
      <w:tr w:rsidR="004E6A4A" w:rsidRPr="004E6A4A" w14:paraId="60FDAA90" w14:textId="77777777" w:rsidTr="00153084">
        <w:trPr>
          <w:trHeight w:val="764"/>
        </w:trPr>
        <w:tc>
          <w:tcPr>
            <w:tcW w:w="630" w:type="dxa"/>
          </w:tcPr>
          <w:p w14:paraId="0C100CF8" w14:textId="77777777" w:rsidR="006D0605" w:rsidRPr="004E6A4A" w:rsidRDefault="006D0605" w:rsidP="00C4419F">
            <w:pPr>
              <w:jc w:val="center"/>
              <w:rPr>
                <w:rFonts w:ascii="Times New Roman" w:eastAsia="Calibri" w:hAnsi="Times New Roman" w:cs="Times New Roman"/>
                <w:i/>
                <w:sz w:val="18"/>
                <w:szCs w:val="18"/>
              </w:rPr>
            </w:pPr>
          </w:p>
        </w:tc>
        <w:tc>
          <w:tcPr>
            <w:tcW w:w="4230" w:type="dxa"/>
          </w:tcPr>
          <w:p w14:paraId="5A8BE4ED" w14:textId="77777777" w:rsidR="008C56DE" w:rsidRPr="004E6A4A" w:rsidRDefault="00144445">
            <w:pPr>
              <w:rPr>
                <w:rFonts w:ascii="Times New Roman" w:eastAsia="Times New Roman" w:hAnsi="Times New Roman" w:cs="Times New Roman"/>
                <w:b/>
                <w:bCs/>
                <w:sz w:val="20"/>
                <w:szCs w:val="20"/>
              </w:rPr>
            </w:pPr>
            <w:r w:rsidRPr="004E6A4A">
              <w:rPr>
                <w:rFonts w:ascii="Times New Roman" w:eastAsia="Times New Roman" w:hAnsi="Times New Roman" w:cs="Times New Roman"/>
                <w:b/>
                <w:bCs/>
                <w:sz w:val="20"/>
                <w:szCs w:val="20"/>
              </w:rPr>
              <w:t>Neni 1(6)</w:t>
            </w:r>
          </w:p>
          <w:p w14:paraId="43DA365C"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ANEKSI I</w:t>
            </w:r>
          </w:p>
          <w:p w14:paraId="25642E3B"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RREGULLAT E RAPORTIMIT DHE TË VIGJILENCËS SË DUHUR PËR INFORMACIONIN E LLOGARIVE FINANCIARE</w:t>
            </w:r>
          </w:p>
          <w:p w14:paraId="0F4E59DD"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 xml:space="preserve">Ky Aneks përcakton rregullat e raportimit dhe të vigjilencës së duhur që duhet të zbatohen nga Institucionet Financiare Raportuese me qëllim që t’u mundësohet shteteve anëtare të komunikojnë, </w:t>
            </w:r>
            <w:r w:rsidRPr="004E6A4A">
              <w:rPr>
                <w:rFonts w:ascii="Times New Roman" w:eastAsia="Times New Roman" w:hAnsi="Times New Roman" w:cs="Times New Roman"/>
                <w:sz w:val="20"/>
                <w:szCs w:val="20"/>
              </w:rPr>
              <w:lastRenderedPageBreak/>
              <w:t>nëpërmjet shkëmbimit automatik, informacionin e përmendur në nenin 8(3a) të kësaj Direktive. Ky Aneks përshkruan gjithashtu rregullat dhe procedurat administrative që shtetet anëtare duhet të kenë në fuqi për të siguruar zbatimin efektiv dhe respektimin e procedurave të raportimit dhe të vigjilencës së duhur të përcaktuara më poshtë.</w:t>
            </w:r>
          </w:p>
          <w:p w14:paraId="4BDA3140" w14:textId="77777777" w:rsidR="008C56DE" w:rsidRPr="004E6A4A" w:rsidRDefault="008C56DE">
            <w:pPr>
              <w:jc w:val="both"/>
              <w:rPr>
                <w:rFonts w:ascii="Times New Roman" w:eastAsia="Times New Roman" w:hAnsi="Times New Roman" w:cs="Times New Roman"/>
                <w:sz w:val="20"/>
                <w:szCs w:val="20"/>
              </w:rPr>
            </w:pPr>
          </w:p>
          <w:p w14:paraId="0CA04669" w14:textId="77777777" w:rsidR="008C56DE" w:rsidRPr="004E6A4A" w:rsidRDefault="008C56DE">
            <w:pPr>
              <w:jc w:val="both"/>
              <w:rPr>
                <w:rFonts w:ascii="Times New Roman" w:eastAsia="Times New Roman" w:hAnsi="Times New Roman" w:cs="Times New Roman"/>
                <w:sz w:val="20"/>
                <w:szCs w:val="20"/>
              </w:rPr>
            </w:pPr>
          </w:p>
          <w:p w14:paraId="7BB9DBAB" w14:textId="77777777" w:rsidR="008C56DE" w:rsidRPr="004E6A4A" w:rsidRDefault="00144445">
            <w:pPr>
              <w:jc w:val="both"/>
              <w:rPr>
                <w:rFonts w:ascii="Times New Roman" w:eastAsia="Times New Roman" w:hAnsi="Times New Roman" w:cs="Times New Roman"/>
                <w:b/>
                <w:bCs/>
                <w:sz w:val="20"/>
                <w:szCs w:val="20"/>
              </w:rPr>
            </w:pPr>
            <w:r w:rsidRPr="004E6A4A">
              <w:rPr>
                <w:rFonts w:ascii="Times New Roman" w:eastAsia="Times New Roman" w:hAnsi="Times New Roman" w:cs="Times New Roman"/>
                <w:b/>
                <w:bCs/>
                <w:sz w:val="20"/>
                <w:szCs w:val="20"/>
              </w:rPr>
              <w:t>Aneksi I,  Seksioni I,  Paragrafi A</w:t>
            </w:r>
          </w:p>
          <w:p w14:paraId="242D31CC"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A.</w:t>
            </w:r>
            <w:r w:rsidRPr="004E6A4A">
              <w:rPr>
                <w:rFonts w:ascii="Times New Roman" w:eastAsia="Times New Roman" w:hAnsi="Times New Roman" w:cs="Times New Roman"/>
                <w:sz w:val="20"/>
                <w:szCs w:val="20"/>
              </w:rPr>
              <w:tab/>
              <w:t>Në varësi të paragrafëve C deri në F, çdo Institucion Financiar Raportues i raporton autoritetit kompetent të shtetit të tij anëtar, në lidhje me çdo Llogari të Raportueshme të këtij Institucioni Financiar Raportues:</w:t>
            </w:r>
          </w:p>
          <w:p w14:paraId="74DC308E"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1. informacionin vijues:</w:t>
            </w:r>
          </w:p>
          <w:p w14:paraId="3E3FA26F"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(a) emrin, adresën, shtetin ose shtetet anëtare të rezidencës, TIN-in ose TIN-et dhe datën dhe vendin e lindjes (në rastin e një individi) të çdo Personi të Raportueshëm që është Mbajtës i Llogarisë dhe nëse Mbajtësi i Llogarisë ka dhënë një vetëdeklarim të vlefshëm;</w:t>
            </w:r>
          </w:p>
          <w:p w14:paraId="2A475710"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 xml:space="preserve">(b) në rastin e çdo Njësie Ekonomike që është Mbajtëse e Llogarisë dhe që, pas zbatimit të procedurave të vigjilencës së duhur në përputhje me Seksionet V, VI dhe VII, identifikohet se ka një ose më shumë Persona Kontrollues që janë Persona të Raportueshëm, emrin, adresën, shtetin ose shtetet anëtare dhe (nëse ka) juridiksionin ose juridiksionet e tjera të rezidencës dhe TIN-in ose TIN-et e Njësisë Ekonomike dhe emrin, adresën, shtetin ose shtetet anëtare të rezidencës, TIN-in ose TIN-et dhe datën dhe vendin e lindjes së çdo Personi të Raportueshëm, si dhe rolin ose rolet për shkak të të cilave çdo Person i Raportueshëm është Person Kontrollues i Njësisë Ekonomike dhe nëse </w:t>
            </w:r>
            <w:r w:rsidRPr="004E6A4A">
              <w:rPr>
                <w:rFonts w:ascii="Times New Roman" w:eastAsia="Times New Roman" w:hAnsi="Times New Roman" w:cs="Times New Roman"/>
                <w:sz w:val="20"/>
                <w:szCs w:val="20"/>
              </w:rPr>
              <w:lastRenderedPageBreak/>
              <w:t>është dhënë një vetëdeklarim i vlefshëm për çdo Person të Raportueshëm;</w:t>
            </w:r>
          </w:p>
          <w:p w14:paraId="0DE3D962"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 nëse llogaria është llogari e përbashkët, përfshirë numrin e Mbajtësve të përbashkët të Llogarisë;</w:t>
            </w:r>
          </w:p>
          <w:p w14:paraId="79172C89"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2.</w:t>
            </w:r>
            <w:r w:rsidRPr="004E6A4A">
              <w:rPr>
                <w:rFonts w:ascii="Times New Roman" w:eastAsia="Times New Roman" w:hAnsi="Times New Roman" w:cs="Times New Roman"/>
                <w:sz w:val="20"/>
                <w:szCs w:val="20"/>
              </w:rPr>
              <w:tab/>
              <w:t>numrin e llogarisë (ose ekuivalentin funksional në mungesë të një numri llogarie), llojin e llogarisë dhe nëse llogaria është Llogari Paraekzistuese apo Llogari e Re;</w:t>
            </w:r>
          </w:p>
          <w:p w14:paraId="09147CDB"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3.</w:t>
            </w:r>
            <w:r w:rsidRPr="004E6A4A">
              <w:rPr>
                <w:rFonts w:ascii="Times New Roman" w:eastAsia="Times New Roman" w:hAnsi="Times New Roman" w:cs="Times New Roman"/>
                <w:sz w:val="20"/>
                <w:szCs w:val="20"/>
              </w:rPr>
              <w:tab/>
              <w:t>emrin dhe numrin identifikues (nëse ka) të Institucionit Financiar Raportues;</w:t>
            </w:r>
          </w:p>
          <w:p w14:paraId="7206A569"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4.</w:t>
            </w:r>
            <w:r w:rsidRPr="004E6A4A">
              <w:rPr>
                <w:rFonts w:ascii="Times New Roman" w:eastAsia="Times New Roman" w:hAnsi="Times New Roman" w:cs="Times New Roman"/>
                <w:sz w:val="20"/>
                <w:szCs w:val="20"/>
              </w:rPr>
              <w:tab/>
              <w:t>gjendjen ose vlerën e llogarisë (përfshirë, në rastin e një Kontrate Sigurimi në Vlerë në Para të Gatshme ose Kontrate Pensioni Vjetor, Vlerën në Para të Gatshme ose vlerën e shlyerjes) në fund të vitit kalendarik përkatës ose të periudhës tjetër të përshtatshme raportuese ose, nëse llogaria është mbyllur gjatë këtij viti ose kësaj periudhe, mbylljen e llogarisë;</w:t>
            </w:r>
          </w:p>
          <w:p w14:paraId="0404B4C5"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5.</w:t>
            </w:r>
            <w:r w:rsidRPr="004E6A4A">
              <w:rPr>
                <w:rFonts w:ascii="Times New Roman" w:eastAsia="Times New Roman" w:hAnsi="Times New Roman" w:cs="Times New Roman"/>
                <w:sz w:val="20"/>
                <w:szCs w:val="20"/>
              </w:rPr>
              <w:tab/>
              <w:t>në rastin e çdo Llogarie Kujdestarie:</w:t>
            </w:r>
          </w:p>
          <w:p w14:paraId="4397945A"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(a)</w:t>
            </w:r>
            <w:r w:rsidRPr="004E6A4A">
              <w:rPr>
                <w:rFonts w:ascii="Times New Roman" w:eastAsia="Times New Roman" w:hAnsi="Times New Roman" w:cs="Times New Roman"/>
                <w:sz w:val="20"/>
                <w:szCs w:val="20"/>
              </w:rPr>
              <w:tab/>
              <w:t>shumën totale bruto të interesit, shumën totale bruto të dividendëve dhe shumën totale bruto të të ardhurave të tjera të krijuara në lidhje me aktivet e mbajtura në llogari, në secilin rast të paguara ose të kredituara në llogari (ose në lidhje me llogarinë) gjatë vitit kalendarik ose periudhës tjetër të përshtatshme raportuese; dhe</w:t>
            </w:r>
          </w:p>
          <w:p w14:paraId="29230FAC"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(b)</w:t>
            </w:r>
            <w:r w:rsidRPr="004E6A4A">
              <w:rPr>
                <w:rFonts w:ascii="Times New Roman" w:eastAsia="Times New Roman" w:hAnsi="Times New Roman" w:cs="Times New Roman"/>
                <w:sz w:val="20"/>
                <w:szCs w:val="20"/>
              </w:rPr>
              <w:tab/>
              <w:t>të ardhurat totale bruto nga shitja ose shlyerja e Aktiveve Financiare të paguara ose të kredituara në llogari gjatë vitit kalendarik ose periudhës tjetër të përshtatshme raportuese, në lidhje me të cilat Institucioni Financiar Raportues ka vepruar si kujdestar, ndërmjetës, i emëruar ose në cilësi tjetër si agjent i Mbajtësit të Llogarisë;</w:t>
            </w:r>
          </w:p>
          <w:p w14:paraId="411CFE32"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6.</w:t>
            </w:r>
            <w:r w:rsidRPr="004E6A4A">
              <w:rPr>
                <w:rFonts w:ascii="Times New Roman" w:eastAsia="Times New Roman" w:hAnsi="Times New Roman" w:cs="Times New Roman"/>
                <w:sz w:val="20"/>
                <w:szCs w:val="20"/>
              </w:rPr>
              <w:tab/>
              <w:t xml:space="preserve">në rastin e çdo Llogarie Depozite, shumën totale bruto të interesit të paguar ose të </w:t>
            </w:r>
            <w:r w:rsidRPr="004E6A4A">
              <w:rPr>
                <w:rFonts w:ascii="Times New Roman" w:eastAsia="Times New Roman" w:hAnsi="Times New Roman" w:cs="Times New Roman"/>
                <w:sz w:val="20"/>
                <w:szCs w:val="20"/>
              </w:rPr>
              <w:lastRenderedPageBreak/>
              <w:t>kredituar në llogari gjatë vitit kalendarik ose periudhës tjetër të përshtatshme raportuese;</w:t>
            </w:r>
          </w:p>
          <w:p w14:paraId="10508D4C"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6a. në rastin e çdo Interesi në Kapital të mbajtur në një Njësi Ekonomike Investimi që është strukturë juridike, rolin ose rolet për shkak të të cilave Personi i Raportueshëm është mbajtës i Interesit në Kapital; dhe</w:t>
            </w:r>
          </w:p>
          <w:p w14:paraId="7D495ADF"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7.</w:t>
            </w:r>
            <w:r w:rsidRPr="004E6A4A">
              <w:rPr>
                <w:rFonts w:ascii="Times New Roman" w:eastAsia="Times New Roman" w:hAnsi="Times New Roman" w:cs="Times New Roman"/>
                <w:sz w:val="20"/>
                <w:szCs w:val="20"/>
              </w:rPr>
              <w:tab/>
              <w:t>në rastin e çdo llogarie që nuk përshkruhet në nënparagrafin A(5) ose (6), shumën totale bruto të paguar ose të kredituar Mbajtësit të Llogarisë në lidhje me llogarinë gjatë vitit kalendarik ose periudhës tjetër të përshtatshme raportuese, për të cilën Institucioni Financiar Raportues është detyrues ose debitor, përfshirë shumën e përgjithshme të çdo pagese shlyerjeje të bërë Mbajtësit të Llogarisë gjatë vitit kalendarik ose periudhës tjetër të përshtatshme raportuese.</w:t>
            </w:r>
          </w:p>
        </w:tc>
        <w:tc>
          <w:tcPr>
            <w:tcW w:w="1350" w:type="dxa"/>
          </w:tcPr>
          <w:p w14:paraId="2B0FEA5B" w14:textId="77777777" w:rsidR="006D0605" w:rsidRPr="004E6A4A" w:rsidRDefault="006D0605" w:rsidP="00C4419F">
            <w:pPr>
              <w:jc w:val="center"/>
              <w:rPr>
                <w:rFonts w:ascii="Times New Roman" w:eastAsia="Calibri" w:hAnsi="Times New Roman" w:cs="Times New Roman"/>
                <w:sz w:val="18"/>
                <w:szCs w:val="18"/>
              </w:rPr>
            </w:pPr>
          </w:p>
        </w:tc>
        <w:tc>
          <w:tcPr>
            <w:tcW w:w="810" w:type="dxa"/>
          </w:tcPr>
          <w:p w14:paraId="1C9E6FB1" w14:textId="44839DE2" w:rsidR="00DD7553" w:rsidRPr="004E6A4A" w:rsidRDefault="00DD7553" w:rsidP="00C4419F">
            <w:pPr>
              <w:jc w:val="center"/>
              <w:rPr>
                <w:rFonts w:ascii="Times New Roman" w:eastAsia="Times New Roman" w:hAnsi="Times New Roman" w:cs="Times New Roman"/>
                <w:sz w:val="20"/>
                <w:szCs w:val="21"/>
                <w:lang w:eastAsia="sq-AL"/>
              </w:rPr>
            </w:pPr>
            <w:r w:rsidRPr="004E6A4A">
              <w:rPr>
                <w:rFonts w:ascii="Times New Roman" w:eastAsia="Times New Roman" w:hAnsi="Times New Roman" w:cs="Times New Roman"/>
                <w:sz w:val="20"/>
                <w:szCs w:val="21"/>
                <w:lang w:eastAsia="sq-AL"/>
              </w:rPr>
              <w:t xml:space="preserve"> </w:t>
            </w:r>
          </w:p>
        </w:tc>
        <w:tc>
          <w:tcPr>
            <w:tcW w:w="4590" w:type="dxa"/>
          </w:tcPr>
          <w:p w14:paraId="02301B0C" w14:textId="77777777" w:rsidR="00FA0CFF" w:rsidRPr="004E6A4A" w:rsidRDefault="00144445">
            <w:pPr>
              <w:jc w:val="center"/>
            </w:pPr>
            <w:r w:rsidRPr="004E6A4A">
              <w:rPr>
                <w:rFonts w:ascii="Times New Roman" w:eastAsia="Times New Roman" w:hAnsi="Times New Roman" w:cs="Times New Roman"/>
                <w:b/>
                <w:sz w:val="20"/>
              </w:rPr>
              <w:t>Ligji: Neni 1</w:t>
            </w:r>
          </w:p>
          <w:p w14:paraId="0A8A3C8E" w14:textId="77777777" w:rsidR="00FA0CFF" w:rsidRPr="004E6A4A" w:rsidRDefault="00144445">
            <w:pPr>
              <w:jc w:val="center"/>
            </w:pPr>
            <w:r w:rsidRPr="004E6A4A">
              <w:rPr>
                <w:rFonts w:ascii="Times New Roman" w:eastAsia="Times New Roman" w:hAnsi="Times New Roman" w:cs="Times New Roman"/>
                <w:b/>
                <w:sz w:val="20"/>
              </w:rPr>
              <w:t>Objekti</w:t>
            </w:r>
          </w:p>
          <w:p w14:paraId="7441D8F8" w14:textId="77777777" w:rsidR="00FA0CFF" w:rsidRPr="004E6A4A" w:rsidRDefault="00144445">
            <w:pPr>
              <w:jc w:val="both"/>
            </w:pPr>
            <w:r w:rsidRPr="004E6A4A">
              <w:rPr>
                <w:rFonts w:ascii="Times New Roman" w:eastAsia="Times New Roman" w:hAnsi="Times New Roman" w:cs="Times New Roman"/>
                <w:sz w:val="20"/>
              </w:rPr>
              <w:t>1. Objekti i këtij ligji është përcaktimi i rregullave dhe procedurave në lidhje me:</w:t>
            </w:r>
          </w:p>
          <w:p w14:paraId="1D2D9A92" w14:textId="77777777" w:rsidR="00FA0CFF" w:rsidRPr="004E6A4A" w:rsidRDefault="00144445">
            <w:pPr>
              <w:jc w:val="both"/>
            </w:pPr>
            <w:r w:rsidRPr="004E6A4A">
              <w:rPr>
                <w:rFonts w:ascii="Times New Roman" w:eastAsia="Times New Roman" w:hAnsi="Times New Roman" w:cs="Times New Roman"/>
                <w:sz w:val="20"/>
              </w:rPr>
              <w:t>a) shkëmbimin automatik të informacionit të llogarive financiare:</w:t>
            </w:r>
          </w:p>
          <w:p w14:paraId="798FA0BD" w14:textId="77777777" w:rsidR="00FA0CFF" w:rsidRPr="004E6A4A" w:rsidRDefault="00144445">
            <w:pPr>
              <w:jc w:val="both"/>
            </w:pPr>
            <w:r w:rsidRPr="004E6A4A">
              <w:rPr>
                <w:rFonts w:ascii="Times New Roman" w:eastAsia="Times New Roman" w:hAnsi="Times New Roman" w:cs="Times New Roman"/>
                <w:sz w:val="20"/>
              </w:rPr>
              <w:t>i. me shtetet anëtare të Bashkimit Evropian, në përputhje me nenin 8, pika 3a, dhe anekset I dhe II të Direktivës 2011/16/BE, të ndryshuar; dhe</w:t>
            </w:r>
          </w:p>
          <w:p w14:paraId="16165A5D" w14:textId="77777777" w:rsidR="00FA0CFF" w:rsidRPr="004E6A4A" w:rsidRDefault="00144445">
            <w:pPr>
              <w:jc w:val="both"/>
            </w:pPr>
            <w:r w:rsidRPr="004E6A4A">
              <w:rPr>
                <w:rFonts w:ascii="Times New Roman" w:eastAsia="Times New Roman" w:hAnsi="Times New Roman" w:cs="Times New Roman"/>
                <w:sz w:val="20"/>
              </w:rPr>
              <w:lastRenderedPageBreak/>
              <w:t>ii. me juridiksionet e tjera, në përputhje me Standardin e Përbashkët të Raportimit dhe Marrëveshjen Shumëpalëshe të Autoriteteve Kompetente për shkëmbimin automatik të informacionit të llogarive financiare;</w:t>
            </w:r>
          </w:p>
          <w:p w14:paraId="7295643E" w14:textId="77777777" w:rsidR="00FA0CFF" w:rsidRPr="004E6A4A" w:rsidRDefault="00144445">
            <w:pPr>
              <w:jc w:val="both"/>
            </w:pPr>
            <w:r w:rsidRPr="004E6A4A">
              <w:rPr>
                <w:rFonts w:ascii="Times New Roman" w:eastAsia="Times New Roman" w:hAnsi="Times New Roman" w:cs="Times New Roman"/>
                <w:sz w:val="20"/>
              </w:rPr>
              <w:t>b) detyrimin e institucioneve financiare raportuese për të mbledhur dhe raportuar informacionin e llogarive financiare pranë Autoritetit Kompetent dhe për të zbatuar rregullat e raportimit dhe procedurat e vigjilencës së duhur të përcaktuara në këtë ligj dhe në aktet nënligjore të nxjerra në zbatim të tij;</w:t>
            </w:r>
          </w:p>
          <w:p w14:paraId="6833A325" w14:textId="77777777" w:rsidR="00FA0CFF" w:rsidRPr="004E6A4A" w:rsidRDefault="00144445">
            <w:pPr>
              <w:jc w:val="both"/>
            </w:pPr>
            <w:r w:rsidRPr="004E6A4A">
              <w:rPr>
                <w:rFonts w:ascii="Times New Roman" w:eastAsia="Times New Roman" w:hAnsi="Times New Roman" w:cs="Times New Roman"/>
                <w:sz w:val="20"/>
              </w:rPr>
              <w:t>c) kushtet për mbledhjen, përpunimin, përditësimin, aksesin, ruajtjen, përdorimin, shkëmbimin dhe arkivimin e informacionit të llogarive financiare;</w:t>
            </w:r>
          </w:p>
          <w:p w14:paraId="2006AFC4" w14:textId="77777777" w:rsidR="00FA0CFF" w:rsidRPr="004E6A4A" w:rsidRDefault="00144445">
            <w:pPr>
              <w:jc w:val="both"/>
            </w:pPr>
            <w:r w:rsidRPr="004E6A4A">
              <w:rPr>
                <w:rFonts w:ascii="Times New Roman" w:eastAsia="Times New Roman" w:hAnsi="Times New Roman" w:cs="Times New Roman"/>
                <w:sz w:val="20"/>
              </w:rPr>
              <w:t>ç) të drejtat dhe detyrimet e Autoritetit Kompetent për të siguruar zbatimin efektiv dhe përputhshmërinë me rregullat e raportimit dhe të vigjilencës së duhur, përfshirë kërkesat e seksionit IX të aneksit I të Direktivës 2011/16/BE dhe seksionit IX të Standardit të Përbashkët të Raportimit.</w:t>
            </w:r>
          </w:p>
          <w:p w14:paraId="3B91A634" w14:textId="77777777" w:rsidR="00FA0CFF" w:rsidRPr="004E6A4A" w:rsidRDefault="00FA0CFF"/>
          <w:p w14:paraId="5DA1F4FA" w14:textId="77777777" w:rsidR="00FA0CFF" w:rsidRPr="004E6A4A" w:rsidRDefault="00144445">
            <w:pPr>
              <w:jc w:val="center"/>
            </w:pPr>
            <w:r w:rsidRPr="004E6A4A">
              <w:rPr>
                <w:rFonts w:ascii="Times New Roman" w:eastAsia="Times New Roman" w:hAnsi="Times New Roman" w:cs="Times New Roman"/>
                <w:b/>
                <w:sz w:val="20"/>
              </w:rPr>
              <w:t>Ligji: Neni 6</w:t>
            </w:r>
          </w:p>
          <w:p w14:paraId="293FFDBA" w14:textId="77777777" w:rsidR="00FA0CFF" w:rsidRPr="004E6A4A" w:rsidRDefault="00144445">
            <w:pPr>
              <w:jc w:val="center"/>
            </w:pPr>
            <w:r w:rsidRPr="004E6A4A">
              <w:rPr>
                <w:rFonts w:ascii="Times New Roman" w:eastAsia="Times New Roman" w:hAnsi="Times New Roman" w:cs="Times New Roman"/>
                <w:b/>
                <w:sz w:val="20"/>
              </w:rPr>
              <w:t>Raportimi tek Autoriteti Kompetent</w:t>
            </w:r>
          </w:p>
          <w:p w14:paraId="16F5996C" w14:textId="77777777" w:rsidR="00FA0CFF" w:rsidRPr="004E6A4A" w:rsidRDefault="00144445">
            <w:pPr>
              <w:jc w:val="both"/>
            </w:pPr>
            <w:r w:rsidRPr="004E6A4A">
              <w:rPr>
                <w:rFonts w:ascii="Times New Roman" w:eastAsia="Times New Roman" w:hAnsi="Times New Roman" w:cs="Times New Roman"/>
                <w:sz w:val="20"/>
              </w:rPr>
              <w:t>1. Çdo institucion financiar raportues në Republikën e Shqipërisë i raporton Autoritetit Kompetent, për çdo vit kalendarik ose periudhë tjetër të përshtatshme raportuese, informacionin e kërkuar për çdo llogari të raportueshme, sipas këtij ligji dhe akteve nënligjore në zbatim të tij, jo më vonë se data 30 maj e vitit që pason përfundimin e periudhës së raportimit. Informacioni që raportohet përfshin elementet e përcaktuara në këtë ligj, si dhe elementet e tjera të përcaktuara në aktet nënligjore në zbatim të tij.</w:t>
            </w:r>
          </w:p>
          <w:p w14:paraId="670B7755" w14:textId="77777777" w:rsidR="00FA0CFF" w:rsidRPr="004E6A4A" w:rsidRDefault="00144445">
            <w:pPr>
              <w:jc w:val="both"/>
            </w:pPr>
            <w:r w:rsidRPr="004E6A4A">
              <w:rPr>
                <w:rFonts w:ascii="Times New Roman" w:eastAsia="Times New Roman" w:hAnsi="Times New Roman" w:cs="Times New Roman"/>
                <w:sz w:val="20"/>
              </w:rPr>
              <w:t xml:space="preserve">2. Nëse institucioni financiar raportues, pas aplikimit të procedurave të vigjilencës së duhur, të përcaktuara sipas këtij ligji dhe aktit nënligjor, për një vit kalendarik nuk identifikon asnjë llogari si llogari të </w:t>
            </w:r>
            <w:r w:rsidRPr="004E6A4A">
              <w:rPr>
                <w:rFonts w:ascii="Times New Roman" w:eastAsia="Times New Roman" w:hAnsi="Times New Roman" w:cs="Times New Roman"/>
                <w:sz w:val="20"/>
              </w:rPr>
              <w:lastRenderedPageBreak/>
              <w:t>raportueshme, dërgon brenda afatit të përcaktuar në pikën 1, të këtij neni, pranë Autoritetit Kompetent, një deklaratë, e cila konfirmon mospasjen e një llogarie të raportueshme për vitin raportues.</w:t>
            </w:r>
          </w:p>
          <w:p w14:paraId="3DEDF370" w14:textId="77777777" w:rsidR="00FA0CFF" w:rsidRPr="004E6A4A" w:rsidRDefault="00144445">
            <w:pPr>
              <w:jc w:val="both"/>
            </w:pPr>
            <w:r w:rsidRPr="004E6A4A">
              <w:rPr>
                <w:rFonts w:ascii="Times New Roman" w:eastAsia="Times New Roman" w:hAnsi="Times New Roman" w:cs="Times New Roman"/>
                <w:sz w:val="20"/>
              </w:rPr>
              <w:t>3. Informacioni duhet të dërgohet elektronikisht, sipas një formati të standardizuar, duke përdorur teknologjinë e përshtatshme, në përputhje me aktet nënligjore në zbatim të këtij ligji.</w:t>
            </w:r>
          </w:p>
          <w:p w14:paraId="6CA0D751" w14:textId="77777777" w:rsidR="00FA0CFF" w:rsidRPr="004E6A4A" w:rsidRDefault="00FA0CFF"/>
          <w:p w14:paraId="71713123" w14:textId="77777777" w:rsidR="00FA0CFF" w:rsidRPr="004E6A4A" w:rsidRDefault="00144445">
            <w:pPr>
              <w:jc w:val="center"/>
            </w:pPr>
            <w:r w:rsidRPr="004E6A4A">
              <w:rPr>
                <w:rFonts w:ascii="Times New Roman" w:eastAsia="Times New Roman" w:hAnsi="Times New Roman" w:cs="Times New Roman"/>
                <w:b/>
                <w:sz w:val="20"/>
              </w:rPr>
              <w:t>VKM: Neni 4</w:t>
            </w:r>
          </w:p>
          <w:p w14:paraId="1E770F84" w14:textId="77777777" w:rsidR="00FA0CFF" w:rsidRPr="004E6A4A" w:rsidRDefault="00144445">
            <w:pPr>
              <w:jc w:val="center"/>
            </w:pPr>
            <w:r w:rsidRPr="004E6A4A">
              <w:rPr>
                <w:rFonts w:ascii="Times New Roman" w:eastAsia="Times New Roman" w:hAnsi="Times New Roman" w:cs="Times New Roman"/>
                <w:b/>
                <w:sz w:val="20"/>
              </w:rPr>
              <w:t>Kërkesat e përgjithshme të raportimit</w:t>
            </w:r>
          </w:p>
          <w:p w14:paraId="589B01E9" w14:textId="77777777" w:rsidR="00FA0CFF" w:rsidRPr="004E6A4A" w:rsidRDefault="00144445">
            <w:pPr>
              <w:jc w:val="both"/>
            </w:pPr>
            <w:r w:rsidRPr="004E6A4A">
              <w:rPr>
                <w:rFonts w:ascii="Times New Roman" w:eastAsia="Times New Roman" w:hAnsi="Times New Roman" w:cs="Times New Roman"/>
                <w:sz w:val="20"/>
              </w:rPr>
              <w:t xml:space="preserve">1. Çdo institucion financiar raportues i raporton DPT-së, për çdo Llogari të Raportueshme: a) emrin, adresën, juridiksionin ose juridiksionet e rezidencës, TIN-in ose TIN-et, datën dhe vendin e lindjes, në rastin e një individi, të çdo Personi të Raportueshëm që është Mbajtës i Llogarisë, si dhe faktin nëse është dhënë një vetëdeklarim i vlefshëm; b) për një njësi ekonomike që është Mbajtëse e Llogarisë dhe që, pas zbatimit të procedurave të vigjilencës së duhur, identifikohet se ka një ose më shumë Persona Kontrollues që janë Persona të Raportueshëm, emrin, adresën, juridiksionin ose juridiksionet e rezidencës dhe TIN-in ose TIN-et e njësisë ekonomike, si dhe emrin, adresën, juridiksionin ose juridiksionet e rezidencës, TIN-in ose TIN-et, datën dhe vendin e lindjes të secilit Person të Raportueshëm, rolin ose rolet në bazë të të cilave ai është Person Kontrollues dhe faktin nëse për secilin prej tyre është dhënë një vetëdeklarim i vlefshëm; c) faktin nëse llogaria është llogari e përbashkët dhe numrin e Mbajtësve të Llogarisë; ç) numrin e llogarisë ose ekuivalentin funksional, llojin e llogarisë dhe faktin nëse ajo është Llogari Paraekzistuese ose Llogari e Re sipas profilit përkatës; d) emrin dhe numrin identifikues, kur ka, të institucionit financiar raportues; dh) gjendjen ose vlerën e llogarisë në fund të vitit kalendarik ose periudhës tjetër përkatëse të raportimit, </w:t>
            </w:r>
            <w:r w:rsidRPr="004E6A4A">
              <w:rPr>
                <w:rFonts w:ascii="Times New Roman" w:eastAsia="Times New Roman" w:hAnsi="Times New Roman" w:cs="Times New Roman"/>
                <w:sz w:val="20"/>
              </w:rPr>
              <w:lastRenderedPageBreak/>
              <w:t>ose faktin e mbylljes së llogarisë gjatë kësaj periudhe; e) për Llogarinë e Kujdestarisë, shumat totale bruto të interesit, dividendëve dhe të ardhurave të tjera nga aktivet, si dhe të ardhurat totale bruto nga shitja ose shlyerja e aktiveve financiare, kur institucioni ka vepruar si kujdestar, ndërmjetës, i emëruar ose agjent; ë) për Llogarinë e Depozitës, shumën totale bruto të interesit; f) për çdo Interes në Kapital në një njësi ekonomike investimesh që është strukturë ligjore, rolin ose rolet në bazë të të cilave Personi i Raportueshëm është mbajtës i Interesit në Kapital; dhe g) për çdo llogari tjetër, shumën totale bruto të paguar ose kredituar Mbajtësit të Llogarisë, përfshirë pagesat e shlyerjes.</w:t>
            </w:r>
          </w:p>
          <w:p w14:paraId="4DA52202" w14:textId="77777777" w:rsidR="00FA0CFF" w:rsidRPr="004E6A4A" w:rsidRDefault="00144445">
            <w:pPr>
              <w:jc w:val="both"/>
            </w:pPr>
            <w:r w:rsidRPr="004E6A4A">
              <w:rPr>
                <w:rFonts w:ascii="Times New Roman" w:eastAsia="Times New Roman" w:hAnsi="Times New Roman" w:cs="Times New Roman"/>
                <w:sz w:val="20"/>
              </w:rPr>
              <w:t>7. Informacioni sipas këtij neni i dorëzohet DPT-së jo më vonë se data 30 maj e vitit pasardhës të vitit kalendarik ose periudhës tjetër përkatëse të raportimit.</w:t>
            </w:r>
          </w:p>
          <w:p w14:paraId="531682D0" w14:textId="77777777" w:rsidR="00FA0CFF" w:rsidRPr="004E6A4A" w:rsidRDefault="00144445">
            <w:pPr>
              <w:jc w:val="both"/>
            </w:pPr>
            <w:r w:rsidRPr="004E6A4A">
              <w:rPr>
                <w:rFonts w:ascii="Times New Roman" w:eastAsia="Times New Roman" w:hAnsi="Times New Roman" w:cs="Times New Roman"/>
                <w:sz w:val="20"/>
              </w:rPr>
              <w:t>8. Kur, pas zbatimit të procedurave të vigjilencës së duhur për periudhën përkatëse, institucioni financiar raportues nuk mban asnjë Llogari të Raportueshme, ai paraqet deklarim pa të dhëna raportuese (“nil return”) sipas mënyrës së përcaktuar në Shtojcën IV.</w:t>
            </w:r>
          </w:p>
        </w:tc>
        <w:tc>
          <w:tcPr>
            <w:tcW w:w="1620" w:type="dxa"/>
          </w:tcPr>
          <w:p w14:paraId="4393637B" w14:textId="77777777" w:rsidR="00FF7A09" w:rsidRPr="004E6A4A" w:rsidRDefault="00FF7A09" w:rsidP="00C4419F">
            <w:pPr>
              <w:jc w:val="center"/>
              <w:rPr>
                <w:rFonts w:ascii="Times New Roman" w:eastAsia="Calibri" w:hAnsi="Times New Roman" w:cs="Times New Roman"/>
                <w:sz w:val="18"/>
                <w:szCs w:val="18"/>
              </w:rPr>
            </w:pPr>
          </w:p>
          <w:p w14:paraId="0BBA05A9" w14:textId="00471F96" w:rsidR="006D0605" w:rsidRPr="004E6A4A" w:rsidRDefault="00FF7A09"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21A54878"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Përputhet.</w:t>
            </w:r>
          </w:p>
          <w:p w14:paraId="5CD9F471" w14:textId="136D50E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Transpozohet nga neni 6 dhe neni 1 i projektligjit dhe nga neni 4, pikat 1, 7 dhe 8, të VKM-së.</w:t>
            </w:r>
          </w:p>
        </w:tc>
      </w:tr>
      <w:tr w:rsidR="004E6A4A" w:rsidRPr="004E6A4A" w14:paraId="15160CF8" w14:textId="77777777" w:rsidTr="00153084">
        <w:trPr>
          <w:trHeight w:val="764"/>
        </w:trPr>
        <w:tc>
          <w:tcPr>
            <w:tcW w:w="630" w:type="dxa"/>
          </w:tcPr>
          <w:p w14:paraId="7E8549EC" w14:textId="77777777" w:rsidR="006D0605" w:rsidRPr="004E6A4A" w:rsidRDefault="006D0605" w:rsidP="00C4419F">
            <w:pPr>
              <w:jc w:val="center"/>
              <w:rPr>
                <w:rFonts w:ascii="Times New Roman" w:eastAsia="Calibri" w:hAnsi="Times New Roman" w:cs="Times New Roman"/>
                <w:i/>
                <w:sz w:val="18"/>
                <w:szCs w:val="18"/>
              </w:rPr>
            </w:pPr>
          </w:p>
        </w:tc>
        <w:tc>
          <w:tcPr>
            <w:tcW w:w="4230" w:type="dxa"/>
          </w:tcPr>
          <w:p w14:paraId="30836C84" w14:textId="77777777" w:rsidR="008C56DE" w:rsidRPr="004E6A4A" w:rsidRDefault="00144445">
            <w:pPr>
              <w:rPr>
                <w:rFonts w:ascii="Times New Roman" w:eastAsia="Times New Roman" w:hAnsi="Times New Roman" w:cs="Times New Roman"/>
                <w:b/>
                <w:bCs/>
                <w:sz w:val="20"/>
                <w:szCs w:val="20"/>
              </w:rPr>
            </w:pPr>
            <w:r w:rsidRPr="004E6A4A">
              <w:rPr>
                <w:rFonts w:ascii="Times New Roman" w:eastAsia="Times New Roman" w:hAnsi="Times New Roman" w:cs="Times New Roman"/>
                <w:b/>
                <w:bCs/>
                <w:sz w:val="20"/>
                <w:szCs w:val="20"/>
              </w:rPr>
              <w:t>Aneksi I,  Seksioni I,  Paragrafi B</w:t>
            </w:r>
          </w:p>
          <w:p w14:paraId="3CE6D926"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B.</w:t>
            </w:r>
            <w:r w:rsidRPr="004E6A4A">
              <w:rPr>
                <w:rFonts w:ascii="Times New Roman" w:eastAsia="Times New Roman" w:hAnsi="Times New Roman" w:cs="Times New Roman"/>
                <w:sz w:val="20"/>
                <w:szCs w:val="20"/>
              </w:rPr>
              <w:tab/>
              <w:t>Informacioni i raportuar duhet të identifikojë monedhën në të cilën shprehet çdo shumë.</w:t>
            </w:r>
          </w:p>
        </w:tc>
        <w:tc>
          <w:tcPr>
            <w:tcW w:w="1350" w:type="dxa"/>
          </w:tcPr>
          <w:p w14:paraId="5FAB7108" w14:textId="77777777" w:rsidR="006D0605" w:rsidRPr="004E6A4A" w:rsidRDefault="006D0605" w:rsidP="00C4419F">
            <w:pPr>
              <w:jc w:val="center"/>
              <w:rPr>
                <w:rFonts w:ascii="Times New Roman" w:eastAsia="Calibri" w:hAnsi="Times New Roman" w:cs="Times New Roman"/>
                <w:sz w:val="18"/>
                <w:szCs w:val="18"/>
              </w:rPr>
            </w:pPr>
          </w:p>
        </w:tc>
        <w:tc>
          <w:tcPr>
            <w:tcW w:w="810" w:type="dxa"/>
          </w:tcPr>
          <w:p w14:paraId="4F1C29DB" w14:textId="051F7462" w:rsidR="006D0605" w:rsidRPr="004E6A4A" w:rsidRDefault="006D0605" w:rsidP="00C4419F">
            <w:pPr>
              <w:jc w:val="center"/>
              <w:rPr>
                <w:rFonts w:ascii="Times New Roman" w:eastAsia="Times New Roman" w:hAnsi="Times New Roman" w:cs="Times New Roman"/>
                <w:sz w:val="20"/>
                <w:szCs w:val="21"/>
                <w:lang w:eastAsia="sq-AL"/>
              </w:rPr>
            </w:pPr>
          </w:p>
        </w:tc>
        <w:tc>
          <w:tcPr>
            <w:tcW w:w="4590" w:type="dxa"/>
          </w:tcPr>
          <w:p w14:paraId="7F254E6F" w14:textId="77777777" w:rsidR="00FA0CFF" w:rsidRPr="004E6A4A" w:rsidRDefault="00144445">
            <w:pPr>
              <w:jc w:val="center"/>
            </w:pPr>
            <w:r w:rsidRPr="004E6A4A">
              <w:rPr>
                <w:rFonts w:ascii="Times New Roman" w:eastAsia="Times New Roman" w:hAnsi="Times New Roman" w:cs="Times New Roman"/>
                <w:b/>
                <w:sz w:val="20"/>
              </w:rPr>
              <w:t>VKM: Neni 4</w:t>
            </w:r>
          </w:p>
          <w:p w14:paraId="553EEB0A" w14:textId="77777777" w:rsidR="00FA0CFF" w:rsidRPr="004E6A4A" w:rsidRDefault="00144445">
            <w:pPr>
              <w:jc w:val="center"/>
            </w:pPr>
            <w:r w:rsidRPr="004E6A4A">
              <w:rPr>
                <w:rFonts w:ascii="Times New Roman" w:eastAsia="Times New Roman" w:hAnsi="Times New Roman" w:cs="Times New Roman"/>
                <w:b/>
                <w:sz w:val="20"/>
              </w:rPr>
              <w:t>Kërkesat e përgjithshme të raportimit</w:t>
            </w:r>
          </w:p>
          <w:p w14:paraId="69CBBC11" w14:textId="77777777" w:rsidR="00FA0CFF" w:rsidRPr="004E6A4A" w:rsidRDefault="00144445">
            <w:pPr>
              <w:jc w:val="both"/>
            </w:pPr>
            <w:r w:rsidRPr="004E6A4A">
              <w:rPr>
                <w:rFonts w:ascii="Times New Roman" w:eastAsia="Times New Roman" w:hAnsi="Times New Roman" w:cs="Times New Roman"/>
                <w:sz w:val="20"/>
              </w:rPr>
              <w:t>2. Për çdo shumë të raportuar identifikohet monedha në të cilën është shprehur. Informacioni dorëzohet një herë në DPT sipas specifikimeve kombëtare të Shtojcës IV; DPT-ja kryen validimin, transformimin dhe drejtimin e mesazhit sipas profilit përkatës.</w:t>
            </w:r>
          </w:p>
        </w:tc>
        <w:tc>
          <w:tcPr>
            <w:tcW w:w="1620" w:type="dxa"/>
          </w:tcPr>
          <w:p w14:paraId="3F8AB555" w14:textId="1A0DA96F" w:rsidR="006D0605" w:rsidRPr="004E6A4A" w:rsidRDefault="00FF7A09"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47FAC56C"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Përputhet.</w:t>
            </w:r>
          </w:p>
          <w:p w14:paraId="7A7493A0"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Transpozohet nga neni 4, pika 2, i VKM-së.</w:t>
            </w:r>
          </w:p>
        </w:tc>
      </w:tr>
      <w:tr w:rsidR="004E6A4A" w:rsidRPr="004E6A4A" w14:paraId="25B0C1F8" w14:textId="77777777" w:rsidTr="00153084">
        <w:trPr>
          <w:trHeight w:val="764"/>
        </w:trPr>
        <w:tc>
          <w:tcPr>
            <w:tcW w:w="630" w:type="dxa"/>
          </w:tcPr>
          <w:p w14:paraId="09FC3FB8" w14:textId="77777777" w:rsidR="006D0605" w:rsidRPr="004E6A4A" w:rsidRDefault="006D0605" w:rsidP="00C4419F">
            <w:pPr>
              <w:jc w:val="center"/>
              <w:rPr>
                <w:rFonts w:ascii="Times New Roman" w:eastAsia="Calibri" w:hAnsi="Times New Roman" w:cs="Times New Roman"/>
                <w:i/>
                <w:sz w:val="18"/>
                <w:szCs w:val="18"/>
              </w:rPr>
            </w:pPr>
          </w:p>
        </w:tc>
        <w:tc>
          <w:tcPr>
            <w:tcW w:w="4230" w:type="dxa"/>
          </w:tcPr>
          <w:p w14:paraId="655067B2" w14:textId="77777777" w:rsidR="008C56DE" w:rsidRPr="004E6A4A" w:rsidRDefault="00144445">
            <w:pPr>
              <w:rPr>
                <w:rFonts w:ascii="Times New Roman" w:eastAsia="Times New Roman" w:hAnsi="Times New Roman" w:cs="Times New Roman"/>
                <w:b/>
                <w:bCs/>
                <w:sz w:val="20"/>
                <w:szCs w:val="20"/>
              </w:rPr>
            </w:pPr>
            <w:r w:rsidRPr="004E6A4A">
              <w:rPr>
                <w:rFonts w:ascii="Times New Roman" w:eastAsia="Times New Roman" w:hAnsi="Times New Roman" w:cs="Times New Roman"/>
                <w:b/>
                <w:bCs/>
                <w:sz w:val="20"/>
                <w:szCs w:val="20"/>
              </w:rPr>
              <w:t>Aneksi I,  Seksioni I,  Paragrafi C</w:t>
            </w:r>
          </w:p>
          <w:p w14:paraId="58A6FA32"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w:t>
            </w:r>
            <w:r w:rsidRPr="004E6A4A">
              <w:rPr>
                <w:rFonts w:ascii="Times New Roman" w:eastAsia="Times New Roman" w:hAnsi="Times New Roman" w:cs="Times New Roman"/>
                <w:sz w:val="20"/>
                <w:szCs w:val="20"/>
              </w:rPr>
              <w:tab/>
              <w:t xml:space="preserve">Pavarësisht nga nënparagrafi A(1), në lidhje me çdo Llogari të Raportueshme që është Llogari Paraekzistuese, TIN-i ose TIN-et ose data e lindjes nuk kërkohet të raportohen nëse TIN-i ose TIN-et ose data e lindjes nuk gjenden në regjistrat e Institucionit Financiar Raportues dhe nuk kërkohet ndryshe që të mblidhen nga ky </w:t>
            </w:r>
            <w:r w:rsidRPr="004E6A4A">
              <w:rPr>
                <w:rFonts w:ascii="Times New Roman" w:eastAsia="Times New Roman" w:hAnsi="Times New Roman" w:cs="Times New Roman"/>
                <w:sz w:val="20"/>
                <w:szCs w:val="20"/>
              </w:rPr>
              <w:lastRenderedPageBreak/>
              <w:t>Institucion Financiar Raportues sipas legjislacionit të brendshëm ose ndonjë instrumenti juridik të Bashkimit. Megjithatë, një Institucion Financiar Raportues duhet të bëjë përpjekje të arsyeshme për të marrë TIN-in ose TIN-et dhe datën e lindjes në lidhje me Llogaritë Paraekzistuese deri në fund të vitit të dytë kalendarik pas vitit në të cilin Llogaritë Paraekzistuese janë identifikuar si Llogari të Raportueshme dhe sa herë që i kërkohet të përditësojë informacionin në lidhje me Llogarinë Paraekzistuese në zbatim të Procedurave të brendshme për PPP/NJKT.</w:t>
            </w:r>
          </w:p>
        </w:tc>
        <w:tc>
          <w:tcPr>
            <w:tcW w:w="1350" w:type="dxa"/>
          </w:tcPr>
          <w:p w14:paraId="03DA758C" w14:textId="77777777" w:rsidR="006D0605" w:rsidRPr="004E6A4A" w:rsidRDefault="006D0605" w:rsidP="00C4419F">
            <w:pPr>
              <w:jc w:val="center"/>
              <w:rPr>
                <w:rFonts w:ascii="Times New Roman" w:eastAsia="Calibri" w:hAnsi="Times New Roman" w:cs="Times New Roman"/>
                <w:sz w:val="18"/>
                <w:szCs w:val="18"/>
              </w:rPr>
            </w:pPr>
          </w:p>
        </w:tc>
        <w:tc>
          <w:tcPr>
            <w:tcW w:w="810" w:type="dxa"/>
          </w:tcPr>
          <w:p w14:paraId="6EDC1C13" w14:textId="084CCB49" w:rsidR="006D0605" w:rsidRPr="004E6A4A" w:rsidRDefault="006D0605" w:rsidP="00C4419F">
            <w:pPr>
              <w:jc w:val="center"/>
              <w:rPr>
                <w:rFonts w:ascii="Times New Roman" w:eastAsia="Times New Roman" w:hAnsi="Times New Roman" w:cs="Times New Roman"/>
                <w:sz w:val="20"/>
                <w:szCs w:val="21"/>
                <w:lang w:eastAsia="sq-AL"/>
              </w:rPr>
            </w:pPr>
          </w:p>
        </w:tc>
        <w:tc>
          <w:tcPr>
            <w:tcW w:w="4590" w:type="dxa"/>
          </w:tcPr>
          <w:p w14:paraId="18D92489" w14:textId="77777777" w:rsidR="00FA0CFF" w:rsidRPr="004E6A4A" w:rsidRDefault="00144445">
            <w:pPr>
              <w:jc w:val="center"/>
            </w:pPr>
            <w:r w:rsidRPr="004E6A4A">
              <w:rPr>
                <w:rFonts w:ascii="Times New Roman" w:eastAsia="Times New Roman" w:hAnsi="Times New Roman" w:cs="Times New Roman"/>
                <w:b/>
                <w:sz w:val="20"/>
              </w:rPr>
              <w:t>VKM: Neni 4</w:t>
            </w:r>
          </w:p>
          <w:p w14:paraId="5D5B6379" w14:textId="77777777" w:rsidR="00FA0CFF" w:rsidRPr="004E6A4A" w:rsidRDefault="00144445">
            <w:pPr>
              <w:jc w:val="center"/>
            </w:pPr>
            <w:r w:rsidRPr="004E6A4A">
              <w:rPr>
                <w:rFonts w:ascii="Times New Roman" w:eastAsia="Times New Roman" w:hAnsi="Times New Roman" w:cs="Times New Roman"/>
                <w:b/>
                <w:sz w:val="20"/>
              </w:rPr>
              <w:t>Kërkesat e përgjithshme të raportimit</w:t>
            </w:r>
          </w:p>
          <w:p w14:paraId="160412A5" w14:textId="77777777" w:rsidR="00FA0CFF" w:rsidRPr="004E6A4A" w:rsidRDefault="00144445">
            <w:pPr>
              <w:jc w:val="both"/>
            </w:pPr>
            <w:r w:rsidRPr="004E6A4A">
              <w:rPr>
                <w:rFonts w:ascii="Times New Roman" w:eastAsia="Times New Roman" w:hAnsi="Times New Roman" w:cs="Times New Roman"/>
                <w:sz w:val="20"/>
              </w:rPr>
              <w:t>3. Për një Llogari të Raportueshme që është Llogari Paraekzistuese:</w:t>
            </w:r>
          </w:p>
          <w:p w14:paraId="354BF6D2" w14:textId="77777777" w:rsidR="00FA0CFF" w:rsidRPr="004E6A4A" w:rsidRDefault="00144445">
            <w:pPr>
              <w:jc w:val="both"/>
            </w:pPr>
            <w:r w:rsidRPr="004E6A4A">
              <w:rPr>
                <w:rFonts w:ascii="Times New Roman" w:eastAsia="Times New Roman" w:hAnsi="Times New Roman" w:cs="Times New Roman"/>
                <w:sz w:val="20"/>
              </w:rPr>
              <w:t xml:space="preserve">a) për profilin e Bashkimit Evropian, TIN-i ose data e lindjes nuk kërkohet të raportohet kur nuk figuron në regjistrat e Institucionit Financiar Raportues dhe marrja e tij nuk ka qenë e detyrueshme sipas legjislacionit </w:t>
            </w:r>
            <w:r w:rsidRPr="004E6A4A">
              <w:rPr>
                <w:rFonts w:ascii="Times New Roman" w:eastAsia="Times New Roman" w:hAnsi="Times New Roman" w:cs="Times New Roman"/>
                <w:sz w:val="20"/>
              </w:rPr>
              <w:lastRenderedPageBreak/>
              <w:t>shqiptar ose një instrumenti juridik të zbatueshëm të Bashkimit Evropian;</w:t>
            </w:r>
          </w:p>
          <w:p w14:paraId="3E489694" w14:textId="77777777" w:rsidR="00FA0CFF" w:rsidRPr="004E6A4A" w:rsidRDefault="00144445">
            <w:pPr>
              <w:jc w:val="both"/>
            </w:pPr>
            <w:r w:rsidRPr="004E6A4A">
              <w:rPr>
                <w:rFonts w:ascii="Times New Roman" w:eastAsia="Times New Roman" w:hAnsi="Times New Roman" w:cs="Times New Roman"/>
                <w:sz w:val="20"/>
              </w:rPr>
              <w:t>b) për profilin e Standardit të Përbashkët të Raportimit, TIN-i ose data e lindjes nuk kërkohet të raportohet kur nuk figuron në regjistrat e Institucionit Financiar Raportues dhe marrja e tij nuk ka qenë e detyrueshme sipas legjislacionit shqiptar.</w:t>
            </w:r>
          </w:p>
          <w:p w14:paraId="01C57FC4" w14:textId="77777777" w:rsidR="00FA0CFF" w:rsidRPr="004E6A4A" w:rsidRDefault="00144445">
            <w:pPr>
              <w:jc w:val="both"/>
            </w:pPr>
            <w:r w:rsidRPr="004E6A4A">
              <w:rPr>
                <w:rFonts w:ascii="Times New Roman" w:eastAsia="Times New Roman" w:hAnsi="Times New Roman" w:cs="Times New Roman"/>
                <w:sz w:val="20"/>
              </w:rPr>
              <w:t>Institucioni financiar raportues bën përpjekje të arsyeshme për marrjen e këtyre të dhënave deri në fund të vitit të dytë kalendarik pas vitit në të cilin llogaria identifikohet si Llogari e Raportueshme dhe sa herë që informacioni përditësohet sipas procedurave PPP/NJKT.</w:t>
            </w:r>
          </w:p>
        </w:tc>
        <w:tc>
          <w:tcPr>
            <w:tcW w:w="1620" w:type="dxa"/>
          </w:tcPr>
          <w:p w14:paraId="518C9A70" w14:textId="77777777" w:rsidR="00FF7A09" w:rsidRPr="004E6A4A" w:rsidRDefault="00FF7A09" w:rsidP="00C4419F">
            <w:pPr>
              <w:jc w:val="center"/>
              <w:rPr>
                <w:rFonts w:ascii="Times New Roman" w:eastAsia="Calibri" w:hAnsi="Times New Roman" w:cs="Times New Roman"/>
                <w:sz w:val="18"/>
                <w:szCs w:val="18"/>
              </w:rPr>
            </w:pPr>
          </w:p>
          <w:p w14:paraId="3A21E793" w14:textId="1E9191A1" w:rsidR="006D0605" w:rsidRPr="004E6A4A" w:rsidRDefault="00FF7A09"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10C32712"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Përputhet.</w:t>
            </w:r>
          </w:p>
          <w:p w14:paraId="29BE9F1B"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Transpozohet nga neni 4, pika 3, i VKM-së.</w:t>
            </w:r>
          </w:p>
        </w:tc>
      </w:tr>
      <w:tr w:rsidR="004E6A4A" w:rsidRPr="004E6A4A" w14:paraId="7DE6E163" w14:textId="77777777" w:rsidTr="00153084">
        <w:trPr>
          <w:trHeight w:val="764"/>
        </w:trPr>
        <w:tc>
          <w:tcPr>
            <w:tcW w:w="630" w:type="dxa"/>
          </w:tcPr>
          <w:p w14:paraId="090E14DF" w14:textId="77777777" w:rsidR="006D0605" w:rsidRPr="004E6A4A" w:rsidRDefault="006D0605" w:rsidP="00C4419F">
            <w:pPr>
              <w:jc w:val="center"/>
              <w:rPr>
                <w:rFonts w:ascii="Times New Roman" w:eastAsia="Calibri" w:hAnsi="Times New Roman" w:cs="Times New Roman"/>
                <w:i/>
                <w:sz w:val="18"/>
                <w:szCs w:val="18"/>
              </w:rPr>
            </w:pPr>
          </w:p>
        </w:tc>
        <w:tc>
          <w:tcPr>
            <w:tcW w:w="4230" w:type="dxa"/>
          </w:tcPr>
          <w:p w14:paraId="10EA96D1" w14:textId="77777777" w:rsidR="008C56DE" w:rsidRPr="004E6A4A" w:rsidRDefault="00144445">
            <w:pPr>
              <w:rPr>
                <w:rFonts w:ascii="Times New Roman" w:eastAsia="Times New Roman" w:hAnsi="Times New Roman" w:cs="Times New Roman"/>
                <w:b/>
                <w:bCs/>
                <w:sz w:val="20"/>
                <w:szCs w:val="20"/>
              </w:rPr>
            </w:pPr>
            <w:r w:rsidRPr="004E6A4A">
              <w:rPr>
                <w:rFonts w:ascii="Times New Roman" w:eastAsia="Times New Roman" w:hAnsi="Times New Roman" w:cs="Times New Roman"/>
                <w:b/>
                <w:bCs/>
                <w:sz w:val="20"/>
                <w:szCs w:val="20"/>
              </w:rPr>
              <w:t>Aneksi I,  Seksioni I,  Paragrafi D</w:t>
            </w:r>
          </w:p>
          <w:p w14:paraId="12A898C2"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D.</w:t>
            </w:r>
            <w:r w:rsidRPr="004E6A4A">
              <w:rPr>
                <w:rFonts w:ascii="Times New Roman" w:eastAsia="Times New Roman" w:hAnsi="Times New Roman" w:cs="Times New Roman"/>
                <w:sz w:val="20"/>
                <w:szCs w:val="20"/>
              </w:rPr>
              <w:tab/>
              <w:t>Pavarësisht nga nënparagrafi A(1), TIN-i nuk kërkohet të raportohet nëse një TIN nuk lëshohet nga shteti anëtar përkatës ose juridiksioni tjetër i rezidencës.</w:t>
            </w:r>
          </w:p>
        </w:tc>
        <w:tc>
          <w:tcPr>
            <w:tcW w:w="1350" w:type="dxa"/>
          </w:tcPr>
          <w:p w14:paraId="43454321" w14:textId="77777777" w:rsidR="006D0605" w:rsidRPr="004E6A4A" w:rsidRDefault="006D0605" w:rsidP="00C4419F">
            <w:pPr>
              <w:jc w:val="center"/>
              <w:rPr>
                <w:rFonts w:ascii="Times New Roman" w:eastAsia="Calibri" w:hAnsi="Times New Roman" w:cs="Times New Roman"/>
                <w:sz w:val="18"/>
                <w:szCs w:val="18"/>
              </w:rPr>
            </w:pPr>
          </w:p>
        </w:tc>
        <w:tc>
          <w:tcPr>
            <w:tcW w:w="810" w:type="dxa"/>
          </w:tcPr>
          <w:p w14:paraId="532D279F" w14:textId="22C0844F" w:rsidR="006D0605" w:rsidRPr="004E6A4A" w:rsidRDefault="006D0605" w:rsidP="00063722">
            <w:pPr>
              <w:rPr>
                <w:rFonts w:ascii="Times New Roman" w:eastAsia="Times New Roman" w:hAnsi="Times New Roman" w:cs="Times New Roman"/>
                <w:sz w:val="20"/>
                <w:szCs w:val="21"/>
                <w:lang w:eastAsia="sq-AL"/>
              </w:rPr>
            </w:pPr>
          </w:p>
        </w:tc>
        <w:tc>
          <w:tcPr>
            <w:tcW w:w="4590" w:type="dxa"/>
          </w:tcPr>
          <w:p w14:paraId="68F9133B" w14:textId="77777777" w:rsidR="00FA0CFF" w:rsidRPr="004E6A4A" w:rsidRDefault="00144445">
            <w:pPr>
              <w:jc w:val="center"/>
            </w:pPr>
            <w:r w:rsidRPr="004E6A4A">
              <w:rPr>
                <w:rFonts w:ascii="Times New Roman" w:eastAsia="Times New Roman" w:hAnsi="Times New Roman" w:cs="Times New Roman"/>
                <w:b/>
                <w:sz w:val="20"/>
              </w:rPr>
              <w:t>VKM: Neni 4</w:t>
            </w:r>
          </w:p>
          <w:p w14:paraId="3663A696" w14:textId="77777777" w:rsidR="00FA0CFF" w:rsidRPr="004E6A4A" w:rsidRDefault="00144445">
            <w:pPr>
              <w:jc w:val="center"/>
            </w:pPr>
            <w:r w:rsidRPr="004E6A4A">
              <w:rPr>
                <w:rFonts w:ascii="Times New Roman" w:eastAsia="Times New Roman" w:hAnsi="Times New Roman" w:cs="Times New Roman"/>
                <w:b/>
                <w:sz w:val="20"/>
              </w:rPr>
              <w:t>Kërkesat e përgjithshme të raportimit</w:t>
            </w:r>
          </w:p>
          <w:p w14:paraId="27FA8E67" w14:textId="77777777" w:rsidR="00FA0CFF" w:rsidRPr="004E6A4A" w:rsidRDefault="00144445">
            <w:pPr>
              <w:jc w:val="both"/>
            </w:pPr>
            <w:r w:rsidRPr="004E6A4A">
              <w:rPr>
                <w:rFonts w:ascii="Times New Roman" w:eastAsia="Times New Roman" w:hAnsi="Times New Roman" w:cs="Times New Roman"/>
                <w:sz w:val="20"/>
              </w:rPr>
              <w:t>4. Për profilin e Bashkimit Evropian, TIN-i nuk kërkohet të raportohet vetëm kur TIN-i nuk është lëshuar nga shteti anëtar ose juridiksioni tjetër përkatës i rezidencës. Për profilin e Standardit të Përbashkët të Raportimit, TIN-i nuk kërkohet të raportohet kur: a) TIN-i nuk është lëshuar nga Juridiksioni i Raportueshëm përkatës; ose b) legjislacioni i brendshëm i atij juridiksioni nuk kërkon mbledhjen e TIN-it të lëshuar prej tij.</w:t>
            </w:r>
          </w:p>
        </w:tc>
        <w:tc>
          <w:tcPr>
            <w:tcW w:w="1620" w:type="dxa"/>
          </w:tcPr>
          <w:p w14:paraId="4FE4FB82" w14:textId="77777777" w:rsidR="00FF7A09" w:rsidRPr="004E6A4A" w:rsidRDefault="00FF7A09" w:rsidP="00C4419F">
            <w:pPr>
              <w:jc w:val="center"/>
              <w:rPr>
                <w:rFonts w:ascii="Times New Roman" w:eastAsia="Calibri" w:hAnsi="Times New Roman" w:cs="Times New Roman"/>
                <w:sz w:val="18"/>
                <w:szCs w:val="18"/>
              </w:rPr>
            </w:pPr>
          </w:p>
          <w:p w14:paraId="28C1E255" w14:textId="05B6C660" w:rsidR="006D0605" w:rsidRPr="004E6A4A" w:rsidRDefault="00FF7A09"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5235CAF3"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Përputhet.</w:t>
            </w:r>
          </w:p>
          <w:p w14:paraId="74B7BBB1"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Transpozohet nga neni 4, pika 4, i VKM-së.</w:t>
            </w:r>
          </w:p>
        </w:tc>
      </w:tr>
      <w:tr w:rsidR="004E6A4A" w:rsidRPr="004E6A4A" w14:paraId="634935DC" w14:textId="77777777" w:rsidTr="00153084">
        <w:trPr>
          <w:trHeight w:val="764"/>
        </w:trPr>
        <w:tc>
          <w:tcPr>
            <w:tcW w:w="630" w:type="dxa"/>
          </w:tcPr>
          <w:p w14:paraId="1D619D49" w14:textId="77777777" w:rsidR="006D0605" w:rsidRPr="004E6A4A" w:rsidRDefault="006D0605" w:rsidP="00C4419F">
            <w:pPr>
              <w:jc w:val="center"/>
              <w:rPr>
                <w:rFonts w:ascii="Times New Roman" w:eastAsia="Calibri" w:hAnsi="Times New Roman" w:cs="Times New Roman"/>
                <w:i/>
                <w:sz w:val="18"/>
                <w:szCs w:val="18"/>
              </w:rPr>
            </w:pPr>
          </w:p>
        </w:tc>
        <w:tc>
          <w:tcPr>
            <w:tcW w:w="4230" w:type="dxa"/>
          </w:tcPr>
          <w:p w14:paraId="47A87953" w14:textId="77777777" w:rsidR="008C56DE" w:rsidRPr="004E6A4A" w:rsidRDefault="00144445">
            <w:pPr>
              <w:rPr>
                <w:rFonts w:ascii="Times New Roman" w:eastAsia="Times New Roman" w:hAnsi="Times New Roman" w:cs="Times New Roman"/>
                <w:b/>
                <w:bCs/>
                <w:sz w:val="20"/>
                <w:szCs w:val="20"/>
              </w:rPr>
            </w:pPr>
            <w:r w:rsidRPr="004E6A4A">
              <w:rPr>
                <w:rFonts w:ascii="Times New Roman" w:eastAsia="Times New Roman" w:hAnsi="Times New Roman" w:cs="Times New Roman"/>
                <w:b/>
                <w:bCs/>
                <w:sz w:val="20"/>
                <w:szCs w:val="20"/>
              </w:rPr>
              <w:t>Aneksi I,  Seksioni I,  Paragrafi E</w:t>
            </w:r>
          </w:p>
          <w:p w14:paraId="25434117"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E.</w:t>
            </w:r>
            <w:r w:rsidRPr="004E6A4A">
              <w:rPr>
                <w:rFonts w:ascii="Times New Roman" w:eastAsia="Times New Roman" w:hAnsi="Times New Roman" w:cs="Times New Roman"/>
                <w:sz w:val="20"/>
                <w:szCs w:val="20"/>
              </w:rPr>
              <w:tab/>
              <w:t>Pavarësisht nga nënparagrafi A(1), vendi i lindjes nuk kërkohet të raportohet, përveçse kur:</w:t>
            </w:r>
          </w:p>
          <w:p w14:paraId="2024E454"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(1)</w:t>
            </w:r>
            <w:r w:rsidRPr="004E6A4A">
              <w:rPr>
                <w:rFonts w:ascii="Times New Roman" w:eastAsia="Times New Roman" w:hAnsi="Times New Roman" w:cs="Times New Roman"/>
                <w:sz w:val="20"/>
                <w:szCs w:val="20"/>
              </w:rPr>
              <w:tab/>
              <w:t>Institucioni Financiar Raportues është i detyruar ndryshe ta marrë dhe ta raportojë atë sipas legjislacionit të brendshëm ose Institucioni Financiar Raportues është ose ka qenë i detyruar ndryshe ta marrë dhe ta raportojë atë sipas ndonjë instrumenti juridik të Bashkimit në fuqi ose që ka qenë në fuqi më 5 janar 2015; dhe</w:t>
            </w:r>
          </w:p>
          <w:p w14:paraId="42581D3E"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(2)</w:t>
            </w:r>
            <w:r w:rsidRPr="004E6A4A">
              <w:rPr>
                <w:rFonts w:ascii="Times New Roman" w:eastAsia="Times New Roman" w:hAnsi="Times New Roman" w:cs="Times New Roman"/>
                <w:sz w:val="20"/>
                <w:szCs w:val="20"/>
              </w:rPr>
              <w:tab/>
              <w:t>ai është i disponueshëm në të dhënat e kërkueshme elektronikisht të mbajtura nga Institucioni Financiar Raportues.</w:t>
            </w:r>
          </w:p>
          <w:p w14:paraId="4966AC3D"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lastRenderedPageBreak/>
              <w:t>F. Pavarësisht nga nënparagrafi A(5), shkronja (b), dhe përveçse kur Institucioni Financiar Raportues zgjedh ndryshe në lidhje me një grup llogarish qartësisht të identifikuar, të ardhurat bruto nga shitja ose shlyerja e një Aktivi Financiar nuk kërkohet të raportohen për aq sa këto të ardhura bruto nga shitja ose shlyerja e këtij Aktivi Financiar raportohen nga Institucioni Financiar Raportues në përputhje me nenin 8ad.</w:t>
            </w:r>
          </w:p>
        </w:tc>
        <w:tc>
          <w:tcPr>
            <w:tcW w:w="1350" w:type="dxa"/>
          </w:tcPr>
          <w:p w14:paraId="3C546F9E" w14:textId="77777777" w:rsidR="006D0605" w:rsidRPr="004E6A4A" w:rsidRDefault="006D0605" w:rsidP="00C4419F">
            <w:pPr>
              <w:jc w:val="center"/>
              <w:rPr>
                <w:rFonts w:ascii="Times New Roman" w:eastAsia="Calibri" w:hAnsi="Times New Roman" w:cs="Times New Roman"/>
                <w:sz w:val="18"/>
                <w:szCs w:val="18"/>
              </w:rPr>
            </w:pPr>
          </w:p>
        </w:tc>
        <w:tc>
          <w:tcPr>
            <w:tcW w:w="810" w:type="dxa"/>
          </w:tcPr>
          <w:p w14:paraId="0E4AD299" w14:textId="4EA080B9" w:rsidR="006D0605" w:rsidRPr="004E6A4A" w:rsidRDefault="006D0605" w:rsidP="00C4419F">
            <w:pPr>
              <w:jc w:val="center"/>
              <w:rPr>
                <w:rFonts w:ascii="Times New Roman" w:eastAsia="Times New Roman" w:hAnsi="Times New Roman" w:cs="Times New Roman"/>
                <w:sz w:val="20"/>
                <w:szCs w:val="21"/>
                <w:lang w:eastAsia="sq-AL"/>
              </w:rPr>
            </w:pPr>
          </w:p>
        </w:tc>
        <w:tc>
          <w:tcPr>
            <w:tcW w:w="4590" w:type="dxa"/>
          </w:tcPr>
          <w:p w14:paraId="02EA7C67" w14:textId="77777777" w:rsidR="00FA0CFF" w:rsidRPr="004E6A4A" w:rsidRDefault="00144445">
            <w:pPr>
              <w:jc w:val="center"/>
            </w:pPr>
            <w:r w:rsidRPr="004E6A4A">
              <w:rPr>
                <w:rFonts w:ascii="Times New Roman" w:eastAsia="Times New Roman" w:hAnsi="Times New Roman" w:cs="Times New Roman"/>
                <w:b/>
                <w:sz w:val="20"/>
              </w:rPr>
              <w:t>VKM: Neni 4</w:t>
            </w:r>
          </w:p>
          <w:p w14:paraId="78B31F88" w14:textId="77777777" w:rsidR="00FA0CFF" w:rsidRPr="004E6A4A" w:rsidRDefault="00144445">
            <w:pPr>
              <w:jc w:val="center"/>
            </w:pPr>
            <w:r w:rsidRPr="004E6A4A">
              <w:rPr>
                <w:rFonts w:ascii="Times New Roman" w:eastAsia="Times New Roman" w:hAnsi="Times New Roman" w:cs="Times New Roman"/>
                <w:b/>
                <w:sz w:val="20"/>
              </w:rPr>
              <w:t>Kërkesat e përgjithshme të raportimit</w:t>
            </w:r>
          </w:p>
          <w:p w14:paraId="0ACD9362" w14:textId="77777777" w:rsidR="00FA0CFF" w:rsidRPr="004E6A4A" w:rsidRDefault="00144445">
            <w:pPr>
              <w:jc w:val="both"/>
            </w:pPr>
            <w:r w:rsidRPr="004E6A4A">
              <w:rPr>
                <w:rFonts w:ascii="Times New Roman" w:eastAsia="Times New Roman" w:hAnsi="Times New Roman" w:cs="Times New Roman"/>
                <w:sz w:val="20"/>
              </w:rPr>
              <w:t xml:space="preserve">5. Për profilin e Bashkimit Evropian, vendi i lindjes nuk kërkohet të raportohet, përveçse kur institucioni financiar raportues është i detyruar ose ka qenë i detyruar ta marrë dhe ta raportojë atë sipas legjislacionit kombëtar ose sipas një instrumenti juridik të Bashkimit Evropian në fuqi ose që ka qenë në fuqi më 5 janar 2015, dhe ky informacion është i disponueshëm në të dhënat elektronikisht të kërkueshme. Për profilin e Standardit të Përbashkët të Raportimit, vendi i lindjes kërkohet vetëm kur institucioni është i detyruar ta marrë dhe ta raportojë </w:t>
            </w:r>
            <w:r w:rsidRPr="004E6A4A">
              <w:rPr>
                <w:rFonts w:ascii="Times New Roman" w:eastAsia="Times New Roman" w:hAnsi="Times New Roman" w:cs="Times New Roman"/>
                <w:sz w:val="20"/>
              </w:rPr>
              <w:lastRenderedPageBreak/>
              <w:t>sipas legjislacionit kombëtar dhe ky informacion është i disponueshëm në të dhënat elektronikisht të kërkueshme.</w:t>
            </w:r>
          </w:p>
          <w:p w14:paraId="0B9BBB18" w14:textId="77777777" w:rsidR="00FA0CFF" w:rsidRPr="004E6A4A" w:rsidRDefault="00144445">
            <w:pPr>
              <w:jc w:val="both"/>
            </w:pPr>
            <w:r w:rsidRPr="004E6A4A">
              <w:rPr>
                <w:rFonts w:ascii="Times New Roman" w:eastAsia="Times New Roman" w:hAnsi="Times New Roman" w:cs="Times New Roman"/>
                <w:sz w:val="20"/>
              </w:rPr>
              <w:t>6. Për profilin e Bashkimit Evropian, të ardhurat bruto nga shitja ose shlyerja e një Aktivi Financiar nuk kërkohet të raportohen sipas këtij vendimi në masën që të njëjtat të ardhura raportohen nga i njëjti institucion financiar raportues sipas dispozitave që zbatojnë nenin 8ad të Direktivës 2011/16/BE, të ndryshuar, përveçse kur institucioni zgjedh ndryshe për një grup llogarish të identifikuar qartë. Për profilin e Standardit të Përbashkët të Raportimit zbatohet rregulli përkatës i Standardit për të ardhurat bruto që raportohen sipas Kornizës së Raportimit të Kriptoaseteve.</w:t>
            </w:r>
          </w:p>
          <w:p w14:paraId="70654CCD" w14:textId="77777777" w:rsidR="00FA0CFF" w:rsidRPr="004E6A4A" w:rsidRDefault="00FA0CFF"/>
          <w:p w14:paraId="50F9BDFE" w14:textId="38634136" w:rsidR="00FA0CFF" w:rsidRPr="004E6A4A" w:rsidRDefault="00FA0CFF">
            <w:pPr>
              <w:jc w:val="both"/>
            </w:pPr>
          </w:p>
        </w:tc>
        <w:tc>
          <w:tcPr>
            <w:tcW w:w="1620" w:type="dxa"/>
          </w:tcPr>
          <w:p w14:paraId="04DF4DC2" w14:textId="77777777" w:rsidR="00FF7A09" w:rsidRPr="004E6A4A" w:rsidRDefault="00FF7A09" w:rsidP="00C4419F">
            <w:pPr>
              <w:jc w:val="center"/>
              <w:rPr>
                <w:rFonts w:ascii="Times New Roman" w:eastAsia="Calibri" w:hAnsi="Times New Roman" w:cs="Times New Roman"/>
                <w:sz w:val="18"/>
                <w:szCs w:val="18"/>
              </w:rPr>
            </w:pPr>
          </w:p>
          <w:p w14:paraId="662DBEEB" w14:textId="4537B31E" w:rsidR="006D0605" w:rsidRPr="004E6A4A" w:rsidRDefault="00FF7A09"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17FA9F67"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Përputhet.</w:t>
            </w:r>
          </w:p>
          <w:p w14:paraId="04C1FC00" w14:textId="0905A3A2"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Transpozohet nga neni 4, pikat 5 dhe 6, i VKM-së.</w:t>
            </w:r>
          </w:p>
        </w:tc>
      </w:tr>
      <w:tr w:rsidR="004E6A4A" w:rsidRPr="004E6A4A" w14:paraId="17FC5897" w14:textId="77777777" w:rsidTr="00153084">
        <w:trPr>
          <w:trHeight w:val="764"/>
        </w:trPr>
        <w:tc>
          <w:tcPr>
            <w:tcW w:w="630" w:type="dxa"/>
          </w:tcPr>
          <w:p w14:paraId="0AA42306" w14:textId="77777777" w:rsidR="006D0605" w:rsidRPr="004E6A4A" w:rsidRDefault="006D0605" w:rsidP="00C4419F">
            <w:pPr>
              <w:jc w:val="center"/>
              <w:rPr>
                <w:rFonts w:ascii="Times New Roman" w:eastAsia="Calibri" w:hAnsi="Times New Roman" w:cs="Times New Roman"/>
                <w:i/>
                <w:sz w:val="18"/>
                <w:szCs w:val="18"/>
              </w:rPr>
            </w:pPr>
          </w:p>
        </w:tc>
        <w:tc>
          <w:tcPr>
            <w:tcW w:w="4230" w:type="dxa"/>
          </w:tcPr>
          <w:p w14:paraId="20ED4DB7" w14:textId="77777777" w:rsidR="008C56DE" w:rsidRPr="004E6A4A" w:rsidRDefault="00144445">
            <w:pPr>
              <w:rPr>
                <w:rFonts w:ascii="Times New Roman" w:eastAsia="Times New Roman" w:hAnsi="Times New Roman" w:cs="Times New Roman"/>
                <w:b/>
                <w:bCs/>
                <w:sz w:val="20"/>
                <w:szCs w:val="20"/>
              </w:rPr>
            </w:pPr>
            <w:r w:rsidRPr="004E6A4A">
              <w:rPr>
                <w:rFonts w:ascii="Times New Roman" w:eastAsia="Times New Roman" w:hAnsi="Times New Roman" w:cs="Times New Roman"/>
                <w:b/>
                <w:bCs/>
                <w:sz w:val="20"/>
                <w:szCs w:val="20"/>
              </w:rPr>
              <w:t>Aneksi I,  Seksioni II,  Paragrafët A–E</w:t>
            </w:r>
          </w:p>
          <w:p w14:paraId="4ACB246B"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SEKSIONI II</w:t>
            </w:r>
          </w:p>
          <w:p w14:paraId="6E410CE3"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KËRKESAT E PËRGJITHSHME TË VIGJILENCËS SË DUHUR</w:t>
            </w:r>
          </w:p>
          <w:p w14:paraId="50984F82"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A.</w:t>
            </w:r>
            <w:r w:rsidRPr="004E6A4A">
              <w:rPr>
                <w:rFonts w:ascii="Times New Roman" w:eastAsia="Times New Roman" w:hAnsi="Times New Roman" w:cs="Times New Roman"/>
                <w:sz w:val="20"/>
                <w:szCs w:val="20"/>
              </w:rPr>
              <w:tab/>
              <w:t>Një llogari trajtohet si Llogari e Raportueshme duke filluar nga data në të cilën identifikohet si e tillë në zbatim të procedurave të vigjilencës së duhur të Seksioneve II deri në VII dhe, përveçse kur parashikohet ndryshe, informacioni në lidhje me një Llogari të Raportueshme duhet të raportohet çdo vit në vitin kalendarik pasardhës të vitit me të cilin lidhet informacioni.</w:t>
            </w:r>
          </w:p>
          <w:p w14:paraId="7E2F0F8E"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B.</w:t>
            </w:r>
            <w:r w:rsidRPr="004E6A4A">
              <w:rPr>
                <w:rFonts w:ascii="Times New Roman" w:eastAsia="Times New Roman" w:hAnsi="Times New Roman" w:cs="Times New Roman"/>
                <w:sz w:val="20"/>
                <w:szCs w:val="20"/>
              </w:rPr>
              <w:tab/>
              <w:t>Gjendja ose vlera e një llogarie përcaktohet në ditën e fundit të vitit kalendarik ose të periudhës tjetër të përshtatshme raportuese.</w:t>
            </w:r>
          </w:p>
          <w:p w14:paraId="6E74B8EA"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w:t>
            </w:r>
            <w:r w:rsidRPr="004E6A4A">
              <w:rPr>
                <w:rFonts w:ascii="Times New Roman" w:eastAsia="Times New Roman" w:hAnsi="Times New Roman" w:cs="Times New Roman"/>
                <w:sz w:val="20"/>
                <w:szCs w:val="20"/>
              </w:rPr>
              <w:tab/>
              <w:t>Kur një prag gjendjeje ose vlere duhet të përcaktohet në ditën e fundit të një viti kalendarik, gjendja ose vlera përkatëse duhet të përcaktohet në ditën e fundit të periudhës raportuese që përfundon me ose brenda atij viti kalendarik.</w:t>
            </w:r>
          </w:p>
          <w:p w14:paraId="0EE6CC71"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lastRenderedPageBreak/>
              <w:t>D.</w:t>
            </w:r>
            <w:r w:rsidRPr="004E6A4A">
              <w:rPr>
                <w:rFonts w:ascii="Times New Roman" w:eastAsia="Times New Roman" w:hAnsi="Times New Roman" w:cs="Times New Roman"/>
                <w:sz w:val="20"/>
                <w:szCs w:val="20"/>
              </w:rPr>
              <w:tab/>
              <w:t>Çdo shtet anëtar mund t’u lejojë Institucioneve Financiare Raportuese të përdorin ofrues shërbimesh për përmbushjen e detyrimeve të raportimit dhe të vigjilencës së duhur që u ngarkohen këtyre Institucioneve Financiare Raportuese, siç parashikohet në legjislacionin e brendshëm, por këto detyrime mbeten përgjegjësi e Institucioneve Financiare Raportuese.</w:t>
            </w:r>
          </w:p>
          <w:p w14:paraId="473DC006"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E.</w:t>
            </w:r>
            <w:r w:rsidRPr="004E6A4A">
              <w:rPr>
                <w:rFonts w:ascii="Times New Roman" w:eastAsia="Times New Roman" w:hAnsi="Times New Roman" w:cs="Times New Roman"/>
                <w:sz w:val="20"/>
                <w:szCs w:val="20"/>
              </w:rPr>
              <w:tab/>
              <w:t>Çdo shtet anëtar mund t’u lejojë Institucioneve Financiare Raportuese të zbatojnë procedurat e vigjilencës së duhur për Llogaritë e Reja edhe për Llogaritë Paraekzistuese, dhe procedurat e vigjilencës së duhur për Llogaritë me Vlerë të Madhe edhe për Llogaritë me Vlerë më të Ulët. Kur një shtet anëtar lejon që procedurat e vigjilencës së duhur për Llogaritë e Reja të përdoren për Llogaritë Paraekzistuese, rregullat që zbatohen ndryshe për Llogaritë Paraekzistuese vazhdojnë të zbatohen.</w:t>
            </w:r>
          </w:p>
        </w:tc>
        <w:tc>
          <w:tcPr>
            <w:tcW w:w="1350" w:type="dxa"/>
          </w:tcPr>
          <w:p w14:paraId="1AAE0141" w14:textId="77777777" w:rsidR="006D0605" w:rsidRPr="004E6A4A" w:rsidRDefault="006D0605" w:rsidP="00C4419F">
            <w:pPr>
              <w:jc w:val="center"/>
              <w:rPr>
                <w:rFonts w:ascii="Times New Roman" w:eastAsia="Calibri" w:hAnsi="Times New Roman" w:cs="Times New Roman"/>
                <w:sz w:val="18"/>
                <w:szCs w:val="18"/>
              </w:rPr>
            </w:pPr>
          </w:p>
        </w:tc>
        <w:tc>
          <w:tcPr>
            <w:tcW w:w="810" w:type="dxa"/>
          </w:tcPr>
          <w:p w14:paraId="2072ED69" w14:textId="7E77119E" w:rsidR="006D0605" w:rsidRPr="004E6A4A" w:rsidRDefault="006D0605" w:rsidP="00C4419F">
            <w:pPr>
              <w:jc w:val="center"/>
              <w:rPr>
                <w:rFonts w:ascii="Times New Roman" w:eastAsia="Times New Roman" w:hAnsi="Times New Roman" w:cs="Times New Roman"/>
                <w:sz w:val="20"/>
                <w:szCs w:val="21"/>
                <w:lang w:eastAsia="sq-AL"/>
              </w:rPr>
            </w:pPr>
          </w:p>
        </w:tc>
        <w:tc>
          <w:tcPr>
            <w:tcW w:w="4590" w:type="dxa"/>
          </w:tcPr>
          <w:p w14:paraId="26FC9021" w14:textId="77777777" w:rsidR="00FA0CFF" w:rsidRPr="004E6A4A" w:rsidRDefault="00144445">
            <w:pPr>
              <w:jc w:val="center"/>
            </w:pPr>
            <w:r w:rsidRPr="004E6A4A">
              <w:rPr>
                <w:rFonts w:ascii="Times New Roman" w:eastAsia="Times New Roman" w:hAnsi="Times New Roman" w:cs="Times New Roman"/>
                <w:b/>
                <w:sz w:val="20"/>
              </w:rPr>
              <w:t>Ligji: Neni 7</w:t>
            </w:r>
          </w:p>
          <w:p w14:paraId="423215AF" w14:textId="77777777" w:rsidR="00FA0CFF" w:rsidRPr="004E6A4A" w:rsidRDefault="00144445">
            <w:pPr>
              <w:jc w:val="center"/>
            </w:pPr>
            <w:r w:rsidRPr="004E6A4A">
              <w:rPr>
                <w:rFonts w:ascii="Times New Roman" w:eastAsia="Times New Roman" w:hAnsi="Times New Roman" w:cs="Times New Roman"/>
                <w:b/>
                <w:sz w:val="20"/>
              </w:rPr>
              <w:t>Vigjilenca e duhur</w:t>
            </w:r>
          </w:p>
          <w:p w14:paraId="1676B04C" w14:textId="77777777" w:rsidR="00FA0CFF" w:rsidRPr="004E6A4A" w:rsidRDefault="00144445">
            <w:pPr>
              <w:jc w:val="both"/>
            </w:pPr>
            <w:r w:rsidRPr="004E6A4A">
              <w:rPr>
                <w:rFonts w:ascii="Times New Roman" w:eastAsia="Times New Roman" w:hAnsi="Times New Roman" w:cs="Times New Roman"/>
                <w:sz w:val="20"/>
              </w:rPr>
              <w:t>1. Institucionet financiare raportuese zbatojnë procedurat e vigjilencës së duhur për identifikimin e Llogarive të Raportueshme dhe të Personave të Raportueshëm, në përputhje me këtë ligj.</w:t>
            </w:r>
          </w:p>
          <w:p w14:paraId="6255FF4A" w14:textId="77777777" w:rsidR="00FA0CFF" w:rsidRPr="004E6A4A" w:rsidRDefault="00144445">
            <w:pPr>
              <w:jc w:val="both"/>
            </w:pPr>
            <w:r w:rsidRPr="004E6A4A">
              <w:rPr>
                <w:rFonts w:ascii="Times New Roman" w:eastAsia="Times New Roman" w:hAnsi="Times New Roman" w:cs="Times New Roman"/>
                <w:sz w:val="20"/>
              </w:rPr>
              <w:t>2. Për qëllimet e procedurave të vigjilencës së duhur, institucionet financiare raportuese zbatojnë rregulla të veçanta për:</w:t>
            </w:r>
          </w:p>
          <w:p w14:paraId="182FB61E" w14:textId="77777777" w:rsidR="00FA0CFF" w:rsidRPr="004E6A4A" w:rsidRDefault="00144445">
            <w:pPr>
              <w:jc w:val="both"/>
            </w:pPr>
            <w:r w:rsidRPr="004E6A4A">
              <w:rPr>
                <w:rFonts w:ascii="Times New Roman" w:eastAsia="Times New Roman" w:hAnsi="Times New Roman" w:cs="Times New Roman"/>
                <w:sz w:val="20"/>
              </w:rPr>
              <w:t>a) Llogaritë Individuale Paraekzistuese;</w:t>
            </w:r>
          </w:p>
          <w:p w14:paraId="796A5684" w14:textId="77777777" w:rsidR="00FA0CFF" w:rsidRPr="004E6A4A" w:rsidRDefault="00144445">
            <w:pPr>
              <w:jc w:val="both"/>
            </w:pPr>
            <w:r w:rsidRPr="004E6A4A">
              <w:rPr>
                <w:rFonts w:ascii="Times New Roman" w:eastAsia="Times New Roman" w:hAnsi="Times New Roman" w:cs="Times New Roman"/>
                <w:sz w:val="20"/>
              </w:rPr>
              <w:t>b) Llogaritë Individuale të Reja;</w:t>
            </w:r>
          </w:p>
          <w:p w14:paraId="7F85F9F0" w14:textId="77777777" w:rsidR="00FA0CFF" w:rsidRPr="004E6A4A" w:rsidRDefault="00144445">
            <w:pPr>
              <w:jc w:val="both"/>
            </w:pPr>
            <w:r w:rsidRPr="004E6A4A">
              <w:rPr>
                <w:rFonts w:ascii="Times New Roman" w:eastAsia="Times New Roman" w:hAnsi="Times New Roman" w:cs="Times New Roman"/>
                <w:sz w:val="20"/>
              </w:rPr>
              <w:t>c) Llogaritë e Njësive Ekonomike Paraekzistuese; dhe</w:t>
            </w:r>
          </w:p>
          <w:p w14:paraId="51D27348" w14:textId="77777777" w:rsidR="00FA0CFF" w:rsidRPr="004E6A4A" w:rsidRDefault="00144445">
            <w:pPr>
              <w:jc w:val="both"/>
            </w:pPr>
            <w:r w:rsidRPr="004E6A4A">
              <w:rPr>
                <w:rFonts w:ascii="Times New Roman" w:eastAsia="Times New Roman" w:hAnsi="Times New Roman" w:cs="Times New Roman"/>
                <w:sz w:val="20"/>
              </w:rPr>
              <w:t>ç) Llogaritë e Reja të Njësive Ekonomike.</w:t>
            </w:r>
          </w:p>
          <w:p w14:paraId="119D7E2E" w14:textId="77777777" w:rsidR="00FA0CFF" w:rsidRPr="004E6A4A" w:rsidRDefault="00144445">
            <w:pPr>
              <w:jc w:val="both"/>
            </w:pPr>
            <w:r w:rsidRPr="004E6A4A">
              <w:rPr>
                <w:rFonts w:ascii="Times New Roman" w:eastAsia="Times New Roman" w:hAnsi="Times New Roman" w:cs="Times New Roman"/>
                <w:sz w:val="20"/>
              </w:rPr>
              <w:t>3. Institucioni financiar raportues duhet të marrë një vetëdeklarim të vlefshëm në rastet kur kërkohet nga ky ligj. Vetëdeklarimi mund të jetë pjesë e dokumentacionit për hapjen e llogarisë.</w:t>
            </w:r>
          </w:p>
          <w:p w14:paraId="61FE6933" w14:textId="77777777" w:rsidR="00FA0CFF" w:rsidRPr="004E6A4A" w:rsidRDefault="00144445">
            <w:pPr>
              <w:jc w:val="both"/>
            </w:pPr>
            <w:r w:rsidRPr="004E6A4A">
              <w:rPr>
                <w:rFonts w:ascii="Times New Roman" w:eastAsia="Times New Roman" w:hAnsi="Times New Roman" w:cs="Times New Roman"/>
                <w:sz w:val="20"/>
              </w:rPr>
              <w:t xml:space="preserve">4. Institucioni financiar raportues duhet të konfirmojë arsyeshmërinë e vetëdeklarimit, duke u bazuar në informacionin që disponon ose që merr në lidhje me hapjen ose mbajtjen e llogarisë, përfshirë </w:t>
            </w:r>
            <w:r w:rsidRPr="004E6A4A">
              <w:rPr>
                <w:rFonts w:ascii="Times New Roman" w:eastAsia="Times New Roman" w:hAnsi="Times New Roman" w:cs="Times New Roman"/>
                <w:sz w:val="20"/>
              </w:rPr>
              <w:lastRenderedPageBreak/>
              <w:t>dokumentacionin e mbledhur në përputhje me procedurat për parandalimin e pastrimit të parave dhe financimin e terrorizmit.</w:t>
            </w:r>
          </w:p>
          <w:p w14:paraId="7816B618" w14:textId="77777777" w:rsidR="00FA0CFF" w:rsidRPr="004E6A4A" w:rsidRDefault="00144445">
            <w:pPr>
              <w:jc w:val="both"/>
            </w:pPr>
            <w:r w:rsidRPr="004E6A4A">
              <w:rPr>
                <w:rFonts w:ascii="Times New Roman" w:eastAsia="Times New Roman" w:hAnsi="Times New Roman" w:cs="Times New Roman"/>
                <w:sz w:val="20"/>
              </w:rPr>
              <w:t>5. Një institucion financiar raportues nuk mund të mbështetet në një vetëdeklarim ose në evidenca shkresore kur ka dijeni ose ka arsye të dijë se vetëdeklarimi ose evidencat shkresore janë të pasakta ose jo të besueshme.</w:t>
            </w:r>
          </w:p>
          <w:p w14:paraId="1A54BE7E" w14:textId="77777777" w:rsidR="00FA0CFF" w:rsidRPr="004E6A4A" w:rsidRDefault="00144445">
            <w:pPr>
              <w:jc w:val="both"/>
            </w:pPr>
            <w:r w:rsidRPr="004E6A4A">
              <w:rPr>
                <w:rFonts w:ascii="Times New Roman" w:eastAsia="Times New Roman" w:hAnsi="Times New Roman" w:cs="Times New Roman"/>
                <w:sz w:val="20"/>
              </w:rPr>
              <w:t>6. Institucionet financiare raportuese marrin në konsideratë çdo ndryshim në rrethanat që mund të ndikojë në statusin e mbajtësit të llogarisë ose të personit kontrollues dhe, në rast të një ndryshimi të tillë, rishikojnë statusin e llogarisë dhe zbatojnë procedurat përkatëse të vigjilencës së duhur.</w:t>
            </w:r>
          </w:p>
          <w:p w14:paraId="401CA058" w14:textId="77777777" w:rsidR="00FA0CFF" w:rsidRPr="004E6A4A" w:rsidRDefault="00144445">
            <w:pPr>
              <w:jc w:val="both"/>
            </w:pPr>
            <w:r w:rsidRPr="004E6A4A">
              <w:rPr>
                <w:rFonts w:ascii="Times New Roman" w:eastAsia="Times New Roman" w:hAnsi="Times New Roman" w:cs="Times New Roman"/>
                <w:sz w:val="20"/>
              </w:rPr>
              <w:t>7. Për përcaktimin e Personave Kontrollues të një njësie ekonomike, institucioni financiar raportues mund të mbështetet në informacionin e mbledhur dhe të mbajtur në përputhje me procedurat për parandalimin e pastrimit të parave dhe financimin e terrorizmit sipas legjislacionit shqiptar në fuqi. Nëse institucioni financiar raportues nuk i nënshtrohet ligjërisht zbatimit të këtyre procedurave, ai zbaton procedura thelbësisht të ngjashme për qëllimin e përcaktimit të Personave Kontrollues.</w:t>
            </w:r>
          </w:p>
          <w:p w14:paraId="25402F21" w14:textId="77777777" w:rsidR="00FA0CFF" w:rsidRPr="004E6A4A" w:rsidRDefault="00144445">
            <w:pPr>
              <w:jc w:val="both"/>
            </w:pPr>
            <w:r w:rsidRPr="004E6A4A">
              <w:rPr>
                <w:rFonts w:ascii="Times New Roman" w:eastAsia="Times New Roman" w:hAnsi="Times New Roman" w:cs="Times New Roman"/>
                <w:sz w:val="20"/>
              </w:rPr>
              <w:t>8. Institucionet financiare raportuese mbajnë evidencat e hapave të ndërmarrë dhe të informacionit të përdorur për përmbushjen e detyrimeve të raportimit dhe të vigjilencës së duhur, për periudhën e përcaktuar në këtë ligj.</w:t>
            </w:r>
          </w:p>
          <w:p w14:paraId="2A5CD2B1" w14:textId="77777777" w:rsidR="00FA0CFF" w:rsidRPr="004E6A4A" w:rsidRDefault="00144445">
            <w:pPr>
              <w:jc w:val="both"/>
            </w:pPr>
            <w:r w:rsidRPr="004E6A4A">
              <w:rPr>
                <w:rFonts w:ascii="Times New Roman" w:eastAsia="Times New Roman" w:hAnsi="Times New Roman" w:cs="Times New Roman"/>
                <w:sz w:val="20"/>
              </w:rPr>
              <w:t>9. Rregullat e hollësishme për zbatimin e procedurave të vigjilencës së duhur, përfshirë formatin dhe përmbajtjen e vetëdeklarimit, dokumentacionin mbështetës, treguesit, mënyrën e kërkimit dhe verifikimit të informacionit, përcaktohen me akt nënligjor në zbatim të këtij ligji.</w:t>
            </w:r>
          </w:p>
          <w:p w14:paraId="460B91A3" w14:textId="77777777" w:rsidR="00FA0CFF" w:rsidRPr="004E6A4A" w:rsidRDefault="00144445">
            <w:pPr>
              <w:jc w:val="both"/>
            </w:pPr>
            <w:r w:rsidRPr="004E6A4A">
              <w:rPr>
                <w:rFonts w:ascii="Times New Roman" w:eastAsia="Times New Roman" w:hAnsi="Times New Roman" w:cs="Times New Roman"/>
                <w:sz w:val="20"/>
              </w:rPr>
              <w:t xml:space="preserve">10. Institucioni financiar raportues informon çdo individ të interesuar se informacioni që lidhet me të do </w:t>
            </w:r>
            <w:r w:rsidRPr="004E6A4A">
              <w:rPr>
                <w:rFonts w:ascii="Times New Roman" w:eastAsia="Times New Roman" w:hAnsi="Times New Roman" w:cs="Times New Roman"/>
                <w:sz w:val="20"/>
              </w:rPr>
              <w:lastRenderedPageBreak/>
              <w:t>të mblidhet, përpunohet dhe transmetohet për qëllimet e këtij ligji dhe i jep informacionin që i takon nga kontrolluesi i të dhënave në kohë të mjaftueshme për ushtrimin e të drejtave të tij dhe, në çdo rast, përpara raportimit të informacionit, në përputhje me legjislacionin për mbrojtjen e të dhënave personale.</w:t>
            </w:r>
          </w:p>
          <w:p w14:paraId="44DF030A" w14:textId="77777777" w:rsidR="00FA0CFF" w:rsidRPr="004E6A4A" w:rsidRDefault="00144445">
            <w:pPr>
              <w:jc w:val="both"/>
            </w:pPr>
            <w:r w:rsidRPr="004E6A4A">
              <w:rPr>
                <w:rFonts w:ascii="Times New Roman" w:eastAsia="Times New Roman" w:hAnsi="Times New Roman" w:cs="Times New Roman"/>
                <w:sz w:val="20"/>
              </w:rPr>
              <w:t>11. Mbajtësi i llogarisë, Personi Kontrollues ose personi tjetër të cilit i kërkohet vetëdeklarim, informacion ose dokumentacion sipas këtij ligji ka detyrimin ta japë atë të plotë, të saktë dhe të vërtetë dhe të njoftojë pa vonesë institucionin financiar raportues për çdo ndryshim të rrethanave që e bën informacionin e mëparshëm të pasaktë ose jo të besueshëm.</w:t>
            </w:r>
          </w:p>
          <w:p w14:paraId="3A8474E5" w14:textId="77777777" w:rsidR="00FA0CFF" w:rsidRPr="004E6A4A" w:rsidRDefault="00FA0CFF"/>
          <w:p w14:paraId="06853C01" w14:textId="77777777" w:rsidR="00FA0CFF" w:rsidRPr="004E6A4A" w:rsidRDefault="00144445">
            <w:pPr>
              <w:jc w:val="center"/>
            </w:pPr>
            <w:r w:rsidRPr="004E6A4A">
              <w:rPr>
                <w:rFonts w:ascii="Times New Roman" w:eastAsia="Times New Roman" w:hAnsi="Times New Roman" w:cs="Times New Roman"/>
                <w:b/>
                <w:sz w:val="20"/>
              </w:rPr>
              <w:t>VKM: Neni 5</w:t>
            </w:r>
          </w:p>
          <w:p w14:paraId="405B986D" w14:textId="77777777" w:rsidR="00FA0CFF" w:rsidRPr="004E6A4A" w:rsidRDefault="00144445">
            <w:pPr>
              <w:jc w:val="center"/>
            </w:pPr>
            <w:r w:rsidRPr="004E6A4A">
              <w:rPr>
                <w:rFonts w:ascii="Times New Roman" w:eastAsia="Times New Roman" w:hAnsi="Times New Roman" w:cs="Times New Roman"/>
                <w:b/>
                <w:sz w:val="20"/>
              </w:rPr>
              <w:t>Kërkesat e përgjithshme të vigjilencës së duhur</w:t>
            </w:r>
          </w:p>
          <w:p w14:paraId="14F371EE" w14:textId="77777777" w:rsidR="00FA0CFF" w:rsidRPr="004E6A4A" w:rsidRDefault="00144445">
            <w:pPr>
              <w:jc w:val="both"/>
            </w:pPr>
            <w:r w:rsidRPr="004E6A4A">
              <w:rPr>
                <w:rFonts w:ascii="Times New Roman" w:eastAsia="Times New Roman" w:hAnsi="Times New Roman" w:cs="Times New Roman"/>
                <w:sz w:val="20"/>
              </w:rPr>
              <w:t>1. Institucioni financiar raportues krijon, mirëmban dhe dokumenton procedurat e vigjilencës së duhur të neneve 5 deri në 11, për identifikimin e Llogarive të Raportueshme.</w:t>
            </w:r>
          </w:p>
          <w:p w14:paraId="5A667341" w14:textId="77777777" w:rsidR="00FA0CFF" w:rsidRPr="004E6A4A" w:rsidRDefault="00144445">
            <w:pPr>
              <w:jc w:val="both"/>
            </w:pPr>
            <w:r w:rsidRPr="004E6A4A">
              <w:rPr>
                <w:rFonts w:ascii="Times New Roman" w:eastAsia="Times New Roman" w:hAnsi="Times New Roman" w:cs="Times New Roman"/>
                <w:sz w:val="20"/>
              </w:rPr>
              <w:t>2. Një llogari trajtohet si Llogari e Raportueshme nga data kur identifikohet si e tillë dhe, përveçse kur parashikohet ndryshe, informacioni për të raportohet çdo vit në vitin që pason periudhën me të cilën lidhet informacioni.</w:t>
            </w:r>
          </w:p>
          <w:p w14:paraId="27605C82" w14:textId="77777777" w:rsidR="00FA0CFF" w:rsidRPr="004E6A4A" w:rsidRDefault="00144445">
            <w:pPr>
              <w:jc w:val="both"/>
            </w:pPr>
            <w:r w:rsidRPr="004E6A4A">
              <w:rPr>
                <w:rFonts w:ascii="Times New Roman" w:eastAsia="Times New Roman" w:hAnsi="Times New Roman" w:cs="Times New Roman"/>
                <w:sz w:val="20"/>
              </w:rPr>
              <w:t>3. Gjendja ose vlera e një llogarie përcaktohet në ditën e fundit të vitit kalendarik ose të periudhës tjetër përkatëse të raportimit.</w:t>
            </w:r>
          </w:p>
          <w:p w14:paraId="36C99D2D" w14:textId="77777777" w:rsidR="00FA0CFF" w:rsidRPr="004E6A4A" w:rsidRDefault="00144445">
            <w:pPr>
              <w:jc w:val="both"/>
            </w:pPr>
            <w:r w:rsidRPr="004E6A4A">
              <w:rPr>
                <w:rFonts w:ascii="Times New Roman" w:eastAsia="Times New Roman" w:hAnsi="Times New Roman" w:cs="Times New Roman"/>
                <w:sz w:val="20"/>
              </w:rPr>
              <w:t>4. Kur një prag gjendjeje ose vlere përcaktohet në ditën e fundit të një viti kalendarik, gjendja ose vlera përkatëse përcaktohet në ditën e fundit të periudhës raportuese që përfundon me ose brenda atij viti.</w:t>
            </w:r>
          </w:p>
          <w:p w14:paraId="6F9F98CB" w14:textId="77777777" w:rsidR="00FA0CFF" w:rsidRPr="004E6A4A" w:rsidRDefault="00144445">
            <w:pPr>
              <w:jc w:val="both"/>
            </w:pPr>
            <w:r w:rsidRPr="004E6A4A">
              <w:rPr>
                <w:rFonts w:ascii="Times New Roman" w:eastAsia="Times New Roman" w:hAnsi="Times New Roman" w:cs="Times New Roman"/>
                <w:sz w:val="20"/>
              </w:rPr>
              <w:t>5. Institucioni financiar raportues mund të përdorë një ofrues shërbimi për përmbushjen e një ose më shumë detyrimeve të raportimit ose të vigjilencës së duhur, por përgjegjësia për përmbushjen e tyre mbetet e institucionit financiar raportues.</w:t>
            </w:r>
          </w:p>
          <w:p w14:paraId="58B58E98" w14:textId="77777777" w:rsidR="00FA0CFF" w:rsidRPr="004E6A4A" w:rsidRDefault="00144445">
            <w:pPr>
              <w:jc w:val="both"/>
            </w:pPr>
            <w:r w:rsidRPr="004E6A4A">
              <w:rPr>
                <w:rFonts w:ascii="Times New Roman" w:eastAsia="Times New Roman" w:hAnsi="Times New Roman" w:cs="Times New Roman"/>
                <w:sz w:val="20"/>
              </w:rPr>
              <w:lastRenderedPageBreak/>
              <w:t>6. Kur një institucion financiar, ndërmjetës, ofrues shërbimi ose person tjetër hyn në një marrëveshje ose përdor një praktikë, qëllimi kryesor ose një nga qëllimet kryesore të së cilës është shmangia ose anashkalimi i detyrimeve sipas ligjit ose këtij vendimi, detyrimet zbatohen sikur marrëveshja ose praktika të mos ishte përdorur.</w:t>
            </w:r>
          </w:p>
          <w:p w14:paraId="482C37F5" w14:textId="77777777" w:rsidR="00FA0CFF" w:rsidRPr="004E6A4A" w:rsidRDefault="00144445">
            <w:pPr>
              <w:jc w:val="both"/>
            </w:pPr>
            <w:r w:rsidRPr="004E6A4A">
              <w:rPr>
                <w:rFonts w:ascii="Times New Roman" w:eastAsia="Times New Roman" w:hAnsi="Times New Roman" w:cs="Times New Roman"/>
                <w:sz w:val="20"/>
              </w:rPr>
              <w:t>7. Institucioni financiar raportues mund të zbatojë procedurat e vigjilencës së duhur për Llogaritë e Reja ndaj të gjitha ose një grupi të identifikuar qartë Llogarish Paraekzistuese, pa cenuar rregullat që vijojnë të zbatohen për Llogaritë Paraekzistuese, dhe mund të zbatojë procedurat e Llogarive me Vlerë të Madhe ndaj Llogarive me Vlerë më të Ulët.</w:t>
            </w:r>
          </w:p>
          <w:p w14:paraId="636B8A91" w14:textId="77777777" w:rsidR="00FA0CFF" w:rsidRPr="004E6A4A" w:rsidRDefault="00144445">
            <w:pPr>
              <w:jc w:val="both"/>
            </w:pPr>
            <w:r w:rsidRPr="004E6A4A">
              <w:rPr>
                <w:rFonts w:ascii="Times New Roman" w:eastAsia="Times New Roman" w:hAnsi="Times New Roman" w:cs="Times New Roman"/>
                <w:sz w:val="20"/>
              </w:rPr>
              <w:t>8. Për profilin e Standardit të Përbashkët të Raportimit, vetëm për qëllime të zbatimit të procedurave të vigjilencës së duhur, Institucioni Financiar Raportues i zbaton këto procedura në lidhje me rezidencat në çdo juridiksion tjetër, përveç Republikës së Shqipërisë dhe Shteteve të Bashkuara të Amerikës, sikur juridiksioni të ishte Juridiksion i Raportueshëm. Ky rregull nuk ndryshon përkufizimin e Juridiksionit të Raportueshëm dhe nuk krijon detyrim shkëmbimi.</w:t>
            </w:r>
          </w:p>
          <w:p w14:paraId="2FAFD157" w14:textId="77777777" w:rsidR="00FA0CFF" w:rsidRPr="004E6A4A" w:rsidRDefault="00FA0CFF"/>
          <w:p w14:paraId="06FEC955" w14:textId="77777777" w:rsidR="00FA0CFF" w:rsidRPr="004E6A4A" w:rsidRDefault="00144445">
            <w:pPr>
              <w:jc w:val="center"/>
            </w:pPr>
            <w:r w:rsidRPr="004E6A4A">
              <w:rPr>
                <w:rFonts w:ascii="Times New Roman" w:eastAsia="Times New Roman" w:hAnsi="Times New Roman" w:cs="Times New Roman"/>
                <w:b/>
                <w:sz w:val="20"/>
              </w:rPr>
              <w:t>Ligji: Neni 13</w:t>
            </w:r>
          </w:p>
          <w:p w14:paraId="777E635E" w14:textId="77777777" w:rsidR="00FA0CFF" w:rsidRPr="004E6A4A" w:rsidRDefault="00144445">
            <w:pPr>
              <w:jc w:val="center"/>
            </w:pPr>
            <w:r w:rsidRPr="004E6A4A">
              <w:rPr>
                <w:rFonts w:ascii="Times New Roman" w:eastAsia="Times New Roman" w:hAnsi="Times New Roman" w:cs="Times New Roman"/>
                <w:b/>
                <w:sz w:val="20"/>
              </w:rPr>
              <w:t>Ndarja e informacionit brenda të njëjtit grup ose me ofruesit e shërbimit palë e tretë</w:t>
            </w:r>
          </w:p>
          <w:p w14:paraId="46B714C5" w14:textId="77777777" w:rsidR="00FA0CFF" w:rsidRPr="004E6A4A" w:rsidRDefault="00144445">
            <w:pPr>
              <w:jc w:val="both"/>
            </w:pPr>
            <w:r w:rsidRPr="004E6A4A">
              <w:rPr>
                <w:rFonts w:ascii="Times New Roman" w:eastAsia="Times New Roman" w:hAnsi="Times New Roman" w:cs="Times New Roman"/>
                <w:sz w:val="20"/>
              </w:rPr>
              <w:t>1. Institucionet financiare raportuese në Republikën e Shqipërisë mund të përdorin ofrues të shërbimeve, palë të treta, ose institucione të tjera financiare që janë pjesë e të njëjtit grup, për përmbushjen e detyrimeve të mbledhjes së informacionit, raportimit dhe vigjilencës së duhur, të parashikuara në këtë ligj dhe aktet nënligjore në zbatim të tij.</w:t>
            </w:r>
          </w:p>
          <w:p w14:paraId="78A49AB6" w14:textId="77777777" w:rsidR="00FA0CFF" w:rsidRPr="004E6A4A" w:rsidRDefault="00144445">
            <w:pPr>
              <w:jc w:val="both"/>
            </w:pPr>
            <w:r w:rsidRPr="004E6A4A">
              <w:rPr>
                <w:rFonts w:ascii="Times New Roman" w:eastAsia="Times New Roman" w:hAnsi="Times New Roman" w:cs="Times New Roman"/>
                <w:sz w:val="20"/>
              </w:rPr>
              <w:t xml:space="preserve">2. Ofruesit e shërbimeve, palë të treta, që mbajnë dokumentacionin dhe informacionin e nevojshëm për përmbushjen e detyrimeve të mbledhjes së </w:t>
            </w:r>
            <w:r w:rsidRPr="004E6A4A">
              <w:rPr>
                <w:rFonts w:ascii="Times New Roman" w:eastAsia="Times New Roman" w:hAnsi="Times New Roman" w:cs="Times New Roman"/>
                <w:sz w:val="20"/>
              </w:rPr>
              <w:lastRenderedPageBreak/>
              <w:t>informacionit, të vigjilencës së duhur dhe të raportimit, mund t’ia vënë në dispozicion këtë informacion dhe dokumentacion institucionit financiar raportues përkatës.</w:t>
            </w:r>
          </w:p>
          <w:p w14:paraId="5DD02D74" w14:textId="77777777" w:rsidR="00FA0CFF" w:rsidRPr="004E6A4A" w:rsidRDefault="00144445">
            <w:pPr>
              <w:jc w:val="both"/>
            </w:pPr>
            <w:r w:rsidRPr="004E6A4A">
              <w:rPr>
                <w:rFonts w:ascii="Times New Roman" w:eastAsia="Times New Roman" w:hAnsi="Times New Roman" w:cs="Times New Roman"/>
                <w:sz w:val="20"/>
              </w:rPr>
              <w:t>3. Përdorimi i ofruesve të shërbimeve, palë të treta, ose i institucioneve të tjera financiare të të njëjtit grup, nuk e çliron institucionin financiar raportues nga përgjegjësia për përmbushjen e detyrimeve të raportimit dhe të vigjilencës së duhur sipas këtij ligji dhe akteve nënligjore në zbatim të tij.</w:t>
            </w:r>
          </w:p>
          <w:p w14:paraId="166CA65E" w14:textId="77777777" w:rsidR="00FA0CFF" w:rsidRPr="004E6A4A" w:rsidRDefault="00FA0CFF"/>
          <w:p w14:paraId="613714DA" w14:textId="77777777" w:rsidR="00FA0CFF" w:rsidRPr="004E6A4A" w:rsidRDefault="00144445">
            <w:pPr>
              <w:jc w:val="center"/>
            </w:pPr>
            <w:r w:rsidRPr="004E6A4A">
              <w:rPr>
                <w:rFonts w:ascii="Times New Roman" w:eastAsia="Times New Roman" w:hAnsi="Times New Roman" w:cs="Times New Roman"/>
                <w:b/>
                <w:sz w:val="20"/>
              </w:rPr>
              <w:t>Ligji: Neni 5</w:t>
            </w:r>
          </w:p>
          <w:p w14:paraId="1927CB96" w14:textId="77777777" w:rsidR="00FA0CFF" w:rsidRPr="004E6A4A" w:rsidRDefault="00144445">
            <w:pPr>
              <w:jc w:val="center"/>
            </w:pPr>
            <w:r w:rsidRPr="004E6A4A">
              <w:rPr>
                <w:rFonts w:ascii="Times New Roman" w:eastAsia="Times New Roman" w:hAnsi="Times New Roman" w:cs="Times New Roman"/>
                <w:b/>
                <w:sz w:val="20"/>
              </w:rPr>
              <w:t>Përkufizime</w:t>
            </w:r>
          </w:p>
          <w:p w14:paraId="26B9EB8C" w14:textId="77777777" w:rsidR="00FA0CFF" w:rsidRPr="004E6A4A" w:rsidRDefault="00144445">
            <w:pPr>
              <w:jc w:val="both"/>
            </w:pPr>
            <w:r w:rsidRPr="004E6A4A">
              <w:rPr>
                <w:rFonts w:ascii="Times New Roman" w:eastAsia="Times New Roman" w:hAnsi="Times New Roman" w:cs="Times New Roman"/>
                <w:sz w:val="20"/>
              </w:rPr>
              <w:t>7. “Ofrues i shërbimit palë e tretë” është çdo person të cilit një institucion financiar raportues i ngarkon kryerjen e një ose më shumë detyrimeve të raportimit ose të vigjilencës së duhur sipas këtij ligji dhe akteve nënligjore në zbatim të tij, pa cenuar përgjegjësinë e institucionit financiar raportues për përmbushjen e këtyre detyrimeve.</w:t>
            </w:r>
          </w:p>
        </w:tc>
        <w:tc>
          <w:tcPr>
            <w:tcW w:w="1620" w:type="dxa"/>
          </w:tcPr>
          <w:p w14:paraId="57413E3B" w14:textId="085C430D" w:rsidR="006D0605" w:rsidRPr="004E6A4A" w:rsidRDefault="00FF7A09"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lastRenderedPageBreak/>
              <w:t>F</w:t>
            </w:r>
          </w:p>
        </w:tc>
        <w:tc>
          <w:tcPr>
            <w:tcW w:w="2970" w:type="dxa"/>
          </w:tcPr>
          <w:p w14:paraId="458E1A39"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Përputhet.</w:t>
            </w:r>
          </w:p>
          <w:p w14:paraId="7790D7AB"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Paragrafët A deri në C transpozohen nga neni 5, pikat 2, 3 dhe 4, të VKM-së; paragrafi D nga neni 5, pika 5, i VKM-së, nga neni 13, pikat 1 dhe 3, të projektligjit dhe nga përkufizimi në nenin 5, pika 7, të tij; dhe paragrafi E nga neni 5, pika 7, i VKM-së. Neni 7, pikat 1 dhe 8, të projektligjit dhe neni 5, pika 1, i VKM-së përcaktojnë detyrimin për zbatimin, dokumentimin dhe mbajtjen e evidencave të procedurave të vigjilencës së duhur.</w:t>
            </w:r>
          </w:p>
        </w:tc>
      </w:tr>
      <w:tr w:rsidR="004E6A4A" w:rsidRPr="004E6A4A" w14:paraId="0208457C" w14:textId="77777777" w:rsidTr="00153084">
        <w:trPr>
          <w:trHeight w:val="764"/>
        </w:trPr>
        <w:tc>
          <w:tcPr>
            <w:tcW w:w="630" w:type="dxa"/>
          </w:tcPr>
          <w:p w14:paraId="2A2F865D" w14:textId="77777777" w:rsidR="006D0605" w:rsidRPr="004E6A4A" w:rsidRDefault="006D0605" w:rsidP="00C4419F">
            <w:pPr>
              <w:jc w:val="center"/>
              <w:rPr>
                <w:rFonts w:ascii="Times New Roman" w:eastAsia="Calibri" w:hAnsi="Times New Roman" w:cs="Times New Roman"/>
                <w:i/>
                <w:sz w:val="18"/>
                <w:szCs w:val="18"/>
              </w:rPr>
            </w:pPr>
          </w:p>
        </w:tc>
        <w:tc>
          <w:tcPr>
            <w:tcW w:w="4230" w:type="dxa"/>
          </w:tcPr>
          <w:p w14:paraId="0AAEA898" w14:textId="77777777" w:rsidR="008C56DE" w:rsidRPr="004E6A4A" w:rsidRDefault="00144445">
            <w:pPr>
              <w:rPr>
                <w:rFonts w:ascii="Times New Roman" w:eastAsia="Times New Roman" w:hAnsi="Times New Roman" w:cs="Times New Roman"/>
                <w:b/>
                <w:bCs/>
                <w:sz w:val="20"/>
                <w:szCs w:val="20"/>
              </w:rPr>
            </w:pPr>
            <w:r w:rsidRPr="004E6A4A">
              <w:rPr>
                <w:rFonts w:ascii="Times New Roman" w:eastAsia="Times New Roman" w:hAnsi="Times New Roman" w:cs="Times New Roman"/>
                <w:b/>
                <w:bCs/>
                <w:sz w:val="20"/>
                <w:szCs w:val="20"/>
              </w:rPr>
              <w:t>Aneksi I,  Seksioni III,</w:t>
            </w:r>
          </w:p>
          <w:p w14:paraId="6986913A"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SEKSIONI III</w:t>
            </w:r>
          </w:p>
          <w:p w14:paraId="6A7E5F3F"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VIGJILENCA E DUHUR PËR LLOGARITË INDIVIDUALE PARAEKZISTUESE</w:t>
            </w:r>
          </w:p>
          <w:p w14:paraId="0D18D36C"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A.</w:t>
            </w:r>
            <w:r w:rsidRPr="004E6A4A">
              <w:rPr>
                <w:rFonts w:ascii="Times New Roman" w:eastAsia="Times New Roman" w:hAnsi="Times New Roman" w:cs="Times New Roman"/>
                <w:sz w:val="20"/>
                <w:szCs w:val="20"/>
              </w:rPr>
              <w:tab/>
              <w:t>Hyrje. Procedurat e mëposhtme zbatohen për qëllime të identifikimit të Llogarive të Raportueshme ndër Llogaritë Individuale Paraekzistuese.</w:t>
            </w:r>
          </w:p>
          <w:p w14:paraId="0C73A06B"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Aneksi I,  Seksioni III,  Paragrafi B</w:t>
            </w:r>
          </w:p>
          <w:p w14:paraId="4ADDD59A"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B.</w:t>
            </w:r>
            <w:r w:rsidRPr="004E6A4A">
              <w:rPr>
                <w:rFonts w:ascii="Times New Roman" w:eastAsia="Times New Roman" w:hAnsi="Times New Roman" w:cs="Times New Roman"/>
                <w:sz w:val="20"/>
                <w:szCs w:val="20"/>
              </w:rPr>
              <w:tab/>
              <w:t>Llogaritë me Vlerë më të Ulët. Procedurat e mëposhtme zbatohen në lidhje me Llogaritë me Vlerë më të Ulët.</w:t>
            </w:r>
          </w:p>
          <w:p w14:paraId="3B585FA5"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1.</w:t>
            </w:r>
            <w:r w:rsidRPr="004E6A4A">
              <w:rPr>
                <w:rFonts w:ascii="Times New Roman" w:eastAsia="Times New Roman" w:hAnsi="Times New Roman" w:cs="Times New Roman"/>
                <w:sz w:val="20"/>
                <w:szCs w:val="20"/>
              </w:rPr>
              <w:tab/>
              <w:t xml:space="preserve">Adresa e rezidencës. Nëse Institucioni Financiar Raportues ka në regjistrat e tij një adresë aktuale rezidence për Mbajtësin individ të Llogarisë, bazuar në Evidencë Shkresore, Institucioni Financiar Raportues mund ta trajtojë </w:t>
            </w:r>
            <w:r w:rsidRPr="004E6A4A">
              <w:rPr>
                <w:rFonts w:ascii="Times New Roman" w:eastAsia="Times New Roman" w:hAnsi="Times New Roman" w:cs="Times New Roman"/>
                <w:sz w:val="20"/>
                <w:szCs w:val="20"/>
              </w:rPr>
              <w:lastRenderedPageBreak/>
              <w:t>Mbajtësin individ të Llogarisë si rezident për qëllime tatimore të shtetit anëtar ose juridiksionit tjetër në të cilin ndodhet adresa, për qëllime të përcaktimit nëse ky Mbajtës individ i Llogarisë është Person i Raportueshëm.</w:t>
            </w:r>
          </w:p>
          <w:p w14:paraId="485A0998"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2.</w:t>
            </w:r>
            <w:r w:rsidRPr="004E6A4A">
              <w:rPr>
                <w:rFonts w:ascii="Times New Roman" w:eastAsia="Times New Roman" w:hAnsi="Times New Roman" w:cs="Times New Roman"/>
                <w:sz w:val="20"/>
                <w:szCs w:val="20"/>
              </w:rPr>
              <w:tab/>
              <w:t>Kërkimi elektronik i regjistrave. Nëse Institucioni Financiar Raportues nuk mbështetet në një adresë aktuale rezidence për Mbajtësin individ të Llogarisë bazuar në Evidencë Shkresore, siç përcaktohet në nënparagrafin B(1), Institucioni Financiar Raportues duhet të rishikojë të dhënat e kërkueshme elektronikisht të mbajtura nga Institucioni Financiar Raportues për cilindo nga treguesit e mëposhtëm dhe të zbatojë nënparagrafët B(3) deri në (6):</w:t>
            </w:r>
          </w:p>
          <w:p w14:paraId="412EDF17"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(a)</w:t>
            </w:r>
            <w:r w:rsidRPr="004E6A4A">
              <w:rPr>
                <w:rFonts w:ascii="Times New Roman" w:eastAsia="Times New Roman" w:hAnsi="Times New Roman" w:cs="Times New Roman"/>
                <w:sz w:val="20"/>
                <w:szCs w:val="20"/>
              </w:rPr>
              <w:tab/>
              <w:t>identifikimi i Mbajtësit të Llogarisë si rezident i një shteti anëtar;</w:t>
            </w:r>
          </w:p>
          <w:p w14:paraId="3E314B26"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(b)</w:t>
            </w:r>
            <w:r w:rsidRPr="004E6A4A">
              <w:rPr>
                <w:rFonts w:ascii="Times New Roman" w:eastAsia="Times New Roman" w:hAnsi="Times New Roman" w:cs="Times New Roman"/>
                <w:sz w:val="20"/>
                <w:szCs w:val="20"/>
              </w:rPr>
              <w:tab/>
              <w:t>adresa aktuale postare ose e rezidencës (përfshirë kutinë postare) në një shtet anëtar;</w:t>
            </w:r>
          </w:p>
          <w:p w14:paraId="041CC9D3"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 xml:space="preserve"> (c)</w:t>
            </w:r>
            <w:r w:rsidRPr="004E6A4A">
              <w:rPr>
                <w:rFonts w:ascii="Times New Roman" w:eastAsia="Times New Roman" w:hAnsi="Times New Roman" w:cs="Times New Roman"/>
                <w:sz w:val="20"/>
                <w:szCs w:val="20"/>
              </w:rPr>
              <w:tab/>
              <w:t>një ose më shumë numra telefoni në një shtet anëtar dhe asnjë numër telefoni në shtetin anëtar të Institucionit Financiar Raportues;</w:t>
            </w:r>
          </w:p>
          <w:p w14:paraId="5F774F09"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(d)</w:t>
            </w:r>
            <w:r w:rsidRPr="004E6A4A">
              <w:rPr>
                <w:rFonts w:ascii="Times New Roman" w:eastAsia="Times New Roman" w:hAnsi="Times New Roman" w:cs="Times New Roman"/>
                <w:sz w:val="20"/>
                <w:szCs w:val="20"/>
              </w:rPr>
              <w:tab/>
              <w:t>urdhra të përhershme (të ndryshëm nga ata në lidhje me një Llogari Depozite) për transferimin e fondeve në një llogari të mbajtur në një shtet anëtar;</w:t>
            </w:r>
          </w:p>
          <w:p w14:paraId="7F1FECA0"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(e)</w:t>
            </w:r>
            <w:r w:rsidRPr="004E6A4A">
              <w:rPr>
                <w:rFonts w:ascii="Times New Roman" w:eastAsia="Times New Roman" w:hAnsi="Times New Roman" w:cs="Times New Roman"/>
                <w:sz w:val="20"/>
                <w:szCs w:val="20"/>
              </w:rPr>
              <w:tab/>
              <w:t>prokurë ose autorizim nënshkrimi aktualisht në fuqi, i dhënë një personi me adresë në një shtet anëtar; ose</w:t>
            </w:r>
          </w:p>
          <w:p w14:paraId="06C5A699"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(f)</w:t>
            </w:r>
            <w:r w:rsidRPr="004E6A4A">
              <w:rPr>
                <w:rFonts w:ascii="Times New Roman" w:eastAsia="Times New Roman" w:hAnsi="Times New Roman" w:cs="Times New Roman"/>
                <w:sz w:val="20"/>
                <w:szCs w:val="20"/>
              </w:rPr>
              <w:tab/>
              <w:t>një udhëzim “ruajtje e postës” ose një adresë “në kujdes të” në një shtet anëtar, nëse Institucioni Financiar Raportues nuk ka asnjë adresë tjetër në dosje për Mbajtësin e Llogarisë.</w:t>
            </w:r>
          </w:p>
          <w:p w14:paraId="6794E16B"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3.</w:t>
            </w:r>
            <w:r w:rsidRPr="004E6A4A">
              <w:rPr>
                <w:rFonts w:ascii="Times New Roman" w:eastAsia="Times New Roman" w:hAnsi="Times New Roman" w:cs="Times New Roman"/>
                <w:sz w:val="20"/>
                <w:szCs w:val="20"/>
              </w:rPr>
              <w:tab/>
              <w:t xml:space="preserve">Nëse në kërkimin elektronik nuk zbulohet asnjë nga treguesit e renditur në nënparagrafin B(2), atëherë nuk kërkohet asnjë veprim i mëtejshëm derisa të ketë një ndryshim në </w:t>
            </w:r>
            <w:r w:rsidRPr="004E6A4A">
              <w:rPr>
                <w:rFonts w:ascii="Times New Roman" w:eastAsia="Times New Roman" w:hAnsi="Times New Roman" w:cs="Times New Roman"/>
                <w:sz w:val="20"/>
                <w:szCs w:val="20"/>
              </w:rPr>
              <w:lastRenderedPageBreak/>
              <w:t>rrethana që sjell lidhjen e një ose më shumë treguesve me llogarinë, ose derisa llogaria të bëhet Llogari me Vlerë të Madhe.</w:t>
            </w:r>
          </w:p>
          <w:p w14:paraId="5598BBA8"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4.</w:t>
            </w:r>
            <w:r w:rsidRPr="004E6A4A">
              <w:rPr>
                <w:rFonts w:ascii="Times New Roman" w:eastAsia="Times New Roman" w:hAnsi="Times New Roman" w:cs="Times New Roman"/>
                <w:sz w:val="20"/>
                <w:szCs w:val="20"/>
              </w:rPr>
              <w:tab/>
              <w:t>Nëse në kërkimin elektronik zbulohet ndonjë nga treguesit e renditur në nënparagrafin B(2)(a) deri në (e), ose nëse ka një ndryshim në rrethana që sjell lidhjen e një ose më shumë treguesve me llogarinë, atëherë Institucioni Financiar Raportues duhet ta trajtojë Mbajtësin e Llogarisë si rezident për qëllime tatimore të çdo shteti anëtar për të cilin identifikohet një tregues, përveçse kur zgjedh të zbatojë nënparagrafin B(6) dhe një nga përjashtimet e atij nënparagrafi zbatohet në lidhje me atë llogari.</w:t>
            </w:r>
          </w:p>
          <w:p w14:paraId="5F640A8D"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5.</w:t>
            </w:r>
            <w:r w:rsidRPr="004E6A4A">
              <w:rPr>
                <w:rFonts w:ascii="Times New Roman" w:eastAsia="Times New Roman" w:hAnsi="Times New Roman" w:cs="Times New Roman"/>
                <w:sz w:val="20"/>
                <w:szCs w:val="20"/>
              </w:rPr>
              <w:tab/>
              <w:t>Nëse në kërkimin elektronik zbulohet një udhëzim “ruajtje e postës” ose një adresë “në kujdes të” dhe për Mbajtësin e Llogarisë nuk identifikohet asnjë adresë tjetër dhe asnjë nga treguesit e tjerë të renditur në nënparagrafin B(2)(a) deri në (e), Institucioni Financiar Raportues duhet, sipas radhës më të përshtatshme për rrethanat, të zbatojë kërkimin në regjistrat në letër të përshkruar në nënparagrafin C(2), ose të kërkojë të marrë nga Mbajtësi i Llogarisë një vetëdeklarim ose Evidencë Shkresore për të përcaktuar rezidencën ose rezidencat për qëllime tatimore të këtij Mbajtësi të Llogarisë. Nëse kërkimi në letër nuk arrin të përcaktojë një tregues dhe përpjekja për të marrë vetëdeklarimin ose Evidencën Shkresore nuk është e suksesshme, Institucioni Financiar Raportues duhet ta raportojë llogarinë tek autoriteti kompetent i shtetit të tij anëtar si llogari e padokumentuar.</w:t>
            </w:r>
          </w:p>
          <w:p w14:paraId="1BF599FE"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6.</w:t>
            </w:r>
            <w:r w:rsidRPr="004E6A4A">
              <w:rPr>
                <w:rFonts w:ascii="Times New Roman" w:eastAsia="Times New Roman" w:hAnsi="Times New Roman" w:cs="Times New Roman"/>
                <w:sz w:val="20"/>
                <w:szCs w:val="20"/>
              </w:rPr>
              <w:tab/>
              <w:t xml:space="preserve">Pavarësisht nga gjetja e treguesve sipas nënparagrafit B(2), një Institucion Financiar Raportues nuk është i detyruar ta trajtojë një </w:t>
            </w:r>
            <w:r w:rsidRPr="004E6A4A">
              <w:rPr>
                <w:rFonts w:ascii="Times New Roman" w:eastAsia="Times New Roman" w:hAnsi="Times New Roman" w:cs="Times New Roman"/>
                <w:sz w:val="20"/>
                <w:szCs w:val="20"/>
              </w:rPr>
              <w:lastRenderedPageBreak/>
              <w:t>Mbajtës Llogarie si rezident të një shteti anëtar nëse:</w:t>
            </w:r>
          </w:p>
          <w:p w14:paraId="382165CA"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(a)</w:t>
            </w:r>
            <w:r w:rsidRPr="004E6A4A">
              <w:rPr>
                <w:rFonts w:ascii="Times New Roman" w:eastAsia="Times New Roman" w:hAnsi="Times New Roman" w:cs="Times New Roman"/>
                <w:sz w:val="20"/>
                <w:szCs w:val="20"/>
              </w:rPr>
              <w:tab/>
              <w:t>informacioni i Mbajtësit të Llogarisë përmban një adresë aktuale postare ose të rezidencës në atë shtet anëtar, një ose më shumë numra telefoni në atë shtet anëtar (dhe asnjë numër telefoni në shtetin anëtar të Institucionit Financiar Raportues) ose urdhra të përhershme (në lidhje me Llogari Financiare të ndryshme nga Llogaritë Depozite) për transferimin e fondeve në një llogari të mbajtur në një shtet anëtar, dhe Institucioni Financiar Raportues merr, ose ka shqyrtuar më parë dhe mban, një evidencë të:</w:t>
            </w:r>
          </w:p>
          <w:p w14:paraId="744AB8EB"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(i)</w:t>
            </w:r>
            <w:r w:rsidRPr="004E6A4A">
              <w:rPr>
                <w:rFonts w:ascii="Times New Roman" w:eastAsia="Times New Roman" w:hAnsi="Times New Roman" w:cs="Times New Roman"/>
                <w:sz w:val="20"/>
                <w:szCs w:val="20"/>
              </w:rPr>
              <w:tab/>
              <w:t>një vetëdeklarimi nga Mbajtësi i Llogarisë për shtetin ose shtetet anëtare ose juridiksionin ose juridiksionet e tjera të rezidencës së këtij Mbajtësi të Llogarisë, i cili nuk përfshin atë shtet anëtar; dhe</w:t>
            </w:r>
          </w:p>
          <w:p w14:paraId="71A4F499"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(ii)</w:t>
            </w:r>
            <w:r w:rsidRPr="004E6A4A">
              <w:rPr>
                <w:rFonts w:ascii="Times New Roman" w:eastAsia="Times New Roman" w:hAnsi="Times New Roman" w:cs="Times New Roman"/>
                <w:sz w:val="20"/>
                <w:szCs w:val="20"/>
              </w:rPr>
              <w:tab/>
              <w:t>Evidencës Shkresore që vërteton statusin jo të raportueshëm të Mbajtësit të Llogarisë;</w:t>
            </w:r>
          </w:p>
          <w:p w14:paraId="60487AB4"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(b)</w:t>
            </w:r>
            <w:r w:rsidRPr="004E6A4A">
              <w:rPr>
                <w:rFonts w:ascii="Times New Roman" w:eastAsia="Times New Roman" w:hAnsi="Times New Roman" w:cs="Times New Roman"/>
                <w:sz w:val="20"/>
                <w:szCs w:val="20"/>
              </w:rPr>
              <w:tab/>
              <w:t>informacioni i Mbajtësit të Llogarisë përmban një prokurë ose autorizim nënshkrimi aktualisht në fuqi, të dhënë një personi me adresë në atë shtet anëtar, dhe Institucioni Financiar Raportues merr, ose ka shqyrtuar më parë dhe mban, një evidencë të:</w:t>
            </w:r>
          </w:p>
          <w:p w14:paraId="57984599"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(i)</w:t>
            </w:r>
            <w:r w:rsidRPr="004E6A4A">
              <w:rPr>
                <w:rFonts w:ascii="Times New Roman" w:eastAsia="Times New Roman" w:hAnsi="Times New Roman" w:cs="Times New Roman"/>
                <w:sz w:val="20"/>
                <w:szCs w:val="20"/>
              </w:rPr>
              <w:tab/>
              <w:t>një vetëdeklarimi nga Mbajtësi i Llogarisë për shtetin ose shtetet anëtare ose juridiksionin ose juridiksionet e tjera të rezidencës së këtij Mbajtësi të Llogarisë, i cili nuk përfshin atë shtet anëtar; ose</w:t>
            </w:r>
          </w:p>
          <w:p w14:paraId="07B2E23E"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(ii)</w:t>
            </w:r>
            <w:r w:rsidRPr="004E6A4A">
              <w:rPr>
                <w:rFonts w:ascii="Times New Roman" w:eastAsia="Times New Roman" w:hAnsi="Times New Roman" w:cs="Times New Roman"/>
                <w:sz w:val="20"/>
                <w:szCs w:val="20"/>
              </w:rPr>
              <w:tab/>
              <w:t>Evidencës Shkresore që vërteton statusin jo të raportueshëm të Mbajtësit të Llogarisë.</w:t>
            </w:r>
          </w:p>
        </w:tc>
        <w:tc>
          <w:tcPr>
            <w:tcW w:w="1350" w:type="dxa"/>
          </w:tcPr>
          <w:p w14:paraId="1A9E21B3" w14:textId="77777777" w:rsidR="006D0605" w:rsidRPr="004E6A4A" w:rsidRDefault="006D0605" w:rsidP="00C4419F">
            <w:pPr>
              <w:jc w:val="center"/>
              <w:rPr>
                <w:rFonts w:ascii="Times New Roman" w:eastAsia="Calibri" w:hAnsi="Times New Roman" w:cs="Times New Roman"/>
                <w:sz w:val="18"/>
                <w:szCs w:val="18"/>
              </w:rPr>
            </w:pPr>
          </w:p>
        </w:tc>
        <w:tc>
          <w:tcPr>
            <w:tcW w:w="810" w:type="dxa"/>
          </w:tcPr>
          <w:p w14:paraId="3F7F9064" w14:textId="599EE6DA" w:rsidR="001A43E8" w:rsidRPr="004E6A4A" w:rsidRDefault="001A43E8" w:rsidP="00C4419F">
            <w:pPr>
              <w:jc w:val="center"/>
              <w:rPr>
                <w:rFonts w:ascii="Times New Roman" w:eastAsia="Times New Roman" w:hAnsi="Times New Roman" w:cs="Times New Roman"/>
                <w:sz w:val="20"/>
                <w:szCs w:val="21"/>
                <w:lang w:eastAsia="sq-AL"/>
              </w:rPr>
            </w:pPr>
          </w:p>
        </w:tc>
        <w:tc>
          <w:tcPr>
            <w:tcW w:w="4590" w:type="dxa"/>
          </w:tcPr>
          <w:p w14:paraId="749E07F6" w14:textId="77777777" w:rsidR="00FA0CFF" w:rsidRPr="004E6A4A" w:rsidRDefault="00144445">
            <w:pPr>
              <w:jc w:val="center"/>
            </w:pPr>
            <w:r w:rsidRPr="004E6A4A">
              <w:rPr>
                <w:rFonts w:ascii="Times New Roman" w:eastAsia="Times New Roman" w:hAnsi="Times New Roman" w:cs="Times New Roman"/>
                <w:b/>
                <w:sz w:val="20"/>
              </w:rPr>
              <w:t>Ligji: Neni 8</w:t>
            </w:r>
          </w:p>
          <w:p w14:paraId="6DA46558" w14:textId="77777777" w:rsidR="00FA0CFF" w:rsidRPr="004E6A4A" w:rsidRDefault="00144445">
            <w:pPr>
              <w:jc w:val="center"/>
            </w:pPr>
            <w:r w:rsidRPr="004E6A4A">
              <w:rPr>
                <w:rFonts w:ascii="Times New Roman" w:eastAsia="Times New Roman" w:hAnsi="Times New Roman" w:cs="Times New Roman"/>
                <w:b/>
                <w:sz w:val="20"/>
              </w:rPr>
              <w:t>Vigjilenca e duhur për Llogaritë Individuale Paraekzistuese</w:t>
            </w:r>
          </w:p>
          <w:p w14:paraId="56D0E045" w14:textId="77777777" w:rsidR="00FA0CFF" w:rsidRPr="004E6A4A" w:rsidRDefault="00144445">
            <w:pPr>
              <w:jc w:val="both"/>
            </w:pPr>
            <w:r w:rsidRPr="004E6A4A">
              <w:rPr>
                <w:rFonts w:ascii="Times New Roman" w:eastAsia="Times New Roman" w:hAnsi="Times New Roman" w:cs="Times New Roman"/>
                <w:sz w:val="20"/>
              </w:rPr>
              <w:t>1. Për qëllime të identifikimit të Llogarive të Raportueshme, institucioni financiar raportues zbaton procedurat e vigjilencës së duhur për Llogaritë Individuale Paraekzistuese.</w:t>
            </w:r>
          </w:p>
          <w:p w14:paraId="2638A849" w14:textId="77777777" w:rsidR="00FA0CFF" w:rsidRPr="004E6A4A" w:rsidRDefault="00144445">
            <w:pPr>
              <w:jc w:val="both"/>
            </w:pPr>
            <w:r w:rsidRPr="004E6A4A">
              <w:rPr>
                <w:rFonts w:ascii="Times New Roman" w:eastAsia="Times New Roman" w:hAnsi="Times New Roman" w:cs="Times New Roman"/>
                <w:sz w:val="20"/>
              </w:rPr>
              <w:t>2. Për një Llogari Individuale Paraekzistuese me vlerë më të ulët, institucioni financiar raportues përcakton rezidencën tatimore të mbajtësit të llogarisë duke përdorur informacionin e disponueshëm, përfshirë adresën aktuale të vendbanimit të mbështetur në evidenca shkresore, kur është e zbatueshme.</w:t>
            </w:r>
          </w:p>
          <w:p w14:paraId="669CBD9A" w14:textId="77777777" w:rsidR="00FA0CFF" w:rsidRPr="004E6A4A" w:rsidRDefault="00144445">
            <w:pPr>
              <w:jc w:val="both"/>
            </w:pPr>
            <w:r w:rsidRPr="004E6A4A">
              <w:rPr>
                <w:rFonts w:ascii="Times New Roman" w:eastAsia="Times New Roman" w:hAnsi="Times New Roman" w:cs="Times New Roman"/>
                <w:sz w:val="20"/>
              </w:rPr>
              <w:t xml:space="preserve">3. Kur institucioni financiar raportues nuk mund të mbështetet në adresën aktuale të vendbanimit të mbajtësit të llogarisë, ai shqyrton të dhënat e kërkueshme në mënyrë elektronike që disponon për </w:t>
            </w:r>
            <w:r w:rsidRPr="004E6A4A">
              <w:rPr>
                <w:rFonts w:ascii="Times New Roman" w:eastAsia="Times New Roman" w:hAnsi="Times New Roman" w:cs="Times New Roman"/>
                <w:sz w:val="20"/>
              </w:rPr>
              <w:lastRenderedPageBreak/>
              <w:t>treguesit e rezidencës tatimore të përcaktuar në aktin nënligjor në zbatim të këtij ligji.</w:t>
            </w:r>
          </w:p>
          <w:p w14:paraId="2622A8EB" w14:textId="77777777" w:rsidR="00FA0CFF" w:rsidRPr="004E6A4A" w:rsidRDefault="00144445">
            <w:pPr>
              <w:jc w:val="both"/>
            </w:pPr>
            <w:r w:rsidRPr="004E6A4A">
              <w:rPr>
                <w:rFonts w:ascii="Times New Roman" w:eastAsia="Times New Roman" w:hAnsi="Times New Roman" w:cs="Times New Roman"/>
                <w:sz w:val="20"/>
              </w:rPr>
              <w:t>4. Për Llogaritë Individuale Paraekzistuese me vlerë të madhe, institucioni financiar raportues zbaton procedura të zgjeruara të shqyrtimit, përfshirë shqyrtimin e të dhënave të kërkueshme në mënyrë elektronike dhe, kur është e nevojshme, shqyrtimin e dokumentacionit shkresor.</w:t>
            </w:r>
          </w:p>
          <w:p w14:paraId="1AB70F66" w14:textId="77777777" w:rsidR="00FA0CFF" w:rsidRPr="004E6A4A" w:rsidRDefault="00144445">
            <w:pPr>
              <w:jc w:val="both"/>
            </w:pPr>
            <w:r w:rsidRPr="004E6A4A">
              <w:rPr>
                <w:rFonts w:ascii="Times New Roman" w:eastAsia="Times New Roman" w:hAnsi="Times New Roman" w:cs="Times New Roman"/>
                <w:sz w:val="20"/>
              </w:rPr>
              <w:t>5. Kur informacioni i disponueshëm identifikon një ose më shumë tregues që lidhen me një juridiksion raportues, institucioni financiar raportues e trajton llogarinë si Llogari të Raportueshme në lidhje me atë juridiksion, përveç rasteve kur zbatohet një nga përjashtimet e parashikuara në këtë ligj ose aktin nënligjor në zbatim të tij.</w:t>
            </w:r>
          </w:p>
          <w:p w14:paraId="7BD66F3A" w14:textId="77777777" w:rsidR="00FA0CFF" w:rsidRPr="004E6A4A" w:rsidRDefault="00144445">
            <w:pPr>
              <w:jc w:val="both"/>
            </w:pPr>
            <w:r w:rsidRPr="004E6A4A">
              <w:rPr>
                <w:rFonts w:ascii="Times New Roman" w:eastAsia="Times New Roman" w:hAnsi="Times New Roman" w:cs="Times New Roman"/>
                <w:sz w:val="20"/>
              </w:rPr>
              <w:t>6. Kur një institucion financiar raportues nuk mund të përcaktojë rezidencën tatimore të mbajtësit të llogarisë nëpërmjet procedurave të përcaktuara në këtë nen, llogaria trajtohet në përputhje me rregullat e përcaktuara për llogaritë e padokumentuara.</w:t>
            </w:r>
          </w:p>
          <w:p w14:paraId="6C760698" w14:textId="77777777" w:rsidR="00FA0CFF" w:rsidRPr="004E6A4A" w:rsidRDefault="00144445">
            <w:pPr>
              <w:jc w:val="both"/>
            </w:pPr>
            <w:r w:rsidRPr="004E6A4A">
              <w:rPr>
                <w:rFonts w:ascii="Times New Roman" w:eastAsia="Times New Roman" w:hAnsi="Times New Roman" w:cs="Times New Roman"/>
                <w:sz w:val="20"/>
              </w:rPr>
              <w:t>7. Institucioni financiar raportues duhet të zbatojë procedura për identifikimin e ndryshimit të rrethanave, përfshirë detyrimin e menaxherit të marrëdhënies me klientin, kur është i zbatueshëm, për të identifikuar ndryshimet në rrethanat që lidhen me llogarinë.</w:t>
            </w:r>
          </w:p>
          <w:p w14:paraId="06E7DF3F" w14:textId="77777777" w:rsidR="00FA0CFF" w:rsidRPr="004E6A4A" w:rsidRDefault="00144445">
            <w:pPr>
              <w:jc w:val="both"/>
            </w:pPr>
            <w:r w:rsidRPr="004E6A4A">
              <w:rPr>
                <w:rFonts w:ascii="Times New Roman" w:eastAsia="Times New Roman" w:hAnsi="Times New Roman" w:cs="Times New Roman"/>
                <w:sz w:val="20"/>
              </w:rPr>
              <w:t>8. Një Llogari Individuale Paraekzistuese e identifikuar si Llogari e Raportueshme trajtohet si e tillë në vitet pasuese, përveç rastit kur mbajtësi i llogarisë nuk është më Person i Raportueshëm.</w:t>
            </w:r>
          </w:p>
          <w:p w14:paraId="086C2844" w14:textId="77777777" w:rsidR="00FA0CFF" w:rsidRPr="004E6A4A" w:rsidRDefault="00144445">
            <w:pPr>
              <w:jc w:val="both"/>
            </w:pPr>
            <w:r w:rsidRPr="004E6A4A">
              <w:rPr>
                <w:rFonts w:ascii="Times New Roman" w:eastAsia="Times New Roman" w:hAnsi="Times New Roman" w:cs="Times New Roman"/>
                <w:sz w:val="20"/>
              </w:rPr>
              <w:t>9. Pragjet monetare, treguesit, procedurat e shqyrtimit, përjashtimet, afatet dhe rregullat për llogaritë e padokumentuara përcaktohen me akt nënligjor në zbatim të këtij ligji.</w:t>
            </w:r>
          </w:p>
          <w:p w14:paraId="38516AE8" w14:textId="77777777" w:rsidR="00FA0CFF" w:rsidRPr="004E6A4A" w:rsidRDefault="00FA0CFF"/>
          <w:p w14:paraId="267F1495" w14:textId="77777777" w:rsidR="00FA0CFF" w:rsidRPr="004E6A4A" w:rsidRDefault="00144445">
            <w:pPr>
              <w:jc w:val="center"/>
            </w:pPr>
            <w:r w:rsidRPr="004E6A4A">
              <w:rPr>
                <w:rFonts w:ascii="Times New Roman" w:eastAsia="Times New Roman" w:hAnsi="Times New Roman" w:cs="Times New Roman"/>
                <w:b/>
                <w:sz w:val="20"/>
              </w:rPr>
              <w:t>VKM: Neni 6</w:t>
            </w:r>
          </w:p>
          <w:p w14:paraId="74456AD9" w14:textId="77777777" w:rsidR="00FA0CFF" w:rsidRPr="004E6A4A" w:rsidRDefault="00144445">
            <w:pPr>
              <w:jc w:val="center"/>
            </w:pPr>
            <w:r w:rsidRPr="004E6A4A">
              <w:rPr>
                <w:rFonts w:ascii="Times New Roman" w:eastAsia="Times New Roman" w:hAnsi="Times New Roman" w:cs="Times New Roman"/>
                <w:b/>
                <w:sz w:val="20"/>
              </w:rPr>
              <w:t>Vigjilenca e duhur për llogaritë paraekzistuese individuale</w:t>
            </w:r>
          </w:p>
          <w:p w14:paraId="2620F50E" w14:textId="77777777" w:rsidR="00FA0CFF" w:rsidRPr="004E6A4A" w:rsidRDefault="00144445">
            <w:pPr>
              <w:jc w:val="both"/>
            </w:pPr>
            <w:r w:rsidRPr="004E6A4A">
              <w:rPr>
                <w:rFonts w:ascii="Times New Roman" w:eastAsia="Times New Roman" w:hAnsi="Times New Roman" w:cs="Times New Roman"/>
                <w:sz w:val="20"/>
              </w:rPr>
              <w:lastRenderedPageBreak/>
              <w:t>1. Procedurat e mëposhtme zbatohen për identifikimin e Llogarive të Raportueshme ndër Llogaritë Individuale Paraekzistuese. Për Llogaritë me Vlerë më të Ulët zbatohen procedurat e pikës 1, ndërsa për Llogaritë me Vlerë të Madhe zbatohen procedurat e pikës 2.</w:t>
            </w:r>
          </w:p>
          <w:p w14:paraId="5965D50E" w14:textId="77777777" w:rsidR="00FA0CFF" w:rsidRPr="004E6A4A" w:rsidRDefault="00144445">
            <w:pPr>
              <w:jc w:val="both"/>
            </w:pPr>
            <w:r w:rsidRPr="004E6A4A">
              <w:rPr>
                <w:rFonts w:ascii="Times New Roman" w:eastAsia="Times New Roman" w:hAnsi="Times New Roman" w:cs="Times New Roman"/>
                <w:sz w:val="20"/>
              </w:rPr>
              <w:t>a) Adresa e rezidencës. Nëse institucioni financiar raportues ka në regjistrat e tij një adresë aktuale të rezidencës për mbajtësin e llogarisë individuale, bazuar në evidencat shkresore, institucioni financiar raportues mund të trajtojë mbajtësin e llogarisë individuale si rezident për qëllime tatimore të atij juridiksioni në të cilin ndodhet adresa për të përcaktuar nëse ky mbajtës i llogarisë individuale është një person i raportueshëm.</w:t>
            </w:r>
          </w:p>
          <w:p w14:paraId="32AB520E" w14:textId="77777777" w:rsidR="00FA0CFF" w:rsidRPr="004E6A4A" w:rsidRDefault="00144445">
            <w:pPr>
              <w:jc w:val="both"/>
            </w:pPr>
            <w:r w:rsidRPr="004E6A4A">
              <w:rPr>
                <w:rFonts w:ascii="Times New Roman" w:eastAsia="Times New Roman" w:hAnsi="Times New Roman" w:cs="Times New Roman"/>
                <w:sz w:val="20"/>
              </w:rPr>
              <w:t>b) Kërkimi elektronik i të dhënave. Nëse institucioni financiar raportues nuk identifikon një adresë aktuale rezidence për mbajtësin e llogarisë individuale, bazuar në evidencat shkresore, siç përcaktohet më sipër në shkronjën “a”, të pikës 1, të këtij neni, institucioni financiar raportues duhet të rishikojë të dhënat e kërkueshme në formë elektronike që mbahen nga institucioni financiar raportues për secilin nga treguesit e mëposhtëm dhe të zbatojë shkronjat “c”, “ç”, “d”, “dh”, të pikës 1, të këtij neni:</w:t>
            </w:r>
          </w:p>
          <w:p w14:paraId="7177A000" w14:textId="77777777" w:rsidR="00FA0CFF" w:rsidRPr="004E6A4A" w:rsidRDefault="00144445">
            <w:pPr>
              <w:jc w:val="both"/>
            </w:pPr>
            <w:r w:rsidRPr="004E6A4A">
              <w:rPr>
                <w:rFonts w:ascii="Times New Roman" w:eastAsia="Times New Roman" w:hAnsi="Times New Roman" w:cs="Times New Roman"/>
                <w:sz w:val="20"/>
              </w:rPr>
              <w:t>i. identifikimin e mbajtësit të llogarisë si rezident i një juridiksioni të raportueshëm;</w:t>
            </w:r>
          </w:p>
          <w:p w14:paraId="154213B1" w14:textId="77777777" w:rsidR="00FA0CFF" w:rsidRPr="004E6A4A" w:rsidRDefault="00144445">
            <w:pPr>
              <w:jc w:val="both"/>
            </w:pPr>
            <w:r w:rsidRPr="004E6A4A">
              <w:rPr>
                <w:rFonts w:ascii="Times New Roman" w:eastAsia="Times New Roman" w:hAnsi="Times New Roman" w:cs="Times New Roman"/>
                <w:sz w:val="20"/>
              </w:rPr>
              <w:t>ii. adresën postare aktuale ose adresën e rezidencës (përfshirë kutinë postare) në një juridiksion të raportueshëm;</w:t>
            </w:r>
          </w:p>
          <w:p w14:paraId="22FA3229" w14:textId="77777777" w:rsidR="00FA0CFF" w:rsidRPr="004E6A4A" w:rsidRDefault="00144445">
            <w:pPr>
              <w:jc w:val="both"/>
            </w:pPr>
            <w:r w:rsidRPr="004E6A4A">
              <w:rPr>
                <w:rFonts w:ascii="Times New Roman" w:eastAsia="Times New Roman" w:hAnsi="Times New Roman" w:cs="Times New Roman"/>
                <w:sz w:val="20"/>
              </w:rPr>
              <w:t>iii. një ose më shumë numra telefoni në një juridiksion të raportueshëm dhe asnjë numër telefoni në juridiksionin e institucionit financiar raportues;</w:t>
            </w:r>
          </w:p>
          <w:p w14:paraId="736325F5" w14:textId="77777777" w:rsidR="00FA0CFF" w:rsidRPr="004E6A4A" w:rsidRDefault="00144445">
            <w:pPr>
              <w:jc w:val="both"/>
            </w:pPr>
            <w:r w:rsidRPr="004E6A4A">
              <w:rPr>
                <w:rFonts w:ascii="Times New Roman" w:eastAsia="Times New Roman" w:hAnsi="Times New Roman" w:cs="Times New Roman"/>
                <w:sz w:val="20"/>
              </w:rPr>
              <w:t>iv. urdhërpagesat periodike (të ndryshme nga ato që lidhen me një llogari depozite) për transferimin e fondeve në një llogari të mbajtur në një juridiksion të raportueshëm;</w:t>
            </w:r>
          </w:p>
          <w:p w14:paraId="3DB42AC1" w14:textId="77777777" w:rsidR="00FA0CFF" w:rsidRPr="004E6A4A" w:rsidRDefault="00144445">
            <w:pPr>
              <w:jc w:val="both"/>
            </w:pPr>
            <w:r w:rsidRPr="004E6A4A">
              <w:rPr>
                <w:rFonts w:ascii="Times New Roman" w:eastAsia="Times New Roman" w:hAnsi="Times New Roman" w:cs="Times New Roman"/>
                <w:sz w:val="20"/>
              </w:rPr>
              <w:lastRenderedPageBreak/>
              <w:t>v. prokurën e përfaqësimit në fuqi momentalisht ose autorizimin e nënshkrimit dhënë një personi me adresë në një juridiksion të raportueshëm; ose</w:t>
            </w:r>
          </w:p>
          <w:p w14:paraId="43D9069B" w14:textId="77777777" w:rsidR="00FA0CFF" w:rsidRPr="004E6A4A" w:rsidRDefault="00144445">
            <w:pPr>
              <w:jc w:val="both"/>
            </w:pPr>
            <w:r w:rsidRPr="004E6A4A">
              <w:rPr>
                <w:rFonts w:ascii="Times New Roman" w:eastAsia="Times New Roman" w:hAnsi="Times New Roman" w:cs="Times New Roman"/>
                <w:sz w:val="20"/>
              </w:rPr>
              <w:t>vi. një udhëzim mbi “ruajtjen e postës” ose një adresë “nën vëmendjen e”, në një juridiksion të raportueshëm, nëse institucioni financiar raportues nuk disponon ndonjë adresë tjetër në dosjen e mbajtësit të llogarisë.</w:t>
            </w:r>
          </w:p>
          <w:p w14:paraId="77DF2FA3" w14:textId="77777777" w:rsidR="00FA0CFF" w:rsidRPr="004E6A4A" w:rsidRDefault="00144445">
            <w:pPr>
              <w:jc w:val="both"/>
            </w:pPr>
            <w:r w:rsidRPr="004E6A4A">
              <w:rPr>
                <w:rFonts w:ascii="Times New Roman" w:eastAsia="Times New Roman" w:hAnsi="Times New Roman" w:cs="Times New Roman"/>
                <w:sz w:val="20"/>
              </w:rPr>
              <w:t>c) Nëse në kërkimin elektronik nuk konstatohet asnjë prej treguesve të renditur në shkronjën “b”, të pikës 1, të këtij neni, atëherë nuk kërkohet ndonjë veprim vijues derisa të ketë një ndryshim të rrethanave që rezulton në një ose më shumë tregues të lidhur me llogarinë, ose llogaria bëhet një llogari me vlerë të madhe.</w:t>
            </w:r>
          </w:p>
          <w:p w14:paraId="48337D6B" w14:textId="77777777" w:rsidR="00FA0CFF" w:rsidRPr="004E6A4A" w:rsidRDefault="00144445">
            <w:pPr>
              <w:jc w:val="both"/>
            </w:pPr>
            <w:r w:rsidRPr="004E6A4A">
              <w:rPr>
                <w:rFonts w:ascii="Times New Roman" w:eastAsia="Times New Roman" w:hAnsi="Times New Roman" w:cs="Times New Roman"/>
                <w:sz w:val="20"/>
              </w:rPr>
              <w:t>ç) Nëse ndonjë nga treguesit e parashikuar në nënndarjet “i” deri “v”, të shkronjës “b”, të pikës 1, të këtij neni, është zbuluar në kërkimin elektronik ose nëse ka një ndryshim të rrethanave që rezulton në një ose më shumë tregues që lidhen me llogarinë, atëherë institucioni financiar raportues duhet ta trajtojë mbajtësin e llogarisë si rezident për qëllime tatimore të secilit juridiksion të raportueshëm, për të cilin është identifikuar një tregues, përveçse kur zgjedh të zbatojë shkronjën “dh”, të pikës 1, të këtij neni, dhe një prej përjashtimeve të të cilit zbatohen në lidhje me atë llogari.</w:t>
            </w:r>
          </w:p>
          <w:p w14:paraId="7A5F5FCA" w14:textId="77777777" w:rsidR="00FA0CFF" w:rsidRPr="004E6A4A" w:rsidRDefault="00144445">
            <w:pPr>
              <w:jc w:val="both"/>
            </w:pPr>
            <w:r w:rsidRPr="004E6A4A">
              <w:rPr>
                <w:rFonts w:ascii="Times New Roman" w:eastAsia="Times New Roman" w:hAnsi="Times New Roman" w:cs="Times New Roman"/>
                <w:sz w:val="20"/>
              </w:rPr>
              <w:t xml:space="preserve">d) Nëse gjatë kërkimit elektronik të të dhënave zbulohet një udhëzim për “ruajtjen e postës” ose një adresë “në vëmendje të” dhe nuk identifikohet asnjë adresë tjetër, dhe asnjë prej treguesve të tjerë të listuar në nënndarjen “i” deri “v”, të shkronjës “b”, të pikës 1, të këtij neni, për mbajtësin e llogarisë, institucioni financiar raportues duhet që, në rendin më të përshtatshëm me rrethanat, të aplikojë kërkimin manual të të dhënave të përshkruara në shkronjën “b”, të pikës 2, të këtij neni, ose të kërkojë nga mbajtësi i llogarisë një vetëdeklarim ose evidenca shkresore për të përcaktuar rezidencën/at e tij për qëllime tatimore. </w:t>
            </w:r>
            <w:r w:rsidRPr="004E6A4A">
              <w:rPr>
                <w:rFonts w:ascii="Times New Roman" w:eastAsia="Times New Roman" w:hAnsi="Times New Roman" w:cs="Times New Roman"/>
                <w:sz w:val="20"/>
              </w:rPr>
              <w:lastRenderedPageBreak/>
              <w:t>Nëse nga kërkimi manual nuk arrihet të përcaktohet një tregues dhe përpjekja për të marrë vetëdeklarimin ose evidencat shkresore nuk rezulton e suksesshme, institucioni financiar raportues duhet të raportojë llogarinë tek administrata tatimore si një llogari të padokumentuar.</w:t>
            </w:r>
          </w:p>
          <w:p w14:paraId="37EAB421" w14:textId="77777777" w:rsidR="00FA0CFF" w:rsidRPr="004E6A4A" w:rsidRDefault="00144445">
            <w:pPr>
              <w:jc w:val="both"/>
            </w:pPr>
            <w:r w:rsidRPr="004E6A4A">
              <w:rPr>
                <w:rFonts w:ascii="Times New Roman" w:eastAsia="Times New Roman" w:hAnsi="Times New Roman" w:cs="Times New Roman"/>
                <w:sz w:val="20"/>
              </w:rPr>
              <w:t>dh) Pavarësisht gjetjes së treguesve, sipas shkronjës “b”, të pikës 1 të këtij neni, një institucioni financiar raportues nuk i kërkohet të trajtojë një mbajtës të llogarisë si rezident të një juridiksioni të raportueshëm, nëse:</w:t>
            </w:r>
          </w:p>
          <w:p w14:paraId="420D379F" w14:textId="77777777" w:rsidR="00FA0CFF" w:rsidRPr="004E6A4A" w:rsidRDefault="00144445">
            <w:pPr>
              <w:jc w:val="both"/>
            </w:pPr>
            <w:r w:rsidRPr="004E6A4A">
              <w:rPr>
                <w:rFonts w:ascii="Times New Roman" w:eastAsia="Times New Roman" w:hAnsi="Times New Roman" w:cs="Times New Roman"/>
                <w:sz w:val="20"/>
              </w:rPr>
              <w:t>i. informacioni i mbajtësit të llogarisë përmban një adresë postare ose rezidencë në juridiksionin e raportueshëm, një ose më shumë numra telefoni në juridiksionin e raportueshëm (dhe asnjë numër telefoni në juridiksionin e institucionit financiar raportues) ose urdhërpagesa periodike (në lidhje me llogari financiare të ndryshme nga llogaritë e depozitave) për të transferuar fonde në një llogari të mbajtur në një juridiksion të raportueshëm dhe institucioni financiar raportues merr ose ka rishikuar më parë dhe mban të dhëna, për të dyja sa vijon:</w:t>
            </w:r>
          </w:p>
          <w:p w14:paraId="101B9C3E" w14:textId="77777777" w:rsidR="00FA0CFF" w:rsidRPr="004E6A4A" w:rsidRDefault="00144445">
            <w:pPr>
              <w:jc w:val="both"/>
            </w:pPr>
            <w:r w:rsidRPr="004E6A4A">
              <w:rPr>
                <w:rFonts w:ascii="Times New Roman" w:eastAsia="Times New Roman" w:hAnsi="Times New Roman" w:cs="Times New Roman"/>
                <w:sz w:val="20"/>
              </w:rPr>
              <w:t>• një vetëdeklarim nga mbajtësi i llogarisë i juridiksioneve të rezidencës së këtij mbajtësi llogarie që nuk e përfshin këtë juridiksion të raportueshëm; dhe</w:t>
            </w:r>
          </w:p>
          <w:p w14:paraId="0E45A2F6" w14:textId="77777777" w:rsidR="00FA0CFF" w:rsidRPr="004E6A4A" w:rsidRDefault="00144445">
            <w:pPr>
              <w:jc w:val="both"/>
            </w:pPr>
            <w:r w:rsidRPr="004E6A4A">
              <w:rPr>
                <w:rFonts w:ascii="Times New Roman" w:eastAsia="Times New Roman" w:hAnsi="Times New Roman" w:cs="Times New Roman"/>
                <w:sz w:val="20"/>
              </w:rPr>
              <w:t>• evidencat shkresore që përcaktojnë rezidencën e klientit të llogarisë, për qëllime tatimore, përveç këtij juridiksioni të raportueshëm;</w:t>
            </w:r>
          </w:p>
          <w:p w14:paraId="20895FD5" w14:textId="77777777" w:rsidR="00FA0CFF" w:rsidRPr="004E6A4A" w:rsidRDefault="00144445">
            <w:pPr>
              <w:jc w:val="both"/>
            </w:pPr>
            <w:r w:rsidRPr="004E6A4A">
              <w:rPr>
                <w:rFonts w:ascii="Times New Roman" w:eastAsia="Times New Roman" w:hAnsi="Times New Roman" w:cs="Times New Roman"/>
                <w:sz w:val="20"/>
              </w:rPr>
              <w:t>ii. informacioni i mbajtësit të llogarisë përmban një prokurë përfaqësimi në fuqi ose autorizim nënshkrimi i dhënë një personi me adresë në juridiksionin e raportueshëm dhe institucioni financiar raportues merr ose ka rishikuar më parë dhe mban të dhëna, për njërën nga sa vijon:</w:t>
            </w:r>
          </w:p>
          <w:p w14:paraId="512E2527" w14:textId="77777777" w:rsidR="00FA0CFF" w:rsidRPr="004E6A4A" w:rsidRDefault="00144445">
            <w:pPr>
              <w:jc w:val="both"/>
            </w:pPr>
            <w:r w:rsidRPr="004E6A4A">
              <w:rPr>
                <w:rFonts w:ascii="Times New Roman" w:eastAsia="Times New Roman" w:hAnsi="Times New Roman" w:cs="Times New Roman"/>
                <w:sz w:val="20"/>
              </w:rPr>
              <w:t>• një vetëdeklarim nga mbajtësi i llogarisë për juridiksionin ose juridiksionet e rezidencës së tij, që nuk përfshin këtë juridiksion të raportueshëm; ose</w:t>
            </w:r>
          </w:p>
          <w:p w14:paraId="72541A8A" w14:textId="77777777" w:rsidR="00FA0CFF" w:rsidRPr="004E6A4A" w:rsidRDefault="00144445">
            <w:pPr>
              <w:jc w:val="both"/>
            </w:pPr>
            <w:r w:rsidRPr="004E6A4A">
              <w:rPr>
                <w:rFonts w:ascii="Times New Roman" w:eastAsia="Times New Roman" w:hAnsi="Times New Roman" w:cs="Times New Roman"/>
                <w:sz w:val="20"/>
              </w:rPr>
              <w:lastRenderedPageBreak/>
              <w:t>• evidencë shkresore që përcakton statusin e Mbajtësit të Llogarisë si jo i raportueshëm në lidhje me atë Juridiksion të Raportueshëm.</w:t>
            </w:r>
          </w:p>
        </w:tc>
        <w:tc>
          <w:tcPr>
            <w:tcW w:w="1620" w:type="dxa"/>
          </w:tcPr>
          <w:p w14:paraId="0F983A8E" w14:textId="77777777" w:rsidR="00FF7A09" w:rsidRPr="004E6A4A" w:rsidRDefault="00FF7A09" w:rsidP="00C4419F">
            <w:pPr>
              <w:jc w:val="center"/>
              <w:rPr>
                <w:rFonts w:ascii="Times New Roman" w:eastAsia="Calibri" w:hAnsi="Times New Roman" w:cs="Times New Roman"/>
                <w:sz w:val="18"/>
                <w:szCs w:val="18"/>
              </w:rPr>
            </w:pPr>
          </w:p>
          <w:p w14:paraId="0E972F5B" w14:textId="38F44F6F" w:rsidR="006D0605" w:rsidRPr="004E6A4A" w:rsidRDefault="00FF7A09"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1F8B0404"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Përputhet.</w:t>
            </w:r>
          </w:p>
          <w:p w14:paraId="3325C5E0" w14:textId="77777777" w:rsidR="008C56DE" w:rsidRPr="004E6A4A" w:rsidRDefault="008C56DE">
            <w:pPr>
              <w:jc w:val="both"/>
              <w:rPr>
                <w:rFonts w:ascii="Times New Roman" w:eastAsia="Times New Roman" w:hAnsi="Times New Roman" w:cs="Times New Roman"/>
                <w:sz w:val="20"/>
                <w:szCs w:val="20"/>
              </w:rPr>
            </w:pPr>
          </w:p>
          <w:p w14:paraId="4B24F399"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Paragrafi A transpozohet nga neni 8, pika 1, i projektligjit dhe nga fjalia e parë e nenit 6, pika 1, të VKM-së. Paragrafi B transpozohet nga neni 8, pikat 2, 3, 5, 6 dhe 9, të projektligjit dhe nga neni 6, pika 1, shkronjat a) deri në dh), të VKM-së, të cilat u korrespondojnë nënparagrafëve B(1) deri në B(6).</w:t>
            </w:r>
          </w:p>
        </w:tc>
      </w:tr>
      <w:tr w:rsidR="004E6A4A" w:rsidRPr="004E6A4A" w14:paraId="6DF59899" w14:textId="77777777" w:rsidTr="00153084">
        <w:trPr>
          <w:trHeight w:val="764"/>
        </w:trPr>
        <w:tc>
          <w:tcPr>
            <w:tcW w:w="630" w:type="dxa"/>
          </w:tcPr>
          <w:p w14:paraId="125E6357" w14:textId="77777777" w:rsidR="006D0605" w:rsidRPr="004E6A4A" w:rsidRDefault="006D0605" w:rsidP="00C4419F">
            <w:pPr>
              <w:jc w:val="center"/>
              <w:rPr>
                <w:rFonts w:ascii="Times New Roman" w:eastAsia="Calibri" w:hAnsi="Times New Roman" w:cs="Times New Roman"/>
                <w:i/>
                <w:sz w:val="18"/>
                <w:szCs w:val="18"/>
              </w:rPr>
            </w:pPr>
          </w:p>
        </w:tc>
        <w:tc>
          <w:tcPr>
            <w:tcW w:w="4230" w:type="dxa"/>
          </w:tcPr>
          <w:p w14:paraId="63A20A86" w14:textId="77777777" w:rsidR="008C56DE" w:rsidRPr="004E6A4A" w:rsidRDefault="00144445">
            <w:pPr>
              <w:rPr>
                <w:rFonts w:ascii="Times New Roman" w:eastAsia="Times New Roman" w:hAnsi="Times New Roman" w:cs="Times New Roman"/>
                <w:b/>
                <w:bCs/>
                <w:sz w:val="20"/>
                <w:szCs w:val="20"/>
              </w:rPr>
            </w:pPr>
            <w:r w:rsidRPr="004E6A4A">
              <w:rPr>
                <w:rFonts w:ascii="Times New Roman" w:eastAsia="Times New Roman" w:hAnsi="Times New Roman" w:cs="Times New Roman"/>
                <w:b/>
                <w:bCs/>
                <w:sz w:val="20"/>
                <w:szCs w:val="20"/>
              </w:rPr>
              <w:t>Aneksi I,  Seksioni III,  Paragrafi C</w:t>
            </w:r>
          </w:p>
          <w:p w14:paraId="5A7A9DA1"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w:t>
            </w:r>
            <w:r w:rsidRPr="004E6A4A">
              <w:rPr>
                <w:rFonts w:ascii="Times New Roman" w:eastAsia="Times New Roman" w:hAnsi="Times New Roman" w:cs="Times New Roman"/>
                <w:sz w:val="20"/>
                <w:szCs w:val="20"/>
              </w:rPr>
              <w:tab/>
              <w:t>Procedurat e rishikimit të zgjeruar për Llogaritë me Vlerë të Madhe. Procedurat e mëposhtme të rishikimit të zgjeruar zbatohen në lidhje me Llogaritë me Vlerë të Madhe.</w:t>
            </w:r>
          </w:p>
          <w:p w14:paraId="2CFE195C"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1.</w:t>
            </w:r>
            <w:r w:rsidRPr="004E6A4A">
              <w:rPr>
                <w:rFonts w:ascii="Times New Roman" w:eastAsia="Times New Roman" w:hAnsi="Times New Roman" w:cs="Times New Roman"/>
                <w:sz w:val="20"/>
                <w:szCs w:val="20"/>
              </w:rPr>
              <w:tab/>
              <w:t>Kërkimi elektronik i regjistrave. Në lidhje me Llogaritë me Vlerë të Madhe, Institucioni Financiar Raportues duhet të rishikojë të dhënat e kërkueshme elektronikisht të mbajtura nga Institucioni Financiar Raportues për cilindo nga treguesit e përshkruar në nënparagrafin B(2).</w:t>
            </w:r>
          </w:p>
          <w:p w14:paraId="2B1F992B"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2.</w:t>
            </w:r>
            <w:r w:rsidRPr="004E6A4A">
              <w:rPr>
                <w:rFonts w:ascii="Times New Roman" w:eastAsia="Times New Roman" w:hAnsi="Times New Roman" w:cs="Times New Roman"/>
                <w:sz w:val="20"/>
                <w:szCs w:val="20"/>
              </w:rPr>
              <w:tab/>
              <w:t>Kërkimi në regjistrat në letër. Nëse bazat e të dhënave të kërkueshme elektronikisht të Institucionit Financiar Raportues përfshijnë fusha për të gjithë informacionin e përshkruar në nënparagrafin C(3) dhe e kapin atë, atëherë nuk kërkohet një kërkim i mëtejshëm në regjistrat në letër. Nëse bazat elektronike të të dhënave nuk e kapin të gjithë këtë informacion, atëherë, në lidhje me një Llogari me Vlerë të Madhe, Institucioni Financiar Raportues duhet të rishikojë gjithashtu dosjen kryesore aktuale të klientit dhe, për aq sa nuk përmbahen në dosjen kryesore aktuale të klientit, dokumentet e mëposhtme që lidhen me llogarinë dhe që janë marrë nga Institucioni Financiar Raportues gjatë pesë viteve të fundit, për cilindo nga treguesit e përshkruar në nënparagrafin B(2):</w:t>
            </w:r>
          </w:p>
          <w:p w14:paraId="7643C9AE"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(a)</w:t>
            </w:r>
            <w:r w:rsidRPr="004E6A4A">
              <w:rPr>
                <w:rFonts w:ascii="Times New Roman" w:eastAsia="Times New Roman" w:hAnsi="Times New Roman" w:cs="Times New Roman"/>
                <w:sz w:val="20"/>
                <w:szCs w:val="20"/>
              </w:rPr>
              <w:tab/>
              <w:t>Evidenca Shkresore më e fundit e mbledhur në lidhje me llogarinë;</w:t>
            </w:r>
          </w:p>
          <w:p w14:paraId="219D07DB"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(b)</w:t>
            </w:r>
            <w:r w:rsidRPr="004E6A4A">
              <w:rPr>
                <w:rFonts w:ascii="Times New Roman" w:eastAsia="Times New Roman" w:hAnsi="Times New Roman" w:cs="Times New Roman"/>
                <w:sz w:val="20"/>
                <w:szCs w:val="20"/>
              </w:rPr>
              <w:tab/>
              <w:t>kontrata ose dokumentacioni më i fundit i hapjes së llogarisë;</w:t>
            </w:r>
          </w:p>
          <w:p w14:paraId="204328EA"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w:t>
            </w:r>
            <w:r w:rsidRPr="004E6A4A">
              <w:rPr>
                <w:rFonts w:ascii="Times New Roman" w:eastAsia="Times New Roman" w:hAnsi="Times New Roman" w:cs="Times New Roman"/>
                <w:sz w:val="20"/>
                <w:szCs w:val="20"/>
              </w:rPr>
              <w:tab/>
              <w:t xml:space="preserve">dokumentacioni më i fundit i marrë nga Institucioni Financiar Raportues në zbatim të </w:t>
            </w:r>
            <w:r w:rsidRPr="004E6A4A">
              <w:rPr>
                <w:rFonts w:ascii="Times New Roman" w:eastAsia="Times New Roman" w:hAnsi="Times New Roman" w:cs="Times New Roman"/>
                <w:sz w:val="20"/>
                <w:szCs w:val="20"/>
              </w:rPr>
              <w:lastRenderedPageBreak/>
              <w:t>Procedurave për PPP/NJKT ose për qëllime të tjera rregullatore;</w:t>
            </w:r>
          </w:p>
          <w:p w14:paraId="4B855001"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(d)</w:t>
            </w:r>
            <w:r w:rsidRPr="004E6A4A">
              <w:rPr>
                <w:rFonts w:ascii="Times New Roman" w:eastAsia="Times New Roman" w:hAnsi="Times New Roman" w:cs="Times New Roman"/>
                <w:sz w:val="20"/>
                <w:szCs w:val="20"/>
              </w:rPr>
              <w:tab/>
              <w:t>çdo formular prokure ose autorizimi nënshkrimi aktualisht në fuqi; dhe</w:t>
            </w:r>
          </w:p>
          <w:p w14:paraId="545B1CA4"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(e)</w:t>
            </w:r>
            <w:r w:rsidRPr="004E6A4A">
              <w:rPr>
                <w:rFonts w:ascii="Times New Roman" w:eastAsia="Times New Roman" w:hAnsi="Times New Roman" w:cs="Times New Roman"/>
                <w:sz w:val="20"/>
                <w:szCs w:val="20"/>
              </w:rPr>
              <w:tab/>
              <w:t>çdo urdhër i përhershëm (i ndryshëm nga ai në lidhje me një Llogari Depozite) për transferimin e fondeve aktualisht në fuqi.</w:t>
            </w:r>
          </w:p>
          <w:p w14:paraId="46669718"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3.</w:t>
            </w:r>
            <w:r w:rsidRPr="004E6A4A">
              <w:rPr>
                <w:rFonts w:ascii="Times New Roman" w:eastAsia="Times New Roman" w:hAnsi="Times New Roman" w:cs="Times New Roman"/>
                <w:sz w:val="20"/>
                <w:szCs w:val="20"/>
              </w:rPr>
              <w:tab/>
              <w:t>Përjashtimi për aq sa bazat e të dhënave përmbajnë informacion të mjaftueshëm. Një Institucion Financiar Raportues nuk është i detyruar të kryejë kërkimin në regjistrat në letër të përshkruar në nënparagrafin C(2) për aq sa informacioni i kërkueshëm elektronikisht i Institucionit Financiar Raportues përfshin sa vijon:</w:t>
            </w:r>
          </w:p>
          <w:p w14:paraId="68BF538D"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(a)</w:t>
            </w:r>
            <w:r w:rsidRPr="004E6A4A">
              <w:rPr>
                <w:rFonts w:ascii="Times New Roman" w:eastAsia="Times New Roman" w:hAnsi="Times New Roman" w:cs="Times New Roman"/>
                <w:sz w:val="20"/>
                <w:szCs w:val="20"/>
              </w:rPr>
              <w:tab/>
              <w:t>statusin e rezidencës së Mbajtësit të Llogarisë;</w:t>
            </w:r>
          </w:p>
          <w:p w14:paraId="0EF52E47"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(b)</w:t>
            </w:r>
            <w:r w:rsidRPr="004E6A4A">
              <w:rPr>
                <w:rFonts w:ascii="Times New Roman" w:eastAsia="Times New Roman" w:hAnsi="Times New Roman" w:cs="Times New Roman"/>
                <w:sz w:val="20"/>
                <w:szCs w:val="20"/>
              </w:rPr>
              <w:tab/>
              <w:t>adresën e rezidencës dhe adresën postare të Mbajtësit të Llogarisë që figurojnë aktualisht në dosje pranë Institucionit Financiar Raportues;</w:t>
            </w:r>
          </w:p>
          <w:p w14:paraId="6EFD1C67"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w:t>
            </w:r>
            <w:r w:rsidRPr="004E6A4A">
              <w:rPr>
                <w:rFonts w:ascii="Times New Roman" w:eastAsia="Times New Roman" w:hAnsi="Times New Roman" w:cs="Times New Roman"/>
                <w:sz w:val="20"/>
                <w:szCs w:val="20"/>
              </w:rPr>
              <w:tab/>
              <w:t>numrin ose numrat e telefonit të Mbajtësit të Llogarisë që figurojnë aktualisht në dosje, nëse ka, pranë Institucionit Financiar Raportues;</w:t>
            </w:r>
          </w:p>
          <w:p w14:paraId="7F37879C"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(d)</w:t>
            </w:r>
            <w:r w:rsidRPr="004E6A4A">
              <w:rPr>
                <w:rFonts w:ascii="Times New Roman" w:eastAsia="Times New Roman" w:hAnsi="Times New Roman" w:cs="Times New Roman"/>
                <w:sz w:val="20"/>
                <w:szCs w:val="20"/>
              </w:rPr>
              <w:tab/>
              <w:t>në rastin e Llogarive Financiare të ndryshme nga Llogaritë Depozite, nëse ka urdhra të përhershme për transferimin e fondeve të llogarisë në një llogari tjetër (përfshirë një llogari në një degë tjetër të Institucionit Financiar Raportues ose në një Institucion tjetër Financiar);</w:t>
            </w:r>
          </w:p>
          <w:p w14:paraId="105A76F8"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(e)</w:t>
            </w:r>
            <w:r w:rsidRPr="004E6A4A">
              <w:rPr>
                <w:rFonts w:ascii="Times New Roman" w:eastAsia="Times New Roman" w:hAnsi="Times New Roman" w:cs="Times New Roman"/>
                <w:sz w:val="20"/>
                <w:szCs w:val="20"/>
              </w:rPr>
              <w:tab/>
              <w:t>nëse ka një adresë aktuale “në kujdes të” ose një udhëzim “ruajtje e postës” për Mbajtësin e Llogarisë; dhe</w:t>
            </w:r>
          </w:p>
          <w:p w14:paraId="7992AEFA"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(f)</w:t>
            </w:r>
            <w:r w:rsidRPr="004E6A4A">
              <w:rPr>
                <w:rFonts w:ascii="Times New Roman" w:eastAsia="Times New Roman" w:hAnsi="Times New Roman" w:cs="Times New Roman"/>
                <w:sz w:val="20"/>
                <w:szCs w:val="20"/>
              </w:rPr>
              <w:tab/>
              <w:t>nëse ka ndonjë prokurë ose autorizim nënshkrimi për llogarinë.</w:t>
            </w:r>
          </w:p>
          <w:p w14:paraId="0B4FB771"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4.</w:t>
            </w:r>
            <w:r w:rsidRPr="004E6A4A">
              <w:rPr>
                <w:rFonts w:ascii="Times New Roman" w:eastAsia="Times New Roman" w:hAnsi="Times New Roman" w:cs="Times New Roman"/>
                <w:sz w:val="20"/>
                <w:szCs w:val="20"/>
              </w:rPr>
              <w:tab/>
              <w:t xml:space="preserve">Pyetja e menaxherit të marrëdhënies për njohuri faktike. Përveç kërkimeve në regjistrat elektronikë dhe në letër të përshkruara në nënparagrafët C(1) dhe (2), Institucioni Financiar </w:t>
            </w:r>
            <w:r w:rsidRPr="004E6A4A">
              <w:rPr>
                <w:rFonts w:ascii="Times New Roman" w:eastAsia="Times New Roman" w:hAnsi="Times New Roman" w:cs="Times New Roman"/>
                <w:sz w:val="20"/>
                <w:szCs w:val="20"/>
              </w:rPr>
              <w:lastRenderedPageBreak/>
              <w:t>Raportues duhet të trajtojë si Llogari të Raportueshme çdo Llogari me Vlerë të Madhe që i është caktuar një menaxheri marrëdhënieje (përfshirë çdo Llogari Financiare të totalizuar me këtë Llogari me Vlerë të Madhe), nëse menaxheri i marrëdhënies ka njohuri faktike se Mbajtësi i Llogarisë është Person i Raportueshëm.</w:t>
            </w:r>
          </w:p>
          <w:p w14:paraId="0C3D1F07"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5.</w:t>
            </w:r>
            <w:r w:rsidRPr="004E6A4A">
              <w:rPr>
                <w:rFonts w:ascii="Times New Roman" w:eastAsia="Times New Roman" w:hAnsi="Times New Roman" w:cs="Times New Roman"/>
                <w:sz w:val="20"/>
                <w:szCs w:val="20"/>
              </w:rPr>
              <w:tab/>
              <w:t>Efekti i gjetjes së treguesve.</w:t>
            </w:r>
          </w:p>
          <w:p w14:paraId="1FDC1321"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(a)</w:t>
            </w:r>
            <w:r w:rsidRPr="004E6A4A">
              <w:rPr>
                <w:rFonts w:ascii="Times New Roman" w:eastAsia="Times New Roman" w:hAnsi="Times New Roman" w:cs="Times New Roman"/>
                <w:sz w:val="20"/>
                <w:szCs w:val="20"/>
              </w:rPr>
              <w:tab/>
              <w:t>Nëse në rishikimin e zgjeruar të Llogarive me Vlerë të Madhe të përshkruar në paragrafin C nuk zbulohet asnjë nga treguesit e renditur në nënparagrafin B(2) dhe llogaria nuk identifikohet si e mbajtur nga një Person i Raportueshëm sipas nënparagrafit C(4), atëherë nuk kërkohet veprim i mëtejshëm derisa të ketë një ndryshim në rrethana që sjell lidhjen e një ose më shumë treguesve me llogarinë.</w:t>
            </w:r>
          </w:p>
          <w:p w14:paraId="58D6ACAF"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(b)</w:t>
            </w:r>
            <w:r w:rsidRPr="004E6A4A">
              <w:rPr>
                <w:rFonts w:ascii="Times New Roman" w:eastAsia="Times New Roman" w:hAnsi="Times New Roman" w:cs="Times New Roman"/>
                <w:sz w:val="20"/>
                <w:szCs w:val="20"/>
              </w:rPr>
              <w:tab/>
              <w:t>Nëse në rishikimin e zgjeruar të Llogarive me Vlerë të Madhe të përshkruar në paragrafin C zbulohet ndonjë nga treguesit e renditur në nënparagrafët B(2)(a) deri në (e), ose nëse ka një ndryshim të mëvonshëm në rrethana që sjell lidhjen e një ose më shumë treguesve me llogarinë, atëherë Institucioni Financiar Raportues duhet ta trajtojë llogarinë si Llogari të Raportueshme në lidhje me çdo shtet anëtar për të cilin identifikohet një tregues, përveçse kur zgjedh të zbatojë nënparagrafin B(6) dhe një nga përjashtimet e atij nënparagrafi zbatohet në lidhje me atë llogari.</w:t>
            </w:r>
          </w:p>
          <w:p w14:paraId="3EAB8B4B"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w:t>
            </w:r>
            <w:r w:rsidRPr="004E6A4A">
              <w:rPr>
                <w:rFonts w:ascii="Times New Roman" w:eastAsia="Times New Roman" w:hAnsi="Times New Roman" w:cs="Times New Roman"/>
                <w:sz w:val="20"/>
                <w:szCs w:val="20"/>
              </w:rPr>
              <w:tab/>
              <w:t xml:space="preserve">Nëse në rishikimin e zgjeruar të Llogarive me Vlerë të Madhe të përshkruar në paragrafin C zbulohet një udhëzim “ruajtje e postës” ose një adresë “në kujdes të” dhe për Mbajtësin e Llogarisë nuk identifikohet asnjë adresë tjetër dhe asnjë nga treguesit e tjerë të renditur në nënparagrafët B(2)(a) deri në (e), </w:t>
            </w:r>
            <w:r w:rsidRPr="004E6A4A">
              <w:rPr>
                <w:rFonts w:ascii="Times New Roman" w:eastAsia="Times New Roman" w:hAnsi="Times New Roman" w:cs="Times New Roman"/>
                <w:sz w:val="20"/>
                <w:szCs w:val="20"/>
              </w:rPr>
              <w:lastRenderedPageBreak/>
              <w:t>Institucioni Financiar Raportues duhet të marrë nga ky Mbajtës i Llogarisë një vetëdeklarim ose Evidencë Shkresore për të përcaktuar rezidencën ose rezidencat për qëllime tatimore të Mbajtësit të Llogarisë. Nëse Institucioni Financiar Raportues nuk mund ta marrë këtë vetëdeklarim ose Evidencë Shkresore, ai duhet ta raportojë llogarinë tek autoriteti kompetent i shtetit të tij anëtar si llogari të padokumentuar.</w:t>
            </w:r>
          </w:p>
          <w:p w14:paraId="560B8E4B"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6.</w:t>
            </w:r>
            <w:r w:rsidRPr="004E6A4A">
              <w:rPr>
                <w:rFonts w:ascii="Times New Roman" w:eastAsia="Times New Roman" w:hAnsi="Times New Roman" w:cs="Times New Roman"/>
                <w:sz w:val="20"/>
                <w:szCs w:val="20"/>
              </w:rPr>
              <w:tab/>
              <w:t>Nëse një Llogari Individuale Paraekzistuese nuk është Llogari me Vlerë të Madhe më 31 dhjetor 2015, por bëhet Llogari me Vlerë të Madhe në ditën e fundit të një viti kalendarik pasardhës, Institucioni Financiar Raportues duhet të përfundojë procedurat e rishikimit të zgjeruar të përshkruara në paragrafin C në lidhje me këtë llogari brenda vitit kalendarik pas vitit në të cilin llogaria bëhet Llogari me Vlerë të Madhe. Nëse, bazuar në këtë rishikim, kjo llogari identifikohet si Llogari e Raportueshme, Institucioni Financiar Raportues duhet të raportojë informacionin e kërkuar për këtë llogari në lidhje me vitin në të cilin ajo identifikohet si Llogari e Raportueshme dhe për vitet pasardhëse çdo vit, përveçse kur Mbajtësi i Llogarisë pushon së qeni Person i Raportueshëm.</w:t>
            </w:r>
          </w:p>
          <w:p w14:paraId="145EA91E"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7.</w:t>
            </w:r>
            <w:r w:rsidRPr="004E6A4A">
              <w:rPr>
                <w:rFonts w:ascii="Times New Roman" w:eastAsia="Times New Roman" w:hAnsi="Times New Roman" w:cs="Times New Roman"/>
                <w:sz w:val="20"/>
                <w:szCs w:val="20"/>
              </w:rPr>
              <w:tab/>
              <w:t xml:space="preserve">Pasi një Institucion Financiar Raportues zbaton procedurat e rishikimit të zgjeruar të përshkruara në paragrafin C për një Llogari me Vlerë të Madhe, Institucioni Financiar Raportues nuk është i detyruar t’i rizbatojë këto procedura, përveç pyetjes së menaxherit të marrëdhënies të përshkruar në nënparagrafin C(4), për të njëjtën Llogari me Vlerë të Madhe në asnjë vit pasardhës, përveçse kur llogaria është e padokumentuar, rast në të cilin Institucioni Financiar Raportues duhet </w:t>
            </w:r>
            <w:r w:rsidRPr="004E6A4A">
              <w:rPr>
                <w:rFonts w:ascii="Times New Roman" w:eastAsia="Times New Roman" w:hAnsi="Times New Roman" w:cs="Times New Roman"/>
                <w:sz w:val="20"/>
                <w:szCs w:val="20"/>
              </w:rPr>
              <w:lastRenderedPageBreak/>
              <w:t>t’i rizbatojë ato çdo vit derisa kjo llogari të pushojë së qeni e padokumentuar.</w:t>
            </w:r>
          </w:p>
          <w:p w14:paraId="0E8A9D86"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8.</w:t>
            </w:r>
            <w:r w:rsidRPr="004E6A4A">
              <w:rPr>
                <w:rFonts w:ascii="Times New Roman" w:eastAsia="Times New Roman" w:hAnsi="Times New Roman" w:cs="Times New Roman"/>
                <w:sz w:val="20"/>
                <w:szCs w:val="20"/>
              </w:rPr>
              <w:tab/>
              <w:t>Nëse ka një ndryshim në rrethana në lidhje me një Llogari me Vlerë të Madhe që sjell lidhjen me llogarinë të një ose më shumë treguesve të përshkruar në nënparagrafin B(2), atëherë Institucioni Financiar Raportues duhet ta trajtojë llogarinë si Llogari të Raportueshme në lidhje me çdo shtet anëtar për të cilin identifikohet një tregues, përveçse kur zgjedh të zbatojë nënparagrafin B(6) dhe një nga përjashtimet e atij nënparagrafi zbatohet në lidhje me atë llogari.</w:t>
            </w:r>
          </w:p>
          <w:p w14:paraId="76C9C4F0"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9.</w:t>
            </w:r>
            <w:r w:rsidRPr="004E6A4A">
              <w:rPr>
                <w:rFonts w:ascii="Times New Roman" w:eastAsia="Times New Roman" w:hAnsi="Times New Roman" w:cs="Times New Roman"/>
                <w:sz w:val="20"/>
                <w:szCs w:val="20"/>
              </w:rPr>
              <w:tab/>
              <w:t>Një Institucion Financiar Raportues duhet të zbatojë procedura për të siguruar që menaxheri i marrëdhënies të identifikojë çdo ndryshim në rrethanat e një llogarie. Për shembull, nëse menaxheri i marrëdhënies njoftohet se Mbajtësi i Llogarisë ka një adresë të re postare në një shtet anëtar, Institucioni Financiar Raportues duhet ta trajtojë adresën e re si ndryshim në rrethana dhe, nëse zgjedh të zbatojë nënparagrafin B(6), duhet të marrë dokumentacionin e duhur nga Mbajtësi i Llogarisë.</w:t>
            </w:r>
          </w:p>
        </w:tc>
        <w:tc>
          <w:tcPr>
            <w:tcW w:w="1350" w:type="dxa"/>
          </w:tcPr>
          <w:p w14:paraId="41030BC4" w14:textId="77777777" w:rsidR="006D0605" w:rsidRPr="004E6A4A" w:rsidRDefault="006D0605" w:rsidP="00C4419F">
            <w:pPr>
              <w:jc w:val="center"/>
              <w:rPr>
                <w:rFonts w:ascii="Times New Roman" w:eastAsia="Calibri" w:hAnsi="Times New Roman" w:cs="Times New Roman"/>
                <w:sz w:val="18"/>
                <w:szCs w:val="18"/>
              </w:rPr>
            </w:pPr>
          </w:p>
        </w:tc>
        <w:tc>
          <w:tcPr>
            <w:tcW w:w="810" w:type="dxa"/>
          </w:tcPr>
          <w:p w14:paraId="2CE72E14" w14:textId="400B1D60" w:rsidR="006D0605" w:rsidRPr="004E6A4A" w:rsidRDefault="006D0605" w:rsidP="00C4419F">
            <w:pPr>
              <w:jc w:val="center"/>
              <w:rPr>
                <w:rFonts w:ascii="Times New Roman" w:eastAsia="Times New Roman" w:hAnsi="Times New Roman" w:cs="Times New Roman"/>
                <w:sz w:val="20"/>
                <w:szCs w:val="21"/>
                <w:lang w:eastAsia="sq-AL"/>
              </w:rPr>
            </w:pPr>
          </w:p>
        </w:tc>
        <w:tc>
          <w:tcPr>
            <w:tcW w:w="4590" w:type="dxa"/>
          </w:tcPr>
          <w:p w14:paraId="35953249" w14:textId="77777777" w:rsidR="00FA0CFF" w:rsidRPr="004E6A4A" w:rsidRDefault="00144445">
            <w:pPr>
              <w:jc w:val="center"/>
            </w:pPr>
            <w:r w:rsidRPr="004E6A4A">
              <w:rPr>
                <w:rFonts w:ascii="Times New Roman" w:eastAsia="Times New Roman" w:hAnsi="Times New Roman" w:cs="Times New Roman"/>
                <w:b/>
                <w:sz w:val="20"/>
              </w:rPr>
              <w:t>VKM: Neni 6</w:t>
            </w:r>
          </w:p>
          <w:p w14:paraId="37B6E12E" w14:textId="77777777" w:rsidR="00FA0CFF" w:rsidRPr="004E6A4A" w:rsidRDefault="00144445">
            <w:pPr>
              <w:jc w:val="center"/>
            </w:pPr>
            <w:r w:rsidRPr="004E6A4A">
              <w:rPr>
                <w:rFonts w:ascii="Times New Roman" w:eastAsia="Times New Roman" w:hAnsi="Times New Roman" w:cs="Times New Roman"/>
                <w:b/>
                <w:sz w:val="20"/>
              </w:rPr>
              <w:t>Vigjilenca e duhur për llogaritë paraekzistuese individuale</w:t>
            </w:r>
          </w:p>
          <w:p w14:paraId="7DE96033" w14:textId="77777777" w:rsidR="00FA0CFF" w:rsidRPr="004E6A4A" w:rsidRDefault="00144445">
            <w:pPr>
              <w:jc w:val="both"/>
            </w:pPr>
            <w:r w:rsidRPr="004E6A4A">
              <w:rPr>
                <w:rFonts w:ascii="Times New Roman" w:eastAsia="Times New Roman" w:hAnsi="Times New Roman" w:cs="Times New Roman"/>
                <w:sz w:val="20"/>
              </w:rPr>
              <w:t>2. Procedurat e rishikimit të zgjeruar për llogaritë me vlerë të madhe. Lidhur me llogaritë me vlerë të madhe zbatohen procedurat vijuese të rishikimit të zgjeruar:</w:t>
            </w:r>
          </w:p>
          <w:p w14:paraId="7D1C7118" w14:textId="77777777" w:rsidR="00FA0CFF" w:rsidRPr="004E6A4A" w:rsidRDefault="00144445">
            <w:pPr>
              <w:jc w:val="both"/>
            </w:pPr>
            <w:r w:rsidRPr="004E6A4A">
              <w:rPr>
                <w:rFonts w:ascii="Times New Roman" w:eastAsia="Times New Roman" w:hAnsi="Times New Roman" w:cs="Times New Roman"/>
                <w:sz w:val="20"/>
              </w:rPr>
              <w:t>a) Kërkimi elektronik i të dhënave. Në lidhje me llogaritë me vlerë të madhe, institucioni financiar raportues duhet të rishikojë të dhënat e kërkueshme në formë elektronike të ruajtura nga institucioni financiar raportues për secilin prej treguesve të përshkruar në shkronjën “b”, të pikës 1, të këtij neni.</w:t>
            </w:r>
          </w:p>
          <w:p w14:paraId="472BAD90" w14:textId="77777777" w:rsidR="00FA0CFF" w:rsidRPr="004E6A4A" w:rsidRDefault="00144445">
            <w:pPr>
              <w:jc w:val="both"/>
            </w:pPr>
            <w:r w:rsidRPr="004E6A4A">
              <w:rPr>
                <w:rFonts w:ascii="Times New Roman" w:eastAsia="Times New Roman" w:hAnsi="Times New Roman" w:cs="Times New Roman"/>
                <w:sz w:val="20"/>
              </w:rPr>
              <w:t>b) Kërkimi manual i të dhënave. Nëse të dhënat elektronike të institucionit financiar raportues përfshijnë informacionin e parashikuar në shkronjën “c”, të pikës 2, të këtij neni, atëherë nuk kërkohet një kërkim i mëtejshëm manual. Nëse të dhënat e kërkuara në formë elektronike nuk i përfshijnë të gjitha këto informacione, atëherë, në lidhje me një llogari me vlerë të madhe, institucioni financiar raportues duhet, gjithashtu, që të rishikojë dosjen aktuale kryesore të klientit dhe, nëse nuk përfshihen në dosjen e tij, dokumentet e mëposhtme të lidhura me llogarinë dhe të marrë nga institucioni financiar raportues brenda pesë vjetëve të fundit për secilin prej treguesve të përshkruar në shkronjën “b”, të pikës 1, të këtij neni:</w:t>
            </w:r>
          </w:p>
          <w:p w14:paraId="71AE534A" w14:textId="77777777" w:rsidR="00FA0CFF" w:rsidRPr="004E6A4A" w:rsidRDefault="00144445">
            <w:pPr>
              <w:jc w:val="both"/>
            </w:pPr>
            <w:r w:rsidRPr="004E6A4A">
              <w:rPr>
                <w:rFonts w:ascii="Times New Roman" w:eastAsia="Times New Roman" w:hAnsi="Times New Roman" w:cs="Times New Roman"/>
                <w:sz w:val="20"/>
              </w:rPr>
              <w:t>i. evidencat shkresore më të fundit të mbledhura në lidhje me llogarinë;</w:t>
            </w:r>
          </w:p>
          <w:p w14:paraId="47BE1FE4" w14:textId="77777777" w:rsidR="00FA0CFF" w:rsidRPr="004E6A4A" w:rsidRDefault="00144445">
            <w:pPr>
              <w:jc w:val="both"/>
            </w:pPr>
            <w:r w:rsidRPr="004E6A4A">
              <w:rPr>
                <w:rFonts w:ascii="Times New Roman" w:eastAsia="Times New Roman" w:hAnsi="Times New Roman" w:cs="Times New Roman"/>
                <w:sz w:val="20"/>
              </w:rPr>
              <w:t>ii. kontratën ose dokumentacionin e fundit për hapjen e llogarisë;</w:t>
            </w:r>
          </w:p>
          <w:p w14:paraId="63DA37C8" w14:textId="77777777" w:rsidR="00FA0CFF" w:rsidRPr="004E6A4A" w:rsidRDefault="00144445">
            <w:pPr>
              <w:jc w:val="both"/>
            </w:pPr>
            <w:r w:rsidRPr="004E6A4A">
              <w:rPr>
                <w:rFonts w:ascii="Times New Roman" w:eastAsia="Times New Roman" w:hAnsi="Times New Roman" w:cs="Times New Roman"/>
                <w:sz w:val="20"/>
              </w:rPr>
              <w:t>iii. dokumentacionin më të fundit të marrë nga institucioni financiar raportues, në përputhje me politikat e procedurave (PPP/NJKT) ose për qëllime të tjera rregullatore;</w:t>
            </w:r>
          </w:p>
          <w:p w14:paraId="459AD836" w14:textId="77777777" w:rsidR="00FA0CFF" w:rsidRPr="004E6A4A" w:rsidRDefault="00144445">
            <w:pPr>
              <w:jc w:val="both"/>
            </w:pPr>
            <w:r w:rsidRPr="004E6A4A">
              <w:rPr>
                <w:rFonts w:ascii="Times New Roman" w:eastAsia="Times New Roman" w:hAnsi="Times New Roman" w:cs="Times New Roman"/>
                <w:sz w:val="20"/>
              </w:rPr>
              <w:lastRenderedPageBreak/>
              <w:t>iv. çdo prokurë përfaqësimi apo autorizim nënshkrimi në fuqi; dhe</w:t>
            </w:r>
          </w:p>
          <w:p w14:paraId="60656050" w14:textId="77777777" w:rsidR="00FA0CFF" w:rsidRPr="004E6A4A" w:rsidRDefault="00144445">
            <w:pPr>
              <w:jc w:val="both"/>
            </w:pPr>
            <w:r w:rsidRPr="004E6A4A">
              <w:rPr>
                <w:rFonts w:ascii="Times New Roman" w:eastAsia="Times New Roman" w:hAnsi="Times New Roman" w:cs="Times New Roman"/>
                <w:sz w:val="20"/>
              </w:rPr>
              <w:t>v. çdo urdhërpagesë periodike (të ndryshme nga ato lidhur me llogaritë e depozitave) për të transferuar fonde, aktualisht në fuqi.</w:t>
            </w:r>
          </w:p>
          <w:p w14:paraId="2C2CCEF4" w14:textId="77777777" w:rsidR="00FA0CFF" w:rsidRPr="004E6A4A" w:rsidRDefault="00144445">
            <w:pPr>
              <w:jc w:val="both"/>
            </w:pPr>
            <w:r w:rsidRPr="004E6A4A">
              <w:rPr>
                <w:rFonts w:ascii="Times New Roman" w:eastAsia="Times New Roman" w:hAnsi="Times New Roman" w:cs="Times New Roman"/>
                <w:sz w:val="20"/>
              </w:rPr>
              <w:t>c) Përjashtimi deri në masën që bazat e të dhënave përmbajnë informacion të mjaftueshëm. Një institucion financiar raportues nuk është i detyruar të kryejë kërkimin manual të të dhënave, të përshkruar në shkronjën “b”, të pikës 2, të këtij neni, për sa kohë informacioni i kërkueshëm në format elektronik i institucionit financiar raportues përfshin:</w:t>
            </w:r>
          </w:p>
          <w:p w14:paraId="4E0C4413" w14:textId="77777777" w:rsidR="00FA0CFF" w:rsidRPr="004E6A4A" w:rsidRDefault="00144445">
            <w:pPr>
              <w:jc w:val="both"/>
            </w:pPr>
            <w:r w:rsidRPr="004E6A4A">
              <w:rPr>
                <w:rFonts w:ascii="Times New Roman" w:eastAsia="Times New Roman" w:hAnsi="Times New Roman" w:cs="Times New Roman"/>
                <w:sz w:val="20"/>
              </w:rPr>
              <w:t>i. statusin e rezidencës së mbajtësit të llogarisë;</w:t>
            </w:r>
          </w:p>
          <w:p w14:paraId="479C7A26" w14:textId="77777777" w:rsidR="00FA0CFF" w:rsidRPr="004E6A4A" w:rsidRDefault="00144445">
            <w:pPr>
              <w:jc w:val="both"/>
            </w:pPr>
            <w:r w:rsidRPr="004E6A4A">
              <w:rPr>
                <w:rFonts w:ascii="Times New Roman" w:eastAsia="Times New Roman" w:hAnsi="Times New Roman" w:cs="Times New Roman"/>
                <w:sz w:val="20"/>
              </w:rPr>
              <w:t>ii. adresën e rezidencës së mbajtësit të llogarisë dhe adresën postare të mbajtësit të llogarisë që ndodhet aktualisht në dosjen e institucionit financiar raportues;</w:t>
            </w:r>
          </w:p>
          <w:p w14:paraId="5906D733" w14:textId="77777777" w:rsidR="00FA0CFF" w:rsidRPr="004E6A4A" w:rsidRDefault="00144445">
            <w:pPr>
              <w:jc w:val="both"/>
            </w:pPr>
            <w:r w:rsidRPr="004E6A4A">
              <w:rPr>
                <w:rFonts w:ascii="Times New Roman" w:eastAsia="Times New Roman" w:hAnsi="Times New Roman" w:cs="Times New Roman"/>
                <w:sz w:val="20"/>
              </w:rPr>
              <w:t>iii. numrin/at e telefonit të mbajtësit të llogarisë që aktualisht figurojnë (nëse ka), në dosjen e institucionit financiar raportues;</w:t>
            </w:r>
          </w:p>
          <w:p w14:paraId="767A9FBB" w14:textId="77777777" w:rsidR="00FA0CFF" w:rsidRPr="004E6A4A" w:rsidRDefault="00144445">
            <w:pPr>
              <w:jc w:val="both"/>
            </w:pPr>
            <w:r w:rsidRPr="004E6A4A">
              <w:rPr>
                <w:rFonts w:ascii="Times New Roman" w:eastAsia="Times New Roman" w:hAnsi="Times New Roman" w:cs="Times New Roman"/>
                <w:sz w:val="20"/>
              </w:rPr>
              <w:t>iv. në rastin e llogarive financiare, të ndryshme nga llogaritë e depozitës, nëse ka urdhërpagesa periodike për të transferuar fondet nga llogaria në një tjetër llogari (duke përfshirë llogarinë në një degë tjetër të institucionit financiar raportues ose në një tjetër institucion financiar);</w:t>
            </w:r>
          </w:p>
          <w:p w14:paraId="594ED1D4" w14:textId="77777777" w:rsidR="00FA0CFF" w:rsidRPr="004E6A4A" w:rsidRDefault="00144445">
            <w:pPr>
              <w:jc w:val="both"/>
            </w:pPr>
            <w:r w:rsidRPr="004E6A4A">
              <w:rPr>
                <w:rFonts w:ascii="Times New Roman" w:eastAsia="Times New Roman" w:hAnsi="Times New Roman" w:cs="Times New Roman"/>
                <w:sz w:val="20"/>
              </w:rPr>
              <w:t>v. nëse ka një adresë aktuale “në vëmendje të” ose udhëzim për “ruajtje të postës” për mbajtësin e llogarisë; dhe</w:t>
            </w:r>
          </w:p>
          <w:p w14:paraId="3FD48676" w14:textId="77777777" w:rsidR="00FA0CFF" w:rsidRPr="004E6A4A" w:rsidRDefault="00144445">
            <w:pPr>
              <w:jc w:val="both"/>
            </w:pPr>
            <w:r w:rsidRPr="004E6A4A">
              <w:rPr>
                <w:rFonts w:ascii="Times New Roman" w:eastAsia="Times New Roman" w:hAnsi="Times New Roman" w:cs="Times New Roman"/>
                <w:sz w:val="20"/>
              </w:rPr>
              <w:t>vi. nëse ka ndonjë prokurë të posaçme ose autorizim nënshkrimi për llogarinë.</w:t>
            </w:r>
          </w:p>
          <w:p w14:paraId="57372B8A" w14:textId="77777777" w:rsidR="00FA0CFF" w:rsidRPr="004E6A4A" w:rsidRDefault="00144445">
            <w:pPr>
              <w:jc w:val="both"/>
            </w:pPr>
            <w:r w:rsidRPr="004E6A4A">
              <w:rPr>
                <w:rFonts w:ascii="Times New Roman" w:eastAsia="Times New Roman" w:hAnsi="Times New Roman" w:cs="Times New Roman"/>
                <w:sz w:val="20"/>
              </w:rPr>
              <w:t xml:space="preserve">ç) Marrja në pyetje e menaxherit të marrëdhënieve mbi njohuri reale. Përveç kërkimit elektronik dhe manual të të dhënave të përshkruara në shkronjat “a” dhe “b”, të pikës 2, të këtij neni, institucioni financiar raportues duhet të trajtojë si llogari të raportueshme çdo llogari me vlerë të madhe, të caktuar për një menaxher të marrëdhënieve (përfshirë çdo llogari financiare që i </w:t>
            </w:r>
            <w:r w:rsidRPr="004E6A4A">
              <w:rPr>
                <w:rFonts w:ascii="Times New Roman" w:eastAsia="Times New Roman" w:hAnsi="Times New Roman" w:cs="Times New Roman"/>
                <w:sz w:val="20"/>
              </w:rPr>
              <w:lastRenderedPageBreak/>
              <w:t>shtohet llogarisë me vlerë të madhe), nëse menaxheri i marrëdhënieve ka dijeni reale se kjo llogari i përket një rezidenti për qëllime tatimore në një juridiksion të raportueshëm.</w:t>
            </w:r>
          </w:p>
          <w:p w14:paraId="7A8E42B1" w14:textId="77777777" w:rsidR="00FA0CFF" w:rsidRPr="004E6A4A" w:rsidRDefault="00144445">
            <w:pPr>
              <w:jc w:val="both"/>
            </w:pPr>
            <w:r w:rsidRPr="004E6A4A">
              <w:rPr>
                <w:rFonts w:ascii="Times New Roman" w:eastAsia="Times New Roman" w:hAnsi="Times New Roman" w:cs="Times New Roman"/>
                <w:sz w:val="20"/>
              </w:rPr>
              <w:t>d) Efekti i gjetjes së treguesve:</w:t>
            </w:r>
          </w:p>
          <w:p w14:paraId="3EA18047" w14:textId="77777777" w:rsidR="00FA0CFF" w:rsidRPr="004E6A4A" w:rsidRDefault="00144445">
            <w:pPr>
              <w:jc w:val="both"/>
            </w:pPr>
            <w:r w:rsidRPr="004E6A4A">
              <w:rPr>
                <w:rFonts w:ascii="Times New Roman" w:eastAsia="Times New Roman" w:hAnsi="Times New Roman" w:cs="Times New Roman"/>
                <w:sz w:val="20"/>
              </w:rPr>
              <w:t>i. nëse asnjë prej treguesve të renditur në shkronjën “b”, të pikës 1, të këtij neni, nuk është konstatuar në rishikimin e zgjeruar të llogarive me vlerë të madhe, të përshkruar në pikën 2, dhe llogaria nuk identifikohet si e mbajtur nga një rezident, për qëllime tatimore në një juridiksion të raportueshëm, sipas shkronjës “ç”, të pikës 2, të këtij neni, atëherë nuk kërkohen veprime vijuese derisa të ketë një ndryshim të rrethanave të cilat rezultojnë në një ose më shumë tregues që lidhen me llogarinë;</w:t>
            </w:r>
          </w:p>
          <w:p w14:paraId="54C306EC" w14:textId="77777777" w:rsidR="00FA0CFF" w:rsidRPr="004E6A4A" w:rsidRDefault="00144445">
            <w:pPr>
              <w:jc w:val="both"/>
            </w:pPr>
            <w:r w:rsidRPr="004E6A4A">
              <w:rPr>
                <w:rFonts w:ascii="Times New Roman" w:eastAsia="Times New Roman" w:hAnsi="Times New Roman" w:cs="Times New Roman"/>
                <w:sz w:val="20"/>
              </w:rPr>
              <w:t>ii. nëse ndonjë prej treguesve të renditur në nënndarjet “i” deri “v”, të shkronjës “b”, të pikës 1, të këtij neni, janë konstatuar në rishikimin e zgjeruar të llogarive me vlerë të madhe, të përshkruar në pikën 2, të këtij neni ose, nëse ka një ndryshim pasues të rrethanave që rezultojnë në një ose më shumë tregues që lidhen me llogarinë, atëherë institucioni financiar raportues duhet ta trajtojë mbajtësin e llogarisë si rezident për qëllime tatimore të çdo juridiksioni të raportueshëm për të cilin identifikohet treguesi, përveçse kur ai zgjedh të zbatojë shkronjën “dh”, të pikës 1, të këtij neni, dhe një nga përjashtimet në atë shkronjë zbatohet për atë llogari;</w:t>
            </w:r>
          </w:p>
          <w:p w14:paraId="58ED717C" w14:textId="77777777" w:rsidR="00FA0CFF" w:rsidRPr="004E6A4A" w:rsidRDefault="00144445">
            <w:pPr>
              <w:jc w:val="both"/>
            </w:pPr>
            <w:r w:rsidRPr="004E6A4A">
              <w:rPr>
                <w:rFonts w:ascii="Times New Roman" w:eastAsia="Times New Roman" w:hAnsi="Times New Roman" w:cs="Times New Roman"/>
                <w:sz w:val="20"/>
              </w:rPr>
              <w:t xml:space="preserve">iii. nëse një udhëzim për “ruajtjen e postës” ose një adresë “në vëmendje të” konstatohet në rishikimin e zgjeruar të llogarive me vlerë të madhe të përshkruar në pikën 2 të këtij neni dhe asnjë adresë tjetër ose asnjë prej treguesve të tjerë të listuar në nënndarjet “i” deri në “v”, të shkronjës “b”, të pikës 1, të këtij neni, nuk identifikohen për mbajtësin e llogarisë, institucioni financiar raportues duhet të marrë nga mbajtësi i llogarisë një vetëdeklarim ose evidenca shkresore për të përcaktuar rezidencën/at për qëllime tatimore të </w:t>
            </w:r>
            <w:r w:rsidRPr="004E6A4A">
              <w:rPr>
                <w:rFonts w:ascii="Times New Roman" w:eastAsia="Times New Roman" w:hAnsi="Times New Roman" w:cs="Times New Roman"/>
                <w:sz w:val="20"/>
              </w:rPr>
              <w:lastRenderedPageBreak/>
              <w:t>mbajtësit të llogarisë. Nëse institucioni financiar raportues nuk mund të sigurojë një vetëdeklarim ose evidenca shkresore, ai duhet të raportojë llogarinë si një llogari të padokumentuar tek administrata tatimore.</w:t>
            </w:r>
          </w:p>
          <w:p w14:paraId="28279583" w14:textId="77777777" w:rsidR="00FA0CFF" w:rsidRPr="004E6A4A" w:rsidRDefault="00144445">
            <w:pPr>
              <w:jc w:val="both"/>
            </w:pPr>
            <w:r w:rsidRPr="004E6A4A">
              <w:rPr>
                <w:rFonts w:ascii="Times New Roman" w:eastAsia="Times New Roman" w:hAnsi="Times New Roman" w:cs="Times New Roman"/>
                <w:sz w:val="20"/>
              </w:rPr>
              <w:t>Nëse një Llogari Individuale Paraekzistuese nuk është Llogari me Vlerë të Madhe në datën e referencës që zbatohet për profilin përkatës, por bëhet Llogari me Vlerë të Madhe në fund të një viti kalendarik pasues, institucioni financiar raportues përfundon procedurat e rishikimit të zgjeruar të pikës 2 brenda vitit kalendarik që pason vitin në të cilin llogaria e fiton këtë status. Kur, bazuar në këtë rishikim, llogaria identifikohet si Llogari e Raportueshme, informacioni raportohet për vitin në të cilin është identifikuar si e tillë dhe për çdo vit pasues, përveçse kur Mbajtësi i Llogarisë pushon së qeni Person i Raportueshëm.</w:t>
            </w:r>
          </w:p>
          <w:p w14:paraId="119F98E9" w14:textId="77777777" w:rsidR="00FA0CFF" w:rsidRPr="004E6A4A" w:rsidRDefault="00144445">
            <w:pPr>
              <w:jc w:val="both"/>
            </w:pPr>
            <w:r w:rsidRPr="004E6A4A">
              <w:rPr>
                <w:rFonts w:ascii="Times New Roman" w:eastAsia="Times New Roman" w:hAnsi="Times New Roman" w:cs="Times New Roman"/>
                <w:sz w:val="20"/>
              </w:rPr>
              <w:t>e) Pasi një institucion financiar raportues aplikon procedurat e rishikimit të zgjeruar, përshkruar në pikën 2, të këtij neni, për një llogari me vlerë të madhe, nuk i kërkohet të riaplikojë këto procedura, përveçse marrjes në pyetje të menaxherit të marrëdhënieve sipas shkronjës “ç”, të pikës 2 të këtij neni, për të njëjtën llogari me vlerë të madhe në vitet në vijim, me përjashtim të rasteve kur llogaria është e padokumentuar, raste në të cilat institucioni financiar raportues duhet t’i rizbatojë ato çdo vit derisa kjo llogari të pushojë së qeni e padokumentuar.</w:t>
            </w:r>
          </w:p>
          <w:p w14:paraId="32B9DFB6" w14:textId="77777777" w:rsidR="00FA0CFF" w:rsidRPr="004E6A4A" w:rsidRDefault="00144445">
            <w:pPr>
              <w:jc w:val="both"/>
            </w:pPr>
            <w:r w:rsidRPr="004E6A4A">
              <w:rPr>
                <w:rFonts w:ascii="Times New Roman" w:eastAsia="Times New Roman" w:hAnsi="Times New Roman" w:cs="Times New Roman"/>
                <w:sz w:val="20"/>
              </w:rPr>
              <w:t xml:space="preserve">ë) Nëse ka një ndryshim të rrethanave, në lidhje me një llogari me vlerë të madhe që rezulton që në një ose më shumë tregues të përshkruar në shkronjën “b”, të pikës 1, të këtij neni, që lidhen me llogarinë, atëherë institucioni financiar raportues duhet ta trajtojë llogarinë si një llogari të raportueshme, në lidhje me secilin juridiksion të raportueshëm për të cilin është identifikuar një tregues, përveçse kur ai zgjedh të zbatojë shkronjën “dh”, të pikës 1, të këtij neni, dhe një </w:t>
            </w:r>
            <w:r w:rsidRPr="004E6A4A">
              <w:rPr>
                <w:rFonts w:ascii="Times New Roman" w:eastAsia="Times New Roman" w:hAnsi="Times New Roman" w:cs="Times New Roman"/>
                <w:sz w:val="20"/>
              </w:rPr>
              <w:lastRenderedPageBreak/>
              <w:t>prej përjashtimeve në atë shkronjë zbatohet në lidhje me atë llogari.</w:t>
            </w:r>
          </w:p>
          <w:p w14:paraId="1FC82462" w14:textId="77777777" w:rsidR="00FA0CFF" w:rsidRPr="004E6A4A" w:rsidRDefault="00144445">
            <w:pPr>
              <w:jc w:val="both"/>
            </w:pPr>
            <w:r w:rsidRPr="004E6A4A">
              <w:rPr>
                <w:rFonts w:ascii="Times New Roman" w:eastAsia="Times New Roman" w:hAnsi="Times New Roman" w:cs="Times New Roman"/>
                <w:sz w:val="20"/>
              </w:rPr>
              <w:t>f) Një institucion financiar raportues duhet të aplikojë procedurat për të garantuar që menaxheri i marrëdhënieve të identifikojë çdo ndryshim në rrethanat e një llogarie. Për shembull, nëse një menaxher i marrëdhënieve njoftohet se mbajtësi i llogarisë ka një adresë të re postare në një juridiksion të raportueshëm, institucioni financiar raportues kërkohet të trajtojë adresën e re si një ndryshim në rrethana dhe nëse ai zgjedh të zbatojë shkronjën “dh”, të pikës 1, të këtij neni, i kërkohet të marrë dokumentacionin e duhur nga klienti i llogarisë.</w:t>
            </w:r>
          </w:p>
        </w:tc>
        <w:tc>
          <w:tcPr>
            <w:tcW w:w="1620" w:type="dxa"/>
          </w:tcPr>
          <w:p w14:paraId="73DB22E3" w14:textId="77777777" w:rsidR="00EB704B" w:rsidRPr="004E6A4A" w:rsidRDefault="00EB704B" w:rsidP="00C4419F">
            <w:pPr>
              <w:jc w:val="center"/>
              <w:rPr>
                <w:rFonts w:ascii="Times New Roman" w:eastAsia="Calibri" w:hAnsi="Times New Roman" w:cs="Times New Roman"/>
                <w:sz w:val="18"/>
                <w:szCs w:val="18"/>
              </w:rPr>
            </w:pPr>
          </w:p>
          <w:p w14:paraId="085FA90E" w14:textId="784E6DE7" w:rsidR="006D0605" w:rsidRPr="004E6A4A" w:rsidRDefault="00EB704B"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r w:rsidRPr="004E6A4A">
              <w:rPr>
                <w:rFonts w:ascii="Times New Roman" w:eastAsia="Calibri" w:hAnsi="Times New Roman" w:cs="Times New Roman"/>
                <w:sz w:val="18"/>
                <w:szCs w:val="18"/>
              </w:rPr>
              <w:br/>
            </w:r>
          </w:p>
        </w:tc>
        <w:tc>
          <w:tcPr>
            <w:tcW w:w="2970" w:type="dxa"/>
          </w:tcPr>
          <w:p w14:paraId="5C288038"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Përputhet.</w:t>
            </w:r>
          </w:p>
          <w:p w14:paraId="18CBBC2A"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Transpozohet nga neni 6, pika 2, i VKM-së.</w:t>
            </w:r>
          </w:p>
        </w:tc>
      </w:tr>
      <w:tr w:rsidR="004E6A4A" w:rsidRPr="004E6A4A" w14:paraId="09C2FF69" w14:textId="77777777" w:rsidTr="00153084">
        <w:trPr>
          <w:trHeight w:val="764"/>
        </w:trPr>
        <w:tc>
          <w:tcPr>
            <w:tcW w:w="630" w:type="dxa"/>
          </w:tcPr>
          <w:p w14:paraId="01EC28A3" w14:textId="77777777" w:rsidR="006D0605" w:rsidRPr="004E6A4A" w:rsidRDefault="006D0605" w:rsidP="00C4419F">
            <w:pPr>
              <w:jc w:val="center"/>
              <w:rPr>
                <w:rFonts w:ascii="Times New Roman" w:eastAsia="Calibri" w:hAnsi="Times New Roman" w:cs="Times New Roman"/>
                <w:i/>
                <w:sz w:val="18"/>
                <w:szCs w:val="18"/>
              </w:rPr>
            </w:pPr>
          </w:p>
        </w:tc>
        <w:tc>
          <w:tcPr>
            <w:tcW w:w="4230" w:type="dxa"/>
          </w:tcPr>
          <w:p w14:paraId="5AFE463D" w14:textId="77777777" w:rsidR="008C56DE" w:rsidRPr="004E6A4A" w:rsidRDefault="00144445">
            <w:pPr>
              <w:rPr>
                <w:rFonts w:ascii="Times New Roman" w:eastAsia="Times New Roman" w:hAnsi="Times New Roman" w:cs="Times New Roman"/>
                <w:b/>
                <w:bCs/>
                <w:sz w:val="20"/>
                <w:szCs w:val="20"/>
              </w:rPr>
            </w:pPr>
            <w:r w:rsidRPr="004E6A4A">
              <w:rPr>
                <w:rFonts w:ascii="Times New Roman" w:eastAsia="Times New Roman" w:hAnsi="Times New Roman" w:cs="Times New Roman"/>
                <w:b/>
                <w:bCs/>
                <w:sz w:val="20"/>
                <w:szCs w:val="20"/>
              </w:rPr>
              <w:t>Aneksi I,  Seksioni III,  Paragrafi D</w:t>
            </w:r>
          </w:p>
          <w:p w14:paraId="67D967BA"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D.</w:t>
            </w:r>
            <w:r w:rsidRPr="004E6A4A">
              <w:rPr>
                <w:rFonts w:ascii="Times New Roman" w:eastAsia="Times New Roman" w:hAnsi="Times New Roman" w:cs="Times New Roman"/>
                <w:sz w:val="20"/>
                <w:szCs w:val="20"/>
              </w:rPr>
              <w:tab/>
              <w:t>Rishikimi i Llogarive Individuale Paraekzistuese me Vlerë të Madhe duhet të përfundojë deri më 31 dhjetor 2016. Rishikimi i Llogarive Individuale Paraekzistuese me Vlerë më të Ulët duhet të përfundojë deri më 31 dhjetor 2017.</w:t>
            </w:r>
          </w:p>
        </w:tc>
        <w:tc>
          <w:tcPr>
            <w:tcW w:w="1350" w:type="dxa"/>
          </w:tcPr>
          <w:p w14:paraId="2C913469" w14:textId="77777777" w:rsidR="006D0605" w:rsidRPr="004E6A4A" w:rsidRDefault="006D0605" w:rsidP="00C4419F">
            <w:pPr>
              <w:jc w:val="center"/>
              <w:rPr>
                <w:rFonts w:ascii="Times New Roman" w:eastAsia="Calibri" w:hAnsi="Times New Roman" w:cs="Times New Roman"/>
                <w:sz w:val="18"/>
                <w:szCs w:val="18"/>
              </w:rPr>
            </w:pPr>
          </w:p>
        </w:tc>
        <w:tc>
          <w:tcPr>
            <w:tcW w:w="810" w:type="dxa"/>
          </w:tcPr>
          <w:p w14:paraId="59946920" w14:textId="77777777" w:rsidR="006D0605" w:rsidRPr="004E6A4A" w:rsidRDefault="006D0605" w:rsidP="00C4419F">
            <w:pPr>
              <w:jc w:val="center"/>
              <w:rPr>
                <w:rFonts w:ascii="Times New Roman" w:eastAsia="Times New Roman" w:hAnsi="Times New Roman" w:cs="Times New Roman"/>
                <w:sz w:val="20"/>
                <w:szCs w:val="21"/>
                <w:lang w:eastAsia="sq-AL"/>
              </w:rPr>
            </w:pPr>
          </w:p>
        </w:tc>
        <w:tc>
          <w:tcPr>
            <w:tcW w:w="4590" w:type="dxa"/>
          </w:tcPr>
          <w:p w14:paraId="1A6D350C" w14:textId="77777777" w:rsidR="00FA0CFF" w:rsidRPr="004E6A4A" w:rsidRDefault="00144445">
            <w:pPr>
              <w:jc w:val="center"/>
            </w:pPr>
            <w:r w:rsidRPr="004E6A4A">
              <w:rPr>
                <w:rFonts w:ascii="Times New Roman" w:eastAsia="Times New Roman" w:hAnsi="Times New Roman" w:cs="Times New Roman"/>
                <w:b/>
                <w:sz w:val="20"/>
              </w:rPr>
              <w:t>VKM: Neni 6</w:t>
            </w:r>
          </w:p>
          <w:p w14:paraId="6A98C51B" w14:textId="77777777" w:rsidR="00FA0CFF" w:rsidRPr="004E6A4A" w:rsidRDefault="00144445">
            <w:pPr>
              <w:jc w:val="center"/>
            </w:pPr>
            <w:r w:rsidRPr="004E6A4A">
              <w:rPr>
                <w:rFonts w:ascii="Times New Roman" w:eastAsia="Times New Roman" w:hAnsi="Times New Roman" w:cs="Times New Roman"/>
                <w:b/>
                <w:sz w:val="20"/>
              </w:rPr>
              <w:t>Vigjilenca e duhur për llogaritë paraekzistuese individuale</w:t>
            </w:r>
          </w:p>
          <w:p w14:paraId="01CE7C0C" w14:textId="77777777" w:rsidR="00FA0CFF" w:rsidRPr="004E6A4A" w:rsidRDefault="00144445">
            <w:pPr>
              <w:jc w:val="both"/>
            </w:pPr>
            <w:r w:rsidRPr="004E6A4A">
              <w:rPr>
                <w:rFonts w:ascii="Times New Roman" w:eastAsia="Times New Roman" w:hAnsi="Times New Roman" w:cs="Times New Roman"/>
                <w:sz w:val="20"/>
              </w:rPr>
              <w:t>3. Procedurat e rishikimit të Llogarive Individuale Paraekzistuese të kryera përpara datës së fillimit të efekteve të këtij vendimi sipas ligjit nr. 4/2020 dhe akteve nënligjore të tij nuk përsëriten vetëm për shkak të hyrjes në zbatim të këtij vendimi, për aq sa mbeten të vlefshme sipas profilit përkatës. Për profilin e Bashkimit Evropian kryhen vetëm procedurat shtesë të nevojshme për të plotësuar kërkesat e Aneksit I të Direktivës 2011/16/BE, të ndryshuar, brenda afatit të nenit 14, pika 3, të këtij vendimi.</w:t>
            </w:r>
          </w:p>
          <w:p w14:paraId="697986AA" w14:textId="77777777" w:rsidR="00FA0CFF" w:rsidRPr="004E6A4A" w:rsidRDefault="00144445">
            <w:pPr>
              <w:jc w:val="both"/>
            </w:pPr>
            <w:r w:rsidRPr="004E6A4A">
              <w:rPr>
                <w:rFonts w:ascii="Times New Roman" w:eastAsia="Times New Roman" w:hAnsi="Times New Roman" w:cs="Times New Roman"/>
                <w:sz w:val="20"/>
              </w:rPr>
              <w:lastRenderedPageBreak/>
              <w:t>4. Çdo llogari individuale paraekzistuese, që është identifikuar si një llogari e raportueshme sipas këtij neni, duhet të trajtohet si një llogari e raportueshme në të gjitha vitet pasuese, përveçse kur mbajtësi i llogarisë pushon së qeni një person i raportueshëm.</w:t>
            </w:r>
          </w:p>
          <w:p w14:paraId="76300B56" w14:textId="77777777" w:rsidR="00FA0CFF" w:rsidRPr="004E6A4A" w:rsidRDefault="00FA0CFF"/>
          <w:p w14:paraId="2C2FE272" w14:textId="77777777" w:rsidR="00FA0CFF" w:rsidRPr="004E6A4A" w:rsidRDefault="00144445">
            <w:pPr>
              <w:jc w:val="center"/>
            </w:pPr>
            <w:r w:rsidRPr="004E6A4A">
              <w:rPr>
                <w:rFonts w:ascii="Times New Roman" w:eastAsia="Times New Roman" w:hAnsi="Times New Roman" w:cs="Times New Roman"/>
                <w:b/>
                <w:sz w:val="20"/>
              </w:rPr>
              <w:t>Ligji: Neni 8</w:t>
            </w:r>
          </w:p>
          <w:p w14:paraId="440F0129" w14:textId="77777777" w:rsidR="00FA0CFF" w:rsidRPr="004E6A4A" w:rsidRDefault="00144445">
            <w:pPr>
              <w:jc w:val="center"/>
            </w:pPr>
            <w:r w:rsidRPr="004E6A4A">
              <w:rPr>
                <w:rFonts w:ascii="Times New Roman" w:eastAsia="Times New Roman" w:hAnsi="Times New Roman" w:cs="Times New Roman"/>
                <w:b/>
                <w:sz w:val="20"/>
              </w:rPr>
              <w:t>Vigjilenca e duhur për Llogaritë Individuale Paraekzistuese</w:t>
            </w:r>
          </w:p>
          <w:p w14:paraId="0EAC6241" w14:textId="77777777" w:rsidR="00FA0CFF" w:rsidRPr="004E6A4A" w:rsidRDefault="00144445">
            <w:pPr>
              <w:jc w:val="both"/>
            </w:pPr>
            <w:r w:rsidRPr="004E6A4A">
              <w:rPr>
                <w:rFonts w:ascii="Times New Roman" w:eastAsia="Times New Roman" w:hAnsi="Times New Roman" w:cs="Times New Roman"/>
                <w:sz w:val="20"/>
              </w:rPr>
              <w:t>9. Pragjet monetare, treguesit, procedurat e shqyrtimit, përjashtimet, afatet dhe rregullat për llogaritë e padokumentuara përcaktohen me akt nënligjor në zbatim të këtij ligji.</w:t>
            </w:r>
          </w:p>
        </w:tc>
        <w:tc>
          <w:tcPr>
            <w:tcW w:w="1620" w:type="dxa"/>
          </w:tcPr>
          <w:p w14:paraId="38C95C79" w14:textId="77777777" w:rsidR="00EB704B" w:rsidRPr="004E6A4A" w:rsidRDefault="00EB704B" w:rsidP="00C4419F">
            <w:pPr>
              <w:jc w:val="center"/>
              <w:rPr>
                <w:rFonts w:ascii="Times New Roman" w:eastAsia="Calibri" w:hAnsi="Times New Roman" w:cs="Times New Roman"/>
                <w:sz w:val="18"/>
                <w:szCs w:val="18"/>
              </w:rPr>
            </w:pPr>
          </w:p>
          <w:p w14:paraId="4C984E55" w14:textId="32DF3A39" w:rsidR="006D0605" w:rsidRPr="004E6A4A" w:rsidRDefault="00EB704B"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064221B9"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Përputhet.</w:t>
            </w:r>
          </w:p>
          <w:p w14:paraId="32145BF9"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Transpozohet nga neni 6, pika 3, i VKM-së.</w:t>
            </w:r>
          </w:p>
        </w:tc>
      </w:tr>
      <w:tr w:rsidR="004E6A4A" w:rsidRPr="004E6A4A" w14:paraId="3F50A43A" w14:textId="77777777" w:rsidTr="00153084">
        <w:trPr>
          <w:trHeight w:val="764"/>
        </w:trPr>
        <w:tc>
          <w:tcPr>
            <w:tcW w:w="630" w:type="dxa"/>
          </w:tcPr>
          <w:p w14:paraId="18CD255B" w14:textId="77777777" w:rsidR="006D0605" w:rsidRPr="004E6A4A" w:rsidRDefault="006D0605" w:rsidP="00C4419F">
            <w:pPr>
              <w:jc w:val="center"/>
              <w:rPr>
                <w:rFonts w:ascii="Times New Roman" w:eastAsia="Calibri" w:hAnsi="Times New Roman" w:cs="Times New Roman"/>
                <w:i/>
                <w:sz w:val="18"/>
                <w:szCs w:val="18"/>
              </w:rPr>
            </w:pPr>
          </w:p>
        </w:tc>
        <w:tc>
          <w:tcPr>
            <w:tcW w:w="4230" w:type="dxa"/>
          </w:tcPr>
          <w:p w14:paraId="521927E9" w14:textId="77777777" w:rsidR="008C56DE" w:rsidRPr="004E6A4A" w:rsidRDefault="00144445">
            <w:pPr>
              <w:rPr>
                <w:rFonts w:ascii="Times New Roman" w:eastAsia="Times New Roman" w:hAnsi="Times New Roman" w:cs="Times New Roman"/>
                <w:b/>
                <w:bCs/>
                <w:sz w:val="20"/>
                <w:szCs w:val="20"/>
              </w:rPr>
            </w:pPr>
            <w:r w:rsidRPr="004E6A4A">
              <w:rPr>
                <w:rFonts w:ascii="Times New Roman" w:eastAsia="Times New Roman" w:hAnsi="Times New Roman" w:cs="Times New Roman"/>
                <w:b/>
                <w:bCs/>
                <w:sz w:val="20"/>
                <w:szCs w:val="20"/>
              </w:rPr>
              <w:t>Aneksi I,  Seksioni III,  Paragrafi E</w:t>
            </w:r>
          </w:p>
          <w:p w14:paraId="2A1D0849"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E.</w:t>
            </w:r>
            <w:r w:rsidRPr="004E6A4A">
              <w:rPr>
                <w:rFonts w:ascii="Times New Roman" w:eastAsia="Times New Roman" w:hAnsi="Times New Roman" w:cs="Times New Roman"/>
                <w:sz w:val="20"/>
                <w:szCs w:val="20"/>
              </w:rPr>
              <w:tab/>
              <w:t>Çdo Llogari Individuale Paraekzistuese që është identifikuar si Llogari e Raportueshme sipas këtij Seksioni duhet të trajtohet si Llogari e Raportueshme në të gjitha vitet pasardhëse, përveçse kur Mbajtësi i Llogarisë pushon së qeni Person i Raportueshëm.</w:t>
            </w:r>
          </w:p>
        </w:tc>
        <w:tc>
          <w:tcPr>
            <w:tcW w:w="1350" w:type="dxa"/>
          </w:tcPr>
          <w:p w14:paraId="65FBF761" w14:textId="77777777" w:rsidR="006D0605" w:rsidRPr="004E6A4A" w:rsidRDefault="006D0605" w:rsidP="00C4419F">
            <w:pPr>
              <w:jc w:val="center"/>
              <w:rPr>
                <w:rFonts w:ascii="Times New Roman" w:eastAsia="Calibri" w:hAnsi="Times New Roman" w:cs="Times New Roman"/>
                <w:sz w:val="18"/>
                <w:szCs w:val="18"/>
              </w:rPr>
            </w:pPr>
          </w:p>
        </w:tc>
        <w:tc>
          <w:tcPr>
            <w:tcW w:w="810" w:type="dxa"/>
          </w:tcPr>
          <w:p w14:paraId="0E4E2367" w14:textId="2F7EDCE8" w:rsidR="006D0605" w:rsidRPr="004E6A4A" w:rsidRDefault="001A43E8" w:rsidP="00C4419F">
            <w:pPr>
              <w:jc w:val="center"/>
              <w:rPr>
                <w:rFonts w:ascii="Times New Roman" w:eastAsia="Times New Roman" w:hAnsi="Times New Roman" w:cs="Times New Roman"/>
                <w:sz w:val="20"/>
                <w:szCs w:val="21"/>
                <w:lang w:eastAsia="sq-AL"/>
              </w:rPr>
            </w:pPr>
            <w:r w:rsidRPr="004E6A4A">
              <w:rPr>
                <w:rFonts w:ascii="Times New Roman" w:eastAsia="Times New Roman" w:hAnsi="Times New Roman" w:cs="Times New Roman"/>
                <w:sz w:val="20"/>
                <w:szCs w:val="21"/>
                <w:lang w:eastAsia="sq-AL"/>
              </w:rPr>
              <w:t>Ne</w:t>
            </w:r>
          </w:p>
        </w:tc>
        <w:tc>
          <w:tcPr>
            <w:tcW w:w="4590" w:type="dxa"/>
          </w:tcPr>
          <w:p w14:paraId="36D3AEEA" w14:textId="77777777" w:rsidR="00FA0CFF" w:rsidRPr="004E6A4A" w:rsidRDefault="00144445">
            <w:pPr>
              <w:jc w:val="center"/>
            </w:pPr>
            <w:r w:rsidRPr="004E6A4A">
              <w:rPr>
                <w:rFonts w:ascii="Times New Roman" w:eastAsia="Times New Roman" w:hAnsi="Times New Roman" w:cs="Times New Roman"/>
                <w:b/>
                <w:sz w:val="20"/>
              </w:rPr>
              <w:t>VKM: Neni 6</w:t>
            </w:r>
          </w:p>
          <w:p w14:paraId="71EA0B0A" w14:textId="77777777" w:rsidR="00FA0CFF" w:rsidRPr="004E6A4A" w:rsidRDefault="00144445">
            <w:pPr>
              <w:jc w:val="center"/>
            </w:pPr>
            <w:r w:rsidRPr="004E6A4A">
              <w:rPr>
                <w:rFonts w:ascii="Times New Roman" w:eastAsia="Times New Roman" w:hAnsi="Times New Roman" w:cs="Times New Roman"/>
                <w:b/>
                <w:sz w:val="20"/>
              </w:rPr>
              <w:t>Vigjilenca e duhur për llogaritë paraekzistuese individuale</w:t>
            </w:r>
          </w:p>
          <w:p w14:paraId="3AB67C23" w14:textId="77777777" w:rsidR="00FA0CFF" w:rsidRPr="004E6A4A" w:rsidRDefault="00144445">
            <w:pPr>
              <w:jc w:val="both"/>
            </w:pPr>
            <w:r w:rsidRPr="004E6A4A">
              <w:rPr>
                <w:rFonts w:ascii="Times New Roman" w:eastAsia="Times New Roman" w:hAnsi="Times New Roman" w:cs="Times New Roman"/>
                <w:sz w:val="20"/>
              </w:rPr>
              <w:t>4. Çdo llogari individuale paraekzistuese, që është identifikuar si një llogari e raportueshme sipas këtij neni, duhet të trajtohet si një llogari e raportueshme në të gjitha vitet pasuese, përveçse kur mbajtësi i llogarisë pushon së qeni një person i raportueshëm.</w:t>
            </w:r>
          </w:p>
          <w:p w14:paraId="05C52E26" w14:textId="77777777" w:rsidR="00FA0CFF" w:rsidRPr="004E6A4A" w:rsidRDefault="00FA0CFF"/>
          <w:p w14:paraId="78881CB3" w14:textId="77777777" w:rsidR="00FA0CFF" w:rsidRPr="004E6A4A" w:rsidRDefault="00144445">
            <w:pPr>
              <w:jc w:val="center"/>
            </w:pPr>
            <w:r w:rsidRPr="004E6A4A">
              <w:rPr>
                <w:rFonts w:ascii="Times New Roman" w:eastAsia="Times New Roman" w:hAnsi="Times New Roman" w:cs="Times New Roman"/>
                <w:b/>
                <w:sz w:val="20"/>
              </w:rPr>
              <w:t>Ligji: Neni 8</w:t>
            </w:r>
          </w:p>
          <w:p w14:paraId="18C20860" w14:textId="77777777" w:rsidR="00FA0CFF" w:rsidRPr="004E6A4A" w:rsidRDefault="00144445">
            <w:pPr>
              <w:jc w:val="center"/>
            </w:pPr>
            <w:r w:rsidRPr="004E6A4A">
              <w:rPr>
                <w:rFonts w:ascii="Times New Roman" w:eastAsia="Times New Roman" w:hAnsi="Times New Roman" w:cs="Times New Roman"/>
                <w:b/>
                <w:sz w:val="20"/>
              </w:rPr>
              <w:t>Vigjilenca e duhur për Llogaritë Individuale Paraekzistuese</w:t>
            </w:r>
          </w:p>
          <w:p w14:paraId="66C7FC67" w14:textId="77777777" w:rsidR="00FA0CFF" w:rsidRPr="004E6A4A" w:rsidRDefault="00144445">
            <w:pPr>
              <w:jc w:val="both"/>
            </w:pPr>
            <w:r w:rsidRPr="004E6A4A">
              <w:rPr>
                <w:rFonts w:ascii="Times New Roman" w:eastAsia="Times New Roman" w:hAnsi="Times New Roman" w:cs="Times New Roman"/>
                <w:sz w:val="20"/>
              </w:rPr>
              <w:t>8. Një Llogari Individuale Paraekzistuese e identifikuar si Llogari e Raportueshme trajtohet si e tillë në vitet pasuese, përveç rastit kur mbajtësi i llogarisë nuk është më Person i Raportueshëm.</w:t>
            </w:r>
          </w:p>
        </w:tc>
        <w:tc>
          <w:tcPr>
            <w:tcW w:w="1620" w:type="dxa"/>
          </w:tcPr>
          <w:p w14:paraId="27D24CD1" w14:textId="38D654ED" w:rsidR="006D0605" w:rsidRPr="004E6A4A" w:rsidRDefault="00EB704B"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212AD7BB"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Përputhet.</w:t>
            </w:r>
          </w:p>
          <w:p w14:paraId="03A2F262"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Transpozohet nga neni 6, pika 4, i VKM-së.</w:t>
            </w:r>
          </w:p>
        </w:tc>
      </w:tr>
      <w:tr w:rsidR="004E6A4A" w:rsidRPr="004E6A4A" w14:paraId="52E274F1" w14:textId="77777777" w:rsidTr="00153084">
        <w:trPr>
          <w:trHeight w:val="764"/>
        </w:trPr>
        <w:tc>
          <w:tcPr>
            <w:tcW w:w="630" w:type="dxa"/>
          </w:tcPr>
          <w:p w14:paraId="13B90BE1" w14:textId="77777777" w:rsidR="006D0605" w:rsidRPr="004E6A4A" w:rsidRDefault="006D0605" w:rsidP="00C4419F">
            <w:pPr>
              <w:jc w:val="center"/>
              <w:rPr>
                <w:rFonts w:ascii="Times New Roman" w:eastAsia="Calibri" w:hAnsi="Times New Roman" w:cs="Times New Roman"/>
                <w:i/>
                <w:sz w:val="18"/>
                <w:szCs w:val="18"/>
              </w:rPr>
            </w:pPr>
          </w:p>
        </w:tc>
        <w:tc>
          <w:tcPr>
            <w:tcW w:w="4230" w:type="dxa"/>
          </w:tcPr>
          <w:p w14:paraId="1D395E17" w14:textId="77777777" w:rsidR="008C56DE" w:rsidRPr="004E6A4A" w:rsidRDefault="00144445">
            <w:pPr>
              <w:rPr>
                <w:rFonts w:ascii="Times New Roman" w:eastAsia="Times New Roman" w:hAnsi="Times New Roman" w:cs="Times New Roman"/>
                <w:b/>
                <w:bCs/>
                <w:sz w:val="20"/>
                <w:szCs w:val="20"/>
              </w:rPr>
            </w:pPr>
            <w:r w:rsidRPr="004E6A4A">
              <w:rPr>
                <w:rFonts w:ascii="Times New Roman" w:eastAsia="Times New Roman" w:hAnsi="Times New Roman" w:cs="Times New Roman"/>
                <w:b/>
                <w:bCs/>
                <w:sz w:val="20"/>
                <w:szCs w:val="20"/>
              </w:rPr>
              <w:t>Aneksi I,  Seksioni IV,  Paragrafët A–C</w:t>
            </w:r>
          </w:p>
          <w:p w14:paraId="3CDB4C95"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SEKSIONI IV</w:t>
            </w:r>
          </w:p>
          <w:p w14:paraId="4415BAC2"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VIGJILENCA E DUHUR PËR LLOGARITË INDIVIDUALE TË REJA</w:t>
            </w:r>
          </w:p>
          <w:p w14:paraId="10AA7B06"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Procedurat e mëposhtme zbatohen për qëllime të identifikimit të Llogarive të Raportueshme ndër Llogaritë Individuale të Reja.</w:t>
            </w:r>
          </w:p>
          <w:p w14:paraId="773E40C9"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lastRenderedPageBreak/>
              <w:t>A.</w:t>
            </w:r>
            <w:r w:rsidRPr="004E6A4A">
              <w:rPr>
                <w:rFonts w:ascii="Times New Roman" w:eastAsia="Times New Roman" w:hAnsi="Times New Roman" w:cs="Times New Roman"/>
                <w:sz w:val="20"/>
                <w:szCs w:val="20"/>
              </w:rPr>
              <w:tab/>
              <w:t>Në lidhje me Llogaritë Individuale të Reja, me rastin e hapjes së llogarisë, Institucioni Financiar Raportues duhet të marrë një vetëdeklarim, i cili mund të jetë pjesë e dokumentacionit të hapjes së llogarisë, që i mundëson Institucionit Financiar Raportues të përcaktojë rezidencën ose rezidencat për qëllime tatimore të Mbajtësit të Llogarisë dhe të konfirmojë arsyeshmërinë e këtij vetëdeklarimi bazuar në informacionin e marrë nga Institucioni Financiar Raportues në lidhje me hapjen e llogarisë, përfshirë çdo dokumentacion të mbledhur në zbatim të Procedurave për PPP/NJKT.</w:t>
            </w:r>
          </w:p>
          <w:p w14:paraId="2A485449"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B.</w:t>
            </w:r>
            <w:r w:rsidRPr="004E6A4A">
              <w:rPr>
                <w:rFonts w:ascii="Times New Roman" w:eastAsia="Times New Roman" w:hAnsi="Times New Roman" w:cs="Times New Roman"/>
                <w:sz w:val="20"/>
                <w:szCs w:val="20"/>
              </w:rPr>
              <w:tab/>
              <w:t>Nëse vetëdeklarimi vërteton se Mbajtësi i Llogarisë është rezident për qëllime tatimore në një shtet anëtar, Institucioni Financiar Raportues duhet ta trajtojë llogarinë si Llogari të Raportueshme dhe vetëdeklarimi duhet të përfshijë gjithashtu TIN-in e Mbajtësit të Llogarisë në lidhje me këtë shtet anëtar (në varësi të paragrafit D të Seksionit I) dhe datën e lindjes.</w:t>
            </w:r>
          </w:p>
          <w:p w14:paraId="33D63256"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w:t>
            </w:r>
            <w:r w:rsidRPr="004E6A4A">
              <w:rPr>
                <w:rFonts w:ascii="Times New Roman" w:eastAsia="Times New Roman" w:hAnsi="Times New Roman" w:cs="Times New Roman"/>
                <w:sz w:val="20"/>
                <w:szCs w:val="20"/>
              </w:rPr>
              <w:tab/>
              <w:t>Nëse ka një ndryshim në rrethana në lidhje me një Llogari Individuale të Re që bën që Institucioni Financiar Raportues të dijë, ose të ketë arsye të dijë, se vetëdeklarimi fillestar është i pasaktë ose jo i besueshëm, Institucioni Financiar Raportues nuk mund të mbështetet në vetëdeklarimin fillestar dhe duhet të marrë një vetëdeklarim të vlefshëm që përcakton rezidencën ose rezidencat për qëllime tatimore të Mbajtësit të Llogarisë.</w:t>
            </w:r>
          </w:p>
        </w:tc>
        <w:tc>
          <w:tcPr>
            <w:tcW w:w="1350" w:type="dxa"/>
          </w:tcPr>
          <w:p w14:paraId="30F9C697" w14:textId="77777777" w:rsidR="006D0605" w:rsidRPr="004E6A4A" w:rsidRDefault="006D0605" w:rsidP="00C4419F">
            <w:pPr>
              <w:jc w:val="center"/>
              <w:rPr>
                <w:rFonts w:ascii="Times New Roman" w:eastAsia="Calibri" w:hAnsi="Times New Roman" w:cs="Times New Roman"/>
                <w:sz w:val="18"/>
                <w:szCs w:val="18"/>
              </w:rPr>
            </w:pPr>
          </w:p>
        </w:tc>
        <w:tc>
          <w:tcPr>
            <w:tcW w:w="810" w:type="dxa"/>
          </w:tcPr>
          <w:p w14:paraId="79444AA5" w14:textId="77777777" w:rsidR="006D0605" w:rsidRPr="004E6A4A" w:rsidRDefault="006D0605" w:rsidP="00C4419F">
            <w:pPr>
              <w:jc w:val="center"/>
              <w:rPr>
                <w:rFonts w:ascii="Times New Roman" w:eastAsia="Times New Roman" w:hAnsi="Times New Roman" w:cs="Times New Roman"/>
                <w:sz w:val="20"/>
                <w:szCs w:val="21"/>
                <w:lang w:eastAsia="sq-AL"/>
              </w:rPr>
            </w:pPr>
          </w:p>
        </w:tc>
        <w:tc>
          <w:tcPr>
            <w:tcW w:w="4590" w:type="dxa"/>
          </w:tcPr>
          <w:p w14:paraId="3B55E176" w14:textId="77777777" w:rsidR="00FA0CFF" w:rsidRPr="004E6A4A" w:rsidRDefault="00144445">
            <w:pPr>
              <w:jc w:val="center"/>
            </w:pPr>
            <w:r w:rsidRPr="004E6A4A">
              <w:rPr>
                <w:rFonts w:ascii="Times New Roman" w:eastAsia="Times New Roman" w:hAnsi="Times New Roman" w:cs="Times New Roman"/>
                <w:b/>
                <w:sz w:val="20"/>
              </w:rPr>
              <w:t>Ligji: Neni 9</w:t>
            </w:r>
          </w:p>
          <w:p w14:paraId="68B74BFF" w14:textId="77777777" w:rsidR="00FA0CFF" w:rsidRPr="004E6A4A" w:rsidRDefault="00144445">
            <w:pPr>
              <w:jc w:val="center"/>
            </w:pPr>
            <w:r w:rsidRPr="004E6A4A">
              <w:rPr>
                <w:rFonts w:ascii="Times New Roman" w:eastAsia="Times New Roman" w:hAnsi="Times New Roman" w:cs="Times New Roman"/>
                <w:b/>
                <w:sz w:val="20"/>
              </w:rPr>
              <w:t>Vigjilenca e duhur për Llogaritë Individuale të Reja</w:t>
            </w:r>
          </w:p>
          <w:p w14:paraId="5AEB7790" w14:textId="77777777" w:rsidR="00FA0CFF" w:rsidRPr="004E6A4A" w:rsidRDefault="00144445">
            <w:pPr>
              <w:jc w:val="both"/>
            </w:pPr>
            <w:r w:rsidRPr="004E6A4A">
              <w:rPr>
                <w:rFonts w:ascii="Times New Roman" w:eastAsia="Times New Roman" w:hAnsi="Times New Roman" w:cs="Times New Roman"/>
                <w:sz w:val="20"/>
              </w:rPr>
              <w:t>1. Me rastin e hapjes së një Llogarie Individuale të Re, institucioni financiar raportues merr nga mbajtësi i llogarisë një vetëdeklarim të vlefshëm që i mundëson përcaktimin e rezidencës ose rezidencave të mbajtësit të llogarisë për qëllime tatimore.</w:t>
            </w:r>
          </w:p>
          <w:p w14:paraId="1656A7CE" w14:textId="77777777" w:rsidR="00FA0CFF" w:rsidRPr="004E6A4A" w:rsidRDefault="00144445">
            <w:pPr>
              <w:jc w:val="both"/>
            </w:pPr>
            <w:r w:rsidRPr="004E6A4A">
              <w:rPr>
                <w:rFonts w:ascii="Times New Roman" w:eastAsia="Times New Roman" w:hAnsi="Times New Roman" w:cs="Times New Roman"/>
                <w:sz w:val="20"/>
              </w:rPr>
              <w:lastRenderedPageBreak/>
              <w:t>2. Vetëdeklarimi duhet të lejojë institucionin financiar raportues të konfirmojë arsyeshmërinë e tij në bazë të informacionit të marrë në lidhje me hapjen e llogarisë, përfshirë dokumentacionin e mbledhur në përputhje me procedurat për parandalimin e pastrimit të parave dhe financimin e terrorizmit.</w:t>
            </w:r>
          </w:p>
          <w:p w14:paraId="1570512C" w14:textId="77777777" w:rsidR="00FA0CFF" w:rsidRPr="004E6A4A" w:rsidRDefault="00144445">
            <w:pPr>
              <w:jc w:val="both"/>
            </w:pPr>
            <w:r w:rsidRPr="004E6A4A">
              <w:rPr>
                <w:rFonts w:ascii="Times New Roman" w:eastAsia="Times New Roman" w:hAnsi="Times New Roman" w:cs="Times New Roman"/>
                <w:sz w:val="20"/>
              </w:rPr>
              <w:t>3. Një vetëdeklarim për një Llogari Individuale të Re është i vlefshëm kur:</w:t>
            </w:r>
          </w:p>
          <w:p w14:paraId="10E6B577" w14:textId="77777777" w:rsidR="00FA0CFF" w:rsidRPr="004E6A4A" w:rsidRDefault="00144445">
            <w:pPr>
              <w:jc w:val="both"/>
            </w:pPr>
            <w:r w:rsidRPr="004E6A4A">
              <w:rPr>
                <w:rFonts w:ascii="Times New Roman" w:eastAsia="Times New Roman" w:hAnsi="Times New Roman" w:cs="Times New Roman"/>
                <w:sz w:val="20"/>
              </w:rPr>
              <w:t>a) është nënshkruar ose është konfirmuar në mënyrë tjetër nga mbajtësi i llogarisë;</w:t>
            </w:r>
          </w:p>
          <w:p w14:paraId="7DCC5DB5" w14:textId="77777777" w:rsidR="00FA0CFF" w:rsidRPr="004E6A4A" w:rsidRDefault="00144445">
            <w:pPr>
              <w:jc w:val="both"/>
            </w:pPr>
            <w:r w:rsidRPr="004E6A4A">
              <w:rPr>
                <w:rFonts w:ascii="Times New Roman" w:eastAsia="Times New Roman" w:hAnsi="Times New Roman" w:cs="Times New Roman"/>
                <w:sz w:val="20"/>
              </w:rPr>
              <w:t>b) është i datuar jo më vonë se data e marrjes së tij;</w:t>
            </w:r>
          </w:p>
          <w:p w14:paraId="2433F3E6" w14:textId="77777777" w:rsidR="00FA0CFF" w:rsidRPr="004E6A4A" w:rsidRDefault="00144445">
            <w:pPr>
              <w:jc w:val="both"/>
            </w:pPr>
            <w:r w:rsidRPr="004E6A4A">
              <w:rPr>
                <w:rFonts w:ascii="Times New Roman" w:eastAsia="Times New Roman" w:hAnsi="Times New Roman" w:cs="Times New Roman"/>
                <w:sz w:val="20"/>
              </w:rPr>
              <w:t>c) përmban emrin e mbajtësit të llogarisë;</w:t>
            </w:r>
          </w:p>
          <w:p w14:paraId="78207DDE" w14:textId="77777777" w:rsidR="00FA0CFF" w:rsidRPr="004E6A4A" w:rsidRDefault="00144445">
            <w:pPr>
              <w:jc w:val="both"/>
            </w:pPr>
            <w:r w:rsidRPr="004E6A4A">
              <w:rPr>
                <w:rFonts w:ascii="Times New Roman" w:eastAsia="Times New Roman" w:hAnsi="Times New Roman" w:cs="Times New Roman"/>
                <w:sz w:val="20"/>
              </w:rPr>
              <w:t>ç) përmban adresën e vendbanimit;</w:t>
            </w:r>
          </w:p>
          <w:p w14:paraId="11899A26" w14:textId="77777777" w:rsidR="00FA0CFF" w:rsidRPr="004E6A4A" w:rsidRDefault="00144445">
            <w:pPr>
              <w:jc w:val="both"/>
            </w:pPr>
            <w:r w:rsidRPr="004E6A4A">
              <w:rPr>
                <w:rFonts w:ascii="Times New Roman" w:eastAsia="Times New Roman" w:hAnsi="Times New Roman" w:cs="Times New Roman"/>
                <w:sz w:val="20"/>
              </w:rPr>
              <w:t>d) përmban juridiksionin ose juridiksionet e rezidencës për qëllime tatimore;</w:t>
            </w:r>
          </w:p>
          <w:p w14:paraId="66EB57E1" w14:textId="77777777" w:rsidR="00FA0CFF" w:rsidRPr="004E6A4A" w:rsidRDefault="00144445">
            <w:pPr>
              <w:jc w:val="both"/>
            </w:pPr>
            <w:r w:rsidRPr="004E6A4A">
              <w:rPr>
                <w:rFonts w:ascii="Times New Roman" w:eastAsia="Times New Roman" w:hAnsi="Times New Roman" w:cs="Times New Roman"/>
                <w:sz w:val="20"/>
              </w:rPr>
              <w:t>dh) përmban TIN-in për çdo juridiksion raportues të rezidencës, kur kërkohet sipas rregullave të profilit përkatës; dhe</w:t>
            </w:r>
          </w:p>
          <w:p w14:paraId="6D9735CB" w14:textId="77777777" w:rsidR="00FA0CFF" w:rsidRPr="004E6A4A" w:rsidRDefault="00144445">
            <w:pPr>
              <w:jc w:val="both"/>
            </w:pPr>
            <w:r w:rsidRPr="004E6A4A">
              <w:rPr>
                <w:rFonts w:ascii="Times New Roman" w:eastAsia="Times New Roman" w:hAnsi="Times New Roman" w:cs="Times New Roman"/>
                <w:sz w:val="20"/>
              </w:rPr>
              <w:t>e) përmban datën e lindjes.</w:t>
            </w:r>
          </w:p>
          <w:p w14:paraId="5CF78B87" w14:textId="77777777" w:rsidR="00FA0CFF" w:rsidRPr="004E6A4A" w:rsidRDefault="00144445">
            <w:pPr>
              <w:jc w:val="both"/>
            </w:pPr>
            <w:r w:rsidRPr="004E6A4A">
              <w:rPr>
                <w:rFonts w:ascii="Times New Roman" w:eastAsia="Times New Roman" w:hAnsi="Times New Roman" w:cs="Times New Roman"/>
                <w:sz w:val="20"/>
              </w:rPr>
              <w:t>4. Nëse vetëdeklarimi përcakton se mbajtësi i llogarisë është rezident për qëllime tatimore në një juridiksion raportues, institucioni financiar raportues e trajton llogarinë si Llogari të Raportueshme dhe merr informacionin e kërkuar sipas këtij ligji.</w:t>
            </w:r>
          </w:p>
          <w:p w14:paraId="1FB0B1B5" w14:textId="77777777" w:rsidR="00FA0CFF" w:rsidRPr="004E6A4A" w:rsidRDefault="00144445">
            <w:pPr>
              <w:jc w:val="both"/>
            </w:pPr>
            <w:r w:rsidRPr="004E6A4A">
              <w:rPr>
                <w:rFonts w:ascii="Times New Roman" w:eastAsia="Times New Roman" w:hAnsi="Times New Roman" w:cs="Times New Roman"/>
                <w:sz w:val="20"/>
              </w:rPr>
              <w:t>5. Nëse një ndryshim në rrethana bën që institucioni financiar raportues të dijë ose të ketë arsye të dijë se vetëdeklarimi fillestar është i pasaktë ose jo i besueshëm, institucioni financiar raportues nuk mund të mbështetet më në vetëdeklarimin fillestar dhe duhet të marrë një vetëdeklarim të ri të vlefshëm ose dokumentacionin e nevojshëm për të përcaktuar rezidencën ose rezidencat tatimore të mbajtësit të llogarisë.</w:t>
            </w:r>
          </w:p>
          <w:p w14:paraId="589E234D" w14:textId="77777777" w:rsidR="00FA0CFF" w:rsidRPr="004E6A4A" w:rsidRDefault="00FA0CFF"/>
          <w:p w14:paraId="45BD23CE" w14:textId="77777777" w:rsidR="00FA0CFF" w:rsidRPr="004E6A4A" w:rsidRDefault="00144445">
            <w:pPr>
              <w:jc w:val="center"/>
            </w:pPr>
            <w:r w:rsidRPr="004E6A4A">
              <w:rPr>
                <w:rFonts w:ascii="Times New Roman" w:eastAsia="Times New Roman" w:hAnsi="Times New Roman" w:cs="Times New Roman"/>
                <w:b/>
                <w:sz w:val="20"/>
              </w:rPr>
              <w:t>VKM: Neni 7</w:t>
            </w:r>
          </w:p>
          <w:p w14:paraId="04135FB8" w14:textId="77777777" w:rsidR="00FA0CFF" w:rsidRPr="004E6A4A" w:rsidRDefault="00144445">
            <w:pPr>
              <w:jc w:val="center"/>
            </w:pPr>
            <w:r w:rsidRPr="004E6A4A">
              <w:rPr>
                <w:rFonts w:ascii="Times New Roman" w:eastAsia="Times New Roman" w:hAnsi="Times New Roman" w:cs="Times New Roman"/>
                <w:b/>
                <w:sz w:val="20"/>
              </w:rPr>
              <w:t>Procedura e vigjilencës së duhur për llogaritë e reja individuale</w:t>
            </w:r>
          </w:p>
          <w:p w14:paraId="764BCD10" w14:textId="77777777" w:rsidR="00FA0CFF" w:rsidRPr="004E6A4A" w:rsidRDefault="00144445">
            <w:pPr>
              <w:jc w:val="both"/>
            </w:pPr>
            <w:r w:rsidRPr="004E6A4A">
              <w:rPr>
                <w:rFonts w:ascii="Times New Roman" w:eastAsia="Times New Roman" w:hAnsi="Times New Roman" w:cs="Times New Roman"/>
                <w:sz w:val="20"/>
              </w:rPr>
              <w:lastRenderedPageBreak/>
              <w:t>Vetëdeklarimi është i vlefshëm kur përmbush kërkesat e nenit 9, pika 3, të ligjit. Rregullat teknike për marrjen elektronike, validimin, ruajtjen dhe gjurmueshmërinë e vetëdeklarimit përcaktohen sipas këtij vendimi.</w:t>
            </w:r>
          </w:p>
        </w:tc>
        <w:tc>
          <w:tcPr>
            <w:tcW w:w="1620" w:type="dxa"/>
          </w:tcPr>
          <w:p w14:paraId="40097BC1" w14:textId="77777777" w:rsidR="006D0605" w:rsidRPr="004E6A4A" w:rsidRDefault="006D0605" w:rsidP="00C4419F">
            <w:pPr>
              <w:jc w:val="center"/>
              <w:rPr>
                <w:rFonts w:ascii="Times New Roman" w:eastAsia="Calibri" w:hAnsi="Times New Roman" w:cs="Times New Roman"/>
                <w:sz w:val="18"/>
                <w:szCs w:val="18"/>
              </w:rPr>
            </w:pPr>
          </w:p>
          <w:p w14:paraId="68584C8C" w14:textId="46DD734E" w:rsidR="00B0586E" w:rsidRPr="004E6A4A" w:rsidRDefault="00B0586E"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5506D9FE"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Përputhet.</w:t>
            </w:r>
          </w:p>
          <w:p w14:paraId="02E5D6CB"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Transpozohet nga neni 9 i projektligjit dhe nga neni 7 i VKM-së.</w:t>
            </w:r>
          </w:p>
        </w:tc>
      </w:tr>
      <w:tr w:rsidR="004E6A4A" w:rsidRPr="004E6A4A" w14:paraId="56CEBAA8" w14:textId="77777777" w:rsidTr="00153084">
        <w:trPr>
          <w:trHeight w:val="764"/>
        </w:trPr>
        <w:tc>
          <w:tcPr>
            <w:tcW w:w="630" w:type="dxa"/>
          </w:tcPr>
          <w:p w14:paraId="54AD1C83" w14:textId="77777777" w:rsidR="006D0605" w:rsidRPr="004E6A4A" w:rsidRDefault="006D0605" w:rsidP="00C4419F">
            <w:pPr>
              <w:jc w:val="center"/>
              <w:rPr>
                <w:rFonts w:ascii="Times New Roman" w:eastAsia="Calibri" w:hAnsi="Times New Roman" w:cs="Times New Roman"/>
                <w:i/>
                <w:sz w:val="18"/>
                <w:szCs w:val="18"/>
              </w:rPr>
            </w:pPr>
          </w:p>
        </w:tc>
        <w:tc>
          <w:tcPr>
            <w:tcW w:w="4230" w:type="dxa"/>
          </w:tcPr>
          <w:p w14:paraId="466DE457" w14:textId="77777777" w:rsidR="008C56DE" w:rsidRPr="004E6A4A" w:rsidRDefault="00144445">
            <w:pPr>
              <w:rPr>
                <w:rFonts w:ascii="Times New Roman" w:eastAsia="Times New Roman" w:hAnsi="Times New Roman" w:cs="Times New Roman"/>
                <w:b/>
                <w:bCs/>
                <w:sz w:val="20"/>
                <w:szCs w:val="20"/>
              </w:rPr>
            </w:pPr>
            <w:r w:rsidRPr="004E6A4A">
              <w:rPr>
                <w:rFonts w:ascii="Times New Roman" w:eastAsia="Times New Roman" w:hAnsi="Times New Roman" w:cs="Times New Roman"/>
                <w:b/>
                <w:bCs/>
                <w:sz w:val="20"/>
                <w:szCs w:val="20"/>
              </w:rPr>
              <w:t>Aneksi I,  Seksioni V,  Paragrafët A–C</w:t>
            </w:r>
          </w:p>
          <w:p w14:paraId="00DDB919"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SEKSIONI V</w:t>
            </w:r>
          </w:p>
          <w:p w14:paraId="5512B63E"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VIGJILENCA E DUHUR PËR LLOGARITË PARAEKZISTUESE TË NJËSIVE EKONOMIKE</w:t>
            </w:r>
          </w:p>
          <w:p w14:paraId="49E65146"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Procedurat e mëposhtme zbatohen për qëllime të identifikimit të Llogarive të Raportueshme ndër Llogaritë Paraekzistuese të Njësive Ekonomike.</w:t>
            </w:r>
          </w:p>
          <w:p w14:paraId="23C8CD30"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A.</w:t>
            </w:r>
            <w:r w:rsidRPr="004E6A4A">
              <w:rPr>
                <w:rFonts w:ascii="Times New Roman" w:eastAsia="Times New Roman" w:hAnsi="Times New Roman" w:cs="Times New Roman"/>
                <w:sz w:val="20"/>
                <w:szCs w:val="20"/>
              </w:rPr>
              <w:tab/>
              <w:t>Llogaritë e njësive ekonomike që nuk kërkohet të rishikohen, identifikohen ose raportohen. Përveçse kur Institucioni Financiar Raportues zgjedh ndryshe, qoftë në lidhje me të gjitha Llogaritë Paraekzistuese të Njësive Ekonomike, qoftë veçmas në lidhje me çdo grup qartësisht të identifikuar të këtyre llogarive, një Llogari Paraekzistuese e Njësisë Ekonomike me gjendje ose vlerë të totalizuar të llogarisë që nuk e tejkalon, më 31 dhjetor 2015, një shumë të shprehur në monedhën vendase të çdo shteti anëtar që u korrespondon 250 000 USD, nuk kërkohet të rishikohet, identifikohet ose raportohet si Llogari e Raportueshme derisa gjendja ose vlera e totalizuar e llogarisë ta tejkalojë këtë shumë në ditën e fundit të çdo viti kalendarik pasardhës.</w:t>
            </w:r>
          </w:p>
          <w:p w14:paraId="69746D59"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B.</w:t>
            </w:r>
            <w:r w:rsidRPr="004E6A4A">
              <w:rPr>
                <w:rFonts w:ascii="Times New Roman" w:eastAsia="Times New Roman" w:hAnsi="Times New Roman" w:cs="Times New Roman"/>
                <w:sz w:val="20"/>
                <w:szCs w:val="20"/>
              </w:rPr>
              <w:tab/>
              <w:t xml:space="preserve">Llogaritë e njësive ekonomike që i nënshtrohen rishikimit. Një Llogari Paraekzistuese e Njësisë Ekonomike që ka një gjendje ose vlerë të totalizuar të llogarisë që e tejkalon, më 31 dhjetor 2015, një shumë të shprehur në monedhën vendase të çdo shteti anëtar që u korrespondon 250 000 USD, dhe një Llogari Paraekzistuese e Njësisë Ekonomike që nuk e tejkalon këtë shumë më 31 dhjetor 2015, por gjendja ose vlera e totalizuar e së </w:t>
            </w:r>
            <w:r w:rsidRPr="004E6A4A">
              <w:rPr>
                <w:rFonts w:ascii="Times New Roman" w:eastAsia="Times New Roman" w:hAnsi="Times New Roman" w:cs="Times New Roman"/>
                <w:sz w:val="20"/>
                <w:szCs w:val="20"/>
              </w:rPr>
              <w:lastRenderedPageBreak/>
              <w:t>cilës e tejkalon këtë shumë në ditën e fundit të çdo viti kalendarik pasardhës, duhet të rishikohen në përputhje me procedurat e përcaktuara në paragrafin D.</w:t>
            </w:r>
          </w:p>
          <w:p w14:paraId="3293D10A"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w:t>
            </w:r>
            <w:r w:rsidRPr="004E6A4A">
              <w:rPr>
                <w:rFonts w:ascii="Times New Roman" w:eastAsia="Times New Roman" w:hAnsi="Times New Roman" w:cs="Times New Roman"/>
                <w:sz w:val="20"/>
                <w:szCs w:val="20"/>
              </w:rPr>
              <w:tab/>
              <w:t>Llogaritë e njësive ekonomike për të cilat kërkohet raportimi. Në lidhje me Llogaritë Paraekzistuese të Njësive Ekonomike të përshkruara në paragrafin B, trajtohen si Llogari të Raportueshme vetëm llogaritë që mbahen nga një ose më shumë Njësi Ekonomike që janë Persona të Raportueshëm, ose nga NFE pasive me një ose më shumë Persona Kontrollues që janë Persona të Raportueshëm.</w:t>
            </w:r>
          </w:p>
        </w:tc>
        <w:tc>
          <w:tcPr>
            <w:tcW w:w="1350" w:type="dxa"/>
          </w:tcPr>
          <w:p w14:paraId="78B416BF" w14:textId="77777777" w:rsidR="006D0605" w:rsidRPr="004E6A4A" w:rsidRDefault="006D0605" w:rsidP="00C4419F">
            <w:pPr>
              <w:jc w:val="center"/>
              <w:rPr>
                <w:rFonts w:ascii="Times New Roman" w:eastAsia="Calibri" w:hAnsi="Times New Roman" w:cs="Times New Roman"/>
                <w:sz w:val="18"/>
                <w:szCs w:val="18"/>
              </w:rPr>
            </w:pPr>
          </w:p>
        </w:tc>
        <w:tc>
          <w:tcPr>
            <w:tcW w:w="810" w:type="dxa"/>
          </w:tcPr>
          <w:p w14:paraId="2FD99799" w14:textId="77777777" w:rsidR="006D0605" w:rsidRPr="004E6A4A" w:rsidRDefault="006D0605" w:rsidP="00C4419F">
            <w:pPr>
              <w:jc w:val="center"/>
              <w:rPr>
                <w:rFonts w:ascii="Times New Roman" w:eastAsia="Times New Roman" w:hAnsi="Times New Roman" w:cs="Times New Roman"/>
                <w:sz w:val="20"/>
                <w:szCs w:val="21"/>
                <w:lang w:eastAsia="sq-AL"/>
              </w:rPr>
            </w:pPr>
          </w:p>
        </w:tc>
        <w:tc>
          <w:tcPr>
            <w:tcW w:w="4590" w:type="dxa"/>
          </w:tcPr>
          <w:p w14:paraId="6BC74113" w14:textId="77777777" w:rsidR="00FA0CFF" w:rsidRPr="004E6A4A" w:rsidRDefault="00144445">
            <w:pPr>
              <w:jc w:val="center"/>
            </w:pPr>
            <w:r w:rsidRPr="004E6A4A">
              <w:rPr>
                <w:rFonts w:ascii="Times New Roman" w:eastAsia="Times New Roman" w:hAnsi="Times New Roman" w:cs="Times New Roman"/>
                <w:b/>
                <w:sz w:val="20"/>
              </w:rPr>
              <w:t>Ligji: Neni 10</w:t>
            </w:r>
          </w:p>
          <w:p w14:paraId="56186AF0" w14:textId="77777777" w:rsidR="00FA0CFF" w:rsidRPr="004E6A4A" w:rsidRDefault="00144445">
            <w:pPr>
              <w:jc w:val="center"/>
            </w:pPr>
            <w:r w:rsidRPr="004E6A4A">
              <w:rPr>
                <w:rFonts w:ascii="Times New Roman" w:eastAsia="Times New Roman" w:hAnsi="Times New Roman" w:cs="Times New Roman"/>
                <w:b/>
                <w:sz w:val="20"/>
              </w:rPr>
              <w:t>Vigjilenca e duhur për Llogaritë e Njësive Ekonomike Paraekzistuese</w:t>
            </w:r>
          </w:p>
          <w:p w14:paraId="01CB6EE7" w14:textId="77777777" w:rsidR="00FA0CFF" w:rsidRPr="004E6A4A" w:rsidRDefault="00144445">
            <w:pPr>
              <w:jc w:val="both"/>
            </w:pPr>
            <w:r w:rsidRPr="004E6A4A">
              <w:rPr>
                <w:rFonts w:ascii="Times New Roman" w:eastAsia="Times New Roman" w:hAnsi="Times New Roman" w:cs="Times New Roman"/>
                <w:sz w:val="20"/>
              </w:rPr>
              <w:t>1. Për qëllime të identifikimit të Llogarive të Raportueshme, institucioni financiar raportues zbaton procedurat e vigjilencës së duhur për Llogaritë e Njësive Ekonomike Paraekzistuese.</w:t>
            </w:r>
          </w:p>
          <w:p w14:paraId="746A551A" w14:textId="77777777" w:rsidR="00FA0CFF" w:rsidRPr="004E6A4A" w:rsidRDefault="00144445">
            <w:pPr>
              <w:jc w:val="both"/>
            </w:pPr>
            <w:r w:rsidRPr="004E6A4A">
              <w:rPr>
                <w:rFonts w:ascii="Times New Roman" w:eastAsia="Times New Roman" w:hAnsi="Times New Roman" w:cs="Times New Roman"/>
                <w:sz w:val="20"/>
              </w:rPr>
              <w:t>2. Një Llogari e Njësisë Ekonomike Paraekzistuese, që plotëson kushtet për t’iu nënshtruar shqyrtimit, shqyrtohet për të përcaktuar nëse mbahet nga:</w:t>
            </w:r>
          </w:p>
          <w:p w14:paraId="2E4FC7B3" w14:textId="77777777" w:rsidR="00FA0CFF" w:rsidRPr="004E6A4A" w:rsidRDefault="00144445">
            <w:pPr>
              <w:jc w:val="both"/>
            </w:pPr>
            <w:r w:rsidRPr="004E6A4A">
              <w:rPr>
                <w:rFonts w:ascii="Times New Roman" w:eastAsia="Times New Roman" w:hAnsi="Times New Roman" w:cs="Times New Roman"/>
                <w:sz w:val="20"/>
              </w:rPr>
              <w:t>a) një ose më shumë Persona të Raportueshëm; ose</w:t>
            </w:r>
          </w:p>
          <w:p w14:paraId="45ACF52B" w14:textId="77777777" w:rsidR="00FA0CFF" w:rsidRPr="004E6A4A" w:rsidRDefault="00144445">
            <w:pPr>
              <w:jc w:val="both"/>
            </w:pPr>
            <w:r w:rsidRPr="004E6A4A">
              <w:rPr>
                <w:rFonts w:ascii="Times New Roman" w:eastAsia="Times New Roman" w:hAnsi="Times New Roman" w:cs="Times New Roman"/>
                <w:sz w:val="20"/>
              </w:rPr>
              <w:t>b) një Njësi Ekonomike Jofinanciare Pasive me një ose më shumë Persona Kontrollues që janë Persona të Raportueshëm.</w:t>
            </w:r>
          </w:p>
          <w:p w14:paraId="174655FB" w14:textId="77777777" w:rsidR="00FA0CFF" w:rsidRPr="004E6A4A" w:rsidRDefault="00144445">
            <w:pPr>
              <w:jc w:val="both"/>
            </w:pPr>
            <w:r w:rsidRPr="004E6A4A">
              <w:rPr>
                <w:rFonts w:ascii="Times New Roman" w:eastAsia="Times New Roman" w:hAnsi="Times New Roman" w:cs="Times New Roman"/>
                <w:sz w:val="20"/>
              </w:rPr>
              <w:t>3. Për përcaktimin e rezidencës së njësisë ekonomike, institucioni financiar raportues shqyrton informacionin që disponon për qëllime rregullatore ose të marrëdhënies me klientin, përfshirë informacionin e mbledhur në përputhje me procedurat për parandalimin e pastrimit të parave dhe financimin e terrorizmit.</w:t>
            </w:r>
          </w:p>
          <w:p w14:paraId="005D2C1E" w14:textId="77777777" w:rsidR="00FA0CFF" w:rsidRPr="004E6A4A" w:rsidRDefault="00144445">
            <w:pPr>
              <w:jc w:val="both"/>
            </w:pPr>
            <w:r w:rsidRPr="004E6A4A">
              <w:rPr>
                <w:rFonts w:ascii="Times New Roman" w:eastAsia="Times New Roman" w:hAnsi="Times New Roman" w:cs="Times New Roman"/>
                <w:sz w:val="20"/>
              </w:rPr>
              <w:t>4. Nëse informacioni tregon se mbajtësi i llogarisë është rezident në një juridiksion raportues, llogaria trajtohet si Llogari e Raportueshme, përveçse kur institucioni financiar raportues:</w:t>
            </w:r>
          </w:p>
          <w:p w14:paraId="11723BA4" w14:textId="77777777" w:rsidR="00FA0CFF" w:rsidRPr="004E6A4A" w:rsidRDefault="00144445">
            <w:pPr>
              <w:jc w:val="both"/>
            </w:pPr>
            <w:r w:rsidRPr="004E6A4A">
              <w:rPr>
                <w:rFonts w:ascii="Times New Roman" w:eastAsia="Times New Roman" w:hAnsi="Times New Roman" w:cs="Times New Roman"/>
                <w:sz w:val="20"/>
              </w:rPr>
              <w:t>a) merr një vetëdeklarim nga mbajtësi i llogarisë; ose</w:t>
            </w:r>
          </w:p>
          <w:p w14:paraId="6666B3A8" w14:textId="77777777" w:rsidR="00FA0CFF" w:rsidRPr="004E6A4A" w:rsidRDefault="00144445">
            <w:pPr>
              <w:jc w:val="both"/>
            </w:pPr>
            <w:r w:rsidRPr="004E6A4A">
              <w:rPr>
                <w:rFonts w:ascii="Times New Roman" w:eastAsia="Times New Roman" w:hAnsi="Times New Roman" w:cs="Times New Roman"/>
                <w:sz w:val="20"/>
              </w:rPr>
              <w:t>b) përcakton në mënyrë të arsyeshme, bazuar në informacionin që disponon ose që është publikisht i disponueshëm, se mbajtësi i llogarisë nuk është Person i Raportueshëm.</w:t>
            </w:r>
          </w:p>
          <w:p w14:paraId="0D071B44" w14:textId="77777777" w:rsidR="00FA0CFF" w:rsidRPr="004E6A4A" w:rsidRDefault="00144445">
            <w:pPr>
              <w:jc w:val="both"/>
            </w:pPr>
            <w:r w:rsidRPr="004E6A4A">
              <w:rPr>
                <w:rFonts w:ascii="Times New Roman" w:eastAsia="Times New Roman" w:hAnsi="Times New Roman" w:cs="Times New Roman"/>
                <w:sz w:val="20"/>
              </w:rPr>
              <w:t xml:space="preserve">5. Për të përcaktuar nëse mbajtësi i llogarisë është një NFE pasive, institucioni financiar raportues merr një vetëdeklarim nga mbajtësi i llogarisë për përcaktimin e statusit të tij, përveçse kur informacioni që disponon </w:t>
            </w:r>
            <w:r w:rsidRPr="004E6A4A">
              <w:rPr>
                <w:rFonts w:ascii="Times New Roman" w:eastAsia="Times New Roman" w:hAnsi="Times New Roman" w:cs="Times New Roman"/>
                <w:sz w:val="20"/>
              </w:rPr>
              <w:lastRenderedPageBreak/>
              <w:t>ose që është publikisht i disponueshëm i mundëson të përcaktojë në mënyrë të arsyeshme se mbajtësi i llogarisë është një NFE aktive ose një Institucion Financiar, i ndryshëm nga një Njësi Ekonomike Investimi e llojit që, për shkak se nuk është Institucion Financiar i një Juridiksioni Pjesëmarrës, trajtohet si NFE pasive.</w:t>
            </w:r>
          </w:p>
          <w:p w14:paraId="64ADC695" w14:textId="77777777" w:rsidR="00FA0CFF" w:rsidRPr="004E6A4A" w:rsidRDefault="00144445">
            <w:pPr>
              <w:jc w:val="both"/>
            </w:pPr>
            <w:r w:rsidRPr="004E6A4A">
              <w:rPr>
                <w:rFonts w:ascii="Times New Roman" w:eastAsia="Times New Roman" w:hAnsi="Times New Roman" w:cs="Times New Roman"/>
                <w:sz w:val="20"/>
              </w:rPr>
              <w:t>6. Institucioni financiar raportues përcakton Personat Kontrollues të Njësisë Ekonomike Jofinanciare Pasive dhe rezidencën e tyre për qëllime tatimore.</w:t>
            </w:r>
          </w:p>
          <w:p w14:paraId="79A83BE2" w14:textId="77777777" w:rsidR="00FA0CFF" w:rsidRPr="004E6A4A" w:rsidRDefault="00144445">
            <w:pPr>
              <w:jc w:val="both"/>
            </w:pPr>
            <w:r w:rsidRPr="004E6A4A">
              <w:rPr>
                <w:rFonts w:ascii="Times New Roman" w:eastAsia="Times New Roman" w:hAnsi="Times New Roman" w:cs="Times New Roman"/>
                <w:sz w:val="20"/>
              </w:rPr>
              <w:t>7. Për përcaktimin e Personave Kontrollues, institucioni financiar raportues mund të mbështetet në informacionin e mbledhur dhe të mbajtur në përputhje me procedurat për parandalimin e pastrimit të parave dhe financimin e terrorizmit, në përputhje me pikën 7 të nenit 7 të këtij ligji.</w:t>
            </w:r>
          </w:p>
          <w:p w14:paraId="460E53AC" w14:textId="77777777" w:rsidR="00FA0CFF" w:rsidRPr="004E6A4A" w:rsidRDefault="00144445">
            <w:pPr>
              <w:jc w:val="both"/>
            </w:pPr>
            <w:r w:rsidRPr="004E6A4A">
              <w:rPr>
                <w:rFonts w:ascii="Times New Roman" w:eastAsia="Times New Roman" w:hAnsi="Times New Roman" w:cs="Times New Roman"/>
                <w:sz w:val="20"/>
              </w:rPr>
              <w:t>8. Për përcaktimin nëse një Person Kontrollues i një NFE-je pasive është Person i Raportueshëm, institucioni financiar raportues mund të mbështetet në informacionin e mbledhur dhe të mbajtur sipas procedurave PPP/NJKT, kur Llogaria e Njësisë Ekonomike Paraekzistuese ka balancë ose vlerë të agreguar që nuk tejkalon ekuivalentin në monedhën vendase të 1 000 000 USD; kur ky prag tejkalohet, institucioni financiar raportues mbështetet në një vetëdeklarim nga mbajtësi i llogarisë ose nga Personi Kontrollues.</w:t>
            </w:r>
          </w:p>
          <w:p w14:paraId="2EACD004" w14:textId="77777777" w:rsidR="00FA0CFF" w:rsidRPr="004E6A4A" w:rsidRDefault="00144445">
            <w:pPr>
              <w:jc w:val="both"/>
            </w:pPr>
            <w:r w:rsidRPr="004E6A4A">
              <w:rPr>
                <w:rFonts w:ascii="Times New Roman" w:eastAsia="Times New Roman" w:hAnsi="Times New Roman" w:cs="Times New Roman"/>
                <w:sz w:val="20"/>
              </w:rPr>
              <w:t>9. Nëse ndonjë Person Kontrollues i një Njësie Ekonomike Jofinanciare Pasive është Person i Raportueshëm, llogaria trajtohet si Llogari e Raportueshme.</w:t>
            </w:r>
          </w:p>
          <w:p w14:paraId="36B4FDD3" w14:textId="77777777" w:rsidR="00FA0CFF" w:rsidRPr="004E6A4A" w:rsidRDefault="00144445">
            <w:pPr>
              <w:jc w:val="both"/>
            </w:pPr>
            <w:r w:rsidRPr="004E6A4A">
              <w:rPr>
                <w:rFonts w:ascii="Times New Roman" w:eastAsia="Times New Roman" w:hAnsi="Times New Roman" w:cs="Times New Roman"/>
                <w:sz w:val="20"/>
              </w:rPr>
              <w:t>10. Një ndryshim në rrethana që bën që institucioni financiar raportues të dijë ose të ketë arsye të dijë se vetëdeklarimi ose dokumentacioni tjetër është i pasaktë ose jo i besueshëm sjell detyrimin për të ripërcaktuar statusin e llogarisë në përputhje me këtë nen.</w:t>
            </w:r>
          </w:p>
          <w:p w14:paraId="587A4F5C" w14:textId="77777777" w:rsidR="00FA0CFF" w:rsidRPr="004E6A4A" w:rsidRDefault="00144445">
            <w:pPr>
              <w:jc w:val="both"/>
            </w:pPr>
            <w:r w:rsidRPr="004E6A4A">
              <w:rPr>
                <w:rFonts w:ascii="Times New Roman" w:eastAsia="Times New Roman" w:hAnsi="Times New Roman" w:cs="Times New Roman"/>
                <w:sz w:val="20"/>
              </w:rPr>
              <w:lastRenderedPageBreak/>
              <w:t>11. Një Llogari e Njësisë Ekonomike Paraekzistuese me balancë ose vlerë që nuk tejkalon pragun e përcaktuar në aktin nënligjor të nxjerrë në zbatim të këtij ligji nuk është e detyruar t’i nënshtrohet shqyrtimit, identifikimit ose raportimit deri në momentin kur balanca ose vlera e saj tejkalon këtë prag, përveçse kur institucioni financiar raportues zgjedh të zbatojë procedurat e vigjilencës së duhur edhe për këto llogari.</w:t>
            </w:r>
          </w:p>
          <w:p w14:paraId="67434FBD" w14:textId="77777777" w:rsidR="00FA0CFF" w:rsidRPr="004E6A4A" w:rsidRDefault="00144445">
            <w:pPr>
              <w:jc w:val="both"/>
            </w:pPr>
            <w:r w:rsidRPr="004E6A4A">
              <w:rPr>
                <w:rFonts w:ascii="Times New Roman" w:eastAsia="Times New Roman" w:hAnsi="Times New Roman" w:cs="Times New Roman"/>
                <w:sz w:val="20"/>
              </w:rPr>
              <w:t>12. Pragjet monetare, datat e referencës, afatet e shqyrtimit dhe procedurat e hollësishme për Llogaritë e Njësive Ekonomike Paraekzistuese përcaktohen me akt nënligjor në zbatim të këtij ligji.</w:t>
            </w:r>
          </w:p>
          <w:p w14:paraId="1C570544" w14:textId="77777777" w:rsidR="00FA0CFF" w:rsidRPr="004E6A4A" w:rsidRDefault="00FA0CFF"/>
          <w:p w14:paraId="5171C1FE" w14:textId="77777777" w:rsidR="00FA0CFF" w:rsidRPr="004E6A4A" w:rsidRDefault="00144445">
            <w:pPr>
              <w:jc w:val="center"/>
            </w:pPr>
            <w:r w:rsidRPr="004E6A4A">
              <w:rPr>
                <w:rFonts w:ascii="Times New Roman" w:eastAsia="Times New Roman" w:hAnsi="Times New Roman" w:cs="Times New Roman"/>
                <w:b/>
                <w:sz w:val="20"/>
              </w:rPr>
              <w:t>VKM: Neni 8</w:t>
            </w:r>
          </w:p>
          <w:p w14:paraId="142C0145" w14:textId="77777777" w:rsidR="00FA0CFF" w:rsidRPr="004E6A4A" w:rsidRDefault="00144445">
            <w:pPr>
              <w:jc w:val="center"/>
            </w:pPr>
            <w:r w:rsidRPr="004E6A4A">
              <w:rPr>
                <w:rFonts w:ascii="Times New Roman" w:eastAsia="Times New Roman" w:hAnsi="Times New Roman" w:cs="Times New Roman"/>
                <w:b/>
                <w:sz w:val="20"/>
              </w:rPr>
              <w:t>Vigjilenca e duhur për llogaritë paraekzistuese të njësive ekonomike</w:t>
            </w:r>
          </w:p>
          <w:p w14:paraId="77397F4B" w14:textId="77777777" w:rsidR="00FA0CFF" w:rsidRPr="004E6A4A" w:rsidRDefault="00144445">
            <w:pPr>
              <w:jc w:val="both"/>
            </w:pPr>
            <w:r w:rsidRPr="004E6A4A">
              <w:rPr>
                <w:rFonts w:ascii="Times New Roman" w:eastAsia="Times New Roman" w:hAnsi="Times New Roman" w:cs="Times New Roman"/>
                <w:sz w:val="20"/>
              </w:rPr>
              <w:t>Procedurat e mëposhtme zbatohen për identifikimin e Llogarive të Raportueshme ndër Llogaritë Paraekzistuese të Njësive Ekonomike.</w:t>
            </w:r>
          </w:p>
          <w:p w14:paraId="73D5482B" w14:textId="77777777" w:rsidR="00FA0CFF" w:rsidRPr="004E6A4A" w:rsidRDefault="00144445">
            <w:pPr>
              <w:jc w:val="both"/>
            </w:pPr>
            <w:r w:rsidRPr="004E6A4A">
              <w:rPr>
                <w:rFonts w:ascii="Times New Roman" w:eastAsia="Times New Roman" w:hAnsi="Times New Roman" w:cs="Times New Roman"/>
                <w:sz w:val="20"/>
              </w:rPr>
              <w:t>1. Llogaritë e njësive ekonomike që nuk kërkohet të rishikohen, identifikohen ose raportohen. Nëse institucioni financiar raportues nuk zgjedh ndryshe, një Llogari Paraekzistuese e Njësisë Ekonomike me gjendje ose vlerë të agreguar që nuk tejkalon 250 000 USD në datën e zbatueshme sipas përkufizimit të Llogarisë Paraekzistuese për profilin përkatës nuk kërkohet të rishikohet, identifikohet ose raportohet derisa gjendja ose vlera e agreguar të tejkalojë këtë shumë në fund të një viti kalendarik pasues.</w:t>
            </w:r>
          </w:p>
          <w:p w14:paraId="583E976D" w14:textId="77777777" w:rsidR="00FA0CFF" w:rsidRPr="004E6A4A" w:rsidRDefault="00144445">
            <w:pPr>
              <w:jc w:val="both"/>
            </w:pPr>
            <w:r w:rsidRPr="004E6A4A">
              <w:rPr>
                <w:rFonts w:ascii="Times New Roman" w:eastAsia="Times New Roman" w:hAnsi="Times New Roman" w:cs="Times New Roman"/>
                <w:sz w:val="20"/>
              </w:rPr>
              <w:t>2. Llogaritë e njësive ekonomike që i nënshtrohen rishikimit. Çdo Llogari Paraekzistuese e Njësisë Ekonomike me gjendje ose vlerë të agreguar mbi 250 000 USD në datën e zbatueshme sipas profilit përkatës, si dhe çdo llogari që e tejkalon këtë prag në fund të një viti kalendarik pasues, rishikohet sipas procedurave të pikës 3.</w:t>
            </w:r>
          </w:p>
          <w:p w14:paraId="74440989" w14:textId="77777777" w:rsidR="00FA0CFF" w:rsidRPr="004E6A4A" w:rsidRDefault="00FA0CFF"/>
          <w:p w14:paraId="712EBDE9" w14:textId="4552802B" w:rsidR="00314369" w:rsidRPr="004E6A4A" w:rsidRDefault="00314369" w:rsidP="00314369">
            <w:pPr>
              <w:jc w:val="center"/>
            </w:pPr>
          </w:p>
          <w:p w14:paraId="3F932E42" w14:textId="5D4758FE" w:rsidR="00FA0CFF" w:rsidRPr="004E6A4A" w:rsidRDefault="00FA0CFF">
            <w:pPr>
              <w:jc w:val="both"/>
            </w:pPr>
          </w:p>
        </w:tc>
        <w:tc>
          <w:tcPr>
            <w:tcW w:w="1620" w:type="dxa"/>
          </w:tcPr>
          <w:p w14:paraId="349022E2" w14:textId="77777777" w:rsidR="006D0605" w:rsidRPr="004E6A4A" w:rsidRDefault="006D0605" w:rsidP="00C4419F">
            <w:pPr>
              <w:jc w:val="center"/>
              <w:rPr>
                <w:rFonts w:ascii="Times New Roman" w:eastAsia="Calibri" w:hAnsi="Times New Roman" w:cs="Times New Roman"/>
                <w:sz w:val="18"/>
                <w:szCs w:val="18"/>
              </w:rPr>
            </w:pPr>
          </w:p>
          <w:p w14:paraId="21B48C0D" w14:textId="1896F77F" w:rsidR="00B0586E" w:rsidRPr="004E6A4A" w:rsidRDefault="00B0586E"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0C6280DB"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Përputhet.</w:t>
            </w:r>
          </w:p>
          <w:p w14:paraId="39F61418"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Transpozohet nga neni 10 i projektligjit dhe nga neni 8, pikat 1 dhe 2, të VKM-së.</w:t>
            </w:r>
          </w:p>
        </w:tc>
      </w:tr>
      <w:tr w:rsidR="004E6A4A" w:rsidRPr="004E6A4A" w14:paraId="0DCADC7A" w14:textId="77777777" w:rsidTr="00153084">
        <w:trPr>
          <w:trHeight w:val="764"/>
        </w:trPr>
        <w:tc>
          <w:tcPr>
            <w:tcW w:w="630" w:type="dxa"/>
          </w:tcPr>
          <w:p w14:paraId="53DBACA7" w14:textId="77777777" w:rsidR="006D0605" w:rsidRPr="004E6A4A" w:rsidRDefault="006D0605" w:rsidP="00C4419F">
            <w:pPr>
              <w:jc w:val="center"/>
              <w:rPr>
                <w:rFonts w:ascii="Times New Roman" w:eastAsia="Calibri" w:hAnsi="Times New Roman" w:cs="Times New Roman"/>
                <w:i/>
                <w:sz w:val="18"/>
                <w:szCs w:val="18"/>
              </w:rPr>
            </w:pPr>
          </w:p>
        </w:tc>
        <w:tc>
          <w:tcPr>
            <w:tcW w:w="4230" w:type="dxa"/>
          </w:tcPr>
          <w:p w14:paraId="306DC1F3" w14:textId="77777777" w:rsidR="008C56DE" w:rsidRPr="004E6A4A" w:rsidRDefault="00144445">
            <w:pPr>
              <w:rPr>
                <w:rFonts w:ascii="Times New Roman" w:eastAsia="Times New Roman" w:hAnsi="Times New Roman" w:cs="Times New Roman"/>
                <w:b/>
                <w:bCs/>
                <w:sz w:val="20"/>
                <w:szCs w:val="20"/>
              </w:rPr>
            </w:pPr>
            <w:r w:rsidRPr="004E6A4A">
              <w:rPr>
                <w:rFonts w:ascii="Times New Roman" w:eastAsia="Times New Roman" w:hAnsi="Times New Roman" w:cs="Times New Roman"/>
                <w:b/>
                <w:bCs/>
                <w:sz w:val="20"/>
                <w:szCs w:val="20"/>
              </w:rPr>
              <w:t>Aneksi I,  Seksioni V,  Paragrafi D</w:t>
            </w:r>
          </w:p>
          <w:p w14:paraId="7DB649F6"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D.</w:t>
            </w:r>
            <w:r w:rsidRPr="004E6A4A">
              <w:rPr>
                <w:rFonts w:ascii="Times New Roman" w:eastAsia="Times New Roman" w:hAnsi="Times New Roman" w:cs="Times New Roman"/>
                <w:sz w:val="20"/>
                <w:szCs w:val="20"/>
              </w:rPr>
              <w:tab/>
              <w:t>Procedurat e rishikimit për identifikimin e llogarive të njësive ekonomike për të cilat kërkohet raportimi. Për Llogaritë Paraekzistuese të Njësive Ekonomike të përshkruara në paragrafin B, një Institucion Financiar Raportues duhet të zbatojë procedurat e mëposhtme të rishikimit për të përcaktuar nëse llogaria mbahet nga një ose më shumë Persona të Raportueshëm, ose nga NFE pasive me një ose më shumë Persona Kontrollues që janë Persona të Raportueshëm:</w:t>
            </w:r>
          </w:p>
          <w:p w14:paraId="55405588"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1.</w:t>
            </w:r>
            <w:r w:rsidRPr="004E6A4A">
              <w:rPr>
                <w:rFonts w:ascii="Times New Roman" w:eastAsia="Times New Roman" w:hAnsi="Times New Roman" w:cs="Times New Roman"/>
                <w:sz w:val="20"/>
                <w:szCs w:val="20"/>
              </w:rPr>
              <w:tab/>
              <w:t>Përcaktimi nëse Njësia Ekonomike është Person i Raportueshëm.</w:t>
            </w:r>
          </w:p>
          <w:p w14:paraId="201E234A"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(a)</w:t>
            </w:r>
            <w:r w:rsidRPr="004E6A4A">
              <w:rPr>
                <w:rFonts w:ascii="Times New Roman" w:eastAsia="Times New Roman" w:hAnsi="Times New Roman" w:cs="Times New Roman"/>
                <w:sz w:val="20"/>
                <w:szCs w:val="20"/>
              </w:rPr>
              <w:tab/>
              <w:t>Rishikimi i informacionit të mbajtur për qëllime rregullatore ose të marrëdhënies me klientin (përfshirë informacionin e mbledhur në zbatim të Procedurave për PPP/NJKT) për të përcaktuar nëse informacioni tregon se Mbajtësi i Llogarisë është rezident në një shtet anëtar. Për këtë qëllim, informacioni që tregon se Mbajtësi i Llogarisë është rezident në një shtet anëtar përfshin vendin e themelimit ose të organizimit, ose një adresë në një shtet anëtar.</w:t>
            </w:r>
          </w:p>
          <w:p w14:paraId="3F3CA267"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(b)</w:t>
            </w:r>
            <w:r w:rsidRPr="004E6A4A">
              <w:rPr>
                <w:rFonts w:ascii="Times New Roman" w:eastAsia="Times New Roman" w:hAnsi="Times New Roman" w:cs="Times New Roman"/>
                <w:sz w:val="20"/>
                <w:szCs w:val="20"/>
              </w:rPr>
              <w:tab/>
              <w:t>Nëse informacioni tregon se Mbajtësi i Llogarisë është rezident në një shtet anëtar, Institucioni Financiar Raportues duhet ta trajtojë llogarinë si Llogari të Raportueshme, përveçse kur merr një vetëdeklarim nga Mbajtësi i Llogarisë, ose përcakton në mënyrë të arsyeshme, bazuar në informacionin që disponon ose që është publikisht i disponueshëm, se Mbajtësi i Llogarisë nuk është Person i Raportueshëm.</w:t>
            </w:r>
          </w:p>
          <w:p w14:paraId="142F1F10"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lastRenderedPageBreak/>
              <w:t>2.</w:t>
            </w:r>
            <w:r w:rsidRPr="004E6A4A">
              <w:rPr>
                <w:rFonts w:ascii="Times New Roman" w:eastAsia="Times New Roman" w:hAnsi="Times New Roman" w:cs="Times New Roman"/>
                <w:sz w:val="20"/>
                <w:szCs w:val="20"/>
              </w:rPr>
              <w:tab/>
              <w:t>Përcaktimi nëse Njësia Ekonomike është NFE pasive me një ose më shumë Persona Kontrollues që janë Persona të Raportueshëm. Në lidhje me një Mbajtës Llogarie të një Llogarie Paraekzistuese të Njësisë Ekonomike (përfshirë një Njësi Ekonomike që është Person i Raportueshëm), Institucioni Financiar Raportues duhet të përcaktojë nëse Mbajtësi i Llogarisë është NFE pasive me një ose më shumë Persona Kontrollues që janë Persona të Raportueshëm. Nëse ndonjë nga Personat Kontrollues të një NFE pasive është Person i Raportueshëm, atëherë llogaria duhet të trajtohet si Llogari e Raportueshme. Për këto përcaktime, Institucioni Financiar Raportues duhet të ndjekë udhëzimet e nënparagrafëve D(2)(a) deri në (c), sipas radhës më të përshtatshme për rrethanat.</w:t>
            </w:r>
          </w:p>
          <w:p w14:paraId="6EC773E3"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(a)</w:t>
            </w:r>
            <w:r w:rsidRPr="004E6A4A">
              <w:rPr>
                <w:rFonts w:ascii="Times New Roman" w:eastAsia="Times New Roman" w:hAnsi="Times New Roman" w:cs="Times New Roman"/>
                <w:sz w:val="20"/>
                <w:szCs w:val="20"/>
              </w:rPr>
              <w:tab/>
              <w:t>Përcaktimi nëse Mbajtësi i Llogarisë është NFE pasive. Për qëllime të përcaktimit nëse Mbajtësi i Llogarisë është NFE pasive, Institucioni Financiar Raportues duhet të marrë një vetëdeklarim nga Mbajtësi i Llogarisë për të përcaktuar statusin e tij, përveçse kur disponon informacion, ose ka informacion publikisht të disponueshëm, në bazë të të cilit mund të përcaktojë në mënyrë të arsyeshme se Mbajtësi i Llogarisë është NFE aktive ose Institucion Financiar i ndryshëm nga një Njësi Ekonomike Investimi e përshkruar në nënparagrafin A(6)(b) të Seksionit VIII që nuk është Institucion Financiar i Juridiksionit Pjesëmarrës.</w:t>
            </w:r>
          </w:p>
          <w:p w14:paraId="74B5CBD0"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(b)</w:t>
            </w:r>
            <w:r w:rsidRPr="004E6A4A">
              <w:rPr>
                <w:rFonts w:ascii="Times New Roman" w:eastAsia="Times New Roman" w:hAnsi="Times New Roman" w:cs="Times New Roman"/>
                <w:sz w:val="20"/>
                <w:szCs w:val="20"/>
              </w:rPr>
              <w:tab/>
              <w:t>Përcaktimi i Personave Kontrollues të një Mbajtësi Llogarie. Për qëllime të përcaktimit të Personave Kontrollues të një Mbajtësi Llogarie, një Institucion Financiar Raportues mund të mbështetet në informacionin e mbledhur dhe të mbajtur në zbatim të Procedurave për PPP/NJKT.</w:t>
            </w:r>
          </w:p>
          <w:p w14:paraId="7D58F09B"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lastRenderedPageBreak/>
              <w:t>(c)</w:t>
            </w:r>
            <w:r w:rsidRPr="004E6A4A">
              <w:rPr>
                <w:rFonts w:ascii="Times New Roman" w:eastAsia="Times New Roman" w:hAnsi="Times New Roman" w:cs="Times New Roman"/>
                <w:sz w:val="20"/>
                <w:szCs w:val="20"/>
              </w:rPr>
              <w:tab/>
              <w:t>Përcaktimi nëse një Person Kontrollues i një NFE pasive është Person i Raportueshëm. Për qëllime të përcaktimit nëse një Person Kontrollues i një NFE pasive është Person i Raportueshëm, një Institucion Financiar Raportues mund të mbështetet në:</w:t>
            </w:r>
          </w:p>
          <w:p w14:paraId="581368DD"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(i)</w:t>
            </w:r>
            <w:r w:rsidRPr="004E6A4A">
              <w:rPr>
                <w:rFonts w:ascii="Times New Roman" w:eastAsia="Times New Roman" w:hAnsi="Times New Roman" w:cs="Times New Roman"/>
                <w:sz w:val="20"/>
                <w:szCs w:val="20"/>
              </w:rPr>
              <w:tab/>
              <w:t>informacionin e mbledhur dhe të mbajtur në zbatim të Procedurave për PPP/NJKT në rastin e një Llogarie Paraekzistuese të Njësisë Ekonomike të mbajtur nga një ose më shumë NFE, me gjendje ose vlerë të totalizuar të llogarisë që nuk e tejkalon një shumë të shprehur në monedhën vendase të çdo shteti anëtar që u korrespondon 1 000 000 USD; ose</w:t>
            </w:r>
          </w:p>
          <w:p w14:paraId="7BAAB82E"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(ii)</w:t>
            </w:r>
            <w:r w:rsidRPr="004E6A4A">
              <w:rPr>
                <w:rFonts w:ascii="Times New Roman" w:eastAsia="Times New Roman" w:hAnsi="Times New Roman" w:cs="Times New Roman"/>
                <w:sz w:val="20"/>
                <w:szCs w:val="20"/>
              </w:rPr>
              <w:tab/>
              <w:t>një vetëdeklarim nga Mbajtësi i Llogarisë ose nga ky Person Kontrollues për shtetin ose shtetet anëtare ose juridiksionin ose juridiksionet e tjera në të cilat personi kontrollues është rezident për qëllime tatimore.</w:t>
            </w:r>
          </w:p>
        </w:tc>
        <w:tc>
          <w:tcPr>
            <w:tcW w:w="1350" w:type="dxa"/>
          </w:tcPr>
          <w:p w14:paraId="6F1A6A19" w14:textId="77777777" w:rsidR="006D0605" w:rsidRPr="004E6A4A" w:rsidRDefault="006D0605" w:rsidP="00C4419F">
            <w:pPr>
              <w:jc w:val="center"/>
              <w:rPr>
                <w:rFonts w:ascii="Times New Roman" w:eastAsia="Calibri" w:hAnsi="Times New Roman" w:cs="Times New Roman"/>
                <w:sz w:val="18"/>
                <w:szCs w:val="18"/>
              </w:rPr>
            </w:pPr>
          </w:p>
        </w:tc>
        <w:tc>
          <w:tcPr>
            <w:tcW w:w="810" w:type="dxa"/>
          </w:tcPr>
          <w:p w14:paraId="6365257C" w14:textId="77777777" w:rsidR="006D0605" w:rsidRPr="004E6A4A" w:rsidRDefault="006D0605" w:rsidP="00C4419F">
            <w:pPr>
              <w:jc w:val="center"/>
              <w:rPr>
                <w:rFonts w:ascii="Times New Roman" w:eastAsia="Times New Roman" w:hAnsi="Times New Roman" w:cs="Times New Roman"/>
                <w:sz w:val="20"/>
                <w:szCs w:val="21"/>
                <w:lang w:eastAsia="sq-AL"/>
              </w:rPr>
            </w:pPr>
          </w:p>
        </w:tc>
        <w:tc>
          <w:tcPr>
            <w:tcW w:w="4590" w:type="dxa"/>
          </w:tcPr>
          <w:p w14:paraId="5F68AB01" w14:textId="77777777" w:rsidR="00FA0CFF" w:rsidRPr="004E6A4A" w:rsidRDefault="00144445">
            <w:pPr>
              <w:jc w:val="center"/>
            </w:pPr>
            <w:r w:rsidRPr="004E6A4A">
              <w:rPr>
                <w:rFonts w:ascii="Times New Roman" w:eastAsia="Times New Roman" w:hAnsi="Times New Roman" w:cs="Times New Roman"/>
                <w:b/>
                <w:sz w:val="20"/>
              </w:rPr>
              <w:t>VKM: Neni 8</w:t>
            </w:r>
          </w:p>
          <w:p w14:paraId="4D752D97" w14:textId="77777777" w:rsidR="00FA0CFF" w:rsidRPr="004E6A4A" w:rsidRDefault="00144445">
            <w:pPr>
              <w:jc w:val="center"/>
            </w:pPr>
            <w:r w:rsidRPr="004E6A4A">
              <w:rPr>
                <w:rFonts w:ascii="Times New Roman" w:eastAsia="Times New Roman" w:hAnsi="Times New Roman" w:cs="Times New Roman"/>
                <w:b/>
                <w:sz w:val="20"/>
              </w:rPr>
              <w:t>Vigjilenca e duhur për llogaritë paraekzistuese të njësive ekonomike</w:t>
            </w:r>
          </w:p>
          <w:p w14:paraId="2362C6BC" w14:textId="77777777" w:rsidR="00FA0CFF" w:rsidRPr="004E6A4A" w:rsidRDefault="00144445">
            <w:pPr>
              <w:jc w:val="both"/>
            </w:pPr>
            <w:r w:rsidRPr="004E6A4A">
              <w:rPr>
                <w:rFonts w:ascii="Times New Roman" w:eastAsia="Times New Roman" w:hAnsi="Times New Roman" w:cs="Times New Roman"/>
                <w:sz w:val="20"/>
              </w:rPr>
              <w:t>Procedurat e mëposhtme zbatohen për identifikimin e Llogarive të Raportueshme ndër Llogaritë Paraekzistuese të Njësive Ekonomike.</w:t>
            </w:r>
          </w:p>
          <w:p w14:paraId="1F6EDBB6" w14:textId="77777777" w:rsidR="00FA0CFF" w:rsidRPr="004E6A4A" w:rsidRDefault="00144445">
            <w:pPr>
              <w:jc w:val="both"/>
            </w:pPr>
            <w:r w:rsidRPr="004E6A4A">
              <w:rPr>
                <w:rFonts w:ascii="Times New Roman" w:eastAsia="Times New Roman" w:hAnsi="Times New Roman" w:cs="Times New Roman"/>
                <w:sz w:val="20"/>
              </w:rPr>
              <w:t>3. Rishikimi i procedurave për identifikimin e llogarive të njësive ekonomike për të cilat kërkohet raportimi. Për llogaritë paraekzistuese të njësive ekonomike të përshkruara në pikën 2 të këtij neni, një institucion financiar raportues duhet të zbatojë procedurat e mëposhtme të rishikimit:</w:t>
            </w:r>
          </w:p>
          <w:p w14:paraId="7AEF9E8B" w14:textId="77777777" w:rsidR="00FA0CFF" w:rsidRPr="004E6A4A" w:rsidRDefault="00144445">
            <w:pPr>
              <w:jc w:val="both"/>
            </w:pPr>
            <w:r w:rsidRPr="004E6A4A">
              <w:rPr>
                <w:rFonts w:ascii="Times New Roman" w:eastAsia="Times New Roman" w:hAnsi="Times New Roman" w:cs="Times New Roman"/>
                <w:sz w:val="20"/>
              </w:rPr>
              <w:t>a) Të përcaktohet rezidenca e njësisë ekonomike, si më poshtë vijon:</w:t>
            </w:r>
          </w:p>
          <w:p w14:paraId="55A23AFF" w14:textId="77777777" w:rsidR="00FA0CFF" w:rsidRPr="004E6A4A" w:rsidRDefault="00144445">
            <w:pPr>
              <w:jc w:val="both"/>
            </w:pPr>
            <w:r w:rsidRPr="004E6A4A">
              <w:rPr>
                <w:rFonts w:ascii="Times New Roman" w:eastAsia="Times New Roman" w:hAnsi="Times New Roman" w:cs="Times New Roman"/>
                <w:sz w:val="20"/>
              </w:rPr>
              <w:t>i. rishikon informacionin e mbajtur për qëllime rregullatore ose të marrëdhënies me klientin, përfshirë informacionin e mbledhur sipas procedurave PPP/NJKT, për të përcaktuar nëse ky informacion tregon se Mbajtësi i Llogarisë është rezident në një Juridiksion të Raportueshëm. Për këtë qëllim, merren parasysh, ndër të tjera, vendi i themelimit ose organizimit dhe adresa e Njësisë Ekonomike në një Juridiksion të Raportueshëm;</w:t>
            </w:r>
          </w:p>
          <w:p w14:paraId="4BBE3642" w14:textId="77777777" w:rsidR="00FA0CFF" w:rsidRPr="004E6A4A" w:rsidRDefault="00144445">
            <w:pPr>
              <w:jc w:val="both"/>
            </w:pPr>
            <w:r w:rsidRPr="004E6A4A">
              <w:rPr>
                <w:rFonts w:ascii="Times New Roman" w:eastAsia="Times New Roman" w:hAnsi="Times New Roman" w:cs="Times New Roman"/>
                <w:sz w:val="20"/>
              </w:rPr>
              <w:t>ii. nëse informacioni tregon që mbajtësi i llogarisë është një person i raportueshëm, institucioni financiar raportues duhet ta trajtojë llogarinë si një llogari të raportueshme, përveçse kur merr një vetëdeklarim nga mbajtësi i llogarisë ose përcakton në mënyrë të arsyeshme bazuar në informacionin që ka në dispozicion apo e disponon publikisht se mbajtësi i llogarisë nuk është një person i raportueshëm.</w:t>
            </w:r>
          </w:p>
          <w:p w14:paraId="5B3451D9" w14:textId="77777777" w:rsidR="00FA0CFF" w:rsidRPr="004E6A4A" w:rsidRDefault="00144445">
            <w:pPr>
              <w:jc w:val="both"/>
            </w:pPr>
            <w:r w:rsidRPr="004E6A4A">
              <w:rPr>
                <w:rFonts w:ascii="Times New Roman" w:eastAsia="Times New Roman" w:hAnsi="Times New Roman" w:cs="Times New Roman"/>
                <w:sz w:val="20"/>
              </w:rPr>
              <w:t xml:space="preserve">b) Të përcaktohet nëse Mbajtësi i Llogarisë është NFE pasive me një ose më shumë Persona Kontrollues që </w:t>
            </w:r>
            <w:r w:rsidRPr="004E6A4A">
              <w:rPr>
                <w:rFonts w:ascii="Times New Roman" w:eastAsia="Times New Roman" w:hAnsi="Times New Roman" w:cs="Times New Roman"/>
                <w:sz w:val="20"/>
              </w:rPr>
              <w:lastRenderedPageBreak/>
              <w:t>janë Persona të Raportueshëm. Në lidhje me Mbajtësin e Llogarisë së një Llogarie Paraekzistuese të Njësisë Ekonomike, përfshirë një Njësi Ekonomike që është Person i Raportueshëm, Institucioni Financiar Raportues përcakton nëse Mbajtësi i Llogarisë është NFE pasive me një ose më shumë Persona Kontrollues dhe nëse një ose më shumë prej këtyre Personave Kontrollues janë Persona të Raportueshëm. Nëse një ose më shumë Persona Kontrollues të një NFE-je pasive janë Persona të Raportueshëm, llogaria trajtohet si Llogari e Raportueshme. Për këto përcaktime, Institucioni Financiar Raportues zbaton nënndarjet “i” deri “iii” të kësaj shkronje, sipas rendit më të përshtatshëm në varësi të rrethanave:</w:t>
            </w:r>
          </w:p>
          <w:p w14:paraId="0134E3CD" w14:textId="77777777" w:rsidR="00FA0CFF" w:rsidRPr="004E6A4A" w:rsidRDefault="00144445">
            <w:pPr>
              <w:jc w:val="both"/>
            </w:pPr>
            <w:r w:rsidRPr="004E6A4A">
              <w:rPr>
                <w:rFonts w:ascii="Times New Roman" w:eastAsia="Times New Roman" w:hAnsi="Times New Roman" w:cs="Times New Roman"/>
                <w:sz w:val="20"/>
              </w:rPr>
              <w:t>i. Përcaktimi nëse Mbajtësi i Llogarisë është NFE pasive. Institucioni Financiar Raportues merr një vetëdeklarim nga Mbajtësi i Llogarisë për të përcaktuar statusin e tij, përveçse kur disponon informacion ose informacioni është publikisht i disponueshëm, mbi bazën e të cilit mund të përcaktojë në mënyrë të arsyeshme se Mbajtësi i Llogarisë është NFE aktive ose Institucion Financiar, me përjashtim të një Njësie Ekonomike Investimi të përshkruar në nenin 5, pika 26, shkronja “b”, të ligjit, që nuk është Institucion Financiar i një Juridiksioni Pjesëmarrës.</w:t>
            </w:r>
          </w:p>
          <w:p w14:paraId="6513ED83" w14:textId="77777777" w:rsidR="00FA0CFF" w:rsidRPr="004E6A4A" w:rsidRDefault="00144445">
            <w:pPr>
              <w:jc w:val="both"/>
            </w:pPr>
            <w:r w:rsidRPr="004E6A4A">
              <w:rPr>
                <w:rFonts w:ascii="Times New Roman" w:eastAsia="Times New Roman" w:hAnsi="Times New Roman" w:cs="Times New Roman"/>
                <w:sz w:val="20"/>
              </w:rPr>
              <w:t>ii. Përcaktimi i Personave Kontrollues të Mbajtësit të Llogarisë. Për përcaktimin e Personave Kontrollues, Institucioni Financiar Raportues mund të mbështetet në informacionin e mbledhur dhe të mbajtur në përputhje me procedurat PPP/NJKT.</w:t>
            </w:r>
          </w:p>
          <w:p w14:paraId="488BA3B7" w14:textId="77777777" w:rsidR="00FA0CFF" w:rsidRPr="004E6A4A" w:rsidRDefault="00144445">
            <w:pPr>
              <w:jc w:val="both"/>
            </w:pPr>
            <w:r w:rsidRPr="004E6A4A">
              <w:rPr>
                <w:rFonts w:ascii="Times New Roman" w:eastAsia="Times New Roman" w:hAnsi="Times New Roman" w:cs="Times New Roman"/>
                <w:sz w:val="20"/>
              </w:rPr>
              <w:t>iii. Përcaktimi nëse një Person Kontrollues i një NFE-je pasive është Person i Raportueshëm. Për këtë qëllim, Institucioni Financiar Raportues mund të mbështetet:</w:t>
            </w:r>
          </w:p>
          <w:p w14:paraId="301482B7" w14:textId="77777777" w:rsidR="00FA0CFF" w:rsidRPr="004E6A4A" w:rsidRDefault="00144445">
            <w:pPr>
              <w:jc w:val="both"/>
            </w:pPr>
            <w:r w:rsidRPr="004E6A4A">
              <w:rPr>
                <w:rFonts w:ascii="Times New Roman" w:eastAsia="Times New Roman" w:hAnsi="Times New Roman" w:cs="Times New Roman"/>
                <w:sz w:val="20"/>
              </w:rPr>
              <w:t xml:space="preserve">1. në informacionin e mbledhur dhe të mbajtur në përputhje me procedurat PPP/NJKT, në rastin e një Llogarie Paraekzistuese të Njësisë Ekonomike të mbajtur nga një ose më shumë NFE, me gjendje ose </w:t>
            </w:r>
            <w:r w:rsidRPr="004E6A4A">
              <w:rPr>
                <w:rFonts w:ascii="Times New Roman" w:eastAsia="Times New Roman" w:hAnsi="Times New Roman" w:cs="Times New Roman"/>
                <w:sz w:val="20"/>
              </w:rPr>
              <w:lastRenderedPageBreak/>
              <w:t>vlerë të agreguar të llogarisë që nuk tejkalon 1 000 000 (një milion) USD; ose</w:t>
            </w:r>
          </w:p>
          <w:p w14:paraId="1DE77B27" w14:textId="77777777" w:rsidR="00FA0CFF" w:rsidRPr="004E6A4A" w:rsidRDefault="00144445">
            <w:pPr>
              <w:jc w:val="both"/>
            </w:pPr>
            <w:r w:rsidRPr="004E6A4A">
              <w:rPr>
                <w:rFonts w:ascii="Times New Roman" w:eastAsia="Times New Roman" w:hAnsi="Times New Roman" w:cs="Times New Roman"/>
                <w:sz w:val="20"/>
              </w:rPr>
              <w:t>2. në një vetëdeklarim nga Mbajtësi i Llogarisë ose Personi Kontrollues, që përcakton juridiksionin ose juridiksionet në të cilat Personi Kontrollues është rezident për qëllime tatimore. Nëse nuk merret një vetëdeklarim, Institucioni Financiar Raportues përcakton rezidencën ose rezidencat e Personit Kontrollues duke zbatuar procedurat e përshkruara në nenin 6, pika 1, shkronja “b”, të këtij vendimi. Nëse Institucioni Financiar Raportues nuk identifikon asnjë tregues në të dhënat e tij, nuk kërkohet veprim i mëtejshëm deri në një ndryshim të rrethanave që rezulton në një ose më shumë tregues në lidhje me Personin Kontrollues të lidhur me llogarinë.</w:t>
            </w:r>
          </w:p>
          <w:p w14:paraId="546C4462" w14:textId="77777777" w:rsidR="00FA0CFF" w:rsidRPr="004E6A4A" w:rsidRDefault="00FA0CFF"/>
          <w:p w14:paraId="58884CCD" w14:textId="77777777" w:rsidR="00FA0CFF" w:rsidRPr="004E6A4A" w:rsidRDefault="00144445">
            <w:pPr>
              <w:jc w:val="center"/>
            </w:pPr>
            <w:r w:rsidRPr="004E6A4A">
              <w:rPr>
                <w:rFonts w:ascii="Times New Roman" w:eastAsia="Times New Roman" w:hAnsi="Times New Roman" w:cs="Times New Roman"/>
                <w:b/>
                <w:sz w:val="20"/>
              </w:rPr>
              <w:t>Ligji: Neni 10</w:t>
            </w:r>
          </w:p>
          <w:p w14:paraId="7FF72F35" w14:textId="77777777" w:rsidR="00FA0CFF" w:rsidRPr="004E6A4A" w:rsidRDefault="00144445">
            <w:pPr>
              <w:jc w:val="center"/>
            </w:pPr>
            <w:r w:rsidRPr="004E6A4A">
              <w:rPr>
                <w:rFonts w:ascii="Times New Roman" w:eastAsia="Times New Roman" w:hAnsi="Times New Roman" w:cs="Times New Roman"/>
                <w:b/>
                <w:sz w:val="20"/>
              </w:rPr>
              <w:t>Vigjilenca e duhur për Llogaritë e Njësive Ekonomike Paraekzistuese</w:t>
            </w:r>
          </w:p>
          <w:p w14:paraId="48DB032F" w14:textId="77777777" w:rsidR="00FA0CFF" w:rsidRPr="004E6A4A" w:rsidRDefault="00144445">
            <w:pPr>
              <w:jc w:val="both"/>
            </w:pPr>
            <w:r w:rsidRPr="004E6A4A">
              <w:rPr>
                <w:rFonts w:ascii="Times New Roman" w:eastAsia="Times New Roman" w:hAnsi="Times New Roman" w:cs="Times New Roman"/>
                <w:sz w:val="20"/>
              </w:rPr>
              <w:t>1. Për qëllime të identifikimit të Llogarive të Raportueshme, institucioni financiar raportues zbaton procedurat e vigjilencës së duhur për Llogaritë e Njësive Ekonomike Paraekzistuese.</w:t>
            </w:r>
          </w:p>
          <w:p w14:paraId="1515F087" w14:textId="77777777" w:rsidR="00FA0CFF" w:rsidRPr="004E6A4A" w:rsidRDefault="00144445">
            <w:pPr>
              <w:jc w:val="both"/>
            </w:pPr>
            <w:r w:rsidRPr="004E6A4A">
              <w:rPr>
                <w:rFonts w:ascii="Times New Roman" w:eastAsia="Times New Roman" w:hAnsi="Times New Roman" w:cs="Times New Roman"/>
                <w:sz w:val="20"/>
              </w:rPr>
              <w:t>2. Një Llogari e Njësisë Ekonomike Paraekzistuese, që plotëson kushtet për t’iu nënshtruar shqyrtimit, shqyrtohet për të përcaktuar nëse mbahet nga:</w:t>
            </w:r>
          </w:p>
          <w:p w14:paraId="05B92557" w14:textId="77777777" w:rsidR="00FA0CFF" w:rsidRPr="004E6A4A" w:rsidRDefault="00144445">
            <w:pPr>
              <w:jc w:val="both"/>
            </w:pPr>
            <w:r w:rsidRPr="004E6A4A">
              <w:rPr>
                <w:rFonts w:ascii="Times New Roman" w:eastAsia="Times New Roman" w:hAnsi="Times New Roman" w:cs="Times New Roman"/>
                <w:sz w:val="20"/>
              </w:rPr>
              <w:t>a) një ose më shumë Persona të Raportueshëm; ose</w:t>
            </w:r>
          </w:p>
          <w:p w14:paraId="2ADA3A39" w14:textId="77777777" w:rsidR="00FA0CFF" w:rsidRPr="004E6A4A" w:rsidRDefault="00144445">
            <w:pPr>
              <w:jc w:val="both"/>
            </w:pPr>
            <w:r w:rsidRPr="004E6A4A">
              <w:rPr>
                <w:rFonts w:ascii="Times New Roman" w:eastAsia="Times New Roman" w:hAnsi="Times New Roman" w:cs="Times New Roman"/>
                <w:sz w:val="20"/>
              </w:rPr>
              <w:t>b) një Njësi Ekonomike Jofinanciare Pasive me një ose më shumë Persona Kontrollues që janë Persona të Raportueshëm.</w:t>
            </w:r>
          </w:p>
          <w:p w14:paraId="10F8585A" w14:textId="77777777" w:rsidR="00FA0CFF" w:rsidRPr="004E6A4A" w:rsidRDefault="00144445">
            <w:pPr>
              <w:jc w:val="both"/>
            </w:pPr>
            <w:r w:rsidRPr="004E6A4A">
              <w:rPr>
                <w:rFonts w:ascii="Times New Roman" w:eastAsia="Times New Roman" w:hAnsi="Times New Roman" w:cs="Times New Roman"/>
                <w:sz w:val="20"/>
              </w:rPr>
              <w:t>3. Për përcaktimin e rezidencës së njësisë ekonomike, institucioni financiar raportues shqyrton informacionin që disponon për qëllime rregullatore ose të marrëdhënies me klientin, përfshirë informacionin e mbledhur në përputhje me procedurat për parandalimin e pastrimit të parave dhe financimin e terrorizmit.</w:t>
            </w:r>
          </w:p>
          <w:p w14:paraId="22623EA7" w14:textId="77777777" w:rsidR="00FA0CFF" w:rsidRPr="004E6A4A" w:rsidRDefault="00144445">
            <w:pPr>
              <w:jc w:val="both"/>
            </w:pPr>
            <w:r w:rsidRPr="004E6A4A">
              <w:rPr>
                <w:rFonts w:ascii="Times New Roman" w:eastAsia="Times New Roman" w:hAnsi="Times New Roman" w:cs="Times New Roman"/>
                <w:sz w:val="20"/>
              </w:rPr>
              <w:lastRenderedPageBreak/>
              <w:t>4. Nëse informacioni tregon se mbajtësi i llogarisë është rezident në një juridiksion raportues, llogaria trajtohet si Llogari e Raportueshme, përveçse kur institucioni financiar raportues:</w:t>
            </w:r>
          </w:p>
          <w:p w14:paraId="2E0A4ADC" w14:textId="77777777" w:rsidR="00FA0CFF" w:rsidRPr="004E6A4A" w:rsidRDefault="00144445">
            <w:pPr>
              <w:jc w:val="both"/>
            </w:pPr>
            <w:r w:rsidRPr="004E6A4A">
              <w:rPr>
                <w:rFonts w:ascii="Times New Roman" w:eastAsia="Times New Roman" w:hAnsi="Times New Roman" w:cs="Times New Roman"/>
                <w:sz w:val="20"/>
              </w:rPr>
              <w:t>a) merr një vetëdeklarim nga mbajtësi i llogarisë; ose</w:t>
            </w:r>
          </w:p>
          <w:p w14:paraId="5BE6AA9E" w14:textId="77777777" w:rsidR="00FA0CFF" w:rsidRPr="004E6A4A" w:rsidRDefault="00144445">
            <w:pPr>
              <w:jc w:val="both"/>
            </w:pPr>
            <w:r w:rsidRPr="004E6A4A">
              <w:rPr>
                <w:rFonts w:ascii="Times New Roman" w:eastAsia="Times New Roman" w:hAnsi="Times New Roman" w:cs="Times New Roman"/>
                <w:sz w:val="20"/>
              </w:rPr>
              <w:t>b) përcakton në mënyrë të arsyeshme, bazuar në informacionin që disponon ose që është publikisht i disponueshëm, se mbajtësi i llogarisë nuk është Person i Raportueshëm.</w:t>
            </w:r>
          </w:p>
          <w:p w14:paraId="3B2C614A" w14:textId="77777777" w:rsidR="00FA0CFF" w:rsidRPr="004E6A4A" w:rsidRDefault="00144445">
            <w:pPr>
              <w:jc w:val="both"/>
            </w:pPr>
            <w:r w:rsidRPr="004E6A4A">
              <w:rPr>
                <w:rFonts w:ascii="Times New Roman" w:eastAsia="Times New Roman" w:hAnsi="Times New Roman" w:cs="Times New Roman"/>
                <w:sz w:val="20"/>
              </w:rPr>
              <w:t>5. Për të përcaktuar nëse mbajtësi i llogarisë është një NFE pasive, institucioni financiar raportues merr një vetëdeklarim nga mbajtësi i llogarisë për përcaktimin e statusit të tij, përveçse kur informacioni që disponon ose që është publikisht i disponueshëm i mundëson të përcaktojë në mënyrë të arsyeshme se mbajtësi i llogarisë është një NFE aktive ose një Institucion Financiar, i ndryshëm nga një Njësi Ekonomike Investimi e llojit që, për shkak se nuk është Institucion Financiar i një Juridiksioni Pjesëmarrës, trajtohet si NFE pasive.</w:t>
            </w:r>
          </w:p>
          <w:p w14:paraId="309D3152" w14:textId="77777777" w:rsidR="00FA0CFF" w:rsidRPr="004E6A4A" w:rsidRDefault="00144445">
            <w:pPr>
              <w:jc w:val="both"/>
            </w:pPr>
            <w:r w:rsidRPr="004E6A4A">
              <w:rPr>
                <w:rFonts w:ascii="Times New Roman" w:eastAsia="Times New Roman" w:hAnsi="Times New Roman" w:cs="Times New Roman"/>
                <w:sz w:val="20"/>
              </w:rPr>
              <w:t>6. Institucioni financiar raportues përcakton Personat Kontrollues të Njësisë Ekonomike Jofinanciare Pasive dhe rezidencën e tyre për qëllime tatimore.</w:t>
            </w:r>
          </w:p>
          <w:p w14:paraId="1979DDAD" w14:textId="77777777" w:rsidR="00FA0CFF" w:rsidRPr="004E6A4A" w:rsidRDefault="00144445">
            <w:pPr>
              <w:jc w:val="both"/>
            </w:pPr>
            <w:r w:rsidRPr="004E6A4A">
              <w:rPr>
                <w:rFonts w:ascii="Times New Roman" w:eastAsia="Times New Roman" w:hAnsi="Times New Roman" w:cs="Times New Roman"/>
                <w:sz w:val="20"/>
              </w:rPr>
              <w:t>7. Për përcaktimin e Personave Kontrollues, institucioni financiar raportues mund të mbështetet në informacionin e mbledhur dhe të mbajtur në përputhje me procedurat për parandalimin e pastrimit të parave dhe financimin e terrorizmit, në përputhje me pikën 7 të nenit 7 të këtij ligji.</w:t>
            </w:r>
          </w:p>
          <w:p w14:paraId="7339E2E0" w14:textId="77777777" w:rsidR="00FA0CFF" w:rsidRPr="004E6A4A" w:rsidRDefault="00144445">
            <w:pPr>
              <w:jc w:val="both"/>
            </w:pPr>
            <w:r w:rsidRPr="004E6A4A">
              <w:rPr>
                <w:rFonts w:ascii="Times New Roman" w:eastAsia="Times New Roman" w:hAnsi="Times New Roman" w:cs="Times New Roman"/>
                <w:sz w:val="20"/>
              </w:rPr>
              <w:t xml:space="preserve">8. Për përcaktimin nëse një Person Kontrollues i një NFE-je pasive është Person i Raportueshëm, institucioni financiar raportues mund të mbështetet në informacionin e mbledhur dhe të mbajtur sipas procedurave PPP/NJKT, kur Llogaria e Njësisë Ekonomike Paraekzistuese ka balancë ose vlerë të agreguar që nuk tejkalon ekuivalentin në monedhën vendase të 1 000 000 USD; kur ky prag tejkalohet, </w:t>
            </w:r>
            <w:r w:rsidRPr="004E6A4A">
              <w:rPr>
                <w:rFonts w:ascii="Times New Roman" w:eastAsia="Times New Roman" w:hAnsi="Times New Roman" w:cs="Times New Roman"/>
                <w:sz w:val="20"/>
              </w:rPr>
              <w:lastRenderedPageBreak/>
              <w:t>institucioni financiar raportues mbështetet në një vetëdeklarim nga mbajtësi i llogarisë ose nga Personi Kontrollues.</w:t>
            </w:r>
          </w:p>
          <w:p w14:paraId="0EC1B1F3" w14:textId="77777777" w:rsidR="00FA0CFF" w:rsidRPr="004E6A4A" w:rsidRDefault="00144445">
            <w:pPr>
              <w:jc w:val="both"/>
            </w:pPr>
            <w:r w:rsidRPr="004E6A4A">
              <w:rPr>
                <w:rFonts w:ascii="Times New Roman" w:eastAsia="Times New Roman" w:hAnsi="Times New Roman" w:cs="Times New Roman"/>
                <w:sz w:val="20"/>
              </w:rPr>
              <w:t>9. Nëse ndonjë Person Kontrollues i një Njësie Ekonomike Jofinanciare Pasive është Person i Raportueshëm, llogaria trajtohet si Llogari e Raportueshme.</w:t>
            </w:r>
          </w:p>
          <w:p w14:paraId="37D47372" w14:textId="77777777" w:rsidR="00FA0CFF" w:rsidRPr="004E6A4A" w:rsidRDefault="00144445">
            <w:pPr>
              <w:jc w:val="both"/>
            </w:pPr>
            <w:r w:rsidRPr="004E6A4A">
              <w:rPr>
                <w:rFonts w:ascii="Times New Roman" w:eastAsia="Times New Roman" w:hAnsi="Times New Roman" w:cs="Times New Roman"/>
                <w:sz w:val="20"/>
              </w:rPr>
              <w:t>10. Një ndryshim në rrethana që bën që institucioni financiar raportues të dijë ose të ketë arsye të dijë se vetëdeklarimi ose dokumentacioni tjetër është i pasaktë ose jo i besueshëm sjell detyrimin për të ripërcaktuar statusin e llogarisë në përputhje me këtë nen.</w:t>
            </w:r>
          </w:p>
          <w:p w14:paraId="6C5DB0C8" w14:textId="77777777" w:rsidR="00FA0CFF" w:rsidRPr="004E6A4A" w:rsidRDefault="00144445">
            <w:pPr>
              <w:jc w:val="both"/>
            </w:pPr>
            <w:r w:rsidRPr="004E6A4A">
              <w:rPr>
                <w:rFonts w:ascii="Times New Roman" w:eastAsia="Times New Roman" w:hAnsi="Times New Roman" w:cs="Times New Roman"/>
                <w:sz w:val="20"/>
              </w:rPr>
              <w:t>11. Një Llogari e Njësisë Ekonomike Paraekzistuese me balancë ose vlerë që nuk tejkalon pragun e përcaktuar në aktin nënligjor të nxjerrë në zbatim të këtij ligji nuk është e detyruar t’i nënshtrohet shqyrtimit, identifikimit ose raportimit deri në momentin kur balanca ose vlera e saj tejkalon këtë prag, përveçse kur institucioni financiar raportues zgjedh të zbatojë procedurat e vigjilencës së duhur edhe për këto llogari.</w:t>
            </w:r>
          </w:p>
          <w:p w14:paraId="6153D6B9" w14:textId="77777777" w:rsidR="00FA0CFF" w:rsidRPr="004E6A4A" w:rsidRDefault="00144445">
            <w:pPr>
              <w:jc w:val="both"/>
            </w:pPr>
            <w:r w:rsidRPr="004E6A4A">
              <w:rPr>
                <w:rFonts w:ascii="Times New Roman" w:eastAsia="Times New Roman" w:hAnsi="Times New Roman" w:cs="Times New Roman"/>
                <w:sz w:val="20"/>
              </w:rPr>
              <w:t>12. Pragjet monetare, datat e referencës, afatet e shqyrtimit dhe procedurat e hollësishme për Llogaritë e Njësive Ekonomike Paraekzistuese përcaktohen me akt nënligjor në zbatim të këtij ligji.</w:t>
            </w:r>
          </w:p>
        </w:tc>
        <w:tc>
          <w:tcPr>
            <w:tcW w:w="1620" w:type="dxa"/>
          </w:tcPr>
          <w:p w14:paraId="03F3370D" w14:textId="77777777" w:rsidR="003A0A4C" w:rsidRPr="004E6A4A" w:rsidRDefault="003A0A4C" w:rsidP="00C4419F">
            <w:pPr>
              <w:jc w:val="center"/>
              <w:rPr>
                <w:rFonts w:ascii="Times New Roman" w:eastAsia="Calibri" w:hAnsi="Times New Roman" w:cs="Times New Roman"/>
                <w:sz w:val="18"/>
                <w:szCs w:val="18"/>
              </w:rPr>
            </w:pPr>
          </w:p>
          <w:p w14:paraId="73F33EC0" w14:textId="3A5903CA" w:rsidR="006D0605" w:rsidRPr="004E6A4A" w:rsidRDefault="003A0A4C"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686170F7"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Përputhet.</w:t>
            </w:r>
          </w:p>
          <w:p w14:paraId="7D3793EF"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Transpozohet nga neni 8, pika 3, i VKM-së dhe nga neni 10 i projektligjit.</w:t>
            </w:r>
          </w:p>
        </w:tc>
      </w:tr>
      <w:tr w:rsidR="004E6A4A" w:rsidRPr="004E6A4A" w14:paraId="39248AAE" w14:textId="77777777" w:rsidTr="00153084">
        <w:trPr>
          <w:trHeight w:val="764"/>
        </w:trPr>
        <w:tc>
          <w:tcPr>
            <w:tcW w:w="630" w:type="dxa"/>
          </w:tcPr>
          <w:p w14:paraId="3A78EB2B" w14:textId="77777777" w:rsidR="006D0605" w:rsidRPr="004E6A4A" w:rsidRDefault="006D0605" w:rsidP="00C4419F">
            <w:pPr>
              <w:jc w:val="center"/>
              <w:rPr>
                <w:rFonts w:ascii="Times New Roman" w:eastAsia="Calibri" w:hAnsi="Times New Roman" w:cs="Times New Roman"/>
                <w:i/>
                <w:sz w:val="18"/>
                <w:szCs w:val="18"/>
              </w:rPr>
            </w:pPr>
          </w:p>
        </w:tc>
        <w:tc>
          <w:tcPr>
            <w:tcW w:w="4230" w:type="dxa"/>
          </w:tcPr>
          <w:p w14:paraId="583340B8" w14:textId="77777777" w:rsidR="008C56DE" w:rsidRPr="004E6A4A" w:rsidRDefault="00144445">
            <w:pPr>
              <w:rPr>
                <w:rFonts w:ascii="Times New Roman" w:eastAsia="Times New Roman" w:hAnsi="Times New Roman" w:cs="Times New Roman"/>
                <w:b/>
                <w:bCs/>
                <w:sz w:val="20"/>
                <w:szCs w:val="20"/>
              </w:rPr>
            </w:pPr>
            <w:r w:rsidRPr="004E6A4A">
              <w:rPr>
                <w:rFonts w:ascii="Times New Roman" w:eastAsia="Times New Roman" w:hAnsi="Times New Roman" w:cs="Times New Roman"/>
                <w:b/>
                <w:bCs/>
                <w:sz w:val="20"/>
                <w:szCs w:val="20"/>
              </w:rPr>
              <w:t>Aneksi I,  Seksioni V,  Paragrafi E</w:t>
            </w:r>
          </w:p>
          <w:p w14:paraId="4146A74A"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E.</w:t>
            </w:r>
            <w:r w:rsidRPr="004E6A4A">
              <w:rPr>
                <w:rFonts w:ascii="Times New Roman" w:eastAsia="Times New Roman" w:hAnsi="Times New Roman" w:cs="Times New Roman"/>
                <w:sz w:val="20"/>
                <w:szCs w:val="20"/>
              </w:rPr>
              <w:tab/>
              <w:t>Afati i rishikimit dhe procedurat shtesë që zbatohen për Llogaritë Paraekzistuese të Njësive Ekonomike</w:t>
            </w:r>
          </w:p>
          <w:p w14:paraId="4E8C908F"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1.</w:t>
            </w:r>
            <w:r w:rsidRPr="004E6A4A">
              <w:rPr>
                <w:rFonts w:ascii="Times New Roman" w:eastAsia="Times New Roman" w:hAnsi="Times New Roman" w:cs="Times New Roman"/>
                <w:sz w:val="20"/>
                <w:szCs w:val="20"/>
              </w:rPr>
              <w:tab/>
              <w:t>Rishikimi i Llogarive Paraekzistuese të Njësive Ekonomike me gjendje ose vlerë të totalizuar të llogarisë që e tejkalon, më 31 dhjetor 2015, një shumë të shprehur në monedhën vendase të çdo shteti anëtar që u korrespondon 250 000 USD, duhet të përfundojë deri më 31 dhjetor 2017.</w:t>
            </w:r>
          </w:p>
          <w:p w14:paraId="01928D27"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2.</w:t>
            </w:r>
            <w:r w:rsidRPr="004E6A4A">
              <w:rPr>
                <w:rFonts w:ascii="Times New Roman" w:eastAsia="Times New Roman" w:hAnsi="Times New Roman" w:cs="Times New Roman"/>
                <w:sz w:val="20"/>
                <w:szCs w:val="20"/>
              </w:rPr>
              <w:tab/>
              <w:t xml:space="preserve">Rishikimi i Llogarive Paraekzistuese të Njësive Ekonomike me gjendje ose vlerë të </w:t>
            </w:r>
            <w:r w:rsidRPr="004E6A4A">
              <w:rPr>
                <w:rFonts w:ascii="Times New Roman" w:eastAsia="Times New Roman" w:hAnsi="Times New Roman" w:cs="Times New Roman"/>
                <w:sz w:val="20"/>
                <w:szCs w:val="20"/>
              </w:rPr>
              <w:lastRenderedPageBreak/>
              <w:t>totalizuar të llogarisë që nuk e tejkalon, më 31 dhjetor 2015, një shumë të shprehur në monedhën vendase të çdo shteti anëtar që u korrespondon 250 000 USD, por që e tejkalon këtë shumë më 31 dhjetor të një viti pasardhës, duhet të përfundojë brenda vitit kalendarik pas vitit në të cilin gjendja ose vlera e totalizuar e llogarisë e tejkalon këtë shumë.</w:t>
            </w:r>
          </w:p>
          <w:p w14:paraId="6E3DC46B"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3.</w:t>
            </w:r>
            <w:r w:rsidRPr="004E6A4A">
              <w:rPr>
                <w:rFonts w:ascii="Times New Roman" w:eastAsia="Times New Roman" w:hAnsi="Times New Roman" w:cs="Times New Roman"/>
                <w:sz w:val="20"/>
                <w:szCs w:val="20"/>
              </w:rPr>
              <w:tab/>
              <w:t>Nëse ka një ndryshim në rrethana në lidhje me një Llogari Paraekzistuese të Njësisë Ekonomike që bën që Institucioni Financiar Raportues të dijë, ose të ketë arsye të dijë, se vetëdeklarimi ose dokumentacioni tjetër që lidhet me një llogari është i pasaktë ose jo i besueshëm, Institucioni Financiar Raportues duhet të ripërcaktojë statusin e llogarisë në përputhje me procedurat e përcaktuara në paragrafin D.</w:t>
            </w:r>
          </w:p>
        </w:tc>
        <w:tc>
          <w:tcPr>
            <w:tcW w:w="1350" w:type="dxa"/>
          </w:tcPr>
          <w:p w14:paraId="5178C520" w14:textId="77777777" w:rsidR="006D0605" w:rsidRPr="004E6A4A" w:rsidRDefault="006D0605" w:rsidP="00C4419F">
            <w:pPr>
              <w:jc w:val="center"/>
              <w:rPr>
                <w:rFonts w:ascii="Times New Roman" w:eastAsia="Calibri" w:hAnsi="Times New Roman" w:cs="Times New Roman"/>
                <w:sz w:val="18"/>
                <w:szCs w:val="18"/>
              </w:rPr>
            </w:pPr>
          </w:p>
        </w:tc>
        <w:tc>
          <w:tcPr>
            <w:tcW w:w="810" w:type="dxa"/>
          </w:tcPr>
          <w:p w14:paraId="212F3BB6" w14:textId="0572C019" w:rsidR="006D0605" w:rsidRPr="004E6A4A" w:rsidRDefault="006D0605" w:rsidP="00C4419F">
            <w:pPr>
              <w:jc w:val="center"/>
              <w:rPr>
                <w:rFonts w:ascii="Times New Roman" w:eastAsia="Times New Roman" w:hAnsi="Times New Roman" w:cs="Times New Roman"/>
                <w:sz w:val="20"/>
                <w:szCs w:val="21"/>
                <w:lang w:eastAsia="sq-AL"/>
              </w:rPr>
            </w:pPr>
          </w:p>
        </w:tc>
        <w:tc>
          <w:tcPr>
            <w:tcW w:w="4590" w:type="dxa"/>
          </w:tcPr>
          <w:p w14:paraId="52A52000" w14:textId="77777777" w:rsidR="00FA0CFF" w:rsidRPr="004E6A4A" w:rsidRDefault="00144445">
            <w:pPr>
              <w:jc w:val="center"/>
            </w:pPr>
            <w:r w:rsidRPr="004E6A4A">
              <w:rPr>
                <w:rFonts w:ascii="Times New Roman" w:eastAsia="Times New Roman" w:hAnsi="Times New Roman" w:cs="Times New Roman"/>
                <w:b/>
                <w:sz w:val="20"/>
              </w:rPr>
              <w:t>VKM: Neni 8</w:t>
            </w:r>
          </w:p>
          <w:p w14:paraId="23C9915E" w14:textId="77777777" w:rsidR="00FA0CFF" w:rsidRPr="004E6A4A" w:rsidRDefault="00144445">
            <w:pPr>
              <w:jc w:val="center"/>
            </w:pPr>
            <w:r w:rsidRPr="004E6A4A">
              <w:rPr>
                <w:rFonts w:ascii="Times New Roman" w:eastAsia="Times New Roman" w:hAnsi="Times New Roman" w:cs="Times New Roman"/>
                <w:b/>
                <w:sz w:val="20"/>
              </w:rPr>
              <w:t>Vigjilenca e duhur për llogaritë paraekzistuese të njësive ekonomike</w:t>
            </w:r>
          </w:p>
          <w:p w14:paraId="06DA962C" w14:textId="77777777" w:rsidR="00FA0CFF" w:rsidRPr="004E6A4A" w:rsidRDefault="00144445">
            <w:pPr>
              <w:jc w:val="both"/>
            </w:pPr>
            <w:r w:rsidRPr="004E6A4A">
              <w:rPr>
                <w:rFonts w:ascii="Times New Roman" w:eastAsia="Times New Roman" w:hAnsi="Times New Roman" w:cs="Times New Roman"/>
                <w:sz w:val="20"/>
              </w:rPr>
              <w:t>Procedurat e mëposhtme zbatohen për identifikimin e Llogarive të Raportueshme ndër Llogaritë Paraekzistuese të Njësive Ekonomike.</w:t>
            </w:r>
          </w:p>
          <w:p w14:paraId="0ABFD35B" w14:textId="77777777" w:rsidR="00FA0CFF" w:rsidRPr="004E6A4A" w:rsidRDefault="00144445">
            <w:pPr>
              <w:jc w:val="both"/>
            </w:pPr>
            <w:r w:rsidRPr="004E6A4A">
              <w:rPr>
                <w:rFonts w:ascii="Times New Roman" w:eastAsia="Times New Roman" w:hAnsi="Times New Roman" w:cs="Times New Roman"/>
                <w:sz w:val="20"/>
              </w:rPr>
              <w:t>4. Afati i rishikimit dhe procedurat shtesë që zbatohen për llogaritë paraekzistuese të njësive ekonomike.</w:t>
            </w:r>
          </w:p>
          <w:p w14:paraId="7C1BF477" w14:textId="77777777" w:rsidR="00FA0CFF" w:rsidRPr="004E6A4A" w:rsidRDefault="00144445">
            <w:pPr>
              <w:jc w:val="both"/>
            </w:pPr>
            <w:r w:rsidRPr="004E6A4A">
              <w:rPr>
                <w:rFonts w:ascii="Times New Roman" w:eastAsia="Times New Roman" w:hAnsi="Times New Roman" w:cs="Times New Roman"/>
                <w:sz w:val="20"/>
              </w:rPr>
              <w:t xml:space="preserve">a) Procedurat e rishikimit të Llogarive Paraekzistuese të Njësive Ekonomike të përfunduara sipas regjimit të mëparshëm nuk rifillojnë vetëm për shkak të hyrjes në zbatim të këtij vendimi. Për profilin e Bashkimit </w:t>
            </w:r>
            <w:r w:rsidRPr="004E6A4A">
              <w:rPr>
                <w:rFonts w:ascii="Times New Roman" w:eastAsia="Times New Roman" w:hAnsi="Times New Roman" w:cs="Times New Roman"/>
                <w:sz w:val="20"/>
              </w:rPr>
              <w:lastRenderedPageBreak/>
              <w:t>Evropian kryhen vetëm procedurat shtesë që janë të nevojshme për përputhjen me Aneksin I të Direktivës 2011/16/BE, të ndryshuar, brenda afatit të nenit 14, pika 3.</w:t>
            </w:r>
          </w:p>
          <w:p w14:paraId="577E7217" w14:textId="77777777" w:rsidR="00FA0CFF" w:rsidRPr="004E6A4A" w:rsidRDefault="00144445">
            <w:pPr>
              <w:jc w:val="both"/>
            </w:pPr>
            <w:r w:rsidRPr="004E6A4A">
              <w:rPr>
                <w:rFonts w:ascii="Times New Roman" w:eastAsia="Times New Roman" w:hAnsi="Times New Roman" w:cs="Times New Roman"/>
                <w:sz w:val="20"/>
              </w:rPr>
              <w:t>b) Kur një Llogari Paraekzistuese e Njësisë Ekonomike nuk tejkalon 250 000 USD në datën e referencës që zbatohet për profilin përkatës, por e tejkalon këtë prag në fund të një viti kalendarik pasues, rishikimi i saj përfundon brenda vitit kalendarik që pason vitin në të cilin gjendja ose vlera e agreguar e llogarisë e tejkalon këtë shumë.</w:t>
            </w:r>
          </w:p>
          <w:p w14:paraId="28EBB5BF" w14:textId="77777777" w:rsidR="00FA0CFF" w:rsidRPr="004E6A4A" w:rsidRDefault="00144445">
            <w:pPr>
              <w:jc w:val="both"/>
            </w:pPr>
            <w:r w:rsidRPr="004E6A4A">
              <w:rPr>
                <w:rFonts w:ascii="Times New Roman" w:eastAsia="Times New Roman" w:hAnsi="Times New Roman" w:cs="Times New Roman"/>
                <w:sz w:val="20"/>
              </w:rPr>
              <w:t>c) Nëse ka një ndryshim të rrethanave në lidhje me një llogari paraekzistuese të njësisë ekonomike, për të cilën institucioni financiar raportues ka dijeni ose në bazë të rrethanave duhej të kishte dijeni se vetëdeklarimi ose dokumentacioni mbështetës është i pasaktë ose jo i besueshëm, institucioni financiar raportues duhet të ripërcaktojë statusin e llogarisë, në përputhje me procedurat e përcaktuara në pikën 3, të këtij neni.</w:t>
            </w:r>
          </w:p>
        </w:tc>
        <w:tc>
          <w:tcPr>
            <w:tcW w:w="1620" w:type="dxa"/>
          </w:tcPr>
          <w:p w14:paraId="6D8C44F1" w14:textId="77777777" w:rsidR="003A0A4C" w:rsidRPr="004E6A4A" w:rsidRDefault="003A0A4C" w:rsidP="00C4419F">
            <w:pPr>
              <w:jc w:val="center"/>
              <w:rPr>
                <w:rFonts w:ascii="Times New Roman" w:eastAsia="Calibri" w:hAnsi="Times New Roman" w:cs="Times New Roman"/>
                <w:sz w:val="18"/>
                <w:szCs w:val="18"/>
              </w:rPr>
            </w:pPr>
          </w:p>
          <w:p w14:paraId="5C261FA7" w14:textId="4D5FC16D" w:rsidR="006D0605" w:rsidRPr="004E6A4A" w:rsidRDefault="003A0A4C"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75A82E9C"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Përputhet.</w:t>
            </w:r>
          </w:p>
          <w:p w14:paraId="501108C9"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Transpozohet nga neni 8, pika 4, i VKM-së.</w:t>
            </w:r>
          </w:p>
        </w:tc>
      </w:tr>
      <w:tr w:rsidR="004E6A4A" w:rsidRPr="004E6A4A" w14:paraId="1CC8EC10" w14:textId="77777777" w:rsidTr="00153084">
        <w:trPr>
          <w:trHeight w:val="764"/>
        </w:trPr>
        <w:tc>
          <w:tcPr>
            <w:tcW w:w="630" w:type="dxa"/>
          </w:tcPr>
          <w:p w14:paraId="49E910A0" w14:textId="77777777" w:rsidR="006D0605" w:rsidRPr="004E6A4A" w:rsidRDefault="006D0605" w:rsidP="00C4419F">
            <w:pPr>
              <w:jc w:val="center"/>
              <w:rPr>
                <w:rFonts w:ascii="Times New Roman" w:eastAsia="Calibri" w:hAnsi="Times New Roman" w:cs="Times New Roman"/>
                <w:i/>
                <w:sz w:val="18"/>
                <w:szCs w:val="18"/>
              </w:rPr>
            </w:pPr>
          </w:p>
        </w:tc>
        <w:tc>
          <w:tcPr>
            <w:tcW w:w="4230" w:type="dxa"/>
          </w:tcPr>
          <w:p w14:paraId="388AF970" w14:textId="77777777" w:rsidR="008C56DE" w:rsidRPr="004E6A4A" w:rsidRDefault="00144445">
            <w:pPr>
              <w:rPr>
                <w:rFonts w:ascii="Times New Roman" w:eastAsia="Times New Roman" w:hAnsi="Times New Roman" w:cs="Times New Roman"/>
                <w:b/>
                <w:bCs/>
                <w:sz w:val="20"/>
                <w:szCs w:val="20"/>
              </w:rPr>
            </w:pPr>
            <w:r w:rsidRPr="004E6A4A">
              <w:rPr>
                <w:rFonts w:ascii="Times New Roman" w:eastAsia="Times New Roman" w:hAnsi="Times New Roman" w:cs="Times New Roman"/>
                <w:b/>
                <w:bCs/>
                <w:sz w:val="20"/>
                <w:szCs w:val="20"/>
              </w:rPr>
              <w:t>Aneksi I,  Seksioni VI</w:t>
            </w:r>
          </w:p>
          <w:p w14:paraId="468FFF2D"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Procedurat e mëposhtme zbatohen për qëllime të identifikimit të Llogarive të Raportueshme ndër Llogaritë e Reja të Njësive Ekonomike.</w:t>
            </w:r>
          </w:p>
          <w:p w14:paraId="1D3D31C0"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Procedurat e rishikimit për identifikimin e llogarive të njësive ekonomike për të cilat kërkohet raportimi. Për Llogaritë e Reja të Njësive Ekonomike, një Institucion Financiar Raportues duhet të zbatojë procedurat e mëposhtme të rishikimit për të përcaktuar nëse llogaria mbahet nga një ose më shumë Persona të Raportueshëm, ose nga NFE pasive me një ose më shumë Persona Kontrollues që janë Persona të Raportueshëm:</w:t>
            </w:r>
          </w:p>
          <w:p w14:paraId="4FAA4267"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1.</w:t>
            </w:r>
            <w:r w:rsidRPr="004E6A4A">
              <w:rPr>
                <w:rFonts w:ascii="Times New Roman" w:eastAsia="Times New Roman" w:hAnsi="Times New Roman" w:cs="Times New Roman"/>
                <w:sz w:val="20"/>
                <w:szCs w:val="20"/>
              </w:rPr>
              <w:tab/>
              <w:t>Përcaktimi nëse Njësia Ekonomike është Person i Raportueshëm.</w:t>
            </w:r>
          </w:p>
          <w:p w14:paraId="51C25756"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(a)</w:t>
            </w:r>
            <w:r w:rsidRPr="004E6A4A">
              <w:rPr>
                <w:rFonts w:ascii="Times New Roman" w:eastAsia="Times New Roman" w:hAnsi="Times New Roman" w:cs="Times New Roman"/>
                <w:sz w:val="20"/>
                <w:szCs w:val="20"/>
              </w:rPr>
              <w:tab/>
              <w:t xml:space="preserve">Marrja e një vetëdeklarimi, i cili mund të jetë pjesë e dokumentacionit të hapjes së llogarisë, që i mundëson Institucionit Financiar Raportues të </w:t>
            </w:r>
            <w:r w:rsidRPr="004E6A4A">
              <w:rPr>
                <w:rFonts w:ascii="Times New Roman" w:eastAsia="Times New Roman" w:hAnsi="Times New Roman" w:cs="Times New Roman"/>
                <w:sz w:val="20"/>
                <w:szCs w:val="20"/>
              </w:rPr>
              <w:lastRenderedPageBreak/>
              <w:t>përcaktojë rezidencën ose rezidencat për qëllime tatimore të Mbajtësit të Llogarisë dhe konfirmimi i arsyeshmërisë së këtij vetëdeklarimi bazuar në informacionin e marrë nga Institucioni Financiar Raportues në lidhje me hapjen e llogarisë, përfshirë çdo dokumentacion të mbledhur në zbatim të Procedurave për PPP/NJKT. Nëse Njësia Ekonomike deklaron se nuk ka rezidencë për qëllime tatimore, Institucioni Financiar Raportues mund të mbështetet në adresën e selisë kryesore të Njësisë Ekonomike për të përcaktuar rezidencën e Mbajtësit të Llogarisë.</w:t>
            </w:r>
          </w:p>
          <w:p w14:paraId="279D69FE"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(b)</w:t>
            </w:r>
            <w:r w:rsidRPr="004E6A4A">
              <w:rPr>
                <w:rFonts w:ascii="Times New Roman" w:eastAsia="Times New Roman" w:hAnsi="Times New Roman" w:cs="Times New Roman"/>
                <w:sz w:val="20"/>
                <w:szCs w:val="20"/>
              </w:rPr>
              <w:tab/>
              <w:t>Nëse vetëdeklarimi tregon se Mbajtësi i Llogarisë është rezident në një shtet anëtar, Institucioni Financiar Raportues duhet ta trajtojë llogarinë si Llogari të Raportueshme, përveçse kur përcakton në mënyrë të arsyeshme, bazuar në informacionin që disponon ose që është publikisht i disponueshëm, se Mbajtësi i Llogarisë nuk është Person i Raportueshëm në lidhje me këtë shtet anëtar.</w:t>
            </w:r>
          </w:p>
          <w:p w14:paraId="5CF7F064"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2.</w:t>
            </w:r>
            <w:r w:rsidRPr="004E6A4A">
              <w:rPr>
                <w:rFonts w:ascii="Times New Roman" w:eastAsia="Times New Roman" w:hAnsi="Times New Roman" w:cs="Times New Roman"/>
                <w:sz w:val="20"/>
                <w:szCs w:val="20"/>
              </w:rPr>
              <w:tab/>
              <w:t xml:space="preserve">Përcaktimi nëse Njësia Ekonomike është NFE pasive me një ose më shumë Persona Kontrollues që janë Persona të Raportueshëm. Në lidhje me një Mbajtës Llogarie të një Llogarie të Re të Njësisë Ekonomike (përfshirë një Njësi Ekonomike që është Person i Raportueshëm), Institucioni Financiar Raportues duhet të përcaktojë nëse Mbajtësi i Llogarisë është NFE pasive me një ose më shumë Persona Kontrollues që janë Persona të Raportueshëm. Nëse ndonjë nga Personat Kontrollues të një NFE pasive është Person i Raportueshëm, atëherë llogaria duhet të trajtohet si Llogari e Raportueshme. Për këto përcaktime, Institucioni Financiar Raportues duhet të ndjekë udhëzimet e nënparagrafëve A(2)(a) deri </w:t>
            </w:r>
            <w:r w:rsidRPr="004E6A4A">
              <w:rPr>
                <w:rFonts w:ascii="Times New Roman" w:eastAsia="Times New Roman" w:hAnsi="Times New Roman" w:cs="Times New Roman"/>
                <w:sz w:val="20"/>
                <w:szCs w:val="20"/>
              </w:rPr>
              <w:lastRenderedPageBreak/>
              <w:t>në (c), sipas radhës më të përshtatshme për rrethanat.</w:t>
            </w:r>
          </w:p>
          <w:p w14:paraId="2ECE123B"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 xml:space="preserve"> (a)</w:t>
            </w:r>
            <w:r w:rsidRPr="004E6A4A">
              <w:rPr>
                <w:rFonts w:ascii="Times New Roman" w:eastAsia="Times New Roman" w:hAnsi="Times New Roman" w:cs="Times New Roman"/>
                <w:sz w:val="20"/>
                <w:szCs w:val="20"/>
              </w:rPr>
              <w:tab/>
              <w:t>Përcaktimi nëse Mbajtësi i Llogarisë është NFE pasive. Për qëllime të përcaktimit nëse Mbajtësi i Llogarisë është NFE pasive, Institucioni Financiar Raportues duhet të mbështetet në një vetëdeklarim nga Mbajtësi i Llogarisë për të përcaktuar statusin e tij, përveçse kur disponon informacion, ose ka informacion publikisht të disponueshëm, në bazë të të cilit mund të përcaktojë në mënyrë të arsyeshme se Mbajtësi i Llogarisë është NFE aktive ose Institucion Financiar i ndryshëm nga një Njësi Ekonomike Investimi e përshkruar në nënparagrafin A(6)(b) të Seksionit VIII që nuk është Institucion Financiar i Juridiksionit Pjesëmarrës.</w:t>
            </w:r>
          </w:p>
          <w:p w14:paraId="329E3C79"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(b)</w:t>
            </w:r>
            <w:r w:rsidRPr="004E6A4A">
              <w:rPr>
                <w:rFonts w:ascii="Times New Roman" w:eastAsia="Times New Roman" w:hAnsi="Times New Roman" w:cs="Times New Roman"/>
                <w:sz w:val="20"/>
                <w:szCs w:val="20"/>
              </w:rPr>
              <w:tab/>
              <w:t>Përcaktimi i Personave Kontrollues të një Mbajtësi Llogarie. Për qëllime të përcaktimit të Personave Kontrollues të një Mbajtësi Llogarie, një Institucion Financiar Raportues mund të mbështetet në informacionin e mbledhur dhe të mbajtur në zbatim të Procedurave për PPP/NJKT, me kusht që këto procedura të jenë në përputhje me Direktivën (BE) 2015/849. Nëse Institucioni Financiar Raportues nuk është i detyruar ligjërisht të zbatojë Procedura për PPP/NJKT që janë në përputhje me Direktivën (BE) 2015/849, ai zbaton procedura thelbësisht të ngjashme për qëllime të përcaktimit të Personave Kontrollues.</w:t>
            </w:r>
          </w:p>
          <w:p w14:paraId="7B82BC07"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w:t>
            </w:r>
            <w:r w:rsidRPr="004E6A4A">
              <w:rPr>
                <w:rFonts w:ascii="Times New Roman" w:eastAsia="Times New Roman" w:hAnsi="Times New Roman" w:cs="Times New Roman"/>
                <w:sz w:val="20"/>
                <w:szCs w:val="20"/>
              </w:rPr>
              <w:tab/>
              <w:t>Përcaktimi nëse një Person Kontrollues i një NFE pasive është Person i Raportueshëm. Për qëllime të përcaktimit nëse një person kontrollues i një NFE pasive është Person i Raportueshëm, një Institucion Financiar Raportues mund të mbështetet në një vetëdeklarim nga Mbajtësi i Llogarisë ose nga ky Person Kontrollues.</w:t>
            </w:r>
          </w:p>
        </w:tc>
        <w:tc>
          <w:tcPr>
            <w:tcW w:w="1350" w:type="dxa"/>
          </w:tcPr>
          <w:p w14:paraId="7567A6C8" w14:textId="77777777" w:rsidR="006D0605" w:rsidRPr="004E6A4A" w:rsidRDefault="006D0605" w:rsidP="00C4419F">
            <w:pPr>
              <w:jc w:val="center"/>
              <w:rPr>
                <w:rFonts w:ascii="Times New Roman" w:eastAsia="Calibri" w:hAnsi="Times New Roman" w:cs="Times New Roman"/>
                <w:sz w:val="18"/>
                <w:szCs w:val="18"/>
              </w:rPr>
            </w:pPr>
          </w:p>
        </w:tc>
        <w:tc>
          <w:tcPr>
            <w:tcW w:w="810" w:type="dxa"/>
          </w:tcPr>
          <w:p w14:paraId="2476431D" w14:textId="1E4038DB" w:rsidR="006D0605" w:rsidRPr="004E6A4A" w:rsidRDefault="006D0605" w:rsidP="00C4419F">
            <w:pPr>
              <w:jc w:val="center"/>
              <w:rPr>
                <w:rFonts w:ascii="Times New Roman" w:eastAsia="Times New Roman" w:hAnsi="Times New Roman" w:cs="Times New Roman"/>
                <w:sz w:val="20"/>
                <w:szCs w:val="21"/>
                <w:lang w:eastAsia="sq-AL"/>
              </w:rPr>
            </w:pPr>
          </w:p>
        </w:tc>
        <w:tc>
          <w:tcPr>
            <w:tcW w:w="4590" w:type="dxa"/>
          </w:tcPr>
          <w:p w14:paraId="61746315" w14:textId="77777777" w:rsidR="00FA0CFF" w:rsidRPr="004E6A4A" w:rsidRDefault="00144445">
            <w:pPr>
              <w:jc w:val="center"/>
            </w:pPr>
            <w:r w:rsidRPr="004E6A4A">
              <w:rPr>
                <w:rFonts w:ascii="Times New Roman" w:eastAsia="Times New Roman" w:hAnsi="Times New Roman" w:cs="Times New Roman"/>
                <w:b/>
                <w:sz w:val="20"/>
              </w:rPr>
              <w:t>Ligji: Neni 11</w:t>
            </w:r>
          </w:p>
          <w:p w14:paraId="490A1749" w14:textId="77777777" w:rsidR="00FA0CFF" w:rsidRPr="004E6A4A" w:rsidRDefault="00144445">
            <w:pPr>
              <w:jc w:val="center"/>
            </w:pPr>
            <w:r w:rsidRPr="004E6A4A">
              <w:rPr>
                <w:rFonts w:ascii="Times New Roman" w:eastAsia="Times New Roman" w:hAnsi="Times New Roman" w:cs="Times New Roman"/>
                <w:b/>
                <w:sz w:val="20"/>
              </w:rPr>
              <w:t>Vigjilenca e duhur për Llogaritë e Reja të Njësive Ekonomike</w:t>
            </w:r>
          </w:p>
          <w:p w14:paraId="232C329F" w14:textId="77777777" w:rsidR="00FA0CFF" w:rsidRPr="004E6A4A" w:rsidRDefault="00144445">
            <w:pPr>
              <w:jc w:val="both"/>
            </w:pPr>
            <w:r w:rsidRPr="004E6A4A">
              <w:rPr>
                <w:rFonts w:ascii="Times New Roman" w:eastAsia="Times New Roman" w:hAnsi="Times New Roman" w:cs="Times New Roman"/>
                <w:sz w:val="20"/>
              </w:rPr>
              <w:t>1. Me rastin e hapjes së një Llogarie të Re të Njësisë Ekonomike, institucioni financiar raportues merr një vetëdeklarim të vlefshëm që i mundëson përcaktimin e rezidencës ose rezidencave të njësisë ekonomike për qëllime tatimore dhe konfirmon arsyeshmërinë e këtij vetëdeklarimi në bazë të informacionit të marrë në lidhje me hapjen e llogarisë, përfshirë dokumentacionin e mbledhur në përputhje me procedurat për parandalimin e pastrimit të parave dhe financimin e terrorizmit.</w:t>
            </w:r>
          </w:p>
          <w:p w14:paraId="719ED533" w14:textId="77777777" w:rsidR="00FA0CFF" w:rsidRPr="004E6A4A" w:rsidRDefault="00144445">
            <w:pPr>
              <w:jc w:val="both"/>
            </w:pPr>
            <w:r w:rsidRPr="004E6A4A">
              <w:rPr>
                <w:rFonts w:ascii="Times New Roman" w:eastAsia="Times New Roman" w:hAnsi="Times New Roman" w:cs="Times New Roman"/>
                <w:sz w:val="20"/>
              </w:rPr>
              <w:t>2. Nëse njësia ekonomike deklaron se nuk ka rezidencë për qëllime tatimore, institucioni financiar raportues mund të mbështetet në adresën e selisë kryesore të njësisë ekonomike për përcaktimin e rezidencës së mbajtësit të llogarisë.</w:t>
            </w:r>
          </w:p>
          <w:p w14:paraId="756604C1" w14:textId="77777777" w:rsidR="00FA0CFF" w:rsidRPr="004E6A4A" w:rsidRDefault="00144445">
            <w:pPr>
              <w:jc w:val="both"/>
            </w:pPr>
            <w:r w:rsidRPr="004E6A4A">
              <w:rPr>
                <w:rFonts w:ascii="Times New Roman" w:eastAsia="Times New Roman" w:hAnsi="Times New Roman" w:cs="Times New Roman"/>
                <w:sz w:val="20"/>
              </w:rPr>
              <w:lastRenderedPageBreak/>
              <w:t>3. Nëse vetëdeklarimi tregon se mbajtësi i llogarisë është rezident në një juridiksion raportues, institucioni financiar raportues e trajton llogarinë si Llogari të Raportueshme, përveçse kur përcakton në mënyrë të arsyeshme, bazuar në informacionin që disponon ose që është publikisht i disponueshëm, se mbajtësi i llogarisë nuk është Person i Raportueshëm në lidhje me atë juridiksion.</w:t>
            </w:r>
          </w:p>
          <w:p w14:paraId="65D14A6F" w14:textId="77777777" w:rsidR="00FA0CFF" w:rsidRPr="004E6A4A" w:rsidRDefault="00144445">
            <w:pPr>
              <w:jc w:val="both"/>
            </w:pPr>
            <w:r w:rsidRPr="004E6A4A">
              <w:rPr>
                <w:rFonts w:ascii="Times New Roman" w:eastAsia="Times New Roman" w:hAnsi="Times New Roman" w:cs="Times New Roman"/>
                <w:sz w:val="20"/>
              </w:rPr>
              <w:t>4. Për të përcaktuar nëse mbajtësi i llogarisë është një NFE pasive, institucioni financiar raportues mbështetet në një vetëdeklarim nga mbajtësi i llogarisë për përcaktimin e statusit të tij, përveçse kur informacioni që disponon ose që është publikisht i disponueshëm i mundëson të përcaktojë në mënyrë të arsyeshme se mbajtësi i llogarisë është një NFE aktive ose një Institucion Financiar, i ndryshëm nga një Njësi Ekonomike Investimi që duhet të trajtohet si NFE pasive sipas këtij ligji.Nëse mbajtësi i llogarisë është Njësi Ekonomike Jofinanciare Pasive, institucioni financiar raportues përcakton Personat Kontrollues të saj dhe rezidencën e tyre për qëllime tatimore.</w:t>
            </w:r>
          </w:p>
          <w:p w14:paraId="29217AF0" w14:textId="77777777" w:rsidR="00FA0CFF" w:rsidRPr="004E6A4A" w:rsidRDefault="00144445">
            <w:pPr>
              <w:jc w:val="both"/>
            </w:pPr>
            <w:r w:rsidRPr="004E6A4A">
              <w:rPr>
                <w:rFonts w:ascii="Times New Roman" w:eastAsia="Times New Roman" w:hAnsi="Times New Roman" w:cs="Times New Roman"/>
                <w:sz w:val="20"/>
              </w:rPr>
              <w:t>5. Për përcaktimin e Personave Kontrollues, institucioni financiar raportues mund të mbështetet në informacionin e mbledhur dhe të mbajtur në përputhje me procedurat për parandalimin e pastrimit të parave dhe financimin e terrorizmit, në përputhje me pikën 7 të nenit 7 të këtij ligji.</w:t>
            </w:r>
          </w:p>
          <w:p w14:paraId="04761146" w14:textId="77777777" w:rsidR="00FA0CFF" w:rsidRPr="004E6A4A" w:rsidRDefault="00144445">
            <w:pPr>
              <w:jc w:val="both"/>
            </w:pPr>
            <w:r w:rsidRPr="004E6A4A">
              <w:rPr>
                <w:rFonts w:ascii="Times New Roman" w:eastAsia="Times New Roman" w:hAnsi="Times New Roman" w:cs="Times New Roman"/>
                <w:sz w:val="20"/>
              </w:rPr>
              <w:t>6. Për përcaktimin nëse një Person Kontrollues i një Njësie Ekonomike Jofinanciare Pasive është Person i Raportueshëm, institucioni financiar raportues mbështetet në një vetëdeklarim nga mbajtësi i llogarisë ose nga Personi Kontrollues.</w:t>
            </w:r>
          </w:p>
          <w:p w14:paraId="408153DE" w14:textId="77777777" w:rsidR="00FA0CFF" w:rsidRPr="004E6A4A" w:rsidRDefault="00144445">
            <w:pPr>
              <w:jc w:val="both"/>
            </w:pPr>
            <w:r w:rsidRPr="004E6A4A">
              <w:rPr>
                <w:rFonts w:ascii="Times New Roman" w:eastAsia="Times New Roman" w:hAnsi="Times New Roman" w:cs="Times New Roman"/>
                <w:sz w:val="20"/>
              </w:rPr>
              <w:t>7. Nëse një ose më shumë Persona Kontrollues të një Njësie Ekonomike Jofinanciare Pasive janë Persona të Raportueshëm, llogaria trajtohet si Llogari e Raportueshme.</w:t>
            </w:r>
          </w:p>
          <w:p w14:paraId="3C7B3049" w14:textId="77777777" w:rsidR="00FA0CFF" w:rsidRPr="004E6A4A" w:rsidRDefault="00144445">
            <w:pPr>
              <w:jc w:val="both"/>
            </w:pPr>
            <w:r w:rsidRPr="004E6A4A">
              <w:rPr>
                <w:rFonts w:ascii="Times New Roman" w:eastAsia="Times New Roman" w:hAnsi="Times New Roman" w:cs="Times New Roman"/>
                <w:sz w:val="20"/>
              </w:rPr>
              <w:lastRenderedPageBreak/>
              <w:t>8. Nëse një ndryshim në rrethana bën që institucioni financiar raportues të dijë ose të ketë arsye të dijë se vetëdeklarimi ose dokumentacioni tjetër është i pasaktë ose jo i besueshëm, ai nuk mund të mbështetet më në dokumentacionin fillestar dhe duhet të ripërcaktojë statusin e llogarisë në përputhje me këtë ligj.</w:t>
            </w:r>
          </w:p>
          <w:p w14:paraId="5CF822AE" w14:textId="77777777" w:rsidR="00FA0CFF" w:rsidRPr="004E6A4A" w:rsidRDefault="00144445">
            <w:pPr>
              <w:jc w:val="both"/>
            </w:pPr>
            <w:r w:rsidRPr="004E6A4A">
              <w:rPr>
                <w:rFonts w:ascii="Times New Roman" w:eastAsia="Times New Roman" w:hAnsi="Times New Roman" w:cs="Times New Roman"/>
                <w:sz w:val="20"/>
              </w:rPr>
              <w:t>9. Vetëdeklarimi i marrë për një Llogari të Re të Njësisë Ekonomike duhet të jetë i vlefshëm dhe të përmbajë informacionin e nevojshëm për përcaktimin e rezidencës tatimore të njësisë ekonomike dhe, sipas rastit, të Personave Kontrollues.</w:t>
            </w:r>
          </w:p>
          <w:p w14:paraId="365755F6" w14:textId="77777777" w:rsidR="00FA0CFF" w:rsidRPr="004E6A4A" w:rsidRDefault="00FA0CFF"/>
          <w:p w14:paraId="4F8995A8" w14:textId="77777777" w:rsidR="00FA0CFF" w:rsidRPr="004E6A4A" w:rsidRDefault="00144445">
            <w:pPr>
              <w:jc w:val="center"/>
            </w:pPr>
            <w:r w:rsidRPr="004E6A4A">
              <w:rPr>
                <w:rFonts w:ascii="Times New Roman" w:eastAsia="Times New Roman" w:hAnsi="Times New Roman" w:cs="Times New Roman"/>
                <w:b/>
                <w:sz w:val="20"/>
              </w:rPr>
              <w:t>VKM: Neni 9</w:t>
            </w:r>
          </w:p>
          <w:p w14:paraId="6C3F3F52" w14:textId="77777777" w:rsidR="00FA0CFF" w:rsidRPr="004E6A4A" w:rsidRDefault="00144445">
            <w:pPr>
              <w:jc w:val="center"/>
            </w:pPr>
            <w:r w:rsidRPr="004E6A4A">
              <w:rPr>
                <w:rFonts w:ascii="Times New Roman" w:eastAsia="Times New Roman" w:hAnsi="Times New Roman" w:cs="Times New Roman"/>
                <w:b/>
                <w:sz w:val="20"/>
              </w:rPr>
              <w:t>Vigjilenca e duhur për llogaritë e reja të njësive ekonomike</w:t>
            </w:r>
          </w:p>
          <w:p w14:paraId="516D1F34" w14:textId="77777777" w:rsidR="00FA0CFF" w:rsidRPr="004E6A4A" w:rsidRDefault="00144445">
            <w:pPr>
              <w:jc w:val="both"/>
            </w:pPr>
            <w:r w:rsidRPr="004E6A4A">
              <w:rPr>
                <w:rFonts w:ascii="Times New Roman" w:eastAsia="Times New Roman" w:hAnsi="Times New Roman" w:cs="Times New Roman"/>
                <w:sz w:val="20"/>
              </w:rPr>
              <w:t>Procedurat e mëposhtme zbatohen për identifikimin e Llogarive të Raportueshme ndër Llogaritë e Reja të Njësive Ekonomike.</w:t>
            </w:r>
          </w:p>
          <w:p w14:paraId="6252F5D0" w14:textId="77777777" w:rsidR="00FA0CFF" w:rsidRPr="004E6A4A" w:rsidRDefault="00144445">
            <w:pPr>
              <w:jc w:val="both"/>
            </w:pPr>
            <w:r w:rsidRPr="004E6A4A">
              <w:rPr>
                <w:rFonts w:ascii="Times New Roman" w:eastAsia="Times New Roman" w:hAnsi="Times New Roman" w:cs="Times New Roman"/>
                <w:sz w:val="20"/>
              </w:rPr>
              <w:t>1. Përcakton rezidencën e njësisë ekonomike, sipas procedurës së mëposhtme:</w:t>
            </w:r>
          </w:p>
          <w:p w14:paraId="23AD2A4B" w14:textId="77777777" w:rsidR="00FA0CFF" w:rsidRPr="004E6A4A" w:rsidRDefault="00144445">
            <w:pPr>
              <w:jc w:val="both"/>
            </w:pPr>
            <w:r w:rsidRPr="004E6A4A">
              <w:rPr>
                <w:rFonts w:ascii="Times New Roman" w:eastAsia="Times New Roman" w:hAnsi="Times New Roman" w:cs="Times New Roman"/>
                <w:sz w:val="20"/>
              </w:rPr>
              <w:t>a) Pa cenuar nenin 10, pika 2, institucioni financiar raportues merr një vetëdeklarim, që mund të jetë pjesë e dokumentacionit të hapjes së llogarisë, për të përcaktuar rezidencën ose rezidencat tatimore të Mbajtësit të Llogarisë dhe konfirmon arsyeshmërinë e tij bazuar në informacionin e marrë gjatë hapjes, përfshirë dokumentacionin PPP/NJKT. Kur njësia ekonomike nuk ka rezidencë për qëllime tatimore, institucioni mund të mbështetet në adresën e selisë kryesore për përcaktimin e rezidencës.</w:t>
            </w:r>
          </w:p>
          <w:p w14:paraId="453C5125" w14:textId="77777777" w:rsidR="00FA0CFF" w:rsidRPr="004E6A4A" w:rsidRDefault="00144445">
            <w:pPr>
              <w:jc w:val="both"/>
            </w:pPr>
            <w:r w:rsidRPr="004E6A4A">
              <w:rPr>
                <w:rFonts w:ascii="Times New Roman" w:eastAsia="Times New Roman" w:hAnsi="Times New Roman" w:cs="Times New Roman"/>
                <w:sz w:val="20"/>
              </w:rPr>
              <w:t xml:space="preserve">b) Nëse vetëdeklarimi tregon se mbajtësi i llogarisë është rezident në një juridiksion të raportueshëm, institucioni financiar raportues duhet ta trajtojë llogarinë si një llogari të raportueshme, përveçse kur përcakton në mënyrë të arsyeshme, bazuar në informacionin që ka ose që është publikisht i disponueshëm, se mbajtësi i llogarisë nuk është një </w:t>
            </w:r>
            <w:r w:rsidRPr="004E6A4A">
              <w:rPr>
                <w:rFonts w:ascii="Times New Roman" w:eastAsia="Times New Roman" w:hAnsi="Times New Roman" w:cs="Times New Roman"/>
                <w:sz w:val="20"/>
              </w:rPr>
              <w:lastRenderedPageBreak/>
              <w:t>person i raportueshëm në lidhje me këtë juridiksion të raportueshëm.</w:t>
            </w:r>
          </w:p>
          <w:p w14:paraId="3601C060" w14:textId="77777777" w:rsidR="00FA0CFF" w:rsidRPr="004E6A4A" w:rsidRDefault="00144445">
            <w:pPr>
              <w:jc w:val="both"/>
            </w:pPr>
            <w:r w:rsidRPr="004E6A4A">
              <w:rPr>
                <w:rFonts w:ascii="Times New Roman" w:eastAsia="Times New Roman" w:hAnsi="Times New Roman" w:cs="Times New Roman"/>
                <w:sz w:val="20"/>
              </w:rPr>
              <w:t>2. Përcakton rezidencën e personave kontrollues të një NFE-je pasive. Në lidhje me mbajtësin e llogarisë së një llogarie të re të një njësie ekonomike (përfshirë një njësi ekonomike që është një person i raportueshëm), institucioni financiar raportues duhet të përcaktojë nëse Mbajtësi i Llogarisë është NFE pasive me një ose më shumë Persona Kontrollues, të përcaktojë rezidencën ose rezidencat tatimore të këtyre Personave Kontrollues dhe të përcaktojë nëse një ose më shumë prej tyre janë Persona të Raportueshëm. Nëse ndonjë prej personave kontrollues të një NFE-je pasive është një person i raportueshëm, atëherë llogaria duhet të trajtohet si një llogari e raportueshme. Kur bën këto përcaktime, institucioni financiar raportues duhet të ndjekë udhëzimet sipas shkronjave “a” deri “c”, të pikës 2, të këtij neni në rendin më të përshtatshëm, sipas rrethanave:</w:t>
            </w:r>
          </w:p>
          <w:p w14:paraId="7C3DE4BC" w14:textId="77777777" w:rsidR="00FA0CFF" w:rsidRPr="004E6A4A" w:rsidRDefault="00144445">
            <w:pPr>
              <w:jc w:val="both"/>
            </w:pPr>
            <w:r w:rsidRPr="004E6A4A">
              <w:rPr>
                <w:rFonts w:ascii="Times New Roman" w:eastAsia="Times New Roman" w:hAnsi="Times New Roman" w:cs="Times New Roman"/>
                <w:sz w:val="20"/>
              </w:rPr>
              <w:t>a) Përcakton nëse mbajtësi i llogarisë është një NFE pasive. Për qëllime të përcaktimit nëse mbajtësi i llogarisë është një NFE pasive, institucioni financiar raportues duhet të mbështetet në një vetëdeklarim nga mbajtësi i llogarisë për të vendosur mbi statusin e tij, përveçse kur ai ka informacione rreth tij ose ka informacion të disponueshëm publikisht, në bazë të të cilit mund të përcaktojë në mënyrë të arsyeshme që mbajtësi i llogarisë është një njësi ekonomike jofinanciare aktive ose një institucion financiar, përveçse një Njësie Ekonomike Investimi të përshkruar në nenin 5, pika 26, shkronja “b”, të ligjit, që nuk është Institucion Financiar i një Juridiksioni Pjesëmarrës.</w:t>
            </w:r>
          </w:p>
          <w:p w14:paraId="6D7CF389" w14:textId="77777777" w:rsidR="00FA0CFF" w:rsidRPr="004E6A4A" w:rsidRDefault="00144445">
            <w:pPr>
              <w:jc w:val="both"/>
            </w:pPr>
            <w:r w:rsidRPr="004E6A4A">
              <w:rPr>
                <w:rFonts w:ascii="Times New Roman" w:eastAsia="Times New Roman" w:hAnsi="Times New Roman" w:cs="Times New Roman"/>
                <w:sz w:val="20"/>
              </w:rPr>
              <w:t xml:space="preserve">b) Për përcaktimin e Personave Kontrollues, institucioni financiar raportues mund të mbështetet në informacionin e mbledhur dhe të mbajtur sipas procedurave PPP/NJKT të zbatueshme sipas nenit 2 të këtij vendimi. Kur institucioni nuk i nënshtrohet </w:t>
            </w:r>
            <w:r w:rsidRPr="004E6A4A">
              <w:rPr>
                <w:rFonts w:ascii="Times New Roman" w:eastAsia="Times New Roman" w:hAnsi="Times New Roman" w:cs="Times New Roman"/>
                <w:sz w:val="20"/>
              </w:rPr>
              <w:lastRenderedPageBreak/>
              <w:t>ligjërisht procedurave të tilla, ai zbaton procedura thelbësisht të ngjashme për qëllimet e këtij vendimi.</w:t>
            </w:r>
          </w:p>
          <w:p w14:paraId="6D97B6B1" w14:textId="77777777" w:rsidR="00FA0CFF" w:rsidRPr="004E6A4A" w:rsidRDefault="00144445">
            <w:pPr>
              <w:jc w:val="both"/>
            </w:pPr>
            <w:r w:rsidRPr="004E6A4A">
              <w:rPr>
                <w:rFonts w:ascii="Times New Roman" w:eastAsia="Times New Roman" w:hAnsi="Times New Roman" w:cs="Times New Roman"/>
                <w:sz w:val="20"/>
              </w:rPr>
              <w:t>c) Përcakton rezidencën e një personi kontrollues të një njësie ekonomike jofinanciare pasive. Për qëllime të përcaktimit të rezidencës së një personi kontrollues të një njësie jofinanciare pasive, një institucion financiar raportues duhet të mbështetet në një vetëdeklarim nga mbajtësi i llogarisë ose i këtij personi kontrollues.</w:t>
            </w:r>
          </w:p>
          <w:p w14:paraId="7048A21A" w14:textId="77777777" w:rsidR="00FA0CFF" w:rsidRPr="004E6A4A" w:rsidRDefault="00144445">
            <w:pPr>
              <w:jc w:val="both"/>
            </w:pPr>
            <w:r w:rsidRPr="004E6A4A">
              <w:rPr>
                <w:rFonts w:ascii="Times New Roman" w:eastAsia="Times New Roman" w:hAnsi="Times New Roman" w:cs="Times New Roman"/>
                <w:sz w:val="20"/>
              </w:rPr>
              <w:t>3. Ndryshimi i rrethanave. Nëse ka një ndryshim të rrethanave në lidhje me një llogari të re të njësisë ekonomike, që bën që institucioni financiar raportues ta dijë ose të ketë arsye të dijë se vetëdeklarimi ose dokumentacioni tjetër që lidhet me një llogari është i pasaktë ose jo i besueshëm, institucioni financiar raportues duhet të ripërcaktojë statusin e llogarisë në përputhje me procedurat e përcaktuara në shkronjën “c”, të pikës 4 të nenit 8 të këtij vendimi.</w:t>
            </w:r>
          </w:p>
        </w:tc>
        <w:tc>
          <w:tcPr>
            <w:tcW w:w="1620" w:type="dxa"/>
          </w:tcPr>
          <w:p w14:paraId="0C28A541" w14:textId="77777777" w:rsidR="003A0A4C" w:rsidRPr="004E6A4A" w:rsidRDefault="003A0A4C" w:rsidP="00C4419F">
            <w:pPr>
              <w:jc w:val="center"/>
              <w:rPr>
                <w:rFonts w:ascii="Times New Roman" w:eastAsia="Calibri" w:hAnsi="Times New Roman" w:cs="Times New Roman"/>
                <w:sz w:val="18"/>
                <w:szCs w:val="18"/>
              </w:rPr>
            </w:pPr>
          </w:p>
          <w:p w14:paraId="6968CCF2" w14:textId="1179E3E6" w:rsidR="006D0605" w:rsidRPr="004E6A4A" w:rsidRDefault="003A0A4C"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2D7FBEC0"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Përputhet.</w:t>
            </w:r>
          </w:p>
          <w:p w14:paraId="18C5969B"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Transpozohet nga neni 11 i projektligjit dhe nga neni 9 i VKM-së.</w:t>
            </w:r>
          </w:p>
        </w:tc>
      </w:tr>
      <w:tr w:rsidR="004E6A4A" w:rsidRPr="004E6A4A" w14:paraId="527A6C85" w14:textId="77777777" w:rsidTr="00153084">
        <w:trPr>
          <w:trHeight w:val="764"/>
        </w:trPr>
        <w:tc>
          <w:tcPr>
            <w:tcW w:w="630" w:type="dxa"/>
          </w:tcPr>
          <w:p w14:paraId="6314E4DF" w14:textId="77777777" w:rsidR="006D0605" w:rsidRPr="004E6A4A" w:rsidRDefault="006D0605" w:rsidP="00C4419F">
            <w:pPr>
              <w:jc w:val="center"/>
              <w:rPr>
                <w:rFonts w:ascii="Times New Roman" w:eastAsia="Calibri" w:hAnsi="Times New Roman" w:cs="Times New Roman"/>
                <w:i/>
                <w:sz w:val="18"/>
                <w:szCs w:val="18"/>
              </w:rPr>
            </w:pPr>
          </w:p>
        </w:tc>
        <w:tc>
          <w:tcPr>
            <w:tcW w:w="4230" w:type="dxa"/>
          </w:tcPr>
          <w:p w14:paraId="6F2F7D64" w14:textId="77777777" w:rsidR="008C56DE" w:rsidRPr="004E6A4A" w:rsidRDefault="00144445">
            <w:pPr>
              <w:rPr>
                <w:rFonts w:ascii="Times New Roman" w:eastAsia="Times New Roman" w:hAnsi="Times New Roman" w:cs="Times New Roman"/>
                <w:b/>
                <w:bCs/>
                <w:sz w:val="20"/>
                <w:szCs w:val="20"/>
              </w:rPr>
            </w:pPr>
            <w:r w:rsidRPr="004E6A4A">
              <w:rPr>
                <w:rFonts w:ascii="Times New Roman" w:eastAsia="Times New Roman" w:hAnsi="Times New Roman" w:cs="Times New Roman"/>
                <w:b/>
                <w:bCs/>
                <w:sz w:val="20"/>
                <w:szCs w:val="20"/>
              </w:rPr>
              <w:t>Aneksi I,  Seksioni VII,  Paragrafi A</w:t>
            </w:r>
          </w:p>
          <w:p w14:paraId="0BEA514E"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SEKSIONI VII</w:t>
            </w:r>
          </w:p>
          <w:p w14:paraId="373DC712"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RREGULLA TË VEÇANTA TË VIGJILENCËS SË DUHUR</w:t>
            </w:r>
          </w:p>
          <w:p w14:paraId="580ADE0C"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Rregullat shtesë të mëposhtme zbatohen gjatë zbatimit të procedurave të vigjilencës së duhur të përshkruara më sipër:</w:t>
            </w:r>
          </w:p>
          <w:p w14:paraId="33F54A67"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A.</w:t>
            </w:r>
            <w:r w:rsidRPr="004E6A4A">
              <w:rPr>
                <w:rFonts w:ascii="Times New Roman" w:eastAsia="Times New Roman" w:hAnsi="Times New Roman" w:cs="Times New Roman"/>
                <w:sz w:val="20"/>
                <w:szCs w:val="20"/>
              </w:rPr>
              <w:tab/>
              <w:t>Mbështetja në vetëdeklarimet dhe në Evidencën Shkresore. Një Institucion Financiar Raportues nuk mund të mbështetet në një vetëdeklarim ose në Evidencë Shkresore nëse Institucioni Financiar Raportues e di ose ka arsye të dijë se vetëdeklarimi ose Evidenca Shkresore është e pasaktë ose jo e besueshme.</w:t>
            </w:r>
          </w:p>
          <w:p w14:paraId="6434154D"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 xml:space="preserve">Aa. Mungesa e përkohshme e vetëdeklarimit. Në rrethana të jashtëzakonshme, kur një vetëdeklarim nuk mund të merret nga një Institucion Financiar Raportues në lidhje me një Llogari të Re në kohë për të përmbushur detyrimet e tij të vigjilencës së duhur dhe të raportimit në lidhje me periudhën </w:t>
            </w:r>
            <w:r w:rsidRPr="004E6A4A">
              <w:rPr>
                <w:rFonts w:ascii="Times New Roman" w:eastAsia="Times New Roman" w:hAnsi="Times New Roman" w:cs="Times New Roman"/>
                <w:sz w:val="20"/>
                <w:szCs w:val="20"/>
              </w:rPr>
              <w:lastRenderedPageBreak/>
              <w:t>raportuese gjatë së cilës është hapur llogaria, Institucioni Financiar Raportues zbaton procedurat e vigjilencës së duhur për Llogaritë Paraekzistuese, derisa ky vetëdeklarim të merret dhe të vërtetohet.</w:t>
            </w:r>
          </w:p>
        </w:tc>
        <w:tc>
          <w:tcPr>
            <w:tcW w:w="1350" w:type="dxa"/>
          </w:tcPr>
          <w:p w14:paraId="3013AF3C" w14:textId="77777777" w:rsidR="006D0605" w:rsidRPr="004E6A4A" w:rsidRDefault="006D0605" w:rsidP="00C4419F">
            <w:pPr>
              <w:jc w:val="center"/>
              <w:rPr>
                <w:rFonts w:ascii="Times New Roman" w:eastAsia="Calibri" w:hAnsi="Times New Roman" w:cs="Times New Roman"/>
                <w:sz w:val="18"/>
                <w:szCs w:val="18"/>
              </w:rPr>
            </w:pPr>
          </w:p>
        </w:tc>
        <w:tc>
          <w:tcPr>
            <w:tcW w:w="810" w:type="dxa"/>
          </w:tcPr>
          <w:p w14:paraId="7E366038" w14:textId="204A2A76" w:rsidR="006D0605" w:rsidRPr="004E6A4A" w:rsidRDefault="006D0605" w:rsidP="00C4419F">
            <w:pPr>
              <w:jc w:val="center"/>
              <w:rPr>
                <w:rFonts w:ascii="Times New Roman" w:eastAsia="Times New Roman" w:hAnsi="Times New Roman" w:cs="Times New Roman"/>
                <w:sz w:val="20"/>
                <w:szCs w:val="21"/>
                <w:lang w:eastAsia="sq-AL"/>
              </w:rPr>
            </w:pPr>
          </w:p>
        </w:tc>
        <w:tc>
          <w:tcPr>
            <w:tcW w:w="4590" w:type="dxa"/>
          </w:tcPr>
          <w:p w14:paraId="3D221A8B" w14:textId="77777777" w:rsidR="00FA0CFF" w:rsidRPr="004E6A4A" w:rsidRDefault="00144445">
            <w:pPr>
              <w:jc w:val="center"/>
            </w:pPr>
            <w:r w:rsidRPr="004E6A4A">
              <w:rPr>
                <w:rFonts w:ascii="Times New Roman" w:eastAsia="Times New Roman" w:hAnsi="Times New Roman" w:cs="Times New Roman"/>
                <w:b/>
                <w:sz w:val="20"/>
              </w:rPr>
              <w:t>Ligji: Neni 12</w:t>
            </w:r>
          </w:p>
          <w:p w14:paraId="60610BBA" w14:textId="77777777" w:rsidR="00FA0CFF" w:rsidRPr="004E6A4A" w:rsidRDefault="00144445">
            <w:pPr>
              <w:jc w:val="center"/>
            </w:pPr>
            <w:r w:rsidRPr="004E6A4A">
              <w:rPr>
                <w:rFonts w:ascii="Times New Roman" w:eastAsia="Times New Roman" w:hAnsi="Times New Roman" w:cs="Times New Roman"/>
                <w:b/>
                <w:sz w:val="20"/>
              </w:rPr>
              <w:t>Rregulla të veçanta të vigjilencës së duhur</w:t>
            </w:r>
          </w:p>
          <w:p w14:paraId="060BD87C" w14:textId="77777777" w:rsidR="00FA0CFF" w:rsidRPr="004E6A4A" w:rsidRDefault="00144445">
            <w:pPr>
              <w:jc w:val="both"/>
            </w:pPr>
            <w:r w:rsidRPr="004E6A4A">
              <w:rPr>
                <w:rFonts w:ascii="Times New Roman" w:eastAsia="Times New Roman" w:hAnsi="Times New Roman" w:cs="Times New Roman"/>
                <w:sz w:val="20"/>
              </w:rPr>
              <w:t>1. Një institucion financiar raportues nuk mund të mbështetet në një vetëdeklarim ose në evidenca shkresore nëse ka dijeni ose ka arsye të dijë se ato janë të pasakta ose jo të besueshme.</w:t>
            </w:r>
          </w:p>
          <w:p w14:paraId="0F7CAE78" w14:textId="77777777" w:rsidR="00FA0CFF" w:rsidRPr="004E6A4A" w:rsidRDefault="00144445">
            <w:pPr>
              <w:jc w:val="both"/>
            </w:pPr>
            <w:r w:rsidRPr="004E6A4A">
              <w:rPr>
                <w:rFonts w:ascii="Times New Roman" w:eastAsia="Times New Roman" w:hAnsi="Times New Roman" w:cs="Times New Roman"/>
                <w:sz w:val="20"/>
              </w:rPr>
              <w:t>2. Ndryshimi i rrethanave përfshin çdo ndryshim që sjell shtimin e informacionit të rëndësishëm për statusin e një personi ose që bie ndesh me statusin e deklaruar prej tij, si dhe çdo ndryshim ose shtim të informacionit në llogarinë e mbajtësit të llogarisë ose në një llogari të lidhur me të, kur ky ndryshim ose shtim ndikon në statusin e mbajtësit të llogarisë.</w:t>
            </w:r>
          </w:p>
          <w:p w14:paraId="3D3DE585" w14:textId="77777777" w:rsidR="00FA0CFF" w:rsidRPr="004E6A4A" w:rsidRDefault="00144445">
            <w:pPr>
              <w:jc w:val="both"/>
            </w:pPr>
            <w:r w:rsidRPr="004E6A4A">
              <w:rPr>
                <w:rFonts w:ascii="Times New Roman" w:eastAsia="Times New Roman" w:hAnsi="Times New Roman" w:cs="Times New Roman"/>
                <w:sz w:val="20"/>
              </w:rPr>
              <w:t xml:space="preserve">3. Kur institucioni financiar raportues është mbështetur në adresën e vendbanimit ose në evidenca shkresore për përcaktimin e rezidencës tatimore dhe një ndryshim në rrethana bën që ai të dijë ose të ketë arsye të dijë se evidencat fillestare janë të pasakta ose jo të besueshme, institucioni financiar raportues merr vetëdeklarim dhe </w:t>
            </w:r>
            <w:r w:rsidRPr="004E6A4A">
              <w:rPr>
                <w:rFonts w:ascii="Times New Roman" w:eastAsia="Times New Roman" w:hAnsi="Times New Roman" w:cs="Times New Roman"/>
                <w:sz w:val="20"/>
              </w:rPr>
              <w:lastRenderedPageBreak/>
              <w:t>evidenca të reja shkresore për përcaktimin e rezidencës tatimore.</w:t>
            </w:r>
          </w:p>
          <w:p w14:paraId="0A9AF470" w14:textId="77777777" w:rsidR="00FA0CFF" w:rsidRPr="004E6A4A" w:rsidRDefault="00144445">
            <w:pPr>
              <w:jc w:val="both"/>
            </w:pPr>
            <w:r w:rsidRPr="004E6A4A">
              <w:rPr>
                <w:rFonts w:ascii="Times New Roman" w:eastAsia="Times New Roman" w:hAnsi="Times New Roman" w:cs="Times New Roman"/>
                <w:sz w:val="20"/>
              </w:rPr>
              <w:t>4. Nëse vetëdeklarimi dhe evidencat e reja shkresore nuk mund të merren brenda afatit të përcaktuar në aktin nënligjor, institucioni financiar raportues zbaton procedurën për kërkimin elektronik të informacionit dhe rregullat e tjera të përcaktuara për Llogaritë Individuale Paraekzistuese.</w:t>
            </w:r>
          </w:p>
          <w:p w14:paraId="75A02D59" w14:textId="77777777" w:rsidR="00FA0CFF" w:rsidRPr="004E6A4A" w:rsidRDefault="00144445">
            <w:pPr>
              <w:jc w:val="both"/>
            </w:pPr>
            <w:r w:rsidRPr="004E6A4A">
              <w:rPr>
                <w:rFonts w:ascii="Times New Roman" w:eastAsia="Times New Roman" w:hAnsi="Times New Roman" w:cs="Times New Roman"/>
                <w:sz w:val="20"/>
              </w:rPr>
              <w:t>5. Për qëllime të përcaktimit të balancës ose vlerës totale të llogarive financiare të mbajtura nga një individ ose një njësi ekonomike, institucioni financiar raportues mbledh llogaritë financiare të mbajtura nga ai institucion ose nga një Njësi Ekonomike e Lidhur, në masën që sistemet e tij të kompjuterizuara i lidhin llogaritë dhe mundësojnë mbledhjen e balancave ose vlerave.</w:t>
            </w:r>
          </w:p>
          <w:p w14:paraId="1CF8A62C" w14:textId="77777777" w:rsidR="00FA0CFF" w:rsidRPr="004E6A4A" w:rsidRDefault="00144445">
            <w:pPr>
              <w:jc w:val="both"/>
            </w:pPr>
            <w:r w:rsidRPr="004E6A4A">
              <w:rPr>
                <w:rFonts w:ascii="Times New Roman" w:eastAsia="Times New Roman" w:hAnsi="Times New Roman" w:cs="Times New Roman"/>
                <w:sz w:val="20"/>
              </w:rPr>
              <w:t>6. Për qëllime të përcaktimit nëse një llogari është Llogari me Vlerë të madhe, institucioni financiar raportues mbledh, sipas rastit, edhe llogaritë për të cilat një menaxher i marrëdhënies me klientin ka dijeni ose ka arsye të dijë se janë në pronësi të drejtpërdrejtë ose të tërthortë, të kontrolluara ose të krijuara, drejtpërdrejt ose tërthorazi, nga i njëjti person, përveç rasteve kur janë krijuar në cilësi fiduciare.</w:t>
            </w:r>
          </w:p>
          <w:p w14:paraId="0A0B9CC3" w14:textId="77777777" w:rsidR="00FA0CFF" w:rsidRPr="004E6A4A" w:rsidRDefault="00144445">
            <w:pPr>
              <w:jc w:val="both"/>
            </w:pPr>
            <w:r w:rsidRPr="004E6A4A">
              <w:rPr>
                <w:rFonts w:ascii="Times New Roman" w:eastAsia="Times New Roman" w:hAnsi="Times New Roman" w:cs="Times New Roman"/>
                <w:sz w:val="20"/>
              </w:rPr>
              <w:t>7. Për qëllimet e këtij ligji, shumat e shprehura në dollarë amerikanë konsiderohen se përfshijnë ekuivalentin në monedhën vendase ose në monedha të tjera, sipas kursit të këmbimit të përcaktuar në aktin nënligjor.</w:t>
            </w:r>
          </w:p>
          <w:p w14:paraId="7A898FD8" w14:textId="77777777" w:rsidR="00FA0CFF" w:rsidRPr="004E6A4A" w:rsidRDefault="00144445">
            <w:pPr>
              <w:jc w:val="both"/>
            </w:pPr>
            <w:r w:rsidRPr="004E6A4A">
              <w:rPr>
                <w:rFonts w:ascii="Times New Roman" w:eastAsia="Times New Roman" w:hAnsi="Times New Roman" w:cs="Times New Roman"/>
                <w:sz w:val="20"/>
              </w:rPr>
              <w:t>8. Një llogari me balancë ose vlerë negative konsiderohet se ka balancë ose vlerë zero për qëllimet e këtij ligji.</w:t>
            </w:r>
          </w:p>
          <w:p w14:paraId="0A605BB7" w14:textId="77777777" w:rsidR="00FA0CFF" w:rsidRPr="004E6A4A" w:rsidRDefault="00144445">
            <w:pPr>
              <w:jc w:val="both"/>
            </w:pPr>
            <w:r w:rsidRPr="004E6A4A">
              <w:rPr>
                <w:rFonts w:ascii="Times New Roman" w:eastAsia="Times New Roman" w:hAnsi="Times New Roman" w:cs="Times New Roman"/>
                <w:sz w:val="20"/>
              </w:rPr>
              <w:t xml:space="preserve">9. Një institucion financiar raportues mund të përdorë një ofrues shërbimi për përmbushjen e detyrimeve të raportimit dhe të vigjilencës së duhur, kur kjo lejohet nga legjislacioni në fuqi, por përgjegjësia për </w:t>
            </w:r>
            <w:r w:rsidRPr="004E6A4A">
              <w:rPr>
                <w:rFonts w:ascii="Times New Roman" w:eastAsia="Times New Roman" w:hAnsi="Times New Roman" w:cs="Times New Roman"/>
                <w:sz w:val="20"/>
              </w:rPr>
              <w:lastRenderedPageBreak/>
              <w:t>përmbushjen e këtyre detyrimeve mbetet e institucionit financiar raportues.</w:t>
            </w:r>
          </w:p>
          <w:p w14:paraId="2DAB33E7" w14:textId="77777777" w:rsidR="00FA0CFF" w:rsidRPr="004E6A4A" w:rsidRDefault="00144445">
            <w:pPr>
              <w:jc w:val="both"/>
            </w:pPr>
            <w:r w:rsidRPr="004E6A4A">
              <w:rPr>
                <w:rFonts w:ascii="Times New Roman" w:eastAsia="Times New Roman" w:hAnsi="Times New Roman" w:cs="Times New Roman"/>
                <w:sz w:val="20"/>
              </w:rPr>
              <w:t>10. Rregullat e hollësishme për procedurat e ndryshimit të rrethanave, mbledhjen e llogarive, rregullat e monedhës, llogaritë me balancë negative dhe përdorimin e ofruesve të shërbimit përcaktohen me akt nënligjor në zbatim të këtij ligji.</w:t>
            </w:r>
          </w:p>
          <w:p w14:paraId="1BF2F625" w14:textId="77777777" w:rsidR="00FA0CFF" w:rsidRPr="004E6A4A" w:rsidRDefault="00144445">
            <w:pPr>
              <w:jc w:val="both"/>
            </w:pPr>
            <w:r w:rsidRPr="004E6A4A">
              <w:rPr>
                <w:rFonts w:ascii="Times New Roman" w:eastAsia="Times New Roman" w:hAnsi="Times New Roman" w:cs="Times New Roman"/>
                <w:sz w:val="20"/>
              </w:rPr>
              <w:t>11. Në rrethana të jashtëzakonshme, kur një vetëdeklarim nuk mund të merret nga institucioni financiar raportues për një Llogari të Re në kohë për përmbushjen e detyrimeve të vigjilencës së duhur dhe raportimit për periudhën gjatë së cilës është hapur llogaria, institucioni financiar raportues zbaton përkohësisht procedurat përkatëse të vigjilencës së duhur për Llogaritë Paraekzistuese, deri në marrjen dhe validimin e vetëdeklarimit. Pavarësisht kësaj, për qëllime raportimi llogaria trajtohet si Llogari e Re.</w:t>
            </w:r>
          </w:p>
          <w:p w14:paraId="52D99905" w14:textId="77777777" w:rsidR="00FA0CFF" w:rsidRPr="004E6A4A" w:rsidRDefault="00144445">
            <w:pPr>
              <w:jc w:val="both"/>
            </w:pPr>
            <w:r w:rsidRPr="004E6A4A">
              <w:rPr>
                <w:rFonts w:ascii="Times New Roman" w:eastAsia="Times New Roman" w:hAnsi="Times New Roman" w:cs="Times New Roman"/>
                <w:sz w:val="20"/>
              </w:rPr>
              <w:t>12. Procedurat alternative të vigjilencës së duhur për kontratat e sigurimit me vlerë në para dhe kontratat e pensionit vjetor, përfshirë kontratat e sigurimit dhe të pensionit vjetor në grup, përcaktohen me aktin nënligjor të nxjerrë në zbatim të këtij ligji.</w:t>
            </w:r>
          </w:p>
          <w:p w14:paraId="00D03BC6" w14:textId="77777777" w:rsidR="00FA0CFF" w:rsidRPr="004E6A4A" w:rsidRDefault="00FA0CFF"/>
          <w:p w14:paraId="4F91BE12" w14:textId="77777777" w:rsidR="00FA0CFF" w:rsidRPr="004E6A4A" w:rsidRDefault="00144445">
            <w:pPr>
              <w:jc w:val="center"/>
            </w:pPr>
            <w:r w:rsidRPr="004E6A4A">
              <w:rPr>
                <w:rFonts w:ascii="Times New Roman" w:eastAsia="Times New Roman" w:hAnsi="Times New Roman" w:cs="Times New Roman"/>
                <w:b/>
                <w:sz w:val="20"/>
              </w:rPr>
              <w:t>VKM: Neni 10</w:t>
            </w:r>
          </w:p>
          <w:p w14:paraId="253599A6" w14:textId="77777777" w:rsidR="00FA0CFF" w:rsidRPr="004E6A4A" w:rsidRDefault="00144445">
            <w:pPr>
              <w:jc w:val="center"/>
            </w:pPr>
            <w:r w:rsidRPr="004E6A4A">
              <w:rPr>
                <w:rFonts w:ascii="Times New Roman" w:eastAsia="Times New Roman" w:hAnsi="Times New Roman" w:cs="Times New Roman"/>
                <w:b/>
                <w:sz w:val="20"/>
              </w:rPr>
              <w:t>Rregullat e veçanta të vigjilencës së duhur</w:t>
            </w:r>
          </w:p>
          <w:p w14:paraId="145443D5" w14:textId="77777777" w:rsidR="00FA0CFF" w:rsidRPr="004E6A4A" w:rsidRDefault="00144445">
            <w:pPr>
              <w:jc w:val="both"/>
            </w:pPr>
            <w:r w:rsidRPr="004E6A4A">
              <w:rPr>
                <w:rFonts w:ascii="Times New Roman" w:eastAsia="Times New Roman" w:hAnsi="Times New Roman" w:cs="Times New Roman"/>
                <w:sz w:val="20"/>
              </w:rPr>
              <w:t>Rregullat e mëposhtme aplikohen për zbatimin e procedurave të vigjilencës së duhur të përshkruar më sipër:</w:t>
            </w:r>
          </w:p>
          <w:p w14:paraId="7FBB03A3" w14:textId="77777777" w:rsidR="00FA0CFF" w:rsidRPr="004E6A4A" w:rsidRDefault="00144445">
            <w:pPr>
              <w:jc w:val="both"/>
            </w:pPr>
            <w:r w:rsidRPr="004E6A4A">
              <w:rPr>
                <w:rFonts w:ascii="Times New Roman" w:eastAsia="Times New Roman" w:hAnsi="Times New Roman" w:cs="Times New Roman"/>
                <w:sz w:val="20"/>
              </w:rPr>
              <w:t>1. Mbështetja në vetëdeklarimet dhe evidencat shkresore. Një institucion financiar raportues nuk mund të mbështetet në një vetëdeklarim ose evidencat shkresore, nëse institucioni financiar raportues e di ose ka arsye të dijë se vetëdeklarimi ose evidencat shkresore janë të pasakta ose jo të besueshme duke përfshirë rrethanat e mëposhtme në lidhje me vetëdeklarimin, ku:</w:t>
            </w:r>
          </w:p>
          <w:p w14:paraId="44878C6F" w14:textId="77777777" w:rsidR="00FA0CFF" w:rsidRPr="004E6A4A" w:rsidRDefault="00144445">
            <w:pPr>
              <w:jc w:val="both"/>
            </w:pPr>
            <w:r w:rsidRPr="004E6A4A">
              <w:rPr>
                <w:rFonts w:ascii="Times New Roman" w:eastAsia="Times New Roman" w:hAnsi="Times New Roman" w:cs="Times New Roman"/>
                <w:sz w:val="20"/>
              </w:rPr>
              <w:lastRenderedPageBreak/>
              <w:t>a) për profilin e Standardit të Përbashkët të Raportimit, institucioni financiar raportues ka dyshime për rezidencën tatimore të Mbajtësit të Llogarisë ose Personit Kontrollues për shkak të pretendimit të rezidencës në një juridiksion që ofron një skemë potencialisht me rrezik të lartë të shtetësisë ose rezidencës përmes investimit (CBI/RBI) dhe nuk ka marrë masat e mëtejshme të parashikuara nga Standardi për të vlerësuar rezidencën tatimore;</w:t>
            </w:r>
          </w:p>
          <w:p w14:paraId="1F2360DB" w14:textId="77777777" w:rsidR="00FA0CFF" w:rsidRPr="004E6A4A" w:rsidRDefault="00144445">
            <w:pPr>
              <w:jc w:val="both"/>
            </w:pPr>
            <w:r w:rsidRPr="004E6A4A">
              <w:rPr>
                <w:rFonts w:ascii="Times New Roman" w:eastAsia="Times New Roman" w:hAnsi="Times New Roman" w:cs="Times New Roman"/>
                <w:sz w:val="20"/>
              </w:rPr>
              <w:t>b) për profilin e Standardit të Përbashkët të Raportimit, vetëdeklarimi nuk përmban një TIN dhe informacioni i publikuar nga OECD-ja tregon se Juridiksioni i Raportueshëm lëshon TIN për të gjithë rezidentët tatimorë; dhe</w:t>
            </w:r>
          </w:p>
          <w:p w14:paraId="2B4785EE" w14:textId="77777777" w:rsidR="00FA0CFF" w:rsidRPr="004E6A4A" w:rsidRDefault="00144445">
            <w:pPr>
              <w:jc w:val="both"/>
            </w:pPr>
            <w:r w:rsidRPr="004E6A4A">
              <w:rPr>
                <w:rFonts w:ascii="Times New Roman" w:eastAsia="Times New Roman" w:hAnsi="Times New Roman" w:cs="Times New Roman"/>
                <w:sz w:val="20"/>
              </w:rPr>
              <w:t>c) ka një ndryshim në procedurat e aplikueshme të PPP/NJKT dhe informacioni shtesë i marrë sipas procedurave të ndryshuara të PPP/NJKT nuk është në përputhje me pretendimet e bëra nga një person në një vetëdeklarim.</w:t>
            </w:r>
          </w:p>
          <w:p w14:paraId="71E9C32A" w14:textId="77777777" w:rsidR="00FA0CFF" w:rsidRPr="004E6A4A" w:rsidRDefault="00144445">
            <w:pPr>
              <w:jc w:val="both"/>
            </w:pPr>
            <w:r w:rsidRPr="004E6A4A">
              <w:rPr>
                <w:rFonts w:ascii="Times New Roman" w:eastAsia="Times New Roman" w:hAnsi="Times New Roman" w:cs="Times New Roman"/>
                <w:sz w:val="20"/>
              </w:rPr>
              <w:t>2. Mungesë e përkohshme e vetëdeklarimit. Në rrethana të jashtëzakonshme, kur një institucion financiar raportues, në lidhje me një Llogari të Re, nuk mund të marrë në kohë një vetëdeklarim për të përmbushur detyrimet e vigjilencës së duhur dhe të raportimit për periudhën raportuese gjatë së cilës është hapur llogaria, institucioni zbaton përkohësisht procedurat e vigjilencës së duhur për Llogaritë Paraekzistuese deri në marrjen dhe validimin e vetëdeklarimit. Për qëllimet e raportimit sipas nenit 4 të këtij vendimi, llogaria raportohet si Llogari e Re.</w:t>
            </w:r>
          </w:p>
          <w:p w14:paraId="2FF11BF1" w14:textId="77777777" w:rsidR="00FA0CFF" w:rsidRPr="004E6A4A" w:rsidRDefault="00144445">
            <w:pPr>
              <w:jc w:val="both"/>
            </w:pPr>
            <w:r w:rsidRPr="004E6A4A">
              <w:rPr>
                <w:rFonts w:ascii="Times New Roman" w:eastAsia="Times New Roman" w:hAnsi="Times New Roman" w:cs="Times New Roman"/>
                <w:sz w:val="20"/>
              </w:rPr>
              <w:t xml:space="preserve">3. Mbështetja në rregullat e ndarjes. Nëse një mbajtës i llogarisë ose një person kontrollues është rezident për qëllime tatimore në dy ose më shumë juridiksione sipas ligjeve të brendshme të këtyre juridiksioneve, ai person nuk do të mbështetet në rregullat e ndarjes të përfshira në marrëveshjet tatimore (nëse ka të tilla rregulla) për të përcaktuar rezidencën e tij për qëllime tatimore dhe </w:t>
            </w:r>
            <w:r w:rsidRPr="004E6A4A">
              <w:rPr>
                <w:rFonts w:ascii="Times New Roman" w:eastAsia="Times New Roman" w:hAnsi="Times New Roman" w:cs="Times New Roman"/>
                <w:sz w:val="20"/>
              </w:rPr>
              <w:lastRenderedPageBreak/>
              <w:t>duhet të deklarojë të gjitha juridiksionet ku është rezident.</w:t>
            </w:r>
          </w:p>
        </w:tc>
        <w:tc>
          <w:tcPr>
            <w:tcW w:w="1620" w:type="dxa"/>
          </w:tcPr>
          <w:p w14:paraId="20AA7146" w14:textId="77777777" w:rsidR="00B0586E" w:rsidRPr="004E6A4A" w:rsidRDefault="00B0586E" w:rsidP="00C4419F">
            <w:pPr>
              <w:jc w:val="center"/>
              <w:rPr>
                <w:rFonts w:ascii="Times New Roman" w:eastAsia="Calibri" w:hAnsi="Times New Roman" w:cs="Times New Roman"/>
                <w:sz w:val="18"/>
                <w:szCs w:val="18"/>
              </w:rPr>
            </w:pPr>
          </w:p>
          <w:p w14:paraId="79AA1F20" w14:textId="05441A1D" w:rsidR="006D0605" w:rsidRPr="004E6A4A" w:rsidRDefault="00B0586E"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4FC9C5CA"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Përputhet.</w:t>
            </w:r>
          </w:p>
          <w:p w14:paraId="0AB5BD0A"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Transpozohet nga neni 12 i projektligjit dhe nga neni 10, pikat 1 dhe 2, të VKM-së.</w:t>
            </w:r>
          </w:p>
        </w:tc>
      </w:tr>
      <w:tr w:rsidR="004E6A4A" w:rsidRPr="004E6A4A" w14:paraId="1C1BF737" w14:textId="77777777" w:rsidTr="00153084">
        <w:trPr>
          <w:trHeight w:val="764"/>
        </w:trPr>
        <w:tc>
          <w:tcPr>
            <w:tcW w:w="630" w:type="dxa"/>
          </w:tcPr>
          <w:p w14:paraId="5BB6606F" w14:textId="77777777" w:rsidR="000A21ED" w:rsidRPr="004E6A4A" w:rsidRDefault="000A21ED" w:rsidP="00C4419F">
            <w:pPr>
              <w:jc w:val="center"/>
              <w:rPr>
                <w:rFonts w:ascii="Times New Roman" w:eastAsia="Calibri" w:hAnsi="Times New Roman" w:cs="Times New Roman"/>
                <w:i/>
                <w:sz w:val="18"/>
                <w:szCs w:val="18"/>
              </w:rPr>
            </w:pPr>
          </w:p>
        </w:tc>
        <w:tc>
          <w:tcPr>
            <w:tcW w:w="4230" w:type="dxa"/>
          </w:tcPr>
          <w:p w14:paraId="7921D643" w14:textId="77777777" w:rsidR="008C56DE" w:rsidRPr="004E6A4A" w:rsidRDefault="00144445">
            <w:pPr>
              <w:rPr>
                <w:rFonts w:ascii="Times New Roman" w:eastAsia="Times New Roman" w:hAnsi="Times New Roman" w:cs="Times New Roman"/>
                <w:b/>
                <w:bCs/>
                <w:sz w:val="20"/>
                <w:szCs w:val="20"/>
              </w:rPr>
            </w:pPr>
            <w:r w:rsidRPr="004E6A4A">
              <w:rPr>
                <w:rFonts w:ascii="Times New Roman" w:eastAsia="Times New Roman" w:hAnsi="Times New Roman" w:cs="Times New Roman"/>
                <w:b/>
                <w:bCs/>
                <w:sz w:val="20"/>
                <w:szCs w:val="20"/>
              </w:rPr>
              <w:t>Aneksi I,  Seksioni VII,  Paragrafi B</w:t>
            </w:r>
          </w:p>
          <w:p w14:paraId="2225B9EF"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B.</w:t>
            </w:r>
            <w:r w:rsidRPr="004E6A4A">
              <w:rPr>
                <w:rFonts w:ascii="Times New Roman" w:eastAsia="Times New Roman" w:hAnsi="Times New Roman" w:cs="Times New Roman"/>
                <w:sz w:val="20"/>
                <w:szCs w:val="20"/>
              </w:rPr>
              <w:tab/>
              <w:t>Procedurat alternative për Llogaritë Financiare të mbajtura nga përfitues individë të një Kontrate Sigurimi në Vlerë në Para të Gatshme ose të një Kontrate Pensioni Vjetor dhe për një Kontratë Sigurimi në Vlerë në Para të Gatshme të Grupit ose një Kontratë Pensioni Vjetor të Grupit. Një Institucion Financiar Raportues mund të prezumojë se një përfitues individ (i ndryshëm nga pronari) i një Kontrate Sigurimi në Vlerë në Para të Gatshme ose i një Kontrate Pensioni Vjetor që merr një përfitim për shkak vdekjeje nuk është Person i Raportueshëm dhe mund ta trajtojë këtë Llogari Financiare si llogari të ndryshme nga një Llogari e Raportueshme, përveçse kur Institucioni Financiar Raportues ka njohuri faktike, ose arsye për të ditur, se përfituesi është Person i Raportueshëm. Një Institucion Financiar Raportues ka arsye për të ditur se një përfitues i një Kontrate Sigurimi në Vlerë në Para të Gatshme ose i një Kontrate Pensioni Vjetor është Person i Raportueshëm nëse informacioni i mbledhur nga Institucioni Financiar Raportues dhe që lidhet me përfituesin përmban tregues siç përshkruhen në paragrafin B të Seksionit III. Nëse një Institucion Financiar Raportues ka njohuri faktike, ose arsye për të ditur, se përfituesi është Person i Raportueshëm, Institucioni Financiar Raportues duhet të ndjekë procedurat e paragrafit B të Seksionit III.</w:t>
            </w:r>
          </w:p>
          <w:p w14:paraId="1C5AC764"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 xml:space="preserve">Një Institucion Financiar Raportues mund ta trajtojë një Llogari Financiare që përbën interesin e një anëtari në një Kontratë Sigurimi në Vlerë në Para të Gatshme të Grupit ose në një Kontratë </w:t>
            </w:r>
            <w:r w:rsidRPr="004E6A4A">
              <w:rPr>
                <w:rFonts w:ascii="Times New Roman" w:eastAsia="Times New Roman" w:hAnsi="Times New Roman" w:cs="Times New Roman"/>
                <w:sz w:val="20"/>
                <w:szCs w:val="20"/>
              </w:rPr>
              <w:lastRenderedPageBreak/>
              <w:t>Pensioni Vjetor të Grupit si Llogari Financiare që nuk është Llogari e Raportueshme, deri në datën në të cilën një shumë bëhet e pagueshme për punonjësin/mbajtësin e certifikatës ose për përfituesin, nëse Llogaria Financiare që përbën interesin e një anëtari në një Kontratë Sigurimi në Vlerë në Para të Gatshme të Grupit ose në një Kontratë Pensioni Vjetor të Grupit përmbush kërkesat e mëposhtme:</w:t>
            </w:r>
          </w:p>
          <w:p w14:paraId="619FF854"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(i)</w:t>
            </w:r>
            <w:r w:rsidRPr="004E6A4A">
              <w:rPr>
                <w:rFonts w:ascii="Times New Roman" w:eastAsia="Times New Roman" w:hAnsi="Times New Roman" w:cs="Times New Roman"/>
                <w:sz w:val="20"/>
                <w:szCs w:val="20"/>
              </w:rPr>
              <w:tab/>
              <w:t>Kontrata e Sigurimit në Vlerë në Para të Gatshme e Grupit ose Kontrata e Pensionit Vjetor e Grupit i lëshohet një punëdhënësi dhe mbulon 25 ose më shumë punonjës/mbajtës certifikate;</w:t>
            </w:r>
          </w:p>
          <w:p w14:paraId="5106A6C6"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(ii)</w:t>
            </w:r>
            <w:r w:rsidRPr="004E6A4A">
              <w:rPr>
                <w:rFonts w:ascii="Times New Roman" w:eastAsia="Times New Roman" w:hAnsi="Times New Roman" w:cs="Times New Roman"/>
                <w:sz w:val="20"/>
                <w:szCs w:val="20"/>
              </w:rPr>
              <w:tab/>
              <w:t>punonjësit/mbajtësit e certifikatës kanë të drejtë të marrin çdo vlerë kontrate që lidhet me interesat e tyre dhe të emërojnë përfitues për përfitimin e pagueshëm në rast vdekjeje të punonjësit; dhe</w:t>
            </w:r>
          </w:p>
          <w:p w14:paraId="0738E83A"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(iii)</w:t>
            </w:r>
            <w:r w:rsidRPr="004E6A4A">
              <w:rPr>
                <w:rFonts w:ascii="Times New Roman" w:eastAsia="Times New Roman" w:hAnsi="Times New Roman" w:cs="Times New Roman"/>
                <w:sz w:val="20"/>
                <w:szCs w:val="20"/>
              </w:rPr>
              <w:tab/>
              <w:t>shuma e përgjithshme e pagueshme për çdo punonjës/mbajtës certifikate ose përfitues nuk e tejkalon një shumë të shprehur në monedhën vendase të çdo shteti anëtar që u korrespondon 1 000 000 USD.</w:t>
            </w:r>
          </w:p>
        </w:tc>
        <w:tc>
          <w:tcPr>
            <w:tcW w:w="1350" w:type="dxa"/>
          </w:tcPr>
          <w:p w14:paraId="1E986E08" w14:textId="77777777" w:rsidR="000A21ED" w:rsidRPr="004E6A4A" w:rsidRDefault="000A21ED" w:rsidP="00C4419F">
            <w:pPr>
              <w:jc w:val="center"/>
              <w:rPr>
                <w:rFonts w:ascii="Times New Roman" w:eastAsia="Calibri" w:hAnsi="Times New Roman" w:cs="Times New Roman"/>
                <w:sz w:val="18"/>
                <w:szCs w:val="18"/>
              </w:rPr>
            </w:pPr>
          </w:p>
        </w:tc>
        <w:tc>
          <w:tcPr>
            <w:tcW w:w="810" w:type="dxa"/>
          </w:tcPr>
          <w:p w14:paraId="58C1F542" w14:textId="77777777" w:rsidR="000A21ED" w:rsidRPr="004E6A4A" w:rsidRDefault="000A21ED" w:rsidP="00C4419F">
            <w:pPr>
              <w:jc w:val="center"/>
              <w:rPr>
                <w:rFonts w:ascii="Times New Roman" w:eastAsia="Times New Roman" w:hAnsi="Times New Roman" w:cs="Times New Roman"/>
                <w:sz w:val="20"/>
                <w:szCs w:val="21"/>
                <w:lang w:eastAsia="sq-AL"/>
              </w:rPr>
            </w:pPr>
          </w:p>
        </w:tc>
        <w:tc>
          <w:tcPr>
            <w:tcW w:w="4590" w:type="dxa"/>
          </w:tcPr>
          <w:p w14:paraId="2D31BAEF" w14:textId="77777777" w:rsidR="00FA0CFF" w:rsidRPr="004E6A4A" w:rsidRDefault="00144445">
            <w:pPr>
              <w:jc w:val="center"/>
            </w:pPr>
            <w:r w:rsidRPr="004E6A4A">
              <w:rPr>
                <w:rFonts w:ascii="Times New Roman" w:eastAsia="Times New Roman" w:hAnsi="Times New Roman" w:cs="Times New Roman"/>
                <w:b/>
                <w:sz w:val="20"/>
              </w:rPr>
              <w:t>VKM: Neni 10</w:t>
            </w:r>
          </w:p>
          <w:p w14:paraId="67DD2FB3" w14:textId="77777777" w:rsidR="00FA0CFF" w:rsidRPr="004E6A4A" w:rsidRDefault="00144445">
            <w:pPr>
              <w:jc w:val="center"/>
            </w:pPr>
            <w:r w:rsidRPr="004E6A4A">
              <w:rPr>
                <w:rFonts w:ascii="Times New Roman" w:eastAsia="Times New Roman" w:hAnsi="Times New Roman" w:cs="Times New Roman"/>
                <w:b/>
                <w:sz w:val="20"/>
              </w:rPr>
              <w:t>Rregullat e veçanta të vigjilencës së duhur</w:t>
            </w:r>
          </w:p>
          <w:p w14:paraId="2B7BCDCE" w14:textId="77777777" w:rsidR="00FA0CFF" w:rsidRPr="004E6A4A" w:rsidRDefault="00144445">
            <w:pPr>
              <w:jc w:val="both"/>
            </w:pPr>
            <w:r w:rsidRPr="004E6A4A">
              <w:rPr>
                <w:rFonts w:ascii="Times New Roman" w:eastAsia="Times New Roman" w:hAnsi="Times New Roman" w:cs="Times New Roman"/>
                <w:sz w:val="20"/>
              </w:rPr>
              <w:t>Rregullat e mëposhtme aplikohen për zbatimin e procedurave të vigjilencës së duhur të përshkruar më sipër:</w:t>
            </w:r>
          </w:p>
          <w:p w14:paraId="47932144" w14:textId="77777777" w:rsidR="00FA0CFF" w:rsidRPr="004E6A4A" w:rsidRDefault="00144445">
            <w:pPr>
              <w:jc w:val="both"/>
            </w:pPr>
            <w:r w:rsidRPr="004E6A4A">
              <w:rPr>
                <w:rFonts w:ascii="Times New Roman" w:eastAsia="Times New Roman" w:hAnsi="Times New Roman" w:cs="Times New Roman"/>
                <w:sz w:val="20"/>
              </w:rPr>
              <w:t>4. Procedurat alternative për llogaritë financiare të mbajtura nga përfituesit individualë të një kontrate të sigurimeve në vlerë në para të gatshme ose të një kontrate të pensionit vjetor dhe për një kontratë të sigurimeve në vlerë në para të gatshme të grupit ose një kontratë të pensionit vjetor të grupit. Një institucion financiar raportues mund të prezumojë se një përfitues individual (i ndryshëm nga pronari) i një kontrate të sigurimit në vlerë në para të gatshme ose një kontrate pensioni vjetor që merr një përfitim në rast vdekjeje nuk është një person i raportueshëm dhe mund të trajtojë një llogari të tillë financiare ndryshe nga një llogari e raportueshme, përveçse kur institucioni financiar raportues ka njohuri ose arsye për të ditur, që përfituesi është një person i raportueshëm. Një institucion financiar raportues ka arsye të dijë se një përfitues i një kontrate të sigurimit në vlerë në para të gatshme ose një kontrate pensioni vjetor është një person i raportueshëm nëse informacioni i mbledhur nga institucioni financiar raportues dhe i lidhur me përfituesin përmban tregues, siç përshkruhet në pikën 1, të nenit 6 të këtij vendimi. Nëse një institucion financiar raportues ka njohuri reale ose arsye për të ditur, që përfituesi është një person i raportueshëm, institucioni financiar raportues duhet të ndjekë procedurat në pikën 1, të nenit 6 të këtij vendimi.</w:t>
            </w:r>
          </w:p>
          <w:p w14:paraId="727007D7" w14:textId="77777777" w:rsidR="00FA0CFF" w:rsidRPr="004E6A4A" w:rsidRDefault="00144445">
            <w:pPr>
              <w:jc w:val="both"/>
            </w:pPr>
            <w:r w:rsidRPr="004E6A4A">
              <w:rPr>
                <w:rFonts w:ascii="Times New Roman" w:eastAsia="Times New Roman" w:hAnsi="Times New Roman" w:cs="Times New Roman"/>
                <w:sz w:val="20"/>
              </w:rPr>
              <w:t xml:space="preserve">Një institucion financiar raportues mund ta trajtojë një llogari financiare, pjesë në një kontratë të sigurimit në vlerë në para të gatshme të grupit ose kontratë të </w:t>
            </w:r>
            <w:r w:rsidRPr="004E6A4A">
              <w:rPr>
                <w:rFonts w:ascii="Times New Roman" w:eastAsia="Times New Roman" w:hAnsi="Times New Roman" w:cs="Times New Roman"/>
                <w:sz w:val="20"/>
              </w:rPr>
              <w:lastRenderedPageBreak/>
              <w:t>pensionit vjetor të grupit si një llogari financiare jo të raportueshme deri në datën në të cilën një shumë do t’i paguhet punonjësit/mbajtësit të certifikatës ose përfituesit, nëse llogaria financiare që bën pjesë në një kontratë të sigurimit në vlerë në para të gatshme të grupit ose kontratë të pensionit vjetor të grupit plotëson kërkesat e mëposhtme:</w:t>
            </w:r>
          </w:p>
          <w:p w14:paraId="4EE9B0A6" w14:textId="77777777" w:rsidR="00FA0CFF" w:rsidRPr="004E6A4A" w:rsidRDefault="00144445">
            <w:pPr>
              <w:jc w:val="both"/>
            </w:pPr>
            <w:r w:rsidRPr="004E6A4A">
              <w:rPr>
                <w:rFonts w:ascii="Times New Roman" w:eastAsia="Times New Roman" w:hAnsi="Times New Roman" w:cs="Times New Roman"/>
                <w:sz w:val="20"/>
              </w:rPr>
              <w:t>a) kontrata e sigurimit në vlerë në para të gatshme të grupit ose kontrata e pensionit vjetor të grupit lidhet nga punëdhënësi dhe mbulon 25 ose më shumë punonjës/mbajtës të certifikatave;</w:t>
            </w:r>
          </w:p>
          <w:p w14:paraId="762ABFB8" w14:textId="77777777" w:rsidR="00FA0CFF" w:rsidRPr="004E6A4A" w:rsidRDefault="00144445">
            <w:pPr>
              <w:jc w:val="both"/>
            </w:pPr>
            <w:r w:rsidRPr="004E6A4A">
              <w:rPr>
                <w:rFonts w:ascii="Times New Roman" w:eastAsia="Times New Roman" w:hAnsi="Times New Roman" w:cs="Times New Roman"/>
                <w:sz w:val="20"/>
              </w:rPr>
              <w:t>b) punonjësit/mbajtësit e certifikatës kanë të drejtë të marrin ndonjë vlerë të kontratës në lidhje me interesat e tyre dhe të përcaktojnë përfituesit për përfitimin që paguhet pas vdekjes së punonjësit;</w:t>
            </w:r>
          </w:p>
          <w:p w14:paraId="6109F9DE" w14:textId="77777777" w:rsidR="00FA0CFF" w:rsidRPr="004E6A4A" w:rsidRDefault="00144445">
            <w:pPr>
              <w:jc w:val="both"/>
            </w:pPr>
            <w:r w:rsidRPr="004E6A4A">
              <w:rPr>
                <w:rFonts w:ascii="Times New Roman" w:eastAsia="Times New Roman" w:hAnsi="Times New Roman" w:cs="Times New Roman"/>
                <w:sz w:val="20"/>
              </w:rPr>
              <w:t>c) shuma totale që i paguhet çdo punonjësi/mbajtësi të certifikatës ose përfituesit nuk tejkalon shumën 1 000 000 (një milion) USD.</w:t>
            </w:r>
          </w:p>
          <w:p w14:paraId="56C39596" w14:textId="77777777" w:rsidR="00FA0CFF" w:rsidRPr="004E6A4A" w:rsidRDefault="00FA0CFF"/>
          <w:p w14:paraId="1B988AB9" w14:textId="6318D48D" w:rsidR="00FA0CFF" w:rsidRPr="004E6A4A" w:rsidRDefault="00FA0CFF">
            <w:pPr>
              <w:jc w:val="both"/>
            </w:pPr>
          </w:p>
        </w:tc>
        <w:tc>
          <w:tcPr>
            <w:tcW w:w="1620" w:type="dxa"/>
          </w:tcPr>
          <w:p w14:paraId="3E9ACEF7" w14:textId="77777777" w:rsidR="00B0586E" w:rsidRPr="004E6A4A" w:rsidRDefault="00B0586E" w:rsidP="00C4419F">
            <w:pPr>
              <w:jc w:val="center"/>
              <w:rPr>
                <w:rFonts w:ascii="Times New Roman" w:eastAsia="Calibri" w:hAnsi="Times New Roman" w:cs="Times New Roman"/>
                <w:sz w:val="18"/>
                <w:szCs w:val="18"/>
              </w:rPr>
            </w:pPr>
          </w:p>
          <w:p w14:paraId="002E4386" w14:textId="28862DE1" w:rsidR="000A21ED" w:rsidRPr="004E6A4A" w:rsidRDefault="00B0586E"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460E9115"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Përputhet.</w:t>
            </w:r>
          </w:p>
          <w:p w14:paraId="37E09D1C"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Transpozohet nga neni 10, pika 4, i VKM-së.</w:t>
            </w:r>
          </w:p>
        </w:tc>
      </w:tr>
      <w:tr w:rsidR="004E6A4A" w:rsidRPr="004E6A4A" w14:paraId="10E548EF" w14:textId="77777777" w:rsidTr="00153084">
        <w:trPr>
          <w:trHeight w:val="764"/>
        </w:trPr>
        <w:tc>
          <w:tcPr>
            <w:tcW w:w="630" w:type="dxa"/>
          </w:tcPr>
          <w:p w14:paraId="67E42960" w14:textId="77777777" w:rsidR="000A21ED" w:rsidRPr="004E6A4A" w:rsidRDefault="000A21ED" w:rsidP="00C4419F">
            <w:pPr>
              <w:jc w:val="center"/>
              <w:rPr>
                <w:rFonts w:ascii="Times New Roman" w:eastAsia="Calibri" w:hAnsi="Times New Roman" w:cs="Times New Roman"/>
                <w:i/>
                <w:sz w:val="18"/>
                <w:szCs w:val="18"/>
              </w:rPr>
            </w:pPr>
          </w:p>
        </w:tc>
        <w:tc>
          <w:tcPr>
            <w:tcW w:w="4230" w:type="dxa"/>
          </w:tcPr>
          <w:p w14:paraId="3EF803C7"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Termi “Kontratë Sigurimi në Vlerë në Para të Gatshme e Grupit” nënkupton një Kontratë Sigurimi në Vlerë në Para të Gatshme që (i) siguron mbulim për individë të lidhur nëpërmjet një punëdhënësi, shoqate tregtare, sindikate ose shoqate apo grupi tjetër; dhe (ii) ngarkon një primë për çdo anëtar të grupit (ose anëtar të një kategorie brenda grupit), e cila përcaktohet pa marrë parasysh karakteristikat individuale shëndetësore, përveç moshës, gjinisë dhe zakonit të duhanpirjes të anëtarit (ose të kategorisë së anëtarëve) të grupit.</w:t>
            </w:r>
          </w:p>
        </w:tc>
        <w:tc>
          <w:tcPr>
            <w:tcW w:w="1350" w:type="dxa"/>
          </w:tcPr>
          <w:p w14:paraId="1F7180B3" w14:textId="77777777" w:rsidR="000A21ED" w:rsidRPr="004E6A4A" w:rsidRDefault="000A21ED" w:rsidP="00C4419F">
            <w:pPr>
              <w:jc w:val="center"/>
              <w:rPr>
                <w:rFonts w:ascii="Times New Roman" w:eastAsia="Calibri" w:hAnsi="Times New Roman" w:cs="Times New Roman"/>
                <w:sz w:val="18"/>
                <w:szCs w:val="18"/>
              </w:rPr>
            </w:pPr>
          </w:p>
        </w:tc>
        <w:tc>
          <w:tcPr>
            <w:tcW w:w="810" w:type="dxa"/>
          </w:tcPr>
          <w:p w14:paraId="60631723" w14:textId="77777777" w:rsidR="000A21ED" w:rsidRPr="004E6A4A" w:rsidRDefault="000A21ED" w:rsidP="00C4419F">
            <w:pPr>
              <w:jc w:val="center"/>
              <w:rPr>
                <w:rFonts w:ascii="Times New Roman" w:eastAsia="Times New Roman" w:hAnsi="Times New Roman" w:cs="Times New Roman"/>
                <w:sz w:val="20"/>
                <w:szCs w:val="21"/>
                <w:lang w:eastAsia="sq-AL"/>
              </w:rPr>
            </w:pPr>
          </w:p>
        </w:tc>
        <w:tc>
          <w:tcPr>
            <w:tcW w:w="4590" w:type="dxa"/>
          </w:tcPr>
          <w:p w14:paraId="4BB5C382" w14:textId="77777777" w:rsidR="00FA0CFF" w:rsidRPr="004E6A4A" w:rsidRDefault="00144445">
            <w:pPr>
              <w:jc w:val="center"/>
            </w:pPr>
            <w:r w:rsidRPr="004E6A4A">
              <w:rPr>
                <w:rFonts w:ascii="Times New Roman" w:eastAsia="Times New Roman" w:hAnsi="Times New Roman" w:cs="Times New Roman"/>
                <w:b/>
                <w:sz w:val="20"/>
              </w:rPr>
              <w:t>Ligji: Neni 5</w:t>
            </w:r>
          </w:p>
          <w:p w14:paraId="171A2061" w14:textId="77777777" w:rsidR="00FA0CFF" w:rsidRPr="004E6A4A" w:rsidRDefault="00144445">
            <w:pPr>
              <w:jc w:val="center"/>
            </w:pPr>
            <w:r w:rsidRPr="004E6A4A">
              <w:rPr>
                <w:rFonts w:ascii="Times New Roman" w:eastAsia="Times New Roman" w:hAnsi="Times New Roman" w:cs="Times New Roman"/>
                <w:b/>
                <w:sz w:val="20"/>
              </w:rPr>
              <w:t>Përkufizime</w:t>
            </w:r>
          </w:p>
          <w:p w14:paraId="6058EE05" w14:textId="77777777" w:rsidR="00FA0CFF" w:rsidRPr="004E6A4A" w:rsidRDefault="00144445">
            <w:pPr>
              <w:jc w:val="both"/>
            </w:pPr>
            <w:r w:rsidRPr="004E6A4A">
              <w:rPr>
                <w:rFonts w:ascii="Times New Roman" w:eastAsia="Times New Roman" w:hAnsi="Times New Roman" w:cs="Times New Roman"/>
                <w:sz w:val="20"/>
              </w:rPr>
              <w:t>42. “Kontratë sigurimi në vlerë në para të gatshme e grupit” është një kontratë sigurimi në vlerë në para të gatshme që siguron mbulim për individët që janë të lidhur me një punëdhënës, shoqatë tregtare, sindikatë punëtorësh ose ndonjë shoqatë ose grup tjetër dhe që tarifon një çmim për secilin anëtar të grupit, ose anëtar të një kategorie brenda grupit, i cili përcaktohet pa marrë parasysh karakteristikat individuale shëndetësore, përveç moshës, gjinisë dhe zakonit të pirjes së duhanit të anëtarit ose klasës së anëtarëve të grupit.</w:t>
            </w:r>
          </w:p>
        </w:tc>
        <w:tc>
          <w:tcPr>
            <w:tcW w:w="1620" w:type="dxa"/>
          </w:tcPr>
          <w:p w14:paraId="595295C8" w14:textId="77777777" w:rsidR="00B0586E" w:rsidRPr="004E6A4A" w:rsidRDefault="00B0586E" w:rsidP="00C4419F">
            <w:pPr>
              <w:jc w:val="center"/>
              <w:rPr>
                <w:rFonts w:ascii="Times New Roman" w:eastAsia="Calibri" w:hAnsi="Times New Roman" w:cs="Times New Roman"/>
                <w:sz w:val="18"/>
                <w:szCs w:val="18"/>
              </w:rPr>
            </w:pPr>
          </w:p>
          <w:p w14:paraId="1FB0B8E3" w14:textId="4BFD8E8D" w:rsidR="000A21ED" w:rsidRPr="004E6A4A" w:rsidRDefault="00B0586E"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4EB02C47"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Përputhet.</w:t>
            </w:r>
          </w:p>
          <w:p w14:paraId="579F804D"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Transpozohet nga neni 5, pika 42, i projektligjit.</w:t>
            </w:r>
          </w:p>
        </w:tc>
      </w:tr>
      <w:tr w:rsidR="004E6A4A" w:rsidRPr="004E6A4A" w14:paraId="2E04C551" w14:textId="77777777" w:rsidTr="00153084">
        <w:trPr>
          <w:trHeight w:val="764"/>
        </w:trPr>
        <w:tc>
          <w:tcPr>
            <w:tcW w:w="630" w:type="dxa"/>
          </w:tcPr>
          <w:p w14:paraId="2FE3CC0D" w14:textId="77777777" w:rsidR="000A21ED" w:rsidRPr="004E6A4A" w:rsidRDefault="000A21ED" w:rsidP="00C4419F">
            <w:pPr>
              <w:jc w:val="center"/>
              <w:rPr>
                <w:rFonts w:ascii="Times New Roman" w:eastAsia="Calibri" w:hAnsi="Times New Roman" w:cs="Times New Roman"/>
                <w:i/>
                <w:sz w:val="18"/>
                <w:szCs w:val="18"/>
              </w:rPr>
            </w:pPr>
          </w:p>
        </w:tc>
        <w:tc>
          <w:tcPr>
            <w:tcW w:w="4230" w:type="dxa"/>
          </w:tcPr>
          <w:p w14:paraId="1D09E204"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Termi “Kontratë Pensioni Vjetor e Grupit” nënkupton një Kontratë Pensioni Vjetor në të cilën përfituesit janë individë të lidhur nëpërmjet një punëdhënësi, shoqate tregtare, sindikate ose shoqate apo grupi tjetër.</w:t>
            </w:r>
          </w:p>
        </w:tc>
        <w:tc>
          <w:tcPr>
            <w:tcW w:w="1350" w:type="dxa"/>
          </w:tcPr>
          <w:p w14:paraId="191CFDB5" w14:textId="77777777" w:rsidR="000A21ED" w:rsidRPr="004E6A4A" w:rsidRDefault="000A21ED" w:rsidP="00C4419F">
            <w:pPr>
              <w:jc w:val="center"/>
              <w:rPr>
                <w:rFonts w:ascii="Times New Roman" w:eastAsia="Calibri" w:hAnsi="Times New Roman" w:cs="Times New Roman"/>
                <w:sz w:val="18"/>
                <w:szCs w:val="18"/>
              </w:rPr>
            </w:pPr>
          </w:p>
        </w:tc>
        <w:tc>
          <w:tcPr>
            <w:tcW w:w="810" w:type="dxa"/>
          </w:tcPr>
          <w:p w14:paraId="083DD449" w14:textId="77777777" w:rsidR="000A21ED" w:rsidRPr="004E6A4A" w:rsidRDefault="000A21ED" w:rsidP="00C4419F">
            <w:pPr>
              <w:jc w:val="center"/>
              <w:rPr>
                <w:rFonts w:ascii="Times New Roman" w:eastAsia="Times New Roman" w:hAnsi="Times New Roman" w:cs="Times New Roman"/>
                <w:sz w:val="20"/>
                <w:szCs w:val="21"/>
                <w:lang w:eastAsia="sq-AL"/>
              </w:rPr>
            </w:pPr>
          </w:p>
        </w:tc>
        <w:tc>
          <w:tcPr>
            <w:tcW w:w="4590" w:type="dxa"/>
          </w:tcPr>
          <w:p w14:paraId="1F307757" w14:textId="77777777" w:rsidR="00FA0CFF" w:rsidRPr="004E6A4A" w:rsidRDefault="00144445">
            <w:pPr>
              <w:jc w:val="center"/>
            </w:pPr>
            <w:r w:rsidRPr="004E6A4A">
              <w:rPr>
                <w:rFonts w:ascii="Times New Roman" w:eastAsia="Times New Roman" w:hAnsi="Times New Roman" w:cs="Times New Roman"/>
                <w:b/>
                <w:sz w:val="20"/>
              </w:rPr>
              <w:t>Ligji: Neni 5</w:t>
            </w:r>
          </w:p>
          <w:p w14:paraId="215F0DD0" w14:textId="77777777" w:rsidR="00FA0CFF" w:rsidRPr="004E6A4A" w:rsidRDefault="00144445">
            <w:pPr>
              <w:jc w:val="center"/>
            </w:pPr>
            <w:r w:rsidRPr="004E6A4A">
              <w:rPr>
                <w:rFonts w:ascii="Times New Roman" w:eastAsia="Times New Roman" w:hAnsi="Times New Roman" w:cs="Times New Roman"/>
                <w:b/>
                <w:sz w:val="20"/>
              </w:rPr>
              <w:t>Përkufizime</w:t>
            </w:r>
          </w:p>
          <w:p w14:paraId="56A1A9CC" w14:textId="77777777" w:rsidR="00FA0CFF" w:rsidRPr="004E6A4A" w:rsidRDefault="00144445">
            <w:pPr>
              <w:jc w:val="both"/>
            </w:pPr>
            <w:r w:rsidRPr="004E6A4A">
              <w:rPr>
                <w:rFonts w:ascii="Times New Roman" w:eastAsia="Times New Roman" w:hAnsi="Times New Roman" w:cs="Times New Roman"/>
                <w:sz w:val="20"/>
              </w:rPr>
              <w:t>38. “Kontratë pensioni vjetor e grupit” është një kontratë pensioni vjetor që mbulon individë të lidhur me një punëdhënës, shoqatë tregtare, sindikatë punëtorësh ose ndonjë shoqatë apo grup tjetër.</w:t>
            </w:r>
          </w:p>
        </w:tc>
        <w:tc>
          <w:tcPr>
            <w:tcW w:w="1620" w:type="dxa"/>
          </w:tcPr>
          <w:p w14:paraId="1245BD75" w14:textId="77777777" w:rsidR="00B0586E" w:rsidRPr="004E6A4A" w:rsidRDefault="00B0586E" w:rsidP="00C4419F">
            <w:pPr>
              <w:jc w:val="center"/>
              <w:rPr>
                <w:rFonts w:ascii="Times New Roman" w:eastAsia="Calibri" w:hAnsi="Times New Roman" w:cs="Times New Roman"/>
                <w:sz w:val="18"/>
                <w:szCs w:val="18"/>
              </w:rPr>
            </w:pPr>
          </w:p>
          <w:p w14:paraId="3F94AD1A" w14:textId="3381B692" w:rsidR="000A21ED" w:rsidRPr="004E6A4A" w:rsidRDefault="00B0586E"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12FBCAA8"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Përputhet.</w:t>
            </w:r>
          </w:p>
          <w:p w14:paraId="609A56D0"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Transpozohet nga neni 5, pika 38, i projektligjit.</w:t>
            </w:r>
          </w:p>
        </w:tc>
      </w:tr>
      <w:tr w:rsidR="004E6A4A" w:rsidRPr="004E6A4A" w14:paraId="271D5783" w14:textId="77777777" w:rsidTr="00153084">
        <w:trPr>
          <w:trHeight w:val="764"/>
        </w:trPr>
        <w:tc>
          <w:tcPr>
            <w:tcW w:w="630" w:type="dxa"/>
          </w:tcPr>
          <w:p w14:paraId="08127099" w14:textId="77777777" w:rsidR="000A21ED" w:rsidRPr="004E6A4A" w:rsidRDefault="000A21ED" w:rsidP="00C4419F">
            <w:pPr>
              <w:jc w:val="center"/>
              <w:rPr>
                <w:rFonts w:ascii="Times New Roman" w:eastAsia="Calibri" w:hAnsi="Times New Roman" w:cs="Times New Roman"/>
                <w:i/>
                <w:sz w:val="18"/>
                <w:szCs w:val="18"/>
              </w:rPr>
            </w:pPr>
          </w:p>
        </w:tc>
        <w:tc>
          <w:tcPr>
            <w:tcW w:w="4230" w:type="dxa"/>
          </w:tcPr>
          <w:p w14:paraId="1C0143DB" w14:textId="77777777" w:rsidR="008C56DE" w:rsidRPr="004E6A4A" w:rsidRDefault="00144445">
            <w:pPr>
              <w:rPr>
                <w:rFonts w:ascii="Times New Roman" w:eastAsia="Times New Roman" w:hAnsi="Times New Roman" w:cs="Times New Roman"/>
                <w:b/>
                <w:bCs/>
                <w:sz w:val="20"/>
                <w:szCs w:val="20"/>
              </w:rPr>
            </w:pPr>
            <w:r w:rsidRPr="004E6A4A">
              <w:rPr>
                <w:rFonts w:ascii="Times New Roman" w:eastAsia="Times New Roman" w:hAnsi="Times New Roman" w:cs="Times New Roman"/>
                <w:b/>
                <w:bCs/>
                <w:sz w:val="20"/>
                <w:szCs w:val="20"/>
              </w:rPr>
              <w:t>Aneksi I,  Seksioni VII,  Paragrafi C</w:t>
            </w:r>
          </w:p>
          <w:p w14:paraId="7794D750"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w:t>
            </w:r>
            <w:r w:rsidRPr="004E6A4A">
              <w:rPr>
                <w:rFonts w:ascii="Times New Roman" w:eastAsia="Times New Roman" w:hAnsi="Times New Roman" w:cs="Times New Roman"/>
                <w:sz w:val="20"/>
                <w:szCs w:val="20"/>
              </w:rPr>
              <w:tab/>
              <w:t>Rregullat për totalizimin e gjendjes së llogarive dhe për monedhën</w:t>
            </w:r>
          </w:p>
          <w:p w14:paraId="2414FF17"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1.</w:t>
            </w:r>
            <w:r w:rsidRPr="004E6A4A">
              <w:rPr>
                <w:rFonts w:ascii="Times New Roman" w:eastAsia="Times New Roman" w:hAnsi="Times New Roman" w:cs="Times New Roman"/>
                <w:sz w:val="20"/>
                <w:szCs w:val="20"/>
              </w:rPr>
              <w:tab/>
              <w:t>Totalizimi i llogarive individuale. Për qëllime të përcaktimit të gjendjes ose vlerës së totalizuar të Llogarive Financiare të mbajtura nga një individ, një Institucion Financiar Raportues duhet të totalizojë të gjitha Llogaritë Financiare të mbajtura nga Institucioni Financiar Raportues ose nga një Njësi Ekonomike e Lidhur, por vetëm për aq sa sistemet e kompjuterizuara të Institucionit Financiar Raportues i lidhin Llogaritë Financiare me referencë në një element të dhënash, si numri i klientit ose TIN-i, dhe lejojnë totalizimin e gjendjeve ose vlerave të llogarive. Çdo mbajtësi të një Llogarie Financiare të mbajtur bashkërisht i atribuohet e gjithë gjendja ose vlera e Llogarisë Financiare të mbajtur bashkërisht për qëllime të zbatimit të kërkesave për totalizim të përshkruara në këtë nënparagraf.</w:t>
            </w:r>
          </w:p>
          <w:p w14:paraId="548AE5E7"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2.</w:t>
            </w:r>
            <w:r w:rsidRPr="004E6A4A">
              <w:rPr>
                <w:rFonts w:ascii="Times New Roman" w:eastAsia="Times New Roman" w:hAnsi="Times New Roman" w:cs="Times New Roman"/>
                <w:sz w:val="20"/>
                <w:szCs w:val="20"/>
              </w:rPr>
              <w:tab/>
              <w:t xml:space="preserve">Totalizimi i llogarive të njësive ekonomike. Për qëllime të përcaktimit të gjendjes ose vlerës së totalizuar të Llogarive Financiare të mbajtura nga një Njësi Ekonomike, një Institucion Financiar Raportues duhet të marrë parasysh të gjitha Llogaritë Financiare që mbahen nga Institucioni Financiar Raportues ose nga një Njësi Ekonomike e Lidhur, por vetëm për aq sa sistemet e kompjuterizuara të Institucionit Financiar Raportues i lidhin Llogaritë Financiare me referencë në një element të dhënash, si numri i </w:t>
            </w:r>
            <w:r w:rsidRPr="004E6A4A">
              <w:rPr>
                <w:rFonts w:ascii="Times New Roman" w:eastAsia="Times New Roman" w:hAnsi="Times New Roman" w:cs="Times New Roman"/>
                <w:sz w:val="20"/>
                <w:szCs w:val="20"/>
              </w:rPr>
              <w:lastRenderedPageBreak/>
              <w:t>klientit ose TIN-i, dhe lejojnë totalizimin e gjendjeve ose vlerave të llogarive. Çdo mbajtësi të një Llogarie Financiare të mbajtur bashkërisht i atribuohet e gjithë gjendja ose vlera e Llogarisë Financiare të mbajtur bashkërisht për qëllime të zbatimit të kërkesave për totalizim të përshkruara në këtë nënparagraf.</w:t>
            </w:r>
          </w:p>
          <w:p w14:paraId="6FA2B2DF"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3.</w:t>
            </w:r>
            <w:r w:rsidRPr="004E6A4A">
              <w:rPr>
                <w:rFonts w:ascii="Times New Roman" w:eastAsia="Times New Roman" w:hAnsi="Times New Roman" w:cs="Times New Roman"/>
                <w:sz w:val="20"/>
                <w:szCs w:val="20"/>
              </w:rPr>
              <w:tab/>
              <w:t>Rregulli i veçantë i totalizimit që zbatohet për menaxherët e marrëdhënieve. Për qëllime të përcaktimit të gjendjes ose vlerës së totalizuar të Llogarive Financiare të mbajtura nga një person, me qëllim përcaktimin nëse një llogari financiare është Llogari me Vlerë të Madhe, një Institucion Financiar Raportues duhet gjithashtu, në rastin e çdo Llogarie Financiare për të cilën një menaxher marrëdhënieje e di, ose ka arsye të dijë, se zotërohet, kontrollohet ose është krijuar (përveçse në cilësi fiduciare) drejtpërdrejt ose tërthorazi nga i njëjti person, të totalizojë të gjitha këto llogari.</w:t>
            </w:r>
          </w:p>
          <w:p w14:paraId="4FB4FAB0"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4.</w:t>
            </w:r>
            <w:r w:rsidRPr="004E6A4A">
              <w:rPr>
                <w:rFonts w:ascii="Times New Roman" w:eastAsia="Times New Roman" w:hAnsi="Times New Roman" w:cs="Times New Roman"/>
                <w:sz w:val="20"/>
                <w:szCs w:val="20"/>
              </w:rPr>
              <w:tab/>
              <w:t>Shumat kuptohen se përfshijnë ekuivalentin në monedha të tjera. Të gjitha shumat e shprehura në monedhën vendase të çdo shteti anëtar kuptohen se përfshijnë shumat ekuivalente në monedha të tjera, siç përcaktohen në legjislacionin e brendshëm.</w:t>
            </w:r>
          </w:p>
        </w:tc>
        <w:tc>
          <w:tcPr>
            <w:tcW w:w="1350" w:type="dxa"/>
          </w:tcPr>
          <w:p w14:paraId="433EA790" w14:textId="77777777" w:rsidR="000A21ED" w:rsidRPr="004E6A4A" w:rsidRDefault="000A21ED" w:rsidP="00C4419F">
            <w:pPr>
              <w:jc w:val="center"/>
              <w:rPr>
                <w:rFonts w:ascii="Times New Roman" w:eastAsia="Calibri" w:hAnsi="Times New Roman" w:cs="Times New Roman"/>
                <w:sz w:val="18"/>
                <w:szCs w:val="18"/>
              </w:rPr>
            </w:pPr>
          </w:p>
        </w:tc>
        <w:tc>
          <w:tcPr>
            <w:tcW w:w="810" w:type="dxa"/>
          </w:tcPr>
          <w:p w14:paraId="55AF12A2" w14:textId="77777777" w:rsidR="000A21ED" w:rsidRPr="004E6A4A" w:rsidRDefault="000A21ED" w:rsidP="00C4419F">
            <w:pPr>
              <w:jc w:val="center"/>
              <w:rPr>
                <w:rFonts w:ascii="Times New Roman" w:eastAsia="Times New Roman" w:hAnsi="Times New Roman" w:cs="Times New Roman"/>
                <w:sz w:val="20"/>
                <w:szCs w:val="21"/>
                <w:lang w:eastAsia="sq-AL"/>
              </w:rPr>
            </w:pPr>
          </w:p>
        </w:tc>
        <w:tc>
          <w:tcPr>
            <w:tcW w:w="4590" w:type="dxa"/>
          </w:tcPr>
          <w:p w14:paraId="6D021E82" w14:textId="77777777" w:rsidR="00FA0CFF" w:rsidRPr="004E6A4A" w:rsidRDefault="00144445">
            <w:pPr>
              <w:jc w:val="center"/>
            </w:pPr>
            <w:r w:rsidRPr="004E6A4A">
              <w:rPr>
                <w:rFonts w:ascii="Times New Roman" w:eastAsia="Times New Roman" w:hAnsi="Times New Roman" w:cs="Times New Roman"/>
                <w:b/>
                <w:sz w:val="20"/>
              </w:rPr>
              <w:t>VKM: Neni 10</w:t>
            </w:r>
          </w:p>
          <w:p w14:paraId="055942A3" w14:textId="77777777" w:rsidR="00FA0CFF" w:rsidRPr="004E6A4A" w:rsidRDefault="00144445">
            <w:pPr>
              <w:jc w:val="center"/>
            </w:pPr>
            <w:r w:rsidRPr="004E6A4A">
              <w:rPr>
                <w:rFonts w:ascii="Times New Roman" w:eastAsia="Times New Roman" w:hAnsi="Times New Roman" w:cs="Times New Roman"/>
                <w:b/>
                <w:sz w:val="20"/>
              </w:rPr>
              <w:t>Rregullat e veçanta të vigjilencës së duhur</w:t>
            </w:r>
          </w:p>
          <w:p w14:paraId="4C5E1FC9" w14:textId="77777777" w:rsidR="00FA0CFF" w:rsidRPr="004E6A4A" w:rsidRDefault="00144445">
            <w:pPr>
              <w:jc w:val="both"/>
            </w:pPr>
            <w:r w:rsidRPr="004E6A4A">
              <w:rPr>
                <w:rFonts w:ascii="Times New Roman" w:eastAsia="Times New Roman" w:hAnsi="Times New Roman" w:cs="Times New Roman"/>
                <w:sz w:val="20"/>
              </w:rPr>
              <w:t>Rregullat e mëposhtme aplikohen për zbatimin e procedurave të vigjilencës së duhur të përshkruar më sipër:</w:t>
            </w:r>
          </w:p>
          <w:p w14:paraId="51F6412D" w14:textId="77777777" w:rsidR="00FA0CFF" w:rsidRPr="004E6A4A" w:rsidRDefault="00144445">
            <w:pPr>
              <w:jc w:val="both"/>
            </w:pPr>
            <w:r w:rsidRPr="004E6A4A">
              <w:rPr>
                <w:rFonts w:ascii="Times New Roman" w:eastAsia="Times New Roman" w:hAnsi="Times New Roman" w:cs="Times New Roman"/>
                <w:sz w:val="20"/>
              </w:rPr>
              <w:t>5. Mbledhja e balancave të llogarisë dhe rregullat e monedhës.</w:t>
            </w:r>
          </w:p>
          <w:p w14:paraId="6F2F4F69" w14:textId="77777777" w:rsidR="00FA0CFF" w:rsidRPr="004E6A4A" w:rsidRDefault="00144445">
            <w:pPr>
              <w:jc w:val="both"/>
            </w:pPr>
            <w:r w:rsidRPr="004E6A4A">
              <w:rPr>
                <w:rFonts w:ascii="Times New Roman" w:eastAsia="Times New Roman" w:hAnsi="Times New Roman" w:cs="Times New Roman"/>
                <w:sz w:val="20"/>
              </w:rPr>
              <w:t>a) Mbledhja e llogarive individuale. Për qëllime të përcaktimit të balancës ose të vlerës totale të llogarive financiare të mbajtura nga një individ, një institucion financiar raportues kërkohet të mbledhë të gjitha llogaritë financiare të mbajtura nga institucioni financiar raportues ose nga një njësi ekonomike e lidhur me të, por vetëm deri në masën që sistemet e kompjuterizuara të institucionit financiar raportues i lidhin llogaritë financiare, duke iu referuar një elementi të të dhënave si numri i klientit ose TIN- i dhe lejojnë që balancat e llogarive ose vlerat të mblidhen. Çdo mbajtësi të një llogarie financiare të mbajtur së bashku do t’i atribuohet e gjithë balanca ose vlera e llogarisë financiare të mbajtur së bashku për qëllime të zbatimit të kërkesave të mbledhjes të përshkruara në këtë paragraf.</w:t>
            </w:r>
          </w:p>
          <w:p w14:paraId="050656D9" w14:textId="77777777" w:rsidR="00FA0CFF" w:rsidRPr="004E6A4A" w:rsidRDefault="00144445">
            <w:pPr>
              <w:jc w:val="both"/>
            </w:pPr>
            <w:r w:rsidRPr="004E6A4A">
              <w:rPr>
                <w:rFonts w:ascii="Times New Roman" w:eastAsia="Times New Roman" w:hAnsi="Times New Roman" w:cs="Times New Roman"/>
                <w:sz w:val="20"/>
              </w:rPr>
              <w:t xml:space="preserve">b) Mbledhja e llogarive të njësisë ekonomike. Për qëllime të përcaktimit të balancës ose të vlerës së llogarive financiare të mbajtura nga një njësi ekonomike, një institucioni financiar raportues i kërkohet të marrë parasysh të gjitha llogaritë financiare që mbahen nga institucioni financiar raportues ose nga një njësi ekonomike e lidhur me të, por vetëm deri në masën që sistemet e kompjuterizuara të institucionit </w:t>
            </w:r>
            <w:r w:rsidRPr="004E6A4A">
              <w:rPr>
                <w:rFonts w:ascii="Times New Roman" w:eastAsia="Times New Roman" w:hAnsi="Times New Roman" w:cs="Times New Roman"/>
                <w:sz w:val="20"/>
              </w:rPr>
              <w:lastRenderedPageBreak/>
              <w:t>financiar raportues i lidhin llogaritë financiare, duke iu referuar një elementi të të dhënave, si numri i klientit ose TIN-i dhe lejojnë që vlerat e llogarive të mblidhen. Çdo mbajtësi të një llogarie financiare të mbajtur së bashku do t’i atribuohet e gjithë gjendja ose vlera e llogarisë financiare, për qëllime të zbatimit të kërkesave të mbledhjes të përshkruara në këtë shkronjë.</w:t>
            </w:r>
          </w:p>
          <w:p w14:paraId="5F3E854B" w14:textId="77777777" w:rsidR="00FA0CFF" w:rsidRPr="004E6A4A" w:rsidRDefault="00144445">
            <w:pPr>
              <w:jc w:val="both"/>
            </w:pPr>
            <w:r w:rsidRPr="004E6A4A">
              <w:rPr>
                <w:rFonts w:ascii="Times New Roman" w:eastAsia="Times New Roman" w:hAnsi="Times New Roman" w:cs="Times New Roman"/>
                <w:sz w:val="20"/>
              </w:rPr>
              <w:t>c) Rregulla e veçantë e mbledhjes që zbatohet për menaxherët e marrëdhënieve. Për qëllime të përcaktimit të balancës ose të vlerës së llogarive financiare të mbajtura nga një person për të përcaktuar nëse një llogari financiare është një llogari me vlerë të madhe, kërkohet, gjithashtu, një institucion financiar raportues, në rastin e llogarive financiare që një menaxher i marrëdhënieve e di, ose ka arsye të dijë, që janë në pronësi të drejtpërdrejtë ose të tërthortë, të kontrolluar, ose të krijuara (përveç rasteve kur janë krijuar në cilësi fiduciare) nga i njëjti person, për t’i mbledhur të gjitha këto llogari.</w:t>
            </w:r>
          </w:p>
          <w:p w14:paraId="7C8C6C81" w14:textId="77777777" w:rsidR="00FA0CFF" w:rsidRPr="004E6A4A" w:rsidRDefault="00144445">
            <w:pPr>
              <w:jc w:val="both"/>
            </w:pPr>
            <w:r w:rsidRPr="004E6A4A">
              <w:rPr>
                <w:rFonts w:ascii="Times New Roman" w:eastAsia="Times New Roman" w:hAnsi="Times New Roman" w:cs="Times New Roman"/>
                <w:sz w:val="20"/>
              </w:rPr>
              <w:t>6. Të gjitha shumat e shprehura në dollarë amerikanë konsiderohen se përfshijnë shumën ekuivalente në monedha të tjera. Për konvertimin e një pragu të shprehur në dollarë amerikanë në lekë ose në një monedhë tjetër përdoret kursi zyrtar i këmbimit i publikuar nga Banka e Shqipërisë për datën për të cilën përcaktohet balanca ose vlera e llogarisë. Kur për atë datë nuk publikohet kurs zyrtar, përdoret kursi i fundit zyrtar i publikuar përpara asaj date.</w:t>
            </w:r>
          </w:p>
          <w:p w14:paraId="322B7E09" w14:textId="77777777" w:rsidR="00FA0CFF" w:rsidRPr="004E6A4A" w:rsidRDefault="00144445">
            <w:pPr>
              <w:jc w:val="both"/>
            </w:pPr>
            <w:r w:rsidRPr="004E6A4A">
              <w:rPr>
                <w:rFonts w:ascii="Times New Roman" w:eastAsia="Times New Roman" w:hAnsi="Times New Roman" w:cs="Times New Roman"/>
                <w:sz w:val="20"/>
              </w:rPr>
              <w:t>7. Llogaritë me balancë/gjendje negative. Një llogari me një balancë/gjendje ose vlerë që është negative konsiderohet se ka një balancë/gjendje ose vlerë të barabartë me zero.</w:t>
            </w:r>
          </w:p>
          <w:p w14:paraId="498EEBC5" w14:textId="77777777" w:rsidR="00FA0CFF" w:rsidRPr="004E6A4A" w:rsidRDefault="00FA0CFF"/>
          <w:p w14:paraId="0AF7CFDE" w14:textId="77777777" w:rsidR="00FA0CFF" w:rsidRPr="004E6A4A" w:rsidRDefault="00144445">
            <w:pPr>
              <w:jc w:val="center"/>
            </w:pPr>
            <w:r w:rsidRPr="004E6A4A">
              <w:rPr>
                <w:rFonts w:ascii="Times New Roman" w:eastAsia="Times New Roman" w:hAnsi="Times New Roman" w:cs="Times New Roman"/>
                <w:b/>
                <w:sz w:val="20"/>
              </w:rPr>
              <w:t>Ligji: Neni 12</w:t>
            </w:r>
          </w:p>
          <w:p w14:paraId="5FEE2F52" w14:textId="77777777" w:rsidR="00FA0CFF" w:rsidRPr="004E6A4A" w:rsidRDefault="00144445">
            <w:pPr>
              <w:jc w:val="center"/>
            </w:pPr>
            <w:r w:rsidRPr="004E6A4A">
              <w:rPr>
                <w:rFonts w:ascii="Times New Roman" w:eastAsia="Times New Roman" w:hAnsi="Times New Roman" w:cs="Times New Roman"/>
                <w:b/>
                <w:sz w:val="20"/>
              </w:rPr>
              <w:t>Rregulla të veçanta të vigjilencës së duhur</w:t>
            </w:r>
          </w:p>
          <w:p w14:paraId="4F9A350E" w14:textId="77777777" w:rsidR="00FA0CFF" w:rsidRPr="004E6A4A" w:rsidRDefault="00144445">
            <w:pPr>
              <w:jc w:val="both"/>
            </w:pPr>
            <w:r w:rsidRPr="004E6A4A">
              <w:rPr>
                <w:rFonts w:ascii="Times New Roman" w:eastAsia="Times New Roman" w:hAnsi="Times New Roman" w:cs="Times New Roman"/>
                <w:sz w:val="20"/>
              </w:rPr>
              <w:lastRenderedPageBreak/>
              <w:t>5. Për qëllime të përcaktimit të balancës ose vlerës totale të llogarive financiare të mbajtura nga një individ ose një njësi ekonomike, institucioni financiar raportues mbledh llogaritë financiare të mbajtura nga ai institucion ose nga një Njësi Ekonomike e Lidhur, në masën që sistemet e tij të kompjuterizuara i lidhin llogaritë dhe mundësojnë mbledhjen e balancave ose vlerave.</w:t>
            </w:r>
          </w:p>
          <w:p w14:paraId="69F232E0" w14:textId="77777777" w:rsidR="00FA0CFF" w:rsidRPr="004E6A4A" w:rsidRDefault="00144445">
            <w:pPr>
              <w:jc w:val="both"/>
            </w:pPr>
            <w:r w:rsidRPr="004E6A4A">
              <w:rPr>
                <w:rFonts w:ascii="Times New Roman" w:eastAsia="Times New Roman" w:hAnsi="Times New Roman" w:cs="Times New Roman"/>
                <w:sz w:val="20"/>
              </w:rPr>
              <w:t>6. Për qëllime të përcaktimit nëse një llogari është Llogari me Vlerë të madhe, institucioni financiar raportues mbledh, sipas rastit, edhe llogaritë për të cilat një menaxher i marrëdhënies me klientin ka dijeni ose ka arsye të dijë se janë në pronësi të drejtpërdrejtë ose të tërthortë, të kontrolluara ose të krijuara, drejtpërdrejt ose tërthorazi, nga i njëjti person, përveç rasteve kur janë krijuar në cilësi fiduciare.</w:t>
            </w:r>
          </w:p>
          <w:p w14:paraId="0B969E95" w14:textId="77777777" w:rsidR="00FA0CFF" w:rsidRPr="004E6A4A" w:rsidRDefault="00144445">
            <w:pPr>
              <w:jc w:val="both"/>
            </w:pPr>
            <w:r w:rsidRPr="004E6A4A">
              <w:rPr>
                <w:rFonts w:ascii="Times New Roman" w:eastAsia="Times New Roman" w:hAnsi="Times New Roman" w:cs="Times New Roman"/>
                <w:sz w:val="20"/>
              </w:rPr>
              <w:t>7. Për qëllimet e këtij ligji, shumat e shprehura në dollarë amerikanë konsiderohen se përfshijnë ekuivalentin në monedhën vendase ose në monedha të tjera, sipas kursit të këmbimit të përcaktuar në aktin nënligjor.</w:t>
            </w:r>
          </w:p>
          <w:p w14:paraId="2C4E807D" w14:textId="77777777" w:rsidR="00FA0CFF" w:rsidRPr="004E6A4A" w:rsidRDefault="00144445">
            <w:pPr>
              <w:jc w:val="both"/>
            </w:pPr>
            <w:r w:rsidRPr="004E6A4A">
              <w:rPr>
                <w:rFonts w:ascii="Times New Roman" w:eastAsia="Times New Roman" w:hAnsi="Times New Roman" w:cs="Times New Roman"/>
                <w:sz w:val="20"/>
              </w:rPr>
              <w:t>8. Një llogari me balancë ose vlerë negative konsiderohet se ka balancë ose vlerë zero për qëllimet e këtij ligji.</w:t>
            </w:r>
          </w:p>
        </w:tc>
        <w:tc>
          <w:tcPr>
            <w:tcW w:w="1620" w:type="dxa"/>
          </w:tcPr>
          <w:p w14:paraId="36164DB0" w14:textId="77777777" w:rsidR="00B0586E" w:rsidRPr="004E6A4A" w:rsidRDefault="00B0586E" w:rsidP="00C4419F">
            <w:pPr>
              <w:jc w:val="center"/>
              <w:rPr>
                <w:rFonts w:ascii="Times New Roman" w:eastAsia="Calibri" w:hAnsi="Times New Roman" w:cs="Times New Roman"/>
                <w:sz w:val="18"/>
                <w:szCs w:val="18"/>
              </w:rPr>
            </w:pPr>
          </w:p>
          <w:p w14:paraId="6F0C1B01" w14:textId="1B05518D" w:rsidR="000A21ED" w:rsidRPr="004E6A4A" w:rsidRDefault="00B0586E"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5AA40464"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Përputhet.</w:t>
            </w:r>
          </w:p>
          <w:p w14:paraId="61494705"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Transpozohet nga neni 10, pikat 5, 6 dhe 7, të VKM-së.</w:t>
            </w:r>
          </w:p>
        </w:tc>
      </w:tr>
      <w:tr w:rsidR="004E6A4A" w:rsidRPr="004E6A4A" w14:paraId="4D67ED31" w14:textId="77777777" w:rsidTr="00153084">
        <w:trPr>
          <w:trHeight w:val="764"/>
        </w:trPr>
        <w:tc>
          <w:tcPr>
            <w:tcW w:w="630" w:type="dxa"/>
          </w:tcPr>
          <w:p w14:paraId="2BB3051F" w14:textId="77777777" w:rsidR="000A21ED" w:rsidRPr="004E6A4A" w:rsidRDefault="000A21ED" w:rsidP="00C4419F">
            <w:pPr>
              <w:jc w:val="center"/>
              <w:rPr>
                <w:rFonts w:ascii="Times New Roman" w:eastAsia="Calibri" w:hAnsi="Times New Roman" w:cs="Times New Roman"/>
                <w:i/>
                <w:sz w:val="18"/>
                <w:szCs w:val="18"/>
              </w:rPr>
            </w:pPr>
          </w:p>
        </w:tc>
        <w:tc>
          <w:tcPr>
            <w:tcW w:w="4230" w:type="dxa"/>
          </w:tcPr>
          <w:p w14:paraId="53366AB9" w14:textId="77777777" w:rsidR="008C56DE" w:rsidRPr="004E6A4A" w:rsidRDefault="00144445">
            <w:pPr>
              <w:rPr>
                <w:rFonts w:ascii="Times New Roman" w:eastAsia="Times New Roman" w:hAnsi="Times New Roman" w:cs="Times New Roman"/>
                <w:b/>
                <w:bCs/>
                <w:sz w:val="20"/>
                <w:szCs w:val="20"/>
              </w:rPr>
            </w:pPr>
            <w:r w:rsidRPr="004E6A4A">
              <w:rPr>
                <w:rFonts w:ascii="Times New Roman" w:eastAsia="Times New Roman" w:hAnsi="Times New Roman" w:cs="Times New Roman"/>
                <w:b/>
                <w:bCs/>
                <w:sz w:val="20"/>
                <w:szCs w:val="20"/>
              </w:rPr>
              <w:t>Aneksi I,  Seksioni VIII,  Paragrafi A</w:t>
            </w:r>
          </w:p>
          <w:p w14:paraId="69A9283A"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SEKSIONI VIII</w:t>
            </w:r>
          </w:p>
          <w:p w14:paraId="19791DED"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TERMAT E PËRKUFIZUAR</w:t>
            </w:r>
          </w:p>
          <w:p w14:paraId="567DD34E"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Termat e mëposhtëm kanë kuptimin e përcaktuar më poshtë:</w:t>
            </w:r>
          </w:p>
          <w:p w14:paraId="342038BE"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A.</w:t>
            </w:r>
            <w:r w:rsidRPr="004E6A4A">
              <w:rPr>
                <w:rFonts w:ascii="Times New Roman" w:eastAsia="Times New Roman" w:hAnsi="Times New Roman" w:cs="Times New Roman"/>
                <w:sz w:val="20"/>
                <w:szCs w:val="20"/>
              </w:rPr>
              <w:tab/>
              <w:t>Institucion Financiar Raportues</w:t>
            </w:r>
          </w:p>
          <w:p w14:paraId="532DAFF5"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1.</w:t>
            </w:r>
            <w:r w:rsidRPr="004E6A4A">
              <w:rPr>
                <w:rFonts w:ascii="Times New Roman" w:eastAsia="Times New Roman" w:hAnsi="Times New Roman" w:cs="Times New Roman"/>
                <w:sz w:val="20"/>
                <w:szCs w:val="20"/>
              </w:rPr>
              <w:tab/>
              <w:t xml:space="preserve">Termi “Institucion Financiar Raportues” nënkupton çdo Institucion Financiar të Shtetit Anëtar që nuk është Institucion Financiar Joraportues. Termi “Institucion Financiar i Shtetit Anëtar” nënkupton: (i) çdo Institucion Financiar që është rezident në një shtet anëtar, por përjashton çdo degë të këtij Institucioni Financiar që ndodhet </w:t>
            </w:r>
            <w:r w:rsidRPr="004E6A4A">
              <w:rPr>
                <w:rFonts w:ascii="Times New Roman" w:eastAsia="Times New Roman" w:hAnsi="Times New Roman" w:cs="Times New Roman"/>
                <w:sz w:val="20"/>
                <w:szCs w:val="20"/>
              </w:rPr>
              <w:lastRenderedPageBreak/>
              <w:t>jashtë këtij shteti anëtar; dhe (ii) çdo degë të një Institucioni Financiar që nuk është rezident në një shtet anëtar, nëse kjo degë ndodhet në këtë shtet anëtar.</w:t>
            </w:r>
          </w:p>
        </w:tc>
        <w:tc>
          <w:tcPr>
            <w:tcW w:w="1350" w:type="dxa"/>
          </w:tcPr>
          <w:p w14:paraId="3D88D280" w14:textId="77777777" w:rsidR="000A21ED" w:rsidRPr="004E6A4A" w:rsidRDefault="000A21ED" w:rsidP="00C4419F">
            <w:pPr>
              <w:jc w:val="center"/>
              <w:rPr>
                <w:rFonts w:ascii="Times New Roman" w:eastAsia="Calibri" w:hAnsi="Times New Roman" w:cs="Times New Roman"/>
                <w:sz w:val="18"/>
                <w:szCs w:val="18"/>
              </w:rPr>
            </w:pPr>
          </w:p>
        </w:tc>
        <w:tc>
          <w:tcPr>
            <w:tcW w:w="810" w:type="dxa"/>
          </w:tcPr>
          <w:p w14:paraId="45003CE9" w14:textId="77777777" w:rsidR="000A21ED" w:rsidRPr="004E6A4A" w:rsidRDefault="000A21ED" w:rsidP="00C4419F">
            <w:pPr>
              <w:jc w:val="center"/>
              <w:rPr>
                <w:rFonts w:ascii="Times New Roman" w:eastAsia="Times New Roman" w:hAnsi="Times New Roman" w:cs="Times New Roman"/>
                <w:sz w:val="20"/>
                <w:szCs w:val="21"/>
                <w:lang w:eastAsia="sq-AL"/>
              </w:rPr>
            </w:pPr>
          </w:p>
        </w:tc>
        <w:tc>
          <w:tcPr>
            <w:tcW w:w="4590" w:type="dxa"/>
          </w:tcPr>
          <w:p w14:paraId="1AC4292A" w14:textId="77777777" w:rsidR="00FA0CFF" w:rsidRPr="004E6A4A" w:rsidRDefault="00144445">
            <w:pPr>
              <w:jc w:val="center"/>
            </w:pPr>
            <w:r w:rsidRPr="004E6A4A">
              <w:rPr>
                <w:rFonts w:ascii="Times New Roman" w:eastAsia="Times New Roman" w:hAnsi="Times New Roman" w:cs="Times New Roman"/>
                <w:b/>
                <w:sz w:val="20"/>
              </w:rPr>
              <w:t>Ligji: Neni 5</w:t>
            </w:r>
          </w:p>
          <w:p w14:paraId="726BFDF5" w14:textId="77777777" w:rsidR="00FA0CFF" w:rsidRPr="004E6A4A" w:rsidRDefault="00144445">
            <w:pPr>
              <w:jc w:val="center"/>
            </w:pPr>
            <w:r w:rsidRPr="004E6A4A">
              <w:rPr>
                <w:rFonts w:ascii="Times New Roman" w:eastAsia="Times New Roman" w:hAnsi="Times New Roman" w:cs="Times New Roman"/>
                <w:b/>
                <w:sz w:val="20"/>
              </w:rPr>
              <w:t>Përkufizime</w:t>
            </w:r>
          </w:p>
          <w:p w14:paraId="33FA87B5" w14:textId="77777777" w:rsidR="00FA0CFF" w:rsidRPr="004E6A4A" w:rsidRDefault="00144445">
            <w:pPr>
              <w:jc w:val="both"/>
            </w:pPr>
            <w:r w:rsidRPr="004E6A4A">
              <w:rPr>
                <w:rFonts w:ascii="Times New Roman" w:eastAsia="Times New Roman" w:hAnsi="Times New Roman" w:cs="Times New Roman"/>
                <w:sz w:val="20"/>
              </w:rPr>
              <w:t>4. “Institucion financiar raportues” është çdo institucion financiar në Republikën e Shqipërisë që nuk është institucion financiar joraportues.</w:t>
            </w:r>
          </w:p>
          <w:p w14:paraId="2D34ED37" w14:textId="77777777" w:rsidR="00FA0CFF" w:rsidRPr="004E6A4A" w:rsidRDefault="00144445">
            <w:pPr>
              <w:jc w:val="both"/>
            </w:pPr>
            <w:r w:rsidRPr="004E6A4A">
              <w:rPr>
                <w:rFonts w:ascii="Times New Roman" w:eastAsia="Times New Roman" w:hAnsi="Times New Roman" w:cs="Times New Roman"/>
                <w:sz w:val="20"/>
              </w:rPr>
              <w:t>3. “Institucion financiar në Republikën e Shqipërisë” është:</w:t>
            </w:r>
          </w:p>
          <w:p w14:paraId="627D353D" w14:textId="77777777" w:rsidR="00FA0CFF" w:rsidRPr="004E6A4A" w:rsidRDefault="00144445">
            <w:pPr>
              <w:jc w:val="both"/>
            </w:pPr>
            <w:r w:rsidRPr="004E6A4A">
              <w:rPr>
                <w:rFonts w:ascii="Times New Roman" w:eastAsia="Times New Roman" w:hAnsi="Times New Roman" w:cs="Times New Roman"/>
                <w:sz w:val="20"/>
              </w:rPr>
              <w:t>a) çdo institucion financiar rezident në Republikën e Shqipërisë, me përjashtim të çdo dege të këtij institucioni financiar që ndodhet jashtë territorit të Republikës së Shqipërisë; dhe</w:t>
            </w:r>
          </w:p>
          <w:p w14:paraId="78705254" w14:textId="77777777" w:rsidR="00FA0CFF" w:rsidRPr="004E6A4A" w:rsidRDefault="00144445">
            <w:pPr>
              <w:jc w:val="both"/>
            </w:pPr>
            <w:r w:rsidRPr="004E6A4A">
              <w:rPr>
                <w:rFonts w:ascii="Times New Roman" w:eastAsia="Times New Roman" w:hAnsi="Times New Roman" w:cs="Times New Roman"/>
                <w:sz w:val="20"/>
              </w:rPr>
              <w:lastRenderedPageBreak/>
              <w:t>b) çdo degë e një institucioni financiar jorezident në Republikën e Shqipërisë, nëse kjo degë është e vendosur në Republikën e Shqipërisë.</w:t>
            </w:r>
          </w:p>
          <w:p w14:paraId="0813534F" w14:textId="77777777" w:rsidR="00FA0CFF" w:rsidRPr="004E6A4A" w:rsidRDefault="00144445">
            <w:pPr>
              <w:jc w:val="both"/>
            </w:pPr>
            <w:r w:rsidRPr="004E6A4A">
              <w:rPr>
                <w:rFonts w:ascii="Times New Roman" w:eastAsia="Times New Roman" w:hAnsi="Times New Roman" w:cs="Times New Roman"/>
                <w:sz w:val="20"/>
              </w:rPr>
              <w:t>Termi “institucion financiar” përfshin një institucion kujdestarie, institucionin depozitues, njësinë ekonomike të investimeve dhe shoqërinë e sigurimeve të specifikuar, sipas përcaktimeve të këtij ligji.</w:t>
            </w:r>
          </w:p>
          <w:p w14:paraId="686FBBAA" w14:textId="77777777" w:rsidR="00FA0CFF" w:rsidRPr="004E6A4A" w:rsidRDefault="00FA0CFF"/>
          <w:p w14:paraId="04629E92" w14:textId="35C6023F" w:rsidR="00FA0CFF" w:rsidRPr="004E6A4A" w:rsidRDefault="00FA0CFF">
            <w:pPr>
              <w:jc w:val="both"/>
            </w:pPr>
          </w:p>
        </w:tc>
        <w:tc>
          <w:tcPr>
            <w:tcW w:w="1620" w:type="dxa"/>
          </w:tcPr>
          <w:p w14:paraId="04307D02" w14:textId="77777777" w:rsidR="00F24961" w:rsidRPr="004E6A4A" w:rsidRDefault="00F24961" w:rsidP="00C4419F">
            <w:pPr>
              <w:jc w:val="center"/>
              <w:rPr>
                <w:rFonts w:ascii="Times New Roman" w:eastAsia="Calibri" w:hAnsi="Times New Roman" w:cs="Times New Roman"/>
                <w:sz w:val="18"/>
                <w:szCs w:val="18"/>
              </w:rPr>
            </w:pPr>
          </w:p>
          <w:p w14:paraId="2F1E2174" w14:textId="7DD8E0AE" w:rsidR="000A21ED" w:rsidRPr="004E6A4A" w:rsidRDefault="00F24961"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5669FB43"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Përputhet.</w:t>
            </w:r>
          </w:p>
          <w:p w14:paraId="3AD92A55"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Transpozohet nga neni 5, pika 4, dhe neni 5, pika 3, i projektligjit.</w:t>
            </w:r>
          </w:p>
        </w:tc>
      </w:tr>
      <w:tr w:rsidR="004E6A4A" w:rsidRPr="004E6A4A" w14:paraId="7A240BF0" w14:textId="77777777" w:rsidTr="00153084">
        <w:trPr>
          <w:trHeight w:val="764"/>
        </w:trPr>
        <w:tc>
          <w:tcPr>
            <w:tcW w:w="630" w:type="dxa"/>
          </w:tcPr>
          <w:p w14:paraId="2703544F" w14:textId="77777777" w:rsidR="000A21ED" w:rsidRPr="004E6A4A" w:rsidRDefault="000A21ED" w:rsidP="00C4419F">
            <w:pPr>
              <w:jc w:val="center"/>
              <w:rPr>
                <w:rFonts w:ascii="Times New Roman" w:eastAsia="Calibri" w:hAnsi="Times New Roman" w:cs="Times New Roman"/>
                <w:i/>
                <w:sz w:val="18"/>
                <w:szCs w:val="18"/>
              </w:rPr>
            </w:pPr>
          </w:p>
        </w:tc>
        <w:tc>
          <w:tcPr>
            <w:tcW w:w="4230" w:type="dxa"/>
          </w:tcPr>
          <w:p w14:paraId="3839D56C"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2.</w:t>
            </w:r>
            <w:r w:rsidRPr="004E6A4A">
              <w:rPr>
                <w:rFonts w:ascii="Times New Roman" w:eastAsia="Times New Roman" w:hAnsi="Times New Roman" w:cs="Times New Roman"/>
                <w:sz w:val="20"/>
                <w:szCs w:val="20"/>
              </w:rPr>
              <w:tab/>
              <w:t>Termi “Institucion Financiar i Juridiksionit Pjesëmarrës” nënkupton (i) çdo Institucion Financiar që është rezident në një Juridiksion Pjesëmarrës, por përjashton çdo degë të këtij Institucioni Financiar që ndodhet jashtë këtij Juridiksioni Pjesëmarrës; dhe (ii) çdo degë të një Institucioni Financiar që nuk është rezident në një Juridiksion Pjesëmarrës, nëse kjo degë ndodhet në këtë Juridiksion Pjesëmarrës.</w:t>
            </w:r>
          </w:p>
        </w:tc>
        <w:tc>
          <w:tcPr>
            <w:tcW w:w="1350" w:type="dxa"/>
          </w:tcPr>
          <w:p w14:paraId="5B5C9789" w14:textId="77777777" w:rsidR="000A21ED" w:rsidRPr="004E6A4A" w:rsidRDefault="000A21ED" w:rsidP="00C4419F">
            <w:pPr>
              <w:jc w:val="center"/>
              <w:rPr>
                <w:rFonts w:ascii="Times New Roman" w:eastAsia="Calibri" w:hAnsi="Times New Roman" w:cs="Times New Roman"/>
                <w:sz w:val="18"/>
                <w:szCs w:val="18"/>
              </w:rPr>
            </w:pPr>
          </w:p>
        </w:tc>
        <w:tc>
          <w:tcPr>
            <w:tcW w:w="810" w:type="dxa"/>
          </w:tcPr>
          <w:p w14:paraId="0A2E3AF7" w14:textId="77777777" w:rsidR="000A21ED" w:rsidRPr="004E6A4A" w:rsidRDefault="000A21ED" w:rsidP="00C4419F">
            <w:pPr>
              <w:jc w:val="center"/>
              <w:rPr>
                <w:rFonts w:ascii="Times New Roman" w:eastAsia="Times New Roman" w:hAnsi="Times New Roman" w:cs="Times New Roman"/>
                <w:sz w:val="20"/>
                <w:szCs w:val="21"/>
                <w:lang w:eastAsia="sq-AL"/>
              </w:rPr>
            </w:pPr>
          </w:p>
        </w:tc>
        <w:tc>
          <w:tcPr>
            <w:tcW w:w="4590" w:type="dxa"/>
          </w:tcPr>
          <w:p w14:paraId="1DBD6235" w14:textId="77777777" w:rsidR="00FA0CFF" w:rsidRPr="004E6A4A" w:rsidRDefault="00144445">
            <w:pPr>
              <w:jc w:val="center"/>
            </w:pPr>
            <w:r w:rsidRPr="004E6A4A">
              <w:rPr>
                <w:rFonts w:ascii="Times New Roman" w:eastAsia="Times New Roman" w:hAnsi="Times New Roman" w:cs="Times New Roman"/>
                <w:b/>
                <w:sz w:val="20"/>
              </w:rPr>
              <w:t>Ligji: Neni 5</w:t>
            </w:r>
          </w:p>
          <w:p w14:paraId="056D5A28" w14:textId="77777777" w:rsidR="00FA0CFF" w:rsidRPr="004E6A4A" w:rsidRDefault="00144445">
            <w:pPr>
              <w:jc w:val="center"/>
            </w:pPr>
            <w:r w:rsidRPr="004E6A4A">
              <w:rPr>
                <w:rFonts w:ascii="Times New Roman" w:eastAsia="Times New Roman" w:hAnsi="Times New Roman" w:cs="Times New Roman"/>
                <w:b/>
                <w:sz w:val="20"/>
              </w:rPr>
              <w:t>Përkufizime</w:t>
            </w:r>
          </w:p>
          <w:p w14:paraId="4F286E46" w14:textId="77777777" w:rsidR="00FA0CFF" w:rsidRPr="004E6A4A" w:rsidRDefault="00144445">
            <w:pPr>
              <w:jc w:val="both"/>
            </w:pPr>
            <w:r w:rsidRPr="004E6A4A">
              <w:rPr>
                <w:rFonts w:ascii="Times New Roman" w:eastAsia="Times New Roman" w:hAnsi="Times New Roman" w:cs="Times New Roman"/>
                <w:sz w:val="20"/>
              </w:rPr>
              <w:t>32. “Institucion financiar i juridiksionit pjesëmarrës” është:</w:t>
            </w:r>
          </w:p>
          <w:p w14:paraId="5D1B40AE" w14:textId="77777777" w:rsidR="00FA0CFF" w:rsidRPr="004E6A4A" w:rsidRDefault="00144445">
            <w:pPr>
              <w:jc w:val="both"/>
            </w:pPr>
            <w:r w:rsidRPr="004E6A4A">
              <w:rPr>
                <w:rFonts w:ascii="Times New Roman" w:eastAsia="Times New Roman" w:hAnsi="Times New Roman" w:cs="Times New Roman"/>
                <w:sz w:val="20"/>
              </w:rPr>
              <w:t>a) çdo institucion financiar që është rezident në juridiksionin pjesëmarrës, me përjashtim të çdo dege të këtij institucioni financiar që ndodhet jashtë këtij juridiksioni; dhe</w:t>
            </w:r>
          </w:p>
          <w:p w14:paraId="798D3776" w14:textId="77777777" w:rsidR="00FA0CFF" w:rsidRPr="004E6A4A" w:rsidRDefault="00144445">
            <w:pPr>
              <w:jc w:val="both"/>
            </w:pPr>
            <w:r w:rsidRPr="004E6A4A">
              <w:rPr>
                <w:rFonts w:ascii="Times New Roman" w:eastAsia="Times New Roman" w:hAnsi="Times New Roman" w:cs="Times New Roman"/>
                <w:sz w:val="20"/>
              </w:rPr>
              <w:t>b) çdo degë e një institucioni financiar që nuk është rezident në juridiksionin pjesëmarrës, nëse kjo degë është e vendosur në juridiksionin pjesëmarrës.</w:t>
            </w:r>
          </w:p>
        </w:tc>
        <w:tc>
          <w:tcPr>
            <w:tcW w:w="1620" w:type="dxa"/>
          </w:tcPr>
          <w:p w14:paraId="55B8EB92" w14:textId="77777777" w:rsidR="00F24961" w:rsidRPr="004E6A4A" w:rsidRDefault="00F24961" w:rsidP="00C4419F">
            <w:pPr>
              <w:jc w:val="center"/>
              <w:rPr>
                <w:rFonts w:ascii="Times New Roman" w:eastAsia="Calibri" w:hAnsi="Times New Roman" w:cs="Times New Roman"/>
                <w:sz w:val="18"/>
                <w:szCs w:val="18"/>
              </w:rPr>
            </w:pPr>
          </w:p>
          <w:p w14:paraId="413835C4" w14:textId="4A69BE5E" w:rsidR="000A21ED" w:rsidRPr="004E6A4A" w:rsidRDefault="00F24961"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3995AB6B"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Përputhet.</w:t>
            </w:r>
          </w:p>
          <w:p w14:paraId="3DDE03F5"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Transpozohet nga neni 5, pika 32, i projektligjit.</w:t>
            </w:r>
          </w:p>
        </w:tc>
      </w:tr>
      <w:tr w:rsidR="004E6A4A" w:rsidRPr="004E6A4A" w14:paraId="336B78CD" w14:textId="77777777" w:rsidTr="00153084">
        <w:trPr>
          <w:trHeight w:val="764"/>
        </w:trPr>
        <w:tc>
          <w:tcPr>
            <w:tcW w:w="630" w:type="dxa"/>
          </w:tcPr>
          <w:p w14:paraId="53EAE17C" w14:textId="77777777" w:rsidR="000A21ED" w:rsidRPr="004E6A4A" w:rsidRDefault="000A21ED" w:rsidP="00C4419F">
            <w:pPr>
              <w:jc w:val="center"/>
              <w:rPr>
                <w:rFonts w:ascii="Times New Roman" w:eastAsia="Calibri" w:hAnsi="Times New Roman" w:cs="Times New Roman"/>
                <w:i/>
                <w:sz w:val="18"/>
                <w:szCs w:val="18"/>
              </w:rPr>
            </w:pPr>
          </w:p>
        </w:tc>
        <w:tc>
          <w:tcPr>
            <w:tcW w:w="4230" w:type="dxa"/>
          </w:tcPr>
          <w:p w14:paraId="094AB0EA"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3.</w:t>
            </w:r>
            <w:r w:rsidRPr="004E6A4A">
              <w:rPr>
                <w:rFonts w:ascii="Times New Roman" w:eastAsia="Times New Roman" w:hAnsi="Times New Roman" w:cs="Times New Roman"/>
                <w:sz w:val="20"/>
                <w:szCs w:val="20"/>
              </w:rPr>
              <w:tab/>
              <w:t>Termi “Institucion Financiar” nënkupton një Institucion Kujdestarie, një Institucion Depozitues, një Njësi Ekonomike Investimi ose një Shoqëri Sigurimesh të Specifikuar.</w:t>
            </w:r>
          </w:p>
        </w:tc>
        <w:tc>
          <w:tcPr>
            <w:tcW w:w="1350" w:type="dxa"/>
          </w:tcPr>
          <w:p w14:paraId="4B166DE5" w14:textId="77777777" w:rsidR="000A21ED" w:rsidRPr="004E6A4A" w:rsidRDefault="000A21ED" w:rsidP="00C4419F">
            <w:pPr>
              <w:jc w:val="center"/>
              <w:rPr>
                <w:rFonts w:ascii="Times New Roman" w:eastAsia="Calibri" w:hAnsi="Times New Roman" w:cs="Times New Roman"/>
                <w:sz w:val="18"/>
                <w:szCs w:val="18"/>
              </w:rPr>
            </w:pPr>
          </w:p>
        </w:tc>
        <w:tc>
          <w:tcPr>
            <w:tcW w:w="810" w:type="dxa"/>
          </w:tcPr>
          <w:p w14:paraId="3682C322" w14:textId="77777777" w:rsidR="000A21ED" w:rsidRPr="004E6A4A" w:rsidRDefault="000A21ED" w:rsidP="00C4419F">
            <w:pPr>
              <w:jc w:val="center"/>
              <w:rPr>
                <w:rFonts w:ascii="Times New Roman" w:eastAsia="Times New Roman" w:hAnsi="Times New Roman" w:cs="Times New Roman"/>
                <w:sz w:val="20"/>
                <w:szCs w:val="21"/>
                <w:lang w:eastAsia="sq-AL"/>
              </w:rPr>
            </w:pPr>
          </w:p>
        </w:tc>
        <w:tc>
          <w:tcPr>
            <w:tcW w:w="4590" w:type="dxa"/>
          </w:tcPr>
          <w:p w14:paraId="1171AB7F" w14:textId="77777777" w:rsidR="00FA0CFF" w:rsidRPr="004E6A4A" w:rsidRDefault="00144445">
            <w:pPr>
              <w:jc w:val="center"/>
            </w:pPr>
            <w:r w:rsidRPr="004E6A4A">
              <w:rPr>
                <w:rFonts w:ascii="Times New Roman" w:eastAsia="Times New Roman" w:hAnsi="Times New Roman" w:cs="Times New Roman"/>
                <w:b/>
                <w:sz w:val="20"/>
              </w:rPr>
              <w:t>Ligji: Neni 5</w:t>
            </w:r>
          </w:p>
          <w:p w14:paraId="50CCDA3D" w14:textId="77777777" w:rsidR="00FA0CFF" w:rsidRPr="004E6A4A" w:rsidRDefault="00144445">
            <w:pPr>
              <w:jc w:val="center"/>
            </w:pPr>
            <w:r w:rsidRPr="004E6A4A">
              <w:rPr>
                <w:rFonts w:ascii="Times New Roman" w:eastAsia="Times New Roman" w:hAnsi="Times New Roman" w:cs="Times New Roman"/>
                <w:b/>
                <w:sz w:val="20"/>
              </w:rPr>
              <w:t>Përkufizime</w:t>
            </w:r>
          </w:p>
          <w:p w14:paraId="5DDD2B5A" w14:textId="77777777" w:rsidR="00FA0CFF" w:rsidRPr="004E6A4A" w:rsidRDefault="00144445">
            <w:pPr>
              <w:jc w:val="both"/>
            </w:pPr>
            <w:r w:rsidRPr="004E6A4A">
              <w:rPr>
                <w:rFonts w:ascii="Times New Roman" w:eastAsia="Times New Roman" w:hAnsi="Times New Roman" w:cs="Times New Roman"/>
                <w:sz w:val="20"/>
              </w:rPr>
              <w:t>31. “Institucion financiar” është një institucion kujdestarie, institucion depozitues, njësi ekonomike investimi ose shoqëri sigurimesh e specifikuar.</w:t>
            </w:r>
          </w:p>
        </w:tc>
        <w:tc>
          <w:tcPr>
            <w:tcW w:w="1620" w:type="dxa"/>
          </w:tcPr>
          <w:p w14:paraId="6BE56877" w14:textId="77777777" w:rsidR="000A21ED" w:rsidRPr="004E6A4A" w:rsidRDefault="000A21ED" w:rsidP="00C4419F">
            <w:pPr>
              <w:jc w:val="center"/>
              <w:rPr>
                <w:rFonts w:ascii="Times New Roman" w:eastAsia="Calibri" w:hAnsi="Times New Roman" w:cs="Times New Roman"/>
                <w:sz w:val="18"/>
                <w:szCs w:val="18"/>
              </w:rPr>
            </w:pPr>
          </w:p>
        </w:tc>
        <w:tc>
          <w:tcPr>
            <w:tcW w:w="2970" w:type="dxa"/>
          </w:tcPr>
          <w:p w14:paraId="08D509B2"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Përputhet.</w:t>
            </w:r>
          </w:p>
          <w:p w14:paraId="6FE197A6"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Transpozohet nga neni 5, pika 31, i projektligjit.</w:t>
            </w:r>
          </w:p>
        </w:tc>
      </w:tr>
      <w:tr w:rsidR="004E6A4A" w:rsidRPr="004E6A4A" w14:paraId="5974719B" w14:textId="77777777" w:rsidTr="00153084">
        <w:trPr>
          <w:trHeight w:val="764"/>
        </w:trPr>
        <w:tc>
          <w:tcPr>
            <w:tcW w:w="630" w:type="dxa"/>
          </w:tcPr>
          <w:p w14:paraId="3D062D89" w14:textId="77777777" w:rsidR="000A21ED" w:rsidRPr="004E6A4A" w:rsidRDefault="000A21ED" w:rsidP="00C4419F">
            <w:pPr>
              <w:jc w:val="center"/>
              <w:rPr>
                <w:rFonts w:ascii="Times New Roman" w:eastAsia="Calibri" w:hAnsi="Times New Roman" w:cs="Times New Roman"/>
                <w:i/>
                <w:sz w:val="18"/>
                <w:szCs w:val="18"/>
              </w:rPr>
            </w:pPr>
          </w:p>
        </w:tc>
        <w:tc>
          <w:tcPr>
            <w:tcW w:w="4230" w:type="dxa"/>
          </w:tcPr>
          <w:p w14:paraId="3C83BF07"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4.</w:t>
            </w:r>
            <w:r w:rsidRPr="004E6A4A">
              <w:rPr>
                <w:rFonts w:ascii="Times New Roman" w:eastAsia="Times New Roman" w:hAnsi="Times New Roman" w:cs="Times New Roman"/>
                <w:sz w:val="20"/>
                <w:szCs w:val="20"/>
              </w:rPr>
              <w:tab/>
              <w:t xml:space="preserve">Termi “Institucion Kujdestarie” nënkupton çdo Njësi Ekonomike që mban, si pjesë të konsiderueshme të veprimtarisë së saj, Aktive Financiare për llogari të të tjerëve. Një Njësi Ekonomike mban Aktive Financiare për llogari të të tjerëve si pjesë të konsiderueshme të veprimtarisë së saj nëse të ardhurat bruto të Njësisë Ekonomike që i atribuohen mbajtjes së Aktiveve Financiare dhe shërbimeve financiare të lidhura janë të barabarta me ose tejkalojnë 20 % të të ardhurave bruto të Njësisë Ekonomike gjatë </w:t>
            </w:r>
            <w:r w:rsidRPr="004E6A4A">
              <w:rPr>
                <w:rFonts w:ascii="Times New Roman" w:eastAsia="Times New Roman" w:hAnsi="Times New Roman" w:cs="Times New Roman"/>
                <w:sz w:val="20"/>
                <w:szCs w:val="20"/>
              </w:rPr>
              <w:lastRenderedPageBreak/>
              <w:t>periudhës më të shkurtër ndërmjet: (i) periudhës trevjeçare që përfundon më 31 dhjetor (ose në ditën e fundit të një periudhe kontabël që nuk përkon me vitin kalendarik) përpara vitit në të cilin bëhet përcaktimi; ose (ii) periudhës gjatë së cilës Njësia Ekonomike ka ekzistuar.</w:t>
            </w:r>
          </w:p>
        </w:tc>
        <w:tc>
          <w:tcPr>
            <w:tcW w:w="1350" w:type="dxa"/>
          </w:tcPr>
          <w:p w14:paraId="746C9EFB" w14:textId="77777777" w:rsidR="000A21ED" w:rsidRPr="004E6A4A" w:rsidRDefault="000A21ED" w:rsidP="00C4419F">
            <w:pPr>
              <w:jc w:val="center"/>
              <w:rPr>
                <w:rFonts w:ascii="Times New Roman" w:eastAsia="Calibri" w:hAnsi="Times New Roman" w:cs="Times New Roman"/>
                <w:sz w:val="18"/>
                <w:szCs w:val="18"/>
              </w:rPr>
            </w:pPr>
          </w:p>
        </w:tc>
        <w:tc>
          <w:tcPr>
            <w:tcW w:w="810" w:type="dxa"/>
          </w:tcPr>
          <w:p w14:paraId="061C07E3" w14:textId="77777777" w:rsidR="000A21ED" w:rsidRPr="004E6A4A" w:rsidRDefault="000A21ED" w:rsidP="00C4419F">
            <w:pPr>
              <w:jc w:val="center"/>
              <w:rPr>
                <w:rFonts w:ascii="Times New Roman" w:eastAsia="Times New Roman" w:hAnsi="Times New Roman" w:cs="Times New Roman"/>
                <w:sz w:val="20"/>
                <w:szCs w:val="21"/>
                <w:lang w:eastAsia="sq-AL"/>
              </w:rPr>
            </w:pPr>
          </w:p>
        </w:tc>
        <w:tc>
          <w:tcPr>
            <w:tcW w:w="4590" w:type="dxa"/>
          </w:tcPr>
          <w:p w14:paraId="254455F9" w14:textId="77777777" w:rsidR="00FA0CFF" w:rsidRPr="004E6A4A" w:rsidRDefault="00144445">
            <w:pPr>
              <w:jc w:val="center"/>
            </w:pPr>
            <w:r w:rsidRPr="004E6A4A">
              <w:rPr>
                <w:rFonts w:ascii="Times New Roman" w:eastAsia="Times New Roman" w:hAnsi="Times New Roman" w:cs="Times New Roman"/>
                <w:b/>
                <w:sz w:val="20"/>
              </w:rPr>
              <w:t>Ligji: Neni 5</w:t>
            </w:r>
          </w:p>
          <w:p w14:paraId="49A2F08C" w14:textId="77777777" w:rsidR="00FA0CFF" w:rsidRPr="004E6A4A" w:rsidRDefault="00144445">
            <w:pPr>
              <w:jc w:val="center"/>
            </w:pPr>
            <w:r w:rsidRPr="004E6A4A">
              <w:rPr>
                <w:rFonts w:ascii="Times New Roman" w:eastAsia="Times New Roman" w:hAnsi="Times New Roman" w:cs="Times New Roman"/>
                <w:b/>
                <w:sz w:val="20"/>
              </w:rPr>
              <w:t>Përkufizime</w:t>
            </w:r>
          </w:p>
          <w:p w14:paraId="0AF30274" w14:textId="77777777" w:rsidR="00FA0CFF" w:rsidRPr="004E6A4A" w:rsidRDefault="00144445">
            <w:pPr>
              <w:jc w:val="both"/>
            </w:pPr>
            <w:r w:rsidRPr="004E6A4A">
              <w:rPr>
                <w:rFonts w:ascii="Times New Roman" w:eastAsia="Times New Roman" w:hAnsi="Times New Roman" w:cs="Times New Roman"/>
                <w:sz w:val="20"/>
              </w:rPr>
              <w:t>34. “Institucion kujdestarie” është një njësi ekonomike që mban, si pjesë të konsiderueshme të biznesit të saj, aktive financiare për llogari të të tjerëve.</w:t>
            </w:r>
          </w:p>
          <w:p w14:paraId="27B1DC95" w14:textId="77777777" w:rsidR="00FA0CFF" w:rsidRPr="004E6A4A" w:rsidRDefault="00144445">
            <w:pPr>
              <w:jc w:val="both"/>
            </w:pPr>
            <w:r w:rsidRPr="004E6A4A">
              <w:rPr>
                <w:rFonts w:ascii="Times New Roman" w:eastAsia="Times New Roman" w:hAnsi="Times New Roman" w:cs="Times New Roman"/>
                <w:sz w:val="20"/>
              </w:rPr>
              <w:t xml:space="preserve">Një njësi ekonomike konsiderohet se mban aktive financiare për llogari të të tjerëve si pjesë të konsiderueshme të biznesit të saj nëse të ardhurat bruto të njësisë ekonomike që i atribuohen mbajtjes së aktiveve financiare dhe shërbimeve financiare të lidhura me to janë të barabarta me ose tejkalojnë 20 për </w:t>
            </w:r>
            <w:r w:rsidRPr="004E6A4A">
              <w:rPr>
                <w:rFonts w:ascii="Times New Roman" w:eastAsia="Times New Roman" w:hAnsi="Times New Roman" w:cs="Times New Roman"/>
                <w:sz w:val="20"/>
              </w:rPr>
              <w:lastRenderedPageBreak/>
              <w:t>qind të të ardhurave bruto të njësisë ekonomike gjatë periudhës më të shkurtër ndërmjet:</w:t>
            </w:r>
          </w:p>
          <w:p w14:paraId="6D67FBB2" w14:textId="77777777" w:rsidR="00FA0CFF" w:rsidRPr="004E6A4A" w:rsidRDefault="00144445">
            <w:pPr>
              <w:jc w:val="both"/>
            </w:pPr>
            <w:r w:rsidRPr="004E6A4A">
              <w:rPr>
                <w:rFonts w:ascii="Times New Roman" w:eastAsia="Times New Roman" w:hAnsi="Times New Roman" w:cs="Times New Roman"/>
                <w:sz w:val="20"/>
              </w:rPr>
              <w:t>a) periudhës trevjeçare që përfundon më 31 dhjetor të vitit që paraprin vitin në të cilin bëhet përcaktimi; dhe</w:t>
            </w:r>
          </w:p>
          <w:p w14:paraId="492FC503" w14:textId="77777777" w:rsidR="00FA0CFF" w:rsidRPr="004E6A4A" w:rsidRDefault="00144445">
            <w:pPr>
              <w:jc w:val="both"/>
            </w:pPr>
            <w:r w:rsidRPr="004E6A4A">
              <w:rPr>
                <w:rFonts w:ascii="Times New Roman" w:eastAsia="Times New Roman" w:hAnsi="Times New Roman" w:cs="Times New Roman"/>
                <w:sz w:val="20"/>
              </w:rPr>
              <w:t>b) periudhës gjatë së cilës njësia ekonomike ka ekzistuar.</w:t>
            </w:r>
          </w:p>
          <w:p w14:paraId="48A5ECEA" w14:textId="77777777" w:rsidR="00FA0CFF" w:rsidRPr="004E6A4A" w:rsidRDefault="00144445">
            <w:pPr>
              <w:jc w:val="both"/>
            </w:pPr>
            <w:r w:rsidRPr="004E6A4A">
              <w:rPr>
                <w:rFonts w:ascii="Times New Roman" w:eastAsia="Times New Roman" w:hAnsi="Times New Roman" w:cs="Times New Roman"/>
                <w:sz w:val="20"/>
              </w:rPr>
              <w:t>Për përcaktimin nëse një njësi ekonomike mban aktive financiare për llogari të të tjerëve si pjesë të konsiderueshme të biznesit të saj, merren në konsideratë të gjitha të ardhurat për aktivitetet përkatëse të njësisë ekonomike, pavarësisht nëse këto të ardhura i paguhen drejtpërdrejt njësisë ekonomike ose një njësie tjetër ekonomike.</w:t>
            </w:r>
          </w:p>
        </w:tc>
        <w:tc>
          <w:tcPr>
            <w:tcW w:w="1620" w:type="dxa"/>
          </w:tcPr>
          <w:p w14:paraId="12767376" w14:textId="77777777" w:rsidR="00463768" w:rsidRPr="004E6A4A" w:rsidRDefault="00463768" w:rsidP="00C4419F">
            <w:pPr>
              <w:jc w:val="center"/>
              <w:rPr>
                <w:rFonts w:ascii="Times New Roman" w:eastAsia="Calibri" w:hAnsi="Times New Roman" w:cs="Times New Roman"/>
                <w:sz w:val="18"/>
                <w:szCs w:val="18"/>
              </w:rPr>
            </w:pPr>
          </w:p>
          <w:p w14:paraId="1EB3FDEB" w14:textId="5AEEB3D9" w:rsidR="000A21ED" w:rsidRPr="004E6A4A" w:rsidRDefault="00463768"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207EAB45"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Përputhet.</w:t>
            </w:r>
          </w:p>
          <w:p w14:paraId="367D3CE0"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Transpozohet nga neni 5, pika 34, i projektligjit.</w:t>
            </w:r>
          </w:p>
        </w:tc>
      </w:tr>
      <w:tr w:rsidR="004E6A4A" w:rsidRPr="004E6A4A" w14:paraId="151E7338" w14:textId="77777777" w:rsidTr="00153084">
        <w:trPr>
          <w:trHeight w:val="764"/>
        </w:trPr>
        <w:tc>
          <w:tcPr>
            <w:tcW w:w="630" w:type="dxa"/>
          </w:tcPr>
          <w:p w14:paraId="63372557" w14:textId="77777777" w:rsidR="000A21ED" w:rsidRPr="004E6A4A" w:rsidRDefault="000A21ED" w:rsidP="00C4419F">
            <w:pPr>
              <w:jc w:val="center"/>
              <w:rPr>
                <w:rFonts w:ascii="Times New Roman" w:eastAsia="Calibri" w:hAnsi="Times New Roman" w:cs="Times New Roman"/>
                <w:i/>
                <w:sz w:val="18"/>
                <w:szCs w:val="18"/>
              </w:rPr>
            </w:pPr>
          </w:p>
        </w:tc>
        <w:tc>
          <w:tcPr>
            <w:tcW w:w="4230" w:type="dxa"/>
          </w:tcPr>
          <w:p w14:paraId="7D9529CC"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5.</w:t>
            </w:r>
            <w:r w:rsidRPr="004E6A4A">
              <w:rPr>
                <w:rFonts w:ascii="Times New Roman" w:eastAsia="Times New Roman" w:hAnsi="Times New Roman" w:cs="Times New Roman"/>
                <w:sz w:val="20"/>
                <w:szCs w:val="20"/>
              </w:rPr>
              <w:tab/>
              <w:t>Termi “Institucion Depozitues” nënkupton çdo Njësi Ekonomike që:</w:t>
            </w:r>
          </w:p>
          <w:p w14:paraId="5E7181CD"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(a) pranon depozita në rrjedhën e zakonshme të një veprimtarie bankare ose të ngjashme ose</w:t>
            </w:r>
          </w:p>
          <w:p w14:paraId="438D77B4"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(b) mban Para Elektronike ose Monedha Dixhitale të Bankës Qendrore për llogari të klientëve.</w:t>
            </w:r>
          </w:p>
        </w:tc>
        <w:tc>
          <w:tcPr>
            <w:tcW w:w="1350" w:type="dxa"/>
          </w:tcPr>
          <w:p w14:paraId="0857CB97" w14:textId="77777777" w:rsidR="000A21ED" w:rsidRPr="004E6A4A" w:rsidRDefault="000A21ED" w:rsidP="00C4419F">
            <w:pPr>
              <w:jc w:val="center"/>
              <w:rPr>
                <w:rFonts w:ascii="Times New Roman" w:eastAsia="Calibri" w:hAnsi="Times New Roman" w:cs="Times New Roman"/>
                <w:sz w:val="18"/>
                <w:szCs w:val="18"/>
              </w:rPr>
            </w:pPr>
          </w:p>
        </w:tc>
        <w:tc>
          <w:tcPr>
            <w:tcW w:w="810" w:type="dxa"/>
          </w:tcPr>
          <w:p w14:paraId="2B2A1CB3" w14:textId="77777777" w:rsidR="000A21ED" w:rsidRPr="004E6A4A" w:rsidRDefault="000A21ED" w:rsidP="00C4419F">
            <w:pPr>
              <w:jc w:val="center"/>
              <w:rPr>
                <w:rFonts w:ascii="Times New Roman" w:eastAsia="Times New Roman" w:hAnsi="Times New Roman" w:cs="Times New Roman"/>
                <w:sz w:val="20"/>
                <w:szCs w:val="21"/>
                <w:lang w:eastAsia="sq-AL"/>
              </w:rPr>
            </w:pPr>
          </w:p>
        </w:tc>
        <w:tc>
          <w:tcPr>
            <w:tcW w:w="4590" w:type="dxa"/>
          </w:tcPr>
          <w:p w14:paraId="25361340" w14:textId="77777777" w:rsidR="00FA0CFF" w:rsidRPr="004E6A4A" w:rsidRDefault="00144445">
            <w:pPr>
              <w:jc w:val="center"/>
            </w:pPr>
            <w:r w:rsidRPr="004E6A4A">
              <w:rPr>
                <w:rFonts w:ascii="Times New Roman" w:eastAsia="Times New Roman" w:hAnsi="Times New Roman" w:cs="Times New Roman"/>
                <w:b/>
                <w:sz w:val="20"/>
              </w:rPr>
              <w:t>Ligji: Neni 5</w:t>
            </w:r>
          </w:p>
          <w:p w14:paraId="268D5671" w14:textId="77777777" w:rsidR="00FA0CFF" w:rsidRPr="004E6A4A" w:rsidRDefault="00144445">
            <w:pPr>
              <w:jc w:val="center"/>
            </w:pPr>
            <w:r w:rsidRPr="004E6A4A">
              <w:rPr>
                <w:rFonts w:ascii="Times New Roman" w:eastAsia="Times New Roman" w:hAnsi="Times New Roman" w:cs="Times New Roman"/>
                <w:b/>
                <w:sz w:val="20"/>
              </w:rPr>
              <w:t>Përkufizime</w:t>
            </w:r>
          </w:p>
          <w:p w14:paraId="1739FEE0" w14:textId="77777777" w:rsidR="00FA0CFF" w:rsidRPr="004E6A4A" w:rsidRDefault="00144445">
            <w:pPr>
              <w:jc w:val="both"/>
            </w:pPr>
            <w:r w:rsidRPr="004E6A4A">
              <w:rPr>
                <w:rFonts w:ascii="Times New Roman" w:eastAsia="Times New Roman" w:hAnsi="Times New Roman" w:cs="Times New Roman"/>
                <w:sz w:val="20"/>
              </w:rPr>
              <w:t>30. “Institucion depozitues” është çdo njësi ekonomike që:</w:t>
            </w:r>
          </w:p>
          <w:p w14:paraId="26F39857" w14:textId="77777777" w:rsidR="00FA0CFF" w:rsidRPr="004E6A4A" w:rsidRDefault="00144445">
            <w:pPr>
              <w:jc w:val="both"/>
            </w:pPr>
            <w:r w:rsidRPr="004E6A4A">
              <w:rPr>
                <w:rFonts w:ascii="Times New Roman" w:eastAsia="Times New Roman" w:hAnsi="Times New Roman" w:cs="Times New Roman"/>
                <w:sz w:val="20"/>
              </w:rPr>
              <w:t>a) pranon depozita sipas mënyrës së zakonshme të një banke ose biznesi të ngjashëm; ose</w:t>
            </w:r>
          </w:p>
          <w:p w14:paraId="6A280796" w14:textId="77777777" w:rsidR="00FA0CFF" w:rsidRPr="004E6A4A" w:rsidRDefault="00144445">
            <w:pPr>
              <w:jc w:val="both"/>
            </w:pPr>
            <w:r w:rsidRPr="004E6A4A">
              <w:rPr>
                <w:rFonts w:ascii="Times New Roman" w:eastAsia="Times New Roman" w:hAnsi="Times New Roman" w:cs="Times New Roman"/>
                <w:sz w:val="20"/>
              </w:rPr>
              <w:t>b) për qëllime të profilit të Bashkimit Evropian, mban Para Elektronike ose Monedha Dixhitale të Bankës Qendrore për përfitimin e klientëve; ose, për qëllime të profilit të Standardit të Përbashkët të Raportimit, mban Produkte të Specifikuara të Parasë Elektronike ose Monedha Dixhitale të Bankës Qendrore për përfitimin e klientëve.</w:t>
            </w:r>
          </w:p>
        </w:tc>
        <w:tc>
          <w:tcPr>
            <w:tcW w:w="1620" w:type="dxa"/>
          </w:tcPr>
          <w:p w14:paraId="686268DB" w14:textId="77777777" w:rsidR="00463768" w:rsidRPr="004E6A4A" w:rsidRDefault="00463768" w:rsidP="00C4419F">
            <w:pPr>
              <w:jc w:val="center"/>
              <w:rPr>
                <w:rFonts w:ascii="Times New Roman" w:eastAsia="Calibri" w:hAnsi="Times New Roman" w:cs="Times New Roman"/>
                <w:sz w:val="18"/>
                <w:szCs w:val="18"/>
              </w:rPr>
            </w:pPr>
          </w:p>
          <w:p w14:paraId="37F02FF2" w14:textId="189D5F6C" w:rsidR="000A21ED" w:rsidRPr="004E6A4A" w:rsidRDefault="00463768"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1CB7F85C"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Përputhet.</w:t>
            </w:r>
          </w:p>
          <w:p w14:paraId="58BFA65B"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Transpozohet nga neni 5, pika 30, i projektligjit.</w:t>
            </w:r>
          </w:p>
        </w:tc>
      </w:tr>
      <w:tr w:rsidR="004E6A4A" w:rsidRPr="004E6A4A" w14:paraId="2A8111C8" w14:textId="77777777" w:rsidTr="00153084">
        <w:trPr>
          <w:trHeight w:val="764"/>
        </w:trPr>
        <w:tc>
          <w:tcPr>
            <w:tcW w:w="630" w:type="dxa"/>
          </w:tcPr>
          <w:p w14:paraId="4C36F200" w14:textId="77777777" w:rsidR="000A21ED" w:rsidRPr="004E6A4A" w:rsidRDefault="000A21ED" w:rsidP="00C4419F">
            <w:pPr>
              <w:jc w:val="center"/>
              <w:rPr>
                <w:rFonts w:ascii="Times New Roman" w:eastAsia="Calibri" w:hAnsi="Times New Roman" w:cs="Times New Roman"/>
                <w:i/>
                <w:sz w:val="18"/>
                <w:szCs w:val="18"/>
              </w:rPr>
            </w:pPr>
          </w:p>
        </w:tc>
        <w:tc>
          <w:tcPr>
            <w:tcW w:w="4230" w:type="dxa"/>
          </w:tcPr>
          <w:p w14:paraId="4B5DCF18"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6.</w:t>
            </w:r>
            <w:r w:rsidRPr="004E6A4A">
              <w:rPr>
                <w:rFonts w:ascii="Times New Roman" w:eastAsia="Times New Roman" w:hAnsi="Times New Roman" w:cs="Times New Roman"/>
                <w:sz w:val="20"/>
                <w:szCs w:val="20"/>
              </w:rPr>
              <w:tab/>
              <w:t>Termi “Njësi Ekonomike Investimi” nënkupton çdo Njësi Ekonomike:</w:t>
            </w:r>
          </w:p>
          <w:p w14:paraId="68DEA3FB"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(a)</w:t>
            </w:r>
            <w:r w:rsidRPr="004E6A4A">
              <w:rPr>
                <w:rFonts w:ascii="Times New Roman" w:eastAsia="Times New Roman" w:hAnsi="Times New Roman" w:cs="Times New Roman"/>
                <w:sz w:val="20"/>
                <w:szCs w:val="20"/>
              </w:rPr>
              <w:tab/>
              <w:t>që ushtron kryesisht si veprimtari një ose më shumë nga veprimtaritë ose operacionet e mëposhtme për ose në emër të një klienti:</w:t>
            </w:r>
          </w:p>
          <w:p w14:paraId="4045D356"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(i)</w:t>
            </w:r>
            <w:r w:rsidRPr="004E6A4A">
              <w:rPr>
                <w:rFonts w:ascii="Times New Roman" w:eastAsia="Times New Roman" w:hAnsi="Times New Roman" w:cs="Times New Roman"/>
                <w:sz w:val="20"/>
                <w:szCs w:val="20"/>
              </w:rPr>
              <w:tab/>
              <w:t>tregtimin e instrumenteve të tregut të parasë (çeqe, kambiale, certifikata depozite, derivate etj.); këmbimin valutor; instrumentet e kursit të këmbimit, të normës së interesit dhe të indekseve; letrat me vlerë të transferueshme; ose tregtimin e kontratave të së ardhmes për mallra;</w:t>
            </w:r>
          </w:p>
          <w:p w14:paraId="51C96D72" w14:textId="77777777" w:rsidR="008C56DE" w:rsidRPr="004E6A4A" w:rsidRDefault="008C56DE">
            <w:pPr>
              <w:jc w:val="both"/>
              <w:rPr>
                <w:rFonts w:ascii="Times New Roman" w:eastAsia="Times New Roman" w:hAnsi="Times New Roman" w:cs="Times New Roman"/>
                <w:sz w:val="20"/>
                <w:szCs w:val="20"/>
              </w:rPr>
            </w:pPr>
          </w:p>
          <w:p w14:paraId="37789B23"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(ii)</w:t>
            </w:r>
            <w:r w:rsidRPr="004E6A4A">
              <w:rPr>
                <w:rFonts w:ascii="Times New Roman" w:eastAsia="Times New Roman" w:hAnsi="Times New Roman" w:cs="Times New Roman"/>
                <w:sz w:val="20"/>
                <w:szCs w:val="20"/>
              </w:rPr>
              <w:tab/>
              <w:t>administrimin individual dhe kolektiv të portofolit; ose</w:t>
            </w:r>
          </w:p>
          <w:p w14:paraId="28E456B2"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(iii)</w:t>
            </w:r>
            <w:r w:rsidRPr="004E6A4A">
              <w:rPr>
                <w:rFonts w:ascii="Times New Roman" w:eastAsia="Times New Roman" w:hAnsi="Times New Roman" w:cs="Times New Roman"/>
                <w:sz w:val="20"/>
                <w:szCs w:val="20"/>
              </w:rPr>
              <w:tab/>
              <w:t>investimin, administrimin ose menaxhimin në mënyrë tjetër të Aktiveve Financiare, parave ose Kripto-aseteve Raportuese në emër të personave të tjerë; ose</w:t>
            </w:r>
          </w:p>
          <w:p w14:paraId="5ADEC15B"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(b)</w:t>
            </w:r>
            <w:r w:rsidRPr="004E6A4A">
              <w:rPr>
                <w:rFonts w:ascii="Times New Roman" w:eastAsia="Times New Roman" w:hAnsi="Times New Roman" w:cs="Times New Roman"/>
                <w:sz w:val="20"/>
                <w:szCs w:val="20"/>
              </w:rPr>
              <w:tab/>
              <w:t>të ardhurat bruto të së cilës i atribuohen kryesisht investimit, riinvestimit ose tregtimit të Aktiveve Financiare ose Kripto-aseteve Raportuese, nëse Njësia Ekonomike menaxhohet nga një Njësi tjetër Ekonomike që është Institucion Depozitues, Institucion Kujdestarie, Shoqëri Sigurimesh e Specifikuar ose Njësi Ekonomike Investimi e përshkruar në nënparagrafin A(6), shkronja (a).</w:t>
            </w:r>
          </w:p>
          <w:p w14:paraId="2EAC9FF8"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 xml:space="preserve">Një Njësi Ekonomike konsiderohet se ushtron kryesisht si veprimtari një ose më shumë nga veprimtaritë e përshkruara në nënparagrafin A(6), shkronja (a), ose të ardhurat bruto të një Njësie Ekonomike konsiderohen se u atribuohen kryesisht investimit, riinvestimit ose tregtimit të Aktiveve Financiare ose Kripto-aseteve Raportuese për qëllimet e nënparagrafit A(6), shkronja (b), nëse të ardhurat bruto të Njësisë Ekonomike që u atribuohen veprimtarive përkatëse janë të barabarta me ose tejkalojnë 50 % të të ardhurave bruto të Njësisë Ekonomike gjatë periudhës më të shkurtër ndërmjet: (i) periudhës trevjeçare që përfundon më 31 dhjetor të vitit që i paraprin vitit në të cilin bëhet përcaktimi; ose (ii) periudhës gjatë së cilës Njësia Ekonomike ka ekzistuar. Për qëllimet e nënparagrafit A(6), shkronja (a)(iii), termi “investimi, administrimi ose menaxhimi në mënyrë tjetër i Aktiveve Financiare, parave ose Kripto-aseteve Raportuese në emër të personave të tjerë” nuk përfshin ofrimin </w:t>
            </w:r>
            <w:r w:rsidRPr="004E6A4A">
              <w:rPr>
                <w:rFonts w:ascii="Times New Roman" w:eastAsia="Times New Roman" w:hAnsi="Times New Roman" w:cs="Times New Roman"/>
                <w:sz w:val="20"/>
                <w:szCs w:val="20"/>
              </w:rPr>
              <w:lastRenderedPageBreak/>
              <w:t>e shërbimeve që kryejnë Transaksione Shkëmbimi për ose në emër të klientëve. Termi “Njësi Ekonomike Investimi” nuk përfshin një Njësi Ekonomike që është NFE aktive, sepse kjo Njësi Ekonomike përmbush cilindo nga kriteret e nënparagrafit D(8), shkronjat (d) deri në (g).</w:t>
            </w:r>
          </w:p>
          <w:p w14:paraId="2F81B3C1"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Ky nënparagraf interpretohet në mënyrë të njëtrajtshme me formulimin e ngjashëm të përcaktuar në përkufizimin e “institucionit financiar” në Direktivën (BE) 2015/849.</w:t>
            </w:r>
          </w:p>
        </w:tc>
        <w:tc>
          <w:tcPr>
            <w:tcW w:w="1350" w:type="dxa"/>
          </w:tcPr>
          <w:p w14:paraId="4E826DC4" w14:textId="77777777" w:rsidR="000A21ED" w:rsidRPr="004E6A4A" w:rsidRDefault="000A21ED" w:rsidP="00C4419F">
            <w:pPr>
              <w:jc w:val="center"/>
              <w:rPr>
                <w:rFonts w:ascii="Times New Roman" w:eastAsia="Calibri" w:hAnsi="Times New Roman" w:cs="Times New Roman"/>
                <w:sz w:val="18"/>
                <w:szCs w:val="18"/>
              </w:rPr>
            </w:pPr>
          </w:p>
        </w:tc>
        <w:tc>
          <w:tcPr>
            <w:tcW w:w="810" w:type="dxa"/>
          </w:tcPr>
          <w:p w14:paraId="7CB9D9AE" w14:textId="77777777" w:rsidR="000A21ED" w:rsidRPr="004E6A4A" w:rsidRDefault="000A21ED" w:rsidP="00C4419F">
            <w:pPr>
              <w:jc w:val="center"/>
              <w:rPr>
                <w:rFonts w:ascii="Times New Roman" w:eastAsia="Times New Roman" w:hAnsi="Times New Roman" w:cs="Times New Roman"/>
                <w:sz w:val="20"/>
                <w:szCs w:val="21"/>
                <w:lang w:eastAsia="sq-AL"/>
              </w:rPr>
            </w:pPr>
          </w:p>
        </w:tc>
        <w:tc>
          <w:tcPr>
            <w:tcW w:w="4590" w:type="dxa"/>
          </w:tcPr>
          <w:p w14:paraId="1DD9B19B" w14:textId="77777777" w:rsidR="00FA0CFF" w:rsidRPr="004E6A4A" w:rsidRDefault="00144445">
            <w:pPr>
              <w:jc w:val="center"/>
            </w:pPr>
            <w:r w:rsidRPr="004E6A4A">
              <w:rPr>
                <w:rFonts w:ascii="Times New Roman" w:eastAsia="Times New Roman" w:hAnsi="Times New Roman" w:cs="Times New Roman"/>
                <w:b/>
                <w:sz w:val="20"/>
              </w:rPr>
              <w:t>Ligji: Neni 5</w:t>
            </w:r>
          </w:p>
          <w:p w14:paraId="437F4D84" w14:textId="77777777" w:rsidR="00FA0CFF" w:rsidRPr="004E6A4A" w:rsidRDefault="00144445">
            <w:pPr>
              <w:jc w:val="center"/>
            </w:pPr>
            <w:r w:rsidRPr="004E6A4A">
              <w:rPr>
                <w:rFonts w:ascii="Times New Roman" w:eastAsia="Times New Roman" w:hAnsi="Times New Roman" w:cs="Times New Roman"/>
                <w:b/>
                <w:sz w:val="20"/>
              </w:rPr>
              <w:t>Përkufizime</w:t>
            </w:r>
          </w:p>
          <w:p w14:paraId="05CDA25D" w14:textId="77777777" w:rsidR="00FA0CFF" w:rsidRPr="004E6A4A" w:rsidRDefault="00144445">
            <w:pPr>
              <w:jc w:val="both"/>
            </w:pPr>
            <w:r w:rsidRPr="004E6A4A">
              <w:rPr>
                <w:rFonts w:ascii="Times New Roman" w:eastAsia="Times New Roman" w:hAnsi="Times New Roman" w:cs="Times New Roman"/>
                <w:sz w:val="20"/>
              </w:rPr>
              <w:t>26. “Njësi ekonomike investimi” është çdo njësi ekonomike:</w:t>
            </w:r>
          </w:p>
          <w:p w14:paraId="3CDA825B" w14:textId="77777777" w:rsidR="00FA0CFF" w:rsidRPr="004E6A4A" w:rsidRDefault="00144445">
            <w:pPr>
              <w:jc w:val="both"/>
            </w:pPr>
            <w:r w:rsidRPr="004E6A4A">
              <w:rPr>
                <w:rFonts w:ascii="Times New Roman" w:eastAsia="Times New Roman" w:hAnsi="Times New Roman" w:cs="Times New Roman"/>
                <w:sz w:val="20"/>
              </w:rPr>
              <w:t>a) që kryesisht ushtron, si biznes, një ose më shumë nga aktivitetet ose operacionet e mëposhtme për llogari ose në emër të një klienti:</w:t>
            </w:r>
          </w:p>
          <w:p w14:paraId="25C7BC38" w14:textId="77777777" w:rsidR="00FA0CFF" w:rsidRPr="004E6A4A" w:rsidRDefault="00144445">
            <w:pPr>
              <w:jc w:val="both"/>
            </w:pPr>
            <w:r w:rsidRPr="004E6A4A">
              <w:rPr>
                <w:rFonts w:ascii="Times New Roman" w:eastAsia="Times New Roman" w:hAnsi="Times New Roman" w:cs="Times New Roman"/>
                <w:sz w:val="20"/>
              </w:rPr>
              <w:t xml:space="preserve">i) tregtimin e instrumenteve të tregut të parasë, përfshirë çeqet, kambialet, certifikatat e depozitave dhe derivativët; tregtimin e këmbimit valutor; instrumenteve të këmbimit, normës së interesit dhe </w:t>
            </w:r>
            <w:r w:rsidRPr="004E6A4A">
              <w:rPr>
                <w:rFonts w:ascii="Times New Roman" w:eastAsia="Times New Roman" w:hAnsi="Times New Roman" w:cs="Times New Roman"/>
                <w:sz w:val="20"/>
              </w:rPr>
              <w:lastRenderedPageBreak/>
              <w:t>indeksit; letrave me vlerë të transferueshme; ose kontratave të së ardhmes për mallrat;</w:t>
            </w:r>
          </w:p>
          <w:p w14:paraId="7A8C7E0B" w14:textId="77777777" w:rsidR="00FA0CFF" w:rsidRPr="004E6A4A" w:rsidRDefault="00144445">
            <w:pPr>
              <w:jc w:val="both"/>
            </w:pPr>
            <w:r w:rsidRPr="004E6A4A">
              <w:rPr>
                <w:rFonts w:ascii="Times New Roman" w:eastAsia="Times New Roman" w:hAnsi="Times New Roman" w:cs="Times New Roman"/>
                <w:sz w:val="20"/>
              </w:rPr>
              <w:t>ii) menaxhimin e portofolave individualë dhe kolektivë; ose</w:t>
            </w:r>
          </w:p>
          <w:p w14:paraId="7ACC53B2" w14:textId="77777777" w:rsidR="00FA0CFF" w:rsidRPr="004E6A4A" w:rsidRDefault="00144445">
            <w:pPr>
              <w:jc w:val="both"/>
            </w:pPr>
            <w:r w:rsidRPr="004E6A4A">
              <w:rPr>
                <w:rFonts w:ascii="Times New Roman" w:eastAsia="Times New Roman" w:hAnsi="Times New Roman" w:cs="Times New Roman"/>
                <w:sz w:val="20"/>
              </w:rPr>
              <w:t>iii) investimin, administrimin ose menaxhimin e aktiveve financiare, parave ose Kripto-aseteve Raportuese për profilin e Bashkimit Evropian ose Kripto-aseteve Përkatëse për profilin e Standardit të Përbashkët të Raportimit për llogari të personave të tjerë;</w:t>
            </w:r>
          </w:p>
          <w:p w14:paraId="0BB3BC7E" w14:textId="77777777" w:rsidR="00FA0CFF" w:rsidRPr="004E6A4A" w:rsidRDefault="00144445">
            <w:pPr>
              <w:jc w:val="both"/>
            </w:pPr>
            <w:r w:rsidRPr="004E6A4A">
              <w:rPr>
                <w:rFonts w:ascii="Times New Roman" w:eastAsia="Times New Roman" w:hAnsi="Times New Roman" w:cs="Times New Roman"/>
                <w:sz w:val="20"/>
              </w:rPr>
              <w:t>ose</w:t>
            </w:r>
          </w:p>
          <w:p w14:paraId="0952E5C0" w14:textId="77777777" w:rsidR="00FA0CFF" w:rsidRPr="004E6A4A" w:rsidRDefault="00144445">
            <w:pPr>
              <w:jc w:val="both"/>
            </w:pPr>
            <w:r w:rsidRPr="004E6A4A">
              <w:rPr>
                <w:rFonts w:ascii="Times New Roman" w:eastAsia="Times New Roman" w:hAnsi="Times New Roman" w:cs="Times New Roman"/>
                <w:sz w:val="20"/>
              </w:rPr>
              <w:t>b) të ardhurat bruto të së cilës i atribuohen kryesisht investimeve, riinvestimeve ose tregtimit të aktiveve financiare ose Kripto-aseteve Raportuese për profilin e Bashkimit Evropian ose Kripto-aseteve Përkatëse për profilin e Standardit të Përbashkët të Raportimit, nëse njësia ekonomike menaxhohet nga një njësi ekonomike tjetër që është një institucion depozitues, institucion kujdestarie, shoqëri sigurimesh e specifikuar ose një njësi ekonomike investimi e përshkruar në shkronjën “a”.</w:t>
            </w:r>
          </w:p>
          <w:p w14:paraId="4C449E29" w14:textId="77777777" w:rsidR="00FA0CFF" w:rsidRPr="004E6A4A" w:rsidRDefault="00144445">
            <w:pPr>
              <w:jc w:val="both"/>
            </w:pPr>
            <w:r w:rsidRPr="004E6A4A">
              <w:rPr>
                <w:rFonts w:ascii="Times New Roman" w:eastAsia="Times New Roman" w:hAnsi="Times New Roman" w:cs="Times New Roman"/>
                <w:sz w:val="20"/>
              </w:rPr>
              <w:t>Një njësi ekonomike “menaxhohet” nga një njësi ekonomike tjetër nëse njësia ekonomike menaxhuese kryen, drejtpërdrejt ose nëpërmjet një ofruesi tjetër shërbimi, një ose më shumë nga aktivitetet ose operacionet e përshkruara në shkronjën “a” në emër të njësisë ekonomike të menaxhuar. Megjithatë, një njësi ekonomike nuk konsiderohet se menaxhon një njësi tjetër ekonomike nëse nuk ka autoritetin për të menaxhuar aktivet e njësisë ekonomike, tërësisht ose pjesërisht.</w:t>
            </w:r>
          </w:p>
          <w:p w14:paraId="7F74798F" w14:textId="77777777" w:rsidR="00FA0CFF" w:rsidRPr="004E6A4A" w:rsidRDefault="00144445">
            <w:pPr>
              <w:jc w:val="both"/>
            </w:pPr>
            <w:r w:rsidRPr="004E6A4A">
              <w:rPr>
                <w:rFonts w:ascii="Times New Roman" w:eastAsia="Times New Roman" w:hAnsi="Times New Roman" w:cs="Times New Roman"/>
                <w:sz w:val="20"/>
              </w:rPr>
              <w:t xml:space="preserve">Kur një njësi ekonomike menaxhohet nga një kombinim i institucioneve financiare, njësive ekonomike jofinanciare ose individëve, njësia ekonomike konsiderohet se menaxhohet nga një njësi ekonomike tjetër që është institucion depozitues, institucion kujdestarie, shoqëri sigurimesh e </w:t>
            </w:r>
            <w:r w:rsidRPr="004E6A4A">
              <w:rPr>
                <w:rFonts w:ascii="Times New Roman" w:eastAsia="Times New Roman" w:hAnsi="Times New Roman" w:cs="Times New Roman"/>
                <w:sz w:val="20"/>
              </w:rPr>
              <w:lastRenderedPageBreak/>
              <w:t>specifikuar ose një njësi ekonomike investimi e përshkruar në shkronjën “a”, nëse ndonjë prej njësive menaxhuese është një njësi e tillë.</w:t>
            </w:r>
          </w:p>
          <w:p w14:paraId="32686E04" w14:textId="77777777" w:rsidR="00FA0CFF" w:rsidRPr="004E6A4A" w:rsidRDefault="00144445">
            <w:pPr>
              <w:jc w:val="both"/>
            </w:pPr>
            <w:r w:rsidRPr="004E6A4A">
              <w:rPr>
                <w:rFonts w:ascii="Times New Roman" w:eastAsia="Times New Roman" w:hAnsi="Times New Roman" w:cs="Times New Roman"/>
                <w:sz w:val="20"/>
              </w:rPr>
              <w:t>Një njësi ekonomike konsiderohet se kryen kryesisht si biznes një ose më shumë nga aktivitetet e përshkruara në shkronjën “a” ose të ardhurat bruto të saj konsiderohen se i atribuohen kryesisht investimeve, riinvestimeve ose tregtimit të aktiveve financiare ose Kripto-aseteve Raportuese për profilin e Bashkimit Evropian ose Kripto-aseteve Përkatëse për profilin e Standardit të Përbashkët të Raportimit, për qëllimet e shkronjës “b”, nëse të ardhurat bruto të njësisë ekonomike që i atribuohen aktiviteteve përkatëse janë të barabarta me ose tejkalojnë 50 për qind të të ardhurave bruto të njësisë ekonomike gjatë periudhës më të shkurtër ndërmjet:</w:t>
            </w:r>
          </w:p>
          <w:p w14:paraId="6B516E16" w14:textId="77777777" w:rsidR="00FA0CFF" w:rsidRPr="004E6A4A" w:rsidRDefault="00144445">
            <w:pPr>
              <w:jc w:val="both"/>
            </w:pPr>
            <w:r w:rsidRPr="004E6A4A">
              <w:rPr>
                <w:rFonts w:ascii="Times New Roman" w:eastAsia="Times New Roman" w:hAnsi="Times New Roman" w:cs="Times New Roman"/>
                <w:sz w:val="20"/>
              </w:rPr>
              <w:t>i) periudhës trevjeçare që përfundon më 31 dhjetor të vitit që paraprin vitin në të cilin bëhet përcaktimi; dhe</w:t>
            </w:r>
          </w:p>
          <w:p w14:paraId="2DF92BA4" w14:textId="77777777" w:rsidR="00FA0CFF" w:rsidRPr="004E6A4A" w:rsidRDefault="00144445">
            <w:pPr>
              <w:jc w:val="both"/>
            </w:pPr>
            <w:r w:rsidRPr="004E6A4A">
              <w:rPr>
                <w:rFonts w:ascii="Times New Roman" w:eastAsia="Times New Roman" w:hAnsi="Times New Roman" w:cs="Times New Roman"/>
                <w:sz w:val="20"/>
              </w:rPr>
              <w:t>ii) periudhës gjatë së cilës njësia ekonomike ka ekzistuar.</w:t>
            </w:r>
          </w:p>
          <w:p w14:paraId="4B0C10EA" w14:textId="77777777" w:rsidR="00FA0CFF" w:rsidRPr="004E6A4A" w:rsidRDefault="00144445">
            <w:pPr>
              <w:jc w:val="both"/>
            </w:pPr>
            <w:r w:rsidRPr="004E6A4A">
              <w:rPr>
                <w:rFonts w:ascii="Times New Roman" w:eastAsia="Times New Roman" w:hAnsi="Times New Roman" w:cs="Times New Roman"/>
                <w:sz w:val="20"/>
              </w:rPr>
              <w:t>Për këtë test të të ardhurave bruto, të gjitha pagesat për aktivitetet përkatëse të njësisë ekonomike merren në konsideratë, pavarësisht nëse pagesa i bëhet drejtpërdrejt njësisë ekonomike për të cilën kryhet testi ose një njësie tjetër ekonomike.</w:t>
            </w:r>
          </w:p>
          <w:p w14:paraId="28F1AEC9" w14:textId="77777777" w:rsidR="00FA0CFF" w:rsidRPr="004E6A4A" w:rsidRDefault="00144445">
            <w:pPr>
              <w:jc w:val="both"/>
            </w:pPr>
            <w:r w:rsidRPr="004E6A4A">
              <w:rPr>
                <w:rFonts w:ascii="Times New Roman" w:eastAsia="Times New Roman" w:hAnsi="Times New Roman" w:cs="Times New Roman"/>
                <w:sz w:val="20"/>
              </w:rPr>
              <w:t>Për qëllimet e nënndarjes “iii”, të shkronjës “a”, termi “investim, administrim ose menaxhim i aktiveve financiare, parave ose Kripto-aseteve Raportuese për profilin e Bashkimit Evropian ose Kripto-aseteve Përkatëse për profilin e Standardit të Përbashkët të Raportimit për llogari të personave të tjerë” nuk përfshin ofrimin e shërbimeve që kryejnë transaksione këmbimi për ose në emër të klientëve.</w:t>
            </w:r>
          </w:p>
          <w:p w14:paraId="5ACB1D53" w14:textId="77777777" w:rsidR="00FA0CFF" w:rsidRPr="004E6A4A" w:rsidRDefault="00144445">
            <w:pPr>
              <w:jc w:val="both"/>
            </w:pPr>
            <w:r w:rsidRPr="004E6A4A">
              <w:rPr>
                <w:rFonts w:ascii="Times New Roman" w:eastAsia="Times New Roman" w:hAnsi="Times New Roman" w:cs="Times New Roman"/>
                <w:sz w:val="20"/>
              </w:rPr>
              <w:t>“Njësi ekonomike investimi” nuk përfshin një njësi ekonomike që është NFE aktive për shkak se përmbush një nga kriteret e përcaktuara në pikën 57, shkronjat “ç”, “d”, “dh” ose “e”, të këtij neni.</w:t>
            </w:r>
          </w:p>
        </w:tc>
        <w:tc>
          <w:tcPr>
            <w:tcW w:w="1620" w:type="dxa"/>
          </w:tcPr>
          <w:p w14:paraId="2CC768ED" w14:textId="77777777" w:rsidR="00463768" w:rsidRPr="004E6A4A" w:rsidRDefault="00463768" w:rsidP="00C4419F">
            <w:pPr>
              <w:jc w:val="center"/>
              <w:rPr>
                <w:rFonts w:ascii="Times New Roman" w:eastAsia="Calibri" w:hAnsi="Times New Roman" w:cs="Times New Roman"/>
                <w:sz w:val="18"/>
                <w:szCs w:val="18"/>
              </w:rPr>
            </w:pPr>
          </w:p>
          <w:p w14:paraId="510FC75C" w14:textId="0C90DEFE" w:rsidR="000A21ED" w:rsidRPr="004E6A4A" w:rsidRDefault="00463768"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3D30DDDB"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Përputhet.</w:t>
            </w:r>
          </w:p>
          <w:p w14:paraId="16BBF932"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Transpozohet nga neni 5, pika 26, i projektligjit.</w:t>
            </w:r>
          </w:p>
        </w:tc>
      </w:tr>
      <w:tr w:rsidR="004E6A4A" w:rsidRPr="004E6A4A" w14:paraId="0F4763D3" w14:textId="77777777" w:rsidTr="00153084">
        <w:trPr>
          <w:trHeight w:val="764"/>
        </w:trPr>
        <w:tc>
          <w:tcPr>
            <w:tcW w:w="630" w:type="dxa"/>
          </w:tcPr>
          <w:p w14:paraId="3493F1DC" w14:textId="77777777" w:rsidR="000A21ED" w:rsidRPr="004E6A4A" w:rsidRDefault="000A21ED" w:rsidP="00C4419F">
            <w:pPr>
              <w:jc w:val="center"/>
              <w:rPr>
                <w:rFonts w:ascii="Times New Roman" w:eastAsia="Calibri" w:hAnsi="Times New Roman" w:cs="Times New Roman"/>
                <w:i/>
                <w:sz w:val="18"/>
                <w:szCs w:val="18"/>
              </w:rPr>
            </w:pPr>
          </w:p>
        </w:tc>
        <w:tc>
          <w:tcPr>
            <w:tcW w:w="4230" w:type="dxa"/>
          </w:tcPr>
          <w:p w14:paraId="4453B673"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7.</w:t>
            </w:r>
            <w:r w:rsidRPr="004E6A4A">
              <w:rPr>
                <w:rFonts w:ascii="Times New Roman" w:eastAsia="Times New Roman" w:hAnsi="Times New Roman" w:cs="Times New Roman"/>
                <w:sz w:val="20"/>
                <w:szCs w:val="20"/>
              </w:rPr>
              <w:tab/>
              <w:t>Termi “Aktiv Financiar” përfshin një letër me vlerë (për shembull, një aksion në një shoqëri; një interes në partneritet ose interes përfitues pronësie në një partneritet ose trust me pjesëmarrje të gjerë ose të tregtuar publikisht; dëftesë, obligacion, instrument borxhi ose evidencë tjetër borxhi), interes në partneritet, mall, kontratë shkëmbimi (swap) (për shembull, kontrata shkëmbimi të normave të interesit, monedhave, bazës, kufirit të sipërm të normës së interesit, kufirit të poshtëm të normës së interesit, mallrave, aksioneve, indekseve të aksioneve dhe marrëveshje të ngjashme), Kontratë Sigurimi ose Kontratë Pensioni Vjetor, ose çdo interes (përfshirë një kontratë të së ardhmes ose kontratë forward ose opsion) në një letër me vlerë, Kripto-aset Raportues, interes në partneritet, mall, kontratë shkëmbimi, Kontratë Sigurimi ose Kontratë Pensioni Vjetor. Termi “Aktiv Financiar” nuk përfshin një interes të drejtpërdrejtë jodebitor në pasuri të paluajtshme.</w:t>
            </w:r>
          </w:p>
        </w:tc>
        <w:tc>
          <w:tcPr>
            <w:tcW w:w="1350" w:type="dxa"/>
          </w:tcPr>
          <w:p w14:paraId="165AA27E" w14:textId="77777777" w:rsidR="000A21ED" w:rsidRPr="004E6A4A" w:rsidRDefault="000A21ED" w:rsidP="00C4419F">
            <w:pPr>
              <w:jc w:val="center"/>
              <w:rPr>
                <w:rFonts w:ascii="Times New Roman" w:eastAsia="Calibri" w:hAnsi="Times New Roman" w:cs="Times New Roman"/>
                <w:sz w:val="18"/>
                <w:szCs w:val="18"/>
              </w:rPr>
            </w:pPr>
          </w:p>
        </w:tc>
        <w:tc>
          <w:tcPr>
            <w:tcW w:w="810" w:type="dxa"/>
          </w:tcPr>
          <w:p w14:paraId="2E186C2E" w14:textId="77777777" w:rsidR="000A21ED" w:rsidRPr="004E6A4A" w:rsidRDefault="000A21ED" w:rsidP="00C4419F">
            <w:pPr>
              <w:jc w:val="center"/>
              <w:rPr>
                <w:rFonts w:ascii="Times New Roman" w:eastAsia="Times New Roman" w:hAnsi="Times New Roman" w:cs="Times New Roman"/>
                <w:sz w:val="20"/>
                <w:szCs w:val="21"/>
                <w:lang w:eastAsia="sq-AL"/>
              </w:rPr>
            </w:pPr>
          </w:p>
        </w:tc>
        <w:tc>
          <w:tcPr>
            <w:tcW w:w="4590" w:type="dxa"/>
          </w:tcPr>
          <w:p w14:paraId="5A8B37F6" w14:textId="77777777" w:rsidR="00FA0CFF" w:rsidRPr="004E6A4A" w:rsidRDefault="00144445">
            <w:pPr>
              <w:jc w:val="center"/>
            </w:pPr>
            <w:r w:rsidRPr="004E6A4A">
              <w:rPr>
                <w:rFonts w:ascii="Times New Roman" w:eastAsia="Times New Roman" w:hAnsi="Times New Roman" w:cs="Times New Roman"/>
                <w:b/>
                <w:sz w:val="20"/>
              </w:rPr>
              <w:t>Ligji: Neni 5</w:t>
            </w:r>
          </w:p>
          <w:p w14:paraId="29EEBE92" w14:textId="77777777" w:rsidR="00FA0CFF" w:rsidRPr="004E6A4A" w:rsidRDefault="00144445">
            <w:pPr>
              <w:jc w:val="center"/>
            </w:pPr>
            <w:r w:rsidRPr="004E6A4A">
              <w:rPr>
                <w:rFonts w:ascii="Times New Roman" w:eastAsia="Times New Roman" w:hAnsi="Times New Roman" w:cs="Times New Roman"/>
                <w:b/>
                <w:sz w:val="20"/>
              </w:rPr>
              <w:t>Përkufizime</w:t>
            </w:r>
          </w:p>
          <w:p w14:paraId="4711B796" w14:textId="77777777" w:rsidR="00FA0CFF" w:rsidRPr="004E6A4A" w:rsidRDefault="00144445">
            <w:pPr>
              <w:jc w:val="both"/>
            </w:pPr>
            <w:r w:rsidRPr="004E6A4A">
              <w:rPr>
                <w:rFonts w:ascii="Times New Roman" w:eastAsia="Times New Roman" w:hAnsi="Times New Roman" w:cs="Times New Roman"/>
                <w:sz w:val="20"/>
              </w:rPr>
              <w:t>12. “Aktiv financiar” përfshin një letër me vlerë (për shembull, një aksion në një shoqëri; një interes në partneritet ose interes përfitues pronësie në një partneritet ose trust me pjesëmarrje të gjerë ose të tregtuar publikisht; dëftesë, obligacion, instrument borxhi ose evidencë tjetër borxhi), interes në partneritet, mall, kontratë shkëmbimi (swap), për shembull, kontrata shkëmbimi të normave të interesit, monedhave, bazës, kufirit të normës së interesit, dyshemesë së normës së interesit, mallrave, aksioneve dhe indekseve të aksioneve, si dhe marrëveshje të ngjashme; kontrata sigurimi ose kontrata pensioni vjetor; ose çdo interes, duke përfshirë kontratat e së ardhmes ose kontratat forward dhe opsionet, në një letër me vlerë, Kripto-aset Raportues për profilin e Bashkimit Evropian ose Kripto-aset Përkatës për profilin e Standardit të Përbashkët të Raportimit, interes në partneritet, mall, kontratë shkëmbimi, kontratë sigurimi ose kontratë pensioni vjetor. “Aktivi financiar” nuk përfshin një interes të drejtpërdrejtë jodebitor në pasuri të paluajtshme.</w:t>
            </w:r>
          </w:p>
        </w:tc>
        <w:tc>
          <w:tcPr>
            <w:tcW w:w="1620" w:type="dxa"/>
          </w:tcPr>
          <w:p w14:paraId="7BAE6436" w14:textId="77777777" w:rsidR="009726F8" w:rsidRPr="004E6A4A" w:rsidRDefault="009726F8" w:rsidP="00C4419F">
            <w:pPr>
              <w:jc w:val="center"/>
              <w:rPr>
                <w:rFonts w:ascii="Times New Roman" w:eastAsia="Calibri" w:hAnsi="Times New Roman" w:cs="Times New Roman"/>
                <w:sz w:val="18"/>
                <w:szCs w:val="18"/>
              </w:rPr>
            </w:pPr>
          </w:p>
          <w:p w14:paraId="289F309C" w14:textId="3309026A" w:rsidR="000A21ED" w:rsidRPr="004E6A4A" w:rsidRDefault="009726F8"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0DBCD973"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Përputhet.</w:t>
            </w:r>
          </w:p>
          <w:p w14:paraId="20EED018"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Transpozohet nga neni 5, pika 12, i projektligjit.</w:t>
            </w:r>
          </w:p>
        </w:tc>
      </w:tr>
      <w:tr w:rsidR="004E6A4A" w:rsidRPr="004E6A4A" w14:paraId="6F55ED14" w14:textId="77777777" w:rsidTr="00153084">
        <w:trPr>
          <w:trHeight w:val="764"/>
        </w:trPr>
        <w:tc>
          <w:tcPr>
            <w:tcW w:w="630" w:type="dxa"/>
          </w:tcPr>
          <w:p w14:paraId="40CD3C3E" w14:textId="77777777" w:rsidR="000A21ED" w:rsidRPr="004E6A4A" w:rsidRDefault="000A21ED" w:rsidP="00C4419F">
            <w:pPr>
              <w:jc w:val="center"/>
              <w:rPr>
                <w:rFonts w:ascii="Times New Roman" w:eastAsia="Calibri" w:hAnsi="Times New Roman" w:cs="Times New Roman"/>
                <w:i/>
                <w:sz w:val="18"/>
                <w:szCs w:val="18"/>
              </w:rPr>
            </w:pPr>
          </w:p>
        </w:tc>
        <w:tc>
          <w:tcPr>
            <w:tcW w:w="4230" w:type="dxa"/>
          </w:tcPr>
          <w:p w14:paraId="04B1EEDB"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8.</w:t>
            </w:r>
            <w:r w:rsidRPr="004E6A4A">
              <w:rPr>
                <w:rFonts w:ascii="Times New Roman" w:eastAsia="Times New Roman" w:hAnsi="Times New Roman" w:cs="Times New Roman"/>
                <w:sz w:val="20"/>
                <w:szCs w:val="20"/>
              </w:rPr>
              <w:tab/>
              <w:t>Termi “Shoqëri Sigurimesh e Specifikuar” nënkupton çdo Njësi Ekonomike që është shoqëri sigurimesh (ose shoqëria mëmë e një shoqërie sigurimesh) e cila lëshon, ose është e detyruar të kryejë pagesa në lidhje me, një Kontratë Sigurimi në Vlerë në Para të Gatshme ose një Kontratë Pensioni Vjetor.</w:t>
            </w:r>
          </w:p>
        </w:tc>
        <w:tc>
          <w:tcPr>
            <w:tcW w:w="1350" w:type="dxa"/>
          </w:tcPr>
          <w:p w14:paraId="63502F97" w14:textId="77777777" w:rsidR="000A21ED" w:rsidRPr="004E6A4A" w:rsidRDefault="000A21ED" w:rsidP="00C4419F">
            <w:pPr>
              <w:jc w:val="center"/>
              <w:rPr>
                <w:rFonts w:ascii="Times New Roman" w:eastAsia="Calibri" w:hAnsi="Times New Roman" w:cs="Times New Roman"/>
                <w:sz w:val="18"/>
                <w:szCs w:val="18"/>
              </w:rPr>
            </w:pPr>
          </w:p>
        </w:tc>
        <w:tc>
          <w:tcPr>
            <w:tcW w:w="810" w:type="dxa"/>
          </w:tcPr>
          <w:p w14:paraId="163E8E5F" w14:textId="77777777" w:rsidR="000A21ED" w:rsidRPr="004E6A4A" w:rsidRDefault="000A21ED" w:rsidP="00C4419F">
            <w:pPr>
              <w:jc w:val="center"/>
              <w:rPr>
                <w:rFonts w:ascii="Times New Roman" w:eastAsia="Times New Roman" w:hAnsi="Times New Roman" w:cs="Times New Roman"/>
                <w:sz w:val="20"/>
                <w:szCs w:val="21"/>
                <w:lang w:eastAsia="sq-AL"/>
              </w:rPr>
            </w:pPr>
          </w:p>
        </w:tc>
        <w:tc>
          <w:tcPr>
            <w:tcW w:w="4590" w:type="dxa"/>
          </w:tcPr>
          <w:p w14:paraId="3924FBA2" w14:textId="77777777" w:rsidR="00FA0CFF" w:rsidRPr="004E6A4A" w:rsidRDefault="00144445">
            <w:pPr>
              <w:jc w:val="center"/>
            </w:pPr>
            <w:r w:rsidRPr="004E6A4A">
              <w:rPr>
                <w:rFonts w:ascii="Times New Roman" w:eastAsia="Times New Roman" w:hAnsi="Times New Roman" w:cs="Times New Roman"/>
                <w:b/>
                <w:sz w:val="20"/>
              </w:rPr>
              <w:t>Ligji: Neni 5</w:t>
            </w:r>
          </w:p>
          <w:p w14:paraId="5AD658E8" w14:textId="77777777" w:rsidR="00FA0CFF" w:rsidRPr="004E6A4A" w:rsidRDefault="00144445">
            <w:pPr>
              <w:jc w:val="center"/>
            </w:pPr>
            <w:r w:rsidRPr="004E6A4A">
              <w:rPr>
                <w:rFonts w:ascii="Times New Roman" w:eastAsia="Times New Roman" w:hAnsi="Times New Roman" w:cs="Times New Roman"/>
                <w:b/>
                <w:sz w:val="20"/>
              </w:rPr>
              <w:t>Përkufizime</w:t>
            </w:r>
          </w:p>
          <w:p w14:paraId="6C1D9B10" w14:textId="77777777" w:rsidR="00FA0CFF" w:rsidRPr="004E6A4A" w:rsidRDefault="00144445">
            <w:pPr>
              <w:jc w:val="both"/>
            </w:pPr>
            <w:r w:rsidRPr="004E6A4A">
              <w:rPr>
                <w:rFonts w:ascii="Times New Roman" w:eastAsia="Times New Roman" w:hAnsi="Times New Roman" w:cs="Times New Roman"/>
                <w:sz w:val="20"/>
              </w:rPr>
              <w:t>68. “Shoqëri sigurimesh e specifikuar” është çdo njësi ekonomike që është shoqëri sigurimi, ose shoqëri kontrolluese e një shoqërie sigurimi, që lëshon ose është e detyruar të kryejë pagesa lidhur me kontratat e sigurimit në vlerë në para të gatshme ose kontratat e pensionit vjetor.</w:t>
            </w:r>
          </w:p>
        </w:tc>
        <w:tc>
          <w:tcPr>
            <w:tcW w:w="1620" w:type="dxa"/>
          </w:tcPr>
          <w:p w14:paraId="38CED42D" w14:textId="77777777" w:rsidR="009726F8" w:rsidRPr="004E6A4A" w:rsidRDefault="009726F8" w:rsidP="00C4419F">
            <w:pPr>
              <w:jc w:val="center"/>
              <w:rPr>
                <w:rFonts w:ascii="Times New Roman" w:eastAsia="Calibri" w:hAnsi="Times New Roman" w:cs="Times New Roman"/>
                <w:sz w:val="18"/>
                <w:szCs w:val="18"/>
              </w:rPr>
            </w:pPr>
          </w:p>
          <w:p w14:paraId="0DD5F0A7" w14:textId="40A5EF01" w:rsidR="000A21ED" w:rsidRPr="004E6A4A" w:rsidRDefault="009726F8"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46D2AC66"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Përputhet.</w:t>
            </w:r>
          </w:p>
          <w:p w14:paraId="1B2C9B00"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Transpozohet nga neni 5, pika 68, i projektligjit.</w:t>
            </w:r>
          </w:p>
        </w:tc>
      </w:tr>
      <w:tr w:rsidR="004E6A4A" w:rsidRPr="004E6A4A" w14:paraId="48511D8D" w14:textId="77777777" w:rsidTr="00153084">
        <w:trPr>
          <w:trHeight w:val="764"/>
        </w:trPr>
        <w:tc>
          <w:tcPr>
            <w:tcW w:w="630" w:type="dxa"/>
          </w:tcPr>
          <w:p w14:paraId="4E7508BC" w14:textId="77777777" w:rsidR="000A21ED" w:rsidRPr="004E6A4A" w:rsidRDefault="000A21ED" w:rsidP="00C4419F">
            <w:pPr>
              <w:jc w:val="center"/>
              <w:rPr>
                <w:rFonts w:ascii="Times New Roman" w:eastAsia="Calibri" w:hAnsi="Times New Roman" w:cs="Times New Roman"/>
                <w:i/>
                <w:sz w:val="18"/>
                <w:szCs w:val="18"/>
              </w:rPr>
            </w:pPr>
          </w:p>
        </w:tc>
        <w:tc>
          <w:tcPr>
            <w:tcW w:w="4230" w:type="dxa"/>
          </w:tcPr>
          <w:p w14:paraId="19430F97"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9. Për qëllimet e këtij Aneksi, termi “Para Elektronike” ose “E-money” nënkupton çdo produkt që:</w:t>
            </w:r>
          </w:p>
          <w:p w14:paraId="3CB9DD5C"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(a) është një pasqyrim digjital i një Monedhe të vetme Fiat;</w:t>
            </w:r>
          </w:p>
          <w:p w14:paraId="416DF387"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lastRenderedPageBreak/>
              <w:t>(b) emetohet kundrejt marrjes së fondeve, me qëllim kryerjen e transaksioneve të pagesave;</w:t>
            </w:r>
          </w:p>
          <w:p w14:paraId="32246B78"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 përfaqësohet nga një pretendim ndaj emetuesit, të shprehur në të njëjtën Monedhë Fiat;</w:t>
            </w:r>
          </w:p>
          <w:p w14:paraId="3A3BA3E0"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(d) pranohet si pagesë nga një person fizik ose juridik i ndryshëm nga emetuesi; dhe</w:t>
            </w:r>
          </w:p>
          <w:p w14:paraId="1D0A9494"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(e) në bazë të kërkesave rregullatore të cilave u nënshtrohet emetuesi, mund të shlyhet në çdo kohë dhe me vlerë nominale në të njëjtën Monedhë Fiat, me kërkesë të mbajtësit të produktit.</w:t>
            </w:r>
          </w:p>
          <w:p w14:paraId="39F2C131"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Termi “Para Elektronike” ose “E-money” nuk përfshin një produkt të krijuar me qëllimin e vetëm të lehtësimit të transferimit të fondeve nga një klient te një person tjetër sipas udhëzimeve të klientit. Një produkt nuk konsiderohet i krijuar me qëllimin e vetëm të lehtësimit të transferimit të fondeve nëse, në rrjedhën e zakonshme të veprimtarisë së Njësisë Ekonomike që kryen transferimin, fondet e lidhura me këtë produkt mbahen për më shumë se 60 ditë pas marrjes së udhëzimeve për lehtësimin e transferimit ose, nëse nuk merren udhëzime, fondet e lidhura me këtë produkt mbahen për më shumë se 60 ditë pas marrjes së fondeve.</w:t>
            </w:r>
          </w:p>
        </w:tc>
        <w:tc>
          <w:tcPr>
            <w:tcW w:w="1350" w:type="dxa"/>
          </w:tcPr>
          <w:p w14:paraId="069D5DEE" w14:textId="77777777" w:rsidR="000A21ED" w:rsidRPr="004E6A4A" w:rsidRDefault="000A21ED" w:rsidP="00C4419F">
            <w:pPr>
              <w:jc w:val="center"/>
              <w:rPr>
                <w:rFonts w:ascii="Times New Roman" w:eastAsia="Calibri" w:hAnsi="Times New Roman" w:cs="Times New Roman"/>
                <w:sz w:val="18"/>
                <w:szCs w:val="18"/>
              </w:rPr>
            </w:pPr>
          </w:p>
        </w:tc>
        <w:tc>
          <w:tcPr>
            <w:tcW w:w="810" w:type="dxa"/>
          </w:tcPr>
          <w:p w14:paraId="5E291541" w14:textId="77777777" w:rsidR="000A21ED" w:rsidRPr="004E6A4A" w:rsidRDefault="000A21ED" w:rsidP="00C4419F">
            <w:pPr>
              <w:jc w:val="center"/>
              <w:rPr>
                <w:rFonts w:ascii="Times New Roman" w:eastAsia="Times New Roman" w:hAnsi="Times New Roman" w:cs="Times New Roman"/>
                <w:sz w:val="20"/>
                <w:szCs w:val="21"/>
                <w:lang w:eastAsia="sq-AL"/>
              </w:rPr>
            </w:pPr>
          </w:p>
        </w:tc>
        <w:tc>
          <w:tcPr>
            <w:tcW w:w="4590" w:type="dxa"/>
          </w:tcPr>
          <w:p w14:paraId="30EA3CF5" w14:textId="77777777" w:rsidR="00FA0CFF" w:rsidRPr="004E6A4A" w:rsidRDefault="00144445">
            <w:pPr>
              <w:jc w:val="center"/>
            </w:pPr>
            <w:r w:rsidRPr="004E6A4A">
              <w:rPr>
                <w:rFonts w:ascii="Times New Roman" w:eastAsia="Times New Roman" w:hAnsi="Times New Roman" w:cs="Times New Roman"/>
                <w:b/>
                <w:sz w:val="20"/>
              </w:rPr>
              <w:t>Ligji: Neni 5</w:t>
            </w:r>
          </w:p>
          <w:p w14:paraId="253159C6" w14:textId="77777777" w:rsidR="00FA0CFF" w:rsidRPr="004E6A4A" w:rsidRDefault="00144445">
            <w:pPr>
              <w:jc w:val="center"/>
            </w:pPr>
            <w:r w:rsidRPr="004E6A4A">
              <w:rPr>
                <w:rFonts w:ascii="Times New Roman" w:eastAsia="Times New Roman" w:hAnsi="Times New Roman" w:cs="Times New Roman"/>
                <w:b/>
                <w:sz w:val="20"/>
              </w:rPr>
              <w:t>Përkufizime</w:t>
            </w:r>
          </w:p>
          <w:p w14:paraId="714DC171" w14:textId="77777777" w:rsidR="00FA0CFF" w:rsidRPr="004E6A4A" w:rsidRDefault="00144445">
            <w:pPr>
              <w:jc w:val="both"/>
            </w:pPr>
            <w:r w:rsidRPr="004E6A4A">
              <w:rPr>
                <w:rFonts w:ascii="Times New Roman" w:eastAsia="Times New Roman" w:hAnsi="Times New Roman" w:cs="Times New Roman"/>
                <w:sz w:val="20"/>
              </w:rPr>
              <w:t>13. “Para elektronike (Electronic Money ose E-money)”, për qëllime të zbatimit të rregullave të Bashkimit Evropian, është çdo produkt që:</w:t>
            </w:r>
          </w:p>
          <w:p w14:paraId="4F02F4F3" w14:textId="77777777" w:rsidR="00FA0CFF" w:rsidRPr="004E6A4A" w:rsidRDefault="00144445">
            <w:pPr>
              <w:jc w:val="both"/>
            </w:pPr>
            <w:r w:rsidRPr="004E6A4A">
              <w:rPr>
                <w:rFonts w:ascii="Times New Roman" w:eastAsia="Times New Roman" w:hAnsi="Times New Roman" w:cs="Times New Roman"/>
                <w:sz w:val="20"/>
              </w:rPr>
              <w:lastRenderedPageBreak/>
              <w:t>a) është një pasqyrim digjital i një monedhe të vetme fiat;</w:t>
            </w:r>
          </w:p>
          <w:p w14:paraId="3F7BF381" w14:textId="77777777" w:rsidR="00FA0CFF" w:rsidRPr="004E6A4A" w:rsidRDefault="00144445">
            <w:pPr>
              <w:jc w:val="both"/>
            </w:pPr>
            <w:r w:rsidRPr="004E6A4A">
              <w:rPr>
                <w:rFonts w:ascii="Times New Roman" w:eastAsia="Times New Roman" w:hAnsi="Times New Roman" w:cs="Times New Roman"/>
                <w:sz w:val="20"/>
              </w:rPr>
              <w:t>b) emetohet kundrejt marrjes së fondeve, me qëllim kryerjen e transaksioneve të pagesave;</w:t>
            </w:r>
          </w:p>
          <w:p w14:paraId="113984EA" w14:textId="77777777" w:rsidR="00FA0CFF" w:rsidRPr="004E6A4A" w:rsidRDefault="00144445">
            <w:pPr>
              <w:jc w:val="both"/>
            </w:pPr>
            <w:r w:rsidRPr="004E6A4A">
              <w:rPr>
                <w:rFonts w:ascii="Times New Roman" w:eastAsia="Times New Roman" w:hAnsi="Times New Roman" w:cs="Times New Roman"/>
                <w:sz w:val="20"/>
              </w:rPr>
              <w:t>c) përfaqëson një pretendim ndaj emetuesit, të shprehur në të njëjtën monedhë fiat;</w:t>
            </w:r>
          </w:p>
          <w:p w14:paraId="66ACD1CF" w14:textId="77777777" w:rsidR="00FA0CFF" w:rsidRPr="004E6A4A" w:rsidRDefault="00144445">
            <w:pPr>
              <w:jc w:val="both"/>
            </w:pPr>
            <w:r w:rsidRPr="004E6A4A">
              <w:rPr>
                <w:rFonts w:ascii="Times New Roman" w:eastAsia="Times New Roman" w:hAnsi="Times New Roman" w:cs="Times New Roman"/>
                <w:sz w:val="20"/>
              </w:rPr>
              <w:t>ç) pranohet si mjet pagese nga një person fizik ose juridik i ndryshëm nga emetuesi; dhe</w:t>
            </w:r>
          </w:p>
          <w:p w14:paraId="0EF9D303" w14:textId="77777777" w:rsidR="00FA0CFF" w:rsidRPr="004E6A4A" w:rsidRDefault="00144445">
            <w:pPr>
              <w:jc w:val="both"/>
            </w:pPr>
            <w:r w:rsidRPr="004E6A4A">
              <w:rPr>
                <w:rFonts w:ascii="Times New Roman" w:eastAsia="Times New Roman" w:hAnsi="Times New Roman" w:cs="Times New Roman"/>
                <w:sz w:val="20"/>
              </w:rPr>
              <w:t>d) në bazë të kërkesave rregullatore të cilave u nënshtrohet emetuesi, mund të shlyhet në çdo kohë dhe me vlerë nominale, në të njëjtën monedhë fiat, me kërkesë të mbajtësit të produktit.</w:t>
            </w:r>
          </w:p>
          <w:p w14:paraId="2120C148" w14:textId="77777777" w:rsidR="00FA0CFF" w:rsidRPr="004E6A4A" w:rsidRDefault="00144445">
            <w:pPr>
              <w:jc w:val="both"/>
            </w:pPr>
            <w:r w:rsidRPr="004E6A4A">
              <w:rPr>
                <w:rFonts w:ascii="Times New Roman" w:eastAsia="Times New Roman" w:hAnsi="Times New Roman" w:cs="Times New Roman"/>
                <w:sz w:val="20"/>
              </w:rPr>
              <w:t>“Para elektronike (Electronic Money ose E-money)” nuk përfshin një produkt të krijuar me qëllimin e vetëm të lehtësimit të transferimit të fondeve nga një klient te një person tjetër, sipas udhëzimeve të klientit. Një produkt nuk konsiderohet i krijuar me qëllimin e vetëm të lehtësimit të transferimit të fondeve nëse, në rrjedhën normale të veprimtarisë së njësisë ekonomike që kryen transferimin, fondet e lidhura me këtë produkt mbahen për më shumë se 60 ditë pas marrjes së udhëzimeve për lehtësimin e transferimit ose, nëse nuk janë marrë udhëzime, fondet e lidhura me këtë produkt mbahen për më shumë se 60 ditë pas marrjes së fondeve.</w:t>
            </w:r>
          </w:p>
          <w:p w14:paraId="00A39A90" w14:textId="77777777" w:rsidR="00FA0CFF" w:rsidRPr="004E6A4A" w:rsidRDefault="00144445">
            <w:pPr>
              <w:jc w:val="both"/>
            </w:pPr>
            <w:r w:rsidRPr="004E6A4A">
              <w:rPr>
                <w:rFonts w:ascii="Times New Roman" w:eastAsia="Times New Roman" w:hAnsi="Times New Roman" w:cs="Times New Roman"/>
                <w:sz w:val="20"/>
              </w:rPr>
              <w:t>14. “Produkt i specifikuar i parasë elektronike (Specified Electronic Money Product)”, për qëllime të zbatimit të Standardit të Përbashkët të Raportimit, është çdo produkt që:</w:t>
            </w:r>
          </w:p>
          <w:p w14:paraId="1F6D2AA8" w14:textId="77777777" w:rsidR="00FA0CFF" w:rsidRPr="004E6A4A" w:rsidRDefault="00144445">
            <w:pPr>
              <w:jc w:val="both"/>
            </w:pPr>
            <w:r w:rsidRPr="004E6A4A">
              <w:rPr>
                <w:rFonts w:ascii="Times New Roman" w:eastAsia="Times New Roman" w:hAnsi="Times New Roman" w:cs="Times New Roman"/>
                <w:sz w:val="20"/>
              </w:rPr>
              <w:t>a) është një pasqyrim digjital i një monedhe të vetme fiat;</w:t>
            </w:r>
          </w:p>
          <w:p w14:paraId="3A0A262E" w14:textId="77777777" w:rsidR="00FA0CFF" w:rsidRPr="004E6A4A" w:rsidRDefault="00144445">
            <w:pPr>
              <w:jc w:val="both"/>
            </w:pPr>
            <w:r w:rsidRPr="004E6A4A">
              <w:rPr>
                <w:rFonts w:ascii="Times New Roman" w:eastAsia="Times New Roman" w:hAnsi="Times New Roman" w:cs="Times New Roman"/>
                <w:sz w:val="20"/>
              </w:rPr>
              <w:t>b) emetohet kundrejt marrjes së fondeve, me qëllim kryerjen e transaksioneve të pagesave;</w:t>
            </w:r>
          </w:p>
          <w:p w14:paraId="32678C10" w14:textId="77777777" w:rsidR="00FA0CFF" w:rsidRPr="004E6A4A" w:rsidRDefault="00144445">
            <w:pPr>
              <w:jc w:val="both"/>
            </w:pPr>
            <w:r w:rsidRPr="004E6A4A">
              <w:rPr>
                <w:rFonts w:ascii="Times New Roman" w:eastAsia="Times New Roman" w:hAnsi="Times New Roman" w:cs="Times New Roman"/>
                <w:sz w:val="20"/>
              </w:rPr>
              <w:t>c) përfaqëson një pretendim ndaj emetuesit, të shprehur në të njëjtën monedhë fiat;</w:t>
            </w:r>
          </w:p>
          <w:p w14:paraId="49751FC6" w14:textId="77777777" w:rsidR="00FA0CFF" w:rsidRPr="004E6A4A" w:rsidRDefault="00144445">
            <w:pPr>
              <w:jc w:val="both"/>
            </w:pPr>
            <w:r w:rsidRPr="004E6A4A">
              <w:rPr>
                <w:rFonts w:ascii="Times New Roman" w:eastAsia="Times New Roman" w:hAnsi="Times New Roman" w:cs="Times New Roman"/>
                <w:sz w:val="20"/>
              </w:rPr>
              <w:t>d) pranohet si mjet pagese nga një person fizik ose juridik i ndryshëm nga emetuesi; dhe</w:t>
            </w:r>
          </w:p>
          <w:p w14:paraId="2D50C03A" w14:textId="77777777" w:rsidR="00FA0CFF" w:rsidRPr="004E6A4A" w:rsidRDefault="00144445">
            <w:pPr>
              <w:jc w:val="both"/>
            </w:pPr>
            <w:r w:rsidRPr="004E6A4A">
              <w:rPr>
                <w:rFonts w:ascii="Times New Roman" w:eastAsia="Times New Roman" w:hAnsi="Times New Roman" w:cs="Times New Roman"/>
                <w:sz w:val="20"/>
              </w:rPr>
              <w:lastRenderedPageBreak/>
              <w:t>e) në bazë të kërkesave rregullatore të cilave u nënshtrohet emetuesi, mund të shlyhet në çdo kohë dhe me vlerë nominale, në të njëjtën monedhë fiat, me kërkesë të mbajtësit të produktit.</w:t>
            </w:r>
          </w:p>
          <w:p w14:paraId="0DEB4DFC" w14:textId="77777777" w:rsidR="00FA0CFF" w:rsidRPr="004E6A4A" w:rsidRDefault="00144445">
            <w:pPr>
              <w:jc w:val="both"/>
            </w:pPr>
            <w:r w:rsidRPr="004E6A4A">
              <w:rPr>
                <w:rFonts w:ascii="Times New Roman" w:eastAsia="Times New Roman" w:hAnsi="Times New Roman" w:cs="Times New Roman"/>
                <w:sz w:val="20"/>
              </w:rPr>
              <w:t>“Produkti i specifikuar i parasë elektronike” nuk përfshin një produkt të krijuar me qëllimin e vetëm të lehtësimit të transferimit të fondeve nga një klient te një person tjetër, sipas udhëzimeve të klientit. Një produkt nuk konsiderohet i krijuar me qëllimin e vetëm të lehtësimit të transferimit të fondeve nëse, në rrjedhën normale të veprimtarisë së njësisë ekonomike që kryen transferimin, fondet e lidhura me këtë produkt mbahen për më shumë se 60 ditë pas marrjes së udhëzimeve për lehtësimin e transferimit ose, nëse nuk janë marrë udhëzime, fondet e lidhura me këtë produkt mbahen për më shumë se 60 ditë pas marrjes së fondeve.</w:t>
            </w:r>
          </w:p>
        </w:tc>
        <w:tc>
          <w:tcPr>
            <w:tcW w:w="1620" w:type="dxa"/>
          </w:tcPr>
          <w:p w14:paraId="0F7C4422" w14:textId="77777777" w:rsidR="009726F8" w:rsidRPr="004E6A4A" w:rsidRDefault="009726F8" w:rsidP="00C4419F">
            <w:pPr>
              <w:jc w:val="center"/>
              <w:rPr>
                <w:rFonts w:ascii="Times New Roman" w:eastAsia="Calibri" w:hAnsi="Times New Roman" w:cs="Times New Roman"/>
                <w:sz w:val="18"/>
                <w:szCs w:val="18"/>
              </w:rPr>
            </w:pPr>
          </w:p>
          <w:p w14:paraId="3A09B11E" w14:textId="64403D4B" w:rsidR="000A21ED" w:rsidRPr="004E6A4A" w:rsidRDefault="009726F8"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171B7904"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Përputhet.</w:t>
            </w:r>
          </w:p>
          <w:p w14:paraId="13FE5856"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Transpozohet nga neni 5, pika 13, dhe neni 5, pika 14, i projektligjit.</w:t>
            </w:r>
          </w:p>
        </w:tc>
      </w:tr>
      <w:tr w:rsidR="004E6A4A" w:rsidRPr="004E6A4A" w14:paraId="79F5CD4F" w14:textId="77777777" w:rsidTr="00153084">
        <w:trPr>
          <w:trHeight w:val="764"/>
        </w:trPr>
        <w:tc>
          <w:tcPr>
            <w:tcW w:w="630" w:type="dxa"/>
          </w:tcPr>
          <w:p w14:paraId="6AE79345" w14:textId="77777777" w:rsidR="000A21ED" w:rsidRPr="004E6A4A" w:rsidRDefault="000A21ED" w:rsidP="00C4419F">
            <w:pPr>
              <w:jc w:val="center"/>
              <w:rPr>
                <w:rFonts w:ascii="Times New Roman" w:eastAsia="Calibri" w:hAnsi="Times New Roman" w:cs="Times New Roman"/>
                <w:i/>
                <w:sz w:val="18"/>
                <w:szCs w:val="18"/>
              </w:rPr>
            </w:pPr>
          </w:p>
        </w:tc>
        <w:tc>
          <w:tcPr>
            <w:tcW w:w="4230" w:type="dxa"/>
          </w:tcPr>
          <w:p w14:paraId="1F8F9277"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10. Termi “Monedhë Fiat” nënkupton monedhën zyrtare të një juridiksioni, të emetuar nga një juridiksion ose nga Banka Qendrore ose autoriteti monetar i caktuar i një juridiksioni, të përfaqësuar nga kartëmonedha ose monedha metalike fizike ose nga para në forma të ndryshme digjitale, përfshirë rezervat bankare dhe Monedhat Dixhitale të Bankës Qendrore. Termi përfshin gjithashtu paratë e bankave tregtare dhe produktet e parasë elektronike (Para Elektronike).</w:t>
            </w:r>
          </w:p>
        </w:tc>
        <w:tc>
          <w:tcPr>
            <w:tcW w:w="1350" w:type="dxa"/>
          </w:tcPr>
          <w:p w14:paraId="7BE10550" w14:textId="77777777" w:rsidR="000A21ED" w:rsidRPr="004E6A4A" w:rsidRDefault="000A21ED" w:rsidP="00C4419F">
            <w:pPr>
              <w:jc w:val="center"/>
              <w:rPr>
                <w:rFonts w:ascii="Times New Roman" w:eastAsia="Calibri" w:hAnsi="Times New Roman" w:cs="Times New Roman"/>
                <w:sz w:val="18"/>
                <w:szCs w:val="18"/>
              </w:rPr>
            </w:pPr>
          </w:p>
        </w:tc>
        <w:tc>
          <w:tcPr>
            <w:tcW w:w="810" w:type="dxa"/>
          </w:tcPr>
          <w:p w14:paraId="0295C8F3" w14:textId="77777777" w:rsidR="000A21ED" w:rsidRPr="004E6A4A" w:rsidRDefault="000A21ED" w:rsidP="00C4419F">
            <w:pPr>
              <w:jc w:val="center"/>
              <w:rPr>
                <w:rFonts w:ascii="Times New Roman" w:eastAsia="Times New Roman" w:hAnsi="Times New Roman" w:cs="Times New Roman"/>
                <w:sz w:val="20"/>
                <w:szCs w:val="21"/>
                <w:lang w:eastAsia="sq-AL"/>
              </w:rPr>
            </w:pPr>
          </w:p>
        </w:tc>
        <w:tc>
          <w:tcPr>
            <w:tcW w:w="4590" w:type="dxa"/>
          </w:tcPr>
          <w:p w14:paraId="61F2B40C" w14:textId="77777777" w:rsidR="00FA0CFF" w:rsidRPr="004E6A4A" w:rsidRDefault="00144445">
            <w:pPr>
              <w:jc w:val="center"/>
            </w:pPr>
            <w:r w:rsidRPr="004E6A4A">
              <w:rPr>
                <w:rFonts w:ascii="Times New Roman" w:eastAsia="Times New Roman" w:hAnsi="Times New Roman" w:cs="Times New Roman"/>
                <w:b/>
                <w:sz w:val="20"/>
              </w:rPr>
              <w:t>Ligji: Neni 5</w:t>
            </w:r>
          </w:p>
          <w:p w14:paraId="36F221E0" w14:textId="77777777" w:rsidR="00FA0CFF" w:rsidRPr="004E6A4A" w:rsidRDefault="00144445">
            <w:pPr>
              <w:jc w:val="center"/>
            </w:pPr>
            <w:r w:rsidRPr="004E6A4A">
              <w:rPr>
                <w:rFonts w:ascii="Times New Roman" w:eastAsia="Times New Roman" w:hAnsi="Times New Roman" w:cs="Times New Roman"/>
                <w:b/>
                <w:sz w:val="20"/>
              </w:rPr>
              <w:t>Përkufizime</w:t>
            </w:r>
          </w:p>
          <w:p w14:paraId="020A6F56" w14:textId="77777777" w:rsidR="00FA0CFF" w:rsidRPr="004E6A4A" w:rsidRDefault="00144445">
            <w:pPr>
              <w:jc w:val="both"/>
            </w:pPr>
            <w:r w:rsidRPr="004E6A4A">
              <w:rPr>
                <w:rFonts w:ascii="Times New Roman" w:eastAsia="Times New Roman" w:hAnsi="Times New Roman" w:cs="Times New Roman"/>
                <w:sz w:val="20"/>
              </w:rPr>
              <w:t>15. “Monedhë fiat”:</w:t>
            </w:r>
          </w:p>
          <w:p w14:paraId="655DEB5D" w14:textId="77777777" w:rsidR="00FA0CFF" w:rsidRPr="004E6A4A" w:rsidRDefault="00144445">
            <w:pPr>
              <w:jc w:val="both"/>
            </w:pPr>
            <w:r w:rsidRPr="004E6A4A">
              <w:rPr>
                <w:rFonts w:ascii="Times New Roman" w:eastAsia="Times New Roman" w:hAnsi="Times New Roman" w:cs="Times New Roman"/>
                <w:sz w:val="20"/>
              </w:rPr>
              <w:t>a) për qëllime të zbatimit të rregullave të Bashkimit Evropian, ka të njëjtin kuptim sipas përcaktimit në ligjin “Për shkëmbimin automatik të informacionit mbi kripto-asetet”; dhe</w:t>
            </w:r>
          </w:p>
          <w:p w14:paraId="5F1B46AC" w14:textId="77777777" w:rsidR="00FA0CFF" w:rsidRPr="004E6A4A" w:rsidRDefault="00144445">
            <w:pPr>
              <w:jc w:val="both"/>
            </w:pPr>
            <w:r w:rsidRPr="004E6A4A">
              <w:rPr>
                <w:rFonts w:ascii="Times New Roman" w:eastAsia="Times New Roman" w:hAnsi="Times New Roman" w:cs="Times New Roman"/>
                <w:sz w:val="20"/>
              </w:rPr>
              <w:t>b) për qëllime të zbatimit të Standardit të Përbashkët të Raportimit, është monedha zyrtare e një juridiksioni, e emetuar nga juridiksioni ose nga banka qendrore ose autoriteti monetar i përcaktuar prej tij, e përfaqësuar nga kartëmonedha ose monedha metalike fizike ose nga para në forma të ndryshme digjitale, duke përfshirë rezervat bankare dhe Monedhat dixhitale të bankës qendrore. Ky term përfshin gjithashtu paratë e bankave tregtare dhe produktet e parasë elektronike, përfshirë Produktet e specifikuara të parasë elektronike.</w:t>
            </w:r>
          </w:p>
        </w:tc>
        <w:tc>
          <w:tcPr>
            <w:tcW w:w="1620" w:type="dxa"/>
          </w:tcPr>
          <w:p w14:paraId="41E696FB" w14:textId="77777777" w:rsidR="009726F8" w:rsidRPr="004E6A4A" w:rsidRDefault="009726F8" w:rsidP="00C4419F">
            <w:pPr>
              <w:jc w:val="center"/>
              <w:rPr>
                <w:rFonts w:ascii="Times New Roman" w:eastAsia="Calibri" w:hAnsi="Times New Roman" w:cs="Times New Roman"/>
                <w:sz w:val="18"/>
                <w:szCs w:val="18"/>
              </w:rPr>
            </w:pPr>
          </w:p>
          <w:p w14:paraId="19F05608" w14:textId="3AF7723E" w:rsidR="000A21ED" w:rsidRPr="004E6A4A" w:rsidRDefault="009726F8"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347316F1"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Përputhet.</w:t>
            </w:r>
          </w:p>
          <w:p w14:paraId="3E43E8F4"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Transpozohet nga neni 5, pika 15, i projektligjit.</w:t>
            </w:r>
          </w:p>
        </w:tc>
      </w:tr>
      <w:tr w:rsidR="004E6A4A" w:rsidRPr="004E6A4A" w14:paraId="3D60E7F1" w14:textId="77777777" w:rsidTr="00153084">
        <w:trPr>
          <w:trHeight w:val="764"/>
        </w:trPr>
        <w:tc>
          <w:tcPr>
            <w:tcW w:w="630" w:type="dxa"/>
          </w:tcPr>
          <w:p w14:paraId="65D24808" w14:textId="77777777" w:rsidR="000A21ED" w:rsidRPr="004E6A4A" w:rsidRDefault="000A21ED" w:rsidP="00C4419F">
            <w:pPr>
              <w:jc w:val="center"/>
              <w:rPr>
                <w:rFonts w:ascii="Times New Roman" w:eastAsia="Calibri" w:hAnsi="Times New Roman" w:cs="Times New Roman"/>
                <w:i/>
                <w:sz w:val="18"/>
                <w:szCs w:val="18"/>
              </w:rPr>
            </w:pPr>
          </w:p>
        </w:tc>
        <w:tc>
          <w:tcPr>
            <w:tcW w:w="4230" w:type="dxa"/>
          </w:tcPr>
          <w:p w14:paraId="4E4CA478"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11. Termi “Monedhë Dixhitale e Bankës Qendrore” nënkupton çdo Monedhë Fiat digjitale të emetuar nga një Bankë Qendrore ose nga një autoritet tjetër monetar.</w:t>
            </w:r>
          </w:p>
        </w:tc>
        <w:tc>
          <w:tcPr>
            <w:tcW w:w="1350" w:type="dxa"/>
          </w:tcPr>
          <w:p w14:paraId="72702577" w14:textId="77777777" w:rsidR="000A21ED" w:rsidRPr="004E6A4A" w:rsidRDefault="000A21ED" w:rsidP="00C4419F">
            <w:pPr>
              <w:jc w:val="center"/>
              <w:rPr>
                <w:rFonts w:ascii="Times New Roman" w:eastAsia="Calibri" w:hAnsi="Times New Roman" w:cs="Times New Roman"/>
                <w:sz w:val="18"/>
                <w:szCs w:val="18"/>
              </w:rPr>
            </w:pPr>
          </w:p>
        </w:tc>
        <w:tc>
          <w:tcPr>
            <w:tcW w:w="810" w:type="dxa"/>
          </w:tcPr>
          <w:p w14:paraId="535A319A" w14:textId="77777777" w:rsidR="000A21ED" w:rsidRPr="004E6A4A" w:rsidRDefault="000A21ED" w:rsidP="00C4419F">
            <w:pPr>
              <w:jc w:val="center"/>
              <w:rPr>
                <w:rFonts w:ascii="Times New Roman" w:eastAsia="Times New Roman" w:hAnsi="Times New Roman" w:cs="Times New Roman"/>
                <w:sz w:val="20"/>
                <w:szCs w:val="21"/>
                <w:lang w:eastAsia="sq-AL"/>
              </w:rPr>
            </w:pPr>
          </w:p>
        </w:tc>
        <w:tc>
          <w:tcPr>
            <w:tcW w:w="4590" w:type="dxa"/>
          </w:tcPr>
          <w:p w14:paraId="6D4E6289" w14:textId="77777777" w:rsidR="00FA0CFF" w:rsidRPr="004E6A4A" w:rsidRDefault="00144445">
            <w:pPr>
              <w:jc w:val="center"/>
            </w:pPr>
            <w:r w:rsidRPr="004E6A4A">
              <w:rPr>
                <w:rFonts w:ascii="Times New Roman" w:eastAsia="Times New Roman" w:hAnsi="Times New Roman" w:cs="Times New Roman"/>
                <w:b/>
                <w:sz w:val="20"/>
              </w:rPr>
              <w:t>Ligji: Neni 5</w:t>
            </w:r>
          </w:p>
          <w:p w14:paraId="732724E4" w14:textId="77777777" w:rsidR="00FA0CFF" w:rsidRPr="004E6A4A" w:rsidRDefault="00144445">
            <w:pPr>
              <w:jc w:val="center"/>
            </w:pPr>
            <w:r w:rsidRPr="004E6A4A">
              <w:rPr>
                <w:rFonts w:ascii="Times New Roman" w:eastAsia="Times New Roman" w:hAnsi="Times New Roman" w:cs="Times New Roman"/>
                <w:b/>
                <w:sz w:val="20"/>
              </w:rPr>
              <w:t>Përkufizime</w:t>
            </w:r>
          </w:p>
          <w:p w14:paraId="3FBF3A3C" w14:textId="77777777" w:rsidR="00FA0CFF" w:rsidRPr="004E6A4A" w:rsidRDefault="00144445">
            <w:pPr>
              <w:jc w:val="both"/>
            </w:pPr>
            <w:r w:rsidRPr="004E6A4A">
              <w:rPr>
                <w:rFonts w:ascii="Times New Roman" w:eastAsia="Times New Roman" w:hAnsi="Times New Roman" w:cs="Times New Roman"/>
                <w:sz w:val="20"/>
              </w:rPr>
              <w:t>17. “Monedhë dixhitale e bankës qendrore”:</w:t>
            </w:r>
          </w:p>
          <w:p w14:paraId="2629EFEF" w14:textId="77777777" w:rsidR="00FA0CFF" w:rsidRPr="004E6A4A" w:rsidRDefault="00144445">
            <w:pPr>
              <w:jc w:val="both"/>
            </w:pPr>
            <w:r w:rsidRPr="004E6A4A">
              <w:rPr>
                <w:rFonts w:ascii="Times New Roman" w:eastAsia="Times New Roman" w:hAnsi="Times New Roman" w:cs="Times New Roman"/>
                <w:sz w:val="20"/>
              </w:rPr>
              <w:lastRenderedPageBreak/>
              <w:t>a) për qëllime të zbatimit të rregullave të Bashkimit Evropian, ka të njëjtin kuptim sipas përcaktimit në ligjin “Për shkëmbimin automatik të informacionit mbi kripto-asetet”; dhe</w:t>
            </w:r>
          </w:p>
          <w:p w14:paraId="31E65906" w14:textId="77777777" w:rsidR="00FA0CFF" w:rsidRPr="004E6A4A" w:rsidRDefault="00144445">
            <w:pPr>
              <w:jc w:val="both"/>
            </w:pPr>
            <w:r w:rsidRPr="004E6A4A">
              <w:rPr>
                <w:rFonts w:ascii="Times New Roman" w:eastAsia="Times New Roman" w:hAnsi="Times New Roman" w:cs="Times New Roman"/>
                <w:sz w:val="20"/>
              </w:rPr>
              <w:t>b) për qëllime të zbatimit të Standardit të Përbashkët të Raportimit, është çdo monedhë fiat dixhitale e emetuar nga një bankë qendrore.</w:t>
            </w:r>
          </w:p>
        </w:tc>
        <w:tc>
          <w:tcPr>
            <w:tcW w:w="1620" w:type="dxa"/>
          </w:tcPr>
          <w:p w14:paraId="6512AF4A" w14:textId="064BB1C6" w:rsidR="000A21ED" w:rsidRPr="004E6A4A" w:rsidRDefault="004C3BDB"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lastRenderedPageBreak/>
              <w:t>F</w:t>
            </w:r>
          </w:p>
        </w:tc>
        <w:tc>
          <w:tcPr>
            <w:tcW w:w="2970" w:type="dxa"/>
          </w:tcPr>
          <w:p w14:paraId="6CF213AB"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Përputhet.</w:t>
            </w:r>
          </w:p>
          <w:p w14:paraId="1DE974D2"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Transpozohet nga neni 5, pika 17, i projektligjit.</w:t>
            </w:r>
          </w:p>
        </w:tc>
      </w:tr>
      <w:tr w:rsidR="004E6A4A" w:rsidRPr="004E6A4A" w14:paraId="4B4D4F93" w14:textId="77777777" w:rsidTr="00153084">
        <w:trPr>
          <w:trHeight w:val="764"/>
        </w:trPr>
        <w:tc>
          <w:tcPr>
            <w:tcW w:w="630" w:type="dxa"/>
          </w:tcPr>
          <w:p w14:paraId="49AEDD25" w14:textId="77777777" w:rsidR="000A21ED" w:rsidRPr="004E6A4A" w:rsidRDefault="000A21ED" w:rsidP="00C4419F">
            <w:pPr>
              <w:jc w:val="center"/>
              <w:rPr>
                <w:rFonts w:ascii="Times New Roman" w:eastAsia="Calibri" w:hAnsi="Times New Roman" w:cs="Times New Roman"/>
                <w:i/>
                <w:sz w:val="18"/>
                <w:szCs w:val="18"/>
              </w:rPr>
            </w:pPr>
          </w:p>
        </w:tc>
        <w:tc>
          <w:tcPr>
            <w:tcW w:w="4230" w:type="dxa"/>
          </w:tcPr>
          <w:p w14:paraId="20334CC5"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12. Termi “Kripto-aset” nënkupton kripto-asetin siç përkufizohet në nenin 3(1), pika (5), të Rregullores (BE) 2023/1114.</w:t>
            </w:r>
          </w:p>
        </w:tc>
        <w:tc>
          <w:tcPr>
            <w:tcW w:w="1350" w:type="dxa"/>
          </w:tcPr>
          <w:p w14:paraId="02A32D0C" w14:textId="77777777" w:rsidR="000A21ED" w:rsidRPr="004E6A4A" w:rsidRDefault="000A21ED" w:rsidP="00C4419F">
            <w:pPr>
              <w:jc w:val="center"/>
              <w:rPr>
                <w:rFonts w:ascii="Times New Roman" w:eastAsia="Calibri" w:hAnsi="Times New Roman" w:cs="Times New Roman"/>
                <w:sz w:val="18"/>
                <w:szCs w:val="18"/>
              </w:rPr>
            </w:pPr>
          </w:p>
        </w:tc>
        <w:tc>
          <w:tcPr>
            <w:tcW w:w="810" w:type="dxa"/>
          </w:tcPr>
          <w:p w14:paraId="4903D95C" w14:textId="77777777" w:rsidR="000A21ED" w:rsidRPr="004E6A4A" w:rsidRDefault="000A21ED" w:rsidP="00C4419F">
            <w:pPr>
              <w:jc w:val="center"/>
              <w:rPr>
                <w:rFonts w:ascii="Times New Roman" w:eastAsia="Times New Roman" w:hAnsi="Times New Roman" w:cs="Times New Roman"/>
                <w:sz w:val="20"/>
                <w:szCs w:val="21"/>
                <w:lang w:eastAsia="sq-AL"/>
              </w:rPr>
            </w:pPr>
          </w:p>
        </w:tc>
        <w:tc>
          <w:tcPr>
            <w:tcW w:w="4590" w:type="dxa"/>
          </w:tcPr>
          <w:p w14:paraId="6B14E90C" w14:textId="77777777" w:rsidR="00FA0CFF" w:rsidRPr="004E6A4A" w:rsidRDefault="00144445">
            <w:pPr>
              <w:jc w:val="center"/>
            </w:pPr>
            <w:r w:rsidRPr="004E6A4A">
              <w:rPr>
                <w:rFonts w:ascii="Times New Roman" w:eastAsia="Times New Roman" w:hAnsi="Times New Roman" w:cs="Times New Roman"/>
                <w:b/>
                <w:sz w:val="20"/>
              </w:rPr>
              <w:t>Ligji: Neni 5</w:t>
            </w:r>
          </w:p>
          <w:p w14:paraId="1C3D5624" w14:textId="77777777" w:rsidR="00FA0CFF" w:rsidRPr="004E6A4A" w:rsidRDefault="00144445">
            <w:pPr>
              <w:jc w:val="center"/>
            </w:pPr>
            <w:r w:rsidRPr="004E6A4A">
              <w:rPr>
                <w:rFonts w:ascii="Times New Roman" w:eastAsia="Times New Roman" w:hAnsi="Times New Roman" w:cs="Times New Roman"/>
                <w:b/>
                <w:sz w:val="20"/>
              </w:rPr>
              <w:t>Përkufizime</w:t>
            </w:r>
          </w:p>
          <w:p w14:paraId="781E6264" w14:textId="77777777" w:rsidR="00FA0CFF" w:rsidRPr="004E6A4A" w:rsidRDefault="00144445">
            <w:pPr>
              <w:jc w:val="both"/>
            </w:pPr>
            <w:r w:rsidRPr="004E6A4A">
              <w:rPr>
                <w:rFonts w:ascii="Times New Roman" w:eastAsia="Times New Roman" w:hAnsi="Times New Roman" w:cs="Times New Roman"/>
                <w:sz w:val="20"/>
              </w:rPr>
              <w:t>16. “Kripto-aset”:</w:t>
            </w:r>
          </w:p>
          <w:p w14:paraId="40B182D3" w14:textId="77777777" w:rsidR="00FA0CFF" w:rsidRPr="004E6A4A" w:rsidRDefault="00144445">
            <w:pPr>
              <w:jc w:val="both"/>
            </w:pPr>
            <w:r w:rsidRPr="004E6A4A">
              <w:rPr>
                <w:rFonts w:ascii="Times New Roman" w:eastAsia="Times New Roman" w:hAnsi="Times New Roman" w:cs="Times New Roman"/>
                <w:sz w:val="20"/>
              </w:rPr>
              <w:t>a) për qëllime të zbatimit të rregullave të Bashkimit Evropian, ka të njëjtin kuptim si në legjislacionin në fuqi për tregjet e kripto-aseteve; dhe</w:t>
            </w:r>
          </w:p>
          <w:p w14:paraId="74F4B316" w14:textId="77777777" w:rsidR="00FA0CFF" w:rsidRPr="004E6A4A" w:rsidRDefault="00144445">
            <w:pPr>
              <w:jc w:val="both"/>
            </w:pPr>
            <w:r w:rsidRPr="004E6A4A">
              <w:rPr>
                <w:rFonts w:ascii="Times New Roman" w:eastAsia="Times New Roman" w:hAnsi="Times New Roman" w:cs="Times New Roman"/>
                <w:sz w:val="20"/>
              </w:rPr>
              <w:t>b) për qëllime të zbatimit të Standardit të Përbashkët të Raportimit, është një përfaqësim digjital i vlerës që mbështetet në një regjistër të shpërndarë të siguruar kriptografikisht ose në një teknologji të ngjashme për validimin dhe sigurimin e transaksioneve.</w:t>
            </w:r>
          </w:p>
        </w:tc>
        <w:tc>
          <w:tcPr>
            <w:tcW w:w="1620" w:type="dxa"/>
          </w:tcPr>
          <w:p w14:paraId="7A86C722" w14:textId="137839BD" w:rsidR="000A21ED" w:rsidRPr="004E6A4A" w:rsidRDefault="004C3BDB"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6A875C69"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Përputhet.</w:t>
            </w:r>
          </w:p>
          <w:p w14:paraId="65F10714"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Transpozohet nga neni 5, pika 16, i projektligjit.</w:t>
            </w:r>
          </w:p>
        </w:tc>
      </w:tr>
      <w:tr w:rsidR="004E6A4A" w:rsidRPr="004E6A4A" w14:paraId="4A83D104" w14:textId="77777777" w:rsidTr="00153084">
        <w:trPr>
          <w:trHeight w:val="764"/>
        </w:trPr>
        <w:tc>
          <w:tcPr>
            <w:tcW w:w="630" w:type="dxa"/>
          </w:tcPr>
          <w:p w14:paraId="6FF29D74" w14:textId="77777777" w:rsidR="000A21ED" w:rsidRPr="004E6A4A" w:rsidRDefault="000A21ED" w:rsidP="00C4419F">
            <w:pPr>
              <w:jc w:val="center"/>
              <w:rPr>
                <w:rFonts w:ascii="Times New Roman" w:eastAsia="Calibri" w:hAnsi="Times New Roman" w:cs="Times New Roman"/>
                <w:i/>
                <w:sz w:val="18"/>
                <w:szCs w:val="18"/>
              </w:rPr>
            </w:pPr>
          </w:p>
        </w:tc>
        <w:tc>
          <w:tcPr>
            <w:tcW w:w="4230" w:type="dxa"/>
          </w:tcPr>
          <w:p w14:paraId="6AA9696C"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13. Termi “Kripto-aset Raportues” nënkupton çdo Kripto-aset tjetër përveç një Monedhe Dixhitale të Bankës Qendrore, Parasë Elektronike ose çdo Kripto-aseti për të cilin Ofruesi i Shërbimit të Kripto-aseteve Raportues ka përcaktuar në mënyrë të përshtatshme se nuk mund të përdoret për qëllime pagese ose investimi.</w:t>
            </w:r>
          </w:p>
        </w:tc>
        <w:tc>
          <w:tcPr>
            <w:tcW w:w="1350" w:type="dxa"/>
          </w:tcPr>
          <w:p w14:paraId="1ED3982F" w14:textId="77777777" w:rsidR="000A21ED" w:rsidRPr="004E6A4A" w:rsidRDefault="000A21ED" w:rsidP="00C4419F">
            <w:pPr>
              <w:jc w:val="center"/>
              <w:rPr>
                <w:rFonts w:ascii="Times New Roman" w:eastAsia="Calibri" w:hAnsi="Times New Roman" w:cs="Times New Roman"/>
                <w:sz w:val="18"/>
                <w:szCs w:val="18"/>
              </w:rPr>
            </w:pPr>
          </w:p>
        </w:tc>
        <w:tc>
          <w:tcPr>
            <w:tcW w:w="810" w:type="dxa"/>
          </w:tcPr>
          <w:p w14:paraId="3681F99F" w14:textId="77777777" w:rsidR="000A21ED" w:rsidRPr="004E6A4A" w:rsidRDefault="000A21ED" w:rsidP="00C4419F">
            <w:pPr>
              <w:jc w:val="center"/>
              <w:rPr>
                <w:rFonts w:ascii="Times New Roman" w:eastAsia="Times New Roman" w:hAnsi="Times New Roman" w:cs="Times New Roman"/>
                <w:sz w:val="20"/>
                <w:szCs w:val="21"/>
                <w:lang w:eastAsia="sq-AL"/>
              </w:rPr>
            </w:pPr>
          </w:p>
        </w:tc>
        <w:tc>
          <w:tcPr>
            <w:tcW w:w="4590" w:type="dxa"/>
          </w:tcPr>
          <w:p w14:paraId="003E484D" w14:textId="77777777" w:rsidR="00FA0CFF" w:rsidRPr="004E6A4A" w:rsidRDefault="00144445">
            <w:pPr>
              <w:jc w:val="center"/>
            </w:pPr>
            <w:r w:rsidRPr="004E6A4A">
              <w:rPr>
                <w:rFonts w:ascii="Times New Roman" w:eastAsia="Times New Roman" w:hAnsi="Times New Roman" w:cs="Times New Roman"/>
                <w:b/>
                <w:sz w:val="20"/>
              </w:rPr>
              <w:t>Ligji: Neni 5</w:t>
            </w:r>
          </w:p>
          <w:p w14:paraId="7068734F" w14:textId="77777777" w:rsidR="00FA0CFF" w:rsidRPr="004E6A4A" w:rsidRDefault="00144445">
            <w:pPr>
              <w:jc w:val="center"/>
            </w:pPr>
            <w:r w:rsidRPr="004E6A4A">
              <w:rPr>
                <w:rFonts w:ascii="Times New Roman" w:eastAsia="Times New Roman" w:hAnsi="Times New Roman" w:cs="Times New Roman"/>
                <w:b/>
                <w:sz w:val="20"/>
              </w:rPr>
              <w:t>Përkufizime</w:t>
            </w:r>
          </w:p>
          <w:p w14:paraId="721C8686" w14:textId="77777777" w:rsidR="00FA0CFF" w:rsidRPr="004E6A4A" w:rsidRDefault="00144445">
            <w:pPr>
              <w:jc w:val="both"/>
            </w:pPr>
            <w:r w:rsidRPr="004E6A4A">
              <w:rPr>
                <w:rFonts w:ascii="Times New Roman" w:eastAsia="Times New Roman" w:hAnsi="Times New Roman" w:cs="Times New Roman"/>
                <w:sz w:val="20"/>
              </w:rPr>
              <w:t>18. “Kripto-aset raportues”, për qëllime të zbatimit të rregullave të Bashkimit Evropian, është çdo kripto-aset, me përjashtim të Monedhës dixhitale të bankës qendrore, Parasë elektronike ose çdo kripto-aseti për të cilin Ofruesi i Shërbimit të Kripto-aseteve Raportues ka përcaktuar në mënyrë të përshtatshme se nuk mund të përdoret për qëllime pagese ose investimi.</w:t>
            </w:r>
          </w:p>
          <w:p w14:paraId="4B61AF66" w14:textId="77777777" w:rsidR="00FA0CFF" w:rsidRPr="004E6A4A" w:rsidRDefault="00FA0CFF"/>
          <w:p w14:paraId="7C618F55" w14:textId="08510182" w:rsidR="00FA0CFF" w:rsidRPr="004E6A4A" w:rsidRDefault="00FA0CFF">
            <w:pPr>
              <w:jc w:val="both"/>
            </w:pPr>
          </w:p>
        </w:tc>
        <w:tc>
          <w:tcPr>
            <w:tcW w:w="1620" w:type="dxa"/>
          </w:tcPr>
          <w:p w14:paraId="725F3018" w14:textId="45316839" w:rsidR="000A21ED" w:rsidRPr="004E6A4A" w:rsidRDefault="004C3BDB"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45C4AB36"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Përputhet.</w:t>
            </w:r>
          </w:p>
          <w:p w14:paraId="24E90FDC"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Transpozohet nga neni 5, pika 18,</w:t>
            </w:r>
          </w:p>
        </w:tc>
      </w:tr>
      <w:tr w:rsidR="004E6A4A" w:rsidRPr="004E6A4A" w14:paraId="6C0EA57A" w14:textId="77777777" w:rsidTr="00153084">
        <w:trPr>
          <w:trHeight w:val="764"/>
        </w:trPr>
        <w:tc>
          <w:tcPr>
            <w:tcW w:w="630" w:type="dxa"/>
          </w:tcPr>
          <w:p w14:paraId="3DF65893" w14:textId="77777777" w:rsidR="000A21ED" w:rsidRPr="004E6A4A" w:rsidRDefault="000A21ED" w:rsidP="00C4419F">
            <w:pPr>
              <w:jc w:val="center"/>
              <w:rPr>
                <w:rFonts w:ascii="Times New Roman" w:eastAsia="Calibri" w:hAnsi="Times New Roman" w:cs="Times New Roman"/>
                <w:i/>
                <w:sz w:val="18"/>
                <w:szCs w:val="18"/>
              </w:rPr>
            </w:pPr>
          </w:p>
        </w:tc>
        <w:tc>
          <w:tcPr>
            <w:tcW w:w="4230" w:type="dxa"/>
          </w:tcPr>
          <w:p w14:paraId="1C122B36"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14. Termi “Transaksion Shkëmbimi” nënkupton çdo:</w:t>
            </w:r>
          </w:p>
          <w:p w14:paraId="00108A9E"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(a) shkëmbim ndërmjet Kripto-aseteve Raportuese dhe Monedhave Fiat; dhe</w:t>
            </w:r>
          </w:p>
          <w:p w14:paraId="15A27444"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(b) shkëmbim ndërmjet një ose më shumë formave të Kripto-aseteve Raportuese.</w:t>
            </w:r>
          </w:p>
        </w:tc>
        <w:tc>
          <w:tcPr>
            <w:tcW w:w="1350" w:type="dxa"/>
          </w:tcPr>
          <w:p w14:paraId="51FDEC05" w14:textId="77777777" w:rsidR="000A21ED" w:rsidRPr="004E6A4A" w:rsidRDefault="000A21ED" w:rsidP="00C4419F">
            <w:pPr>
              <w:jc w:val="center"/>
              <w:rPr>
                <w:rFonts w:ascii="Times New Roman" w:eastAsia="Calibri" w:hAnsi="Times New Roman" w:cs="Times New Roman"/>
                <w:sz w:val="18"/>
                <w:szCs w:val="18"/>
              </w:rPr>
            </w:pPr>
          </w:p>
        </w:tc>
        <w:tc>
          <w:tcPr>
            <w:tcW w:w="810" w:type="dxa"/>
          </w:tcPr>
          <w:p w14:paraId="1554702F" w14:textId="77777777" w:rsidR="000A21ED" w:rsidRPr="004E6A4A" w:rsidRDefault="000A21ED" w:rsidP="00C4419F">
            <w:pPr>
              <w:jc w:val="center"/>
              <w:rPr>
                <w:rFonts w:ascii="Times New Roman" w:eastAsia="Times New Roman" w:hAnsi="Times New Roman" w:cs="Times New Roman"/>
                <w:sz w:val="20"/>
                <w:szCs w:val="21"/>
                <w:lang w:eastAsia="sq-AL"/>
              </w:rPr>
            </w:pPr>
          </w:p>
        </w:tc>
        <w:tc>
          <w:tcPr>
            <w:tcW w:w="4590" w:type="dxa"/>
          </w:tcPr>
          <w:p w14:paraId="14531645" w14:textId="77777777" w:rsidR="00FA0CFF" w:rsidRPr="004E6A4A" w:rsidRDefault="00144445">
            <w:pPr>
              <w:jc w:val="center"/>
            </w:pPr>
            <w:r w:rsidRPr="004E6A4A">
              <w:rPr>
                <w:rFonts w:ascii="Times New Roman" w:eastAsia="Times New Roman" w:hAnsi="Times New Roman" w:cs="Times New Roman"/>
                <w:b/>
                <w:sz w:val="20"/>
              </w:rPr>
              <w:t>Ligji: Neni 5</w:t>
            </w:r>
          </w:p>
          <w:p w14:paraId="528A13B9" w14:textId="77777777" w:rsidR="00FA0CFF" w:rsidRPr="004E6A4A" w:rsidRDefault="00144445">
            <w:pPr>
              <w:jc w:val="center"/>
            </w:pPr>
            <w:r w:rsidRPr="004E6A4A">
              <w:rPr>
                <w:rFonts w:ascii="Times New Roman" w:eastAsia="Times New Roman" w:hAnsi="Times New Roman" w:cs="Times New Roman"/>
                <w:b/>
                <w:sz w:val="20"/>
              </w:rPr>
              <w:t>Përkufizime</w:t>
            </w:r>
          </w:p>
          <w:p w14:paraId="162392DE" w14:textId="77777777" w:rsidR="00FA0CFF" w:rsidRPr="004E6A4A" w:rsidRDefault="00144445">
            <w:pPr>
              <w:jc w:val="both"/>
            </w:pPr>
            <w:r w:rsidRPr="004E6A4A">
              <w:rPr>
                <w:rFonts w:ascii="Times New Roman" w:eastAsia="Times New Roman" w:hAnsi="Times New Roman" w:cs="Times New Roman"/>
                <w:sz w:val="20"/>
              </w:rPr>
              <w:t>21. “Transaksion shkëmbimi”: është:</w:t>
            </w:r>
          </w:p>
          <w:p w14:paraId="6DC61D2C" w14:textId="77777777" w:rsidR="00FA0CFF" w:rsidRPr="004E6A4A" w:rsidRDefault="00144445">
            <w:pPr>
              <w:jc w:val="both"/>
            </w:pPr>
            <w:r w:rsidRPr="004E6A4A">
              <w:rPr>
                <w:rFonts w:ascii="Times New Roman" w:eastAsia="Times New Roman" w:hAnsi="Times New Roman" w:cs="Times New Roman"/>
                <w:sz w:val="20"/>
              </w:rPr>
              <w:t>a) për qëllime të profilit të Bashkimit Evropian, çdo:</w:t>
            </w:r>
          </w:p>
          <w:p w14:paraId="645A089C" w14:textId="77777777" w:rsidR="00FA0CFF" w:rsidRPr="004E6A4A" w:rsidRDefault="00144445">
            <w:pPr>
              <w:jc w:val="both"/>
            </w:pPr>
            <w:r w:rsidRPr="004E6A4A">
              <w:rPr>
                <w:rFonts w:ascii="Times New Roman" w:eastAsia="Times New Roman" w:hAnsi="Times New Roman" w:cs="Times New Roman"/>
                <w:sz w:val="20"/>
              </w:rPr>
              <w:t>i) shkëmbim ndërmjet Kripto-aseteve Raportuese dhe Monedhave Fiat; dhe</w:t>
            </w:r>
          </w:p>
          <w:p w14:paraId="6D092A9A" w14:textId="77777777" w:rsidR="00FA0CFF" w:rsidRPr="004E6A4A" w:rsidRDefault="00144445">
            <w:pPr>
              <w:jc w:val="both"/>
            </w:pPr>
            <w:r w:rsidRPr="004E6A4A">
              <w:rPr>
                <w:rFonts w:ascii="Times New Roman" w:eastAsia="Times New Roman" w:hAnsi="Times New Roman" w:cs="Times New Roman"/>
                <w:sz w:val="20"/>
              </w:rPr>
              <w:lastRenderedPageBreak/>
              <w:t>ii) shkëmbim ndërmjet një ose më shumë formave të Kripto-aseteve Raportuese;</w:t>
            </w:r>
          </w:p>
          <w:p w14:paraId="13B43F4C" w14:textId="77777777" w:rsidR="00FA0CFF" w:rsidRPr="004E6A4A" w:rsidRDefault="00144445">
            <w:pPr>
              <w:jc w:val="both"/>
            </w:pPr>
            <w:r w:rsidRPr="004E6A4A">
              <w:rPr>
                <w:rFonts w:ascii="Times New Roman" w:eastAsia="Times New Roman" w:hAnsi="Times New Roman" w:cs="Times New Roman"/>
                <w:sz w:val="20"/>
              </w:rPr>
              <w:t>b) për qëllime të profilit të Standardit të Përbashkët të Raportimit, çdo:</w:t>
            </w:r>
          </w:p>
          <w:p w14:paraId="04ED0913" w14:textId="77777777" w:rsidR="00FA0CFF" w:rsidRPr="004E6A4A" w:rsidRDefault="00144445">
            <w:pPr>
              <w:jc w:val="both"/>
            </w:pPr>
            <w:r w:rsidRPr="004E6A4A">
              <w:rPr>
                <w:rFonts w:ascii="Times New Roman" w:eastAsia="Times New Roman" w:hAnsi="Times New Roman" w:cs="Times New Roman"/>
                <w:sz w:val="20"/>
              </w:rPr>
              <w:t>i) shkëmbim ndërmjet Kripto-aseteve Përkatëse dhe Monedhave Fiat; dhe</w:t>
            </w:r>
          </w:p>
          <w:p w14:paraId="1481D5CD" w14:textId="77777777" w:rsidR="00FA0CFF" w:rsidRPr="004E6A4A" w:rsidRDefault="00144445">
            <w:pPr>
              <w:jc w:val="both"/>
            </w:pPr>
            <w:r w:rsidRPr="004E6A4A">
              <w:rPr>
                <w:rFonts w:ascii="Times New Roman" w:eastAsia="Times New Roman" w:hAnsi="Times New Roman" w:cs="Times New Roman"/>
                <w:sz w:val="20"/>
              </w:rPr>
              <w:t>ii) shkëmbim ndërmjet një ose më shumë formave të Kripto-aseteve Përkatëse.</w:t>
            </w:r>
          </w:p>
        </w:tc>
        <w:tc>
          <w:tcPr>
            <w:tcW w:w="1620" w:type="dxa"/>
          </w:tcPr>
          <w:p w14:paraId="05FF4314" w14:textId="73BA17D6" w:rsidR="000A21ED" w:rsidRPr="004E6A4A" w:rsidRDefault="004C3BDB"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lastRenderedPageBreak/>
              <w:t>F</w:t>
            </w:r>
          </w:p>
        </w:tc>
        <w:tc>
          <w:tcPr>
            <w:tcW w:w="2970" w:type="dxa"/>
          </w:tcPr>
          <w:p w14:paraId="53F3E047"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Përputhet.</w:t>
            </w:r>
          </w:p>
          <w:p w14:paraId="4DEFF695"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Transpozohet nga neni 5, pika 21, i projektligjit.</w:t>
            </w:r>
          </w:p>
        </w:tc>
      </w:tr>
      <w:tr w:rsidR="004E6A4A" w:rsidRPr="004E6A4A" w14:paraId="5CB30001" w14:textId="77777777" w:rsidTr="00153084">
        <w:trPr>
          <w:trHeight w:val="764"/>
        </w:trPr>
        <w:tc>
          <w:tcPr>
            <w:tcW w:w="630" w:type="dxa"/>
          </w:tcPr>
          <w:p w14:paraId="08EF266B" w14:textId="77777777" w:rsidR="000A21ED" w:rsidRPr="004E6A4A" w:rsidRDefault="000A21ED" w:rsidP="00C4419F">
            <w:pPr>
              <w:jc w:val="center"/>
              <w:rPr>
                <w:rFonts w:ascii="Times New Roman" w:eastAsia="Calibri" w:hAnsi="Times New Roman" w:cs="Times New Roman"/>
                <w:i/>
                <w:sz w:val="18"/>
                <w:szCs w:val="18"/>
              </w:rPr>
            </w:pPr>
          </w:p>
        </w:tc>
        <w:tc>
          <w:tcPr>
            <w:tcW w:w="4230" w:type="dxa"/>
          </w:tcPr>
          <w:p w14:paraId="09D39676"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B.</w:t>
            </w:r>
            <w:r w:rsidRPr="004E6A4A">
              <w:rPr>
                <w:rFonts w:ascii="Times New Roman" w:eastAsia="Times New Roman" w:hAnsi="Times New Roman" w:cs="Times New Roman"/>
                <w:sz w:val="20"/>
                <w:szCs w:val="20"/>
              </w:rPr>
              <w:tab/>
              <w:t>Institucion Financiar Joraportues</w:t>
            </w:r>
          </w:p>
          <w:p w14:paraId="153FE8AA"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1.</w:t>
            </w:r>
            <w:r w:rsidRPr="004E6A4A">
              <w:rPr>
                <w:rFonts w:ascii="Times New Roman" w:eastAsia="Times New Roman" w:hAnsi="Times New Roman" w:cs="Times New Roman"/>
                <w:sz w:val="20"/>
                <w:szCs w:val="20"/>
              </w:rPr>
              <w:tab/>
              <w:t>Termi “Institucion Financiar Joraportues” nënkupton çdo Institucion Financiar që është:</w:t>
            </w:r>
          </w:p>
          <w:p w14:paraId="4FCD7349"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(a)</w:t>
            </w:r>
            <w:r w:rsidRPr="004E6A4A">
              <w:rPr>
                <w:rFonts w:ascii="Times New Roman" w:eastAsia="Times New Roman" w:hAnsi="Times New Roman" w:cs="Times New Roman"/>
                <w:sz w:val="20"/>
                <w:szCs w:val="20"/>
              </w:rPr>
              <w:tab/>
              <w:t>Organ Qeveritar, Organizatë Ndërkombëtare ose Bankë Qendrore, përveç:</w:t>
            </w:r>
          </w:p>
          <w:p w14:paraId="17CC93D5"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(i) në lidhje me një pagesë që rrjedh nga një detyrim i mbajtur në lidhje me një veprimtari financiare tregtare të llojit që ushtrohet nga një Shoqëri Sigurimesh e Specifikuar, Institucion Kujdestarie ose Institucion Depozitues; ose</w:t>
            </w:r>
          </w:p>
          <w:p w14:paraId="1E5023D4"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(ii) në lidhje me veprimtarinë e mbajtjes së Monedhave Dixhitale të Bankës Qendrore për Mbajtës Llogarish që nuk janë Institucione Financiare, Organe Qeveritare, Organizata Ndërkombëtare ose Banka Qendrore;</w:t>
            </w:r>
          </w:p>
          <w:p w14:paraId="037B4081"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(b)</w:t>
            </w:r>
            <w:r w:rsidRPr="004E6A4A">
              <w:rPr>
                <w:rFonts w:ascii="Times New Roman" w:eastAsia="Times New Roman" w:hAnsi="Times New Roman" w:cs="Times New Roman"/>
                <w:sz w:val="20"/>
                <w:szCs w:val="20"/>
              </w:rPr>
              <w:tab/>
              <w:t>Fond Pensioni me Pjesëmarrje të Gjerë; Fond Pensioni me Pjesëmarrje të Kufizuar; Fond Pensioni i një Organi Qeveritar, Organizate Ndërkombëtare ose Banke Qendrore; ose Emetues i Kualifikuar i Kartave të Kreditit;</w:t>
            </w:r>
          </w:p>
          <w:p w14:paraId="2A664917"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w:t>
            </w:r>
            <w:r w:rsidRPr="004E6A4A">
              <w:rPr>
                <w:rFonts w:ascii="Times New Roman" w:eastAsia="Times New Roman" w:hAnsi="Times New Roman" w:cs="Times New Roman"/>
                <w:sz w:val="20"/>
                <w:szCs w:val="20"/>
              </w:rPr>
              <w:tab/>
              <w:t xml:space="preserve">çdo Njësi tjetër Ekonomike që paraqet rrezik të ulët për t’u përdorur për shmangien e tatimeve, ka karakteristika thelbësisht të ngjashme me cilëndo nga Njësitë Ekonomike të përshkruara në nënparagrafët B(1)(a) dhe (b) dhe përfshihet në listën e Institucioneve Financiare Joraportuese të përmendur në nenin 8(7a) të kësaj Direktive, me kusht që statusi i kësaj Njësie Ekonomike si </w:t>
            </w:r>
            <w:r w:rsidRPr="004E6A4A">
              <w:rPr>
                <w:rFonts w:ascii="Times New Roman" w:eastAsia="Times New Roman" w:hAnsi="Times New Roman" w:cs="Times New Roman"/>
                <w:sz w:val="20"/>
                <w:szCs w:val="20"/>
              </w:rPr>
              <w:lastRenderedPageBreak/>
              <w:t>Institucion Financiar Joraportues të mos cenojë qëllimet e kësaj Direktive;</w:t>
            </w:r>
          </w:p>
          <w:p w14:paraId="310EC1FC"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 xml:space="preserve"> (d)</w:t>
            </w:r>
            <w:r w:rsidRPr="004E6A4A">
              <w:rPr>
                <w:rFonts w:ascii="Times New Roman" w:eastAsia="Times New Roman" w:hAnsi="Times New Roman" w:cs="Times New Roman"/>
                <w:sz w:val="20"/>
                <w:szCs w:val="20"/>
              </w:rPr>
              <w:tab/>
              <w:t>Instrument Investimesh Kolektive i Përjashtuar; ose</w:t>
            </w:r>
          </w:p>
          <w:p w14:paraId="1E34B717"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(e)</w:t>
            </w:r>
            <w:r w:rsidRPr="004E6A4A">
              <w:rPr>
                <w:rFonts w:ascii="Times New Roman" w:eastAsia="Times New Roman" w:hAnsi="Times New Roman" w:cs="Times New Roman"/>
                <w:sz w:val="20"/>
                <w:szCs w:val="20"/>
              </w:rPr>
              <w:tab/>
              <w:t>një trust, për aq sa administratori i trustit është Institucion Financiar Raportues dhe raporton të gjithë informacionin që kërkohet të raportohet sipas Seksionit I në lidhje me të gjitha Llogaritë e Raportueshme të trustit.</w:t>
            </w:r>
          </w:p>
        </w:tc>
        <w:tc>
          <w:tcPr>
            <w:tcW w:w="1350" w:type="dxa"/>
          </w:tcPr>
          <w:p w14:paraId="27F72AF8" w14:textId="77777777" w:rsidR="000A21ED" w:rsidRPr="004E6A4A" w:rsidRDefault="000A21ED" w:rsidP="00C4419F">
            <w:pPr>
              <w:jc w:val="center"/>
              <w:rPr>
                <w:rFonts w:ascii="Times New Roman" w:eastAsia="Calibri" w:hAnsi="Times New Roman" w:cs="Times New Roman"/>
                <w:sz w:val="18"/>
                <w:szCs w:val="18"/>
              </w:rPr>
            </w:pPr>
          </w:p>
        </w:tc>
        <w:tc>
          <w:tcPr>
            <w:tcW w:w="810" w:type="dxa"/>
          </w:tcPr>
          <w:p w14:paraId="50382783" w14:textId="77777777" w:rsidR="000A21ED" w:rsidRPr="004E6A4A" w:rsidRDefault="000A21ED" w:rsidP="00C4419F">
            <w:pPr>
              <w:jc w:val="center"/>
              <w:rPr>
                <w:rFonts w:ascii="Times New Roman" w:eastAsia="Times New Roman" w:hAnsi="Times New Roman" w:cs="Times New Roman"/>
                <w:sz w:val="20"/>
                <w:szCs w:val="21"/>
                <w:lang w:eastAsia="sq-AL"/>
              </w:rPr>
            </w:pPr>
          </w:p>
        </w:tc>
        <w:tc>
          <w:tcPr>
            <w:tcW w:w="4590" w:type="dxa"/>
          </w:tcPr>
          <w:p w14:paraId="6760BF53" w14:textId="77777777" w:rsidR="00FA0CFF" w:rsidRPr="004E6A4A" w:rsidRDefault="00144445">
            <w:pPr>
              <w:jc w:val="center"/>
            </w:pPr>
            <w:r w:rsidRPr="004E6A4A">
              <w:rPr>
                <w:rFonts w:ascii="Times New Roman" w:eastAsia="Times New Roman" w:hAnsi="Times New Roman" w:cs="Times New Roman"/>
                <w:b/>
                <w:sz w:val="20"/>
              </w:rPr>
              <w:t>Ligji: Neni 5</w:t>
            </w:r>
          </w:p>
          <w:p w14:paraId="0598C86B" w14:textId="77777777" w:rsidR="00FA0CFF" w:rsidRPr="004E6A4A" w:rsidRDefault="00144445">
            <w:pPr>
              <w:jc w:val="center"/>
            </w:pPr>
            <w:r w:rsidRPr="004E6A4A">
              <w:rPr>
                <w:rFonts w:ascii="Times New Roman" w:eastAsia="Times New Roman" w:hAnsi="Times New Roman" w:cs="Times New Roman"/>
                <w:b/>
                <w:sz w:val="20"/>
              </w:rPr>
              <w:t>Përkufizime</w:t>
            </w:r>
          </w:p>
          <w:p w14:paraId="514D6E9C" w14:textId="77777777" w:rsidR="00FA0CFF" w:rsidRPr="004E6A4A" w:rsidRDefault="00144445">
            <w:pPr>
              <w:jc w:val="both"/>
            </w:pPr>
            <w:r w:rsidRPr="004E6A4A">
              <w:rPr>
                <w:rFonts w:ascii="Times New Roman" w:eastAsia="Times New Roman" w:hAnsi="Times New Roman" w:cs="Times New Roman"/>
                <w:sz w:val="20"/>
              </w:rPr>
              <w:t>33. “Institucion financiar joraportues” është çdo institucion financiar që është:</w:t>
            </w:r>
          </w:p>
          <w:p w14:paraId="22994A4A" w14:textId="77777777" w:rsidR="00FA0CFF" w:rsidRPr="004E6A4A" w:rsidRDefault="00144445">
            <w:pPr>
              <w:jc w:val="both"/>
            </w:pPr>
            <w:r w:rsidRPr="004E6A4A">
              <w:rPr>
                <w:rFonts w:ascii="Times New Roman" w:eastAsia="Times New Roman" w:hAnsi="Times New Roman" w:cs="Times New Roman"/>
                <w:sz w:val="20"/>
              </w:rPr>
              <w:t>a) një organ qeveritar, organizatë ndërkombëtare ose bankë qendrore, përveçse:</w:t>
            </w:r>
          </w:p>
          <w:p w14:paraId="6DC3B6C5" w14:textId="77777777" w:rsidR="00FA0CFF" w:rsidRPr="004E6A4A" w:rsidRDefault="00144445">
            <w:pPr>
              <w:jc w:val="both"/>
            </w:pPr>
            <w:r w:rsidRPr="004E6A4A">
              <w:rPr>
                <w:rFonts w:ascii="Times New Roman" w:eastAsia="Times New Roman" w:hAnsi="Times New Roman" w:cs="Times New Roman"/>
                <w:sz w:val="20"/>
              </w:rPr>
              <w:t>i) në lidhje me një pagesë që rrjedh nga një detyrim i mbajtur në lidhje me një veprimtari financiare tregtare të llojit të ushtruar nga një shoqëri sigurimesh e specifikuar, institucion kujdestarie ose institucion depozitues; ose</w:t>
            </w:r>
          </w:p>
          <w:p w14:paraId="0847A51F" w14:textId="77777777" w:rsidR="00FA0CFF" w:rsidRPr="004E6A4A" w:rsidRDefault="00144445">
            <w:pPr>
              <w:jc w:val="both"/>
            </w:pPr>
            <w:r w:rsidRPr="004E6A4A">
              <w:rPr>
                <w:rFonts w:ascii="Times New Roman" w:eastAsia="Times New Roman" w:hAnsi="Times New Roman" w:cs="Times New Roman"/>
                <w:sz w:val="20"/>
              </w:rPr>
              <w:t>ii) në lidhje me aktivitetin e mbajtjes së monedhave dixhitale të bankës qendrore për mbajtësit e llogarive që nuk janë institucione financiare, organe qeveritare, organizata ndërkombëtare ose banka qendrore;</w:t>
            </w:r>
          </w:p>
          <w:p w14:paraId="3F964BFC" w14:textId="77777777" w:rsidR="00FA0CFF" w:rsidRPr="004E6A4A" w:rsidRDefault="00144445">
            <w:pPr>
              <w:jc w:val="both"/>
            </w:pPr>
            <w:r w:rsidRPr="004E6A4A">
              <w:rPr>
                <w:rFonts w:ascii="Times New Roman" w:eastAsia="Times New Roman" w:hAnsi="Times New Roman" w:cs="Times New Roman"/>
                <w:sz w:val="20"/>
              </w:rPr>
              <w:t>b) një fond pensioni me pjesëmarrje të gjerë, fond pensioni me pjesëmarrje të kufizuar, fond pensioni i një organi qeveritar, organizate ndërkombëtare ose banke qendrore, ose një emetues i kualifikuar i kartave të kreditit;</w:t>
            </w:r>
          </w:p>
          <w:p w14:paraId="03EDE575" w14:textId="77777777" w:rsidR="00FA0CFF" w:rsidRPr="004E6A4A" w:rsidRDefault="00144445">
            <w:pPr>
              <w:jc w:val="both"/>
            </w:pPr>
            <w:r w:rsidRPr="004E6A4A">
              <w:rPr>
                <w:rFonts w:ascii="Times New Roman" w:eastAsia="Times New Roman" w:hAnsi="Times New Roman" w:cs="Times New Roman"/>
                <w:sz w:val="20"/>
              </w:rPr>
              <w:t xml:space="preserve">c) çdo njësi tjetër ekonomike që paraqet rrezik të ulët për t’u përdorur për evazion tatimor, ka karakteristika në thelb të ngjashme me njësitë ekonomike të përshkruara në shkronjat “a” dhe “b” dhe përcaktohet me akt nënligjor si institucion financiar joraportues dhe, për qëllime të profilit të Bashkimit Evropian, përfshihet në listën e institucioneve financiare joraportuese të përcaktuar sipas këtij ligji, me kusht që statusi i saj si institucion financiar joraportues të mos </w:t>
            </w:r>
            <w:r w:rsidRPr="004E6A4A">
              <w:rPr>
                <w:rFonts w:ascii="Times New Roman" w:eastAsia="Times New Roman" w:hAnsi="Times New Roman" w:cs="Times New Roman"/>
                <w:sz w:val="20"/>
              </w:rPr>
              <w:lastRenderedPageBreak/>
              <w:t>cenojë qëllimet e regjimit përkatës të raportimit dhe shkëmbimit automatik të informacionit dhe, për qëllime të zbatimit të dispozitave që lidhen me të drejtën e Bashkimit Evropian, të mos cenojë qëllimet e Direktivës 2011/16/BE, të ndryshuar;</w:t>
            </w:r>
          </w:p>
          <w:p w14:paraId="588863FD" w14:textId="77777777" w:rsidR="00FA0CFF" w:rsidRPr="004E6A4A" w:rsidRDefault="00144445">
            <w:pPr>
              <w:jc w:val="both"/>
            </w:pPr>
            <w:r w:rsidRPr="004E6A4A">
              <w:rPr>
                <w:rFonts w:ascii="Times New Roman" w:eastAsia="Times New Roman" w:hAnsi="Times New Roman" w:cs="Times New Roman"/>
                <w:sz w:val="20"/>
              </w:rPr>
              <w:t>ç) një instrument investimesh kolektive i përjashtuar; ose</w:t>
            </w:r>
          </w:p>
          <w:p w14:paraId="0370BA61" w14:textId="77777777" w:rsidR="00FA0CFF" w:rsidRPr="004E6A4A" w:rsidRDefault="00144445">
            <w:pPr>
              <w:jc w:val="both"/>
            </w:pPr>
            <w:r w:rsidRPr="004E6A4A">
              <w:rPr>
                <w:rFonts w:ascii="Times New Roman" w:eastAsia="Times New Roman" w:hAnsi="Times New Roman" w:cs="Times New Roman"/>
                <w:sz w:val="20"/>
              </w:rPr>
              <w:t>d) një trust, në masën që administratori i besuar i trustit është një institucion financiar raportues dhe raporton të gjithë informacionin që kërkohet të raportohet në përputhje me këtë ligj në lidhje me të gjitha llogaritë e raportueshme të trustit.</w:t>
            </w:r>
          </w:p>
        </w:tc>
        <w:tc>
          <w:tcPr>
            <w:tcW w:w="1620" w:type="dxa"/>
          </w:tcPr>
          <w:p w14:paraId="6F4D057C" w14:textId="77777777" w:rsidR="004C3BDB" w:rsidRPr="004E6A4A" w:rsidRDefault="004C3BDB" w:rsidP="00C4419F">
            <w:pPr>
              <w:jc w:val="center"/>
              <w:rPr>
                <w:rFonts w:ascii="Times New Roman" w:eastAsia="Calibri" w:hAnsi="Times New Roman" w:cs="Times New Roman"/>
                <w:sz w:val="18"/>
                <w:szCs w:val="18"/>
              </w:rPr>
            </w:pPr>
          </w:p>
          <w:p w14:paraId="5249F8EB" w14:textId="2277F70A" w:rsidR="000A21ED" w:rsidRPr="004E6A4A" w:rsidRDefault="004C3BDB"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16AACA12"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Përputhet.</w:t>
            </w:r>
          </w:p>
          <w:p w14:paraId="3116DC2C"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Transpozohet nga neni 5, pika 33, i projektligjit.</w:t>
            </w:r>
          </w:p>
        </w:tc>
      </w:tr>
      <w:tr w:rsidR="004E6A4A" w:rsidRPr="004E6A4A" w14:paraId="70ADCE21" w14:textId="77777777" w:rsidTr="00153084">
        <w:trPr>
          <w:trHeight w:val="764"/>
        </w:trPr>
        <w:tc>
          <w:tcPr>
            <w:tcW w:w="630" w:type="dxa"/>
          </w:tcPr>
          <w:p w14:paraId="5A141B53" w14:textId="77777777" w:rsidR="000A21ED" w:rsidRPr="004E6A4A" w:rsidRDefault="000A21ED" w:rsidP="00C4419F">
            <w:pPr>
              <w:jc w:val="center"/>
              <w:rPr>
                <w:rFonts w:ascii="Times New Roman" w:eastAsia="Calibri" w:hAnsi="Times New Roman" w:cs="Times New Roman"/>
                <w:i/>
                <w:sz w:val="18"/>
                <w:szCs w:val="18"/>
              </w:rPr>
            </w:pPr>
          </w:p>
        </w:tc>
        <w:tc>
          <w:tcPr>
            <w:tcW w:w="4230" w:type="dxa"/>
          </w:tcPr>
          <w:p w14:paraId="55095056"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2.</w:t>
            </w:r>
            <w:r w:rsidRPr="004E6A4A">
              <w:rPr>
                <w:rFonts w:ascii="Times New Roman" w:eastAsia="Times New Roman" w:hAnsi="Times New Roman" w:cs="Times New Roman"/>
                <w:sz w:val="20"/>
                <w:szCs w:val="20"/>
              </w:rPr>
              <w:tab/>
              <w:t>Termi “Organ Qeveritar” nënkupton qeverinë e një shteti anëtar ose të një juridiksioni tjetër, çdo nënndarje politike të një shteti anëtar ose të një juridiksioni tjetër (e cila, për shmangien e çdo dyshimi, përfshin një shtet federal, krahinë, qark ose bashki), ose çdo agjenci ose organ në pronësi të plotë të një shteti anëtar ose të një juridiksioni tjetër ose të një ose më shumë prej subjekteve të mësipërme (secili, një “Organ Qeveritar”). Kjo kategori përbëhet nga pjesët përbërëse, njësitë ekonomike të kontrolluara dhe nënndarjet politike të një shteti anëtar ose të një juridiksioni tjetër.</w:t>
            </w:r>
          </w:p>
          <w:p w14:paraId="615BD09A"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(a)</w:t>
            </w:r>
            <w:r w:rsidRPr="004E6A4A">
              <w:rPr>
                <w:rFonts w:ascii="Times New Roman" w:eastAsia="Times New Roman" w:hAnsi="Times New Roman" w:cs="Times New Roman"/>
                <w:sz w:val="20"/>
                <w:szCs w:val="20"/>
              </w:rPr>
              <w:tab/>
              <w:t xml:space="preserve">Një “pjesë përbërëse” e një shteti anëtar ose e një juridiksioni tjetër nënkupton çdo person, organizatë, agjenci, zyrë, fond, organ ose strukturë tjetër, pavarësisht nga emërtimi, që përbën një autoritet qeverisës të një shteti anëtar ose të një juridiksioni tjetër. Të ardhurat neto të autoritetit qeverisës duhet të kreditohen në llogarinë e vet ose në llogari të tjera të shtetit anëtar ose të juridiksionit tjetër, pa asnjë pjesë që shkon në përfitim të ndonjë personi privat. Një pjesë përbërëse nuk përfshin asnjë individ që është </w:t>
            </w:r>
            <w:r w:rsidRPr="004E6A4A">
              <w:rPr>
                <w:rFonts w:ascii="Times New Roman" w:eastAsia="Times New Roman" w:hAnsi="Times New Roman" w:cs="Times New Roman"/>
                <w:sz w:val="20"/>
                <w:szCs w:val="20"/>
              </w:rPr>
              <w:lastRenderedPageBreak/>
              <w:t>sovran, zyrtar ose administrator që vepron në cilësi private ose personale.</w:t>
            </w:r>
          </w:p>
          <w:p w14:paraId="1A5E8A3A"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(b)</w:t>
            </w:r>
            <w:r w:rsidRPr="004E6A4A">
              <w:rPr>
                <w:rFonts w:ascii="Times New Roman" w:eastAsia="Times New Roman" w:hAnsi="Times New Roman" w:cs="Times New Roman"/>
                <w:sz w:val="20"/>
                <w:szCs w:val="20"/>
              </w:rPr>
              <w:tab/>
              <w:t>Një “njësi ekonomike e kontrolluar” nënkupton një Njësi Ekonomike që është e ndarë në formë nga shteti anëtar ose juridiksioni tjetër ose që përbën në mënyrë tjetër një subjekt juridik më vete, me kusht që:</w:t>
            </w:r>
          </w:p>
          <w:p w14:paraId="37E98439"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(i)</w:t>
            </w:r>
            <w:r w:rsidRPr="004E6A4A">
              <w:rPr>
                <w:rFonts w:ascii="Times New Roman" w:eastAsia="Times New Roman" w:hAnsi="Times New Roman" w:cs="Times New Roman"/>
                <w:sz w:val="20"/>
                <w:szCs w:val="20"/>
              </w:rPr>
              <w:tab/>
              <w:t>Njësia Ekonomike të jetë në pronësi dhe nën kontroll të plotë të një ose më shumë Organeve Qeveritare, drejtpërdrejt ose nëpërmjet një ose më shumë njësive ekonomike të kontrolluara;</w:t>
            </w:r>
          </w:p>
          <w:p w14:paraId="14825E8B"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(ii)</w:t>
            </w:r>
            <w:r w:rsidRPr="004E6A4A">
              <w:rPr>
                <w:rFonts w:ascii="Times New Roman" w:eastAsia="Times New Roman" w:hAnsi="Times New Roman" w:cs="Times New Roman"/>
                <w:sz w:val="20"/>
                <w:szCs w:val="20"/>
              </w:rPr>
              <w:tab/>
              <w:t>të ardhurat neto të Njësisë Ekonomike të kreditohen në llogarinë e vet ose në llogaritë e një ose më shumë Organeve Qeveritare, pa asnjë pjesë të të ardhurave të saj që shkon në përfitim të ndonjë personi privat; dhe</w:t>
            </w:r>
          </w:p>
          <w:p w14:paraId="6871BA2F"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(iii)</w:t>
            </w:r>
            <w:r w:rsidRPr="004E6A4A">
              <w:rPr>
                <w:rFonts w:ascii="Times New Roman" w:eastAsia="Times New Roman" w:hAnsi="Times New Roman" w:cs="Times New Roman"/>
                <w:sz w:val="20"/>
                <w:szCs w:val="20"/>
              </w:rPr>
              <w:tab/>
              <w:t>aktivet e Njësisë Ekonomike t’u kalojnë një ose më shumë Organeve Qeveritare në rast shpërbërjeje.</w:t>
            </w:r>
          </w:p>
          <w:p w14:paraId="6E00860C"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w:t>
            </w:r>
            <w:r w:rsidRPr="004E6A4A">
              <w:rPr>
                <w:rFonts w:ascii="Times New Roman" w:eastAsia="Times New Roman" w:hAnsi="Times New Roman" w:cs="Times New Roman"/>
                <w:sz w:val="20"/>
                <w:szCs w:val="20"/>
              </w:rPr>
              <w:tab/>
              <w:t>Të ardhurat nuk shkojnë në përfitim të personave privatë nëse këta persona janë përfituesit e synuar të një programi qeveritar dhe veprimtaritë e programit kryhen për publikun e gjerë në lidhje me mirëqenien e përbashkët ose lidhen me administrimin e ndonjë fushe të qeverisjes. Megjithatë, pavarësisht nga sa më sipër, të ardhurat konsiderohen se shkojnë në përfitim të personave privatë nëse të ardhurat rrjedhin nga përdorimi i një Organi Qeveritar për të ushtruar një veprimtari tregtare, si një veprimtari bankare tregtare, që ofron shërbime financiare për persona privatë.</w:t>
            </w:r>
          </w:p>
        </w:tc>
        <w:tc>
          <w:tcPr>
            <w:tcW w:w="1350" w:type="dxa"/>
          </w:tcPr>
          <w:p w14:paraId="6E0CD61F" w14:textId="77777777" w:rsidR="000A21ED" w:rsidRPr="004E6A4A" w:rsidRDefault="000A21ED" w:rsidP="00C4419F">
            <w:pPr>
              <w:jc w:val="center"/>
              <w:rPr>
                <w:rFonts w:ascii="Times New Roman" w:eastAsia="Calibri" w:hAnsi="Times New Roman" w:cs="Times New Roman"/>
                <w:sz w:val="18"/>
                <w:szCs w:val="18"/>
              </w:rPr>
            </w:pPr>
          </w:p>
        </w:tc>
        <w:tc>
          <w:tcPr>
            <w:tcW w:w="810" w:type="dxa"/>
          </w:tcPr>
          <w:p w14:paraId="7D7F4604" w14:textId="77777777" w:rsidR="000A21ED" w:rsidRPr="004E6A4A" w:rsidRDefault="000A21ED" w:rsidP="00C4419F">
            <w:pPr>
              <w:jc w:val="center"/>
              <w:rPr>
                <w:rFonts w:ascii="Times New Roman" w:eastAsia="Times New Roman" w:hAnsi="Times New Roman" w:cs="Times New Roman"/>
                <w:sz w:val="20"/>
                <w:szCs w:val="21"/>
                <w:lang w:eastAsia="sq-AL"/>
              </w:rPr>
            </w:pPr>
          </w:p>
        </w:tc>
        <w:tc>
          <w:tcPr>
            <w:tcW w:w="4590" w:type="dxa"/>
          </w:tcPr>
          <w:p w14:paraId="2523668F" w14:textId="77777777" w:rsidR="00FA0CFF" w:rsidRPr="004E6A4A" w:rsidRDefault="00144445">
            <w:pPr>
              <w:jc w:val="center"/>
            </w:pPr>
            <w:r w:rsidRPr="004E6A4A">
              <w:rPr>
                <w:rFonts w:ascii="Times New Roman" w:eastAsia="Times New Roman" w:hAnsi="Times New Roman" w:cs="Times New Roman"/>
                <w:b/>
                <w:sz w:val="20"/>
              </w:rPr>
              <w:t>Ligji: Neni 5</w:t>
            </w:r>
          </w:p>
          <w:p w14:paraId="5A223A83" w14:textId="77777777" w:rsidR="00FA0CFF" w:rsidRPr="004E6A4A" w:rsidRDefault="00144445">
            <w:pPr>
              <w:jc w:val="center"/>
            </w:pPr>
            <w:r w:rsidRPr="004E6A4A">
              <w:rPr>
                <w:rFonts w:ascii="Times New Roman" w:eastAsia="Times New Roman" w:hAnsi="Times New Roman" w:cs="Times New Roman"/>
                <w:b/>
                <w:sz w:val="20"/>
              </w:rPr>
              <w:t>Përkufizime</w:t>
            </w:r>
          </w:p>
          <w:p w14:paraId="6E2BA720" w14:textId="77777777" w:rsidR="00FA0CFF" w:rsidRPr="004E6A4A" w:rsidRDefault="00144445">
            <w:pPr>
              <w:jc w:val="both"/>
            </w:pPr>
            <w:r w:rsidRPr="004E6A4A">
              <w:rPr>
                <w:rFonts w:ascii="Times New Roman" w:eastAsia="Times New Roman" w:hAnsi="Times New Roman" w:cs="Times New Roman"/>
                <w:sz w:val="20"/>
              </w:rPr>
              <w:t>61. “Organ qeveritar” është qeveria e një juridiksioni, çdo nënndarje politike e një juridiksioni, që përfshin shtetin, provincën, qarkun ose bashkinë, ose çdo agjenci ose organizëm që i përket plotësisht juridiksionit ose një ose më shumë prej të lartpërmendurave, ku secila prej tyre përbën një “organ qeveritar”. Kjo kategori përbëhet nga pjesët integrale, njësitë e kontrolluara dhe nënndarjet politike të një juridiksioni.</w:t>
            </w:r>
          </w:p>
          <w:p w14:paraId="1BB77A47" w14:textId="77777777" w:rsidR="00FA0CFF" w:rsidRPr="004E6A4A" w:rsidRDefault="00144445">
            <w:pPr>
              <w:jc w:val="both"/>
            </w:pPr>
            <w:r w:rsidRPr="004E6A4A">
              <w:rPr>
                <w:rFonts w:ascii="Times New Roman" w:eastAsia="Times New Roman" w:hAnsi="Times New Roman" w:cs="Times New Roman"/>
                <w:sz w:val="20"/>
              </w:rPr>
              <w:t>a) “Pjesë integrale” e një juridiksioni është çdo person, organizatë, agjenci, byro, fond, organizëm ose organ tjetër, pavarësisht emërtimit, që përbën një autoritet qeverisës të një juridiksioni. Fitimet neto të autoritetit qeverisës duhet të kreditohen në llogarinë e tij ose në llogari të tjera të juridiksionit, ku asnjë pjesë e tyre nuk do të shkojë në përfitim të asnjë personi privat. Pjesa integrale nuk përfshin asnjë individ që mund të jetë sovran, zyrtar ose administrator që vepron në cilësinë private ose personale.</w:t>
            </w:r>
          </w:p>
          <w:p w14:paraId="68DAAED0" w14:textId="77777777" w:rsidR="00FA0CFF" w:rsidRPr="004E6A4A" w:rsidRDefault="00144445">
            <w:pPr>
              <w:jc w:val="both"/>
            </w:pPr>
            <w:r w:rsidRPr="004E6A4A">
              <w:rPr>
                <w:rFonts w:ascii="Times New Roman" w:eastAsia="Times New Roman" w:hAnsi="Times New Roman" w:cs="Times New Roman"/>
                <w:sz w:val="20"/>
              </w:rPr>
              <w:t>b) “Njësi e kontrolluar” është njësia që është e ndarë në formë nga juridiksioni ose që ndryshe përbën një njësi juridike të veçantë, me kusht që:</w:t>
            </w:r>
          </w:p>
          <w:p w14:paraId="2871442B" w14:textId="77777777" w:rsidR="00FA0CFF" w:rsidRPr="004E6A4A" w:rsidRDefault="00144445">
            <w:pPr>
              <w:jc w:val="both"/>
            </w:pPr>
            <w:r w:rsidRPr="004E6A4A">
              <w:rPr>
                <w:rFonts w:ascii="Times New Roman" w:eastAsia="Times New Roman" w:hAnsi="Times New Roman" w:cs="Times New Roman"/>
                <w:sz w:val="20"/>
              </w:rPr>
              <w:lastRenderedPageBreak/>
              <w:t>i) njësia të jetë plotësisht e zotëruar ose e kontrolluar nga një ose më shumë organe qeveritare, në mënyrë të drejtpërdrejtë ose nëpërmjet një ose më shumë njësive të kontrolluara;</w:t>
            </w:r>
          </w:p>
          <w:p w14:paraId="1C5100F6" w14:textId="77777777" w:rsidR="00FA0CFF" w:rsidRPr="004E6A4A" w:rsidRDefault="00144445">
            <w:pPr>
              <w:jc w:val="both"/>
            </w:pPr>
            <w:r w:rsidRPr="004E6A4A">
              <w:rPr>
                <w:rFonts w:ascii="Times New Roman" w:eastAsia="Times New Roman" w:hAnsi="Times New Roman" w:cs="Times New Roman"/>
                <w:sz w:val="20"/>
              </w:rPr>
              <w:t>ii) fitimet neto të njësisë të kreditohen në llogarinë e saj ose në llogaritë e një ose më shumë organeve qeveritare, ku asnjë pjesë e tyre nuk do të shkojë në përfitim të asnjë personi privat; dhe</w:t>
            </w:r>
          </w:p>
          <w:p w14:paraId="6A9EA0F3" w14:textId="77777777" w:rsidR="00FA0CFF" w:rsidRPr="004E6A4A" w:rsidRDefault="00144445">
            <w:pPr>
              <w:jc w:val="both"/>
            </w:pPr>
            <w:r w:rsidRPr="004E6A4A">
              <w:rPr>
                <w:rFonts w:ascii="Times New Roman" w:eastAsia="Times New Roman" w:hAnsi="Times New Roman" w:cs="Times New Roman"/>
                <w:sz w:val="20"/>
              </w:rPr>
              <w:t>iii) në momentin e shpërbërjes, aktivet e njësisë t’i atribuohen një ose më shumë organeve qeveritare.</w:t>
            </w:r>
          </w:p>
          <w:p w14:paraId="62918455" w14:textId="77777777" w:rsidR="00FA0CFF" w:rsidRPr="004E6A4A" w:rsidRDefault="00144445">
            <w:pPr>
              <w:jc w:val="both"/>
            </w:pPr>
            <w:r w:rsidRPr="004E6A4A">
              <w:rPr>
                <w:rFonts w:ascii="Times New Roman" w:eastAsia="Times New Roman" w:hAnsi="Times New Roman" w:cs="Times New Roman"/>
                <w:sz w:val="20"/>
              </w:rPr>
              <w:t>c) Të ardhurat nuk konsiderohen se shkojnë në përfitim të personave privatë nëse këta persona janë përfituesit e synuar të një programi qeveritar dhe veprimtaritë e programit kryhen për publikun e gjerë për mirëqenien e përbashkët ose lidhen me administrimin e disa fazave të qeverisë. Megjithatë, pavarësisht nga sa më sipër, të ardhurat konsiderohen se shkojnë në përfitim të personave privatë nëse të ardhurat vijnë si rezultat i përdorimit të një organi qeveritar për të kryer një aktivitet tregtar, si aktiviteti bankar tregtar që u ofron shërbime financiare personave privatë.</w:t>
            </w:r>
          </w:p>
        </w:tc>
        <w:tc>
          <w:tcPr>
            <w:tcW w:w="1620" w:type="dxa"/>
          </w:tcPr>
          <w:p w14:paraId="6B42FEA0" w14:textId="77777777" w:rsidR="004C3BDB" w:rsidRPr="004E6A4A" w:rsidRDefault="004C3BDB" w:rsidP="00C4419F">
            <w:pPr>
              <w:jc w:val="center"/>
              <w:rPr>
                <w:rFonts w:ascii="Times New Roman" w:eastAsia="Calibri" w:hAnsi="Times New Roman" w:cs="Times New Roman"/>
                <w:sz w:val="18"/>
                <w:szCs w:val="18"/>
              </w:rPr>
            </w:pPr>
          </w:p>
          <w:p w14:paraId="29FEB118" w14:textId="31F3A663" w:rsidR="000A21ED" w:rsidRPr="004E6A4A" w:rsidRDefault="004C3BDB"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038EACF7"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Përputhet.</w:t>
            </w:r>
          </w:p>
          <w:p w14:paraId="138E2B6B"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Transpozohet nga neni 5, pika 61, i projektligjit.</w:t>
            </w:r>
          </w:p>
        </w:tc>
      </w:tr>
      <w:tr w:rsidR="004E6A4A" w:rsidRPr="004E6A4A" w14:paraId="739FAF30" w14:textId="77777777" w:rsidTr="00153084">
        <w:trPr>
          <w:trHeight w:val="764"/>
        </w:trPr>
        <w:tc>
          <w:tcPr>
            <w:tcW w:w="630" w:type="dxa"/>
          </w:tcPr>
          <w:p w14:paraId="56C9B6E2" w14:textId="77777777" w:rsidR="000A21ED" w:rsidRPr="004E6A4A" w:rsidRDefault="000A21ED" w:rsidP="00C4419F">
            <w:pPr>
              <w:jc w:val="center"/>
              <w:rPr>
                <w:rFonts w:ascii="Times New Roman" w:eastAsia="Calibri" w:hAnsi="Times New Roman" w:cs="Times New Roman"/>
                <w:i/>
                <w:sz w:val="18"/>
                <w:szCs w:val="18"/>
              </w:rPr>
            </w:pPr>
          </w:p>
        </w:tc>
        <w:tc>
          <w:tcPr>
            <w:tcW w:w="4230" w:type="dxa"/>
          </w:tcPr>
          <w:p w14:paraId="50245760"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3.</w:t>
            </w:r>
            <w:r w:rsidRPr="004E6A4A">
              <w:rPr>
                <w:rFonts w:ascii="Times New Roman" w:eastAsia="Times New Roman" w:hAnsi="Times New Roman" w:cs="Times New Roman"/>
                <w:sz w:val="20"/>
                <w:szCs w:val="20"/>
              </w:rPr>
              <w:tab/>
              <w:t xml:space="preserve">Termi “Organizatë Ndërkombëtare” nënkupton çdo organizatë ndërkombëtare ose agjenci apo organ në pronësi të plotë të saj. Kjo kategori përfshin çdo organizatë ndërqeveritare (përfshirë një organizatë mbikombëtare) (i) që </w:t>
            </w:r>
            <w:r w:rsidRPr="004E6A4A">
              <w:rPr>
                <w:rFonts w:ascii="Times New Roman" w:eastAsia="Times New Roman" w:hAnsi="Times New Roman" w:cs="Times New Roman"/>
                <w:sz w:val="20"/>
                <w:szCs w:val="20"/>
              </w:rPr>
              <w:lastRenderedPageBreak/>
              <w:t>përbëhet kryesisht nga qeveri; (ii) që ka në fuqi një marrëveshje selie ose marrëveshje thelbësisht të ngjashme me shtetin anëtar; dhe (iii) të ardhurat e së cilës nuk shkojnë në përfitim të personave privatë.</w:t>
            </w:r>
          </w:p>
        </w:tc>
        <w:tc>
          <w:tcPr>
            <w:tcW w:w="1350" w:type="dxa"/>
          </w:tcPr>
          <w:p w14:paraId="43145B9A" w14:textId="77777777" w:rsidR="000A21ED" w:rsidRPr="004E6A4A" w:rsidRDefault="000A21ED" w:rsidP="00C4419F">
            <w:pPr>
              <w:jc w:val="center"/>
              <w:rPr>
                <w:rFonts w:ascii="Times New Roman" w:eastAsia="Calibri" w:hAnsi="Times New Roman" w:cs="Times New Roman"/>
                <w:sz w:val="18"/>
                <w:szCs w:val="18"/>
              </w:rPr>
            </w:pPr>
          </w:p>
        </w:tc>
        <w:tc>
          <w:tcPr>
            <w:tcW w:w="810" w:type="dxa"/>
          </w:tcPr>
          <w:p w14:paraId="7F0B0DB7" w14:textId="77777777" w:rsidR="000A21ED" w:rsidRPr="004E6A4A" w:rsidRDefault="000A21ED" w:rsidP="00C4419F">
            <w:pPr>
              <w:jc w:val="center"/>
              <w:rPr>
                <w:rFonts w:ascii="Times New Roman" w:eastAsia="Times New Roman" w:hAnsi="Times New Roman" w:cs="Times New Roman"/>
                <w:sz w:val="20"/>
                <w:szCs w:val="21"/>
                <w:lang w:eastAsia="sq-AL"/>
              </w:rPr>
            </w:pPr>
          </w:p>
        </w:tc>
        <w:tc>
          <w:tcPr>
            <w:tcW w:w="4590" w:type="dxa"/>
          </w:tcPr>
          <w:p w14:paraId="1D38DDDC" w14:textId="77777777" w:rsidR="00FA0CFF" w:rsidRPr="004E6A4A" w:rsidRDefault="00144445">
            <w:pPr>
              <w:jc w:val="center"/>
            </w:pPr>
            <w:r w:rsidRPr="004E6A4A">
              <w:rPr>
                <w:rFonts w:ascii="Times New Roman" w:eastAsia="Times New Roman" w:hAnsi="Times New Roman" w:cs="Times New Roman"/>
                <w:b/>
                <w:sz w:val="20"/>
              </w:rPr>
              <w:t>Ligji: Neni 5</w:t>
            </w:r>
          </w:p>
          <w:p w14:paraId="29A40E8D" w14:textId="77777777" w:rsidR="00FA0CFF" w:rsidRPr="004E6A4A" w:rsidRDefault="00144445">
            <w:pPr>
              <w:jc w:val="center"/>
            </w:pPr>
            <w:r w:rsidRPr="004E6A4A">
              <w:rPr>
                <w:rFonts w:ascii="Times New Roman" w:eastAsia="Times New Roman" w:hAnsi="Times New Roman" w:cs="Times New Roman"/>
                <w:b/>
                <w:sz w:val="20"/>
              </w:rPr>
              <w:t>Përkufizime</w:t>
            </w:r>
          </w:p>
          <w:p w14:paraId="15CEF198" w14:textId="77777777" w:rsidR="00FA0CFF" w:rsidRPr="004E6A4A" w:rsidRDefault="00144445">
            <w:pPr>
              <w:jc w:val="both"/>
            </w:pPr>
            <w:r w:rsidRPr="004E6A4A">
              <w:rPr>
                <w:rFonts w:ascii="Times New Roman" w:eastAsia="Times New Roman" w:hAnsi="Times New Roman" w:cs="Times New Roman"/>
                <w:sz w:val="20"/>
              </w:rPr>
              <w:t xml:space="preserve">62. “Organizatë ndërkombëtare” është çdo organizatë ndërkombëtare ose agjenci apo organizëm i zotëruar plotësisht prej saj. Kjo kategori përfshin çdo organizatë </w:t>
            </w:r>
            <w:r w:rsidRPr="004E6A4A">
              <w:rPr>
                <w:rFonts w:ascii="Times New Roman" w:eastAsia="Times New Roman" w:hAnsi="Times New Roman" w:cs="Times New Roman"/>
                <w:sz w:val="20"/>
              </w:rPr>
              <w:lastRenderedPageBreak/>
              <w:t>ndërqeveritare, duke përfshirë organizatat mbikombëtare:</w:t>
            </w:r>
          </w:p>
          <w:p w14:paraId="3F171ACD" w14:textId="77777777" w:rsidR="00FA0CFF" w:rsidRPr="004E6A4A" w:rsidRDefault="00144445">
            <w:pPr>
              <w:jc w:val="both"/>
            </w:pPr>
            <w:r w:rsidRPr="004E6A4A">
              <w:rPr>
                <w:rFonts w:ascii="Times New Roman" w:eastAsia="Times New Roman" w:hAnsi="Times New Roman" w:cs="Times New Roman"/>
                <w:sz w:val="20"/>
              </w:rPr>
              <w:t>a) që përbëhet kryesisht nga qeveritë;</w:t>
            </w:r>
          </w:p>
          <w:p w14:paraId="746C085B" w14:textId="77777777" w:rsidR="00FA0CFF" w:rsidRPr="004E6A4A" w:rsidRDefault="00144445">
            <w:pPr>
              <w:jc w:val="both"/>
            </w:pPr>
            <w:r w:rsidRPr="004E6A4A">
              <w:rPr>
                <w:rFonts w:ascii="Times New Roman" w:eastAsia="Times New Roman" w:hAnsi="Times New Roman" w:cs="Times New Roman"/>
                <w:sz w:val="20"/>
              </w:rPr>
              <w:t>b) që ka në fuqi një marrëveshje për selinë ose një marrëveshje të ngjashme në thelb me juridiksionin; dhe</w:t>
            </w:r>
          </w:p>
          <w:p w14:paraId="6F897BC0" w14:textId="77777777" w:rsidR="00FA0CFF" w:rsidRPr="004E6A4A" w:rsidRDefault="00144445">
            <w:pPr>
              <w:jc w:val="both"/>
            </w:pPr>
            <w:r w:rsidRPr="004E6A4A">
              <w:rPr>
                <w:rFonts w:ascii="Times New Roman" w:eastAsia="Times New Roman" w:hAnsi="Times New Roman" w:cs="Times New Roman"/>
                <w:sz w:val="20"/>
              </w:rPr>
              <w:t>c) të ardhurat e së cilës nuk shkojnë në përfitim të personave privatë.</w:t>
            </w:r>
          </w:p>
        </w:tc>
        <w:tc>
          <w:tcPr>
            <w:tcW w:w="1620" w:type="dxa"/>
          </w:tcPr>
          <w:p w14:paraId="4410865A" w14:textId="77777777" w:rsidR="004C3BDB" w:rsidRPr="004E6A4A" w:rsidRDefault="004C3BDB" w:rsidP="00C4419F">
            <w:pPr>
              <w:jc w:val="center"/>
              <w:rPr>
                <w:rFonts w:ascii="Times New Roman" w:eastAsia="Calibri" w:hAnsi="Times New Roman" w:cs="Times New Roman"/>
                <w:sz w:val="18"/>
                <w:szCs w:val="18"/>
              </w:rPr>
            </w:pPr>
          </w:p>
          <w:p w14:paraId="1335E6FC" w14:textId="40C7979F" w:rsidR="000A21ED" w:rsidRPr="004E6A4A" w:rsidRDefault="004C3BDB"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085D55C9"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Përputhet.</w:t>
            </w:r>
          </w:p>
          <w:p w14:paraId="7FB0BC2F"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Transpozohet nga neni 5, pika 62, i projektligjit.</w:t>
            </w:r>
          </w:p>
        </w:tc>
      </w:tr>
      <w:tr w:rsidR="004E6A4A" w:rsidRPr="004E6A4A" w14:paraId="1FFC31BF" w14:textId="77777777" w:rsidTr="00153084">
        <w:trPr>
          <w:trHeight w:val="764"/>
        </w:trPr>
        <w:tc>
          <w:tcPr>
            <w:tcW w:w="630" w:type="dxa"/>
          </w:tcPr>
          <w:p w14:paraId="5010A7F1" w14:textId="77777777" w:rsidR="000A21ED" w:rsidRPr="004E6A4A" w:rsidRDefault="000A21ED" w:rsidP="00C4419F">
            <w:pPr>
              <w:jc w:val="center"/>
              <w:rPr>
                <w:rFonts w:ascii="Times New Roman" w:eastAsia="Calibri" w:hAnsi="Times New Roman" w:cs="Times New Roman"/>
                <w:i/>
                <w:sz w:val="18"/>
                <w:szCs w:val="18"/>
              </w:rPr>
            </w:pPr>
          </w:p>
        </w:tc>
        <w:tc>
          <w:tcPr>
            <w:tcW w:w="4230" w:type="dxa"/>
          </w:tcPr>
          <w:p w14:paraId="3A3051CF"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4.</w:t>
            </w:r>
            <w:r w:rsidRPr="004E6A4A">
              <w:rPr>
                <w:rFonts w:ascii="Times New Roman" w:eastAsia="Times New Roman" w:hAnsi="Times New Roman" w:cs="Times New Roman"/>
                <w:sz w:val="20"/>
                <w:szCs w:val="20"/>
              </w:rPr>
              <w:tab/>
              <w:t>Termi “Bankë Qendrore” nënkupton një institucion që është, me ligj ose me miratim qeveritar, autoriteti kryesor, i ndryshëm nga vetë qeveria e shtetit anëtar, që emeton instrumente të destinuara të qarkullojnë si monedhë. Një institucion i tillë mund të përfshijë një organ që është i ndarë nga qeveria e shtetit anëtar, pavarësisht nëse është ose jo, tërësisht ose pjesërisht, në pronësi të shtetit anëtar.</w:t>
            </w:r>
          </w:p>
        </w:tc>
        <w:tc>
          <w:tcPr>
            <w:tcW w:w="1350" w:type="dxa"/>
          </w:tcPr>
          <w:p w14:paraId="032F9985" w14:textId="77777777" w:rsidR="000A21ED" w:rsidRPr="004E6A4A" w:rsidRDefault="000A21ED" w:rsidP="00C4419F">
            <w:pPr>
              <w:jc w:val="center"/>
              <w:rPr>
                <w:rFonts w:ascii="Times New Roman" w:eastAsia="Calibri" w:hAnsi="Times New Roman" w:cs="Times New Roman"/>
                <w:sz w:val="18"/>
                <w:szCs w:val="18"/>
              </w:rPr>
            </w:pPr>
          </w:p>
        </w:tc>
        <w:tc>
          <w:tcPr>
            <w:tcW w:w="810" w:type="dxa"/>
          </w:tcPr>
          <w:p w14:paraId="54213525" w14:textId="77777777" w:rsidR="000A21ED" w:rsidRPr="004E6A4A" w:rsidRDefault="000A21ED" w:rsidP="00C4419F">
            <w:pPr>
              <w:jc w:val="center"/>
              <w:rPr>
                <w:rFonts w:ascii="Times New Roman" w:eastAsia="Times New Roman" w:hAnsi="Times New Roman" w:cs="Times New Roman"/>
                <w:sz w:val="20"/>
                <w:szCs w:val="21"/>
                <w:lang w:eastAsia="sq-AL"/>
              </w:rPr>
            </w:pPr>
          </w:p>
        </w:tc>
        <w:tc>
          <w:tcPr>
            <w:tcW w:w="4590" w:type="dxa"/>
          </w:tcPr>
          <w:p w14:paraId="6ABF3A0E" w14:textId="77777777" w:rsidR="00FA0CFF" w:rsidRPr="004E6A4A" w:rsidRDefault="00144445">
            <w:pPr>
              <w:jc w:val="center"/>
            </w:pPr>
            <w:r w:rsidRPr="004E6A4A">
              <w:rPr>
                <w:rFonts w:ascii="Times New Roman" w:eastAsia="Times New Roman" w:hAnsi="Times New Roman" w:cs="Times New Roman"/>
                <w:b/>
                <w:sz w:val="20"/>
              </w:rPr>
              <w:t>Ligji: Neni 5</w:t>
            </w:r>
          </w:p>
          <w:p w14:paraId="45230C58" w14:textId="77777777" w:rsidR="00FA0CFF" w:rsidRPr="004E6A4A" w:rsidRDefault="00144445">
            <w:pPr>
              <w:jc w:val="center"/>
            </w:pPr>
            <w:r w:rsidRPr="004E6A4A">
              <w:rPr>
                <w:rFonts w:ascii="Times New Roman" w:eastAsia="Times New Roman" w:hAnsi="Times New Roman" w:cs="Times New Roman"/>
                <w:b/>
                <w:sz w:val="20"/>
              </w:rPr>
              <w:t>Përkufizime</w:t>
            </w:r>
          </w:p>
          <w:p w14:paraId="6C9D5CF7" w14:textId="77777777" w:rsidR="00FA0CFF" w:rsidRPr="004E6A4A" w:rsidRDefault="00144445">
            <w:pPr>
              <w:jc w:val="both"/>
            </w:pPr>
            <w:r w:rsidRPr="004E6A4A">
              <w:rPr>
                <w:rFonts w:ascii="Times New Roman" w:eastAsia="Times New Roman" w:hAnsi="Times New Roman" w:cs="Times New Roman"/>
                <w:sz w:val="20"/>
              </w:rPr>
              <w:t>22. “Bankë qendrore” ka të njëjtin kuptim sipas përcaktimit në ligjin “Për shkëmbimin automatik të informacionit mbi kripto-asetet”.</w:t>
            </w:r>
          </w:p>
        </w:tc>
        <w:tc>
          <w:tcPr>
            <w:tcW w:w="1620" w:type="dxa"/>
          </w:tcPr>
          <w:p w14:paraId="47C46EAB" w14:textId="4794DCF8" w:rsidR="000A21ED" w:rsidRPr="004E6A4A" w:rsidRDefault="004C3BDB"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6C045721"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Përputhet.</w:t>
            </w:r>
          </w:p>
          <w:p w14:paraId="7D8F804D"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Transpozohet nga neni 5, pika 22, i projektligjit.</w:t>
            </w:r>
          </w:p>
        </w:tc>
      </w:tr>
      <w:tr w:rsidR="004E6A4A" w:rsidRPr="004E6A4A" w14:paraId="26E7C72D" w14:textId="77777777" w:rsidTr="00153084">
        <w:trPr>
          <w:trHeight w:val="764"/>
        </w:trPr>
        <w:tc>
          <w:tcPr>
            <w:tcW w:w="630" w:type="dxa"/>
          </w:tcPr>
          <w:p w14:paraId="290D313F" w14:textId="77777777" w:rsidR="000A21ED" w:rsidRPr="004E6A4A" w:rsidRDefault="000A21ED" w:rsidP="00C4419F">
            <w:pPr>
              <w:jc w:val="center"/>
              <w:rPr>
                <w:rFonts w:ascii="Times New Roman" w:eastAsia="Calibri" w:hAnsi="Times New Roman" w:cs="Times New Roman"/>
                <w:i/>
                <w:sz w:val="18"/>
                <w:szCs w:val="18"/>
              </w:rPr>
            </w:pPr>
          </w:p>
        </w:tc>
        <w:tc>
          <w:tcPr>
            <w:tcW w:w="4230" w:type="dxa"/>
          </w:tcPr>
          <w:p w14:paraId="0539F8CC"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5.</w:t>
            </w:r>
            <w:r w:rsidRPr="004E6A4A">
              <w:rPr>
                <w:rFonts w:ascii="Times New Roman" w:eastAsia="Times New Roman" w:hAnsi="Times New Roman" w:cs="Times New Roman"/>
                <w:sz w:val="20"/>
                <w:szCs w:val="20"/>
              </w:rPr>
              <w:tab/>
              <w:t>Termi “Fond Pensioni me Pjesëmarrje të Gjerë” nënkupton një fond të krijuar për të dhënë përfitime pensioni, invaliditeti ose në rast vdekjeje, ose çdo kombinim të tyre, për përfitues që janë punonjës aktualë ose të mëparshëm (ose persona të caktuar nga këta punonjës) të një ose më shumë punëdhënësve, në këmbim të shërbimeve të kryera, me kusht që fondi:</w:t>
            </w:r>
          </w:p>
          <w:p w14:paraId="1C0A501A"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(a)</w:t>
            </w:r>
            <w:r w:rsidRPr="004E6A4A">
              <w:rPr>
                <w:rFonts w:ascii="Times New Roman" w:eastAsia="Times New Roman" w:hAnsi="Times New Roman" w:cs="Times New Roman"/>
                <w:sz w:val="20"/>
                <w:szCs w:val="20"/>
              </w:rPr>
              <w:tab/>
              <w:t>të mos ketë asnjë përfitues të vetëm me të drejtë mbi më shumë se 5 % të aktiveve të fondit;</w:t>
            </w:r>
          </w:p>
          <w:p w14:paraId="52AFAC71"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(b)</w:t>
            </w:r>
            <w:r w:rsidRPr="004E6A4A">
              <w:rPr>
                <w:rFonts w:ascii="Times New Roman" w:eastAsia="Times New Roman" w:hAnsi="Times New Roman" w:cs="Times New Roman"/>
                <w:sz w:val="20"/>
                <w:szCs w:val="20"/>
              </w:rPr>
              <w:tab/>
              <w:t>t’i nënshtrohet rregullimit qeveritar dhe t’u japë informacion autoriteteve tatimore; dhe</w:t>
            </w:r>
          </w:p>
          <w:p w14:paraId="38775154"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w:t>
            </w:r>
            <w:r w:rsidRPr="004E6A4A">
              <w:rPr>
                <w:rFonts w:ascii="Times New Roman" w:eastAsia="Times New Roman" w:hAnsi="Times New Roman" w:cs="Times New Roman"/>
                <w:sz w:val="20"/>
                <w:szCs w:val="20"/>
              </w:rPr>
              <w:tab/>
              <w:t>përmbush të paktën një nga kërkesat e mëposhtme:</w:t>
            </w:r>
          </w:p>
          <w:p w14:paraId="5477DB08"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(i)</w:t>
            </w:r>
            <w:r w:rsidRPr="004E6A4A">
              <w:rPr>
                <w:rFonts w:ascii="Times New Roman" w:eastAsia="Times New Roman" w:hAnsi="Times New Roman" w:cs="Times New Roman"/>
                <w:sz w:val="20"/>
                <w:szCs w:val="20"/>
              </w:rPr>
              <w:tab/>
              <w:t>fondi në përgjithësi është i përjashtuar nga tatimi mbi të ardhurat nga investimet, ose tatimi mbi këto të ardhura shtyhet ose zbatohet me normë të reduktuar, për shkak të statusit të tij si skemë pensioni ose plan pensioni;</w:t>
            </w:r>
          </w:p>
          <w:p w14:paraId="151AA1BE"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(ii)</w:t>
            </w:r>
            <w:r w:rsidRPr="004E6A4A">
              <w:rPr>
                <w:rFonts w:ascii="Times New Roman" w:eastAsia="Times New Roman" w:hAnsi="Times New Roman" w:cs="Times New Roman"/>
                <w:sz w:val="20"/>
                <w:szCs w:val="20"/>
              </w:rPr>
              <w:tab/>
              <w:t xml:space="preserve">fondi merr të paktën 50 % të kontributeve të tij totale (të ndryshme nga transferimet e </w:t>
            </w:r>
            <w:r w:rsidRPr="004E6A4A">
              <w:rPr>
                <w:rFonts w:ascii="Times New Roman" w:eastAsia="Times New Roman" w:hAnsi="Times New Roman" w:cs="Times New Roman"/>
                <w:sz w:val="20"/>
                <w:szCs w:val="20"/>
              </w:rPr>
              <w:lastRenderedPageBreak/>
              <w:t>aktiveve nga skema të tjera të përshkruara në nënparagrafët B(5) deri në (7) ose nga llogaritë e pensionit të përshkruara në nënparagrafin C(17)(a)) nga punëdhënësit sponsorizues;</w:t>
            </w:r>
          </w:p>
          <w:p w14:paraId="39BBB5B7"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(iii)</w:t>
            </w:r>
            <w:r w:rsidRPr="004E6A4A">
              <w:rPr>
                <w:rFonts w:ascii="Times New Roman" w:eastAsia="Times New Roman" w:hAnsi="Times New Roman" w:cs="Times New Roman"/>
                <w:sz w:val="20"/>
                <w:szCs w:val="20"/>
              </w:rPr>
              <w:tab/>
              <w:t>shpërndarjet ose tërheqjet nga fondi lejohen vetëm me ndodhjen e ngjarjeve të specifikuara që lidhen me daljen në pension, invaliditetin ose vdekjen (përveç shpërndarjeve për transferim në fonde të tjera pensioni të përshkruara në nënparagrafët B(5) deri në (7) ose në llogari pensioni të përshkruara në nënparagrafin C(17)(a)), ose zbatohen penalitete për shpërndarjet ose tërheqjet e bëra përpara këtyre ngjarjeve të specifikuara; ose</w:t>
            </w:r>
          </w:p>
          <w:p w14:paraId="7136F017"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(iv)</w:t>
            </w:r>
            <w:r w:rsidRPr="004E6A4A">
              <w:rPr>
                <w:rFonts w:ascii="Times New Roman" w:eastAsia="Times New Roman" w:hAnsi="Times New Roman" w:cs="Times New Roman"/>
                <w:sz w:val="20"/>
                <w:szCs w:val="20"/>
              </w:rPr>
              <w:tab/>
              <w:t>kontributet e punonjësve në fond (të ndryshme nga disa kontribute plotësuese të lejuara) kufizohen me referencë në të ardhurat e fituara të punonjësit ose nuk mund të tejkalojnë, çdo vit, një shumë të shprehur në monedhën vendase të çdo shteti anëtar që u korrespondon 50 000 USD, duke zbatuar rregullat e përcaktuara në paragrafin C të Seksionit VII për totalizimin e llogarive dhe konvertimin e monedhës.</w:t>
            </w:r>
          </w:p>
        </w:tc>
        <w:tc>
          <w:tcPr>
            <w:tcW w:w="1350" w:type="dxa"/>
          </w:tcPr>
          <w:p w14:paraId="485BB107" w14:textId="77777777" w:rsidR="000A21ED" w:rsidRPr="004E6A4A" w:rsidRDefault="000A21ED" w:rsidP="00C4419F">
            <w:pPr>
              <w:jc w:val="center"/>
              <w:rPr>
                <w:rFonts w:ascii="Times New Roman" w:eastAsia="Calibri" w:hAnsi="Times New Roman" w:cs="Times New Roman"/>
                <w:sz w:val="18"/>
                <w:szCs w:val="18"/>
              </w:rPr>
            </w:pPr>
          </w:p>
        </w:tc>
        <w:tc>
          <w:tcPr>
            <w:tcW w:w="810" w:type="dxa"/>
          </w:tcPr>
          <w:p w14:paraId="00A3320A" w14:textId="77777777" w:rsidR="000A21ED" w:rsidRPr="004E6A4A" w:rsidRDefault="000A21ED" w:rsidP="00C4419F">
            <w:pPr>
              <w:jc w:val="center"/>
              <w:rPr>
                <w:rFonts w:ascii="Times New Roman" w:eastAsia="Times New Roman" w:hAnsi="Times New Roman" w:cs="Times New Roman"/>
                <w:sz w:val="20"/>
                <w:szCs w:val="21"/>
                <w:lang w:eastAsia="sq-AL"/>
              </w:rPr>
            </w:pPr>
          </w:p>
        </w:tc>
        <w:tc>
          <w:tcPr>
            <w:tcW w:w="4590" w:type="dxa"/>
          </w:tcPr>
          <w:p w14:paraId="63A58E8D" w14:textId="77777777" w:rsidR="00FA0CFF" w:rsidRPr="004E6A4A" w:rsidRDefault="00144445">
            <w:pPr>
              <w:jc w:val="center"/>
            </w:pPr>
            <w:r w:rsidRPr="004E6A4A">
              <w:rPr>
                <w:rFonts w:ascii="Times New Roman" w:eastAsia="Times New Roman" w:hAnsi="Times New Roman" w:cs="Times New Roman"/>
                <w:b/>
                <w:sz w:val="20"/>
              </w:rPr>
              <w:t>Ligji: Neni 5</w:t>
            </w:r>
          </w:p>
          <w:p w14:paraId="615A9C26" w14:textId="77777777" w:rsidR="00FA0CFF" w:rsidRPr="004E6A4A" w:rsidRDefault="00144445">
            <w:pPr>
              <w:jc w:val="center"/>
            </w:pPr>
            <w:r w:rsidRPr="004E6A4A">
              <w:rPr>
                <w:rFonts w:ascii="Times New Roman" w:eastAsia="Times New Roman" w:hAnsi="Times New Roman" w:cs="Times New Roman"/>
                <w:b/>
                <w:sz w:val="20"/>
              </w:rPr>
              <w:t>Përkufizime</w:t>
            </w:r>
          </w:p>
          <w:p w14:paraId="6C255157" w14:textId="77777777" w:rsidR="00FA0CFF" w:rsidRPr="004E6A4A" w:rsidRDefault="00144445">
            <w:pPr>
              <w:jc w:val="both"/>
            </w:pPr>
            <w:r w:rsidRPr="004E6A4A">
              <w:rPr>
                <w:rFonts w:ascii="Times New Roman" w:eastAsia="Times New Roman" w:hAnsi="Times New Roman" w:cs="Times New Roman"/>
                <w:sz w:val="20"/>
              </w:rPr>
              <w:t>28. “Fond pensioni me pjesëmarrje të gjerë” është një fond i krijuar për të dhënë përfitime pensioni, invaliditeti ose në rast vdekjeje, ose një kombinim të tyre, për përfituesit që janë punëmarrës aktualë ose të mëparshëm, ose persona të caktuar prej këtyre punëmarrësve, të një ose më shumë punëdhënësve, për shërbimet e kryera, me kusht që fondi:</w:t>
            </w:r>
          </w:p>
          <w:p w14:paraId="6EAE7A41" w14:textId="77777777" w:rsidR="00FA0CFF" w:rsidRPr="004E6A4A" w:rsidRDefault="00144445">
            <w:pPr>
              <w:jc w:val="both"/>
            </w:pPr>
            <w:r w:rsidRPr="004E6A4A">
              <w:rPr>
                <w:rFonts w:ascii="Times New Roman" w:eastAsia="Times New Roman" w:hAnsi="Times New Roman" w:cs="Times New Roman"/>
                <w:sz w:val="20"/>
              </w:rPr>
              <w:t>a) të mos ketë asnjë përfitues të vetëm me të drejtë në më shumë se 5 për qind të aktiveve të fondit;</w:t>
            </w:r>
          </w:p>
          <w:p w14:paraId="3694EEFF" w14:textId="77777777" w:rsidR="00FA0CFF" w:rsidRPr="004E6A4A" w:rsidRDefault="00144445">
            <w:pPr>
              <w:jc w:val="both"/>
            </w:pPr>
            <w:r w:rsidRPr="004E6A4A">
              <w:rPr>
                <w:rFonts w:ascii="Times New Roman" w:eastAsia="Times New Roman" w:hAnsi="Times New Roman" w:cs="Times New Roman"/>
                <w:sz w:val="20"/>
              </w:rPr>
              <w:t>b) t’i nënshtrohet rregullimit nga qeveria dhe të raportojë informacion pranë autoriteteve tatimore; dhe</w:t>
            </w:r>
          </w:p>
          <w:p w14:paraId="0AA18F52" w14:textId="77777777" w:rsidR="00FA0CFF" w:rsidRPr="004E6A4A" w:rsidRDefault="00144445">
            <w:pPr>
              <w:jc w:val="both"/>
            </w:pPr>
            <w:r w:rsidRPr="004E6A4A">
              <w:rPr>
                <w:rFonts w:ascii="Times New Roman" w:eastAsia="Times New Roman" w:hAnsi="Times New Roman" w:cs="Times New Roman"/>
                <w:sz w:val="20"/>
              </w:rPr>
              <w:t>c) të përmbushë të paktën një nga kriteret e mëposhtme:</w:t>
            </w:r>
          </w:p>
          <w:p w14:paraId="7303F8BB" w14:textId="77777777" w:rsidR="00FA0CFF" w:rsidRPr="004E6A4A" w:rsidRDefault="00144445">
            <w:pPr>
              <w:jc w:val="both"/>
            </w:pPr>
            <w:r w:rsidRPr="004E6A4A">
              <w:rPr>
                <w:rFonts w:ascii="Times New Roman" w:eastAsia="Times New Roman" w:hAnsi="Times New Roman" w:cs="Times New Roman"/>
                <w:sz w:val="20"/>
              </w:rPr>
              <w:t>i) fondi përgjithësisht përjashtohet nga tatimi mbi të ardhurat nga investimet ose tatimi mbi këto të ardhura shtyhet ose zbatohet me një normë të reduktuar, për shkak të statusit të tij si fond pensioni;</w:t>
            </w:r>
          </w:p>
          <w:p w14:paraId="7A6A03C2" w14:textId="77777777" w:rsidR="00FA0CFF" w:rsidRPr="004E6A4A" w:rsidRDefault="00144445">
            <w:pPr>
              <w:jc w:val="both"/>
            </w:pPr>
            <w:r w:rsidRPr="004E6A4A">
              <w:rPr>
                <w:rFonts w:ascii="Times New Roman" w:eastAsia="Times New Roman" w:hAnsi="Times New Roman" w:cs="Times New Roman"/>
                <w:sz w:val="20"/>
              </w:rPr>
              <w:t xml:space="preserve">ii) fondi merr të paktën 50 për qind të kontributeve të tij totale, të ndryshme nga transfertat e aktiveve nga fonde të tjera pensioni të përshkruara në këtë ligj ose </w:t>
            </w:r>
            <w:r w:rsidRPr="004E6A4A">
              <w:rPr>
                <w:rFonts w:ascii="Times New Roman" w:eastAsia="Times New Roman" w:hAnsi="Times New Roman" w:cs="Times New Roman"/>
                <w:sz w:val="20"/>
              </w:rPr>
              <w:lastRenderedPageBreak/>
              <w:t>nga llogaritë e pensionit të pleqërisë ose pensionit, nga punëdhënësit sponsorizues;</w:t>
            </w:r>
          </w:p>
          <w:p w14:paraId="501F23FC" w14:textId="77777777" w:rsidR="00FA0CFF" w:rsidRPr="004E6A4A" w:rsidRDefault="00144445">
            <w:pPr>
              <w:jc w:val="both"/>
            </w:pPr>
            <w:r w:rsidRPr="004E6A4A">
              <w:rPr>
                <w:rFonts w:ascii="Times New Roman" w:eastAsia="Times New Roman" w:hAnsi="Times New Roman" w:cs="Times New Roman"/>
                <w:sz w:val="20"/>
              </w:rPr>
              <w:t>iii) shpërndarjet ose tërheqjet nga fondi lejohen vetëm nëse ndodhin ngjarje të specifikuara që lidhen me pensionin, invaliditetin ose vdekjen, me përjashtim të shpërndarjeve që riinvestohen në fonde të tjera pensioni ose në llogari pensioni të pleqërisë ose pensioni, ose, në rast të shpërndarjeve ose tërheqjeve të bëra përpara këtyre ngjarjeve, zbatohen penalitete; ose</w:t>
            </w:r>
          </w:p>
          <w:p w14:paraId="55B453C9" w14:textId="77777777" w:rsidR="00FA0CFF" w:rsidRPr="004E6A4A" w:rsidRDefault="00144445">
            <w:pPr>
              <w:jc w:val="both"/>
            </w:pPr>
            <w:r w:rsidRPr="004E6A4A">
              <w:rPr>
                <w:rFonts w:ascii="Times New Roman" w:eastAsia="Times New Roman" w:hAnsi="Times New Roman" w:cs="Times New Roman"/>
                <w:sz w:val="20"/>
              </w:rPr>
              <w:t>iv) kontributet nga punëmarrësit në fond, me përjashtim të kontributeve të caktuara plotësuese të lejuara, janë të kufizuara në funksion të të ardhurave të fituara të punëmarrësit ose nuk mund të tejkalojnë 50 000 USD në vit, duke zbatuar rregullat për totalizimin e llogarisë dhe konvertimin e monedhës të përcaktuara në këtë ligj.</w:t>
            </w:r>
          </w:p>
        </w:tc>
        <w:tc>
          <w:tcPr>
            <w:tcW w:w="1620" w:type="dxa"/>
          </w:tcPr>
          <w:p w14:paraId="2E1802B5" w14:textId="77777777" w:rsidR="00A85C2A" w:rsidRPr="004E6A4A" w:rsidRDefault="00A85C2A" w:rsidP="00C4419F">
            <w:pPr>
              <w:jc w:val="center"/>
              <w:rPr>
                <w:rFonts w:ascii="Times New Roman" w:eastAsia="Calibri" w:hAnsi="Times New Roman" w:cs="Times New Roman"/>
                <w:sz w:val="18"/>
                <w:szCs w:val="18"/>
              </w:rPr>
            </w:pPr>
          </w:p>
          <w:p w14:paraId="5211CCCA" w14:textId="79362AE1" w:rsidR="000A21ED" w:rsidRPr="004E6A4A" w:rsidRDefault="00A85C2A"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01FF2CAD"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Përputhet.</w:t>
            </w:r>
          </w:p>
          <w:p w14:paraId="3561967B"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Transpozohet nga neni 5, pika 28, i projektligjit.</w:t>
            </w:r>
          </w:p>
        </w:tc>
      </w:tr>
      <w:tr w:rsidR="004E6A4A" w:rsidRPr="004E6A4A" w14:paraId="173CE67B" w14:textId="77777777" w:rsidTr="00153084">
        <w:trPr>
          <w:trHeight w:val="764"/>
        </w:trPr>
        <w:tc>
          <w:tcPr>
            <w:tcW w:w="630" w:type="dxa"/>
          </w:tcPr>
          <w:p w14:paraId="24D0D8B3" w14:textId="77777777" w:rsidR="000A21ED" w:rsidRPr="004E6A4A" w:rsidRDefault="000A21ED" w:rsidP="00C4419F">
            <w:pPr>
              <w:jc w:val="center"/>
              <w:rPr>
                <w:rFonts w:ascii="Times New Roman" w:eastAsia="Calibri" w:hAnsi="Times New Roman" w:cs="Times New Roman"/>
                <w:i/>
                <w:sz w:val="18"/>
                <w:szCs w:val="18"/>
              </w:rPr>
            </w:pPr>
          </w:p>
        </w:tc>
        <w:tc>
          <w:tcPr>
            <w:tcW w:w="4230" w:type="dxa"/>
          </w:tcPr>
          <w:p w14:paraId="7BD6B7E9"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6.</w:t>
            </w:r>
            <w:r w:rsidRPr="004E6A4A">
              <w:rPr>
                <w:rFonts w:ascii="Times New Roman" w:eastAsia="Times New Roman" w:hAnsi="Times New Roman" w:cs="Times New Roman"/>
                <w:sz w:val="20"/>
                <w:szCs w:val="20"/>
              </w:rPr>
              <w:tab/>
              <w:t>Termi “Fond Pensioni me Pjesëmarrje të Kufizuar” nënkupton një fond të krijuar për të dhënë përfitime pensioni, invaliditeti ose në rast vdekjeje për përfitues që janë punonjës aktualë ose të mëparshëm (ose persona të caktuar nga këta punonjës) të një ose më shumë punëdhënësve, në këmbim të shërbimeve të kryera, me kusht që:</w:t>
            </w:r>
          </w:p>
          <w:p w14:paraId="775A6492"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(a)</w:t>
            </w:r>
            <w:r w:rsidRPr="004E6A4A">
              <w:rPr>
                <w:rFonts w:ascii="Times New Roman" w:eastAsia="Times New Roman" w:hAnsi="Times New Roman" w:cs="Times New Roman"/>
                <w:sz w:val="20"/>
                <w:szCs w:val="20"/>
              </w:rPr>
              <w:tab/>
              <w:t>fondi të ketë më pak se 50 pjesëmarrës;</w:t>
            </w:r>
          </w:p>
          <w:p w14:paraId="61D129DA"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(b)</w:t>
            </w:r>
            <w:r w:rsidRPr="004E6A4A">
              <w:rPr>
                <w:rFonts w:ascii="Times New Roman" w:eastAsia="Times New Roman" w:hAnsi="Times New Roman" w:cs="Times New Roman"/>
                <w:sz w:val="20"/>
                <w:szCs w:val="20"/>
              </w:rPr>
              <w:tab/>
              <w:t>fondi të sponsorizohet nga një ose më shumë punëdhënës që nuk janë Njësi Ekonomike Investimi ose NFE pasive;</w:t>
            </w:r>
          </w:p>
          <w:p w14:paraId="303F70EE"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w:t>
            </w:r>
            <w:r w:rsidRPr="004E6A4A">
              <w:rPr>
                <w:rFonts w:ascii="Times New Roman" w:eastAsia="Times New Roman" w:hAnsi="Times New Roman" w:cs="Times New Roman"/>
                <w:sz w:val="20"/>
                <w:szCs w:val="20"/>
              </w:rPr>
              <w:tab/>
              <w:t xml:space="preserve">kontributet e punonjësit dhe të punëdhënësit në fond (të ndryshme nga transferimet e aktiveve nga llogaritë e pensionit të </w:t>
            </w:r>
            <w:r w:rsidRPr="004E6A4A">
              <w:rPr>
                <w:rFonts w:ascii="Times New Roman" w:eastAsia="Times New Roman" w:hAnsi="Times New Roman" w:cs="Times New Roman"/>
                <w:sz w:val="20"/>
                <w:szCs w:val="20"/>
              </w:rPr>
              <w:lastRenderedPageBreak/>
              <w:t>përshkruara në nënparagrafin C(17)(a)) të kufizohen me referencë, përkatësisht, në të ardhurat e fituara dhe në shpërblimin e punonjësit;</w:t>
            </w:r>
          </w:p>
          <w:p w14:paraId="0CDC210C"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(d)</w:t>
            </w:r>
            <w:r w:rsidRPr="004E6A4A">
              <w:rPr>
                <w:rFonts w:ascii="Times New Roman" w:eastAsia="Times New Roman" w:hAnsi="Times New Roman" w:cs="Times New Roman"/>
                <w:sz w:val="20"/>
                <w:szCs w:val="20"/>
              </w:rPr>
              <w:tab/>
              <w:t>pjesëmarrësit që nuk janë rezidentë të shtetit anëtar në të cilin është krijuar fondi të mos kenë të drejtë mbi më shumë se 20 % të aktiveve të fondit; dhe</w:t>
            </w:r>
          </w:p>
          <w:p w14:paraId="73EC80E1"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(e)</w:t>
            </w:r>
            <w:r w:rsidRPr="004E6A4A">
              <w:rPr>
                <w:rFonts w:ascii="Times New Roman" w:eastAsia="Times New Roman" w:hAnsi="Times New Roman" w:cs="Times New Roman"/>
                <w:sz w:val="20"/>
                <w:szCs w:val="20"/>
              </w:rPr>
              <w:tab/>
              <w:t>fondi t’i nënshtrohet rregullimit qeveritar dhe t’u japë informacion autoriteteve tatimore.</w:t>
            </w:r>
          </w:p>
        </w:tc>
        <w:tc>
          <w:tcPr>
            <w:tcW w:w="1350" w:type="dxa"/>
          </w:tcPr>
          <w:p w14:paraId="17DF74DF" w14:textId="77777777" w:rsidR="000A21ED" w:rsidRPr="004E6A4A" w:rsidRDefault="000A21ED" w:rsidP="00C4419F">
            <w:pPr>
              <w:jc w:val="center"/>
              <w:rPr>
                <w:rFonts w:ascii="Times New Roman" w:eastAsia="Calibri" w:hAnsi="Times New Roman" w:cs="Times New Roman"/>
                <w:sz w:val="18"/>
                <w:szCs w:val="18"/>
              </w:rPr>
            </w:pPr>
          </w:p>
        </w:tc>
        <w:tc>
          <w:tcPr>
            <w:tcW w:w="810" w:type="dxa"/>
          </w:tcPr>
          <w:p w14:paraId="72934F39" w14:textId="77777777" w:rsidR="000A21ED" w:rsidRPr="004E6A4A" w:rsidRDefault="000A21ED" w:rsidP="00C4419F">
            <w:pPr>
              <w:jc w:val="center"/>
              <w:rPr>
                <w:rFonts w:ascii="Times New Roman" w:eastAsia="Times New Roman" w:hAnsi="Times New Roman" w:cs="Times New Roman"/>
                <w:sz w:val="20"/>
                <w:szCs w:val="21"/>
                <w:lang w:eastAsia="sq-AL"/>
              </w:rPr>
            </w:pPr>
          </w:p>
        </w:tc>
        <w:tc>
          <w:tcPr>
            <w:tcW w:w="4590" w:type="dxa"/>
          </w:tcPr>
          <w:p w14:paraId="5319286E" w14:textId="77777777" w:rsidR="00FA0CFF" w:rsidRPr="004E6A4A" w:rsidRDefault="00144445">
            <w:pPr>
              <w:jc w:val="center"/>
            </w:pPr>
            <w:r w:rsidRPr="004E6A4A">
              <w:rPr>
                <w:rFonts w:ascii="Times New Roman" w:eastAsia="Times New Roman" w:hAnsi="Times New Roman" w:cs="Times New Roman"/>
                <w:b/>
                <w:sz w:val="20"/>
              </w:rPr>
              <w:t>Ligji: Neni 5</w:t>
            </w:r>
          </w:p>
          <w:p w14:paraId="0730E4FF" w14:textId="77777777" w:rsidR="00FA0CFF" w:rsidRPr="004E6A4A" w:rsidRDefault="00144445">
            <w:pPr>
              <w:jc w:val="center"/>
            </w:pPr>
            <w:r w:rsidRPr="004E6A4A">
              <w:rPr>
                <w:rFonts w:ascii="Times New Roman" w:eastAsia="Times New Roman" w:hAnsi="Times New Roman" w:cs="Times New Roman"/>
                <w:b/>
                <w:sz w:val="20"/>
              </w:rPr>
              <w:t>Përkufizime</w:t>
            </w:r>
          </w:p>
          <w:p w14:paraId="79CDC6BA" w14:textId="77777777" w:rsidR="00FA0CFF" w:rsidRPr="004E6A4A" w:rsidRDefault="00144445">
            <w:pPr>
              <w:jc w:val="both"/>
            </w:pPr>
            <w:r w:rsidRPr="004E6A4A">
              <w:rPr>
                <w:rFonts w:ascii="Times New Roman" w:eastAsia="Times New Roman" w:hAnsi="Times New Roman" w:cs="Times New Roman"/>
                <w:sz w:val="20"/>
              </w:rPr>
              <w:t>29. “Fond pensioni me pjesëmarrje të kufizuar” është një fond i krijuar për të dhënë pension pleqërie, invaliditeti ose familjar për përfituesit që janë punëmarrës aktualë ose të mëparshëm, ose persona të caktuar prej këtyre punëmarrësve, të një ose më shumë punëdhënësve, për shërbimet e kryera, me kusht që:</w:t>
            </w:r>
          </w:p>
          <w:p w14:paraId="664DC155" w14:textId="77777777" w:rsidR="00FA0CFF" w:rsidRPr="004E6A4A" w:rsidRDefault="00144445">
            <w:pPr>
              <w:jc w:val="both"/>
            </w:pPr>
            <w:r w:rsidRPr="004E6A4A">
              <w:rPr>
                <w:rFonts w:ascii="Times New Roman" w:eastAsia="Times New Roman" w:hAnsi="Times New Roman" w:cs="Times New Roman"/>
                <w:sz w:val="20"/>
              </w:rPr>
              <w:t>a) fondi të ketë më pak se 50 pjesëmarrës;</w:t>
            </w:r>
          </w:p>
          <w:p w14:paraId="4FFECC25" w14:textId="77777777" w:rsidR="00FA0CFF" w:rsidRPr="004E6A4A" w:rsidRDefault="00144445">
            <w:pPr>
              <w:jc w:val="both"/>
            </w:pPr>
            <w:r w:rsidRPr="004E6A4A">
              <w:rPr>
                <w:rFonts w:ascii="Times New Roman" w:eastAsia="Times New Roman" w:hAnsi="Times New Roman" w:cs="Times New Roman"/>
                <w:sz w:val="20"/>
              </w:rPr>
              <w:t>b) fondi të sponsorizohet nga një ose më shumë punëdhënës që nuk janë njësi ekonomike investimi ose NFE pasive;</w:t>
            </w:r>
          </w:p>
          <w:p w14:paraId="7CEA815A" w14:textId="77777777" w:rsidR="00FA0CFF" w:rsidRPr="004E6A4A" w:rsidRDefault="00144445">
            <w:pPr>
              <w:jc w:val="both"/>
            </w:pPr>
            <w:r w:rsidRPr="004E6A4A">
              <w:rPr>
                <w:rFonts w:ascii="Times New Roman" w:eastAsia="Times New Roman" w:hAnsi="Times New Roman" w:cs="Times New Roman"/>
                <w:sz w:val="20"/>
              </w:rPr>
              <w:t xml:space="preserve">c) kontributet e punëmarrësit dhe të punëdhënësit në fond, me përjashtim të transfertave të aktiveve nga </w:t>
            </w:r>
            <w:r w:rsidRPr="004E6A4A">
              <w:rPr>
                <w:rFonts w:ascii="Times New Roman" w:eastAsia="Times New Roman" w:hAnsi="Times New Roman" w:cs="Times New Roman"/>
                <w:sz w:val="20"/>
              </w:rPr>
              <w:lastRenderedPageBreak/>
              <w:t>llogaritë e pensionit të pleqërisë ose pensionit, të jenë përkatësisht të kufizuara në funksion të të ardhurave të fituara dhe të kompensimit të punëmarrësit;</w:t>
            </w:r>
          </w:p>
          <w:p w14:paraId="4B7158B3" w14:textId="77777777" w:rsidR="00FA0CFF" w:rsidRPr="004E6A4A" w:rsidRDefault="00144445">
            <w:pPr>
              <w:jc w:val="both"/>
            </w:pPr>
            <w:r w:rsidRPr="004E6A4A">
              <w:rPr>
                <w:rFonts w:ascii="Times New Roman" w:eastAsia="Times New Roman" w:hAnsi="Times New Roman" w:cs="Times New Roman"/>
                <w:sz w:val="20"/>
              </w:rPr>
              <w:t>ç) pjesëmarrësit që nuk janë rezidentë të juridiksionit në të cilin është krijuar fondi të mos kenë të drejtën e më shumë se 20 për qind të aktiveve të fondit; dhe</w:t>
            </w:r>
          </w:p>
          <w:p w14:paraId="5664A05F" w14:textId="77777777" w:rsidR="00FA0CFF" w:rsidRPr="004E6A4A" w:rsidRDefault="00144445">
            <w:pPr>
              <w:jc w:val="both"/>
            </w:pPr>
            <w:r w:rsidRPr="004E6A4A">
              <w:rPr>
                <w:rFonts w:ascii="Times New Roman" w:eastAsia="Times New Roman" w:hAnsi="Times New Roman" w:cs="Times New Roman"/>
                <w:sz w:val="20"/>
              </w:rPr>
              <w:t>d) fondi t’i nënshtrohet rregullimit qeveritar dhe të raportojë informacion pranë autoritetit tatimor.</w:t>
            </w:r>
          </w:p>
        </w:tc>
        <w:tc>
          <w:tcPr>
            <w:tcW w:w="1620" w:type="dxa"/>
          </w:tcPr>
          <w:p w14:paraId="3AC7D492" w14:textId="77777777" w:rsidR="00A85C2A" w:rsidRPr="004E6A4A" w:rsidRDefault="00A85C2A" w:rsidP="00C4419F">
            <w:pPr>
              <w:jc w:val="center"/>
              <w:rPr>
                <w:rFonts w:ascii="Times New Roman" w:eastAsia="Calibri" w:hAnsi="Times New Roman" w:cs="Times New Roman"/>
                <w:sz w:val="18"/>
                <w:szCs w:val="18"/>
              </w:rPr>
            </w:pPr>
          </w:p>
          <w:p w14:paraId="4A8F5B6E" w14:textId="0F57EA65" w:rsidR="000A21ED" w:rsidRPr="004E6A4A" w:rsidRDefault="00A85C2A"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6D693214"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Përputhet.</w:t>
            </w:r>
          </w:p>
          <w:p w14:paraId="77B313BC"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Transpozohet nga neni 5, pika 29, i projektligjit.</w:t>
            </w:r>
          </w:p>
        </w:tc>
      </w:tr>
      <w:tr w:rsidR="004E6A4A" w:rsidRPr="004E6A4A" w14:paraId="224E1CB3" w14:textId="77777777" w:rsidTr="00153084">
        <w:trPr>
          <w:trHeight w:val="764"/>
        </w:trPr>
        <w:tc>
          <w:tcPr>
            <w:tcW w:w="630" w:type="dxa"/>
          </w:tcPr>
          <w:p w14:paraId="1662BCE6" w14:textId="77777777" w:rsidR="000A21ED" w:rsidRPr="004E6A4A" w:rsidRDefault="000A21ED" w:rsidP="00C4419F">
            <w:pPr>
              <w:jc w:val="center"/>
              <w:rPr>
                <w:rFonts w:ascii="Times New Roman" w:eastAsia="Calibri" w:hAnsi="Times New Roman" w:cs="Times New Roman"/>
                <w:i/>
                <w:sz w:val="18"/>
                <w:szCs w:val="18"/>
              </w:rPr>
            </w:pPr>
          </w:p>
        </w:tc>
        <w:tc>
          <w:tcPr>
            <w:tcW w:w="4230" w:type="dxa"/>
          </w:tcPr>
          <w:p w14:paraId="2C0917D9"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7.</w:t>
            </w:r>
            <w:r w:rsidRPr="004E6A4A">
              <w:rPr>
                <w:rFonts w:ascii="Times New Roman" w:eastAsia="Times New Roman" w:hAnsi="Times New Roman" w:cs="Times New Roman"/>
                <w:sz w:val="20"/>
                <w:szCs w:val="20"/>
              </w:rPr>
              <w:tab/>
              <w:t>Termi “Fond Pensioni i një Organi Qeveritar, Organizate Ndërkombëtare ose Banke Qendrore” nënkupton një fond të krijuar nga një Organ Qeveritar, Organizatë Ndërkombëtare ose Bankë Qendrore për të dhënë përfitime pensioni, invaliditeti ose në rast vdekjeje për përfitues ose pjesëmarrës që janë punonjës aktualë ose të mëparshëm (ose persona të caktuar nga këta punonjës), ose që nuk janë punonjës aktualë ose të mëparshëm, nëse përfitimet që u jepen këtyre përfituesve ose pjesëmarrësve janë në këmbim të shërbimeve personale të kryera për Organin Qeveritar, Organizatën Ndërkombëtare ose Bankën Qendrore.</w:t>
            </w:r>
          </w:p>
        </w:tc>
        <w:tc>
          <w:tcPr>
            <w:tcW w:w="1350" w:type="dxa"/>
          </w:tcPr>
          <w:p w14:paraId="3BB8737B" w14:textId="77777777" w:rsidR="000A21ED" w:rsidRPr="004E6A4A" w:rsidRDefault="000A21ED" w:rsidP="00C4419F">
            <w:pPr>
              <w:jc w:val="center"/>
              <w:rPr>
                <w:rFonts w:ascii="Times New Roman" w:eastAsia="Calibri" w:hAnsi="Times New Roman" w:cs="Times New Roman"/>
                <w:sz w:val="18"/>
                <w:szCs w:val="18"/>
              </w:rPr>
            </w:pPr>
          </w:p>
        </w:tc>
        <w:tc>
          <w:tcPr>
            <w:tcW w:w="810" w:type="dxa"/>
          </w:tcPr>
          <w:p w14:paraId="2E32F6DF" w14:textId="77777777" w:rsidR="000A21ED" w:rsidRPr="004E6A4A" w:rsidRDefault="000A21ED" w:rsidP="00C4419F">
            <w:pPr>
              <w:jc w:val="center"/>
              <w:rPr>
                <w:rFonts w:ascii="Times New Roman" w:eastAsia="Times New Roman" w:hAnsi="Times New Roman" w:cs="Times New Roman"/>
                <w:sz w:val="20"/>
                <w:szCs w:val="21"/>
                <w:lang w:eastAsia="sq-AL"/>
              </w:rPr>
            </w:pPr>
          </w:p>
        </w:tc>
        <w:tc>
          <w:tcPr>
            <w:tcW w:w="4590" w:type="dxa"/>
          </w:tcPr>
          <w:p w14:paraId="73E49FBE" w14:textId="77777777" w:rsidR="00FA0CFF" w:rsidRPr="004E6A4A" w:rsidRDefault="00144445">
            <w:pPr>
              <w:jc w:val="center"/>
            </w:pPr>
            <w:r w:rsidRPr="004E6A4A">
              <w:rPr>
                <w:rFonts w:ascii="Times New Roman" w:eastAsia="Times New Roman" w:hAnsi="Times New Roman" w:cs="Times New Roman"/>
                <w:b/>
                <w:sz w:val="20"/>
              </w:rPr>
              <w:t>Ligji: Neni 5</w:t>
            </w:r>
          </w:p>
          <w:p w14:paraId="24D139E8" w14:textId="77777777" w:rsidR="00FA0CFF" w:rsidRPr="004E6A4A" w:rsidRDefault="00144445">
            <w:pPr>
              <w:jc w:val="center"/>
            </w:pPr>
            <w:r w:rsidRPr="004E6A4A">
              <w:rPr>
                <w:rFonts w:ascii="Times New Roman" w:eastAsia="Times New Roman" w:hAnsi="Times New Roman" w:cs="Times New Roman"/>
                <w:b/>
                <w:sz w:val="20"/>
              </w:rPr>
              <w:t>Përkufizime</w:t>
            </w:r>
          </w:p>
          <w:p w14:paraId="09A732C1" w14:textId="77777777" w:rsidR="00FA0CFF" w:rsidRPr="004E6A4A" w:rsidRDefault="00144445">
            <w:pPr>
              <w:jc w:val="both"/>
            </w:pPr>
            <w:r w:rsidRPr="004E6A4A">
              <w:rPr>
                <w:rFonts w:ascii="Times New Roman" w:eastAsia="Times New Roman" w:hAnsi="Times New Roman" w:cs="Times New Roman"/>
                <w:sz w:val="20"/>
              </w:rPr>
              <w:t>27. “Fond pensioni i një organi qeveritar, organizate ndërkombëtare ose banke qendrore” është një fond i krijuar nga një organ qeveritar, organizatë ndërkombëtare ose bankë qendrore për të dhënë përfitime pensioni, invaliditeti ose në rast vdekjeje për përfituesit ose pjesëmarrësit që janë punëmarrës aktualë ose të mëparshëm, ose persona të caktuar prej tyre, ose që nuk janë punëmarrës aktualë ose të mëparshëm, nëse pensionet që u jepen këtyre përfituesve ose pjesëmarrësve janë në lidhje me shërbimet personale të kryera për organin qeveritar, organizatën ndërkombëtare ose bankën qendrore.</w:t>
            </w:r>
          </w:p>
        </w:tc>
        <w:tc>
          <w:tcPr>
            <w:tcW w:w="1620" w:type="dxa"/>
          </w:tcPr>
          <w:p w14:paraId="41F798BA" w14:textId="77777777" w:rsidR="00A85C2A" w:rsidRPr="004E6A4A" w:rsidRDefault="00A85C2A" w:rsidP="00C4419F">
            <w:pPr>
              <w:jc w:val="center"/>
              <w:rPr>
                <w:rFonts w:ascii="Times New Roman" w:eastAsia="Calibri" w:hAnsi="Times New Roman" w:cs="Times New Roman"/>
                <w:sz w:val="18"/>
                <w:szCs w:val="18"/>
              </w:rPr>
            </w:pPr>
          </w:p>
          <w:p w14:paraId="48DD950E" w14:textId="68633BBC" w:rsidR="000A21ED" w:rsidRPr="004E6A4A" w:rsidRDefault="00A85C2A"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6E52D5CD"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Përputhet.</w:t>
            </w:r>
          </w:p>
          <w:p w14:paraId="7AE10272"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Transpozohet nga neni 5, pika 27, i projektligjit.</w:t>
            </w:r>
          </w:p>
        </w:tc>
      </w:tr>
      <w:tr w:rsidR="004E6A4A" w:rsidRPr="004E6A4A" w14:paraId="2DF53739" w14:textId="77777777" w:rsidTr="00153084">
        <w:trPr>
          <w:trHeight w:val="764"/>
        </w:trPr>
        <w:tc>
          <w:tcPr>
            <w:tcW w:w="630" w:type="dxa"/>
          </w:tcPr>
          <w:p w14:paraId="29AFBFFE" w14:textId="77777777" w:rsidR="000A21ED" w:rsidRPr="004E6A4A" w:rsidRDefault="000A21ED" w:rsidP="00C4419F">
            <w:pPr>
              <w:jc w:val="center"/>
              <w:rPr>
                <w:rFonts w:ascii="Times New Roman" w:eastAsia="Calibri" w:hAnsi="Times New Roman" w:cs="Times New Roman"/>
                <w:i/>
                <w:sz w:val="18"/>
                <w:szCs w:val="18"/>
              </w:rPr>
            </w:pPr>
          </w:p>
        </w:tc>
        <w:tc>
          <w:tcPr>
            <w:tcW w:w="4230" w:type="dxa"/>
          </w:tcPr>
          <w:p w14:paraId="2527BBB0"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8.</w:t>
            </w:r>
            <w:r w:rsidRPr="004E6A4A">
              <w:rPr>
                <w:rFonts w:ascii="Times New Roman" w:eastAsia="Times New Roman" w:hAnsi="Times New Roman" w:cs="Times New Roman"/>
                <w:sz w:val="20"/>
                <w:szCs w:val="20"/>
              </w:rPr>
              <w:tab/>
              <w:t>Termi “Emetues i Kualifikuar i Kartave të Kreditit” nënkupton një Institucion Financiar që përmbush kërkesat e mëposhtme:</w:t>
            </w:r>
          </w:p>
          <w:p w14:paraId="0058148D"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(a)</w:t>
            </w:r>
            <w:r w:rsidRPr="004E6A4A">
              <w:rPr>
                <w:rFonts w:ascii="Times New Roman" w:eastAsia="Times New Roman" w:hAnsi="Times New Roman" w:cs="Times New Roman"/>
                <w:sz w:val="20"/>
                <w:szCs w:val="20"/>
              </w:rPr>
              <w:tab/>
              <w:t>Institucioni Financiar është Institucion Financiar vetëm për shkak se është emetues i kartave të kreditit që pranon depozita vetëm kur një klient kryen një pagesë që tejkalon një gjendje detyrimi në lidhje me kartën dhe tejpagesa nuk i kthehet menjëherë klientit; dhe</w:t>
            </w:r>
          </w:p>
          <w:p w14:paraId="4E190EE2"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(b)</w:t>
            </w:r>
            <w:r w:rsidRPr="004E6A4A">
              <w:rPr>
                <w:rFonts w:ascii="Times New Roman" w:eastAsia="Times New Roman" w:hAnsi="Times New Roman" w:cs="Times New Roman"/>
                <w:sz w:val="20"/>
                <w:szCs w:val="20"/>
              </w:rPr>
              <w:tab/>
              <w:t xml:space="preserve">duke filluar më ose përpara 1 janarit 2016, Institucioni Financiar zbaton politika dhe procedura që ose e pengojnë një klient të kryejë një tejpagesë mbi një shumë të shprehur në monedhën vendase të çdo shteti anëtar që u korrespondon 50 </w:t>
            </w:r>
            <w:r w:rsidRPr="004E6A4A">
              <w:rPr>
                <w:rFonts w:ascii="Times New Roman" w:eastAsia="Times New Roman" w:hAnsi="Times New Roman" w:cs="Times New Roman"/>
                <w:sz w:val="20"/>
                <w:szCs w:val="20"/>
              </w:rPr>
              <w:lastRenderedPageBreak/>
              <w:t>000 USD, ose sigurojnë që çdo tejpagesë e klientit mbi këtë shumë t’i rimbursohet klientit brenda 60 ditëve, duke zbatuar në secilin rast rregullat e përcaktuara në paragrafin C të Seksionit VII për totalizimin e llogarive dhe konvertimin e monedhës. Për këtë qëllim, tejpagesa e klientit nuk i referohet gjendjeve kreditore në masën e tarifave të kontestuara, por përfshin gjendjet kreditore që rezultojnë nga kthimi i mallrave.</w:t>
            </w:r>
          </w:p>
        </w:tc>
        <w:tc>
          <w:tcPr>
            <w:tcW w:w="1350" w:type="dxa"/>
          </w:tcPr>
          <w:p w14:paraId="0452657B" w14:textId="77777777" w:rsidR="000A21ED" w:rsidRPr="004E6A4A" w:rsidRDefault="000A21ED" w:rsidP="00C4419F">
            <w:pPr>
              <w:jc w:val="center"/>
              <w:rPr>
                <w:rFonts w:ascii="Times New Roman" w:eastAsia="Calibri" w:hAnsi="Times New Roman" w:cs="Times New Roman"/>
                <w:sz w:val="18"/>
                <w:szCs w:val="18"/>
              </w:rPr>
            </w:pPr>
          </w:p>
        </w:tc>
        <w:tc>
          <w:tcPr>
            <w:tcW w:w="810" w:type="dxa"/>
          </w:tcPr>
          <w:p w14:paraId="680BE49E" w14:textId="77777777" w:rsidR="000A21ED" w:rsidRPr="004E6A4A" w:rsidRDefault="000A21ED" w:rsidP="00C4419F">
            <w:pPr>
              <w:jc w:val="center"/>
              <w:rPr>
                <w:rFonts w:ascii="Times New Roman" w:eastAsia="Times New Roman" w:hAnsi="Times New Roman" w:cs="Times New Roman"/>
                <w:sz w:val="20"/>
                <w:szCs w:val="21"/>
                <w:lang w:eastAsia="sq-AL"/>
              </w:rPr>
            </w:pPr>
          </w:p>
        </w:tc>
        <w:tc>
          <w:tcPr>
            <w:tcW w:w="4590" w:type="dxa"/>
          </w:tcPr>
          <w:p w14:paraId="325CCDA5" w14:textId="77777777" w:rsidR="00FA0CFF" w:rsidRPr="004E6A4A" w:rsidRDefault="00144445">
            <w:pPr>
              <w:jc w:val="center"/>
            </w:pPr>
            <w:r w:rsidRPr="004E6A4A">
              <w:rPr>
                <w:rFonts w:ascii="Times New Roman" w:eastAsia="Times New Roman" w:hAnsi="Times New Roman" w:cs="Times New Roman"/>
                <w:b/>
                <w:sz w:val="20"/>
              </w:rPr>
              <w:t>Ligji: Neni 5</w:t>
            </w:r>
          </w:p>
          <w:p w14:paraId="2D49F721" w14:textId="77777777" w:rsidR="00FA0CFF" w:rsidRPr="004E6A4A" w:rsidRDefault="00144445">
            <w:pPr>
              <w:jc w:val="center"/>
            </w:pPr>
            <w:r w:rsidRPr="004E6A4A">
              <w:rPr>
                <w:rFonts w:ascii="Times New Roman" w:eastAsia="Times New Roman" w:hAnsi="Times New Roman" w:cs="Times New Roman"/>
                <w:b/>
                <w:sz w:val="20"/>
              </w:rPr>
              <w:t>Përkufizime</w:t>
            </w:r>
          </w:p>
          <w:p w14:paraId="099A6BB5" w14:textId="77777777" w:rsidR="00FA0CFF" w:rsidRPr="004E6A4A" w:rsidRDefault="00144445">
            <w:pPr>
              <w:jc w:val="both"/>
            </w:pPr>
            <w:r w:rsidRPr="004E6A4A">
              <w:rPr>
                <w:rFonts w:ascii="Times New Roman" w:eastAsia="Times New Roman" w:hAnsi="Times New Roman" w:cs="Times New Roman"/>
                <w:sz w:val="20"/>
              </w:rPr>
              <w:t>24. “Emetues i kualifikuar i kartave të kreditit” është një institucion financiar që përmbush kriteret e mëposhtme:</w:t>
            </w:r>
          </w:p>
          <w:p w14:paraId="0422B382" w14:textId="77777777" w:rsidR="00FA0CFF" w:rsidRPr="004E6A4A" w:rsidRDefault="00144445">
            <w:pPr>
              <w:jc w:val="both"/>
            </w:pPr>
            <w:r w:rsidRPr="004E6A4A">
              <w:rPr>
                <w:rFonts w:ascii="Times New Roman" w:eastAsia="Times New Roman" w:hAnsi="Times New Roman" w:cs="Times New Roman"/>
                <w:sz w:val="20"/>
              </w:rPr>
              <w:t>a) është institucion financiar vetëm për shkak se është emetues i kartave të kreditit dhe pranon depozita vetëm kur klienti kryen pagesa që tejkalojnë një balancë të përcaktuar për kartën dhe kjo mbipagesë nuk i rimbursohet menjëherë klientit; dhe</w:t>
            </w:r>
          </w:p>
          <w:p w14:paraId="424D30E8" w14:textId="77777777" w:rsidR="00FA0CFF" w:rsidRPr="004E6A4A" w:rsidRDefault="00144445">
            <w:pPr>
              <w:jc w:val="both"/>
            </w:pPr>
            <w:r w:rsidRPr="004E6A4A">
              <w:rPr>
                <w:rFonts w:ascii="Times New Roman" w:eastAsia="Times New Roman" w:hAnsi="Times New Roman" w:cs="Times New Roman"/>
                <w:sz w:val="20"/>
              </w:rPr>
              <w:t xml:space="preserve">b) zbaton, duke filluar më ose përpara datës së referencës të zbatueshme për profilin përkatës, politika dhe procedura për të parandaluar që një klient të kryejë mbipagesa që tejkalojnë 50 000 (pesëdhjetë mijë) USD </w:t>
            </w:r>
            <w:r w:rsidRPr="004E6A4A">
              <w:rPr>
                <w:rFonts w:ascii="Times New Roman" w:eastAsia="Times New Roman" w:hAnsi="Times New Roman" w:cs="Times New Roman"/>
                <w:sz w:val="20"/>
              </w:rPr>
              <w:lastRenderedPageBreak/>
              <w:t>ose për të garantuar që çdo mbipagesë e klientit që tejkalon 50 000 (pesëdhjetë mijë) USD t’i rimbursohet klientit brenda 60 (gjashtëdhjetë) ditëve, në çdo rast duke zbatuar rregullat për totalizimin e llogarisë dhe konvertimin e monedhës të përcaktuara në këtë ligj. Datat e referencës për zbatimin e këtij përcaktimi, për qëllime të shkëmbimit automatik të informacionit sipas së drejtës së Bashkimit Evropian dhe sipas Standardit të Përbashkët të Raportimit (CRS), përcaktohen me akt nënligjor.</w:t>
            </w:r>
          </w:p>
          <w:p w14:paraId="265A1457" w14:textId="77777777" w:rsidR="00FA0CFF" w:rsidRPr="004E6A4A" w:rsidRDefault="00144445">
            <w:pPr>
              <w:jc w:val="both"/>
            </w:pPr>
            <w:r w:rsidRPr="004E6A4A">
              <w:rPr>
                <w:rFonts w:ascii="Times New Roman" w:eastAsia="Times New Roman" w:hAnsi="Times New Roman" w:cs="Times New Roman"/>
                <w:sz w:val="20"/>
              </w:rPr>
              <w:t>Për këtë qëllim, mbipagesa e klientit nuk i referohet balancave të kreditit në masën që lidhen me tarifa të kundërshtuara, por përfshin balancat e kreditit që vijnë si rezultat i kthimit të mallit.</w:t>
            </w:r>
          </w:p>
        </w:tc>
        <w:tc>
          <w:tcPr>
            <w:tcW w:w="1620" w:type="dxa"/>
          </w:tcPr>
          <w:p w14:paraId="24278F23" w14:textId="77777777" w:rsidR="00A85C2A" w:rsidRPr="004E6A4A" w:rsidRDefault="00A85C2A" w:rsidP="00C4419F">
            <w:pPr>
              <w:jc w:val="center"/>
              <w:rPr>
                <w:rFonts w:ascii="Times New Roman" w:eastAsia="Calibri" w:hAnsi="Times New Roman" w:cs="Times New Roman"/>
                <w:sz w:val="18"/>
                <w:szCs w:val="18"/>
              </w:rPr>
            </w:pPr>
          </w:p>
          <w:p w14:paraId="78AFFD96" w14:textId="6B43D3F7" w:rsidR="000A21ED" w:rsidRPr="004E6A4A" w:rsidRDefault="00A85C2A"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68CB2233"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Përputhet.</w:t>
            </w:r>
          </w:p>
          <w:p w14:paraId="53EBDB23"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Transpozohet nga neni 5, pika 24, i projektligjit.</w:t>
            </w:r>
          </w:p>
        </w:tc>
      </w:tr>
      <w:tr w:rsidR="004E6A4A" w:rsidRPr="004E6A4A" w14:paraId="00D8AFEE" w14:textId="77777777" w:rsidTr="00153084">
        <w:trPr>
          <w:trHeight w:val="764"/>
        </w:trPr>
        <w:tc>
          <w:tcPr>
            <w:tcW w:w="630" w:type="dxa"/>
          </w:tcPr>
          <w:p w14:paraId="33545309" w14:textId="77777777" w:rsidR="000A21ED" w:rsidRPr="004E6A4A" w:rsidRDefault="000A21ED" w:rsidP="00C4419F">
            <w:pPr>
              <w:jc w:val="center"/>
              <w:rPr>
                <w:rFonts w:ascii="Times New Roman" w:eastAsia="Calibri" w:hAnsi="Times New Roman" w:cs="Times New Roman"/>
                <w:i/>
                <w:sz w:val="18"/>
                <w:szCs w:val="18"/>
              </w:rPr>
            </w:pPr>
          </w:p>
        </w:tc>
        <w:tc>
          <w:tcPr>
            <w:tcW w:w="4230" w:type="dxa"/>
          </w:tcPr>
          <w:p w14:paraId="1A42BB0A"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9.</w:t>
            </w:r>
            <w:r w:rsidRPr="004E6A4A">
              <w:rPr>
                <w:rFonts w:ascii="Times New Roman" w:eastAsia="Times New Roman" w:hAnsi="Times New Roman" w:cs="Times New Roman"/>
                <w:sz w:val="20"/>
                <w:szCs w:val="20"/>
              </w:rPr>
              <w:tab/>
              <w:t>Termi “Instrument Investimesh Kolektive i Përjashtuar” nënkupton një Njësi Ekonomike Investimi që rregullohet si instrument investimesh kolektive, me kusht që të gjitha interesat në instrumentin e investimeve kolektive të mbahen nga ose nëpërmjet individëve ose Njësive Ekonomike që nuk janë Persona të Raportueshëm, përveç një NFE pasive me Persona Kontrollues që janë Persona të Raportueshëm.</w:t>
            </w:r>
          </w:p>
          <w:p w14:paraId="0D0E22A3"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 xml:space="preserve"> Një Njësi Ekonomike Investimi që rregullohet si instrument investimesh kolektive nuk humbet cilësimin sipas nënparagrafit B(9) si Instrument Investimesh Kolektive i Përjashtuar vetëm për shkak se instrumenti i investimeve kolektive ka emetuar aksione fizike në formë prurësi, me kusht që:</w:t>
            </w:r>
          </w:p>
          <w:p w14:paraId="72537CF0"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(a)</w:t>
            </w:r>
            <w:r w:rsidRPr="004E6A4A">
              <w:rPr>
                <w:rFonts w:ascii="Times New Roman" w:eastAsia="Times New Roman" w:hAnsi="Times New Roman" w:cs="Times New Roman"/>
                <w:sz w:val="20"/>
                <w:szCs w:val="20"/>
              </w:rPr>
              <w:tab/>
              <w:t>instrumenti i investimeve kolektive të mos ketë emetuar dhe të mos emetojë asnjë aksion fizik në formë prurësi pas 31 dhjetorit 2015;</w:t>
            </w:r>
          </w:p>
          <w:p w14:paraId="07ECE619"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(b)</w:t>
            </w:r>
            <w:r w:rsidRPr="004E6A4A">
              <w:rPr>
                <w:rFonts w:ascii="Times New Roman" w:eastAsia="Times New Roman" w:hAnsi="Times New Roman" w:cs="Times New Roman"/>
                <w:sz w:val="20"/>
                <w:szCs w:val="20"/>
              </w:rPr>
              <w:tab/>
              <w:t>instrumenti i investimeve kolektive t’i tërheqë të gjitha këto aksione me dorëzimin e tyre;</w:t>
            </w:r>
          </w:p>
          <w:p w14:paraId="2643F791"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w:t>
            </w:r>
            <w:r w:rsidRPr="004E6A4A">
              <w:rPr>
                <w:rFonts w:ascii="Times New Roman" w:eastAsia="Times New Roman" w:hAnsi="Times New Roman" w:cs="Times New Roman"/>
                <w:sz w:val="20"/>
                <w:szCs w:val="20"/>
              </w:rPr>
              <w:tab/>
              <w:t xml:space="preserve">instrumenti i investimeve kolektive të kryejë procedurat e vigjilencës së duhur të </w:t>
            </w:r>
            <w:r w:rsidRPr="004E6A4A">
              <w:rPr>
                <w:rFonts w:ascii="Times New Roman" w:eastAsia="Times New Roman" w:hAnsi="Times New Roman" w:cs="Times New Roman"/>
                <w:sz w:val="20"/>
                <w:szCs w:val="20"/>
              </w:rPr>
              <w:lastRenderedPageBreak/>
              <w:t>përcaktuara në Seksionet II deri në VII dhe të raportojë çdo informacion që kërkohet të raportohet në lidhje me këto aksione kur ato paraqiten për shlyerje ose për pagesë tjetër; dhe</w:t>
            </w:r>
          </w:p>
          <w:p w14:paraId="187D4F25"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(d)</w:t>
            </w:r>
            <w:r w:rsidRPr="004E6A4A">
              <w:rPr>
                <w:rFonts w:ascii="Times New Roman" w:eastAsia="Times New Roman" w:hAnsi="Times New Roman" w:cs="Times New Roman"/>
                <w:sz w:val="20"/>
                <w:szCs w:val="20"/>
              </w:rPr>
              <w:tab/>
              <w:t>instrumenti i investimeve kolektive të ketë në fuqi politika dhe procedura për të siguruar që këto aksione të shlyhen ose të imobilizohen sa më shpejt të jetë e mundur dhe, në çdo rast, përpara 1 janarit 2018.</w:t>
            </w:r>
          </w:p>
        </w:tc>
        <w:tc>
          <w:tcPr>
            <w:tcW w:w="1350" w:type="dxa"/>
          </w:tcPr>
          <w:p w14:paraId="0322DA0F" w14:textId="77777777" w:rsidR="000A21ED" w:rsidRPr="004E6A4A" w:rsidRDefault="000A21ED" w:rsidP="00C4419F">
            <w:pPr>
              <w:jc w:val="center"/>
              <w:rPr>
                <w:rFonts w:ascii="Times New Roman" w:eastAsia="Calibri" w:hAnsi="Times New Roman" w:cs="Times New Roman"/>
                <w:sz w:val="18"/>
                <w:szCs w:val="18"/>
              </w:rPr>
            </w:pPr>
          </w:p>
        </w:tc>
        <w:tc>
          <w:tcPr>
            <w:tcW w:w="810" w:type="dxa"/>
          </w:tcPr>
          <w:p w14:paraId="6B142778" w14:textId="77777777" w:rsidR="000A21ED" w:rsidRPr="004E6A4A" w:rsidRDefault="000A21ED" w:rsidP="00C4419F">
            <w:pPr>
              <w:jc w:val="center"/>
              <w:rPr>
                <w:rFonts w:ascii="Times New Roman" w:eastAsia="Times New Roman" w:hAnsi="Times New Roman" w:cs="Times New Roman"/>
                <w:sz w:val="20"/>
                <w:szCs w:val="21"/>
                <w:lang w:eastAsia="sq-AL"/>
              </w:rPr>
            </w:pPr>
          </w:p>
        </w:tc>
        <w:tc>
          <w:tcPr>
            <w:tcW w:w="4590" w:type="dxa"/>
          </w:tcPr>
          <w:p w14:paraId="1A51ED46" w14:textId="77777777" w:rsidR="00FA0CFF" w:rsidRPr="004E6A4A" w:rsidRDefault="00144445">
            <w:pPr>
              <w:jc w:val="center"/>
            </w:pPr>
            <w:r w:rsidRPr="004E6A4A">
              <w:rPr>
                <w:rFonts w:ascii="Times New Roman" w:eastAsia="Times New Roman" w:hAnsi="Times New Roman" w:cs="Times New Roman"/>
                <w:b/>
                <w:sz w:val="20"/>
              </w:rPr>
              <w:t>Ligji: Neni 5</w:t>
            </w:r>
          </w:p>
          <w:p w14:paraId="54085E0F" w14:textId="77777777" w:rsidR="00FA0CFF" w:rsidRPr="004E6A4A" w:rsidRDefault="00144445">
            <w:pPr>
              <w:jc w:val="center"/>
            </w:pPr>
            <w:r w:rsidRPr="004E6A4A">
              <w:rPr>
                <w:rFonts w:ascii="Times New Roman" w:eastAsia="Times New Roman" w:hAnsi="Times New Roman" w:cs="Times New Roman"/>
                <w:b/>
                <w:sz w:val="20"/>
              </w:rPr>
              <w:t>Përkufizime</w:t>
            </w:r>
          </w:p>
          <w:p w14:paraId="600D582A" w14:textId="77777777" w:rsidR="00FA0CFF" w:rsidRPr="004E6A4A" w:rsidRDefault="00144445">
            <w:pPr>
              <w:jc w:val="both"/>
            </w:pPr>
            <w:r w:rsidRPr="004E6A4A">
              <w:rPr>
                <w:rFonts w:ascii="Times New Roman" w:eastAsia="Times New Roman" w:hAnsi="Times New Roman" w:cs="Times New Roman"/>
                <w:sz w:val="20"/>
              </w:rPr>
              <w:t>35. “Instrument investimesh kolektive i përjashtuar” është një njësi ekonomike investimi që rregullohet si një instrument investimesh kolektive, me kusht që të gjitha interesat në këtë instrument të mbahen nga ose nëpërmjet individëve ose njësive ekonomike që nuk janë persona të raportueshëm, me përjashtim të NFE-ve pasive me persona kontrollues që janë persona të raportueshëm.</w:t>
            </w:r>
          </w:p>
          <w:p w14:paraId="7AFC209D" w14:textId="77777777" w:rsidR="00FA0CFF" w:rsidRPr="004E6A4A" w:rsidRDefault="00144445">
            <w:pPr>
              <w:jc w:val="both"/>
            </w:pPr>
            <w:r w:rsidRPr="004E6A4A">
              <w:rPr>
                <w:rFonts w:ascii="Times New Roman" w:eastAsia="Times New Roman" w:hAnsi="Times New Roman" w:cs="Times New Roman"/>
                <w:sz w:val="20"/>
              </w:rPr>
              <w:t>Një njësi ekonomike investimi që rregullohet si një instrument investimesh kolektive nuk humbet statusin e instrumentit të investimeve kolektive të përjashtuar vetëm sepse instrumenti ka emetuar aksione fizike në formë bartësi, me kusht që:</w:t>
            </w:r>
          </w:p>
          <w:p w14:paraId="357C33AD" w14:textId="77777777" w:rsidR="00FA0CFF" w:rsidRPr="004E6A4A" w:rsidRDefault="00144445">
            <w:pPr>
              <w:jc w:val="both"/>
            </w:pPr>
            <w:r w:rsidRPr="004E6A4A">
              <w:rPr>
                <w:rFonts w:ascii="Times New Roman" w:eastAsia="Times New Roman" w:hAnsi="Times New Roman" w:cs="Times New Roman"/>
                <w:sz w:val="20"/>
              </w:rPr>
              <w:t>a) instrumenti të mos ketë emetuar dhe të mos emetojë aksione të tjera fizike në formë bartësi pas datës së përcaktuar në aktet zbatuese;</w:t>
            </w:r>
          </w:p>
          <w:p w14:paraId="78D74B70" w14:textId="77777777" w:rsidR="00FA0CFF" w:rsidRPr="004E6A4A" w:rsidRDefault="00144445">
            <w:pPr>
              <w:jc w:val="both"/>
            </w:pPr>
            <w:r w:rsidRPr="004E6A4A">
              <w:rPr>
                <w:rFonts w:ascii="Times New Roman" w:eastAsia="Times New Roman" w:hAnsi="Times New Roman" w:cs="Times New Roman"/>
                <w:sz w:val="20"/>
              </w:rPr>
              <w:t>b) instrumenti të tërheqë të gjitha këto aksione menjëherë pas paraqitjes për tërheqje;</w:t>
            </w:r>
          </w:p>
          <w:p w14:paraId="7675EE7C" w14:textId="77777777" w:rsidR="00FA0CFF" w:rsidRPr="004E6A4A" w:rsidRDefault="00144445">
            <w:pPr>
              <w:jc w:val="both"/>
            </w:pPr>
            <w:r w:rsidRPr="004E6A4A">
              <w:rPr>
                <w:rFonts w:ascii="Times New Roman" w:eastAsia="Times New Roman" w:hAnsi="Times New Roman" w:cs="Times New Roman"/>
                <w:sz w:val="20"/>
              </w:rPr>
              <w:t xml:space="preserve">c) instrumenti të kryejë procedurat e vigjilencës së duhur të përcaktuara në këtë ligj dhe të raportojë çdo </w:t>
            </w:r>
            <w:r w:rsidRPr="004E6A4A">
              <w:rPr>
                <w:rFonts w:ascii="Times New Roman" w:eastAsia="Times New Roman" w:hAnsi="Times New Roman" w:cs="Times New Roman"/>
                <w:sz w:val="20"/>
              </w:rPr>
              <w:lastRenderedPageBreak/>
              <w:t>informacion që kërkohet në lidhje me këto aksione kur ato paraqiten për riblerje ose për pagesa të tjera; dhe</w:t>
            </w:r>
          </w:p>
          <w:p w14:paraId="254B1358" w14:textId="77777777" w:rsidR="00FA0CFF" w:rsidRPr="004E6A4A" w:rsidRDefault="00144445">
            <w:pPr>
              <w:jc w:val="both"/>
            </w:pPr>
            <w:r w:rsidRPr="004E6A4A">
              <w:rPr>
                <w:rFonts w:ascii="Times New Roman" w:eastAsia="Times New Roman" w:hAnsi="Times New Roman" w:cs="Times New Roman"/>
                <w:sz w:val="20"/>
              </w:rPr>
              <w:t>ç) instrumenti të ketë politika dhe procedura për të garantuar që këto aksione të riblenë ose të immobilizohen sa më shpejt të jetë e mundur dhe, në çdo rast, brenda afatit të përcaktuar në aktet zbatuese.</w:t>
            </w:r>
          </w:p>
        </w:tc>
        <w:tc>
          <w:tcPr>
            <w:tcW w:w="1620" w:type="dxa"/>
          </w:tcPr>
          <w:p w14:paraId="624273D6" w14:textId="77777777" w:rsidR="00A85C2A" w:rsidRPr="004E6A4A" w:rsidRDefault="00A85C2A" w:rsidP="00C4419F">
            <w:pPr>
              <w:jc w:val="center"/>
              <w:rPr>
                <w:rFonts w:ascii="Times New Roman" w:eastAsia="Calibri" w:hAnsi="Times New Roman" w:cs="Times New Roman"/>
                <w:sz w:val="18"/>
                <w:szCs w:val="18"/>
              </w:rPr>
            </w:pPr>
          </w:p>
          <w:p w14:paraId="1B15AB52" w14:textId="5E1B8ECF" w:rsidR="000A21ED" w:rsidRPr="004E6A4A" w:rsidRDefault="00A85C2A"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4C31DA07"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Përputhet.</w:t>
            </w:r>
          </w:p>
          <w:p w14:paraId="2F862E30"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Transpozohet nga neni 5, pika 35, i projektligjit.</w:t>
            </w:r>
          </w:p>
        </w:tc>
      </w:tr>
      <w:tr w:rsidR="004E6A4A" w:rsidRPr="004E6A4A" w14:paraId="2C267613" w14:textId="77777777" w:rsidTr="00153084">
        <w:trPr>
          <w:trHeight w:val="764"/>
        </w:trPr>
        <w:tc>
          <w:tcPr>
            <w:tcW w:w="630" w:type="dxa"/>
          </w:tcPr>
          <w:p w14:paraId="13E1FB94" w14:textId="77777777" w:rsidR="000A21ED" w:rsidRPr="004E6A4A" w:rsidRDefault="000A21ED" w:rsidP="00C4419F">
            <w:pPr>
              <w:jc w:val="center"/>
              <w:rPr>
                <w:rFonts w:ascii="Times New Roman" w:eastAsia="Calibri" w:hAnsi="Times New Roman" w:cs="Times New Roman"/>
                <w:i/>
                <w:sz w:val="18"/>
                <w:szCs w:val="18"/>
              </w:rPr>
            </w:pPr>
          </w:p>
        </w:tc>
        <w:tc>
          <w:tcPr>
            <w:tcW w:w="4230" w:type="dxa"/>
          </w:tcPr>
          <w:p w14:paraId="49A6B3A4"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w:t>
            </w:r>
            <w:r w:rsidRPr="004E6A4A">
              <w:rPr>
                <w:rFonts w:ascii="Times New Roman" w:eastAsia="Times New Roman" w:hAnsi="Times New Roman" w:cs="Times New Roman"/>
                <w:sz w:val="20"/>
                <w:szCs w:val="20"/>
              </w:rPr>
              <w:tab/>
              <w:t>Llogari Financiare</w:t>
            </w:r>
          </w:p>
          <w:p w14:paraId="1B466A01"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1.</w:t>
            </w:r>
            <w:r w:rsidRPr="004E6A4A">
              <w:rPr>
                <w:rFonts w:ascii="Times New Roman" w:eastAsia="Times New Roman" w:hAnsi="Times New Roman" w:cs="Times New Roman"/>
                <w:sz w:val="20"/>
                <w:szCs w:val="20"/>
              </w:rPr>
              <w:tab/>
              <w:t>Termi “Llogari Financiare” nënkupton një llogari të mbajtur nga një Institucion Financiar dhe përfshin një Llogari Depozite, një Llogari Kujdestarie dhe:</w:t>
            </w:r>
          </w:p>
          <w:p w14:paraId="775D7084"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(a)</w:t>
            </w:r>
            <w:r w:rsidRPr="004E6A4A">
              <w:rPr>
                <w:rFonts w:ascii="Times New Roman" w:eastAsia="Times New Roman" w:hAnsi="Times New Roman" w:cs="Times New Roman"/>
                <w:sz w:val="20"/>
                <w:szCs w:val="20"/>
              </w:rPr>
              <w:tab/>
              <w:t>në rastin e një Njësie Ekonomike Investimi, çdo interes në kapital ose në borxh në Institucionin Financiar. Pavarësisht nga sa më sipër, termi “Llogari Financiare” nuk përfshin asnjë interes në kapital ose në borxh në një Njësi Ekonomike që është Njësi Ekonomike Investimi vetëm për shkak se (i) jep këshilla investimi për një klient dhe vepron në emër të tij; ose (ii) menaxhon portofole për një klient dhe vepron në emër të tij, me qëllim investimin, menaxhimin ose administrimin e Aktiveve Financiare të depozituara në emër të klientit në një Institucion Financiar të ndryshëm nga kjo Njësi Ekonomike;</w:t>
            </w:r>
          </w:p>
          <w:p w14:paraId="56B27515"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(b)</w:t>
            </w:r>
            <w:r w:rsidRPr="004E6A4A">
              <w:rPr>
                <w:rFonts w:ascii="Times New Roman" w:eastAsia="Times New Roman" w:hAnsi="Times New Roman" w:cs="Times New Roman"/>
                <w:sz w:val="20"/>
                <w:szCs w:val="20"/>
              </w:rPr>
              <w:tab/>
              <w:t>në rastin e një Institucioni Financiar që nuk përshkruhet në nënparagrafin C(1)(a), çdo interes në kapital ose në borxh në Institucionin Financiar, nëse kategoria e interesave është krijuar me qëllim shmangien e raportimit në përputhje me Seksionin I; dhe</w:t>
            </w:r>
          </w:p>
          <w:p w14:paraId="17428DA8"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w:t>
            </w:r>
            <w:r w:rsidRPr="004E6A4A">
              <w:rPr>
                <w:rFonts w:ascii="Times New Roman" w:eastAsia="Times New Roman" w:hAnsi="Times New Roman" w:cs="Times New Roman"/>
                <w:sz w:val="20"/>
                <w:szCs w:val="20"/>
              </w:rPr>
              <w:tab/>
              <w:t xml:space="preserve">çdo Kontratë Sigurimi në Vlerë në Para të Gatshme dhe çdo Kontratë Pensioni Vjetor e lëshuar ose e mbajtur nga një Institucion Financiar, përveç një pensioni vjetor të menjëhershëm të </w:t>
            </w:r>
            <w:r w:rsidRPr="004E6A4A">
              <w:rPr>
                <w:rFonts w:ascii="Times New Roman" w:eastAsia="Times New Roman" w:hAnsi="Times New Roman" w:cs="Times New Roman"/>
                <w:sz w:val="20"/>
                <w:szCs w:val="20"/>
              </w:rPr>
              <w:lastRenderedPageBreak/>
              <w:t>jetës, jo të lidhur me investime dhe të patransferueshëm, i cili i lëshohet një individi dhe monetizon një përfitim pensioni ose invaliditeti të dhënë sipas një llogarie që është Llogari e Përjashtuar.</w:t>
            </w:r>
          </w:p>
          <w:p w14:paraId="6F413680"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Termi “Llogari Financiare” nuk përfshin asnjë llogari që është Llogari e Përjashtuar.</w:t>
            </w:r>
          </w:p>
        </w:tc>
        <w:tc>
          <w:tcPr>
            <w:tcW w:w="1350" w:type="dxa"/>
          </w:tcPr>
          <w:p w14:paraId="5F3AB149" w14:textId="77777777" w:rsidR="000A21ED" w:rsidRPr="004E6A4A" w:rsidRDefault="000A21ED" w:rsidP="00C4419F">
            <w:pPr>
              <w:jc w:val="center"/>
              <w:rPr>
                <w:rFonts w:ascii="Times New Roman" w:eastAsia="Calibri" w:hAnsi="Times New Roman" w:cs="Times New Roman"/>
                <w:sz w:val="18"/>
                <w:szCs w:val="18"/>
              </w:rPr>
            </w:pPr>
          </w:p>
        </w:tc>
        <w:tc>
          <w:tcPr>
            <w:tcW w:w="810" w:type="dxa"/>
          </w:tcPr>
          <w:p w14:paraId="69B02944" w14:textId="77777777" w:rsidR="000A21ED" w:rsidRPr="004E6A4A" w:rsidRDefault="000A21ED" w:rsidP="00C4419F">
            <w:pPr>
              <w:jc w:val="center"/>
              <w:rPr>
                <w:rFonts w:ascii="Times New Roman" w:eastAsia="Times New Roman" w:hAnsi="Times New Roman" w:cs="Times New Roman"/>
                <w:sz w:val="20"/>
                <w:szCs w:val="21"/>
                <w:lang w:eastAsia="sq-AL"/>
              </w:rPr>
            </w:pPr>
          </w:p>
        </w:tc>
        <w:tc>
          <w:tcPr>
            <w:tcW w:w="4590" w:type="dxa"/>
          </w:tcPr>
          <w:p w14:paraId="33D4CFDA" w14:textId="77777777" w:rsidR="00FA0CFF" w:rsidRPr="004E6A4A" w:rsidRDefault="00144445">
            <w:pPr>
              <w:jc w:val="center"/>
            </w:pPr>
            <w:r w:rsidRPr="004E6A4A">
              <w:rPr>
                <w:rFonts w:ascii="Times New Roman" w:eastAsia="Times New Roman" w:hAnsi="Times New Roman" w:cs="Times New Roman"/>
                <w:b/>
                <w:sz w:val="20"/>
              </w:rPr>
              <w:t>Ligji: Neni 5</w:t>
            </w:r>
          </w:p>
          <w:p w14:paraId="0636A1B6" w14:textId="77777777" w:rsidR="00FA0CFF" w:rsidRPr="004E6A4A" w:rsidRDefault="00144445">
            <w:pPr>
              <w:jc w:val="center"/>
            </w:pPr>
            <w:r w:rsidRPr="004E6A4A">
              <w:rPr>
                <w:rFonts w:ascii="Times New Roman" w:eastAsia="Times New Roman" w:hAnsi="Times New Roman" w:cs="Times New Roman"/>
                <w:b/>
                <w:sz w:val="20"/>
              </w:rPr>
              <w:t>Përkufizime</w:t>
            </w:r>
          </w:p>
          <w:p w14:paraId="78E6697A" w14:textId="77777777" w:rsidR="00FA0CFF" w:rsidRPr="004E6A4A" w:rsidRDefault="00144445">
            <w:pPr>
              <w:jc w:val="both"/>
            </w:pPr>
            <w:r w:rsidRPr="004E6A4A">
              <w:rPr>
                <w:rFonts w:ascii="Times New Roman" w:eastAsia="Times New Roman" w:hAnsi="Times New Roman" w:cs="Times New Roman"/>
                <w:sz w:val="20"/>
              </w:rPr>
              <w:t>48. “Llogari financiare” është një llogari e mbajtur nga një institucion financiar dhe përfshin llogarinë e depozitës, llogarinë e kujdestarisë dhe:</w:t>
            </w:r>
          </w:p>
          <w:p w14:paraId="3A696D86" w14:textId="77777777" w:rsidR="00FA0CFF" w:rsidRPr="004E6A4A" w:rsidRDefault="00144445">
            <w:pPr>
              <w:jc w:val="both"/>
            </w:pPr>
            <w:r w:rsidRPr="004E6A4A">
              <w:rPr>
                <w:rFonts w:ascii="Times New Roman" w:eastAsia="Times New Roman" w:hAnsi="Times New Roman" w:cs="Times New Roman"/>
                <w:sz w:val="20"/>
              </w:rPr>
              <w:t>a) në rastin e një njësie ekonomike investimesh, çdo interes në kapital ose borxh në institucionin financiar. Pavarësisht nga sa më sipër, termi “llogari financiare” nuk përfshin asnjë interes në kapital ose borxh në një njësi ekonomike që është njësi ekonomike investimesh vetëm sepse ajo:</w:t>
            </w:r>
          </w:p>
          <w:p w14:paraId="799B7F6C" w14:textId="77777777" w:rsidR="00FA0CFF" w:rsidRPr="004E6A4A" w:rsidRDefault="00144445">
            <w:pPr>
              <w:jc w:val="both"/>
            </w:pPr>
            <w:r w:rsidRPr="004E6A4A">
              <w:rPr>
                <w:rFonts w:ascii="Times New Roman" w:eastAsia="Times New Roman" w:hAnsi="Times New Roman" w:cs="Times New Roman"/>
                <w:sz w:val="20"/>
              </w:rPr>
              <w:t>i) jep këshilla investimi dhe vepron për llogari të klientit; ose</w:t>
            </w:r>
          </w:p>
          <w:p w14:paraId="5D7458F4" w14:textId="77777777" w:rsidR="00FA0CFF" w:rsidRPr="004E6A4A" w:rsidRDefault="00144445">
            <w:pPr>
              <w:jc w:val="both"/>
            </w:pPr>
            <w:r w:rsidRPr="004E6A4A">
              <w:rPr>
                <w:rFonts w:ascii="Times New Roman" w:eastAsia="Times New Roman" w:hAnsi="Times New Roman" w:cs="Times New Roman"/>
                <w:sz w:val="20"/>
              </w:rPr>
              <w:t>ii) menaxhon portofolin dhe vepron për llogari të klientit për qëllime të investimit, menaxhimit ose administrimit të aktiveve financiare të depozituara në emër të klientit te një institucion financiar i ndryshëm nga kjo njësi ekonomike;</w:t>
            </w:r>
          </w:p>
          <w:p w14:paraId="53857942" w14:textId="77777777" w:rsidR="00FA0CFF" w:rsidRPr="004E6A4A" w:rsidRDefault="00144445">
            <w:pPr>
              <w:jc w:val="both"/>
            </w:pPr>
            <w:r w:rsidRPr="004E6A4A">
              <w:rPr>
                <w:rFonts w:ascii="Times New Roman" w:eastAsia="Times New Roman" w:hAnsi="Times New Roman" w:cs="Times New Roman"/>
                <w:sz w:val="20"/>
              </w:rPr>
              <w:t>b) në rastin e një institucioni financiar që nuk është përshkruar në shkronjën “a” të kësaj pike, çdo interes në kapital ose borxh në institucionin financiar, nëse lloji i interesit është përcaktuar me qëllim shmangien e raportimit në pajtim me këtë ligj;</w:t>
            </w:r>
          </w:p>
          <w:p w14:paraId="4289B30A" w14:textId="77777777" w:rsidR="00FA0CFF" w:rsidRPr="004E6A4A" w:rsidRDefault="00144445">
            <w:pPr>
              <w:jc w:val="both"/>
            </w:pPr>
            <w:r w:rsidRPr="004E6A4A">
              <w:rPr>
                <w:rFonts w:ascii="Times New Roman" w:eastAsia="Times New Roman" w:hAnsi="Times New Roman" w:cs="Times New Roman"/>
                <w:sz w:val="20"/>
              </w:rPr>
              <w:t xml:space="preserve">c) çdo Kontratë Sigurimi me Vlerë në Para të Gatshme dhe çdo Kontratë Pensioni Vjetor që lëshohet ose mbahet nga Institucioni Financiar, me përjashtim të një Kontrate Pensioni Vjetor të menjëhershme, të patransferueshme dhe jo të lidhur me investime, e </w:t>
            </w:r>
            <w:r w:rsidRPr="004E6A4A">
              <w:rPr>
                <w:rFonts w:ascii="Times New Roman" w:eastAsia="Times New Roman" w:hAnsi="Times New Roman" w:cs="Times New Roman"/>
                <w:sz w:val="20"/>
              </w:rPr>
              <w:lastRenderedPageBreak/>
              <w:t>lëshuar për një individ dhe që monetizon një përfitim pensioni pleqërie ose invaliditeti të dhënë nëpërmjet një Llogarie të Përjashtuar.</w:t>
            </w:r>
          </w:p>
          <w:p w14:paraId="37A66D36" w14:textId="77777777" w:rsidR="00FA0CFF" w:rsidRPr="004E6A4A" w:rsidRDefault="00144445">
            <w:pPr>
              <w:jc w:val="both"/>
            </w:pPr>
            <w:r w:rsidRPr="004E6A4A">
              <w:rPr>
                <w:rFonts w:ascii="Times New Roman" w:eastAsia="Times New Roman" w:hAnsi="Times New Roman" w:cs="Times New Roman"/>
                <w:sz w:val="20"/>
              </w:rPr>
              <w:t>Termi “llogari financiare” nuk përfshin asnjë llogari që është llogari e përjashtuar.</w:t>
            </w:r>
          </w:p>
        </w:tc>
        <w:tc>
          <w:tcPr>
            <w:tcW w:w="1620" w:type="dxa"/>
          </w:tcPr>
          <w:p w14:paraId="1300C1D6" w14:textId="77777777" w:rsidR="00237B65" w:rsidRPr="004E6A4A" w:rsidRDefault="00237B65" w:rsidP="00C4419F">
            <w:pPr>
              <w:jc w:val="center"/>
              <w:rPr>
                <w:rFonts w:ascii="Times New Roman" w:eastAsia="Calibri" w:hAnsi="Times New Roman" w:cs="Times New Roman"/>
                <w:sz w:val="18"/>
                <w:szCs w:val="18"/>
              </w:rPr>
            </w:pPr>
          </w:p>
          <w:p w14:paraId="7FB6ABF9" w14:textId="60A41D31" w:rsidR="000A21ED" w:rsidRPr="004E6A4A" w:rsidRDefault="00237B65"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06B87DA6"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Përputhet.</w:t>
            </w:r>
          </w:p>
          <w:p w14:paraId="6EB8F24A"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Transpozohet nga neni 5, pika 48, i projektligjit.</w:t>
            </w:r>
          </w:p>
        </w:tc>
      </w:tr>
      <w:tr w:rsidR="004E6A4A" w:rsidRPr="004E6A4A" w14:paraId="146057E6" w14:textId="77777777" w:rsidTr="00153084">
        <w:trPr>
          <w:trHeight w:val="764"/>
        </w:trPr>
        <w:tc>
          <w:tcPr>
            <w:tcW w:w="630" w:type="dxa"/>
          </w:tcPr>
          <w:p w14:paraId="5A8C7BAF" w14:textId="77777777" w:rsidR="000A21ED" w:rsidRPr="004E6A4A" w:rsidRDefault="000A21ED" w:rsidP="00C4419F">
            <w:pPr>
              <w:jc w:val="center"/>
              <w:rPr>
                <w:rFonts w:ascii="Times New Roman" w:eastAsia="Calibri" w:hAnsi="Times New Roman" w:cs="Times New Roman"/>
                <w:i/>
                <w:sz w:val="18"/>
                <w:szCs w:val="18"/>
              </w:rPr>
            </w:pPr>
          </w:p>
        </w:tc>
        <w:tc>
          <w:tcPr>
            <w:tcW w:w="4230" w:type="dxa"/>
          </w:tcPr>
          <w:p w14:paraId="4833E86F"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2.</w:t>
            </w:r>
            <w:r w:rsidRPr="004E6A4A">
              <w:rPr>
                <w:rFonts w:ascii="Times New Roman" w:eastAsia="Times New Roman" w:hAnsi="Times New Roman" w:cs="Times New Roman"/>
                <w:sz w:val="20"/>
                <w:szCs w:val="20"/>
              </w:rPr>
              <w:tab/>
              <w:t>Termi “Llogari Depozite” përfshin çdo llogari tregtare, rrjedhëse, kursimi, me afat ose llogari kursimi të posaçme, ose një llogari që vërtetohet me certifikatë depozite, certifikatë kursimi, certifikatë investimi, certifikatë borxhi ose instrument tjetër të ngjashëm të mbajtur nga një Institucion Depozitues. Llogaria Depozite përfshin gjithashtu:</w:t>
            </w:r>
          </w:p>
          <w:p w14:paraId="0A68C55E"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(a) një shumë të mbajtur nga një shoqëri sigurimesh në zbatim të një kontrate investimi të garantuar ose të një marrëveshjeje të ngjashme për të paguar ose kredituar interes mbi të;</w:t>
            </w:r>
          </w:p>
          <w:p w14:paraId="70684EDC"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(b) një llogari ose llogari nocionale që përfaqëson të gjitha Paratë Elektronike të mbajtura për llogari të një klienti; dhe (c) një llogari që mban një ose më shumë Monedha Dixhitale të Bankës Qendrore për llogari të një klienti.</w:t>
            </w:r>
          </w:p>
        </w:tc>
        <w:tc>
          <w:tcPr>
            <w:tcW w:w="1350" w:type="dxa"/>
          </w:tcPr>
          <w:p w14:paraId="5D863CC7" w14:textId="77777777" w:rsidR="000A21ED" w:rsidRPr="004E6A4A" w:rsidRDefault="000A21ED" w:rsidP="00C4419F">
            <w:pPr>
              <w:jc w:val="center"/>
              <w:rPr>
                <w:rFonts w:ascii="Times New Roman" w:eastAsia="Calibri" w:hAnsi="Times New Roman" w:cs="Times New Roman"/>
                <w:sz w:val="18"/>
                <w:szCs w:val="18"/>
              </w:rPr>
            </w:pPr>
          </w:p>
        </w:tc>
        <w:tc>
          <w:tcPr>
            <w:tcW w:w="810" w:type="dxa"/>
          </w:tcPr>
          <w:p w14:paraId="01D67656" w14:textId="77777777" w:rsidR="000A21ED" w:rsidRPr="004E6A4A" w:rsidRDefault="000A21ED" w:rsidP="00C4419F">
            <w:pPr>
              <w:jc w:val="center"/>
              <w:rPr>
                <w:rFonts w:ascii="Times New Roman" w:eastAsia="Times New Roman" w:hAnsi="Times New Roman" w:cs="Times New Roman"/>
                <w:sz w:val="20"/>
                <w:szCs w:val="21"/>
                <w:lang w:eastAsia="sq-AL"/>
              </w:rPr>
            </w:pPr>
          </w:p>
        </w:tc>
        <w:tc>
          <w:tcPr>
            <w:tcW w:w="4590" w:type="dxa"/>
          </w:tcPr>
          <w:p w14:paraId="6CA63219" w14:textId="77777777" w:rsidR="00FA0CFF" w:rsidRPr="004E6A4A" w:rsidRDefault="00144445">
            <w:pPr>
              <w:jc w:val="center"/>
            </w:pPr>
            <w:r w:rsidRPr="004E6A4A">
              <w:rPr>
                <w:rFonts w:ascii="Times New Roman" w:eastAsia="Times New Roman" w:hAnsi="Times New Roman" w:cs="Times New Roman"/>
                <w:b/>
                <w:sz w:val="20"/>
              </w:rPr>
              <w:t>Ligji: Neni 5</w:t>
            </w:r>
          </w:p>
          <w:p w14:paraId="3EDCE3BD" w14:textId="77777777" w:rsidR="00FA0CFF" w:rsidRPr="004E6A4A" w:rsidRDefault="00144445">
            <w:pPr>
              <w:jc w:val="center"/>
            </w:pPr>
            <w:r w:rsidRPr="004E6A4A">
              <w:rPr>
                <w:rFonts w:ascii="Times New Roman" w:eastAsia="Times New Roman" w:hAnsi="Times New Roman" w:cs="Times New Roman"/>
                <w:b/>
                <w:sz w:val="20"/>
              </w:rPr>
              <w:t>Përkufizime</w:t>
            </w:r>
          </w:p>
          <w:p w14:paraId="3B19B0D6" w14:textId="77777777" w:rsidR="00FA0CFF" w:rsidRPr="004E6A4A" w:rsidRDefault="00144445">
            <w:pPr>
              <w:jc w:val="both"/>
            </w:pPr>
            <w:r w:rsidRPr="004E6A4A">
              <w:rPr>
                <w:rFonts w:ascii="Times New Roman" w:eastAsia="Times New Roman" w:hAnsi="Times New Roman" w:cs="Times New Roman"/>
                <w:sz w:val="20"/>
              </w:rPr>
              <w:t>43. “Llogari depozite” përfshin çdo llogari tregtare, llogari rrjedhëse, llogari kursimi, llogari me afat ose llogari që identifikohet përmes një certifikate depozite, certifikate kursimi, certifikate investimi, certifikate borxhi ose instrumenteve të tjera të ngjashme që mbahen nga një Institucion Depozitues. Llogaria e depozitës përfshin gjithashtu:</w:t>
            </w:r>
          </w:p>
          <w:p w14:paraId="63A1E026" w14:textId="77777777" w:rsidR="00FA0CFF" w:rsidRPr="004E6A4A" w:rsidRDefault="00144445">
            <w:pPr>
              <w:jc w:val="both"/>
            </w:pPr>
            <w:r w:rsidRPr="004E6A4A">
              <w:rPr>
                <w:rFonts w:ascii="Times New Roman" w:eastAsia="Times New Roman" w:hAnsi="Times New Roman" w:cs="Times New Roman"/>
                <w:sz w:val="20"/>
              </w:rPr>
              <w:t>a) shumën e mbajtur nga një shoqëri sigurimi sipas një kontrate investimi të garantuar ose të një marrëveshjeje të ngjashme për të paguar ose kredituar interesin përkatës;</w:t>
            </w:r>
          </w:p>
          <w:p w14:paraId="54210CE9" w14:textId="77777777" w:rsidR="00FA0CFF" w:rsidRPr="004E6A4A" w:rsidRDefault="00144445">
            <w:pPr>
              <w:jc w:val="both"/>
            </w:pPr>
            <w:r w:rsidRPr="004E6A4A">
              <w:rPr>
                <w:rFonts w:ascii="Times New Roman" w:eastAsia="Times New Roman" w:hAnsi="Times New Roman" w:cs="Times New Roman"/>
                <w:sz w:val="20"/>
              </w:rPr>
              <w:t>b) për qëllime të zbatimit të rregullave të Bashkimit Evropian, një llogari ose llogari nocionale që përfaqëson të gjitha Paratë elektronike të mbajtura për përfitimin e një klienti;</w:t>
            </w:r>
          </w:p>
          <w:p w14:paraId="12F93132" w14:textId="77777777" w:rsidR="00FA0CFF" w:rsidRPr="004E6A4A" w:rsidRDefault="00144445">
            <w:pPr>
              <w:jc w:val="both"/>
            </w:pPr>
            <w:r w:rsidRPr="004E6A4A">
              <w:rPr>
                <w:rFonts w:ascii="Times New Roman" w:eastAsia="Times New Roman" w:hAnsi="Times New Roman" w:cs="Times New Roman"/>
                <w:sz w:val="20"/>
              </w:rPr>
              <w:t>c) për qëllime të zbatimit të Standardit të Përbashkët të Raportimit, një llogari ose llogari nocionale që përfaqëson të gjitha Produktet e specifikuara të parasë elektronike të mbajtura për përfitimin e një klienti; dhe</w:t>
            </w:r>
          </w:p>
          <w:p w14:paraId="7CE109E0" w14:textId="77777777" w:rsidR="00FA0CFF" w:rsidRPr="004E6A4A" w:rsidRDefault="00144445">
            <w:pPr>
              <w:jc w:val="both"/>
            </w:pPr>
            <w:r w:rsidRPr="004E6A4A">
              <w:rPr>
                <w:rFonts w:ascii="Times New Roman" w:eastAsia="Times New Roman" w:hAnsi="Times New Roman" w:cs="Times New Roman"/>
                <w:sz w:val="20"/>
              </w:rPr>
              <w:t>ç) një llogari që mban një ose më shumë Monedha dixhitale të bankës qendrore për përfitimin e një klienti.</w:t>
            </w:r>
          </w:p>
          <w:p w14:paraId="6044D7D9" w14:textId="77777777" w:rsidR="00FA0CFF" w:rsidRPr="004E6A4A" w:rsidRDefault="00144445">
            <w:pPr>
              <w:jc w:val="both"/>
            </w:pPr>
            <w:r w:rsidRPr="004E6A4A">
              <w:rPr>
                <w:rFonts w:ascii="Times New Roman" w:eastAsia="Times New Roman" w:hAnsi="Times New Roman" w:cs="Times New Roman"/>
                <w:sz w:val="20"/>
              </w:rPr>
              <w:t xml:space="preserve">Të gjitha Paratë Elektronike, për qëllime të zbatimit të rregullave të Bashkimit Evropian, dhe të gjitha Produktet e Specifikuara të Parasë Elektronike, për qëllime të zbatimit të Standardit të Përbashkët të Raportimit, që një njësi ekonomike mban për përfitimin e një klienti konsiderohen së bashku si një llogari depozite e atij klienti. Për qëllime të përcaktimit </w:t>
            </w:r>
            <w:r w:rsidRPr="004E6A4A">
              <w:rPr>
                <w:rFonts w:ascii="Times New Roman" w:eastAsia="Times New Roman" w:hAnsi="Times New Roman" w:cs="Times New Roman"/>
                <w:sz w:val="20"/>
              </w:rPr>
              <w:lastRenderedPageBreak/>
              <w:t>të vlerës së kësaj llogarie depozite, një institucion financiar raportues agregaton vlerën e të gjitha Parave Elektronike, për qëllime të zbatimit të rregullave të Bashkimit Evropian, dhe Produkteve të Specifikuara të Parasë Elektronike, për qëllime të zbatimit të Standardit të Përbashkët të Raportimit, që mbajtësi i llogarisë mban me institucionin financiar raportues.</w:t>
            </w:r>
          </w:p>
          <w:p w14:paraId="4C199B3D" w14:textId="77777777" w:rsidR="00FA0CFF" w:rsidRPr="004E6A4A" w:rsidRDefault="00144445">
            <w:pPr>
              <w:jc w:val="both"/>
            </w:pPr>
            <w:r w:rsidRPr="004E6A4A">
              <w:rPr>
                <w:rFonts w:ascii="Times New Roman" w:eastAsia="Times New Roman" w:hAnsi="Times New Roman" w:cs="Times New Roman"/>
                <w:sz w:val="20"/>
              </w:rPr>
              <w:t>Në mënyrë të ngjashme, çdo marrëveshje përmes së cilës një njësi ekonomike mban Monedhë dixhitale të bankës qendrore për përfitimin e një klienti konsiderohet si një llogari depozite.</w:t>
            </w:r>
          </w:p>
          <w:p w14:paraId="0D655339" w14:textId="77777777" w:rsidR="00FA0CFF" w:rsidRPr="004E6A4A" w:rsidRDefault="00144445">
            <w:pPr>
              <w:jc w:val="both"/>
            </w:pPr>
            <w:r w:rsidRPr="004E6A4A">
              <w:rPr>
                <w:rFonts w:ascii="Times New Roman" w:eastAsia="Times New Roman" w:hAnsi="Times New Roman" w:cs="Times New Roman"/>
                <w:sz w:val="20"/>
              </w:rPr>
              <w:t>Në rastet kur Para Elektronike, për qëllime të zbatimit të rregullave të Bashkimit Evropian, Produkti i Specifikuar i Parasë Elektronike, për qëllime të zbatimit të Standardit të Përbashkët të Raportimit, ose Monedha Dixhitale e Bankës Qendrore është emetuar si kripto-aset, një njësi ekonomike konsiderohet se e mban një aktiv të tillë për përfitimin e një klienti në masën që ruan ose administron instrumentet që mundësojnë kontrollin mbi aktivin, përfshirë çelësat privatë, dhe ka aftësinë për ta menaxhuar, tregtuar ose transferuar aktivin te palë të treta në emër të këtij klienti.</w:t>
            </w:r>
          </w:p>
        </w:tc>
        <w:tc>
          <w:tcPr>
            <w:tcW w:w="1620" w:type="dxa"/>
          </w:tcPr>
          <w:p w14:paraId="0F206373" w14:textId="77777777" w:rsidR="00237B65" w:rsidRPr="004E6A4A" w:rsidRDefault="00237B65" w:rsidP="00C4419F">
            <w:pPr>
              <w:jc w:val="center"/>
              <w:rPr>
                <w:rFonts w:ascii="Times New Roman" w:eastAsia="Calibri" w:hAnsi="Times New Roman" w:cs="Times New Roman"/>
                <w:sz w:val="18"/>
                <w:szCs w:val="18"/>
              </w:rPr>
            </w:pPr>
          </w:p>
          <w:p w14:paraId="12AE0C33" w14:textId="2689CA3E" w:rsidR="000A21ED" w:rsidRPr="004E6A4A" w:rsidRDefault="00237B65"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03365FF1"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Përputhet.</w:t>
            </w:r>
          </w:p>
          <w:p w14:paraId="580B56CC"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Transpozohet nga neni 5, pika 43, i projektligjit.</w:t>
            </w:r>
          </w:p>
        </w:tc>
      </w:tr>
      <w:tr w:rsidR="004E6A4A" w:rsidRPr="004E6A4A" w14:paraId="65A2AA23" w14:textId="77777777" w:rsidTr="00153084">
        <w:trPr>
          <w:trHeight w:val="764"/>
        </w:trPr>
        <w:tc>
          <w:tcPr>
            <w:tcW w:w="630" w:type="dxa"/>
          </w:tcPr>
          <w:p w14:paraId="4F18DB29" w14:textId="77777777" w:rsidR="000A21ED" w:rsidRPr="004E6A4A" w:rsidRDefault="000A21ED" w:rsidP="00C4419F">
            <w:pPr>
              <w:jc w:val="center"/>
              <w:rPr>
                <w:rFonts w:ascii="Times New Roman" w:eastAsia="Calibri" w:hAnsi="Times New Roman" w:cs="Times New Roman"/>
                <w:i/>
                <w:sz w:val="18"/>
                <w:szCs w:val="18"/>
              </w:rPr>
            </w:pPr>
          </w:p>
        </w:tc>
        <w:tc>
          <w:tcPr>
            <w:tcW w:w="4230" w:type="dxa"/>
          </w:tcPr>
          <w:p w14:paraId="460DBD6F"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3.</w:t>
            </w:r>
            <w:r w:rsidRPr="004E6A4A">
              <w:rPr>
                <w:rFonts w:ascii="Times New Roman" w:eastAsia="Times New Roman" w:hAnsi="Times New Roman" w:cs="Times New Roman"/>
                <w:sz w:val="20"/>
                <w:szCs w:val="20"/>
              </w:rPr>
              <w:tab/>
              <w:t>Termi “Llogari Kujdestarie” nënkupton një llogari (të ndryshme nga një Kontratë Sigurimi ose Kontratë Pensioni Vjetor) që mban një ose më shumë Aktive Financiare për llogari të një personi tjetër.</w:t>
            </w:r>
          </w:p>
        </w:tc>
        <w:tc>
          <w:tcPr>
            <w:tcW w:w="1350" w:type="dxa"/>
          </w:tcPr>
          <w:p w14:paraId="1C049653" w14:textId="77777777" w:rsidR="000A21ED" w:rsidRPr="004E6A4A" w:rsidRDefault="000A21ED" w:rsidP="00C4419F">
            <w:pPr>
              <w:jc w:val="center"/>
              <w:rPr>
                <w:rFonts w:ascii="Times New Roman" w:eastAsia="Calibri" w:hAnsi="Times New Roman" w:cs="Times New Roman"/>
                <w:sz w:val="18"/>
                <w:szCs w:val="18"/>
              </w:rPr>
            </w:pPr>
          </w:p>
        </w:tc>
        <w:tc>
          <w:tcPr>
            <w:tcW w:w="810" w:type="dxa"/>
          </w:tcPr>
          <w:p w14:paraId="7707B2EF" w14:textId="77777777" w:rsidR="000A21ED" w:rsidRPr="004E6A4A" w:rsidRDefault="000A21ED" w:rsidP="00C4419F">
            <w:pPr>
              <w:jc w:val="center"/>
              <w:rPr>
                <w:rFonts w:ascii="Times New Roman" w:eastAsia="Times New Roman" w:hAnsi="Times New Roman" w:cs="Times New Roman"/>
                <w:sz w:val="20"/>
                <w:szCs w:val="21"/>
                <w:lang w:eastAsia="sq-AL"/>
              </w:rPr>
            </w:pPr>
          </w:p>
        </w:tc>
        <w:tc>
          <w:tcPr>
            <w:tcW w:w="4590" w:type="dxa"/>
          </w:tcPr>
          <w:p w14:paraId="18291655" w14:textId="77777777" w:rsidR="00FA0CFF" w:rsidRPr="004E6A4A" w:rsidRDefault="00144445">
            <w:pPr>
              <w:jc w:val="center"/>
            </w:pPr>
            <w:r w:rsidRPr="004E6A4A">
              <w:rPr>
                <w:rFonts w:ascii="Times New Roman" w:eastAsia="Times New Roman" w:hAnsi="Times New Roman" w:cs="Times New Roman"/>
                <w:b/>
                <w:sz w:val="20"/>
              </w:rPr>
              <w:t>Ligji: Neni 5</w:t>
            </w:r>
          </w:p>
          <w:p w14:paraId="7B4A6788" w14:textId="77777777" w:rsidR="00FA0CFF" w:rsidRPr="004E6A4A" w:rsidRDefault="00144445">
            <w:pPr>
              <w:jc w:val="center"/>
            </w:pPr>
            <w:r w:rsidRPr="004E6A4A">
              <w:rPr>
                <w:rFonts w:ascii="Times New Roman" w:eastAsia="Times New Roman" w:hAnsi="Times New Roman" w:cs="Times New Roman"/>
                <w:b/>
                <w:sz w:val="20"/>
              </w:rPr>
              <w:t>Përkufizime</w:t>
            </w:r>
          </w:p>
          <w:p w14:paraId="7072D67F" w14:textId="77777777" w:rsidR="00FA0CFF" w:rsidRPr="004E6A4A" w:rsidRDefault="00144445">
            <w:pPr>
              <w:jc w:val="both"/>
            </w:pPr>
            <w:r w:rsidRPr="004E6A4A">
              <w:rPr>
                <w:rFonts w:ascii="Times New Roman" w:eastAsia="Times New Roman" w:hAnsi="Times New Roman" w:cs="Times New Roman"/>
                <w:sz w:val="20"/>
              </w:rPr>
              <w:t>50. “Llogari kujdestarie” është një llogari, e ndryshme nga kontratat e sigurimit ose kontratat e pensionit vjetor, që mban një ose më shumë aktive financiare në përfitim të një personi tjetër. Një marrëveshje për mbajtjen ose administrimin e instrumentit që mundëson kontrollin mbi një ose më shumë aktive financiare të lëshuara në formën e një kriptoaseti, për përfitimin e një personi tjetër, është gjithashtu një llogari kujdestarie, në masën që njësia ekonomike ka aftësinë të menaxhojë, të tregtojë ose të transferojë te palët e treta këto aktive financiare bazë për llogari të personit.</w:t>
            </w:r>
          </w:p>
        </w:tc>
        <w:tc>
          <w:tcPr>
            <w:tcW w:w="1620" w:type="dxa"/>
          </w:tcPr>
          <w:p w14:paraId="1CB46DEB" w14:textId="77777777" w:rsidR="00237B65" w:rsidRPr="004E6A4A" w:rsidRDefault="00237B65" w:rsidP="00C4419F">
            <w:pPr>
              <w:jc w:val="center"/>
              <w:rPr>
                <w:rFonts w:ascii="Times New Roman" w:eastAsia="Calibri" w:hAnsi="Times New Roman" w:cs="Times New Roman"/>
                <w:sz w:val="18"/>
                <w:szCs w:val="18"/>
              </w:rPr>
            </w:pPr>
          </w:p>
          <w:p w14:paraId="2ACEDE1B" w14:textId="784C2856" w:rsidR="000A21ED" w:rsidRPr="004E6A4A" w:rsidRDefault="00237B65"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009BBD5A"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Përputhet.</w:t>
            </w:r>
          </w:p>
          <w:p w14:paraId="71BBD8DE"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Transpozohet nga neni 5, pika 50, i projektligjit.</w:t>
            </w:r>
          </w:p>
        </w:tc>
      </w:tr>
      <w:tr w:rsidR="004E6A4A" w:rsidRPr="004E6A4A" w14:paraId="5074CA57" w14:textId="77777777" w:rsidTr="00153084">
        <w:trPr>
          <w:trHeight w:val="764"/>
        </w:trPr>
        <w:tc>
          <w:tcPr>
            <w:tcW w:w="630" w:type="dxa"/>
          </w:tcPr>
          <w:p w14:paraId="2C65EC8A" w14:textId="77777777" w:rsidR="000A21ED" w:rsidRPr="004E6A4A" w:rsidRDefault="000A21ED" w:rsidP="00C4419F">
            <w:pPr>
              <w:jc w:val="center"/>
              <w:rPr>
                <w:rFonts w:ascii="Times New Roman" w:eastAsia="Calibri" w:hAnsi="Times New Roman" w:cs="Times New Roman"/>
                <w:i/>
                <w:sz w:val="18"/>
                <w:szCs w:val="18"/>
              </w:rPr>
            </w:pPr>
          </w:p>
        </w:tc>
        <w:tc>
          <w:tcPr>
            <w:tcW w:w="4230" w:type="dxa"/>
          </w:tcPr>
          <w:p w14:paraId="4E7BBF2D"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4.</w:t>
            </w:r>
            <w:r w:rsidRPr="004E6A4A">
              <w:rPr>
                <w:rFonts w:ascii="Times New Roman" w:eastAsia="Times New Roman" w:hAnsi="Times New Roman" w:cs="Times New Roman"/>
                <w:sz w:val="20"/>
                <w:szCs w:val="20"/>
              </w:rPr>
              <w:tab/>
              <w:t>Termi “Interes në Kapital” nënkupton, në rastin e një partneriteti që është Institucion Financiar, një interes në kapitalin ose në fitimet e partneritetit. Në rastin e një trusti që është Institucion Financiar, një Interes në Kapital konsiderohet se mbahet nga çdo person që trajtohet si themelues ose përfitues i të gjithë trustit ose i një pjese të tij, ose nga çdo person tjetër fizik që ushtron kontroll efektiv përfundimtar mbi trustin. Një Person i Raportueshëm trajtohet si përfitues i një trusti nëse ky Person i Raportueshëm ka të drejtë të marrë drejtpërdrejt ose tërthorazi (për shembull, nëpërmjet një të emëruari) një shpërndarje të detyrueshme ose mund të marrë, drejtpërdrejt ose tërthorazi, një shpërndarje diskrecionale nga trusti.</w:t>
            </w:r>
          </w:p>
        </w:tc>
        <w:tc>
          <w:tcPr>
            <w:tcW w:w="1350" w:type="dxa"/>
          </w:tcPr>
          <w:p w14:paraId="1C1D4221" w14:textId="77777777" w:rsidR="000A21ED" w:rsidRPr="004E6A4A" w:rsidRDefault="000A21ED" w:rsidP="00C4419F">
            <w:pPr>
              <w:jc w:val="center"/>
              <w:rPr>
                <w:rFonts w:ascii="Times New Roman" w:eastAsia="Calibri" w:hAnsi="Times New Roman" w:cs="Times New Roman"/>
                <w:sz w:val="18"/>
                <w:szCs w:val="18"/>
              </w:rPr>
            </w:pPr>
          </w:p>
        </w:tc>
        <w:tc>
          <w:tcPr>
            <w:tcW w:w="810" w:type="dxa"/>
          </w:tcPr>
          <w:p w14:paraId="297EA10A" w14:textId="77777777" w:rsidR="000A21ED" w:rsidRPr="004E6A4A" w:rsidRDefault="000A21ED" w:rsidP="00C4419F">
            <w:pPr>
              <w:jc w:val="center"/>
              <w:rPr>
                <w:rFonts w:ascii="Times New Roman" w:eastAsia="Times New Roman" w:hAnsi="Times New Roman" w:cs="Times New Roman"/>
                <w:sz w:val="20"/>
                <w:szCs w:val="21"/>
                <w:lang w:eastAsia="sq-AL"/>
              </w:rPr>
            </w:pPr>
          </w:p>
        </w:tc>
        <w:tc>
          <w:tcPr>
            <w:tcW w:w="4590" w:type="dxa"/>
          </w:tcPr>
          <w:p w14:paraId="7C61F065" w14:textId="77777777" w:rsidR="00FA0CFF" w:rsidRPr="004E6A4A" w:rsidRDefault="00144445">
            <w:pPr>
              <w:jc w:val="center"/>
            </w:pPr>
            <w:r w:rsidRPr="004E6A4A">
              <w:rPr>
                <w:rFonts w:ascii="Times New Roman" w:eastAsia="Times New Roman" w:hAnsi="Times New Roman" w:cs="Times New Roman"/>
                <w:b/>
                <w:sz w:val="20"/>
              </w:rPr>
              <w:t>Ligji: Neni 5</w:t>
            </w:r>
          </w:p>
          <w:p w14:paraId="545044BB" w14:textId="77777777" w:rsidR="00FA0CFF" w:rsidRPr="004E6A4A" w:rsidRDefault="00144445">
            <w:pPr>
              <w:jc w:val="center"/>
            </w:pPr>
            <w:r w:rsidRPr="004E6A4A">
              <w:rPr>
                <w:rFonts w:ascii="Times New Roman" w:eastAsia="Times New Roman" w:hAnsi="Times New Roman" w:cs="Times New Roman"/>
                <w:b/>
                <w:sz w:val="20"/>
              </w:rPr>
              <w:t>Përkufizime</w:t>
            </w:r>
          </w:p>
          <w:p w14:paraId="2669A575" w14:textId="77777777" w:rsidR="00FA0CFF" w:rsidRPr="004E6A4A" w:rsidRDefault="00144445">
            <w:pPr>
              <w:jc w:val="both"/>
            </w:pPr>
            <w:r w:rsidRPr="004E6A4A">
              <w:rPr>
                <w:rFonts w:ascii="Times New Roman" w:eastAsia="Times New Roman" w:hAnsi="Times New Roman" w:cs="Times New Roman"/>
                <w:sz w:val="20"/>
              </w:rPr>
              <w:t>36. “Interes në kapital” në rastin e një partneriteti që është institucion financiar është interesi në kapital ose interesi në përfitimet e partneritetit.</w:t>
            </w:r>
          </w:p>
          <w:p w14:paraId="3DFD4615" w14:textId="77777777" w:rsidR="00FA0CFF" w:rsidRPr="004E6A4A" w:rsidRDefault="00144445">
            <w:pPr>
              <w:jc w:val="both"/>
            </w:pPr>
            <w:r w:rsidRPr="004E6A4A">
              <w:rPr>
                <w:rFonts w:ascii="Times New Roman" w:eastAsia="Times New Roman" w:hAnsi="Times New Roman" w:cs="Times New Roman"/>
                <w:sz w:val="20"/>
              </w:rPr>
              <w:t>Në rastin e një trusti që është institucion financiar, interesi në kapital konsiderohet se mbahet nga çdo person që trajtohet si krijuesi ose përfituesi i të gjithë ose i një pjese të trustit, ose nga çdo person tjetër fizik që ushtron kontroll efektiv përfundimtar mbi trustin.</w:t>
            </w:r>
          </w:p>
          <w:p w14:paraId="38765F88" w14:textId="77777777" w:rsidR="00FA0CFF" w:rsidRPr="004E6A4A" w:rsidRDefault="00144445">
            <w:pPr>
              <w:jc w:val="both"/>
            </w:pPr>
            <w:r w:rsidRPr="004E6A4A">
              <w:rPr>
                <w:rFonts w:ascii="Times New Roman" w:eastAsia="Times New Roman" w:hAnsi="Times New Roman" w:cs="Times New Roman"/>
                <w:sz w:val="20"/>
              </w:rPr>
              <w:t>Një person i raportueshëm trajtohet si përfitues i një trusti nëse ky person ka të drejtë të marrë, drejtpërdrejt ose tërthorazi, për shembull nëpërmjet një nominee, një shpërndarje të detyrueshme ose mund të marrë, drejtpërdrejt ose tërthorazi, një shpërndarje diskrecionare nga trusti.</w:t>
            </w:r>
          </w:p>
        </w:tc>
        <w:tc>
          <w:tcPr>
            <w:tcW w:w="1620" w:type="dxa"/>
          </w:tcPr>
          <w:p w14:paraId="23F4C038" w14:textId="77777777" w:rsidR="00237B65" w:rsidRPr="004E6A4A" w:rsidRDefault="00237B65" w:rsidP="00C4419F">
            <w:pPr>
              <w:jc w:val="center"/>
              <w:rPr>
                <w:rFonts w:ascii="Times New Roman" w:eastAsia="Calibri" w:hAnsi="Times New Roman" w:cs="Times New Roman"/>
                <w:sz w:val="18"/>
                <w:szCs w:val="18"/>
              </w:rPr>
            </w:pPr>
          </w:p>
          <w:p w14:paraId="3E8A4C03" w14:textId="70A5CEA0" w:rsidR="000A21ED" w:rsidRPr="004E6A4A" w:rsidRDefault="00237B65"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303BBE52"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Përputhet.</w:t>
            </w:r>
          </w:p>
          <w:p w14:paraId="7F01286D"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Transpozohet nga neni 5, pika 36, i projektligjit.</w:t>
            </w:r>
          </w:p>
        </w:tc>
      </w:tr>
      <w:tr w:rsidR="004E6A4A" w:rsidRPr="004E6A4A" w14:paraId="1BAB0A12" w14:textId="77777777" w:rsidTr="00153084">
        <w:trPr>
          <w:trHeight w:val="764"/>
        </w:trPr>
        <w:tc>
          <w:tcPr>
            <w:tcW w:w="630" w:type="dxa"/>
          </w:tcPr>
          <w:p w14:paraId="2B834AFE" w14:textId="77777777" w:rsidR="000A21ED" w:rsidRPr="004E6A4A" w:rsidRDefault="000A21ED" w:rsidP="00C4419F">
            <w:pPr>
              <w:jc w:val="center"/>
              <w:rPr>
                <w:rFonts w:ascii="Times New Roman" w:eastAsia="Calibri" w:hAnsi="Times New Roman" w:cs="Times New Roman"/>
                <w:i/>
                <w:sz w:val="18"/>
                <w:szCs w:val="18"/>
              </w:rPr>
            </w:pPr>
          </w:p>
        </w:tc>
        <w:tc>
          <w:tcPr>
            <w:tcW w:w="4230" w:type="dxa"/>
          </w:tcPr>
          <w:p w14:paraId="6A78D93A"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5.</w:t>
            </w:r>
            <w:r w:rsidRPr="004E6A4A">
              <w:rPr>
                <w:rFonts w:ascii="Times New Roman" w:eastAsia="Times New Roman" w:hAnsi="Times New Roman" w:cs="Times New Roman"/>
                <w:sz w:val="20"/>
                <w:szCs w:val="20"/>
              </w:rPr>
              <w:tab/>
              <w:t>Termi “Kontratë Sigurimi” nënkupton një kontratë (të ndryshme nga një Kontratë Pensioni Vjetor) sipas së cilës emetuesi bie dakord të paguajë një shumë me ndodhjen e një rasti të specifikuar që përfshin rrezikun e vdekjes, sëmundjes, aksidentit, përgjegjësisë ose pronës.</w:t>
            </w:r>
          </w:p>
        </w:tc>
        <w:tc>
          <w:tcPr>
            <w:tcW w:w="1350" w:type="dxa"/>
          </w:tcPr>
          <w:p w14:paraId="5493D94A" w14:textId="77777777" w:rsidR="000A21ED" w:rsidRPr="004E6A4A" w:rsidRDefault="000A21ED" w:rsidP="00C4419F">
            <w:pPr>
              <w:jc w:val="center"/>
              <w:rPr>
                <w:rFonts w:ascii="Times New Roman" w:eastAsia="Calibri" w:hAnsi="Times New Roman" w:cs="Times New Roman"/>
                <w:sz w:val="18"/>
                <w:szCs w:val="18"/>
              </w:rPr>
            </w:pPr>
          </w:p>
        </w:tc>
        <w:tc>
          <w:tcPr>
            <w:tcW w:w="810" w:type="dxa"/>
          </w:tcPr>
          <w:p w14:paraId="4703D5D5" w14:textId="77777777" w:rsidR="000A21ED" w:rsidRPr="004E6A4A" w:rsidRDefault="000A21ED" w:rsidP="00C4419F">
            <w:pPr>
              <w:jc w:val="center"/>
              <w:rPr>
                <w:rFonts w:ascii="Times New Roman" w:eastAsia="Times New Roman" w:hAnsi="Times New Roman" w:cs="Times New Roman"/>
                <w:sz w:val="20"/>
                <w:szCs w:val="21"/>
                <w:lang w:eastAsia="sq-AL"/>
              </w:rPr>
            </w:pPr>
          </w:p>
        </w:tc>
        <w:tc>
          <w:tcPr>
            <w:tcW w:w="4590" w:type="dxa"/>
          </w:tcPr>
          <w:p w14:paraId="39327B2F" w14:textId="77777777" w:rsidR="00FA0CFF" w:rsidRPr="004E6A4A" w:rsidRDefault="00144445">
            <w:pPr>
              <w:jc w:val="center"/>
            </w:pPr>
            <w:r w:rsidRPr="004E6A4A">
              <w:rPr>
                <w:rFonts w:ascii="Times New Roman" w:eastAsia="Times New Roman" w:hAnsi="Times New Roman" w:cs="Times New Roman"/>
                <w:b/>
                <w:sz w:val="20"/>
              </w:rPr>
              <w:t>Ligji: Neni 5</w:t>
            </w:r>
          </w:p>
          <w:p w14:paraId="60AC903D" w14:textId="77777777" w:rsidR="00FA0CFF" w:rsidRPr="004E6A4A" w:rsidRDefault="00144445">
            <w:pPr>
              <w:jc w:val="center"/>
            </w:pPr>
            <w:r w:rsidRPr="004E6A4A">
              <w:rPr>
                <w:rFonts w:ascii="Times New Roman" w:eastAsia="Times New Roman" w:hAnsi="Times New Roman" w:cs="Times New Roman"/>
                <w:b/>
                <w:sz w:val="20"/>
              </w:rPr>
              <w:t>Përkufizime</w:t>
            </w:r>
          </w:p>
          <w:p w14:paraId="57267004" w14:textId="77777777" w:rsidR="00FA0CFF" w:rsidRPr="004E6A4A" w:rsidRDefault="00144445">
            <w:pPr>
              <w:jc w:val="both"/>
            </w:pPr>
            <w:r w:rsidRPr="004E6A4A">
              <w:rPr>
                <w:rFonts w:ascii="Times New Roman" w:eastAsia="Times New Roman" w:hAnsi="Times New Roman" w:cs="Times New Roman"/>
                <w:sz w:val="20"/>
              </w:rPr>
              <w:t>41. “Kontratë sigurimi” është një kontratë, e ndryshme nga kontrata e pensionit vjetor, sipas së cilës emetuesi bie dakord të paguajë një shumë të caktuar pas ndodhjes së një kontingjence specifike që përfshin vdekjen, sëmundshmërinë, aksidentin, detyrimin ose riskun e pronës.</w:t>
            </w:r>
          </w:p>
          <w:p w14:paraId="78A42CF4" w14:textId="77777777" w:rsidR="00FA0CFF" w:rsidRPr="004E6A4A" w:rsidRDefault="00FA0CFF"/>
          <w:p w14:paraId="313CCE18" w14:textId="1468EAF9" w:rsidR="00FA0CFF" w:rsidRPr="004E6A4A" w:rsidRDefault="00FA0CFF">
            <w:pPr>
              <w:jc w:val="both"/>
            </w:pPr>
          </w:p>
        </w:tc>
        <w:tc>
          <w:tcPr>
            <w:tcW w:w="1620" w:type="dxa"/>
          </w:tcPr>
          <w:p w14:paraId="74D54387" w14:textId="77777777" w:rsidR="00237B65" w:rsidRPr="004E6A4A" w:rsidRDefault="00237B65" w:rsidP="00C4419F">
            <w:pPr>
              <w:jc w:val="center"/>
              <w:rPr>
                <w:rFonts w:ascii="Times New Roman" w:eastAsia="Calibri" w:hAnsi="Times New Roman" w:cs="Times New Roman"/>
                <w:sz w:val="18"/>
                <w:szCs w:val="18"/>
              </w:rPr>
            </w:pPr>
          </w:p>
          <w:p w14:paraId="1FEE4E9F" w14:textId="31E9E3CF" w:rsidR="000A21ED" w:rsidRPr="004E6A4A" w:rsidRDefault="00237B65"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04BB3C6C"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Përputhet.</w:t>
            </w:r>
          </w:p>
          <w:p w14:paraId="1E09BC93"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Transpozohet nga neni 5, pika 41, i projektligjit.</w:t>
            </w:r>
          </w:p>
        </w:tc>
      </w:tr>
      <w:tr w:rsidR="004E6A4A" w:rsidRPr="004E6A4A" w14:paraId="34B5756E" w14:textId="77777777" w:rsidTr="00153084">
        <w:trPr>
          <w:trHeight w:val="764"/>
        </w:trPr>
        <w:tc>
          <w:tcPr>
            <w:tcW w:w="630" w:type="dxa"/>
          </w:tcPr>
          <w:p w14:paraId="0BAE0E2A" w14:textId="77777777" w:rsidR="000A21ED" w:rsidRPr="004E6A4A" w:rsidRDefault="000A21ED" w:rsidP="00C4419F">
            <w:pPr>
              <w:jc w:val="center"/>
              <w:rPr>
                <w:rFonts w:ascii="Times New Roman" w:eastAsia="Calibri" w:hAnsi="Times New Roman" w:cs="Times New Roman"/>
                <w:i/>
                <w:sz w:val="18"/>
                <w:szCs w:val="18"/>
              </w:rPr>
            </w:pPr>
          </w:p>
        </w:tc>
        <w:tc>
          <w:tcPr>
            <w:tcW w:w="4230" w:type="dxa"/>
          </w:tcPr>
          <w:p w14:paraId="769415DC"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6.</w:t>
            </w:r>
            <w:r w:rsidRPr="004E6A4A">
              <w:rPr>
                <w:rFonts w:ascii="Times New Roman" w:eastAsia="Times New Roman" w:hAnsi="Times New Roman" w:cs="Times New Roman"/>
                <w:sz w:val="20"/>
                <w:szCs w:val="20"/>
              </w:rPr>
              <w:tab/>
              <w:t xml:space="preserve">Termi “Kontratë Pensioni Vjetor” nënkupton një kontratë sipas së cilës emetuesi bie dakord të kryejë pagesa për një periudhë kohe të përcaktuar tërësisht ose pjesërisht me referencë në jetëgjatësinë e pritshme të një ose më shumë individëve. Termi përfshin gjithashtu një kontratë që konsiderohet Kontratë Pensioni Vjetor në përputhje me ligjin, rregulloren ose praktikën e shtetit anëtar ose të juridiksionit tjetër në të cilin është lëshuar kontrata dhe sipas së cilës emetuesi </w:t>
            </w:r>
            <w:r w:rsidRPr="004E6A4A">
              <w:rPr>
                <w:rFonts w:ascii="Times New Roman" w:eastAsia="Times New Roman" w:hAnsi="Times New Roman" w:cs="Times New Roman"/>
                <w:sz w:val="20"/>
                <w:szCs w:val="20"/>
              </w:rPr>
              <w:lastRenderedPageBreak/>
              <w:t>bie dakord të kryejë pagesa për një periudhë vitesh.</w:t>
            </w:r>
          </w:p>
        </w:tc>
        <w:tc>
          <w:tcPr>
            <w:tcW w:w="1350" w:type="dxa"/>
          </w:tcPr>
          <w:p w14:paraId="5EEDB70C" w14:textId="77777777" w:rsidR="000A21ED" w:rsidRPr="004E6A4A" w:rsidRDefault="000A21ED" w:rsidP="00C4419F">
            <w:pPr>
              <w:jc w:val="center"/>
              <w:rPr>
                <w:rFonts w:ascii="Times New Roman" w:eastAsia="Calibri" w:hAnsi="Times New Roman" w:cs="Times New Roman"/>
                <w:sz w:val="18"/>
                <w:szCs w:val="18"/>
              </w:rPr>
            </w:pPr>
          </w:p>
        </w:tc>
        <w:tc>
          <w:tcPr>
            <w:tcW w:w="810" w:type="dxa"/>
          </w:tcPr>
          <w:p w14:paraId="6094344E" w14:textId="77777777" w:rsidR="000A21ED" w:rsidRPr="004E6A4A" w:rsidRDefault="000A21ED" w:rsidP="00C4419F">
            <w:pPr>
              <w:jc w:val="center"/>
              <w:rPr>
                <w:rFonts w:ascii="Times New Roman" w:eastAsia="Times New Roman" w:hAnsi="Times New Roman" w:cs="Times New Roman"/>
                <w:sz w:val="20"/>
                <w:szCs w:val="21"/>
                <w:lang w:eastAsia="sq-AL"/>
              </w:rPr>
            </w:pPr>
          </w:p>
        </w:tc>
        <w:tc>
          <w:tcPr>
            <w:tcW w:w="4590" w:type="dxa"/>
          </w:tcPr>
          <w:p w14:paraId="2A179D8C" w14:textId="77777777" w:rsidR="00FA0CFF" w:rsidRPr="004E6A4A" w:rsidRDefault="00144445">
            <w:pPr>
              <w:jc w:val="center"/>
            </w:pPr>
            <w:r w:rsidRPr="004E6A4A">
              <w:rPr>
                <w:rFonts w:ascii="Times New Roman" w:eastAsia="Times New Roman" w:hAnsi="Times New Roman" w:cs="Times New Roman"/>
                <w:b/>
                <w:sz w:val="20"/>
              </w:rPr>
              <w:t>Ligji: Neni 5</w:t>
            </w:r>
          </w:p>
          <w:p w14:paraId="6703CAD0" w14:textId="77777777" w:rsidR="00FA0CFF" w:rsidRPr="004E6A4A" w:rsidRDefault="00144445">
            <w:pPr>
              <w:jc w:val="center"/>
            </w:pPr>
            <w:r w:rsidRPr="004E6A4A">
              <w:rPr>
                <w:rFonts w:ascii="Times New Roman" w:eastAsia="Times New Roman" w:hAnsi="Times New Roman" w:cs="Times New Roman"/>
                <w:b/>
                <w:sz w:val="20"/>
              </w:rPr>
              <w:t>Përkufizime</w:t>
            </w:r>
          </w:p>
          <w:p w14:paraId="17888E4B" w14:textId="77777777" w:rsidR="00FA0CFF" w:rsidRPr="004E6A4A" w:rsidRDefault="00144445">
            <w:pPr>
              <w:jc w:val="both"/>
            </w:pPr>
            <w:r w:rsidRPr="004E6A4A">
              <w:rPr>
                <w:rFonts w:ascii="Times New Roman" w:eastAsia="Times New Roman" w:hAnsi="Times New Roman" w:cs="Times New Roman"/>
                <w:sz w:val="20"/>
              </w:rPr>
              <w:t xml:space="preserve">40. “Kontratë pensioni vjetor” është një kontratë sipas së cilës emetuesi bie dakord të kryejë pagesa për një periudhë kohore të përcaktuar plotësisht ose pjesërisht, duke iu referuar jetëgjatësisë së një ose më shumë individëve. Termi përfshin gjithashtu një kontratë që konsiderohet të jetë kontratë pensioni vjetor në përputhje me ligjet, rregulloret ose praktikat e juridiksionit në të cilin kontrata është lëshuar dhe sipas </w:t>
            </w:r>
            <w:r w:rsidRPr="004E6A4A">
              <w:rPr>
                <w:rFonts w:ascii="Times New Roman" w:eastAsia="Times New Roman" w:hAnsi="Times New Roman" w:cs="Times New Roman"/>
                <w:sz w:val="20"/>
              </w:rPr>
              <w:lastRenderedPageBreak/>
              <w:t>së cilës emetuesi bie dakord të kryejë pagesa për një numër të caktuar vitesh.</w:t>
            </w:r>
          </w:p>
        </w:tc>
        <w:tc>
          <w:tcPr>
            <w:tcW w:w="1620" w:type="dxa"/>
          </w:tcPr>
          <w:p w14:paraId="6981C184" w14:textId="77777777" w:rsidR="00237B65" w:rsidRPr="004E6A4A" w:rsidRDefault="00237B65" w:rsidP="00C4419F">
            <w:pPr>
              <w:jc w:val="center"/>
              <w:rPr>
                <w:rFonts w:ascii="Times New Roman" w:eastAsia="Calibri" w:hAnsi="Times New Roman" w:cs="Times New Roman"/>
                <w:sz w:val="18"/>
                <w:szCs w:val="18"/>
              </w:rPr>
            </w:pPr>
          </w:p>
          <w:p w14:paraId="22D5BF0A" w14:textId="0BB9947A" w:rsidR="000A21ED" w:rsidRPr="004E6A4A" w:rsidRDefault="00237B65"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6CC788F8"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Përputhet.</w:t>
            </w:r>
          </w:p>
          <w:p w14:paraId="3DDE7500"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Transpozohet nga neni 5, pika 40, i projektligjit.</w:t>
            </w:r>
          </w:p>
        </w:tc>
      </w:tr>
      <w:tr w:rsidR="004E6A4A" w:rsidRPr="004E6A4A" w14:paraId="3ABF1F34" w14:textId="77777777" w:rsidTr="00153084">
        <w:trPr>
          <w:trHeight w:val="764"/>
        </w:trPr>
        <w:tc>
          <w:tcPr>
            <w:tcW w:w="630" w:type="dxa"/>
          </w:tcPr>
          <w:p w14:paraId="3066CA83" w14:textId="77777777" w:rsidR="000A21ED" w:rsidRPr="004E6A4A" w:rsidRDefault="000A21ED" w:rsidP="00C4419F">
            <w:pPr>
              <w:jc w:val="center"/>
              <w:rPr>
                <w:rFonts w:ascii="Times New Roman" w:eastAsia="Calibri" w:hAnsi="Times New Roman" w:cs="Times New Roman"/>
                <w:i/>
                <w:sz w:val="18"/>
                <w:szCs w:val="18"/>
              </w:rPr>
            </w:pPr>
          </w:p>
        </w:tc>
        <w:tc>
          <w:tcPr>
            <w:tcW w:w="4230" w:type="dxa"/>
          </w:tcPr>
          <w:p w14:paraId="1A3B51DA"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7.</w:t>
            </w:r>
            <w:r w:rsidRPr="004E6A4A">
              <w:rPr>
                <w:rFonts w:ascii="Times New Roman" w:eastAsia="Times New Roman" w:hAnsi="Times New Roman" w:cs="Times New Roman"/>
                <w:sz w:val="20"/>
                <w:szCs w:val="20"/>
              </w:rPr>
              <w:tab/>
              <w:t>Termi “Kontratë Sigurimi në Vlerë në Para të Gatshme” nënkupton një Kontratë Sigurimi (të ndryshme nga një kontratë risigurimi dëmshpërblimi ndërmjet dy shoqërive të sigurimit) që ka Vlerë në Para të Gatshme.</w:t>
            </w:r>
          </w:p>
        </w:tc>
        <w:tc>
          <w:tcPr>
            <w:tcW w:w="1350" w:type="dxa"/>
          </w:tcPr>
          <w:p w14:paraId="61FFB6C3" w14:textId="77777777" w:rsidR="000A21ED" w:rsidRPr="004E6A4A" w:rsidRDefault="000A21ED" w:rsidP="00C4419F">
            <w:pPr>
              <w:jc w:val="center"/>
              <w:rPr>
                <w:rFonts w:ascii="Times New Roman" w:eastAsia="Calibri" w:hAnsi="Times New Roman" w:cs="Times New Roman"/>
                <w:sz w:val="18"/>
                <w:szCs w:val="18"/>
              </w:rPr>
            </w:pPr>
          </w:p>
        </w:tc>
        <w:tc>
          <w:tcPr>
            <w:tcW w:w="810" w:type="dxa"/>
          </w:tcPr>
          <w:p w14:paraId="2A13346D" w14:textId="77777777" w:rsidR="000A21ED" w:rsidRPr="004E6A4A" w:rsidRDefault="000A21ED" w:rsidP="00C4419F">
            <w:pPr>
              <w:jc w:val="center"/>
              <w:rPr>
                <w:rFonts w:ascii="Times New Roman" w:eastAsia="Times New Roman" w:hAnsi="Times New Roman" w:cs="Times New Roman"/>
                <w:sz w:val="20"/>
                <w:szCs w:val="21"/>
                <w:lang w:eastAsia="sq-AL"/>
              </w:rPr>
            </w:pPr>
          </w:p>
        </w:tc>
        <w:tc>
          <w:tcPr>
            <w:tcW w:w="4590" w:type="dxa"/>
          </w:tcPr>
          <w:p w14:paraId="70BFCB4B" w14:textId="77777777" w:rsidR="00FA0CFF" w:rsidRPr="004E6A4A" w:rsidRDefault="00144445">
            <w:pPr>
              <w:jc w:val="center"/>
            </w:pPr>
            <w:r w:rsidRPr="004E6A4A">
              <w:rPr>
                <w:rFonts w:ascii="Times New Roman" w:eastAsia="Times New Roman" w:hAnsi="Times New Roman" w:cs="Times New Roman"/>
                <w:b/>
                <w:sz w:val="20"/>
              </w:rPr>
              <w:t>Ligji: Neni 5</w:t>
            </w:r>
          </w:p>
          <w:p w14:paraId="08E6F7CE" w14:textId="77777777" w:rsidR="00FA0CFF" w:rsidRPr="004E6A4A" w:rsidRDefault="00144445">
            <w:pPr>
              <w:jc w:val="center"/>
            </w:pPr>
            <w:r w:rsidRPr="004E6A4A">
              <w:rPr>
                <w:rFonts w:ascii="Times New Roman" w:eastAsia="Times New Roman" w:hAnsi="Times New Roman" w:cs="Times New Roman"/>
                <w:b/>
                <w:sz w:val="20"/>
              </w:rPr>
              <w:t>Përkufizime</w:t>
            </w:r>
          </w:p>
          <w:p w14:paraId="1FBD618B" w14:textId="77777777" w:rsidR="00FA0CFF" w:rsidRPr="004E6A4A" w:rsidRDefault="00144445">
            <w:pPr>
              <w:jc w:val="both"/>
            </w:pPr>
            <w:r w:rsidRPr="004E6A4A">
              <w:rPr>
                <w:rFonts w:ascii="Times New Roman" w:eastAsia="Times New Roman" w:hAnsi="Times New Roman" w:cs="Times New Roman"/>
                <w:sz w:val="20"/>
              </w:rPr>
              <w:t>39. “Kontratë sigurimi në vlerë në para të gatshme” është një kontratë sigurimi, e ndryshme nga kontrata e risigurimit ndërmjet dy shoqërive të sigurimit, që ka një vlerë në para të gatshme.</w:t>
            </w:r>
          </w:p>
        </w:tc>
        <w:tc>
          <w:tcPr>
            <w:tcW w:w="1620" w:type="dxa"/>
          </w:tcPr>
          <w:p w14:paraId="5DE8DE6E" w14:textId="77777777" w:rsidR="00BC33AD" w:rsidRPr="004E6A4A" w:rsidRDefault="00BC33AD" w:rsidP="00C4419F">
            <w:pPr>
              <w:jc w:val="center"/>
              <w:rPr>
                <w:rFonts w:ascii="Times New Roman" w:eastAsia="Calibri" w:hAnsi="Times New Roman" w:cs="Times New Roman"/>
                <w:sz w:val="18"/>
                <w:szCs w:val="18"/>
              </w:rPr>
            </w:pPr>
          </w:p>
          <w:p w14:paraId="4B68EA06" w14:textId="04737F57" w:rsidR="000A21ED" w:rsidRPr="004E6A4A" w:rsidRDefault="00BC33AD"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3F53E4D1"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Përputhet.</w:t>
            </w:r>
          </w:p>
          <w:p w14:paraId="107DFF2B"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Transpozohet nga neni 5, pika 39, i projektligjit.</w:t>
            </w:r>
          </w:p>
        </w:tc>
      </w:tr>
      <w:tr w:rsidR="004E6A4A" w:rsidRPr="004E6A4A" w14:paraId="3188CA27" w14:textId="77777777" w:rsidTr="00153084">
        <w:trPr>
          <w:trHeight w:val="764"/>
        </w:trPr>
        <w:tc>
          <w:tcPr>
            <w:tcW w:w="630" w:type="dxa"/>
          </w:tcPr>
          <w:p w14:paraId="511CDF69" w14:textId="77777777" w:rsidR="000A21ED" w:rsidRPr="004E6A4A" w:rsidRDefault="000A21ED" w:rsidP="00C4419F">
            <w:pPr>
              <w:jc w:val="center"/>
              <w:rPr>
                <w:rFonts w:ascii="Times New Roman" w:eastAsia="Calibri" w:hAnsi="Times New Roman" w:cs="Times New Roman"/>
                <w:i/>
                <w:sz w:val="18"/>
                <w:szCs w:val="18"/>
              </w:rPr>
            </w:pPr>
          </w:p>
        </w:tc>
        <w:tc>
          <w:tcPr>
            <w:tcW w:w="4230" w:type="dxa"/>
          </w:tcPr>
          <w:p w14:paraId="4CB2D4E9"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8.</w:t>
            </w:r>
            <w:r w:rsidRPr="004E6A4A">
              <w:rPr>
                <w:rFonts w:ascii="Times New Roman" w:eastAsia="Times New Roman" w:hAnsi="Times New Roman" w:cs="Times New Roman"/>
                <w:sz w:val="20"/>
                <w:szCs w:val="20"/>
              </w:rPr>
              <w:tab/>
              <w:t>Termi “Vlerë në Para të Gatshme” nënkupton shumën më të madhe ndërmjet (i) shumës që mbajtësi i policës ka të drejtë të marrë me heqjen dorë ose me përfundimin e kontratës (e përcaktuar pa zbritjen e ndonjë tarife për heqjen dorë ose huaje mbi policën); dhe (ii) shumës që mbajtësi i policës mund të marrë hua sipas kontratës ose në lidhje me të. Pavarësisht nga sa më sipër, termi “Vlerë në Para të Gatshme” nuk përfshin një shumë të pagueshme sipas një Kontrate Sigurimi:</w:t>
            </w:r>
          </w:p>
          <w:p w14:paraId="039EC2A5"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(a)</w:t>
            </w:r>
            <w:r w:rsidRPr="004E6A4A">
              <w:rPr>
                <w:rFonts w:ascii="Times New Roman" w:eastAsia="Times New Roman" w:hAnsi="Times New Roman" w:cs="Times New Roman"/>
                <w:sz w:val="20"/>
                <w:szCs w:val="20"/>
              </w:rPr>
              <w:tab/>
              <w:t>vetëm për shkak të vdekjes së një individi të siguruar sipas një kontrate sigurimi të jetës;</w:t>
            </w:r>
          </w:p>
          <w:p w14:paraId="7C9DD8CE"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(b)</w:t>
            </w:r>
            <w:r w:rsidRPr="004E6A4A">
              <w:rPr>
                <w:rFonts w:ascii="Times New Roman" w:eastAsia="Times New Roman" w:hAnsi="Times New Roman" w:cs="Times New Roman"/>
                <w:sz w:val="20"/>
                <w:szCs w:val="20"/>
              </w:rPr>
              <w:tab/>
              <w:t>si përfitim për dëmtim personal ose sëmundje ose si përfitim tjetër që siguron dëmshpërblimin e një humbjeje ekonomike të pësuar me ndodhjen e ngjarjes së siguruar;</w:t>
            </w:r>
          </w:p>
          <w:p w14:paraId="4E933EC3"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w:t>
            </w:r>
            <w:r w:rsidRPr="004E6A4A">
              <w:rPr>
                <w:rFonts w:ascii="Times New Roman" w:eastAsia="Times New Roman" w:hAnsi="Times New Roman" w:cs="Times New Roman"/>
                <w:sz w:val="20"/>
                <w:szCs w:val="20"/>
              </w:rPr>
              <w:tab/>
              <w:t>si rimbursim i një prime të paguar më parë (minus koston e tarifave të sigurimit, pavarësisht nëse janë aplikuar realisht ose jo) sipas një Kontrate Sigurimi (të ndryshme nga një kontratë sigurimi jete ose pensioni vjetor e lidhur me investime) për shkak të anulimit ose përfundimit të kontratës, uljes së ekspozimit ndaj rrezikut gjatë periudhës së vlefshmërisë së kontratës, ose që rrjedh nga korrigjimi i një gabimi regjistrimi ose gabimi të ngjashëm në lidhje me primën e kontratës;</w:t>
            </w:r>
          </w:p>
          <w:p w14:paraId="01DB9649"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lastRenderedPageBreak/>
              <w:t>(d)</w:t>
            </w:r>
            <w:r w:rsidRPr="004E6A4A">
              <w:rPr>
                <w:rFonts w:ascii="Times New Roman" w:eastAsia="Times New Roman" w:hAnsi="Times New Roman" w:cs="Times New Roman"/>
                <w:sz w:val="20"/>
                <w:szCs w:val="20"/>
              </w:rPr>
              <w:tab/>
              <w:t>si dividend i mbajtësit të policës (i ndryshëm nga një dividend përfundimi), me kusht që dividendi të lidhet me një Kontratë Sigurimi sipas së cilës përfitimet e vetme të pagueshme janë ato të përshkruara në nënparagrafin C(8)(b); ose</w:t>
            </w:r>
          </w:p>
          <w:p w14:paraId="60212105"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(e)</w:t>
            </w:r>
            <w:r w:rsidRPr="004E6A4A">
              <w:rPr>
                <w:rFonts w:ascii="Times New Roman" w:eastAsia="Times New Roman" w:hAnsi="Times New Roman" w:cs="Times New Roman"/>
                <w:sz w:val="20"/>
                <w:szCs w:val="20"/>
              </w:rPr>
              <w:tab/>
              <w:t>si kthim i një prime të parapaguar ose depozite prime për një Kontratë Sigurimi për të cilën prima paguhet të paktën një herë në vit, nëse shuma e primës së parapaguar ose e depozitës së primës nuk e tejkalon primën vjetore pasardhëse që do të paguhet sipas kontratës.</w:t>
            </w:r>
          </w:p>
        </w:tc>
        <w:tc>
          <w:tcPr>
            <w:tcW w:w="1350" w:type="dxa"/>
          </w:tcPr>
          <w:p w14:paraId="1798A3D6" w14:textId="77777777" w:rsidR="000A21ED" w:rsidRPr="004E6A4A" w:rsidRDefault="000A21ED" w:rsidP="00C4419F">
            <w:pPr>
              <w:jc w:val="center"/>
              <w:rPr>
                <w:rFonts w:ascii="Times New Roman" w:eastAsia="Calibri" w:hAnsi="Times New Roman" w:cs="Times New Roman"/>
                <w:sz w:val="18"/>
                <w:szCs w:val="18"/>
              </w:rPr>
            </w:pPr>
          </w:p>
        </w:tc>
        <w:tc>
          <w:tcPr>
            <w:tcW w:w="810" w:type="dxa"/>
          </w:tcPr>
          <w:p w14:paraId="55D213BF" w14:textId="77777777" w:rsidR="000A21ED" w:rsidRPr="004E6A4A" w:rsidRDefault="000A21ED" w:rsidP="00C4419F">
            <w:pPr>
              <w:jc w:val="center"/>
              <w:rPr>
                <w:rFonts w:ascii="Times New Roman" w:eastAsia="Times New Roman" w:hAnsi="Times New Roman" w:cs="Times New Roman"/>
                <w:sz w:val="20"/>
                <w:szCs w:val="21"/>
                <w:lang w:eastAsia="sq-AL"/>
              </w:rPr>
            </w:pPr>
          </w:p>
        </w:tc>
        <w:tc>
          <w:tcPr>
            <w:tcW w:w="4590" w:type="dxa"/>
          </w:tcPr>
          <w:p w14:paraId="71FCA6FD" w14:textId="77777777" w:rsidR="00FA0CFF" w:rsidRPr="004E6A4A" w:rsidRDefault="00144445">
            <w:pPr>
              <w:jc w:val="center"/>
            </w:pPr>
            <w:r w:rsidRPr="004E6A4A">
              <w:rPr>
                <w:rFonts w:ascii="Times New Roman" w:eastAsia="Times New Roman" w:hAnsi="Times New Roman" w:cs="Times New Roman"/>
                <w:b/>
                <w:sz w:val="20"/>
              </w:rPr>
              <w:t>Ligji: Neni 5</w:t>
            </w:r>
          </w:p>
          <w:p w14:paraId="049F3784" w14:textId="77777777" w:rsidR="00FA0CFF" w:rsidRPr="004E6A4A" w:rsidRDefault="00144445">
            <w:pPr>
              <w:jc w:val="center"/>
            </w:pPr>
            <w:r w:rsidRPr="004E6A4A">
              <w:rPr>
                <w:rFonts w:ascii="Times New Roman" w:eastAsia="Times New Roman" w:hAnsi="Times New Roman" w:cs="Times New Roman"/>
                <w:b/>
                <w:sz w:val="20"/>
              </w:rPr>
              <w:t>Përkufizime</w:t>
            </w:r>
          </w:p>
          <w:p w14:paraId="6B218350" w14:textId="77777777" w:rsidR="00FA0CFF" w:rsidRPr="004E6A4A" w:rsidRDefault="00144445">
            <w:pPr>
              <w:jc w:val="both"/>
            </w:pPr>
            <w:r w:rsidRPr="004E6A4A">
              <w:rPr>
                <w:rFonts w:ascii="Times New Roman" w:eastAsia="Times New Roman" w:hAnsi="Times New Roman" w:cs="Times New Roman"/>
                <w:sz w:val="20"/>
              </w:rPr>
              <w:t>69. “Vlerë në para të gatshme” është shuma më e madhe e shumave vijuese:</w:t>
            </w:r>
          </w:p>
          <w:p w14:paraId="7FB79563" w14:textId="77777777" w:rsidR="00FA0CFF" w:rsidRPr="004E6A4A" w:rsidRDefault="00144445">
            <w:pPr>
              <w:jc w:val="both"/>
            </w:pPr>
            <w:r w:rsidRPr="004E6A4A">
              <w:rPr>
                <w:rFonts w:ascii="Times New Roman" w:eastAsia="Times New Roman" w:hAnsi="Times New Roman" w:cs="Times New Roman"/>
                <w:sz w:val="20"/>
              </w:rPr>
              <w:t>a) shuma që mbajtësi i policës ka të drejtë të marrë menjëherë pas mbylljes vullnetare ose zgjidhjes së kontratës, e përcaktuar pa llogaritur zbritjen e mundshme në formë penalizimi për mbylljen vullnetare ose huanë mbi policën; dhe</w:t>
            </w:r>
          </w:p>
          <w:p w14:paraId="40EAE496" w14:textId="77777777" w:rsidR="00FA0CFF" w:rsidRPr="004E6A4A" w:rsidRDefault="00144445">
            <w:pPr>
              <w:jc w:val="both"/>
            </w:pPr>
            <w:r w:rsidRPr="004E6A4A">
              <w:rPr>
                <w:rFonts w:ascii="Times New Roman" w:eastAsia="Times New Roman" w:hAnsi="Times New Roman" w:cs="Times New Roman"/>
                <w:sz w:val="20"/>
              </w:rPr>
              <w:t>b) shuma që mbajtësi i policës mund të marrë hua sipas kontratës ose lidhur me të.</w:t>
            </w:r>
          </w:p>
          <w:p w14:paraId="0E501E72" w14:textId="77777777" w:rsidR="00FA0CFF" w:rsidRPr="004E6A4A" w:rsidRDefault="00144445">
            <w:pPr>
              <w:jc w:val="both"/>
            </w:pPr>
            <w:r w:rsidRPr="004E6A4A">
              <w:rPr>
                <w:rFonts w:ascii="Times New Roman" w:eastAsia="Times New Roman" w:hAnsi="Times New Roman" w:cs="Times New Roman"/>
                <w:sz w:val="20"/>
              </w:rPr>
              <w:t>Pavarësisht nga sa më sipër, termi “vlerë në para të gatshme” nuk përfshin shumën që paguhet sipas kontratës së sigurimit:</w:t>
            </w:r>
          </w:p>
          <w:p w14:paraId="32ACA79F" w14:textId="77777777" w:rsidR="00FA0CFF" w:rsidRPr="004E6A4A" w:rsidRDefault="00144445">
            <w:pPr>
              <w:jc w:val="both"/>
            </w:pPr>
            <w:r w:rsidRPr="004E6A4A">
              <w:rPr>
                <w:rFonts w:ascii="Times New Roman" w:eastAsia="Times New Roman" w:hAnsi="Times New Roman" w:cs="Times New Roman"/>
                <w:sz w:val="20"/>
              </w:rPr>
              <w:t>i) vetëm për shkak të vdekjes së individit të siguruar sipas kontratës së sigurimit të jetës;</w:t>
            </w:r>
          </w:p>
          <w:p w14:paraId="24A75F0C" w14:textId="77777777" w:rsidR="00FA0CFF" w:rsidRPr="004E6A4A" w:rsidRDefault="00144445">
            <w:pPr>
              <w:jc w:val="both"/>
            </w:pPr>
            <w:r w:rsidRPr="004E6A4A">
              <w:rPr>
                <w:rFonts w:ascii="Times New Roman" w:eastAsia="Times New Roman" w:hAnsi="Times New Roman" w:cs="Times New Roman"/>
                <w:sz w:val="20"/>
              </w:rPr>
              <w:t>ii) në formën e përfitimit personal nga lëndimi ose sëmundja ose të përfitimeve të tjera që zhdëmtojnë humbjen ekonomike të pësuar për shkak të ndodhjes së një ngjarjeje ndaj së cilës është siguruar;</w:t>
            </w:r>
          </w:p>
          <w:p w14:paraId="43F6127F" w14:textId="77777777" w:rsidR="00FA0CFF" w:rsidRPr="004E6A4A" w:rsidRDefault="00144445">
            <w:pPr>
              <w:jc w:val="both"/>
            </w:pPr>
            <w:r w:rsidRPr="004E6A4A">
              <w:rPr>
                <w:rFonts w:ascii="Times New Roman" w:eastAsia="Times New Roman" w:hAnsi="Times New Roman" w:cs="Times New Roman"/>
                <w:sz w:val="20"/>
              </w:rPr>
              <w:t xml:space="preserve">iii) në formën e rimbursimit të një primi të paguar më parë, minus kostot e shpenzimeve të sigurimit, pavarësisht nëse vendosen apo jo, sipas një kontrate sigurimi, të ndryshme nga kontrata e sigurimit të jetës të lidhur me një investim ose kontrata e pensionit vjetor, për shkak të anulimit ose zgjidhjes së kontratës, uljes së rrezikut të ekspozimit gjatë periudhës së veprimit të kontratës ose si rezultat i korrigjimit të një </w:t>
            </w:r>
            <w:r w:rsidRPr="004E6A4A">
              <w:rPr>
                <w:rFonts w:ascii="Times New Roman" w:eastAsia="Times New Roman" w:hAnsi="Times New Roman" w:cs="Times New Roman"/>
                <w:sz w:val="20"/>
              </w:rPr>
              <w:lastRenderedPageBreak/>
              <w:t>regjistrimi kontabël ose të një gabimi të ngjashëm lidhur me primin e kontratës;</w:t>
            </w:r>
          </w:p>
          <w:p w14:paraId="52306262" w14:textId="77777777" w:rsidR="00FA0CFF" w:rsidRPr="004E6A4A" w:rsidRDefault="00144445">
            <w:pPr>
              <w:jc w:val="both"/>
            </w:pPr>
            <w:r w:rsidRPr="004E6A4A">
              <w:rPr>
                <w:rFonts w:ascii="Times New Roman" w:eastAsia="Times New Roman" w:hAnsi="Times New Roman" w:cs="Times New Roman"/>
                <w:sz w:val="20"/>
              </w:rPr>
              <w:t>iv) në formën e dividendit të mbajtësit të policës, të ndryshëm nga dividendi në zgjidhjen e kontratës, me kusht që dividendi të lidhet me një kontratë sigurimi sipas së cilës të vetmet përfitime të pagueshme janë ato të përshkruara në nënndarjen ‘ii’ të kësaj pike; ose</w:t>
            </w:r>
          </w:p>
          <w:p w14:paraId="253B380C" w14:textId="77777777" w:rsidR="00FA0CFF" w:rsidRPr="004E6A4A" w:rsidRDefault="00144445">
            <w:pPr>
              <w:jc w:val="both"/>
            </w:pPr>
            <w:r w:rsidRPr="004E6A4A">
              <w:rPr>
                <w:rFonts w:ascii="Times New Roman" w:eastAsia="Times New Roman" w:hAnsi="Times New Roman" w:cs="Times New Roman"/>
                <w:sz w:val="20"/>
              </w:rPr>
              <w:t>v) në formën e kthimit të primit të parapaguar ose të depozitës së primit për kontratën e sigurimit për të cilën primi paguhet të paktën çdo vit, nëse shuma e primit të parapaguar ose e depozitës së primit nuk e kalon primin vijues vjetor që do të paguhet sipas kontratës.</w:t>
            </w:r>
          </w:p>
        </w:tc>
        <w:tc>
          <w:tcPr>
            <w:tcW w:w="1620" w:type="dxa"/>
          </w:tcPr>
          <w:p w14:paraId="39BF09A5" w14:textId="77777777" w:rsidR="00BC33AD" w:rsidRPr="004E6A4A" w:rsidRDefault="00BC33AD" w:rsidP="00C4419F">
            <w:pPr>
              <w:jc w:val="center"/>
              <w:rPr>
                <w:rFonts w:ascii="Times New Roman" w:eastAsia="Calibri" w:hAnsi="Times New Roman" w:cs="Times New Roman"/>
                <w:sz w:val="18"/>
                <w:szCs w:val="18"/>
              </w:rPr>
            </w:pPr>
          </w:p>
          <w:p w14:paraId="470ECE83" w14:textId="23C0E287" w:rsidR="000A21ED" w:rsidRPr="004E6A4A" w:rsidRDefault="00BC33AD"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6BE1F428"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Përputhet.</w:t>
            </w:r>
          </w:p>
          <w:p w14:paraId="56608D87"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Transpozohet nga neni 5, pika 69, i projektligjit.</w:t>
            </w:r>
          </w:p>
        </w:tc>
      </w:tr>
      <w:tr w:rsidR="004E6A4A" w:rsidRPr="004E6A4A" w14:paraId="48128E56" w14:textId="77777777" w:rsidTr="00153084">
        <w:trPr>
          <w:trHeight w:val="764"/>
        </w:trPr>
        <w:tc>
          <w:tcPr>
            <w:tcW w:w="630" w:type="dxa"/>
          </w:tcPr>
          <w:p w14:paraId="67C00F5C" w14:textId="77777777" w:rsidR="000A21ED" w:rsidRPr="004E6A4A" w:rsidRDefault="000A21ED" w:rsidP="00C4419F">
            <w:pPr>
              <w:jc w:val="center"/>
              <w:rPr>
                <w:rFonts w:ascii="Times New Roman" w:eastAsia="Calibri" w:hAnsi="Times New Roman" w:cs="Times New Roman"/>
                <w:i/>
                <w:sz w:val="18"/>
                <w:szCs w:val="18"/>
              </w:rPr>
            </w:pPr>
          </w:p>
        </w:tc>
        <w:tc>
          <w:tcPr>
            <w:tcW w:w="4230" w:type="dxa"/>
          </w:tcPr>
          <w:p w14:paraId="51225C91"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9.</w:t>
            </w:r>
            <w:r w:rsidRPr="004E6A4A">
              <w:rPr>
                <w:rFonts w:ascii="Times New Roman" w:eastAsia="Times New Roman" w:hAnsi="Times New Roman" w:cs="Times New Roman"/>
                <w:sz w:val="20"/>
                <w:szCs w:val="20"/>
              </w:rPr>
              <w:tab/>
              <w:t>Termi “Llogari Paraekzistuese” nënkupton:</w:t>
            </w:r>
          </w:p>
          <w:p w14:paraId="2E460F6D"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(a)</w:t>
            </w:r>
            <w:r w:rsidRPr="004E6A4A">
              <w:rPr>
                <w:rFonts w:ascii="Times New Roman" w:eastAsia="Times New Roman" w:hAnsi="Times New Roman" w:cs="Times New Roman"/>
                <w:sz w:val="20"/>
                <w:szCs w:val="20"/>
              </w:rPr>
              <w:tab/>
              <w:t>një Llogari Financiare të mbajtur nga një Institucion Financiar Raportues më 31 dhjetor 2015 ose, nëse llogaria trajtohet si Llogari Financiare vetëm për shkak të ndryshimeve në këtë Direktivë të bëra me Direktivën (BE) 2023/2226 të Këshillit, më 31 dhjetor 2025;</w:t>
            </w:r>
          </w:p>
          <w:p w14:paraId="50CA9FE3"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(b)</w:t>
            </w:r>
            <w:r w:rsidRPr="004E6A4A">
              <w:rPr>
                <w:rFonts w:ascii="Times New Roman" w:eastAsia="Times New Roman" w:hAnsi="Times New Roman" w:cs="Times New Roman"/>
                <w:sz w:val="20"/>
                <w:szCs w:val="20"/>
              </w:rPr>
              <w:tab/>
              <w:t>çdo Llogari Financiare të një Mbajtësi Llogarie, pavarësisht nga data në të cilën është hapur kjo Llogari Financiare, nëse:</w:t>
            </w:r>
          </w:p>
          <w:p w14:paraId="0864B8C3"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(i)</w:t>
            </w:r>
            <w:r w:rsidRPr="004E6A4A">
              <w:rPr>
                <w:rFonts w:ascii="Times New Roman" w:eastAsia="Times New Roman" w:hAnsi="Times New Roman" w:cs="Times New Roman"/>
                <w:sz w:val="20"/>
                <w:szCs w:val="20"/>
              </w:rPr>
              <w:tab/>
              <w:t>Mbajtësi i Llogarisë mban gjithashtu pranë Institucionit Financiar Raportues (ose pranë një Njësie Ekonomike të Lidhur brenda të njëjtit shtet anëtar me Institucionin Financiar Raportues) një Llogari Financiare që është Llogari Paraekzistuese sipas nënparagrafit C(9), shkronja (a);</w:t>
            </w:r>
          </w:p>
          <w:p w14:paraId="1B10B688"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(ii)</w:t>
            </w:r>
            <w:r w:rsidRPr="004E6A4A">
              <w:rPr>
                <w:rFonts w:ascii="Times New Roman" w:eastAsia="Times New Roman" w:hAnsi="Times New Roman" w:cs="Times New Roman"/>
                <w:sz w:val="20"/>
                <w:szCs w:val="20"/>
              </w:rPr>
              <w:tab/>
              <w:t xml:space="preserve">Institucioni Financiar Raportues (dhe, sipas rastit, Njësia Ekonomike e Lidhur brenda të njëjtit shtet anëtar me Institucionin Financiar Raportues) i trajton të dyja Llogaritë Financiare të lartpërmendura, si dhe çdo Llogari tjetër Financiare të Mbajtësit të Llogarisë që trajtohet si Llogari Paraekzistuese sipas nënparagrafit C(9), </w:t>
            </w:r>
            <w:r w:rsidRPr="004E6A4A">
              <w:rPr>
                <w:rFonts w:ascii="Times New Roman" w:eastAsia="Times New Roman" w:hAnsi="Times New Roman" w:cs="Times New Roman"/>
                <w:sz w:val="20"/>
                <w:szCs w:val="20"/>
              </w:rPr>
              <w:lastRenderedPageBreak/>
              <w:t>shkronja (b), si një Llogari Financiare të vetme për qëllime të përmbushjes së standardeve të kërkesave për njohuri të përcaktuara në Seksionin VII, paragrafi A, dhe për qëllime të përcaktimit të gjendjes ose vlerës së cilësdo prej Llogarive Financiare gjatë zbatimit të cilitdo nga pragjet e llogarive;</w:t>
            </w:r>
          </w:p>
          <w:p w14:paraId="6B3740E4"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(iii)</w:t>
            </w:r>
            <w:r w:rsidRPr="004E6A4A">
              <w:rPr>
                <w:rFonts w:ascii="Times New Roman" w:eastAsia="Times New Roman" w:hAnsi="Times New Roman" w:cs="Times New Roman"/>
                <w:sz w:val="20"/>
                <w:szCs w:val="20"/>
              </w:rPr>
              <w:tab/>
              <w:t>në lidhje me një Llogari Financiare që i nënshtrohet Procedurave për PPP/NJKT, Institucionit Financiar Raportues i lejohet t’i përmbushë këto Procedura për PPP/NJKT për Llogarinë Financiare duke u mbështetur në Procedurat për PPP/NJKT të kryera për Llogarinë Paraekzistuese të përshkruar në nënparagrafin C(9), shkronja (a); dhe</w:t>
            </w:r>
          </w:p>
          <w:p w14:paraId="41C16197"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(iv)</w:t>
            </w:r>
            <w:r w:rsidRPr="004E6A4A">
              <w:rPr>
                <w:rFonts w:ascii="Times New Roman" w:eastAsia="Times New Roman" w:hAnsi="Times New Roman" w:cs="Times New Roman"/>
                <w:sz w:val="20"/>
                <w:szCs w:val="20"/>
              </w:rPr>
              <w:tab/>
              <w:t>hapja e Llogarisë Financiare nuk kërkon dhënien e informacionit të ri, shtesë ose të ndryshuar të klientit nga Mbajtësi i Llogarisë, përveçse për qëllimet e kësaj Direktive.</w:t>
            </w:r>
          </w:p>
        </w:tc>
        <w:tc>
          <w:tcPr>
            <w:tcW w:w="1350" w:type="dxa"/>
          </w:tcPr>
          <w:p w14:paraId="5CDA1739" w14:textId="77777777" w:rsidR="000A21ED" w:rsidRPr="004E6A4A" w:rsidRDefault="000A21ED" w:rsidP="00C4419F">
            <w:pPr>
              <w:jc w:val="center"/>
              <w:rPr>
                <w:rFonts w:ascii="Times New Roman" w:eastAsia="Calibri" w:hAnsi="Times New Roman" w:cs="Times New Roman"/>
                <w:sz w:val="18"/>
                <w:szCs w:val="18"/>
              </w:rPr>
            </w:pPr>
          </w:p>
        </w:tc>
        <w:tc>
          <w:tcPr>
            <w:tcW w:w="810" w:type="dxa"/>
          </w:tcPr>
          <w:p w14:paraId="35B9C312" w14:textId="77777777" w:rsidR="000A21ED" w:rsidRPr="004E6A4A" w:rsidRDefault="000A21ED" w:rsidP="00C4419F">
            <w:pPr>
              <w:jc w:val="center"/>
              <w:rPr>
                <w:rFonts w:ascii="Times New Roman" w:eastAsia="Times New Roman" w:hAnsi="Times New Roman" w:cs="Times New Roman"/>
                <w:sz w:val="20"/>
                <w:szCs w:val="21"/>
                <w:lang w:eastAsia="sq-AL"/>
              </w:rPr>
            </w:pPr>
          </w:p>
        </w:tc>
        <w:tc>
          <w:tcPr>
            <w:tcW w:w="4590" w:type="dxa"/>
          </w:tcPr>
          <w:p w14:paraId="32C9B3F3" w14:textId="77777777" w:rsidR="00FA0CFF" w:rsidRPr="004E6A4A" w:rsidRDefault="00144445">
            <w:pPr>
              <w:jc w:val="center"/>
            </w:pPr>
            <w:r w:rsidRPr="004E6A4A">
              <w:rPr>
                <w:rFonts w:ascii="Times New Roman" w:eastAsia="Times New Roman" w:hAnsi="Times New Roman" w:cs="Times New Roman"/>
                <w:b/>
                <w:sz w:val="20"/>
              </w:rPr>
              <w:t>Ligji: Neni 5</w:t>
            </w:r>
          </w:p>
          <w:p w14:paraId="7F093FCC" w14:textId="77777777" w:rsidR="00FA0CFF" w:rsidRPr="004E6A4A" w:rsidRDefault="00144445">
            <w:pPr>
              <w:jc w:val="center"/>
            </w:pPr>
            <w:r w:rsidRPr="004E6A4A">
              <w:rPr>
                <w:rFonts w:ascii="Times New Roman" w:eastAsia="Times New Roman" w:hAnsi="Times New Roman" w:cs="Times New Roman"/>
                <w:b/>
                <w:sz w:val="20"/>
              </w:rPr>
              <w:t>Përkufizime</w:t>
            </w:r>
          </w:p>
          <w:p w14:paraId="20E1831A" w14:textId="77777777" w:rsidR="00FA0CFF" w:rsidRPr="004E6A4A" w:rsidRDefault="00144445">
            <w:pPr>
              <w:jc w:val="both"/>
            </w:pPr>
            <w:r w:rsidRPr="004E6A4A">
              <w:rPr>
                <w:rFonts w:ascii="Times New Roman" w:eastAsia="Times New Roman" w:hAnsi="Times New Roman" w:cs="Times New Roman"/>
                <w:sz w:val="20"/>
              </w:rPr>
              <w:t>53. “Llogari paraekzistuese” është:</w:t>
            </w:r>
          </w:p>
          <w:p w14:paraId="066F3804" w14:textId="77777777" w:rsidR="00FA0CFF" w:rsidRPr="004E6A4A" w:rsidRDefault="00144445">
            <w:pPr>
              <w:jc w:val="both"/>
            </w:pPr>
            <w:r w:rsidRPr="004E6A4A">
              <w:rPr>
                <w:rFonts w:ascii="Times New Roman" w:eastAsia="Times New Roman" w:hAnsi="Times New Roman" w:cs="Times New Roman"/>
                <w:sz w:val="20"/>
              </w:rPr>
              <w:t>a) një Llogari Financiare e mbajtur nga një Institucion Financiar Raportues:</w:t>
            </w:r>
          </w:p>
          <w:p w14:paraId="73C4B470" w14:textId="77777777" w:rsidR="00FA0CFF" w:rsidRPr="004E6A4A" w:rsidRDefault="00144445">
            <w:pPr>
              <w:jc w:val="both"/>
            </w:pPr>
            <w:r w:rsidRPr="004E6A4A">
              <w:rPr>
                <w:rFonts w:ascii="Times New Roman" w:eastAsia="Times New Roman" w:hAnsi="Times New Roman" w:cs="Times New Roman"/>
                <w:sz w:val="20"/>
              </w:rPr>
              <w:t>i) për profilin e Bashkimit Evropian, më 31 dhjetor 2015 ose, kur llogaria trajtohet si Llogari Financiare vetëm për shkak të ndryshimeve të Direktivës 2011/16/BE, të bëra me Direktivën (BE) 2023/2226, më 31 dhjetor 2025;</w:t>
            </w:r>
          </w:p>
          <w:p w14:paraId="5C4B155C" w14:textId="77777777" w:rsidR="00FA0CFF" w:rsidRPr="004E6A4A" w:rsidRDefault="00144445">
            <w:pPr>
              <w:jc w:val="both"/>
            </w:pPr>
            <w:r w:rsidRPr="004E6A4A">
              <w:rPr>
                <w:rFonts w:ascii="Times New Roman" w:eastAsia="Times New Roman" w:hAnsi="Times New Roman" w:cs="Times New Roman"/>
                <w:sz w:val="20"/>
              </w:rPr>
              <w:t>ii) për profilin e Standardit të Përbashkët të Raportimit, më 31 dhjetor 2018 ose, kur llogaria trajtohet si Llogari Financiare vetëm për shkak të amendimeve në Standard, më 31 dhjetor 2025;</w:t>
            </w:r>
          </w:p>
          <w:p w14:paraId="477F612F" w14:textId="77777777" w:rsidR="00FA0CFF" w:rsidRPr="004E6A4A" w:rsidRDefault="00144445">
            <w:pPr>
              <w:jc w:val="both"/>
            </w:pPr>
            <w:r w:rsidRPr="004E6A4A">
              <w:rPr>
                <w:rFonts w:ascii="Times New Roman" w:eastAsia="Times New Roman" w:hAnsi="Times New Roman" w:cs="Times New Roman"/>
                <w:sz w:val="20"/>
              </w:rPr>
              <w:t>b) çdo Llogari Financiare të mbajtësit të llogarisë, pavarësisht nga data kur kjo Llogari Financiare është hapur, nëse:</w:t>
            </w:r>
          </w:p>
          <w:p w14:paraId="7CC01E17" w14:textId="77777777" w:rsidR="00FA0CFF" w:rsidRPr="004E6A4A" w:rsidRDefault="00144445">
            <w:pPr>
              <w:jc w:val="both"/>
            </w:pPr>
            <w:r w:rsidRPr="004E6A4A">
              <w:rPr>
                <w:rFonts w:ascii="Times New Roman" w:eastAsia="Times New Roman" w:hAnsi="Times New Roman" w:cs="Times New Roman"/>
                <w:sz w:val="20"/>
              </w:rPr>
              <w:t>i) mbajtësi i llogarisë gjithashtu mban në Institucionin Financiar Raportues, ose në një Njësi Ekonomike të Lidhur që i përket të njëjtit juridiksion si Institucioni Financiar Raportues, një Llogari Financiare që është Llogari Paraekzistuese sipas shkronjës “a” të kësaj pike;</w:t>
            </w:r>
          </w:p>
          <w:p w14:paraId="714F4646" w14:textId="77777777" w:rsidR="00FA0CFF" w:rsidRPr="004E6A4A" w:rsidRDefault="00144445">
            <w:pPr>
              <w:jc w:val="both"/>
            </w:pPr>
            <w:r w:rsidRPr="004E6A4A">
              <w:rPr>
                <w:rFonts w:ascii="Times New Roman" w:eastAsia="Times New Roman" w:hAnsi="Times New Roman" w:cs="Times New Roman"/>
                <w:sz w:val="20"/>
              </w:rPr>
              <w:t xml:space="preserve">ii) Institucioni Financiar Raportues dhe, sipas rastit, Njësia Ekonomike e Lidhur e të njëjtit juridiksion, </w:t>
            </w:r>
            <w:r w:rsidRPr="004E6A4A">
              <w:rPr>
                <w:rFonts w:ascii="Times New Roman" w:eastAsia="Times New Roman" w:hAnsi="Times New Roman" w:cs="Times New Roman"/>
                <w:sz w:val="20"/>
              </w:rPr>
              <w:lastRenderedPageBreak/>
              <w:t>trajton të dyja Llogaritë Financiare të lartpërmendura dhe çdo Llogari tjetër Financiare të mbajtësit të llogarisë që trajtohet si Llogari Paraekzistuese në pajtim me këtë shkronjë, si një Llogari Financiare të vetme për përmbushjen e kërkesave lidhur me dijeninë ose arsyen për të ditur të përcaktuara në nenin 12, pika 1, dhe për përcaktimin e balancës ose vlerës së secilës Llogari Financiare gjatë zbatimit të pragjeve përkatëse;</w:t>
            </w:r>
          </w:p>
          <w:p w14:paraId="0947D741" w14:textId="77777777" w:rsidR="00FA0CFF" w:rsidRPr="004E6A4A" w:rsidRDefault="00144445">
            <w:pPr>
              <w:jc w:val="both"/>
            </w:pPr>
            <w:r w:rsidRPr="004E6A4A">
              <w:rPr>
                <w:rFonts w:ascii="Times New Roman" w:eastAsia="Times New Roman" w:hAnsi="Times New Roman" w:cs="Times New Roman"/>
                <w:sz w:val="20"/>
              </w:rPr>
              <w:t>iii) në rastin e një Llogarie Financiare që është subjekt i procedurave të PPP/NJKT, Institucioni Financiar Raportues lejohet të plotësojë procedurat e PPP/NJKT për Llogarinë Financiare duke u mbështetur në procedurat e PPP/NJKT të kryera për Llogarinë Paraekzistuese sipas shkronjës “a” të kësaj pike; dhe</w:t>
            </w:r>
          </w:p>
          <w:p w14:paraId="24199AC7" w14:textId="77777777" w:rsidR="00FA0CFF" w:rsidRPr="004E6A4A" w:rsidRDefault="00144445">
            <w:pPr>
              <w:jc w:val="both"/>
            </w:pPr>
            <w:r w:rsidRPr="004E6A4A">
              <w:rPr>
                <w:rFonts w:ascii="Times New Roman" w:eastAsia="Times New Roman" w:hAnsi="Times New Roman" w:cs="Times New Roman"/>
                <w:sz w:val="20"/>
              </w:rPr>
              <w:t>iv) hapja e Llogarisë Financiare nuk kërkon dhënien e informacionit të ri, shtesë ose të ndryshuar nga mbajtësi i llogarisë, përveçse për qëllimet e këtij ligji.</w:t>
            </w:r>
          </w:p>
        </w:tc>
        <w:tc>
          <w:tcPr>
            <w:tcW w:w="1620" w:type="dxa"/>
          </w:tcPr>
          <w:p w14:paraId="3A9FE956" w14:textId="77777777" w:rsidR="00BC33AD" w:rsidRPr="004E6A4A" w:rsidRDefault="00BC33AD" w:rsidP="00C4419F">
            <w:pPr>
              <w:jc w:val="center"/>
              <w:rPr>
                <w:rFonts w:ascii="Times New Roman" w:eastAsia="Calibri" w:hAnsi="Times New Roman" w:cs="Times New Roman"/>
                <w:sz w:val="18"/>
                <w:szCs w:val="18"/>
              </w:rPr>
            </w:pPr>
          </w:p>
          <w:p w14:paraId="34973F74" w14:textId="77777777" w:rsidR="00BC33AD" w:rsidRPr="004E6A4A" w:rsidRDefault="00BC33AD" w:rsidP="00C4419F">
            <w:pPr>
              <w:jc w:val="center"/>
              <w:rPr>
                <w:rFonts w:ascii="Times New Roman" w:eastAsia="Calibri" w:hAnsi="Times New Roman" w:cs="Times New Roman"/>
                <w:sz w:val="18"/>
                <w:szCs w:val="18"/>
              </w:rPr>
            </w:pPr>
          </w:p>
          <w:p w14:paraId="0B77BEA9" w14:textId="23C76C6C" w:rsidR="000A21ED" w:rsidRPr="004E6A4A" w:rsidRDefault="00BC33AD"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055386AF"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Përputhet.</w:t>
            </w:r>
          </w:p>
          <w:p w14:paraId="70629880"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Transpozohet nga neni 5, pika 53, i projektligjit.</w:t>
            </w:r>
          </w:p>
        </w:tc>
      </w:tr>
      <w:tr w:rsidR="004E6A4A" w:rsidRPr="004E6A4A" w14:paraId="744419D7" w14:textId="77777777" w:rsidTr="00153084">
        <w:trPr>
          <w:trHeight w:val="764"/>
        </w:trPr>
        <w:tc>
          <w:tcPr>
            <w:tcW w:w="630" w:type="dxa"/>
          </w:tcPr>
          <w:p w14:paraId="0AEB6238" w14:textId="77777777" w:rsidR="000A21ED" w:rsidRPr="004E6A4A" w:rsidRDefault="000A21ED" w:rsidP="00C4419F">
            <w:pPr>
              <w:jc w:val="center"/>
              <w:rPr>
                <w:rFonts w:ascii="Times New Roman" w:eastAsia="Calibri" w:hAnsi="Times New Roman" w:cs="Times New Roman"/>
                <w:i/>
                <w:sz w:val="18"/>
                <w:szCs w:val="18"/>
              </w:rPr>
            </w:pPr>
          </w:p>
        </w:tc>
        <w:tc>
          <w:tcPr>
            <w:tcW w:w="4230" w:type="dxa"/>
          </w:tcPr>
          <w:p w14:paraId="118157CB"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10.</w:t>
            </w:r>
            <w:r w:rsidRPr="004E6A4A">
              <w:rPr>
                <w:rFonts w:ascii="Times New Roman" w:eastAsia="Times New Roman" w:hAnsi="Times New Roman" w:cs="Times New Roman"/>
                <w:sz w:val="20"/>
                <w:szCs w:val="20"/>
              </w:rPr>
              <w:tab/>
              <w:t>Termi “Llogari e Re” nënkupton një Llogari Financiare të mbajtur nga një Institucion Financiar Raportues, të hapur më ose pas 1 janarit 2016 ose, nëse llogaria trajtohet si Llogari Financiare vetëm për shkak të ndryshimeve në këtë Direktivë të bëra me Direktivën (BE) 2023/2226, më ose pas 1 janarit 2026.</w:t>
            </w:r>
          </w:p>
        </w:tc>
        <w:tc>
          <w:tcPr>
            <w:tcW w:w="1350" w:type="dxa"/>
          </w:tcPr>
          <w:p w14:paraId="0E29D748" w14:textId="77777777" w:rsidR="000A21ED" w:rsidRPr="004E6A4A" w:rsidRDefault="000A21ED" w:rsidP="00C4419F">
            <w:pPr>
              <w:jc w:val="center"/>
              <w:rPr>
                <w:rFonts w:ascii="Times New Roman" w:eastAsia="Calibri" w:hAnsi="Times New Roman" w:cs="Times New Roman"/>
                <w:sz w:val="18"/>
                <w:szCs w:val="18"/>
              </w:rPr>
            </w:pPr>
          </w:p>
        </w:tc>
        <w:tc>
          <w:tcPr>
            <w:tcW w:w="810" w:type="dxa"/>
          </w:tcPr>
          <w:p w14:paraId="76348BF8" w14:textId="77777777" w:rsidR="000A21ED" w:rsidRPr="004E6A4A" w:rsidRDefault="000A21ED" w:rsidP="00C4419F">
            <w:pPr>
              <w:jc w:val="center"/>
              <w:rPr>
                <w:rFonts w:ascii="Times New Roman" w:eastAsia="Times New Roman" w:hAnsi="Times New Roman" w:cs="Times New Roman"/>
                <w:sz w:val="20"/>
                <w:szCs w:val="21"/>
                <w:lang w:eastAsia="sq-AL"/>
              </w:rPr>
            </w:pPr>
          </w:p>
        </w:tc>
        <w:tc>
          <w:tcPr>
            <w:tcW w:w="4590" w:type="dxa"/>
          </w:tcPr>
          <w:p w14:paraId="2A11D2CD" w14:textId="77777777" w:rsidR="00FA0CFF" w:rsidRPr="004E6A4A" w:rsidRDefault="00144445">
            <w:pPr>
              <w:jc w:val="center"/>
            </w:pPr>
            <w:r w:rsidRPr="004E6A4A">
              <w:rPr>
                <w:rFonts w:ascii="Times New Roman" w:eastAsia="Times New Roman" w:hAnsi="Times New Roman" w:cs="Times New Roman"/>
                <w:b/>
                <w:sz w:val="20"/>
              </w:rPr>
              <w:t>Ligji: Neni 5</w:t>
            </w:r>
          </w:p>
          <w:p w14:paraId="08D0C3F7" w14:textId="77777777" w:rsidR="00FA0CFF" w:rsidRPr="004E6A4A" w:rsidRDefault="00144445">
            <w:pPr>
              <w:jc w:val="center"/>
            </w:pPr>
            <w:r w:rsidRPr="004E6A4A">
              <w:rPr>
                <w:rFonts w:ascii="Times New Roman" w:eastAsia="Times New Roman" w:hAnsi="Times New Roman" w:cs="Times New Roman"/>
                <w:b/>
                <w:sz w:val="20"/>
              </w:rPr>
              <w:t>Përkufizime</w:t>
            </w:r>
          </w:p>
          <w:p w14:paraId="4BFA84C4" w14:textId="77777777" w:rsidR="00FA0CFF" w:rsidRPr="004E6A4A" w:rsidRDefault="00144445">
            <w:pPr>
              <w:jc w:val="both"/>
            </w:pPr>
            <w:r w:rsidRPr="004E6A4A">
              <w:rPr>
                <w:rFonts w:ascii="Times New Roman" w:eastAsia="Times New Roman" w:hAnsi="Times New Roman" w:cs="Times New Roman"/>
                <w:sz w:val="20"/>
              </w:rPr>
              <w:t>45. “Llogari e re” është:</w:t>
            </w:r>
          </w:p>
          <w:p w14:paraId="64C42938" w14:textId="77777777" w:rsidR="00FA0CFF" w:rsidRPr="004E6A4A" w:rsidRDefault="00144445">
            <w:pPr>
              <w:jc w:val="both"/>
            </w:pPr>
            <w:r w:rsidRPr="004E6A4A">
              <w:rPr>
                <w:rFonts w:ascii="Times New Roman" w:eastAsia="Times New Roman" w:hAnsi="Times New Roman" w:cs="Times New Roman"/>
                <w:sz w:val="20"/>
              </w:rPr>
              <w:t>a) për profilin e Bashkimit Evropian, një Llogari Financiare e mbajtur nga një Institucion Financiar Raportues, e hapur më ose pas 1 janarit 2016, ose, kur llogaria trajtohet si Llogari Financiare vetëm për shkak të ndryshimeve të Direktivës 2011/16/BE, të bëra me Direktivën (BE) 2023/2226, e hapur më ose pas 1 janarit 2026;</w:t>
            </w:r>
          </w:p>
          <w:p w14:paraId="546E3743" w14:textId="77777777" w:rsidR="00FA0CFF" w:rsidRPr="004E6A4A" w:rsidRDefault="00144445">
            <w:pPr>
              <w:jc w:val="both"/>
            </w:pPr>
            <w:r w:rsidRPr="004E6A4A">
              <w:rPr>
                <w:rFonts w:ascii="Times New Roman" w:eastAsia="Times New Roman" w:hAnsi="Times New Roman" w:cs="Times New Roman"/>
                <w:sz w:val="20"/>
              </w:rPr>
              <w:t>b) për profilin e Standardit të Përbashkët të Raportimit, një Llogari Financiare e mbajtur nga një Institucion Financiar Raportues, e hapur më ose pas 1 janarit 2019, ose, kur llogaria trajtohet si Llogari Financiare vetëm për shkak të ndryshimeve të Standardit, e hapur më ose pas 1 janarit 2026.</w:t>
            </w:r>
          </w:p>
        </w:tc>
        <w:tc>
          <w:tcPr>
            <w:tcW w:w="1620" w:type="dxa"/>
          </w:tcPr>
          <w:p w14:paraId="39BE5BE7" w14:textId="77777777" w:rsidR="00BC33AD" w:rsidRPr="004E6A4A" w:rsidRDefault="00BC33AD" w:rsidP="00C4419F">
            <w:pPr>
              <w:jc w:val="center"/>
              <w:rPr>
                <w:rFonts w:ascii="Times New Roman" w:eastAsia="Calibri" w:hAnsi="Times New Roman" w:cs="Times New Roman"/>
                <w:sz w:val="18"/>
                <w:szCs w:val="18"/>
              </w:rPr>
            </w:pPr>
          </w:p>
          <w:p w14:paraId="3BA48ED8" w14:textId="5F64D14D" w:rsidR="000A21ED" w:rsidRPr="004E6A4A" w:rsidRDefault="00BC33AD"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234AF117"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Përputhet.</w:t>
            </w:r>
          </w:p>
          <w:p w14:paraId="0D0FBA7A"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Transpozohet nga neni 5, pika 45, i projektligjit.</w:t>
            </w:r>
          </w:p>
        </w:tc>
      </w:tr>
      <w:tr w:rsidR="004E6A4A" w:rsidRPr="004E6A4A" w14:paraId="330230CC" w14:textId="77777777" w:rsidTr="00153084">
        <w:trPr>
          <w:trHeight w:val="764"/>
        </w:trPr>
        <w:tc>
          <w:tcPr>
            <w:tcW w:w="630" w:type="dxa"/>
          </w:tcPr>
          <w:p w14:paraId="73A05612" w14:textId="77777777" w:rsidR="000A21ED" w:rsidRPr="004E6A4A" w:rsidRDefault="000A21ED" w:rsidP="00C4419F">
            <w:pPr>
              <w:jc w:val="center"/>
              <w:rPr>
                <w:rFonts w:ascii="Times New Roman" w:eastAsia="Calibri" w:hAnsi="Times New Roman" w:cs="Times New Roman"/>
                <w:i/>
                <w:sz w:val="18"/>
                <w:szCs w:val="18"/>
              </w:rPr>
            </w:pPr>
          </w:p>
        </w:tc>
        <w:tc>
          <w:tcPr>
            <w:tcW w:w="4230" w:type="dxa"/>
          </w:tcPr>
          <w:p w14:paraId="2F7199DC"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11.</w:t>
            </w:r>
            <w:r w:rsidRPr="004E6A4A">
              <w:rPr>
                <w:rFonts w:ascii="Times New Roman" w:eastAsia="Times New Roman" w:hAnsi="Times New Roman" w:cs="Times New Roman"/>
                <w:sz w:val="20"/>
                <w:szCs w:val="20"/>
              </w:rPr>
              <w:tab/>
              <w:t>Termi “Llogari Individuale Paraekzistuese” nënkupton një Llogari Paraekzistuese të mbajtur nga një ose më shumë individë.</w:t>
            </w:r>
          </w:p>
        </w:tc>
        <w:tc>
          <w:tcPr>
            <w:tcW w:w="1350" w:type="dxa"/>
          </w:tcPr>
          <w:p w14:paraId="16E3F830" w14:textId="77777777" w:rsidR="000A21ED" w:rsidRPr="004E6A4A" w:rsidRDefault="000A21ED" w:rsidP="00C4419F">
            <w:pPr>
              <w:jc w:val="center"/>
              <w:rPr>
                <w:rFonts w:ascii="Times New Roman" w:eastAsia="Calibri" w:hAnsi="Times New Roman" w:cs="Times New Roman"/>
                <w:sz w:val="18"/>
                <w:szCs w:val="18"/>
              </w:rPr>
            </w:pPr>
          </w:p>
        </w:tc>
        <w:tc>
          <w:tcPr>
            <w:tcW w:w="810" w:type="dxa"/>
          </w:tcPr>
          <w:p w14:paraId="42B4FDBD" w14:textId="77777777" w:rsidR="000A21ED" w:rsidRPr="004E6A4A" w:rsidRDefault="000A21ED" w:rsidP="00C4419F">
            <w:pPr>
              <w:jc w:val="center"/>
              <w:rPr>
                <w:rFonts w:ascii="Times New Roman" w:eastAsia="Times New Roman" w:hAnsi="Times New Roman" w:cs="Times New Roman"/>
                <w:sz w:val="20"/>
                <w:szCs w:val="21"/>
                <w:lang w:eastAsia="sq-AL"/>
              </w:rPr>
            </w:pPr>
          </w:p>
        </w:tc>
        <w:tc>
          <w:tcPr>
            <w:tcW w:w="4590" w:type="dxa"/>
          </w:tcPr>
          <w:p w14:paraId="342867F6" w14:textId="77777777" w:rsidR="00FA0CFF" w:rsidRPr="004E6A4A" w:rsidRDefault="00144445">
            <w:pPr>
              <w:jc w:val="center"/>
            </w:pPr>
            <w:r w:rsidRPr="004E6A4A">
              <w:rPr>
                <w:rFonts w:ascii="Times New Roman" w:eastAsia="Times New Roman" w:hAnsi="Times New Roman" w:cs="Times New Roman"/>
                <w:b/>
                <w:sz w:val="20"/>
              </w:rPr>
              <w:t>Ligji: Neni 5</w:t>
            </w:r>
          </w:p>
          <w:p w14:paraId="0D291672" w14:textId="77777777" w:rsidR="00FA0CFF" w:rsidRPr="004E6A4A" w:rsidRDefault="00144445">
            <w:pPr>
              <w:jc w:val="center"/>
            </w:pPr>
            <w:r w:rsidRPr="004E6A4A">
              <w:rPr>
                <w:rFonts w:ascii="Times New Roman" w:eastAsia="Times New Roman" w:hAnsi="Times New Roman" w:cs="Times New Roman"/>
                <w:b/>
                <w:sz w:val="20"/>
              </w:rPr>
              <w:t>Përkufizime</w:t>
            </w:r>
          </w:p>
          <w:p w14:paraId="7C4ED13A" w14:textId="77777777" w:rsidR="00FA0CFF" w:rsidRPr="004E6A4A" w:rsidRDefault="00144445">
            <w:pPr>
              <w:jc w:val="both"/>
            </w:pPr>
            <w:r w:rsidRPr="004E6A4A">
              <w:rPr>
                <w:rFonts w:ascii="Times New Roman" w:eastAsia="Times New Roman" w:hAnsi="Times New Roman" w:cs="Times New Roman"/>
                <w:sz w:val="20"/>
              </w:rPr>
              <w:t>49. “Llogari individuale paraekzistuese” është një llogari paraekzistuese e mbajtur nga një ose disa individë.</w:t>
            </w:r>
          </w:p>
        </w:tc>
        <w:tc>
          <w:tcPr>
            <w:tcW w:w="1620" w:type="dxa"/>
          </w:tcPr>
          <w:p w14:paraId="74719C89" w14:textId="77777777" w:rsidR="00BC33AD" w:rsidRPr="004E6A4A" w:rsidRDefault="00BC33AD" w:rsidP="00C4419F">
            <w:pPr>
              <w:jc w:val="center"/>
              <w:rPr>
                <w:rFonts w:ascii="Times New Roman" w:eastAsia="Calibri" w:hAnsi="Times New Roman" w:cs="Times New Roman"/>
                <w:sz w:val="18"/>
                <w:szCs w:val="18"/>
              </w:rPr>
            </w:pPr>
          </w:p>
          <w:p w14:paraId="56446F66" w14:textId="7ADFBD64" w:rsidR="000A21ED" w:rsidRPr="004E6A4A" w:rsidRDefault="00BC33AD"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76BD98A6"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Përputhet.</w:t>
            </w:r>
          </w:p>
          <w:p w14:paraId="62961ECD"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Transpozohet nga neni 5, pika 49, i projektligjit.</w:t>
            </w:r>
          </w:p>
        </w:tc>
      </w:tr>
      <w:tr w:rsidR="004E6A4A" w:rsidRPr="004E6A4A" w14:paraId="05BCFDF4" w14:textId="77777777" w:rsidTr="00153084">
        <w:trPr>
          <w:trHeight w:val="764"/>
        </w:trPr>
        <w:tc>
          <w:tcPr>
            <w:tcW w:w="630" w:type="dxa"/>
          </w:tcPr>
          <w:p w14:paraId="7616D19B" w14:textId="77777777" w:rsidR="000A21ED" w:rsidRPr="004E6A4A" w:rsidRDefault="000A21ED" w:rsidP="00C4419F">
            <w:pPr>
              <w:jc w:val="center"/>
              <w:rPr>
                <w:rFonts w:ascii="Times New Roman" w:eastAsia="Calibri" w:hAnsi="Times New Roman" w:cs="Times New Roman"/>
                <w:i/>
                <w:sz w:val="18"/>
                <w:szCs w:val="18"/>
              </w:rPr>
            </w:pPr>
          </w:p>
        </w:tc>
        <w:tc>
          <w:tcPr>
            <w:tcW w:w="4230" w:type="dxa"/>
          </w:tcPr>
          <w:p w14:paraId="34287A1C"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12.</w:t>
            </w:r>
            <w:r w:rsidRPr="004E6A4A">
              <w:rPr>
                <w:rFonts w:ascii="Times New Roman" w:eastAsia="Times New Roman" w:hAnsi="Times New Roman" w:cs="Times New Roman"/>
                <w:sz w:val="20"/>
                <w:szCs w:val="20"/>
              </w:rPr>
              <w:tab/>
              <w:t>Termi “Llogari e Re Individuale” nënkupton një Llogari të Re të mbajtur nga një ose më shumë individë.</w:t>
            </w:r>
          </w:p>
        </w:tc>
        <w:tc>
          <w:tcPr>
            <w:tcW w:w="1350" w:type="dxa"/>
          </w:tcPr>
          <w:p w14:paraId="558190C1" w14:textId="77777777" w:rsidR="000A21ED" w:rsidRPr="004E6A4A" w:rsidRDefault="000A21ED" w:rsidP="00C4419F">
            <w:pPr>
              <w:jc w:val="center"/>
              <w:rPr>
                <w:rFonts w:ascii="Times New Roman" w:eastAsia="Calibri" w:hAnsi="Times New Roman" w:cs="Times New Roman"/>
                <w:sz w:val="18"/>
                <w:szCs w:val="18"/>
              </w:rPr>
            </w:pPr>
          </w:p>
        </w:tc>
        <w:tc>
          <w:tcPr>
            <w:tcW w:w="810" w:type="dxa"/>
          </w:tcPr>
          <w:p w14:paraId="669B235D" w14:textId="77777777" w:rsidR="000A21ED" w:rsidRPr="004E6A4A" w:rsidRDefault="000A21ED" w:rsidP="00C4419F">
            <w:pPr>
              <w:jc w:val="center"/>
              <w:rPr>
                <w:rFonts w:ascii="Times New Roman" w:eastAsia="Times New Roman" w:hAnsi="Times New Roman" w:cs="Times New Roman"/>
                <w:sz w:val="20"/>
                <w:szCs w:val="21"/>
                <w:lang w:eastAsia="sq-AL"/>
              </w:rPr>
            </w:pPr>
          </w:p>
        </w:tc>
        <w:tc>
          <w:tcPr>
            <w:tcW w:w="4590" w:type="dxa"/>
          </w:tcPr>
          <w:p w14:paraId="0FE163A2" w14:textId="77777777" w:rsidR="00FA0CFF" w:rsidRPr="004E6A4A" w:rsidRDefault="00144445">
            <w:pPr>
              <w:jc w:val="center"/>
            </w:pPr>
            <w:r w:rsidRPr="004E6A4A">
              <w:rPr>
                <w:rFonts w:ascii="Times New Roman" w:eastAsia="Times New Roman" w:hAnsi="Times New Roman" w:cs="Times New Roman"/>
                <w:b/>
                <w:sz w:val="20"/>
              </w:rPr>
              <w:t>Ligji: Neni 5</w:t>
            </w:r>
          </w:p>
          <w:p w14:paraId="54B80110" w14:textId="77777777" w:rsidR="00FA0CFF" w:rsidRPr="004E6A4A" w:rsidRDefault="00144445">
            <w:pPr>
              <w:jc w:val="center"/>
            </w:pPr>
            <w:r w:rsidRPr="004E6A4A">
              <w:rPr>
                <w:rFonts w:ascii="Times New Roman" w:eastAsia="Times New Roman" w:hAnsi="Times New Roman" w:cs="Times New Roman"/>
                <w:b/>
                <w:sz w:val="20"/>
              </w:rPr>
              <w:t>Përkufizime</w:t>
            </w:r>
          </w:p>
          <w:p w14:paraId="320D9A08" w14:textId="77777777" w:rsidR="00FA0CFF" w:rsidRPr="004E6A4A" w:rsidRDefault="00144445">
            <w:pPr>
              <w:jc w:val="both"/>
            </w:pPr>
            <w:r w:rsidRPr="004E6A4A">
              <w:rPr>
                <w:rFonts w:ascii="Times New Roman" w:eastAsia="Times New Roman" w:hAnsi="Times New Roman" w:cs="Times New Roman"/>
                <w:sz w:val="20"/>
              </w:rPr>
              <w:t>47. “Llogari e re individuale” është një llogari e re e mbajtur nga një ose më shumë individë.</w:t>
            </w:r>
          </w:p>
        </w:tc>
        <w:tc>
          <w:tcPr>
            <w:tcW w:w="1620" w:type="dxa"/>
          </w:tcPr>
          <w:p w14:paraId="319821A9" w14:textId="77777777" w:rsidR="00DD4CC1" w:rsidRPr="004E6A4A" w:rsidRDefault="00DD4CC1" w:rsidP="00C4419F">
            <w:pPr>
              <w:jc w:val="center"/>
              <w:rPr>
                <w:rFonts w:ascii="Times New Roman" w:eastAsia="Calibri" w:hAnsi="Times New Roman" w:cs="Times New Roman"/>
                <w:sz w:val="18"/>
                <w:szCs w:val="18"/>
              </w:rPr>
            </w:pPr>
          </w:p>
          <w:p w14:paraId="2515F7E2" w14:textId="0F89B958" w:rsidR="000A21ED" w:rsidRPr="004E6A4A" w:rsidRDefault="00DD4CC1"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4EDAE8DE"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Përputhet.</w:t>
            </w:r>
          </w:p>
          <w:p w14:paraId="3F245CD2"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Transpozohet nga neni 5, pika 47, i projektligjit.</w:t>
            </w:r>
          </w:p>
        </w:tc>
      </w:tr>
      <w:tr w:rsidR="004E6A4A" w:rsidRPr="004E6A4A" w14:paraId="25E0B556" w14:textId="77777777" w:rsidTr="00153084">
        <w:trPr>
          <w:trHeight w:val="764"/>
        </w:trPr>
        <w:tc>
          <w:tcPr>
            <w:tcW w:w="630" w:type="dxa"/>
          </w:tcPr>
          <w:p w14:paraId="3E674026" w14:textId="77777777" w:rsidR="000A21ED" w:rsidRPr="004E6A4A" w:rsidRDefault="000A21ED" w:rsidP="00C4419F">
            <w:pPr>
              <w:jc w:val="center"/>
              <w:rPr>
                <w:rFonts w:ascii="Times New Roman" w:eastAsia="Calibri" w:hAnsi="Times New Roman" w:cs="Times New Roman"/>
                <w:i/>
                <w:sz w:val="18"/>
                <w:szCs w:val="18"/>
              </w:rPr>
            </w:pPr>
          </w:p>
        </w:tc>
        <w:tc>
          <w:tcPr>
            <w:tcW w:w="4230" w:type="dxa"/>
          </w:tcPr>
          <w:p w14:paraId="7109CBC3"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13.</w:t>
            </w:r>
            <w:r w:rsidRPr="004E6A4A">
              <w:rPr>
                <w:rFonts w:ascii="Times New Roman" w:eastAsia="Times New Roman" w:hAnsi="Times New Roman" w:cs="Times New Roman"/>
                <w:sz w:val="20"/>
                <w:szCs w:val="20"/>
              </w:rPr>
              <w:tab/>
              <w:t>Termi “Llogari Paraekzistuese e Njësisë Ekonomike” nënkupton një Llogari Paraekzistuese të mbajtur nga një ose më shumë Njësi Ekonomike.</w:t>
            </w:r>
          </w:p>
        </w:tc>
        <w:tc>
          <w:tcPr>
            <w:tcW w:w="1350" w:type="dxa"/>
          </w:tcPr>
          <w:p w14:paraId="2A652FA9" w14:textId="77777777" w:rsidR="000A21ED" w:rsidRPr="004E6A4A" w:rsidRDefault="000A21ED" w:rsidP="00C4419F">
            <w:pPr>
              <w:jc w:val="center"/>
              <w:rPr>
                <w:rFonts w:ascii="Times New Roman" w:eastAsia="Calibri" w:hAnsi="Times New Roman" w:cs="Times New Roman"/>
                <w:sz w:val="18"/>
                <w:szCs w:val="18"/>
              </w:rPr>
            </w:pPr>
          </w:p>
        </w:tc>
        <w:tc>
          <w:tcPr>
            <w:tcW w:w="810" w:type="dxa"/>
          </w:tcPr>
          <w:p w14:paraId="06E220B1" w14:textId="77777777" w:rsidR="000A21ED" w:rsidRPr="004E6A4A" w:rsidRDefault="000A21ED" w:rsidP="00C4419F">
            <w:pPr>
              <w:jc w:val="center"/>
              <w:rPr>
                <w:rFonts w:ascii="Times New Roman" w:eastAsia="Times New Roman" w:hAnsi="Times New Roman" w:cs="Times New Roman"/>
                <w:sz w:val="20"/>
                <w:szCs w:val="21"/>
                <w:lang w:eastAsia="sq-AL"/>
              </w:rPr>
            </w:pPr>
          </w:p>
        </w:tc>
        <w:tc>
          <w:tcPr>
            <w:tcW w:w="4590" w:type="dxa"/>
          </w:tcPr>
          <w:p w14:paraId="1FDAF220" w14:textId="77777777" w:rsidR="00FA0CFF" w:rsidRPr="004E6A4A" w:rsidRDefault="00144445">
            <w:pPr>
              <w:jc w:val="center"/>
            </w:pPr>
            <w:r w:rsidRPr="004E6A4A">
              <w:rPr>
                <w:rFonts w:ascii="Times New Roman" w:eastAsia="Times New Roman" w:hAnsi="Times New Roman" w:cs="Times New Roman"/>
                <w:b/>
                <w:sz w:val="20"/>
              </w:rPr>
              <w:t>Ligji: Neni 5</w:t>
            </w:r>
          </w:p>
          <w:p w14:paraId="2D8779E3" w14:textId="77777777" w:rsidR="00FA0CFF" w:rsidRPr="004E6A4A" w:rsidRDefault="00144445">
            <w:pPr>
              <w:jc w:val="center"/>
            </w:pPr>
            <w:r w:rsidRPr="004E6A4A">
              <w:rPr>
                <w:rFonts w:ascii="Times New Roman" w:eastAsia="Times New Roman" w:hAnsi="Times New Roman" w:cs="Times New Roman"/>
                <w:b/>
                <w:sz w:val="20"/>
              </w:rPr>
              <w:t>Përkufizime</w:t>
            </w:r>
          </w:p>
          <w:p w14:paraId="415BBF26" w14:textId="77777777" w:rsidR="00FA0CFF" w:rsidRPr="004E6A4A" w:rsidRDefault="00144445">
            <w:pPr>
              <w:jc w:val="both"/>
            </w:pPr>
            <w:r w:rsidRPr="004E6A4A">
              <w:rPr>
                <w:rFonts w:ascii="Times New Roman" w:eastAsia="Times New Roman" w:hAnsi="Times New Roman" w:cs="Times New Roman"/>
                <w:sz w:val="20"/>
              </w:rPr>
              <w:t>54. “Llogari paraekzistuese e njësisë ekonomike” është një llogari paraekzistuese e mbajtur nga një ose më shumë njësi ekonomike.</w:t>
            </w:r>
          </w:p>
        </w:tc>
        <w:tc>
          <w:tcPr>
            <w:tcW w:w="1620" w:type="dxa"/>
          </w:tcPr>
          <w:p w14:paraId="34DF4EC5" w14:textId="77777777" w:rsidR="00DD4CC1" w:rsidRPr="004E6A4A" w:rsidRDefault="00DD4CC1" w:rsidP="00C4419F">
            <w:pPr>
              <w:jc w:val="center"/>
              <w:rPr>
                <w:rFonts w:ascii="Times New Roman" w:eastAsia="Calibri" w:hAnsi="Times New Roman" w:cs="Times New Roman"/>
                <w:sz w:val="18"/>
                <w:szCs w:val="18"/>
              </w:rPr>
            </w:pPr>
          </w:p>
          <w:p w14:paraId="05DD2405" w14:textId="032EC8F0" w:rsidR="000A21ED" w:rsidRPr="004E6A4A" w:rsidRDefault="00DD4CC1"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77C0EBCB"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Përputhet.</w:t>
            </w:r>
          </w:p>
          <w:p w14:paraId="3F22C687"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Transpozohet nga neni 5, pika 54, i projektligjit.</w:t>
            </w:r>
          </w:p>
        </w:tc>
      </w:tr>
      <w:tr w:rsidR="004E6A4A" w:rsidRPr="004E6A4A" w14:paraId="05186EE2" w14:textId="77777777" w:rsidTr="00153084">
        <w:trPr>
          <w:trHeight w:val="764"/>
        </w:trPr>
        <w:tc>
          <w:tcPr>
            <w:tcW w:w="630" w:type="dxa"/>
          </w:tcPr>
          <w:p w14:paraId="389974F1" w14:textId="77777777" w:rsidR="000A21ED" w:rsidRPr="004E6A4A" w:rsidRDefault="000A21ED" w:rsidP="00C4419F">
            <w:pPr>
              <w:jc w:val="center"/>
              <w:rPr>
                <w:rFonts w:ascii="Times New Roman" w:eastAsia="Calibri" w:hAnsi="Times New Roman" w:cs="Times New Roman"/>
                <w:i/>
                <w:sz w:val="18"/>
                <w:szCs w:val="18"/>
              </w:rPr>
            </w:pPr>
          </w:p>
        </w:tc>
        <w:tc>
          <w:tcPr>
            <w:tcW w:w="4230" w:type="dxa"/>
          </w:tcPr>
          <w:p w14:paraId="34270595"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14.</w:t>
            </w:r>
            <w:r w:rsidRPr="004E6A4A">
              <w:rPr>
                <w:rFonts w:ascii="Times New Roman" w:eastAsia="Times New Roman" w:hAnsi="Times New Roman" w:cs="Times New Roman"/>
                <w:sz w:val="20"/>
                <w:szCs w:val="20"/>
              </w:rPr>
              <w:tab/>
              <w:t>Termi “Llogari me Vlerë më të Ulët” nënkupton një Llogari Individuale Paraekzistuese me gjendje ose vlerë të totalizuar më 31 dhjetor 2015 që nuk e tejkalon një shumë të shprehur në monedhën vendase të çdo shteti anëtar që u korrespondon 1 000 000 USD.</w:t>
            </w:r>
          </w:p>
        </w:tc>
        <w:tc>
          <w:tcPr>
            <w:tcW w:w="1350" w:type="dxa"/>
          </w:tcPr>
          <w:p w14:paraId="058A95B5" w14:textId="77777777" w:rsidR="000A21ED" w:rsidRPr="004E6A4A" w:rsidRDefault="000A21ED" w:rsidP="00C4419F">
            <w:pPr>
              <w:jc w:val="center"/>
              <w:rPr>
                <w:rFonts w:ascii="Times New Roman" w:eastAsia="Calibri" w:hAnsi="Times New Roman" w:cs="Times New Roman"/>
                <w:sz w:val="18"/>
                <w:szCs w:val="18"/>
              </w:rPr>
            </w:pPr>
          </w:p>
        </w:tc>
        <w:tc>
          <w:tcPr>
            <w:tcW w:w="810" w:type="dxa"/>
          </w:tcPr>
          <w:p w14:paraId="309DE159" w14:textId="77777777" w:rsidR="000A21ED" w:rsidRPr="004E6A4A" w:rsidRDefault="000A21ED" w:rsidP="00C4419F">
            <w:pPr>
              <w:jc w:val="center"/>
              <w:rPr>
                <w:rFonts w:ascii="Times New Roman" w:eastAsia="Times New Roman" w:hAnsi="Times New Roman" w:cs="Times New Roman"/>
                <w:sz w:val="20"/>
                <w:szCs w:val="21"/>
                <w:lang w:eastAsia="sq-AL"/>
              </w:rPr>
            </w:pPr>
          </w:p>
        </w:tc>
        <w:tc>
          <w:tcPr>
            <w:tcW w:w="4590" w:type="dxa"/>
          </w:tcPr>
          <w:p w14:paraId="580DE51E" w14:textId="77777777" w:rsidR="00FA0CFF" w:rsidRPr="004E6A4A" w:rsidRDefault="00144445">
            <w:pPr>
              <w:jc w:val="center"/>
            </w:pPr>
            <w:r w:rsidRPr="004E6A4A">
              <w:rPr>
                <w:rFonts w:ascii="Times New Roman" w:eastAsia="Times New Roman" w:hAnsi="Times New Roman" w:cs="Times New Roman"/>
                <w:b/>
                <w:sz w:val="20"/>
              </w:rPr>
              <w:t>Ligji: Neni 5</w:t>
            </w:r>
          </w:p>
          <w:p w14:paraId="281B8E63" w14:textId="77777777" w:rsidR="00FA0CFF" w:rsidRPr="004E6A4A" w:rsidRDefault="00144445">
            <w:pPr>
              <w:jc w:val="center"/>
            </w:pPr>
            <w:r w:rsidRPr="004E6A4A">
              <w:rPr>
                <w:rFonts w:ascii="Times New Roman" w:eastAsia="Times New Roman" w:hAnsi="Times New Roman" w:cs="Times New Roman"/>
                <w:b/>
                <w:sz w:val="20"/>
              </w:rPr>
              <w:t>Përkufizime</w:t>
            </w:r>
          </w:p>
          <w:p w14:paraId="44322150" w14:textId="77777777" w:rsidR="00FA0CFF" w:rsidRPr="004E6A4A" w:rsidRDefault="00144445">
            <w:pPr>
              <w:jc w:val="both"/>
            </w:pPr>
            <w:r w:rsidRPr="004E6A4A">
              <w:rPr>
                <w:rFonts w:ascii="Times New Roman" w:eastAsia="Times New Roman" w:hAnsi="Times New Roman" w:cs="Times New Roman"/>
                <w:sz w:val="20"/>
              </w:rPr>
              <w:t>51. “Llogari me vlerë më të ulët” është një Llogari Individuale Paraekzistuese me një balancë ose vlerë të përgjithshme që:</w:t>
            </w:r>
          </w:p>
          <w:p w14:paraId="5234E07D" w14:textId="77777777" w:rsidR="00FA0CFF" w:rsidRPr="004E6A4A" w:rsidRDefault="00144445">
            <w:pPr>
              <w:jc w:val="both"/>
            </w:pPr>
            <w:r w:rsidRPr="004E6A4A">
              <w:rPr>
                <w:rFonts w:ascii="Times New Roman" w:eastAsia="Times New Roman" w:hAnsi="Times New Roman" w:cs="Times New Roman"/>
                <w:sz w:val="20"/>
              </w:rPr>
              <w:t>a) për profilin e Bashkimit Evropian, më 31 dhjetor 2015 nuk tejkalon ekuivalentin e 1 000 000 USD;</w:t>
            </w:r>
          </w:p>
          <w:p w14:paraId="519500DD" w14:textId="77777777" w:rsidR="00FA0CFF" w:rsidRPr="004E6A4A" w:rsidRDefault="00144445">
            <w:pPr>
              <w:jc w:val="both"/>
            </w:pPr>
            <w:r w:rsidRPr="004E6A4A">
              <w:rPr>
                <w:rFonts w:ascii="Times New Roman" w:eastAsia="Times New Roman" w:hAnsi="Times New Roman" w:cs="Times New Roman"/>
                <w:sz w:val="20"/>
              </w:rPr>
              <w:t>b) për profilin e Standardit të Përbashkët të Raportimit, më 31 dhjetor 2018 nuk tejkalon 1 000 000 USD.</w:t>
            </w:r>
          </w:p>
          <w:p w14:paraId="5C4EF5E0" w14:textId="77777777" w:rsidR="00FA0CFF" w:rsidRPr="004E6A4A" w:rsidRDefault="00FA0CFF"/>
          <w:p w14:paraId="74FFAE24" w14:textId="180B1419" w:rsidR="00FA0CFF" w:rsidRPr="004E6A4A" w:rsidRDefault="00FA0CFF">
            <w:pPr>
              <w:jc w:val="both"/>
            </w:pPr>
          </w:p>
        </w:tc>
        <w:tc>
          <w:tcPr>
            <w:tcW w:w="1620" w:type="dxa"/>
          </w:tcPr>
          <w:p w14:paraId="70DDA1C0" w14:textId="77777777" w:rsidR="000A21ED" w:rsidRPr="004E6A4A" w:rsidRDefault="000A21ED" w:rsidP="00C4419F">
            <w:pPr>
              <w:jc w:val="center"/>
              <w:rPr>
                <w:rFonts w:ascii="Times New Roman" w:eastAsia="Calibri" w:hAnsi="Times New Roman" w:cs="Times New Roman"/>
                <w:sz w:val="18"/>
                <w:szCs w:val="18"/>
              </w:rPr>
            </w:pPr>
          </w:p>
        </w:tc>
        <w:tc>
          <w:tcPr>
            <w:tcW w:w="2970" w:type="dxa"/>
          </w:tcPr>
          <w:p w14:paraId="0FC883E8"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Përputhet.</w:t>
            </w:r>
          </w:p>
          <w:p w14:paraId="1A791341"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Transpozohet nga neni 5, pika 51, i projektligjit.</w:t>
            </w:r>
          </w:p>
        </w:tc>
      </w:tr>
      <w:tr w:rsidR="004E6A4A" w:rsidRPr="004E6A4A" w14:paraId="2829C8CE" w14:textId="77777777" w:rsidTr="00153084">
        <w:trPr>
          <w:trHeight w:val="764"/>
        </w:trPr>
        <w:tc>
          <w:tcPr>
            <w:tcW w:w="630" w:type="dxa"/>
          </w:tcPr>
          <w:p w14:paraId="15628735" w14:textId="77777777" w:rsidR="000A21ED" w:rsidRPr="004E6A4A" w:rsidRDefault="000A21ED" w:rsidP="00C4419F">
            <w:pPr>
              <w:jc w:val="center"/>
              <w:rPr>
                <w:rFonts w:ascii="Times New Roman" w:eastAsia="Calibri" w:hAnsi="Times New Roman" w:cs="Times New Roman"/>
                <w:i/>
                <w:sz w:val="18"/>
                <w:szCs w:val="18"/>
              </w:rPr>
            </w:pPr>
          </w:p>
        </w:tc>
        <w:tc>
          <w:tcPr>
            <w:tcW w:w="4230" w:type="dxa"/>
          </w:tcPr>
          <w:p w14:paraId="31E47264"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15.</w:t>
            </w:r>
            <w:r w:rsidRPr="004E6A4A">
              <w:rPr>
                <w:rFonts w:ascii="Times New Roman" w:eastAsia="Times New Roman" w:hAnsi="Times New Roman" w:cs="Times New Roman"/>
                <w:sz w:val="20"/>
                <w:szCs w:val="20"/>
              </w:rPr>
              <w:tab/>
              <w:t>Termi “Llogari me Vlerë të Madhe” nënkupton një Llogari Individuale Paraekzistuese me gjendje ose vlerë të totalizuar që e tejkalon, më 31 dhjetor 2015 ose më 31 dhjetor të çdo viti pasardhës, një shumë të shprehur në monedhën vendase të çdo shteti anëtar që u korrespondon 1 000 000 USD.</w:t>
            </w:r>
          </w:p>
        </w:tc>
        <w:tc>
          <w:tcPr>
            <w:tcW w:w="1350" w:type="dxa"/>
          </w:tcPr>
          <w:p w14:paraId="440E40C9" w14:textId="77777777" w:rsidR="000A21ED" w:rsidRPr="004E6A4A" w:rsidRDefault="000A21ED" w:rsidP="00C4419F">
            <w:pPr>
              <w:jc w:val="center"/>
              <w:rPr>
                <w:rFonts w:ascii="Times New Roman" w:eastAsia="Calibri" w:hAnsi="Times New Roman" w:cs="Times New Roman"/>
                <w:sz w:val="18"/>
                <w:szCs w:val="18"/>
              </w:rPr>
            </w:pPr>
          </w:p>
        </w:tc>
        <w:tc>
          <w:tcPr>
            <w:tcW w:w="810" w:type="dxa"/>
          </w:tcPr>
          <w:p w14:paraId="71D83629" w14:textId="77777777" w:rsidR="000A21ED" w:rsidRPr="004E6A4A" w:rsidRDefault="000A21ED" w:rsidP="00C4419F">
            <w:pPr>
              <w:jc w:val="center"/>
              <w:rPr>
                <w:rFonts w:ascii="Times New Roman" w:eastAsia="Times New Roman" w:hAnsi="Times New Roman" w:cs="Times New Roman"/>
                <w:sz w:val="20"/>
                <w:szCs w:val="21"/>
                <w:lang w:eastAsia="sq-AL"/>
              </w:rPr>
            </w:pPr>
          </w:p>
        </w:tc>
        <w:tc>
          <w:tcPr>
            <w:tcW w:w="4590" w:type="dxa"/>
          </w:tcPr>
          <w:p w14:paraId="24052EA3" w14:textId="77777777" w:rsidR="00FA0CFF" w:rsidRPr="004E6A4A" w:rsidRDefault="00144445">
            <w:pPr>
              <w:jc w:val="center"/>
            </w:pPr>
            <w:r w:rsidRPr="004E6A4A">
              <w:rPr>
                <w:rFonts w:ascii="Times New Roman" w:eastAsia="Times New Roman" w:hAnsi="Times New Roman" w:cs="Times New Roman"/>
                <w:b/>
                <w:sz w:val="20"/>
              </w:rPr>
              <w:t>Ligji: Neni 5</w:t>
            </w:r>
          </w:p>
          <w:p w14:paraId="75DAE18D" w14:textId="77777777" w:rsidR="00FA0CFF" w:rsidRPr="004E6A4A" w:rsidRDefault="00144445">
            <w:pPr>
              <w:jc w:val="center"/>
            </w:pPr>
            <w:r w:rsidRPr="004E6A4A">
              <w:rPr>
                <w:rFonts w:ascii="Times New Roman" w:eastAsia="Times New Roman" w:hAnsi="Times New Roman" w:cs="Times New Roman"/>
                <w:b/>
                <w:sz w:val="20"/>
              </w:rPr>
              <w:t>Përkufizime</w:t>
            </w:r>
          </w:p>
          <w:p w14:paraId="690BE338" w14:textId="77777777" w:rsidR="00FA0CFF" w:rsidRPr="004E6A4A" w:rsidRDefault="00144445">
            <w:pPr>
              <w:jc w:val="both"/>
            </w:pPr>
            <w:r w:rsidRPr="004E6A4A">
              <w:rPr>
                <w:rFonts w:ascii="Times New Roman" w:eastAsia="Times New Roman" w:hAnsi="Times New Roman" w:cs="Times New Roman"/>
                <w:sz w:val="20"/>
              </w:rPr>
              <w:t>52. “Llogari me vlerë të madhe” është një Llogari Individuale Paraekzistuese me një balancë ose vlerë të përgjithshme që:</w:t>
            </w:r>
          </w:p>
          <w:p w14:paraId="0818C512" w14:textId="77777777" w:rsidR="00FA0CFF" w:rsidRPr="004E6A4A" w:rsidRDefault="00144445">
            <w:pPr>
              <w:jc w:val="both"/>
            </w:pPr>
            <w:r w:rsidRPr="004E6A4A">
              <w:rPr>
                <w:rFonts w:ascii="Times New Roman" w:eastAsia="Times New Roman" w:hAnsi="Times New Roman" w:cs="Times New Roman"/>
                <w:sz w:val="20"/>
              </w:rPr>
              <w:t>a) për profilin e Bashkimit Evropian, tejkalon ekuivalentin e 1 000 000 USD më 31 dhjetor 2015 ose më 31 dhjetor të çdo viti pasues;</w:t>
            </w:r>
          </w:p>
          <w:p w14:paraId="394D0254" w14:textId="77777777" w:rsidR="00FA0CFF" w:rsidRPr="004E6A4A" w:rsidRDefault="00144445">
            <w:pPr>
              <w:jc w:val="both"/>
            </w:pPr>
            <w:r w:rsidRPr="004E6A4A">
              <w:rPr>
                <w:rFonts w:ascii="Times New Roman" w:eastAsia="Times New Roman" w:hAnsi="Times New Roman" w:cs="Times New Roman"/>
                <w:sz w:val="20"/>
              </w:rPr>
              <w:t>b) për profilin e Standardit të Përbashkët të Raportimit, tejkalon 1 000 000 USD më 31 dhjetor 2018 ose më 31 dhjetor të çdo viti pasues.</w:t>
            </w:r>
          </w:p>
          <w:p w14:paraId="5A5F3298" w14:textId="77777777" w:rsidR="00FA0CFF" w:rsidRPr="004E6A4A" w:rsidRDefault="00FA0CFF"/>
          <w:p w14:paraId="6B5BBEF5" w14:textId="6F0CF5BD" w:rsidR="00FA0CFF" w:rsidRPr="004E6A4A" w:rsidRDefault="00FA0CFF">
            <w:pPr>
              <w:jc w:val="both"/>
            </w:pPr>
          </w:p>
        </w:tc>
        <w:tc>
          <w:tcPr>
            <w:tcW w:w="1620" w:type="dxa"/>
          </w:tcPr>
          <w:p w14:paraId="5B8D43E8" w14:textId="77777777" w:rsidR="00DD4CC1" w:rsidRPr="004E6A4A" w:rsidRDefault="00DD4CC1" w:rsidP="00C4419F">
            <w:pPr>
              <w:jc w:val="center"/>
              <w:rPr>
                <w:rFonts w:ascii="Times New Roman" w:eastAsia="Calibri" w:hAnsi="Times New Roman" w:cs="Times New Roman"/>
                <w:sz w:val="18"/>
                <w:szCs w:val="18"/>
              </w:rPr>
            </w:pPr>
          </w:p>
          <w:p w14:paraId="10D0B9B3" w14:textId="2DB388A1" w:rsidR="000A21ED" w:rsidRPr="004E6A4A" w:rsidRDefault="00DD4CC1"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39B9AC20"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Përputhet.</w:t>
            </w:r>
          </w:p>
          <w:p w14:paraId="230D097D"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Transpozohet nga neni 5, pika 52, i projektligjit.</w:t>
            </w:r>
          </w:p>
        </w:tc>
      </w:tr>
      <w:tr w:rsidR="004E6A4A" w:rsidRPr="004E6A4A" w14:paraId="47DB77D4" w14:textId="77777777" w:rsidTr="00153084">
        <w:trPr>
          <w:trHeight w:val="764"/>
        </w:trPr>
        <w:tc>
          <w:tcPr>
            <w:tcW w:w="630" w:type="dxa"/>
          </w:tcPr>
          <w:p w14:paraId="66096073" w14:textId="77777777" w:rsidR="000A21ED" w:rsidRPr="004E6A4A" w:rsidRDefault="000A21ED" w:rsidP="00C4419F">
            <w:pPr>
              <w:jc w:val="center"/>
              <w:rPr>
                <w:rFonts w:ascii="Times New Roman" w:eastAsia="Calibri" w:hAnsi="Times New Roman" w:cs="Times New Roman"/>
                <w:i/>
                <w:sz w:val="18"/>
                <w:szCs w:val="18"/>
              </w:rPr>
            </w:pPr>
          </w:p>
        </w:tc>
        <w:tc>
          <w:tcPr>
            <w:tcW w:w="4230" w:type="dxa"/>
          </w:tcPr>
          <w:p w14:paraId="4631CD49"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16.</w:t>
            </w:r>
            <w:r w:rsidRPr="004E6A4A">
              <w:rPr>
                <w:rFonts w:ascii="Times New Roman" w:eastAsia="Times New Roman" w:hAnsi="Times New Roman" w:cs="Times New Roman"/>
                <w:sz w:val="20"/>
                <w:szCs w:val="20"/>
              </w:rPr>
              <w:tab/>
              <w:t>Termi “Llogari e Re e Njësisë Ekonomike” nënkupton një Llogari të Re të mbajtur nga një ose më shumë Njësi Ekonomike.</w:t>
            </w:r>
          </w:p>
        </w:tc>
        <w:tc>
          <w:tcPr>
            <w:tcW w:w="1350" w:type="dxa"/>
          </w:tcPr>
          <w:p w14:paraId="16D0F009" w14:textId="77777777" w:rsidR="000A21ED" w:rsidRPr="004E6A4A" w:rsidRDefault="000A21ED" w:rsidP="00C4419F">
            <w:pPr>
              <w:jc w:val="center"/>
              <w:rPr>
                <w:rFonts w:ascii="Times New Roman" w:eastAsia="Calibri" w:hAnsi="Times New Roman" w:cs="Times New Roman"/>
                <w:sz w:val="18"/>
                <w:szCs w:val="18"/>
              </w:rPr>
            </w:pPr>
          </w:p>
        </w:tc>
        <w:tc>
          <w:tcPr>
            <w:tcW w:w="810" w:type="dxa"/>
          </w:tcPr>
          <w:p w14:paraId="6895565E" w14:textId="77777777" w:rsidR="000A21ED" w:rsidRPr="004E6A4A" w:rsidRDefault="000A21ED" w:rsidP="00C4419F">
            <w:pPr>
              <w:jc w:val="center"/>
              <w:rPr>
                <w:rFonts w:ascii="Times New Roman" w:eastAsia="Times New Roman" w:hAnsi="Times New Roman" w:cs="Times New Roman"/>
                <w:sz w:val="20"/>
                <w:szCs w:val="21"/>
                <w:lang w:eastAsia="sq-AL"/>
              </w:rPr>
            </w:pPr>
          </w:p>
        </w:tc>
        <w:tc>
          <w:tcPr>
            <w:tcW w:w="4590" w:type="dxa"/>
          </w:tcPr>
          <w:p w14:paraId="7F9D514B" w14:textId="77777777" w:rsidR="00FA0CFF" w:rsidRPr="004E6A4A" w:rsidRDefault="00144445">
            <w:pPr>
              <w:jc w:val="center"/>
            </w:pPr>
            <w:r w:rsidRPr="004E6A4A">
              <w:rPr>
                <w:rFonts w:ascii="Times New Roman" w:eastAsia="Times New Roman" w:hAnsi="Times New Roman" w:cs="Times New Roman"/>
                <w:b/>
                <w:sz w:val="20"/>
              </w:rPr>
              <w:t>Ligji: Neni 5</w:t>
            </w:r>
          </w:p>
          <w:p w14:paraId="51449A0A" w14:textId="77777777" w:rsidR="00FA0CFF" w:rsidRPr="004E6A4A" w:rsidRDefault="00144445">
            <w:pPr>
              <w:jc w:val="center"/>
            </w:pPr>
            <w:r w:rsidRPr="004E6A4A">
              <w:rPr>
                <w:rFonts w:ascii="Times New Roman" w:eastAsia="Times New Roman" w:hAnsi="Times New Roman" w:cs="Times New Roman"/>
                <w:b/>
                <w:sz w:val="20"/>
              </w:rPr>
              <w:t>Përkufizime</w:t>
            </w:r>
          </w:p>
          <w:p w14:paraId="4FD64BC5" w14:textId="77777777" w:rsidR="00FA0CFF" w:rsidRPr="004E6A4A" w:rsidRDefault="00144445">
            <w:pPr>
              <w:jc w:val="both"/>
            </w:pPr>
            <w:r w:rsidRPr="004E6A4A">
              <w:rPr>
                <w:rFonts w:ascii="Times New Roman" w:eastAsia="Times New Roman" w:hAnsi="Times New Roman" w:cs="Times New Roman"/>
                <w:sz w:val="20"/>
              </w:rPr>
              <w:t>46. “Llogari e re e njësisë ekonomike” është një llogari e re e mbajtur nga një ose më shumë njësi ekonomike.</w:t>
            </w:r>
          </w:p>
        </w:tc>
        <w:tc>
          <w:tcPr>
            <w:tcW w:w="1620" w:type="dxa"/>
          </w:tcPr>
          <w:p w14:paraId="4A5F90C1" w14:textId="77777777" w:rsidR="00DD4CC1" w:rsidRPr="004E6A4A" w:rsidRDefault="00DD4CC1" w:rsidP="00C4419F">
            <w:pPr>
              <w:jc w:val="center"/>
              <w:rPr>
                <w:rFonts w:ascii="Times New Roman" w:eastAsia="Calibri" w:hAnsi="Times New Roman" w:cs="Times New Roman"/>
                <w:sz w:val="18"/>
                <w:szCs w:val="18"/>
              </w:rPr>
            </w:pPr>
          </w:p>
          <w:p w14:paraId="006CB873" w14:textId="12BBD177" w:rsidR="000A21ED" w:rsidRPr="004E6A4A" w:rsidRDefault="00DD4CC1"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6B25B21C"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Përputhet.</w:t>
            </w:r>
          </w:p>
          <w:p w14:paraId="202ECB71"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Transpozohet nga neni 5, pika 46, i projektligjit.</w:t>
            </w:r>
          </w:p>
        </w:tc>
      </w:tr>
      <w:tr w:rsidR="004E6A4A" w:rsidRPr="004E6A4A" w14:paraId="0843BDAF" w14:textId="77777777" w:rsidTr="00153084">
        <w:trPr>
          <w:trHeight w:val="764"/>
        </w:trPr>
        <w:tc>
          <w:tcPr>
            <w:tcW w:w="630" w:type="dxa"/>
          </w:tcPr>
          <w:p w14:paraId="4990E34C" w14:textId="77777777" w:rsidR="000A21ED" w:rsidRPr="004E6A4A" w:rsidRDefault="000A21ED" w:rsidP="00C4419F">
            <w:pPr>
              <w:jc w:val="center"/>
              <w:rPr>
                <w:rFonts w:ascii="Times New Roman" w:eastAsia="Calibri" w:hAnsi="Times New Roman" w:cs="Times New Roman"/>
                <w:i/>
                <w:sz w:val="18"/>
                <w:szCs w:val="18"/>
              </w:rPr>
            </w:pPr>
          </w:p>
        </w:tc>
        <w:tc>
          <w:tcPr>
            <w:tcW w:w="4230" w:type="dxa"/>
          </w:tcPr>
          <w:p w14:paraId="3E3F7DDA"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17.</w:t>
            </w:r>
            <w:r w:rsidRPr="004E6A4A">
              <w:rPr>
                <w:rFonts w:ascii="Times New Roman" w:eastAsia="Times New Roman" w:hAnsi="Times New Roman" w:cs="Times New Roman"/>
                <w:sz w:val="20"/>
                <w:szCs w:val="20"/>
              </w:rPr>
              <w:tab/>
              <w:t>Termi “Llogari e Përjashtuar” nënkupton cilëndo nga llogaritë e mëposhtme:</w:t>
            </w:r>
          </w:p>
          <w:p w14:paraId="24CBD8D5"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(a)</w:t>
            </w:r>
            <w:r w:rsidRPr="004E6A4A">
              <w:rPr>
                <w:rFonts w:ascii="Times New Roman" w:eastAsia="Times New Roman" w:hAnsi="Times New Roman" w:cs="Times New Roman"/>
                <w:sz w:val="20"/>
                <w:szCs w:val="20"/>
              </w:rPr>
              <w:tab/>
              <w:t>një llogari pensioni që përmbush kërkesat e mëposhtme:</w:t>
            </w:r>
          </w:p>
          <w:p w14:paraId="3B4A258B" w14:textId="77777777" w:rsidR="008C56DE" w:rsidRPr="004E6A4A" w:rsidRDefault="008C56DE">
            <w:pPr>
              <w:jc w:val="both"/>
              <w:rPr>
                <w:rFonts w:ascii="Times New Roman" w:eastAsia="Times New Roman" w:hAnsi="Times New Roman" w:cs="Times New Roman"/>
                <w:sz w:val="20"/>
                <w:szCs w:val="20"/>
              </w:rPr>
            </w:pPr>
          </w:p>
          <w:p w14:paraId="268F07E2"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(i)</w:t>
            </w:r>
            <w:r w:rsidRPr="004E6A4A">
              <w:rPr>
                <w:rFonts w:ascii="Times New Roman" w:eastAsia="Times New Roman" w:hAnsi="Times New Roman" w:cs="Times New Roman"/>
                <w:sz w:val="20"/>
                <w:szCs w:val="20"/>
              </w:rPr>
              <w:tab/>
              <w:t>llogaria i nënshtrohet rregullimit si llogari personale pensioni ose është pjesë e një skeme pensioni të regjistruar ose të rregulluar për dhënien e përfitimeve të pensionit (përfshirë përfitimet e invaliditetit ose në rast vdekjeje);</w:t>
            </w:r>
          </w:p>
          <w:p w14:paraId="582E4064"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(ii)</w:t>
            </w:r>
            <w:r w:rsidRPr="004E6A4A">
              <w:rPr>
                <w:rFonts w:ascii="Times New Roman" w:eastAsia="Times New Roman" w:hAnsi="Times New Roman" w:cs="Times New Roman"/>
                <w:sz w:val="20"/>
                <w:szCs w:val="20"/>
              </w:rPr>
              <w:tab/>
              <w:t>llogaria gëzon trajtim tatimor të favorshëm (d.m.th., kontributet në llogari që përndryshe do t’i nënshtroheshin tatimit zbriten ose përjashtohen nga të ardhurat bruto të Mbajtësit të Llogarisë ose tatohen me normë të reduktuar, ose tatimi mbi të ardhurat nga investimet e llogarisë shtyhet ose zbatohet me normë të reduktuar);</w:t>
            </w:r>
          </w:p>
          <w:p w14:paraId="01692DA0"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(iii)</w:t>
            </w:r>
            <w:r w:rsidRPr="004E6A4A">
              <w:rPr>
                <w:rFonts w:ascii="Times New Roman" w:eastAsia="Times New Roman" w:hAnsi="Times New Roman" w:cs="Times New Roman"/>
                <w:sz w:val="20"/>
                <w:szCs w:val="20"/>
              </w:rPr>
              <w:tab/>
              <w:t>kërkohet raportimi i informacionit tek autoritetet tatimore në lidhje me llogarinë;</w:t>
            </w:r>
          </w:p>
          <w:p w14:paraId="3B07F8D1"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(iv)</w:t>
            </w:r>
            <w:r w:rsidRPr="004E6A4A">
              <w:rPr>
                <w:rFonts w:ascii="Times New Roman" w:eastAsia="Times New Roman" w:hAnsi="Times New Roman" w:cs="Times New Roman"/>
                <w:sz w:val="20"/>
                <w:szCs w:val="20"/>
              </w:rPr>
              <w:tab/>
              <w:t>tërheqjet kushtëzohen me arritjen e një moshe të specifikuar pensioni, me invaliditetin ose me vdekjen, ose zbatohen penalitete për tërheqjet e bëra përpara këtyre ngjarjeve të specifikuara; dhe</w:t>
            </w:r>
          </w:p>
          <w:p w14:paraId="3BE12B6A" w14:textId="77777777" w:rsidR="008C56DE" w:rsidRPr="004E6A4A" w:rsidRDefault="008C56DE">
            <w:pPr>
              <w:jc w:val="both"/>
              <w:rPr>
                <w:rFonts w:ascii="Times New Roman" w:eastAsia="Times New Roman" w:hAnsi="Times New Roman" w:cs="Times New Roman"/>
                <w:sz w:val="20"/>
                <w:szCs w:val="20"/>
              </w:rPr>
            </w:pPr>
          </w:p>
          <w:p w14:paraId="484B5D5F"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(v)</w:t>
            </w:r>
            <w:r w:rsidRPr="004E6A4A">
              <w:rPr>
                <w:rFonts w:ascii="Times New Roman" w:eastAsia="Times New Roman" w:hAnsi="Times New Roman" w:cs="Times New Roman"/>
                <w:sz w:val="20"/>
                <w:szCs w:val="20"/>
              </w:rPr>
              <w:tab/>
              <w:t xml:space="preserve">ose (i) kontributet vjetore kufizohen në një shumë të shprehur në monedhën vendase të çdo shteti anëtar që u korrespondon 50 000 USD ose më pak; ose (ii) ka një kufi maksimal të kontributeve gjatë gjithë jetës në llogari në një </w:t>
            </w:r>
            <w:r w:rsidRPr="004E6A4A">
              <w:rPr>
                <w:rFonts w:ascii="Times New Roman" w:eastAsia="Times New Roman" w:hAnsi="Times New Roman" w:cs="Times New Roman"/>
                <w:sz w:val="20"/>
                <w:szCs w:val="20"/>
              </w:rPr>
              <w:lastRenderedPageBreak/>
              <w:t>shumë të shprehur në monedhën vendase të çdo shteti anëtar që u korrespondon 1 000 000 USD ose më pak, duke zbatuar në secilin rast rregullat e përcaktuara në paragrafin C të Seksionit VII për totalizimin e llogarive dhe konvertimin e monedhës.</w:t>
            </w:r>
          </w:p>
          <w:p w14:paraId="0E49D384"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Një Llogari Financiare që përndryshe përmbush kërkesën e nënparagrafit C(17)(a)(v) nuk e humbet përmbushjen e kësaj kërkese vetëm për shkak se kjo Llogari Financiare mund të marrë aktive ose fonde të transferuara nga një ose më shumë Llogari Financiare që përmbushin kërkesat e nënparagrafit C(17)(a) ose (b) ose nga një ose më shumë fonde pensioni që përmbushin kërkesat e cilitdo prej nënparagrafëve B(5) deri në (7);</w:t>
            </w:r>
          </w:p>
          <w:p w14:paraId="414425CD"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(b)</w:t>
            </w:r>
            <w:r w:rsidRPr="004E6A4A">
              <w:rPr>
                <w:rFonts w:ascii="Times New Roman" w:eastAsia="Times New Roman" w:hAnsi="Times New Roman" w:cs="Times New Roman"/>
                <w:sz w:val="20"/>
                <w:szCs w:val="20"/>
              </w:rPr>
              <w:tab/>
              <w:t>një llogari që përmbush kërkesat e mëposhtme:</w:t>
            </w:r>
          </w:p>
          <w:p w14:paraId="6E6B01D0"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(i)</w:t>
            </w:r>
            <w:r w:rsidRPr="004E6A4A">
              <w:rPr>
                <w:rFonts w:ascii="Times New Roman" w:eastAsia="Times New Roman" w:hAnsi="Times New Roman" w:cs="Times New Roman"/>
                <w:sz w:val="20"/>
                <w:szCs w:val="20"/>
              </w:rPr>
              <w:tab/>
              <w:t>llogaria i nënshtrohet rregullimit si instrument investimi për qëllime të ndryshme nga pensioni dhe tregtohet rregullisht në një treg të njohur letrash me vlerë, ose llogaria i nënshtrohet rregullimit si instrument kursimi për qëllime të ndryshme nga pensioni;</w:t>
            </w:r>
          </w:p>
          <w:p w14:paraId="1A316853"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(ii)</w:t>
            </w:r>
            <w:r w:rsidRPr="004E6A4A">
              <w:rPr>
                <w:rFonts w:ascii="Times New Roman" w:eastAsia="Times New Roman" w:hAnsi="Times New Roman" w:cs="Times New Roman"/>
                <w:sz w:val="20"/>
                <w:szCs w:val="20"/>
              </w:rPr>
              <w:tab/>
              <w:t>llogaria gëzon trajtim tatimor të favorshëm (d.m.th., kontributet në llogari që përndryshe do t’i nënshtroheshin tatimit zbriten ose përjashtohen nga të ardhurat bruto të Mbajtësit të Llogarisë ose tatohen me normë të reduktuar, ose tatimi mbi të ardhurat nga investimet e llogarisë shtyhet ose zbatohet me normë të reduktuar);</w:t>
            </w:r>
          </w:p>
          <w:p w14:paraId="747BF105"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(iii)</w:t>
            </w:r>
            <w:r w:rsidRPr="004E6A4A">
              <w:rPr>
                <w:rFonts w:ascii="Times New Roman" w:eastAsia="Times New Roman" w:hAnsi="Times New Roman" w:cs="Times New Roman"/>
                <w:sz w:val="20"/>
                <w:szCs w:val="20"/>
              </w:rPr>
              <w:tab/>
              <w:t>tërheqjet kushtëzohen me përmbushjen e kritereve specifike që lidhen me qëllimin e llogarisë së investimit ose të kursimit (për shembull, dhënia e përfitimeve arsimore ose mjekësore), ose zbatohen penalitete për tërheqjet e bëra përpara përmbushjes së këtyre kritereve; dhe</w:t>
            </w:r>
          </w:p>
          <w:p w14:paraId="51DA47D9"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lastRenderedPageBreak/>
              <w:t xml:space="preserve"> (iv)</w:t>
            </w:r>
            <w:r w:rsidRPr="004E6A4A">
              <w:rPr>
                <w:rFonts w:ascii="Times New Roman" w:eastAsia="Times New Roman" w:hAnsi="Times New Roman" w:cs="Times New Roman"/>
                <w:sz w:val="20"/>
                <w:szCs w:val="20"/>
              </w:rPr>
              <w:tab/>
              <w:t>kontributet vjetore kufizohen në një shumë të shprehur në monedhën vendase të çdo shteti anëtar që u korrespondon 50 000 USD ose më pak, duke zbatuar rregullat e përcaktuara në paragrafin C të Seksionit VII për totalizimin e llogarive dhe konvertimin e monedhës.</w:t>
            </w:r>
          </w:p>
          <w:p w14:paraId="3E033390"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Një Llogari Financiare që përndryshe përmbush kërkesën e nënparagrafit C(17)(b)(iv) nuk e humbet përmbushjen e kësaj kërkese vetëm për shkak se kjo Llogari Financiare mund të marrë aktive ose fonde të transferuara nga një ose më shumë Llogari Financiare që përmbushin kërkesat e nënparagrafit C(17)(a) ose (b) ose nga një ose më shumë fonde pensioni që përmbushin kërkesat e cilitdo prej nënparagrafëve B(5) deri në (7);</w:t>
            </w:r>
          </w:p>
          <w:p w14:paraId="1BDDEC16"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w:t>
            </w:r>
            <w:r w:rsidRPr="004E6A4A">
              <w:rPr>
                <w:rFonts w:ascii="Times New Roman" w:eastAsia="Times New Roman" w:hAnsi="Times New Roman" w:cs="Times New Roman"/>
                <w:sz w:val="20"/>
                <w:szCs w:val="20"/>
              </w:rPr>
              <w:tab/>
              <w:t>një kontratë sigurimi jete me një periudhë mbulimi që përfundon përpara se individi i siguruar të mbushë moshën 90 vjeç, me kusht që kontrata të përmbushë kërkesat e mëposhtme:</w:t>
            </w:r>
          </w:p>
          <w:p w14:paraId="2BB6DA7D"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(i)</w:t>
            </w:r>
            <w:r w:rsidRPr="004E6A4A">
              <w:rPr>
                <w:rFonts w:ascii="Times New Roman" w:eastAsia="Times New Roman" w:hAnsi="Times New Roman" w:cs="Times New Roman"/>
                <w:sz w:val="20"/>
                <w:szCs w:val="20"/>
              </w:rPr>
              <w:tab/>
              <w:t>primet periodike, të cilat nuk ulen me kalimin e kohës, paguhen të paktën një herë në vit gjatë periudhës në të cilën kontrata ekziston ose derisa i siguruari të mbushë moshën 90 vjeç, cilado prej tyre të jetë më e shkurtër;</w:t>
            </w:r>
          </w:p>
          <w:p w14:paraId="20E8C6BA"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(ii)</w:t>
            </w:r>
            <w:r w:rsidRPr="004E6A4A">
              <w:rPr>
                <w:rFonts w:ascii="Times New Roman" w:eastAsia="Times New Roman" w:hAnsi="Times New Roman" w:cs="Times New Roman"/>
                <w:sz w:val="20"/>
                <w:szCs w:val="20"/>
              </w:rPr>
              <w:tab/>
              <w:t>kontrata nuk ka vlerë kontrate në të cilën çdo person mund të ketë akses (nëpërmjet tërheqjes, huas ose në mënyrë tjetër) pa e përfunduar kontratën;</w:t>
            </w:r>
          </w:p>
          <w:p w14:paraId="1D1C94D4"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(iii)</w:t>
            </w:r>
            <w:r w:rsidRPr="004E6A4A">
              <w:rPr>
                <w:rFonts w:ascii="Times New Roman" w:eastAsia="Times New Roman" w:hAnsi="Times New Roman" w:cs="Times New Roman"/>
                <w:sz w:val="20"/>
                <w:szCs w:val="20"/>
              </w:rPr>
              <w:tab/>
              <w:t xml:space="preserve">shuma (e ndryshme nga një përfitim për shkak vdekjeje) e pagueshme me anulimin ose përfundimin e kontratës nuk mund të tejkalojë primet e totalizuara të paguara për kontratën, minus shumën e tarifave për rrezikun e vdekjes, të sëmundjes dhe të shpenzimeve (pavarësisht nëse janë aplikuar realisht ose jo) për periudhën ose periudhat e ekzistencës së kontratës dhe çdo </w:t>
            </w:r>
            <w:r w:rsidRPr="004E6A4A">
              <w:rPr>
                <w:rFonts w:ascii="Times New Roman" w:eastAsia="Times New Roman" w:hAnsi="Times New Roman" w:cs="Times New Roman"/>
                <w:sz w:val="20"/>
                <w:szCs w:val="20"/>
              </w:rPr>
              <w:lastRenderedPageBreak/>
              <w:t>shumë të paguar përpara anulimit ose përfundimit të kontratës; dhe</w:t>
            </w:r>
          </w:p>
          <w:p w14:paraId="6C8658E3"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(iv)</w:t>
            </w:r>
            <w:r w:rsidRPr="004E6A4A">
              <w:rPr>
                <w:rFonts w:ascii="Times New Roman" w:eastAsia="Times New Roman" w:hAnsi="Times New Roman" w:cs="Times New Roman"/>
                <w:sz w:val="20"/>
                <w:szCs w:val="20"/>
              </w:rPr>
              <w:tab/>
              <w:t>kontrata nuk mbahet nga një përfitues i transferimit me shpërblim;</w:t>
            </w:r>
          </w:p>
          <w:p w14:paraId="790CEE6D"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(d)</w:t>
            </w:r>
            <w:r w:rsidRPr="004E6A4A">
              <w:rPr>
                <w:rFonts w:ascii="Times New Roman" w:eastAsia="Times New Roman" w:hAnsi="Times New Roman" w:cs="Times New Roman"/>
                <w:sz w:val="20"/>
                <w:szCs w:val="20"/>
              </w:rPr>
              <w:tab/>
              <w:t>një llogari që mbahet vetëm nga një masë trashëgimore, nëse dokumentacioni për këtë llogari përfshin një kopje të testamentit ose të certifikatës së vdekjes së të ndjerit;</w:t>
            </w:r>
          </w:p>
          <w:p w14:paraId="0023D672"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(e)</w:t>
            </w:r>
            <w:r w:rsidRPr="004E6A4A">
              <w:rPr>
                <w:rFonts w:ascii="Times New Roman" w:eastAsia="Times New Roman" w:hAnsi="Times New Roman" w:cs="Times New Roman"/>
                <w:sz w:val="20"/>
                <w:szCs w:val="20"/>
              </w:rPr>
              <w:tab/>
              <w:t>një llogari e krijuar në lidhje me cilëndo nga sa vijon:</w:t>
            </w:r>
          </w:p>
          <w:p w14:paraId="79E676DA"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(i)</w:t>
            </w:r>
            <w:r w:rsidRPr="004E6A4A">
              <w:rPr>
                <w:rFonts w:ascii="Times New Roman" w:eastAsia="Times New Roman" w:hAnsi="Times New Roman" w:cs="Times New Roman"/>
                <w:sz w:val="20"/>
                <w:szCs w:val="20"/>
              </w:rPr>
              <w:tab/>
              <w:t>një urdhër ose vendim gjykate.</w:t>
            </w:r>
          </w:p>
          <w:p w14:paraId="196A862E"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(ii)</w:t>
            </w:r>
            <w:r w:rsidRPr="004E6A4A">
              <w:rPr>
                <w:rFonts w:ascii="Times New Roman" w:eastAsia="Times New Roman" w:hAnsi="Times New Roman" w:cs="Times New Roman"/>
                <w:sz w:val="20"/>
                <w:szCs w:val="20"/>
              </w:rPr>
              <w:tab/>
              <w:t>një shitje, shkëmbim ose qiradhënie e pasurisë së paluajtshme ose të luajtshme, me kusht që llogaria të përmbushë kërkesat e mëposhtme:</w:t>
            </w:r>
          </w:p>
          <w:p w14:paraId="26AA53AD"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w:t>
            </w:r>
            <w:r w:rsidRPr="004E6A4A">
              <w:rPr>
                <w:rFonts w:ascii="Times New Roman" w:eastAsia="Times New Roman" w:hAnsi="Times New Roman" w:cs="Times New Roman"/>
                <w:sz w:val="20"/>
                <w:szCs w:val="20"/>
              </w:rPr>
              <w:tab/>
              <w:t>llogaria financohet vetëm me një parapagim, kapar, depozitë në një shumë të përshtatshme për të garantuar një detyrim të lidhur drejtpërdrejt me transaksionin, ose me një pagesë të ngjashme, ose financohet me një Aktiv Financiar që depozitohet në llogari në lidhje me shitjen, shkëmbimin ose qiradhënien e pasurisë,</w:t>
            </w:r>
          </w:p>
          <w:p w14:paraId="6F58D9D4"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w:t>
            </w:r>
            <w:r w:rsidRPr="004E6A4A">
              <w:rPr>
                <w:rFonts w:ascii="Times New Roman" w:eastAsia="Times New Roman" w:hAnsi="Times New Roman" w:cs="Times New Roman"/>
                <w:sz w:val="20"/>
                <w:szCs w:val="20"/>
              </w:rPr>
              <w:tab/>
              <w:t>llogaria krijohet dhe përdoret vetëm për të garantuar detyrimin e blerësit për të paguar çmimin e blerjes së pasurisë, të shitësit për të paguar çdo detyrim të kushtëzuar, ose të qiradhënësit ose të qiramarrësit për të paguar çdo dëm në lidhje me pasurinë e dhënë me qira, siç është rënë dakord në kontratën e qirasë,</w:t>
            </w:r>
          </w:p>
          <w:p w14:paraId="3EA98CE2"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w:t>
            </w:r>
            <w:r w:rsidRPr="004E6A4A">
              <w:rPr>
                <w:rFonts w:ascii="Times New Roman" w:eastAsia="Times New Roman" w:hAnsi="Times New Roman" w:cs="Times New Roman"/>
                <w:sz w:val="20"/>
                <w:szCs w:val="20"/>
              </w:rPr>
              <w:tab/>
              <w:t>aktivet e llogarisë, përfshirë të ardhurat e fituara prej tyre, do të paguhen ose do të shpërndahen në mënyrë tjetër në dobi të blerësit, shitësit, qiradhënësit ose qiramarrësit (përfshirë për përmbushjen e detyrimit të këtij personi) kur pasuria shitet, shkëmbehet ose dorëzohet, ose kur qiraja përfundon,</w:t>
            </w:r>
          </w:p>
          <w:p w14:paraId="098E7F1D"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lastRenderedPageBreak/>
              <w:t>—</w:t>
            </w:r>
            <w:r w:rsidRPr="004E6A4A">
              <w:rPr>
                <w:rFonts w:ascii="Times New Roman" w:eastAsia="Times New Roman" w:hAnsi="Times New Roman" w:cs="Times New Roman"/>
                <w:sz w:val="20"/>
                <w:szCs w:val="20"/>
              </w:rPr>
              <w:tab/>
              <w:t>llogaria nuk është llogari marzhi ose llogari e ngjashme e krijuar në lidhje me shitjen ose shkëmbimin e një Aktivi Financiar, dhe</w:t>
            </w:r>
          </w:p>
          <w:p w14:paraId="3AAF3A2D"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w:t>
            </w:r>
            <w:r w:rsidRPr="004E6A4A">
              <w:rPr>
                <w:rFonts w:ascii="Times New Roman" w:eastAsia="Times New Roman" w:hAnsi="Times New Roman" w:cs="Times New Roman"/>
                <w:sz w:val="20"/>
                <w:szCs w:val="20"/>
              </w:rPr>
              <w:tab/>
              <w:t>llogaria nuk lidhet me një llogari të përshkruar në nënparagrafin C(17)(f);</w:t>
            </w:r>
          </w:p>
          <w:p w14:paraId="6F57A47D"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(iii)</w:t>
            </w:r>
            <w:r w:rsidRPr="004E6A4A">
              <w:rPr>
                <w:rFonts w:ascii="Times New Roman" w:eastAsia="Times New Roman" w:hAnsi="Times New Roman" w:cs="Times New Roman"/>
                <w:sz w:val="20"/>
                <w:szCs w:val="20"/>
              </w:rPr>
              <w:tab/>
              <w:t>një detyrim i një Institucioni Financiar që administron një hua të garantuar me pasuri të paluajtshme për të vënë mënjanë një pjesë të një pagese vetëm për të lehtësuar pagesën e tatimeve ose të sigurimit në lidhje me pasurinë e paluajtshme në një moment të mëvonshëm;</w:t>
            </w:r>
          </w:p>
          <w:p w14:paraId="104E4EF1"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(iv)</w:t>
            </w:r>
            <w:r w:rsidRPr="004E6A4A">
              <w:rPr>
                <w:rFonts w:ascii="Times New Roman" w:eastAsia="Times New Roman" w:hAnsi="Times New Roman" w:cs="Times New Roman"/>
                <w:sz w:val="20"/>
                <w:szCs w:val="20"/>
              </w:rPr>
              <w:tab/>
              <w:t>një detyrim i një Institucioni Financiar vetëm për të lehtësuar pagesën e tatimeve në një moment të mëvonshëm;</w:t>
            </w:r>
          </w:p>
          <w:p w14:paraId="27372D06"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(v) themelimi ose rritja e kapitalit të një shoqërie, me kusht që llogaria të përmbushë kërkesat e mëposhtme:</w:t>
            </w:r>
          </w:p>
          <w:p w14:paraId="0AC6FEDF"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 llogaria përdoret vetëm për depozitimin e kapitalit që do të përdoret për qëllimet e themelimit ose të rritjes së kapitalit të një shoqërie, siç parashikohet me ligj;</w:t>
            </w:r>
          </w:p>
          <w:p w14:paraId="0F2C73A0"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 çdo shumë e mbajtur në llogari bllokohet derisa Institucioni Financiar Raportues të marrë një konfirmim të pavarur në lidhje me themelimin ose rritjen e kapitalit;</w:t>
            </w:r>
          </w:p>
          <w:p w14:paraId="375C86F6"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 llogaria mbyllet ose shndërrohet në llogari në emër të shoqërisë pas themelimit ose rritjes së kapitalit;</w:t>
            </w:r>
          </w:p>
          <w:p w14:paraId="73B249EE"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 çdo rimbursim që rezulton nga një themelim ose rritje kapitali e dështuar, pas zbritjes së tarifave të ofruesit të shërbimit dhe tarifave të ngjashme, u bëhet vetëm personave që kanë kontribuar shumat; dhe</w:t>
            </w:r>
          </w:p>
          <w:p w14:paraId="19CB2301"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 llogaria nuk është krijuar më shumë se 12 muaj më parë;</w:t>
            </w:r>
          </w:p>
          <w:p w14:paraId="210A9470"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 xml:space="preserve">(ea) një Llogari Depozite që përfaqëson të gjitha Paratë Elektronike të mbajtura për llogari të një </w:t>
            </w:r>
            <w:r w:rsidRPr="004E6A4A">
              <w:rPr>
                <w:rFonts w:ascii="Times New Roman" w:eastAsia="Times New Roman" w:hAnsi="Times New Roman" w:cs="Times New Roman"/>
                <w:sz w:val="20"/>
                <w:szCs w:val="20"/>
              </w:rPr>
              <w:lastRenderedPageBreak/>
              <w:t>klienti, nëse mesatarja lëvizëse 90-ditore e gjendjes ose vlerës së totalizuar të llogarisë në fund të ditës, gjatë çdo periudhe prej 90 ditësh të njëpasnjëshme, nuk e ka tejkaluar shumën 10 000 USD në asnjë ditë gjatë vitit kalendarik ose periudhës tjetër të përshtatshme raportuese;</w:t>
            </w:r>
          </w:p>
          <w:p w14:paraId="2DED5392"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(f)</w:t>
            </w:r>
            <w:r w:rsidRPr="004E6A4A">
              <w:rPr>
                <w:rFonts w:ascii="Times New Roman" w:eastAsia="Times New Roman" w:hAnsi="Times New Roman" w:cs="Times New Roman"/>
                <w:sz w:val="20"/>
                <w:szCs w:val="20"/>
              </w:rPr>
              <w:tab/>
              <w:t>një Llogari Depozite që përmbush kërkesat e mëposhtme:</w:t>
            </w:r>
          </w:p>
          <w:p w14:paraId="04ABDB70"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(i)</w:t>
            </w:r>
            <w:r w:rsidRPr="004E6A4A">
              <w:rPr>
                <w:rFonts w:ascii="Times New Roman" w:eastAsia="Times New Roman" w:hAnsi="Times New Roman" w:cs="Times New Roman"/>
                <w:sz w:val="20"/>
                <w:szCs w:val="20"/>
              </w:rPr>
              <w:tab/>
              <w:t>llogaria ekziston vetëm për shkak se një klient kryen një pagesë që tejkalon një gjendje detyrimi në lidhje me një kartë krediti ose një linjë tjetër krediti qarkulluese dhe tejpagesa nuk i kthehet menjëherë klientit; dhe</w:t>
            </w:r>
          </w:p>
          <w:p w14:paraId="500E1188"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(ii)</w:t>
            </w:r>
            <w:r w:rsidRPr="004E6A4A">
              <w:rPr>
                <w:rFonts w:ascii="Times New Roman" w:eastAsia="Times New Roman" w:hAnsi="Times New Roman" w:cs="Times New Roman"/>
                <w:sz w:val="20"/>
                <w:szCs w:val="20"/>
              </w:rPr>
              <w:tab/>
              <w:t>duke filluar më ose përpara 1 janarit 2016, Institucioni Financiar zbaton politika dhe procedura që ose e pengojnë një klient të kryejë një tejpagesë mbi një shumë të shprehur në monedhën vendase të çdo shteti anëtar që u korrespondon 50 000 USD, ose sigurojnë që çdo tejpagesë e klientit mbi këtë shumë t’i rimbursohet klientit brenda 60 ditëve, duke zbatuar në secilin rast rregullat e përcaktuara në paragrafin C të Seksionit VII për konvertimin e monedhës. Për këtë qëllim, tejpagesa e klientit nuk i referohet gjendjeve kreditore në masën e tarifave të kontestuara, por përfshin gjendjet kreditore që rezultojnë nga kthimi i mallrave;</w:t>
            </w:r>
          </w:p>
          <w:p w14:paraId="46C370F0"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(g)</w:t>
            </w:r>
            <w:r w:rsidRPr="004E6A4A">
              <w:rPr>
                <w:rFonts w:ascii="Times New Roman" w:eastAsia="Times New Roman" w:hAnsi="Times New Roman" w:cs="Times New Roman"/>
                <w:sz w:val="20"/>
                <w:szCs w:val="20"/>
              </w:rPr>
              <w:tab/>
              <w:t>çdo llogari tjetër që paraqet rrezik të ulët për t’u përdorur për shmangien e tatimeve, ka karakteristika thelbësisht të ngjashme me cilëndo nga llogaritë e përshkruara në nënparagrafët C(17)(a) deri në (f) dhe përfshihet në listën e Llogarive të Përjashtuara të përmendur në nenin 8(7a) të kësaj Direktive, me kusht që statusi i kësaj llogarie si Llogari e Përjashtuar të mos cenojë qëllimet e kësaj Direktive.</w:t>
            </w:r>
          </w:p>
        </w:tc>
        <w:tc>
          <w:tcPr>
            <w:tcW w:w="1350" w:type="dxa"/>
          </w:tcPr>
          <w:p w14:paraId="2173670C" w14:textId="77777777" w:rsidR="000A21ED" w:rsidRPr="004E6A4A" w:rsidRDefault="000A21ED" w:rsidP="00C4419F">
            <w:pPr>
              <w:jc w:val="center"/>
              <w:rPr>
                <w:rFonts w:ascii="Times New Roman" w:eastAsia="Calibri" w:hAnsi="Times New Roman" w:cs="Times New Roman"/>
                <w:sz w:val="18"/>
                <w:szCs w:val="18"/>
              </w:rPr>
            </w:pPr>
          </w:p>
        </w:tc>
        <w:tc>
          <w:tcPr>
            <w:tcW w:w="810" w:type="dxa"/>
          </w:tcPr>
          <w:p w14:paraId="63450E6D" w14:textId="77777777" w:rsidR="000A21ED" w:rsidRPr="004E6A4A" w:rsidRDefault="000A21ED" w:rsidP="00C4419F">
            <w:pPr>
              <w:jc w:val="center"/>
              <w:rPr>
                <w:rFonts w:ascii="Times New Roman" w:eastAsia="Times New Roman" w:hAnsi="Times New Roman" w:cs="Times New Roman"/>
                <w:sz w:val="20"/>
                <w:szCs w:val="21"/>
                <w:lang w:eastAsia="sq-AL"/>
              </w:rPr>
            </w:pPr>
          </w:p>
        </w:tc>
        <w:tc>
          <w:tcPr>
            <w:tcW w:w="4590" w:type="dxa"/>
          </w:tcPr>
          <w:p w14:paraId="52D07B8E" w14:textId="77777777" w:rsidR="00FA0CFF" w:rsidRPr="004E6A4A" w:rsidRDefault="00144445">
            <w:pPr>
              <w:jc w:val="center"/>
            </w:pPr>
            <w:r w:rsidRPr="004E6A4A">
              <w:rPr>
                <w:rFonts w:ascii="Times New Roman" w:eastAsia="Times New Roman" w:hAnsi="Times New Roman" w:cs="Times New Roman"/>
                <w:b/>
                <w:sz w:val="20"/>
              </w:rPr>
              <w:t>Ligji: Neni 5</w:t>
            </w:r>
          </w:p>
          <w:p w14:paraId="2320E4A8" w14:textId="77777777" w:rsidR="00FA0CFF" w:rsidRPr="004E6A4A" w:rsidRDefault="00144445">
            <w:pPr>
              <w:jc w:val="center"/>
            </w:pPr>
            <w:r w:rsidRPr="004E6A4A">
              <w:rPr>
                <w:rFonts w:ascii="Times New Roman" w:eastAsia="Times New Roman" w:hAnsi="Times New Roman" w:cs="Times New Roman"/>
                <w:b/>
                <w:sz w:val="20"/>
              </w:rPr>
              <w:t>Përkufizime</w:t>
            </w:r>
          </w:p>
          <w:p w14:paraId="3FF0D45A" w14:textId="77777777" w:rsidR="00FA0CFF" w:rsidRPr="004E6A4A" w:rsidRDefault="00144445">
            <w:pPr>
              <w:jc w:val="both"/>
            </w:pPr>
            <w:r w:rsidRPr="004E6A4A">
              <w:rPr>
                <w:rFonts w:ascii="Times New Roman" w:eastAsia="Times New Roman" w:hAnsi="Times New Roman" w:cs="Times New Roman"/>
                <w:sz w:val="20"/>
              </w:rPr>
              <w:t>44. “Llogari e përjashtuar” është secila prej llogarive të mëposhtme:</w:t>
            </w:r>
          </w:p>
          <w:p w14:paraId="150F59F0" w14:textId="77777777" w:rsidR="00FA0CFF" w:rsidRPr="004E6A4A" w:rsidRDefault="00144445">
            <w:pPr>
              <w:jc w:val="both"/>
            </w:pPr>
            <w:r w:rsidRPr="004E6A4A">
              <w:rPr>
                <w:rFonts w:ascii="Times New Roman" w:eastAsia="Times New Roman" w:hAnsi="Times New Roman" w:cs="Times New Roman"/>
                <w:sz w:val="20"/>
              </w:rPr>
              <w:t>a) llogaria e pensionit të pleqërisë ose e pensionit që përmbush të gjitha kriteret vijuese:</w:t>
            </w:r>
          </w:p>
          <w:p w14:paraId="08FA0C7B" w14:textId="77777777" w:rsidR="00FA0CFF" w:rsidRPr="004E6A4A" w:rsidRDefault="00144445">
            <w:pPr>
              <w:jc w:val="both"/>
            </w:pPr>
            <w:r w:rsidRPr="004E6A4A">
              <w:rPr>
                <w:rFonts w:ascii="Times New Roman" w:eastAsia="Times New Roman" w:hAnsi="Times New Roman" w:cs="Times New Roman"/>
                <w:sz w:val="20"/>
              </w:rPr>
              <w:t>i) llogaria është objekt rregullimi si llogari personale pensioni ose është pjesë e një skeme pensioni pleqërie të rregulluar dhe të regjistruar ose pensioni tjetër, e cila ofron përfitime pensioni, përfshirë përfitime në rast invaliditeti ose vdekjeje.</w:t>
            </w:r>
          </w:p>
          <w:p w14:paraId="7BBD7850" w14:textId="77777777" w:rsidR="00FA0CFF" w:rsidRPr="004E6A4A" w:rsidRDefault="00144445">
            <w:pPr>
              <w:jc w:val="both"/>
            </w:pPr>
            <w:r w:rsidRPr="004E6A4A">
              <w:rPr>
                <w:rFonts w:ascii="Times New Roman" w:eastAsia="Times New Roman" w:hAnsi="Times New Roman" w:cs="Times New Roman"/>
                <w:sz w:val="20"/>
              </w:rPr>
              <w:t>ii) llogaria është e favorizuar nga pikëpamja tatimore, domethënë kontributet në llogari, të cilat në një kontekst tjetër do të ishin objekt tatimi, zbriten ose përjashtohen nga të ardhurat bruto të mbajtësit të llogarisë ose tatohen në nivele të reduktuara, ose tatimi mbi të ardhurat nga investimi nga llogaria shtyhet ose tatohet në nivele të reduktuara;</w:t>
            </w:r>
          </w:p>
          <w:p w14:paraId="2EBD86A8" w14:textId="77777777" w:rsidR="00FA0CFF" w:rsidRPr="004E6A4A" w:rsidRDefault="00144445">
            <w:pPr>
              <w:jc w:val="both"/>
            </w:pPr>
            <w:r w:rsidRPr="004E6A4A">
              <w:rPr>
                <w:rFonts w:ascii="Times New Roman" w:eastAsia="Times New Roman" w:hAnsi="Times New Roman" w:cs="Times New Roman"/>
                <w:sz w:val="20"/>
              </w:rPr>
              <w:t>iii) lidhur me llogarinë kërkohet raportimi i informacionit pranë autoriteteve tatimore;</w:t>
            </w:r>
          </w:p>
          <w:p w14:paraId="37E39C98" w14:textId="77777777" w:rsidR="00FA0CFF" w:rsidRPr="004E6A4A" w:rsidRDefault="00144445">
            <w:pPr>
              <w:jc w:val="both"/>
            </w:pPr>
            <w:r w:rsidRPr="004E6A4A">
              <w:rPr>
                <w:rFonts w:ascii="Times New Roman" w:eastAsia="Times New Roman" w:hAnsi="Times New Roman" w:cs="Times New Roman"/>
                <w:sz w:val="20"/>
              </w:rPr>
              <w:t>iv) tërheqjet kushtëzohen me arritjen e moshës së specifikuar të pensionit të pleqërisë, invaliditetin ose vdekjen, ose, në të kundërt, zbatohen penalitete për tërheqjet e kryera përpara këtyre ngjarjeve të specifikuara; dhe</w:t>
            </w:r>
          </w:p>
          <w:p w14:paraId="31FB4A96" w14:textId="77777777" w:rsidR="00FA0CFF" w:rsidRPr="004E6A4A" w:rsidRDefault="00144445">
            <w:pPr>
              <w:jc w:val="both"/>
            </w:pPr>
            <w:r w:rsidRPr="004E6A4A">
              <w:rPr>
                <w:rFonts w:ascii="Times New Roman" w:eastAsia="Times New Roman" w:hAnsi="Times New Roman" w:cs="Times New Roman"/>
                <w:sz w:val="20"/>
              </w:rPr>
              <w:t xml:space="preserve">v) kontributet vjetore nuk duhet të kalojnë 50 000 USD ose limiti maksimal i kontributeve gjatë gjithë jetës nuk duhet të kalojë 1 000 000 USD, duke zbatuar në çdo rast rregullat për totalizimin e llogarive dhe </w:t>
            </w:r>
            <w:r w:rsidRPr="004E6A4A">
              <w:rPr>
                <w:rFonts w:ascii="Times New Roman" w:eastAsia="Times New Roman" w:hAnsi="Times New Roman" w:cs="Times New Roman"/>
                <w:sz w:val="20"/>
              </w:rPr>
              <w:lastRenderedPageBreak/>
              <w:t>konvertimin e monedhës të përcaktuara në nenin 12 dhe në aktin nënligjor të nxjerrë në zbatim të këtij ligji.</w:t>
            </w:r>
          </w:p>
          <w:p w14:paraId="10692E64" w14:textId="77777777" w:rsidR="00FA0CFF" w:rsidRPr="004E6A4A" w:rsidRDefault="00144445">
            <w:pPr>
              <w:jc w:val="both"/>
            </w:pPr>
            <w:r w:rsidRPr="004E6A4A">
              <w:rPr>
                <w:rFonts w:ascii="Times New Roman" w:eastAsia="Times New Roman" w:hAnsi="Times New Roman" w:cs="Times New Roman"/>
                <w:sz w:val="20"/>
              </w:rPr>
              <w:t>Një llogari financiare që përmbush gjithashtu kërkesat e nënndarjes “v” të shkronjës “a” të kësaj pike nuk do të konsiderohet se nuk i përmbush këto kërkesa vetëm sepse kjo llogari financiare mund të marrë aktive ose fonde të transferuara nga një ose më shumë llogari financiare që përmbushin kërkesat e shkronjave “a” ose “b” të kësaj pike, ose nga një ose më shumë fonde pensioni ose pleqërie që përmbushin kërkesat e përcaktuara në këtë ligj.</w:t>
            </w:r>
          </w:p>
          <w:p w14:paraId="2E257A43" w14:textId="77777777" w:rsidR="00FA0CFF" w:rsidRPr="004E6A4A" w:rsidRDefault="00144445">
            <w:pPr>
              <w:jc w:val="both"/>
            </w:pPr>
            <w:r w:rsidRPr="004E6A4A">
              <w:rPr>
                <w:rFonts w:ascii="Times New Roman" w:eastAsia="Times New Roman" w:hAnsi="Times New Roman" w:cs="Times New Roman"/>
                <w:sz w:val="20"/>
              </w:rPr>
              <w:t>b) llogaria që përmbush të gjitha kërkesat e mëposhtme:</w:t>
            </w:r>
          </w:p>
          <w:p w14:paraId="6ED01E33" w14:textId="77777777" w:rsidR="00FA0CFF" w:rsidRPr="004E6A4A" w:rsidRDefault="00144445">
            <w:pPr>
              <w:jc w:val="both"/>
            </w:pPr>
            <w:r w:rsidRPr="004E6A4A">
              <w:rPr>
                <w:rFonts w:ascii="Times New Roman" w:eastAsia="Times New Roman" w:hAnsi="Times New Roman" w:cs="Times New Roman"/>
                <w:sz w:val="20"/>
              </w:rPr>
              <w:t>i) llogaria është objekt rregullimi si një instrument investimi për qëllime të ndryshme nga pensioni dhe tregtohet rregullisht në një treg të konsoliduar letrash me vlerë, ose llogaria është objekt rregullimi si instrument kursimi për qëllime të ndryshme nga pensioni;</w:t>
            </w:r>
          </w:p>
          <w:p w14:paraId="41237DC4" w14:textId="77777777" w:rsidR="00FA0CFF" w:rsidRPr="004E6A4A" w:rsidRDefault="00144445">
            <w:pPr>
              <w:jc w:val="both"/>
            </w:pPr>
            <w:r w:rsidRPr="004E6A4A">
              <w:rPr>
                <w:rFonts w:ascii="Times New Roman" w:eastAsia="Times New Roman" w:hAnsi="Times New Roman" w:cs="Times New Roman"/>
                <w:sz w:val="20"/>
              </w:rPr>
              <w:t>ii) llogaria është e favorizuar nga pikëpamja tatimore, domethënë kontributet në llogari, të cilat në një kontekst tjetër do të ishin objekt tatimi, zbriten ose përjashtohen nga të ardhurat bruto të mbajtësit të llogarisë ose tatohen në nivele të reduktuara, ose tatimi mbi të ardhurat nga investimi nga llogaria shtyhet ose tatohet në nivele të reduktuara;</w:t>
            </w:r>
          </w:p>
          <w:p w14:paraId="099CB022" w14:textId="77777777" w:rsidR="00FA0CFF" w:rsidRPr="004E6A4A" w:rsidRDefault="00144445">
            <w:pPr>
              <w:jc w:val="both"/>
            </w:pPr>
            <w:r w:rsidRPr="004E6A4A">
              <w:rPr>
                <w:rFonts w:ascii="Times New Roman" w:eastAsia="Times New Roman" w:hAnsi="Times New Roman" w:cs="Times New Roman"/>
                <w:sz w:val="20"/>
              </w:rPr>
              <w:t>iii) tërheqjet kushtëzohen nga përmbushja e kritereve specifike të lidhura me qëllimin e llogarisë së investimit ose kursimit, për shembull, dhënia e përfitimeve shëndetësore ose arsimore, ose zbatohen penalitete për tërheqjet e kryera përpara përmbushjes së këtyre kritereve; dhe</w:t>
            </w:r>
          </w:p>
          <w:p w14:paraId="5B1DB95A" w14:textId="77777777" w:rsidR="00FA0CFF" w:rsidRPr="004E6A4A" w:rsidRDefault="00144445">
            <w:pPr>
              <w:jc w:val="both"/>
            </w:pPr>
            <w:r w:rsidRPr="004E6A4A">
              <w:rPr>
                <w:rFonts w:ascii="Times New Roman" w:eastAsia="Times New Roman" w:hAnsi="Times New Roman" w:cs="Times New Roman"/>
                <w:sz w:val="20"/>
              </w:rPr>
              <w:t>iv) kontributet vjetore nuk e kalojnë limitin prej 50 000 USD, duke zbatuar rregullat për totalizimin e llogarive dhe konvertimin e monedhës të përcaktuara në nenin 12 dhe në aktin nënligjor të nxjerrë në zbatim të këtij ligji.</w:t>
            </w:r>
          </w:p>
          <w:p w14:paraId="1E5CA9F5" w14:textId="77777777" w:rsidR="00FA0CFF" w:rsidRPr="004E6A4A" w:rsidRDefault="00144445">
            <w:pPr>
              <w:jc w:val="both"/>
            </w:pPr>
            <w:r w:rsidRPr="004E6A4A">
              <w:rPr>
                <w:rFonts w:ascii="Times New Roman" w:eastAsia="Times New Roman" w:hAnsi="Times New Roman" w:cs="Times New Roman"/>
                <w:sz w:val="20"/>
              </w:rPr>
              <w:lastRenderedPageBreak/>
              <w:t>Një llogari financiare që përmbush gjithashtu kërkesat e nënndarjes “iv” të shkronjës “b” të kësaj pike nuk do të konsiderohet se nuk i përmbush këto kërkesa vetëm sepse kjo llogari financiare mund të marrë aktive ose fonde të transferuara nga një ose më shumë llogari financiare që përmbushin kërkesat e shkronjave “a” dhe “b” të kësaj pike, ose nga një ose më shumë fonde pensioni pleqërie ose pensioni që përmbushin kërkesat e përcaktuara në këtë ligj.</w:t>
            </w:r>
          </w:p>
          <w:p w14:paraId="63F0E3EF" w14:textId="77777777" w:rsidR="00FA0CFF" w:rsidRPr="004E6A4A" w:rsidRDefault="00144445">
            <w:pPr>
              <w:jc w:val="both"/>
            </w:pPr>
            <w:r w:rsidRPr="004E6A4A">
              <w:rPr>
                <w:rFonts w:ascii="Times New Roman" w:eastAsia="Times New Roman" w:hAnsi="Times New Roman" w:cs="Times New Roman"/>
                <w:sz w:val="20"/>
              </w:rPr>
              <w:t>c) kontrata e sigurimit të jetës me një periudhë mbulimi që përfundon përpara se individi i siguruar të arrijë moshën 90 vjeç, me kusht që kontrata të përmbushë kërkesat e mëposhtme:</w:t>
            </w:r>
          </w:p>
          <w:p w14:paraId="2B65300D" w14:textId="77777777" w:rsidR="00FA0CFF" w:rsidRPr="004E6A4A" w:rsidRDefault="00144445">
            <w:pPr>
              <w:jc w:val="both"/>
            </w:pPr>
            <w:r w:rsidRPr="004E6A4A">
              <w:rPr>
                <w:rFonts w:ascii="Times New Roman" w:eastAsia="Times New Roman" w:hAnsi="Times New Roman" w:cs="Times New Roman"/>
                <w:sz w:val="20"/>
              </w:rPr>
              <w:t>i) primet periodike, që nuk ulen me kalimin e kohës, paguhen të paktën çdo vit gjatë periudhës së ekzistencës së kontratës ose deri kur i siguruari të arrijë moshën 90 vjeç, cilado periudhë që është më e shkurtër;</w:t>
            </w:r>
          </w:p>
          <w:p w14:paraId="63F12F99" w14:textId="77777777" w:rsidR="00FA0CFF" w:rsidRPr="004E6A4A" w:rsidRDefault="00144445">
            <w:pPr>
              <w:jc w:val="both"/>
            </w:pPr>
            <w:r w:rsidRPr="004E6A4A">
              <w:rPr>
                <w:rFonts w:ascii="Times New Roman" w:eastAsia="Times New Roman" w:hAnsi="Times New Roman" w:cs="Times New Roman"/>
                <w:sz w:val="20"/>
              </w:rPr>
              <w:t>ii) kontrata nuk ka një vlerë kontrate në të cilën çdo person mund të ketë akses, nëpërmjet tërheqjes, huas ose ndryshe, pa e zgjidhur kontratën;</w:t>
            </w:r>
          </w:p>
          <w:p w14:paraId="36BBE85C" w14:textId="77777777" w:rsidR="00FA0CFF" w:rsidRPr="004E6A4A" w:rsidRDefault="00144445">
            <w:pPr>
              <w:jc w:val="both"/>
            </w:pPr>
            <w:r w:rsidRPr="004E6A4A">
              <w:rPr>
                <w:rFonts w:ascii="Times New Roman" w:eastAsia="Times New Roman" w:hAnsi="Times New Roman" w:cs="Times New Roman"/>
                <w:sz w:val="20"/>
              </w:rPr>
              <w:t>iii) shuma, e ndryshme nga përfitimi në rast vdekjeje, që paguhet pas anulimit ose zgjidhjes së kontratës nuk mund të tejkalojë primet e përgjithshme të paguara për kontratën, minus shumën e shpenzimeve në rast vdekjeje ose sëmundjeje dhe tarifat e shpenzimeve, pavarësisht nëse janë vendosur realisht ose jo, për periudhën ose periudhat e ekzistencës së kontratës dhe çdo shumë të paguar përpara anulimit ose zgjidhjes së kontratës;</w:t>
            </w:r>
          </w:p>
          <w:p w14:paraId="61CDDADA" w14:textId="77777777" w:rsidR="00FA0CFF" w:rsidRPr="004E6A4A" w:rsidRDefault="00144445">
            <w:pPr>
              <w:jc w:val="both"/>
            </w:pPr>
            <w:r w:rsidRPr="004E6A4A">
              <w:rPr>
                <w:rFonts w:ascii="Times New Roman" w:eastAsia="Times New Roman" w:hAnsi="Times New Roman" w:cs="Times New Roman"/>
                <w:sz w:val="20"/>
              </w:rPr>
              <w:t>iv) kontrata nuk mbahet nga personi tek i cili transferohet për vlerën e saj.</w:t>
            </w:r>
          </w:p>
          <w:p w14:paraId="3151B756" w14:textId="77777777" w:rsidR="00FA0CFF" w:rsidRPr="004E6A4A" w:rsidRDefault="00144445">
            <w:pPr>
              <w:jc w:val="both"/>
            </w:pPr>
            <w:r w:rsidRPr="004E6A4A">
              <w:rPr>
                <w:rFonts w:ascii="Times New Roman" w:eastAsia="Times New Roman" w:hAnsi="Times New Roman" w:cs="Times New Roman"/>
                <w:sz w:val="20"/>
              </w:rPr>
              <w:t>ç) llogaria e mbajtur vetëm nga pasuria trashëgimore e një personi të vdekur, nëse dokumentacioni për këtë llogari përfshin një kopje të testamentit të personit të vdekur ose certifikatën e vdekjes;</w:t>
            </w:r>
          </w:p>
          <w:p w14:paraId="26F3256D" w14:textId="77777777" w:rsidR="00FA0CFF" w:rsidRPr="004E6A4A" w:rsidRDefault="00144445">
            <w:pPr>
              <w:jc w:val="both"/>
            </w:pPr>
            <w:r w:rsidRPr="004E6A4A">
              <w:rPr>
                <w:rFonts w:ascii="Times New Roman" w:eastAsia="Times New Roman" w:hAnsi="Times New Roman" w:cs="Times New Roman"/>
                <w:sz w:val="20"/>
              </w:rPr>
              <w:lastRenderedPageBreak/>
              <w:t>d) llogaria e krijuar lidhur me secilën nga nënndarjet e mëposhtme:</w:t>
            </w:r>
          </w:p>
          <w:p w14:paraId="58EF8F80" w14:textId="77777777" w:rsidR="00FA0CFF" w:rsidRPr="004E6A4A" w:rsidRDefault="00144445">
            <w:pPr>
              <w:jc w:val="both"/>
            </w:pPr>
            <w:r w:rsidRPr="004E6A4A">
              <w:rPr>
                <w:rFonts w:ascii="Times New Roman" w:eastAsia="Times New Roman" w:hAnsi="Times New Roman" w:cs="Times New Roman"/>
                <w:sz w:val="20"/>
              </w:rPr>
              <w:t>i) një urdhër ose vendim gjykate;</w:t>
            </w:r>
          </w:p>
          <w:p w14:paraId="79611795" w14:textId="77777777" w:rsidR="00FA0CFF" w:rsidRPr="004E6A4A" w:rsidRDefault="00144445">
            <w:pPr>
              <w:jc w:val="both"/>
            </w:pPr>
            <w:r w:rsidRPr="004E6A4A">
              <w:rPr>
                <w:rFonts w:ascii="Times New Roman" w:eastAsia="Times New Roman" w:hAnsi="Times New Roman" w:cs="Times New Roman"/>
                <w:sz w:val="20"/>
              </w:rPr>
              <w:t>ii) një shitje, shkëmbim ose qiradhënie e pasurisë së paluajtshme ose të luajtshme, me kusht që llogaria të përmbushë kërkesat e mëposhtme:</w:t>
            </w:r>
          </w:p>
          <w:p w14:paraId="1CD2B986" w14:textId="77777777" w:rsidR="00FA0CFF" w:rsidRPr="004E6A4A" w:rsidRDefault="00144445">
            <w:pPr>
              <w:jc w:val="both"/>
            </w:pPr>
            <w:r w:rsidRPr="004E6A4A">
              <w:rPr>
                <w:rFonts w:ascii="Times New Roman" w:eastAsia="Times New Roman" w:hAnsi="Times New Roman" w:cs="Times New Roman"/>
                <w:sz w:val="20"/>
              </w:rPr>
              <w:t>llogaria financohet vetëm nga depozitimi i një pagese në llogari si garanci ekzekutimi, në sasinë e mjaftueshme për të garantuar detyrimin e lidhur drejtpërdrejt me transaksionin, ose nga pagesa të ngjashme, ose financohet nga aktivet financiare të depozituara në llogari lidhur me shitjen, shkëmbimin ose qiradhënien e pasurisë;</w:t>
            </w:r>
          </w:p>
          <w:p w14:paraId="5B241009" w14:textId="77777777" w:rsidR="00FA0CFF" w:rsidRPr="004E6A4A" w:rsidRDefault="00144445">
            <w:pPr>
              <w:jc w:val="both"/>
            </w:pPr>
            <w:r w:rsidRPr="004E6A4A">
              <w:rPr>
                <w:rFonts w:ascii="Times New Roman" w:eastAsia="Times New Roman" w:hAnsi="Times New Roman" w:cs="Times New Roman"/>
                <w:sz w:val="20"/>
              </w:rPr>
              <w:t>llogaria krijohet dhe përdoret vetëm për të garantuar detyrimin e blerësit për të paguar çmimin e blerjes, të shitësit për të paguar çdo detyrim kontingjent ose të qiramarrësit apo qiradhënësit për të paguar çdo dëm lidhur me pasurinë e marrë ose dhënë me qira, siç është rënë dakord në kontratë;</w:t>
            </w:r>
          </w:p>
          <w:p w14:paraId="1188189E" w14:textId="77777777" w:rsidR="00FA0CFF" w:rsidRPr="004E6A4A" w:rsidRDefault="00144445">
            <w:pPr>
              <w:jc w:val="both"/>
            </w:pPr>
            <w:r w:rsidRPr="004E6A4A">
              <w:rPr>
                <w:rFonts w:ascii="Times New Roman" w:eastAsia="Times New Roman" w:hAnsi="Times New Roman" w:cs="Times New Roman"/>
                <w:sz w:val="20"/>
              </w:rPr>
              <w:t>aktivet e llogarisë, duke përfshirë të ardhurat e fituara prej saj, do të paguhen ose shpërndahen në përfitim të blerësit, shitësit, qiramarrësit ose qiradhënësit, duke përfshirë përmbushjen e detyrimit të këtij personi, në momentin kur pasuria shitet, shkëmbehet ose hiqet dorë prej saj ose kur zgjidhet kontrata e qirasë;</w:t>
            </w:r>
          </w:p>
          <w:p w14:paraId="2D2515BB" w14:textId="77777777" w:rsidR="00FA0CFF" w:rsidRPr="004E6A4A" w:rsidRDefault="00144445">
            <w:pPr>
              <w:jc w:val="both"/>
            </w:pPr>
            <w:r w:rsidRPr="004E6A4A">
              <w:rPr>
                <w:rFonts w:ascii="Times New Roman" w:eastAsia="Times New Roman" w:hAnsi="Times New Roman" w:cs="Times New Roman"/>
                <w:sz w:val="20"/>
              </w:rPr>
              <w:t>llogaria nuk është një llogari marzhi ose e ngjashme me të, e krijuar për shitjen ose shkëmbimin e aktivit financiar; dhe</w:t>
            </w:r>
          </w:p>
          <w:p w14:paraId="02BF607C" w14:textId="77777777" w:rsidR="00FA0CFF" w:rsidRPr="004E6A4A" w:rsidRDefault="00144445">
            <w:pPr>
              <w:jc w:val="both"/>
            </w:pPr>
            <w:r w:rsidRPr="004E6A4A">
              <w:rPr>
                <w:rFonts w:ascii="Times New Roman" w:eastAsia="Times New Roman" w:hAnsi="Times New Roman" w:cs="Times New Roman"/>
                <w:sz w:val="20"/>
              </w:rPr>
              <w:t>llogaria nuk lidhet me ndonjë llogari të përshkruar në shkronjën “e” të kësaj pike;</w:t>
            </w:r>
          </w:p>
          <w:p w14:paraId="02E51558" w14:textId="77777777" w:rsidR="00FA0CFF" w:rsidRPr="004E6A4A" w:rsidRDefault="00144445">
            <w:pPr>
              <w:jc w:val="both"/>
            </w:pPr>
            <w:r w:rsidRPr="004E6A4A">
              <w:rPr>
                <w:rFonts w:ascii="Times New Roman" w:eastAsia="Times New Roman" w:hAnsi="Times New Roman" w:cs="Times New Roman"/>
                <w:sz w:val="20"/>
              </w:rPr>
              <w:t>iii) detyrimi i institucionit financiar që jep huan e garantuar nga pasuria e paluajtshme për të lënë mënjanë një pjesë të pagesës vetëm për shlyerjen e tatimeve ose sigurimeve të lidhura me pasurinë e paluajtshme në një moment tjetër;</w:t>
            </w:r>
          </w:p>
          <w:p w14:paraId="29708F77" w14:textId="77777777" w:rsidR="00FA0CFF" w:rsidRPr="004E6A4A" w:rsidRDefault="00144445">
            <w:pPr>
              <w:jc w:val="both"/>
            </w:pPr>
            <w:r w:rsidRPr="004E6A4A">
              <w:rPr>
                <w:rFonts w:ascii="Times New Roman" w:eastAsia="Times New Roman" w:hAnsi="Times New Roman" w:cs="Times New Roman"/>
                <w:sz w:val="20"/>
              </w:rPr>
              <w:t>iv) detyrimi i institucionit financiar vetëm për të lehtësuar shlyerjen e tatimeve në një moment tjetër;</w:t>
            </w:r>
          </w:p>
          <w:p w14:paraId="5E3C7F12" w14:textId="77777777" w:rsidR="00FA0CFF" w:rsidRPr="004E6A4A" w:rsidRDefault="00144445">
            <w:pPr>
              <w:jc w:val="both"/>
            </w:pPr>
            <w:r w:rsidRPr="004E6A4A">
              <w:rPr>
                <w:rFonts w:ascii="Times New Roman" w:eastAsia="Times New Roman" w:hAnsi="Times New Roman" w:cs="Times New Roman"/>
                <w:sz w:val="20"/>
              </w:rPr>
              <w:lastRenderedPageBreak/>
              <w:t>v) themelimi ose zmadhimi i kapitalit të një shoqërie, me kusht që llogaria të përmbushë kërkesat e mëposhtme:</w:t>
            </w:r>
          </w:p>
          <w:p w14:paraId="51E3CC99" w14:textId="77777777" w:rsidR="00FA0CFF" w:rsidRPr="004E6A4A" w:rsidRDefault="00144445">
            <w:pPr>
              <w:jc w:val="both"/>
            </w:pPr>
            <w:r w:rsidRPr="004E6A4A">
              <w:rPr>
                <w:rFonts w:ascii="Times New Roman" w:eastAsia="Times New Roman" w:hAnsi="Times New Roman" w:cs="Times New Roman"/>
                <w:sz w:val="20"/>
              </w:rPr>
              <w:t>llogaria përdoret vetëm për depozitimin e kapitalit që përdoret për qëllime të themelimit ose zmadhimit të kapitalit të një shoqërie, siç parashikohet nga legjislacioni;</w:t>
            </w:r>
          </w:p>
          <w:p w14:paraId="2B2CFB7A" w14:textId="77777777" w:rsidR="00FA0CFF" w:rsidRPr="004E6A4A" w:rsidRDefault="00144445">
            <w:pPr>
              <w:jc w:val="both"/>
            </w:pPr>
            <w:r w:rsidRPr="004E6A4A">
              <w:rPr>
                <w:rFonts w:ascii="Times New Roman" w:eastAsia="Times New Roman" w:hAnsi="Times New Roman" w:cs="Times New Roman"/>
                <w:sz w:val="20"/>
              </w:rPr>
              <w:t>çdo shumë e mbajtur në llogari është e bllokuar deri kur institucioni financiar raportues të ketë marrë një konfirmim të pavarur lidhur me themelimin ose zmadhimin e kapitalit;</w:t>
            </w:r>
          </w:p>
          <w:p w14:paraId="77B82E64" w14:textId="77777777" w:rsidR="00FA0CFF" w:rsidRPr="004E6A4A" w:rsidRDefault="00144445">
            <w:pPr>
              <w:jc w:val="both"/>
            </w:pPr>
            <w:r w:rsidRPr="004E6A4A">
              <w:rPr>
                <w:rFonts w:ascii="Times New Roman" w:eastAsia="Times New Roman" w:hAnsi="Times New Roman" w:cs="Times New Roman"/>
                <w:sz w:val="20"/>
              </w:rPr>
              <w:t>llogaria mbyllet ose shndërrohet në llogari në emër të shoqërisë pas themelimit ose zmadhimit të kapitalit;</w:t>
            </w:r>
          </w:p>
          <w:p w14:paraId="6FD89F92" w14:textId="77777777" w:rsidR="00FA0CFF" w:rsidRPr="004E6A4A" w:rsidRDefault="00144445">
            <w:pPr>
              <w:jc w:val="both"/>
            </w:pPr>
            <w:r w:rsidRPr="004E6A4A">
              <w:rPr>
                <w:rFonts w:ascii="Times New Roman" w:eastAsia="Times New Roman" w:hAnsi="Times New Roman" w:cs="Times New Roman"/>
                <w:sz w:val="20"/>
              </w:rPr>
              <w:t>çdo rimbursim që rezulton nga mosrealizimi i themelimit ose zmadhimit të kapitalit, neto nga tarifat e ofruesve të shërbimit dhe tarifat e ngjashme, u bëhet vetëm personave që kanë kontribuar shumat; dhe</w:t>
            </w:r>
          </w:p>
          <w:p w14:paraId="646E9DF2" w14:textId="77777777" w:rsidR="00FA0CFF" w:rsidRPr="004E6A4A" w:rsidRDefault="00144445">
            <w:pPr>
              <w:jc w:val="both"/>
            </w:pPr>
            <w:r w:rsidRPr="004E6A4A">
              <w:rPr>
                <w:rFonts w:ascii="Times New Roman" w:eastAsia="Times New Roman" w:hAnsi="Times New Roman" w:cs="Times New Roman"/>
                <w:sz w:val="20"/>
              </w:rPr>
              <w:t>llogaria është hapur jo më herët se 12 muajt e fundit;</w:t>
            </w:r>
          </w:p>
          <w:p w14:paraId="02AE3B23" w14:textId="77777777" w:rsidR="00FA0CFF" w:rsidRPr="004E6A4A" w:rsidRDefault="00144445">
            <w:pPr>
              <w:jc w:val="both"/>
            </w:pPr>
            <w:r w:rsidRPr="004E6A4A">
              <w:rPr>
                <w:rFonts w:ascii="Times New Roman" w:eastAsia="Times New Roman" w:hAnsi="Times New Roman" w:cs="Times New Roman"/>
                <w:sz w:val="20"/>
              </w:rPr>
              <w:t>dh) një llogari depozite që përfaqëson të gjitha Paratë Elektronike, për qëllime të zbatimit të rregullave të Bashkimit Evropian, dhe Produktet e Specifikuara të Parasë Elektronike, për qëllime të zbatimit të Standardit të Përbashkët të Raportimit, të mbajtura për përfitimin e një klienti, nëse mesatarja lëvizëse 90-ditore e gjendjes ose vlerës së agreguar të llogarisë në fund të ditës, e llogaritur për çdo periudhë prej 90 ditësh radhazi, nuk tejkalon 10 000 USD në asnjë ditë gjatë vitit kalendarik ose periudhës tjetër të përshtatshme të raportimit.</w:t>
            </w:r>
          </w:p>
          <w:p w14:paraId="711F689B" w14:textId="77777777" w:rsidR="00FA0CFF" w:rsidRPr="004E6A4A" w:rsidRDefault="00144445">
            <w:pPr>
              <w:jc w:val="both"/>
            </w:pPr>
            <w:r w:rsidRPr="004E6A4A">
              <w:rPr>
                <w:rFonts w:ascii="Times New Roman" w:eastAsia="Times New Roman" w:hAnsi="Times New Roman" w:cs="Times New Roman"/>
                <w:sz w:val="20"/>
              </w:rPr>
              <w:t>e) llogaria e depozitës që përmbush kërkesat e mëposhtme:</w:t>
            </w:r>
          </w:p>
          <w:p w14:paraId="5CFCF9AC" w14:textId="77777777" w:rsidR="00FA0CFF" w:rsidRPr="004E6A4A" w:rsidRDefault="00144445">
            <w:pPr>
              <w:jc w:val="both"/>
            </w:pPr>
            <w:r w:rsidRPr="004E6A4A">
              <w:rPr>
                <w:rFonts w:ascii="Times New Roman" w:eastAsia="Times New Roman" w:hAnsi="Times New Roman" w:cs="Times New Roman"/>
                <w:sz w:val="20"/>
              </w:rPr>
              <w:t>i) llogaria ekziston vetëm sepse klienti kryen një pagesë përtej balancës së caktuar, lidhur me një kartë krediti ose instrumente të tjera kredie të rinovueshme, dhe mbipagesa nuk i kthehet menjëherë klientit; dhe</w:t>
            </w:r>
          </w:p>
          <w:p w14:paraId="70031386" w14:textId="77777777" w:rsidR="00FA0CFF" w:rsidRPr="004E6A4A" w:rsidRDefault="00144445">
            <w:pPr>
              <w:jc w:val="both"/>
            </w:pPr>
            <w:r w:rsidRPr="004E6A4A">
              <w:rPr>
                <w:rFonts w:ascii="Times New Roman" w:eastAsia="Times New Roman" w:hAnsi="Times New Roman" w:cs="Times New Roman"/>
                <w:sz w:val="20"/>
              </w:rPr>
              <w:t xml:space="preserve">ii) duke filluar në ose përpara datës së referencës të zbatueshme për profilin përkatës, të përcaktuar në aktin </w:t>
            </w:r>
            <w:r w:rsidRPr="004E6A4A">
              <w:rPr>
                <w:rFonts w:ascii="Times New Roman" w:eastAsia="Times New Roman" w:hAnsi="Times New Roman" w:cs="Times New Roman"/>
                <w:sz w:val="20"/>
              </w:rPr>
              <w:lastRenderedPageBreak/>
              <w:t>nënligjor, institucioni financiar zbaton politika dhe procedura, qoftë për ta penguar klientin që të kryejë mbipagesa që tejkalojnë 50 000 USD, qoftë për të garantuar që çdo mbipagesë e klientit që tejkalon 50 000 USD i rimbursohet klientit brenda 60 ditëve dhe, në secilin rast, zbatohen rregullat për konvertimin e monedhës të përcaktuara në nenin 12 dhe në aktin nënligjor të nxjerrë në zbatim të këtij ligji. Për këtë qëllim, mbipagesa e klientit nuk u referohet balancave të kreditit që përfshijnë tarifa të kundërshtuara, por përfshin balancat e kreditit që vijnë si rezultat i kthimit të mallit.</w:t>
            </w:r>
          </w:p>
          <w:p w14:paraId="4110E5EE" w14:textId="77777777" w:rsidR="00FA0CFF" w:rsidRPr="004E6A4A" w:rsidRDefault="00144445">
            <w:pPr>
              <w:jc w:val="both"/>
            </w:pPr>
            <w:r w:rsidRPr="004E6A4A">
              <w:rPr>
                <w:rFonts w:ascii="Times New Roman" w:eastAsia="Times New Roman" w:hAnsi="Times New Roman" w:cs="Times New Roman"/>
                <w:sz w:val="20"/>
              </w:rPr>
              <w:t>ë) çdo llogari tjetër që paraqet rrezik të ulët për t’u përdorur për evazion tatimor, ka karakteristika në thelb të ngjashme me llogaritë e përshkruara në shkronjat “a” deri “e” të kësaj pike, përfshihet në listën e llogarive të përjashtuara të përcaktuar me akt nënligjor dhe statusi i saj si Llogari e Përjashtuar nuk cenon, për profilin e Bashkimit Evropian, qëllimet e Direktivës 2011/16/BE, të ndryshuar, dhe, për profilin e Standardit të Përbashkët të Raportimit, qëllimet e Standardit.</w:t>
            </w:r>
          </w:p>
        </w:tc>
        <w:tc>
          <w:tcPr>
            <w:tcW w:w="1620" w:type="dxa"/>
          </w:tcPr>
          <w:p w14:paraId="65289C9C" w14:textId="77777777" w:rsidR="00DD4CC1" w:rsidRPr="004E6A4A" w:rsidRDefault="00DD4CC1" w:rsidP="00C4419F">
            <w:pPr>
              <w:jc w:val="center"/>
              <w:rPr>
                <w:rFonts w:ascii="Times New Roman" w:eastAsia="Calibri" w:hAnsi="Times New Roman" w:cs="Times New Roman"/>
                <w:sz w:val="18"/>
                <w:szCs w:val="18"/>
              </w:rPr>
            </w:pPr>
          </w:p>
          <w:p w14:paraId="28A166F7" w14:textId="35324909" w:rsidR="000A21ED" w:rsidRPr="004E6A4A" w:rsidRDefault="00DD4CC1"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4051A4D1"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Përputhet.</w:t>
            </w:r>
          </w:p>
          <w:p w14:paraId="172CB919"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Transpozohet nga neni 5, pika 44, i projektligjit.</w:t>
            </w:r>
          </w:p>
        </w:tc>
      </w:tr>
      <w:tr w:rsidR="004E6A4A" w:rsidRPr="004E6A4A" w14:paraId="13E57954" w14:textId="77777777" w:rsidTr="00153084">
        <w:trPr>
          <w:trHeight w:val="764"/>
        </w:trPr>
        <w:tc>
          <w:tcPr>
            <w:tcW w:w="630" w:type="dxa"/>
          </w:tcPr>
          <w:p w14:paraId="29D0A9AF" w14:textId="77777777" w:rsidR="000A21ED" w:rsidRPr="004E6A4A" w:rsidRDefault="000A21ED" w:rsidP="00C4419F">
            <w:pPr>
              <w:jc w:val="center"/>
              <w:rPr>
                <w:rFonts w:ascii="Times New Roman" w:eastAsia="Calibri" w:hAnsi="Times New Roman" w:cs="Times New Roman"/>
                <w:i/>
                <w:sz w:val="18"/>
                <w:szCs w:val="18"/>
              </w:rPr>
            </w:pPr>
          </w:p>
        </w:tc>
        <w:tc>
          <w:tcPr>
            <w:tcW w:w="4230" w:type="dxa"/>
          </w:tcPr>
          <w:p w14:paraId="29C5BF63"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D.</w:t>
            </w:r>
            <w:r w:rsidRPr="004E6A4A">
              <w:rPr>
                <w:rFonts w:ascii="Times New Roman" w:eastAsia="Times New Roman" w:hAnsi="Times New Roman" w:cs="Times New Roman"/>
                <w:sz w:val="20"/>
                <w:szCs w:val="20"/>
              </w:rPr>
              <w:tab/>
              <w:t>Llogari e Raportueshme</w:t>
            </w:r>
          </w:p>
          <w:p w14:paraId="224C017F"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1.</w:t>
            </w:r>
            <w:r w:rsidRPr="004E6A4A">
              <w:rPr>
                <w:rFonts w:ascii="Times New Roman" w:eastAsia="Times New Roman" w:hAnsi="Times New Roman" w:cs="Times New Roman"/>
                <w:sz w:val="20"/>
                <w:szCs w:val="20"/>
              </w:rPr>
              <w:tab/>
              <w:t>Termi “Llogari e Raportueshme” nënkupton një Llogari Financiare që mbahet nga një Institucion Financiar Raportues i Shtetit Anëtar dhe që mbahet nga një ose më shumë Persona të Raportueshëm ose nga një NFE pasive me një ose më shumë Persona Kontrollues që janë Persona të Raportueshëm, me kusht që të jetë identifikuar si e tillë në zbatim të procedurave të vigjilencës së duhur të përshkruara në Seksionet II deri në VII.</w:t>
            </w:r>
          </w:p>
        </w:tc>
        <w:tc>
          <w:tcPr>
            <w:tcW w:w="1350" w:type="dxa"/>
          </w:tcPr>
          <w:p w14:paraId="3A25556F" w14:textId="77777777" w:rsidR="000A21ED" w:rsidRPr="004E6A4A" w:rsidRDefault="000A21ED" w:rsidP="00C4419F">
            <w:pPr>
              <w:jc w:val="center"/>
              <w:rPr>
                <w:rFonts w:ascii="Times New Roman" w:eastAsia="Calibri" w:hAnsi="Times New Roman" w:cs="Times New Roman"/>
                <w:sz w:val="18"/>
                <w:szCs w:val="18"/>
              </w:rPr>
            </w:pPr>
          </w:p>
        </w:tc>
        <w:tc>
          <w:tcPr>
            <w:tcW w:w="810" w:type="dxa"/>
          </w:tcPr>
          <w:p w14:paraId="454B66FB" w14:textId="77777777" w:rsidR="000A21ED" w:rsidRPr="004E6A4A" w:rsidRDefault="000A21ED" w:rsidP="00C4419F">
            <w:pPr>
              <w:jc w:val="center"/>
              <w:rPr>
                <w:rFonts w:ascii="Times New Roman" w:eastAsia="Times New Roman" w:hAnsi="Times New Roman" w:cs="Times New Roman"/>
                <w:sz w:val="20"/>
                <w:szCs w:val="21"/>
                <w:lang w:eastAsia="sq-AL"/>
              </w:rPr>
            </w:pPr>
          </w:p>
        </w:tc>
        <w:tc>
          <w:tcPr>
            <w:tcW w:w="4590" w:type="dxa"/>
          </w:tcPr>
          <w:p w14:paraId="58E23861" w14:textId="77777777" w:rsidR="00FA0CFF" w:rsidRPr="004E6A4A" w:rsidRDefault="00144445">
            <w:pPr>
              <w:jc w:val="center"/>
            </w:pPr>
            <w:r w:rsidRPr="004E6A4A">
              <w:rPr>
                <w:rFonts w:ascii="Times New Roman" w:eastAsia="Times New Roman" w:hAnsi="Times New Roman" w:cs="Times New Roman"/>
                <w:b/>
                <w:sz w:val="20"/>
              </w:rPr>
              <w:t>Ligji: Neni 5</w:t>
            </w:r>
          </w:p>
          <w:p w14:paraId="7999D9DF" w14:textId="77777777" w:rsidR="00FA0CFF" w:rsidRPr="004E6A4A" w:rsidRDefault="00144445">
            <w:pPr>
              <w:jc w:val="center"/>
            </w:pPr>
            <w:r w:rsidRPr="004E6A4A">
              <w:rPr>
                <w:rFonts w:ascii="Times New Roman" w:eastAsia="Times New Roman" w:hAnsi="Times New Roman" w:cs="Times New Roman"/>
                <w:b/>
                <w:sz w:val="20"/>
              </w:rPr>
              <w:t>Përkufizime</w:t>
            </w:r>
          </w:p>
          <w:p w14:paraId="1E482AC9" w14:textId="77777777" w:rsidR="00FA0CFF" w:rsidRPr="004E6A4A" w:rsidRDefault="00144445">
            <w:pPr>
              <w:jc w:val="both"/>
            </w:pPr>
            <w:r w:rsidRPr="004E6A4A">
              <w:rPr>
                <w:rFonts w:ascii="Times New Roman" w:eastAsia="Times New Roman" w:hAnsi="Times New Roman" w:cs="Times New Roman"/>
                <w:sz w:val="20"/>
              </w:rPr>
              <w:t>6. “Llogari e raportueshme” është një llogari financiare e mbajtur nga një institucion financiar raportues dhe e mbajtur nga një ose më shumë persona të raportueshëm ose nga një NFE pasive me një ose më shumë persona kontrollues që janë persona të raportueshëm, me kusht që të jetë identifikuar si e tillë në përputhje me procedurat e vigjilencës së duhur të përcaktuara në këtë ligj dhe në aktet nënligjore në zbatim të tij.</w:t>
            </w:r>
          </w:p>
        </w:tc>
        <w:tc>
          <w:tcPr>
            <w:tcW w:w="1620" w:type="dxa"/>
          </w:tcPr>
          <w:p w14:paraId="052BE653" w14:textId="77777777" w:rsidR="00DD4CC1" w:rsidRPr="004E6A4A" w:rsidRDefault="00DD4CC1" w:rsidP="00C4419F">
            <w:pPr>
              <w:jc w:val="center"/>
              <w:rPr>
                <w:rFonts w:ascii="Times New Roman" w:eastAsia="Calibri" w:hAnsi="Times New Roman" w:cs="Times New Roman"/>
                <w:sz w:val="18"/>
                <w:szCs w:val="18"/>
              </w:rPr>
            </w:pPr>
          </w:p>
          <w:p w14:paraId="2426E487" w14:textId="63852010" w:rsidR="000A21ED" w:rsidRPr="004E6A4A" w:rsidRDefault="00DD4CC1"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519E34B7"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Përputhet.</w:t>
            </w:r>
          </w:p>
          <w:p w14:paraId="3D592633"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Transpozohet nga neni 5, pika 6, i projektligjit.</w:t>
            </w:r>
          </w:p>
        </w:tc>
      </w:tr>
      <w:tr w:rsidR="004E6A4A" w:rsidRPr="004E6A4A" w14:paraId="7CD614BD" w14:textId="77777777" w:rsidTr="00153084">
        <w:trPr>
          <w:trHeight w:val="764"/>
        </w:trPr>
        <w:tc>
          <w:tcPr>
            <w:tcW w:w="630" w:type="dxa"/>
          </w:tcPr>
          <w:p w14:paraId="656C49A2" w14:textId="77777777" w:rsidR="000A21ED" w:rsidRPr="004E6A4A" w:rsidRDefault="000A21ED" w:rsidP="00C4419F">
            <w:pPr>
              <w:jc w:val="center"/>
              <w:rPr>
                <w:rFonts w:ascii="Times New Roman" w:eastAsia="Calibri" w:hAnsi="Times New Roman" w:cs="Times New Roman"/>
                <w:i/>
                <w:sz w:val="18"/>
                <w:szCs w:val="18"/>
              </w:rPr>
            </w:pPr>
          </w:p>
        </w:tc>
        <w:tc>
          <w:tcPr>
            <w:tcW w:w="4230" w:type="dxa"/>
          </w:tcPr>
          <w:p w14:paraId="201B4493"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2.</w:t>
            </w:r>
            <w:r w:rsidRPr="004E6A4A">
              <w:rPr>
                <w:rFonts w:ascii="Times New Roman" w:eastAsia="Times New Roman" w:hAnsi="Times New Roman" w:cs="Times New Roman"/>
                <w:sz w:val="20"/>
                <w:szCs w:val="20"/>
              </w:rPr>
              <w:tab/>
              <w:t>Termi “Person i Raportueshëm” nënkupton një Person të Shtetit Anëtar, të ndryshëm nga:</w:t>
            </w:r>
          </w:p>
          <w:p w14:paraId="51229145"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(a) një Njësi Ekonomike, aksionet e së cilës tregtohen rregullisht në një ose më shumë tregje të njohura letrash me vlerë;</w:t>
            </w:r>
          </w:p>
          <w:p w14:paraId="362BE40D"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(b) çdo Njësi Ekonomike që është Njësi Ekonomike e Lidhur me një Njësi Ekonomike të përshkruar në shkronjën (a);</w:t>
            </w:r>
          </w:p>
          <w:p w14:paraId="4CD89459"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 një Organ Qeveritar;</w:t>
            </w:r>
          </w:p>
          <w:p w14:paraId="2BBFFB11"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(d) një Organizatë Ndërkombëtare;</w:t>
            </w:r>
          </w:p>
          <w:p w14:paraId="7F0F81C1"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(e) një Bankë Qendrore; ose</w:t>
            </w:r>
          </w:p>
          <w:p w14:paraId="10F1CD5D"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(f) një Institucion Financiar.</w:t>
            </w:r>
          </w:p>
        </w:tc>
        <w:tc>
          <w:tcPr>
            <w:tcW w:w="1350" w:type="dxa"/>
          </w:tcPr>
          <w:p w14:paraId="0656BD14" w14:textId="77777777" w:rsidR="000A21ED" w:rsidRPr="004E6A4A" w:rsidRDefault="000A21ED" w:rsidP="00C4419F">
            <w:pPr>
              <w:jc w:val="center"/>
              <w:rPr>
                <w:rFonts w:ascii="Times New Roman" w:eastAsia="Calibri" w:hAnsi="Times New Roman" w:cs="Times New Roman"/>
                <w:sz w:val="18"/>
                <w:szCs w:val="18"/>
              </w:rPr>
            </w:pPr>
          </w:p>
        </w:tc>
        <w:tc>
          <w:tcPr>
            <w:tcW w:w="810" w:type="dxa"/>
          </w:tcPr>
          <w:p w14:paraId="48A05FCA" w14:textId="77777777" w:rsidR="000A21ED" w:rsidRPr="004E6A4A" w:rsidRDefault="000A21ED" w:rsidP="00C4419F">
            <w:pPr>
              <w:jc w:val="center"/>
              <w:rPr>
                <w:rFonts w:ascii="Times New Roman" w:eastAsia="Times New Roman" w:hAnsi="Times New Roman" w:cs="Times New Roman"/>
                <w:sz w:val="20"/>
                <w:szCs w:val="21"/>
                <w:lang w:eastAsia="sq-AL"/>
              </w:rPr>
            </w:pPr>
          </w:p>
        </w:tc>
        <w:tc>
          <w:tcPr>
            <w:tcW w:w="4590" w:type="dxa"/>
          </w:tcPr>
          <w:p w14:paraId="27603331" w14:textId="77777777" w:rsidR="00FA0CFF" w:rsidRPr="004E6A4A" w:rsidRDefault="00144445">
            <w:pPr>
              <w:jc w:val="center"/>
            </w:pPr>
            <w:r w:rsidRPr="004E6A4A">
              <w:rPr>
                <w:rFonts w:ascii="Times New Roman" w:eastAsia="Times New Roman" w:hAnsi="Times New Roman" w:cs="Times New Roman"/>
                <w:b/>
                <w:sz w:val="20"/>
              </w:rPr>
              <w:t>Ligji: Neni 5</w:t>
            </w:r>
          </w:p>
          <w:p w14:paraId="3098A070" w14:textId="77777777" w:rsidR="00FA0CFF" w:rsidRPr="004E6A4A" w:rsidRDefault="00144445">
            <w:pPr>
              <w:jc w:val="center"/>
            </w:pPr>
            <w:r w:rsidRPr="004E6A4A">
              <w:rPr>
                <w:rFonts w:ascii="Times New Roman" w:eastAsia="Times New Roman" w:hAnsi="Times New Roman" w:cs="Times New Roman"/>
                <w:b/>
                <w:sz w:val="20"/>
              </w:rPr>
              <w:t>Përkufizime</w:t>
            </w:r>
          </w:p>
          <w:p w14:paraId="6A4FC705" w14:textId="77777777" w:rsidR="00FA0CFF" w:rsidRPr="004E6A4A" w:rsidRDefault="00144445">
            <w:pPr>
              <w:jc w:val="both"/>
            </w:pPr>
            <w:r w:rsidRPr="004E6A4A">
              <w:rPr>
                <w:rFonts w:ascii="Times New Roman" w:eastAsia="Times New Roman" w:hAnsi="Times New Roman" w:cs="Times New Roman"/>
                <w:sz w:val="20"/>
              </w:rPr>
              <w:t>8. “Person i raportueshëm” është një Person i një Juridiksioni të Raportueshëm, i ndryshëm nga:</w:t>
            </w:r>
          </w:p>
          <w:p w14:paraId="1192FEF5" w14:textId="77777777" w:rsidR="00FA0CFF" w:rsidRPr="004E6A4A" w:rsidRDefault="00144445">
            <w:pPr>
              <w:jc w:val="both"/>
            </w:pPr>
            <w:r w:rsidRPr="004E6A4A">
              <w:rPr>
                <w:rFonts w:ascii="Times New Roman" w:eastAsia="Times New Roman" w:hAnsi="Times New Roman" w:cs="Times New Roman"/>
                <w:sz w:val="20"/>
              </w:rPr>
              <w:t>a) një Njësi Ekonomike, aksionet e së cilës tregtohen rregullisht në një ose më shumë tregje të njohura të letrave me vlerë;</w:t>
            </w:r>
          </w:p>
          <w:p w14:paraId="4F4BC54F" w14:textId="77777777" w:rsidR="00FA0CFF" w:rsidRPr="004E6A4A" w:rsidRDefault="00144445">
            <w:pPr>
              <w:jc w:val="both"/>
            </w:pPr>
            <w:r w:rsidRPr="004E6A4A">
              <w:rPr>
                <w:rFonts w:ascii="Times New Roman" w:eastAsia="Times New Roman" w:hAnsi="Times New Roman" w:cs="Times New Roman"/>
                <w:sz w:val="20"/>
              </w:rPr>
              <w:t>b) çdo Njësi Ekonomike që është Njësi Ekonomike e Lidhur me një Njësi Ekonomike të përshkruar në shkronjën ‘a’;</w:t>
            </w:r>
          </w:p>
          <w:p w14:paraId="28DD4C68" w14:textId="77777777" w:rsidR="00FA0CFF" w:rsidRPr="004E6A4A" w:rsidRDefault="00144445">
            <w:pPr>
              <w:jc w:val="both"/>
            </w:pPr>
            <w:r w:rsidRPr="004E6A4A">
              <w:rPr>
                <w:rFonts w:ascii="Times New Roman" w:eastAsia="Times New Roman" w:hAnsi="Times New Roman" w:cs="Times New Roman"/>
                <w:sz w:val="20"/>
              </w:rPr>
              <w:t>c) një Organ Qeveritar;</w:t>
            </w:r>
          </w:p>
          <w:p w14:paraId="4CC8EA0D" w14:textId="77777777" w:rsidR="00FA0CFF" w:rsidRPr="004E6A4A" w:rsidRDefault="00144445">
            <w:pPr>
              <w:jc w:val="both"/>
            </w:pPr>
            <w:r w:rsidRPr="004E6A4A">
              <w:rPr>
                <w:rFonts w:ascii="Times New Roman" w:eastAsia="Times New Roman" w:hAnsi="Times New Roman" w:cs="Times New Roman"/>
                <w:sz w:val="20"/>
              </w:rPr>
              <w:t>ç) një Organizatë Ndërkombëtare;</w:t>
            </w:r>
          </w:p>
          <w:p w14:paraId="52C7DE5F" w14:textId="77777777" w:rsidR="00FA0CFF" w:rsidRPr="004E6A4A" w:rsidRDefault="00144445">
            <w:pPr>
              <w:jc w:val="both"/>
            </w:pPr>
            <w:r w:rsidRPr="004E6A4A">
              <w:rPr>
                <w:rFonts w:ascii="Times New Roman" w:eastAsia="Times New Roman" w:hAnsi="Times New Roman" w:cs="Times New Roman"/>
                <w:sz w:val="20"/>
              </w:rPr>
              <w:t>d) një Bankë Qendrore; ose</w:t>
            </w:r>
          </w:p>
          <w:p w14:paraId="58AAC0B2" w14:textId="77777777" w:rsidR="00FA0CFF" w:rsidRPr="004E6A4A" w:rsidRDefault="00144445">
            <w:pPr>
              <w:jc w:val="both"/>
            </w:pPr>
            <w:r w:rsidRPr="004E6A4A">
              <w:rPr>
                <w:rFonts w:ascii="Times New Roman" w:eastAsia="Times New Roman" w:hAnsi="Times New Roman" w:cs="Times New Roman"/>
                <w:sz w:val="20"/>
              </w:rPr>
              <w:t>dh) një Institucion Financiar.</w:t>
            </w:r>
          </w:p>
        </w:tc>
        <w:tc>
          <w:tcPr>
            <w:tcW w:w="1620" w:type="dxa"/>
          </w:tcPr>
          <w:p w14:paraId="170AF4A7" w14:textId="77777777" w:rsidR="00DD4CC1" w:rsidRPr="004E6A4A" w:rsidRDefault="00DD4CC1" w:rsidP="00C4419F">
            <w:pPr>
              <w:jc w:val="center"/>
              <w:rPr>
                <w:rFonts w:ascii="Times New Roman" w:eastAsia="Calibri" w:hAnsi="Times New Roman" w:cs="Times New Roman"/>
                <w:sz w:val="18"/>
                <w:szCs w:val="18"/>
              </w:rPr>
            </w:pPr>
          </w:p>
          <w:p w14:paraId="2B143127" w14:textId="44A71124" w:rsidR="000A21ED" w:rsidRPr="004E6A4A" w:rsidRDefault="00DD4CC1"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29AF52DE"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Përputhet.</w:t>
            </w:r>
          </w:p>
          <w:p w14:paraId="460ADF32"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Transpozohet nga neni 5, pika 8, i projektligjit.</w:t>
            </w:r>
          </w:p>
        </w:tc>
      </w:tr>
      <w:tr w:rsidR="004E6A4A" w:rsidRPr="004E6A4A" w14:paraId="5D0B09F4" w14:textId="77777777" w:rsidTr="00153084">
        <w:trPr>
          <w:trHeight w:val="764"/>
        </w:trPr>
        <w:tc>
          <w:tcPr>
            <w:tcW w:w="630" w:type="dxa"/>
          </w:tcPr>
          <w:p w14:paraId="3BE688DA" w14:textId="77777777" w:rsidR="000A21ED" w:rsidRPr="004E6A4A" w:rsidRDefault="000A21ED" w:rsidP="00C4419F">
            <w:pPr>
              <w:jc w:val="center"/>
              <w:rPr>
                <w:rFonts w:ascii="Times New Roman" w:eastAsia="Calibri" w:hAnsi="Times New Roman" w:cs="Times New Roman"/>
                <w:i/>
                <w:sz w:val="18"/>
                <w:szCs w:val="18"/>
              </w:rPr>
            </w:pPr>
          </w:p>
        </w:tc>
        <w:tc>
          <w:tcPr>
            <w:tcW w:w="4230" w:type="dxa"/>
          </w:tcPr>
          <w:p w14:paraId="2A21651F"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3.</w:t>
            </w:r>
            <w:r w:rsidRPr="004E6A4A">
              <w:rPr>
                <w:rFonts w:ascii="Times New Roman" w:eastAsia="Times New Roman" w:hAnsi="Times New Roman" w:cs="Times New Roman"/>
                <w:sz w:val="20"/>
                <w:szCs w:val="20"/>
              </w:rPr>
              <w:tab/>
              <w:t>Termi “Person i Shtetit Anëtar”, në lidhje me çdo shtet anëtar, nënkupton një individ ose Njësi Ekonomike që është rezidente në çdo shtet tjetër anëtar sipas legjislacionit tatimor të atij shteti tjetër anëtar, ose masën trashëgimore të një të ndjeri që ka qenë rezident i çdo shteti tjetër anëtar. Për këtë qëllim, një Njësi Ekonomike, si një partneritet, partneritet me përgjegjësi të kufizuar ose strukturë juridike e ngjashme, e cila nuk ka rezidencë për qëllime tatimore, trajtohet si rezidente në juridiksionin në të cilin ndodhet vendi i menaxhimit të saj efektiv.</w:t>
            </w:r>
          </w:p>
        </w:tc>
        <w:tc>
          <w:tcPr>
            <w:tcW w:w="1350" w:type="dxa"/>
          </w:tcPr>
          <w:p w14:paraId="6DB5CFD6" w14:textId="77777777" w:rsidR="000A21ED" w:rsidRPr="004E6A4A" w:rsidRDefault="000A21ED" w:rsidP="00C4419F">
            <w:pPr>
              <w:jc w:val="center"/>
              <w:rPr>
                <w:rFonts w:ascii="Times New Roman" w:eastAsia="Calibri" w:hAnsi="Times New Roman" w:cs="Times New Roman"/>
                <w:sz w:val="18"/>
                <w:szCs w:val="18"/>
              </w:rPr>
            </w:pPr>
          </w:p>
        </w:tc>
        <w:tc>
          <w:tcPr>
            <w:tcW w:w="810" w:type="dxa"/>
          </w:tcPr>
          <w:p w14:paraId="72F33FFF" w14:textId="77777777" w:rsidR="000A21ED" w:rsidRPr="004E6A4A" w:rsidRDefault="000A21ED" w:rsidP="00C4419F">
            <w:pPr>
              <w:jc w:val="center"/>
              <w:rPr>
                <w:rFonts w:ascii="Times New Roman" w:eastAsia="Times New Roman" w:hAnsi="Times New Roman" w:cs="Times New Roman"/>
                <w:sz w:val="20"/>
                <w:szCs w:val="21"/>
                <w:lang w:eastAsia="sq-AL"/>
              </w:rPr>
            </w:pPr>
          </w:p>
        </w:tc>
        <w:tc>
          <w:tcPr>
            <w:tcW w:w="4590" w:type="dxa"/>
          </w:tcPr>
          <w:p w14:paraId="5E311593" w14:textId="77777777" w:rsidR="00FA0CFF" w:rsidRPr="004E6A4A" w:rsidRDefault="00144445">
            <w:pPr>
              <w:jc w:val="center"/>
            </w:pPr>
            <w:r w:rsidRPr="004E6A4A">
              <w:rPr>
                <w:rFonts w:ascii="Times New Roman" w:eastAsia="Times New Roman" w:hAnsi="Times New Roman" w:cs="Times New Roman"/>
                <w:b/>
                <w:sz w:val="20"/>
              </w:rPr>
              <w:t>Ligji: Neni 5</w:t>
            </w:r>
          </w:p>
          <w:p w14:paraId="1C1594E7" w14:textId="77777777" w:rsidR="00FA0CFF" w:rsidRPr="004E6A4A" w:rsidRDefault="00144445">
            <w:pPr>
              <w:jc w:val="center"/>
            </w:pPr>
            <w:r w:rsidRPr="004E6A4A">
              <w:rPr>
                <w:rFonts w:ascii="Times New Roman" w:eastAsia="Times New Roman" w:hAnsi="Times New Roman" w:cs="Times New Roman"/>
                <w:b/>
                <w:sz w:val="20"/>
              </w:rPr>
              <w:t>Përkufizime</w:t>
            </w:r>
          </w:p>
          <w:p w14:paraId="02FE15FF" w14:textId="77777777" w:rsidR="00FA0CFF" w:rsidRPr="004E6A4A" w:rsidRDefault="00144445">
            <w:pPr>
              <w:jc w:val="both"/>
            </w:pPr>
            <w:r w:rsidRPr="004E6A4A">
              <w:rPr>
                <w:rFonts w:ascii="Times New Roman" w:eastAsia="Times New Roman" w:hAnsi="Times New Roman" w:cs="Times New Roman"/>
                <w:sz w:val="20"/>
              </w:rPr>
              <w:t>63. “Person i juridiksionit të raportueshëm” është individi ose njësia ekonomike që është rezidente në një juridiksion të raportueshëm, në bazë të legjislacionit tatimor të këtij juridiksioni, ose pasuria e trashëgimlënësit që ka qenë rezident i një juridiksioni të raportueshëm. Për këtë qëllim, njësia ekonomike, e tillë si partneriteti, partneriteti me përgjegjësi të kufizuara ose strukturat ligjore të ngjashme që nuk kanë rezidencë për qëllime tatimore, trajtohet si rezidente në juridiksionin ku ndodhet vendi i menaxhimit efektiv të saj.</w:t>
            </w:r>
          </w:p>
          <w:p w14:paraId="689E9454" w14:textId="77777777" w:rsidR="00FA0CFF" w:rsidRPr="004E6A4A" w:rsidRDefault="00144445">
            <w:pPr>
              <w:jc w:val="both"/>
            </w:pPr>
            <w:r w:rsidRPr="004E6A4A">
              <w:rPr>
                <w:rFonts w:ascii="Times New Roman" w:eastAsia="Times New Roman" w:hAnsi="Times New Roman" w:cs="Times New Roman"/>
                <w:sz w:val="20"/>
              </w:rPr>
              <w:lastRenderedPageBreak/>
              <w:t>5. “Juridiksion i raportueshëm” është një juridiksion i identifikuar në listën e juridiksioneve raportuese të përcaktuar dhe të publikuar sipas këtij ligji dhe akteve nënligjore në zbatim të tij. Për shkëmbimet automatike të informacionit me shtetet anëtare të Bashkimit Evropian, çdo shtet tjetër anëtar i Bashkimit Evropian konsiderohet juridiksion i raportueshëm.</w:t>
            </w:r>
          </w:p>
        </w:tc>
        <w:tc>
          <w:tcPr>
            <w:tcW w:w="1620" w:type="dxa"/>
          </w:tcPr>
          <w:p w14:paraId="7DCC051C" w14:textId="77777777" w:rsidR="001D563A" w:rsidRPr="004E6A4A" w:rsidRDefault="001D563A" w:rsidP="00C4419F">
            <w:pPr>
              <w:jc w:val="center"/>
              <w:rPr>
                <w:rFonts w:ascii="Times New Roman" w:eastAsia="Calibri" w:hAnsi="Times New Roman" w:cs="Times New Roman"/>
                <w:sz w:val="18"/>
                <w:szCs w:val="18"/>
              </w:rPr>
            </w:pPr>
          </w:p>
          <w:p w14:paraId="6D25EC0B" w14:textId="114E241C" w:rsidR="000A21ED" w:rsidRPr="004E6A4A" w:rsidRDefault="001D563A"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26AD394E"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Përputhet.</w:t>
            </w:r>
          </w:p>
          <w:p w14:paraId="5E7C2732"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Transpozohet nga neni 5, pika 63, dhe neni 5, pika 5, i projektligjit.</w:t>
            </w:r>
          </w:p>
        </w:tc>
      </w:tr>
      <w:tr w:rsidR="004E6A4A" w:rsidRPr="004E6A4A" w14:paraId="3F653958" w14:textId="77777777" w:rsidTr="00153084">
        <w:trPr>
          <w:trHeight w:val="764"/>
        </w:trPr>
        <w:tc>
          <w:tcPr>
            <w:tcW w:w="630" w:type="dxa"/>
          </w:tcPr>
          <w:p w14:paraId="0B89B28E" w14:textId="77777777" w:rsidR="000A21ED" w:rsidRPr="004E6A4A" w:rsidRDefault="000A21ED" w:rsidP="00C4419F">
            <w:pPr>
              <w:jc w:val="center"/>
              <w:rPr>
                <w:rFonts w:ascii="Times New Roman" w:eastAsia="Calibri" w:hAnsi="Times New Roman" w:cs="Times New Roman"/>
                <w:i/>
                <w:sz w:val="18"/>
                <w:szCs w:val="18"/>
              </w:rPr>
            </w:pPr>
          </w:p>
        </w:tc>
        <w:tc>
          <w:tcPr>
            <w:tcW w:w="4230" w:type="dxa"/>
          </w:tcPr>
          <w:p w14:paraId="5BF89C67"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4.</w:t>
            </w:r>
            <w:r w:rsidRPr="004E6A4A">
              <w:rPr>
                <w:rFonts w:ascii="Times New Roman" w:eastAsia="Times New Roman" w:hAnsi="Times New Roman" w:cs="Times New Roman"/>
                <w:sz w:val="20"/>
                <w:szCs w:val="20"/>
              </w:rPr>
              <w:tab/>
              <w:t>Termi “Juridiksion Pjesëmarrës”, në lidhje me çdo shtet anëtar, nënkupton:</w:t>
            </w:r>
          </w:p>
          <w:p w14:paraId="6B950331"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(a)</w:t>
            </w:r>
            <w:r w:rsidRPr="004E6A4A">
              <w:rPr>
                <w:rFonts w:ascii="Times New Roman" w:eastAsia="Times New Roman" w:hAnsi="Times New Roman" w:cs="Times New Roman"/>
                <w:sz w:val="20"/>
                <w:szCs w:val="20"/>
              </w:rPr>
              <w:tab/>
              <w:t>çdo shtet tjetër anëtar;</w:t>
            </w:r>
          </w:p>
          <w:p w14:paraId="4EA85E98"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(b)</w:t>
            </w:r>
            <w:r w:rsidRPr="004E6A4A">
              <w:rPr>
                <w:rFonts w:ascii="Times New Roman" w:eastAsia="Times New Roman" w:hAnsi="Times New Roman" w:cs="Times New Roman"/>
                <w:sz w:val="20"/>
                <w:szCs w:val="20"/>
              </w:rPr>
              <w:tab/>
              <w:t>çdo juridiksion tjetër (i) me të cilin shteti anëtar përkatës ka në fuqi një marrëveshje në bazë të së cilës ky juridiksion do të japë informacionin e specifikuar në Seksionin I; dhe (ii) që identifikohet në një listë të publikuar nga ky shtet anëtar dhe të njoftuar Komisionit Evropian;</w:t>
            </w:r>
          </w:p>
          <w:p w14:paraId="2C41C75C"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w:t>
            </w:r>
            <w:r w:rsidRPr="004E6A4A">
              <w:rPr>
                <w:rFonts w:ascii="Times New Roman" w:eastAsia="Times New Roman" w:hAnsi="Times New Roman" w:cs="Times New Roman"/>
                <w:sz w:val="20"/>
                <w:szCs w:val="20"/>
              </w:rPr>
              <w:tab/>
              <w:t>çdo juridiksion tjetër (i) me të cilin Bashkimi ka në fuqi një marrëveshje në bazë të së cilës ky juridiksion do të japë informacionin e specifikuar në Seksionin I; dhe (ii) që identifikohet në një listë të publikuar nga Komisioni Evropian.</w:t>
            </w:r>
          </w:p>
        </w:tc>
        <w:tc>
          <w:tcPr>
            <w:tcW w:w="1350" w:type="dxa"/>
          </w:tcPr>
          <w:p w14:paraId="088918F8" w14:textId="77777777" w:rsidR="000A21ED" w:rsidRPr="004E6A4A" w:rsidRDefault="000A21ED" w:rsidP="00C4419F">
            <w:pPr>
              <w:jc w:val="center"/>
              <w:rPr>
                <w:rFonts w:ascii="Times New Roman" w:eastAsia="Calibri" w:hAnsi="Times New Roman" w:cs="Times New Roman"/>
                <w:sz w:val="18"/>
                <w:szCs w:val="18"/>
              </w:rPr>
            </w:pPr>
          </w:p>
        </w:tc>
        <w:tc>
          <w:tcPr>
            <w:tcW w:w="810" w:type="dxa"/>
          </w:tcPr>
          <w:p w14:paraId="0E8F9952" w14:textId="77777777" w:rsidR="000A21ED" w:rsidRPr="004E6A4A" w:rsidRDefault="000A21ED" w:rsidP="00C4419F">
            <w:pPr>
              <w:jc w:val="center"/>
              <w:rPr>
                <w:rFonts w:ascii="Times New Roman" w:eastAsia="Times New Roman" w:hAnsi="Times New Roman" w:cs="Times New Roman"/>
                <w:sz w:val="20"/>
                <w:szCs w:val="21"/>
                <w:lang w:eastAsia="sq-AL"/>
              </w:rPr>
            </w:pPr>
          </w:p>
        </w:tc>
        <w:tc>
          <w:tcPr>
            <w:tcW w:w="4590" w:type="dxa"/>
          </w:tcPr>
          <w:p w14:paraId="7289DB9A" w14:textId="77777777" w:rsidR="00FA0CFF" w:rsidRPr="004E6A4A" w:rsidRDefault="00144445">
            <w:pPr>
              <w:jc w:val="center"/>
            </w:pPr>
            <w:r w:rsidRPr="004E6A4A">
              <w:rPr>
                <w:rFonts w:ascii="Times New Roman" w:eastAsia="Times New Roman" w:hAnsi="Times New Roman" w:cs="Times New Roman"/>
                <w:b/>
                <w:sz w:val="20"/>
              </w:rPr>
              <w:t>Ligji: Neni 5</w:t>
            </w:r>
          </w:p>
          <w:p w14:paraId="2DBA9237" w14:textId="77777777" w:rsidR="00FA0CFF" w:rsidRPr="004E6A4A" w:rsidRDefault="00144445">
            <w:pPr>
              <w:jc w:val="center"/>
            </w:pPr>
            <w:r w:rsidRPr="004E6A4A">
              <w:rPr>
                <w:rFonts w:ascii="Times New Roman" w:eastAsia="Times New Roman" w:hAnsi="Times New Roman" w:cs="Times New Roman"/>
                <w:b/>
                <w:sz w:val="20"/>
              </w:rPr>
              <w:t>Përkufizime</w:t>
            </w:r>
          </w:p>
          <w:p w14:paraId="698817C7" w14:textId="77777777" w:rsidR="00FA0CFF" w:rsidRPr="004E6A4A" w:rsidRDefault="00144445">
            <w:pPr>
              <w:jc w:val="both"/>
            </w:pPr>
            <w:r w:rsidRPr="004E6A4A">
              <w:rPr>
                <w:rFonts w:ascii="Times New Roman" w:eastAsia="Times New Roman" w:hAnsi="Times New Roman" w:cs="Times New Roman"/>
                <w:sz w:val="20"/>
              </w:rPr>
              <w:t>37. “Juridiksion pjesëmarrës” është:</w:t>
            </w:r>
          </w:p>
          <w:p w14:paraId="2505184B" w14:textId="77777777" w:rsidR="00FA0CFF" w:rsidRPr="004E6A4A" w:rsidRDefault="00144445">
            <w:pPr>
              <w:jc w:val="both"/>
            </w:pPr>
            <w:r w:rsidRPr="004E6A4A">
              <w:rPr>
                <w:rFonts w:ascii="Times New Roman" w:eastAsia="Times New Roman" w:hAnsi="Times New Roman" w:cs="Times New Roman"/>
                <w:sz w:val="20"/>
              </w:rPr>
              <w:t>a) për qëllimet e Standardit të Përbashkët të Raportimit, një juridiksion me të cilin ekziston një marrëveshje në fuqi sipas së cilës ai juridiksion do të japë informacionin e përcaktuar në Seksionin I të Standardit dhe që është identifikuar në një listë të publikuar;</w:t>
            </w:r>
          </w:p>
          <w:p w14:paraId="4F81B768" w14:textId="77777777" w:rsidR="00FA0CFF" w:rsidRPr="004E6A4A" w:rsidRDefault="00144445">
            <w:pPr>
              <w:jc w:val="both"/>
            </w:pPr>
            <w:r w:rsidRPr="004E6A4A">
              <w:rPr>
                <w:rFonts w:ascii="Times New Roman" w:eastAsia="Times New Roman" w:hAnsi="Times New Roman" w:cs="Times New Roman"/>
                <w:sz w:val="20"/>
              </w:rPr>
              <w:t>b) për qëllimet e Direktivës 2011/16/BE, të ndryshuar:</w:t>
            </w:r>
          </w:p>
          <w:p w14:paraId="3E65F988" w14:textId="77777777" w:rsidR="00FA0CFF" w:rsidRPr="004E6A4A" w:rsidRDefault="00144445">
            <w:pPr>
              <w:jc w:val="both"/>
            </w:pPr>
            <w:r w:rsidRPr="004E6A4A">
              <w:rPr>
                <w:rFonts w:ascii="Times New Roman" w:eastAsia="Times New Roman" w:hAnsi="Times New Roman" w:cs="Times New Roman"/>
                <w:sz w:val="20"/>
              </w:rPr>
              <w:t>i) çdo shtet tjetër anëtar i Bashkimit Evropian;</w:t>
            </w:r>
          </w:p>
          <w:p w14:paraId="6922ADB2" w14:textId="77777777" w:rsidR="00FA0CFF" w:rsidRPr="004E6A4A" w:rsidRDefault="00144445">
            <w:pPr>
              <w:jc w:val="both"/>
            </w:pPr>
            <w:r w:rsidRPr="004E6A4A">
              <w:rPr>
                <w:rFonts w:ascii="Times New Roman" w:eastAsia="Times New Roman" w:hAnsi="Times New Roman" w:cs="Times New Roman"/>
                <w:sz w:val="20"/>
              </w:rPr>
              <w:t>ii) çdo juridiksion tjetër me të cilin Republika e Shqipërisë ka një marrëveshje në fuqi sipas së cilës ai juridiksion do të japë nformacionin e përcaktuar në seksionin I të aneksit I të Direktivës 2011/16/BE, të ndryshuar dhe që është identifikuar në një listë të publikuar nga Republika e Shqipërisë dhe të njoftuar Komisionit Evropian; ose</w:t>
            </w:r>
          </w:p>
          <w:p w14:paraId="726E76F4" w14:textId="77777777" w:rsidR="00FA0CFF" w:rsidRPr="004E6A4A" w:rsidRDefault="00FA0CFF"/>
          <w:p w14:paraId="1895D075" w14:textId="5F3C4746" w:rsidR="00FA0CFF" w:rsidRPr="004E6A4A" w:rsidRDefault="00FA0CFF">
            <w:pPr>
              <w:jc w:val="both"/>
            </w:pPr>
          </w:p>
        </w:tc>
        <w:tc>
          <w:tcPr>
            <w:tcW w:w="1620" w:type="dxa"/>
          </w:tcPr>
          <w:p w14:paraId="2AA39ABD" w14:textId="77777777" w:rsidR="001D563A" w:rsidRPr="004E6A4A" w:rsidRDefault="001D563A" w:rsidP="00C4419F">
            <w:pPr>
              <w:jc w:val="center"/>
              <w:rPr>
                <w:rFonts w:ascii="Times New Roman" w:eastAsia="Calibri" w:hAnsi="Times New Roman" w:cs="Times New Roman"/>
                <w:sz w:val="18"/>
                <w:szCs w:val="18"/>
              </w:rPr>
            </w:pPr>
          </w:p>
          <w:p w14:paraId="41AC750A" w14:textId="1B3A678F" w:rsidR="000A21ED" w:rsidRPr="004E6A4A" w:rsidRDefault="001D563A"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466AEA67"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Përputhet.</w:t>
            </w:r>
          </w:p>
          <w:p w14:paraId="0EAF395A"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Transpozohet nga neni 5, pika 37, i projektligjit.</w:t>
            </w:r>
          </w:p>
        </w:tc>
      </w:tr>
      <w:tr w:rsidR="004E6A4A" w:rsidRPr="004E6A4A" w14:paraId="368EBB13" w14:textId="77777777" w:rsidTr="00153084">
        <w:trPr>
          <w:trHeight w:val="764"/>
        </w:trPr>
        <w:tc>
          <w:tcPr>
            <w:tcW w:w="630" w:type="dxa"/>
          </w:tcPr>
          <w:p w14:paraId="2955B67E" w14:textId="77777777" w:rsidR="000A21ED" w:rsidRPr="004E6A4A" w:rsidRDefault="000A21ED" w:rsidP="00C4419F">
            <w:pPr>
              <w:jc w:val="center"/>
              <w:rPr>
                <w:rFonts w:ascii="Times New Roman" w:eastAsia="Calibri" w:hAnsi="Times New Roman" w:cs="Times New Roman"/>
                <w:i/>
                <w:sz w:val="18"/>
                <w:szCs w:val="18"/>
              </w:rPr>
            </w:pPr>
          </w:p>
        </w:tc>
        <w:tc>
          <w:tcPr>
            <w:tcW w:w="4230" w:type="dxa"/>
          </w:tcPr>
          <w:p w14:paraId="7337F38E"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5.</w:t>
            </w:r>
            <w:r w:rsidRPr="004E6A4A">
              <w:rPr>
                <w:rFonts w:ascii="Times New Roman" w:eastAsia="Times New Roman" w:hAnsi="Times New Roman" w:cs="Times New Roman"/>
                <w:sz w:val="20"/>
                <w:szCs w:val="20"/>
              </w:rPr>
              <w:tab/>
              <w:t xml:space="preserve">Termi “Persona Kontrollues” nënkupton personat fizikë që ushtrojnë kontroll mbi një Njësi Ekonomike. Në rastin e një trusti, ky term nënkupton themeluesin ose themeluesit, administratorin ose administratorët, mbrojtësin ose mbrojtësit (nëse ka), përfituesin ose përfituesit ose kategorinë ose kategoritë e përfituesve, dhe çdo person ose persona të tjerë fizikë që ushtrojnë kontroll efektiv përfundimtar mbi trustin, ndërsa në rastin e një strukture juridike të ndryshme nga trusti, ky term nënkupton personat në pozita </w:t>
            </w:r>
            <w:r w:rsidRPr="004E6A4A">
              <w:rPr>
                <w:rFonts w:ascii="Times New Roman" w:eastAsia="Times New Roman" w:hAnsi="Times New Roman" w:cs="Times New Roman"/>
                <w:sz w:val="20"/>
                <w:szCs w:val="20"/>
              </w:rPr>
              <w:lastRenderedPageBreak/>
              <w:t>ekuivalente ose të ngjashme. Termi “Persona Kontrollues” duhet të interpretohet në mënyrë të njëtrajtshme me Rekomandimet e Task Forcës së Veprimit Financiar (FATF).</w:t>
            </w:r>
          </w:p>
        </w:tc>
        <w:tc>
          <w:tcPr>
            <w:tcW w:w="1350" w:type="dxa"/>
          </w:tcPr>
          <w:p w14:paraId="2EEF468A" w14:textId="77777777" w:rsidR="000A21ED" w:rsidRPr="004E6A4A" w:rsidRDefault="000A21ED" w:rsidP="00C4419F">
            <w:pPr>
              <w:jc w:val="center"/>
              <w:rPr>
                <w:rFonts w:ascii="Times New Roman" w:eastAsia="Calibri" w:hAnsi="Times New Roman" w:cs="Times New Roman"/>
                <w:sz w:val="18"/>
                <w:szCs w:val="18"/>
              </w:rPr>
            </w:pPr>
          </w:p>
        </w:tc>
        <w:tc>
          <w:tcPr>
            <w:tcW w:w="810" w:type="dxa"/>
          </w:tcPr>
          <w:p w14:paraId="2C71E723" w14:textId="77777777" w:rsidR="000A21ED" w:rsidRPr="004E6A4A" w:rsidRDefault="000A21ED" w:rsidP="00C4419F">
            <w:pPr>
              <w:jc w:val="center"/>
              <w:rPr>
                <w:rFonts w:ascii="Times New Roman" w:eastAsia="Times New Roman" w:hAnsi="Times New Roman" w:cs="Times New Roman"/>
                <w:sz w:val="20"/>
                <w:szCs w:val="21"/>
                <w:lang w:eastAsia="sq-AL"/>
              </w:rPr>
            </w:pPr>
          </w:p>
        </w:tc>
        <w:tc>
          <w:tcPr>
            <w:tcW w:w="4590" w:type="dxa"/>
          </w:tcPr>
          <w:p w14:paraId="448781D3" w14:textId="77777777" w:rsidR="00FA0CFF" w:rsidRPr="004E6A4A" w:rsidRDefault="00144445">
            <w:pPr>
              <w:jc w:val="center"/>
            </w:pPr>
            <w:r w:rsidRPr="004E6A4A">
              <w:rPr>
                <w:rFonts w:ascii="Times New Roman" w:eastAsia="Times New Roman" w:hAnsi="Times New Roman" w:cs="Times New Roman"/>
                <w:b/>
                <w:sz w:val="20"/>
              </w:rPr>
              <w:t>Ligji: Neni 5</w:t>
            </w:r>
          </w:p>
          <w:p w14:paraId="1D8C6395" w14:textId="77777777" w:rsidR="00FA0CFF" w:rsidRPr="004E6A4A" w:rsidRDefault="00144445">
            <w:pPr>
              <w:jc w:val="center"/>
            </w:pPr>
            <w:r w:rsidRPr="004E6A4A">
              <w:rPr>
                <w:rFonts w:ascii="Times New Roman" w:eastAsia="Times New Roman" w:hAnsi="Times New Roman" w:cs="Times New Roman"/>
                <w:b/>
                <w:sz w:val="20"/>
              </w:rPr>
              <w:t>Përkufizime</w:t>
            </w:r>
          </w:p>
          <w:p w14:paraId="2DD4FC22" w14:textId="77777777" w:rsidR="00FA0CFF" w:rsidRPr="004E6A4A" w:rsidRDefault="00144445">
            <w:pPr>
              <w:jc w:val="both"/>
            </w:pPr>
            <w:r w:rsidRPr="004E6A4A">
              <w:rPr>
                <w:rFonts w:ascii="Times New Roman" w:eastAsia="Times New Roman" w:hAnsi="Times New Roman" w:cs="Times New Roman"/>
                <w:sz w:val="20"/>
              </w:rPr>
              <w:t xml:space="preserve">64. “Persona kontrollues” janë personat fizikë që ushtrojnë kontroll mbi një njësi ekonomike. Në rastin e një trusti, ky term nënkupton krijuesin e trustit, administratorin e trustit, mbrojtësin, nëse ka, përfituesin ose kategoritë e përfituesve dhe çdo person tjetër fizik që ushtron kontroll efektiv përfundimtar mbi trustin. Në rastin e një strukture juridike të ndryshme nga trusti, ky term nënkupton personat në pozicione të barasvlershme ose të ngjashme. Termi “persona </w:t>
            </w:r>
            <w:r w:rsidRPr="004E6A4A">
              <w:rPr>
                <w:rFonts w:ascii="Times New Roman" w:eastAsia="Times New Roman" w:hAnsi="Times New Roman" w:cs="Times New Roman"/>
                <w:sz w:val="20"/>
              </w:rPr>
              <w:lastRenderedPageBreak/>
              <w:t>kontrollues” interpretohet në mënyrë të pajtueshme me rekomandimet e Task Forcës për Veprimin Financiar dhe legjislacionin shqiptar në fuqi kundër pastrimit të parave.</w:t>
            </w:r>
          </w:p>
        </w:tc>
        <w:tc>
          <w:tcPr>
            <w:tcW w:w="1620" w:type="dxa"/>
          </w:tcPr>
          <w:p w14:paraId="291A8321" w14:textId="77777777" w:rsidR="001D563A" w:rsidRPr="004E6A4A" w:rsidRDefault="001D563A" w:rsidP="00C4419F">
            <w:pPr>
              <w:jc w:val="center"/>
              <w:rPr>
                <w:rFonts w:ascii="Times New Roman" w:eastAsia="Calibri" w:hAnsi="Times New Roman" w:cs="Times New Roman"/>
                <w:sz w:val="18"/>
                <w:szCs w:val="18"/>
              </w:rPr>
            </w:pPr>
          </w:p>
          <w:p w14:paraId="75389C06" w14:textId="52768D60" w:rsidR="000A21ED" w:rsidRPr="004E6A4A" w:rsidRDefault="001D563A"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5ED9763F"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Përputhet.</w:t>
            </w:r>
          </w:p>
          <w:p w14:paraId="579A3D2E"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Transpozohet nga neni 5, pika 64, i projektligjit.</w:t>
            </w:r>
          </w:p>
        </w:tc>
      </w:tr>
      <w:tr w:rsidR="004E6A4A" w:rsidRPr="004E6A4A" w14:paraId="09598F9C" w14:textId="77777777" w:rsidTr="00153084">
        <w:trPr>
          <w:trHeight w:val="764"/>
        </w:trPr>
        <w:tc>
          <w:tcPr>
            <w:tcW w:w="630" w:type="dxa"/>
          </w:tcPr>
          <w:p w14:paraId="1CAB88CB" w14:textId="77777777" w:rsidR="000A21ED" w:rsidRPr="004E6A4A" w:rsidRDefault="000A21ED" w:rsidP="00C4419F">
            <w:pPr>
              <w:jc w:val="center"/>
              <w:rPr>
                <w:rFonts w:ascii="Times New Roman" w:eastAsia="Calibri" w:hAnsi="Times New Roman" w:cs="Times New Roman"/>
                <w:i/>
                <w:sz w:val="18"/>
                <w:szCs w:val="18"/>
              </w:rPr>
            </w:pPr>
          </w:p>
        </w:tc>
        <w:tc>
          <w:tcPr>
            <w:tcW w:w="4230" w:type="dxa"/>
          </w:tcPr>
          <w:p w14:paraId="5329F5EF"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6.</w:t>
            </w:r>
            <w:r w:rsidRPr="004E6A4A">
              <w:rPr>
                <w:rFonts w:ascii="Times New Roman" w:eastAsia="Times New Roman" w:hAnsi="Times New Roman" w:cs="Times New Roman"/>
                <w:sz w:val="20"/>
                <w:szCs w:val="20"/>
              </w:rPr>
              <w:tab/>
              <w:t>Termi “NFE” nënkupton çdo Njësi Ekonomike që nuk është Institucion Financiar.</w:t>
            </w:r>
          </w:p>
        </w:tc>
        <w:tc>
          <w:tcPr>
            <w:tcW w:w="1350" w:type="dxa"/>
          </w:tcPr>
          <w:p w14:paraId="002A1378" w14:textId="77777777" w:rsidR="000A21ED" w:rsidRPr="004E6A4A" w:rsidRDefault="000A21ED" w:rsidP="00C4419F">
            <w:pPr>
              <w:jc w:val="center"/>
              <w:rPr>
                <w:rFonts w:ascii="Times New Roman" w:eastAsia="Calibri" w:hAnsi="Times New Roman" w:cs="Times New Roman"/>
                <w:sz w:val="18"/>
                <w:szCs w:val="18"/>
              </w:rPr>
            </w:pPr>
          </w:p>
        </w:tc>
        <w:tc>
          <w:tcPr>
            <w:tcW w:w="810" w:type="dxa"/>
          </w:tcPr>
          <w:p w14:paraId="693980CA" w14:textId="77777777" w:rsidR="000A21ED" w:rsidRPr="004E6A4A" w:rsidRDefault="000A21ED" w:rsidP="00C4419F">
            <w:pPr>
              <w:jc w:val="center"/>
              <w:rPr>
                <w:rFonts w:ascii="Times New Roman" w:eastAsia="Times New Roman" w:hAnsi="Times New Roman" w:cs="Times New Roman"/>
                <w:sz w:val="20"/>
                <w:szCs w:val="21"/>
                <w:lang w:eastAsia="sq-AL"/>
              </w:rPr>
            </w:pPr>
          </w:p>
        </w:tc>
        <w:tc>
          <w:tcPr>
            <w:tcW w:w="4590" w:type="dxa"/>
          </w:tcPr>
          <w:p w14:paraId="0BCCC511" w14:textId="77777777" w:rsidR="00FA0CFF" w:rsidRPr="004E6A4A" w:rsidRDefault="00144445">
            <w:pPr>
              <w:jc w:val="center"/>
            </w:pPr>
            <w:r w:rsidRPr="004E6A4A">
              <w:rPr>
                <w:rFonts w:ascii="Times New Roman" w:eastAsia="Times New Roman" w:hAnsi="Times New Roman" w:cs="Times New Roman"/>
                <w:b/>
                <w:sz w:val="20"/>
              </w:rPr>
              <w:t>Ligji: Neni 5</w:t>
            </w:r>
          </w:p>
          <w:p w14:paraId="49B0DE97" w14:textId="77777777" w:rsidR="00FA0CFF" w:rsidRPr="004E6A4A" w:rsidRDefault="00144445">
            <w:pPr>
              <w:jc w:val="center"/>
            </w:pPr>
            <w:r w:rsidRPr="004E6A4A">
              <w:rPr>
                <w:rFonts w:ascii="Times New Roman" w:eastAsia="Times New Roman" w:hAnsi="Times New Roman" w:cs="Times New Roman"/>
                <w:b/>
                <w:sz w:val="20"/>
              </w:rPr>
              <w:t>Përkufizime</w:t>
            </w:r>
          </w:p>
          <w:p w14:paraId="2158104A" w14:textId="77777777" w:rsidR="00FA0CFF" w:rsidRPr="004E6A4A" w:rsidRDefault="00144445">
            <w:pPr>
              <w:jc w:val="both"/>
            </w:pPr>
            <w:r w:rsidRPr="004E6A4A">
              <w:rPr>
                <w:rFonts w:ascii="Times New Roman" w:eastAsia="Times New Roman" w:hAnsi="Times New Roman" w:cs="Times New Roman"/>
                <w:sz w:val="20"/>
              </w:rPr>
              <w:t>56. “NFE” është çdo njësi ekonomike që nuk është institucion financiar.</w:t>
            </w:r>
          </w:p>
        </w:tc>
        <w:tc>
          <w:tcPr>
            <w:tcW w:w="1620" w:type="dxa"/>
          </w:tcPr>
          <w:p w14:paraId="36087F51" w14:textId="77777777" w:rsidR="001D563A" w:rsidRPr="004E6A4A" w:rsidRDefault="001D563A" w:rsidP="00C4419F">
            <w:pPr>
              <w:jc w:val="center"/>
              <w:rPr>
                <w:rFonts w:ascii="Times New Roman" w:eastAsia="Calibri" w:hAnsi="Times New Roman" w:cs="Times New Roman"/>
                <w:sz w:val="18"/>
                <w:szCs w:val="18"/>
              </w:rPr>
            </w:pPr>
          </w:p>
          <w:p w14:paraId="73274071" w14:textId="0EE9AFC3" w:rsidR="000A21ED" w:rsidRPr="004E6A4A" w:rsidRDefault="001D563A"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4A759AA8"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Përputhet.</w:t>
            </w:r>
          </w:p>
          <w:p w14:paraId="1CBB0C94"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Transpozohet nga neni 5, pika 56, i projektligjit.</w:t>
            </w:r>
          </w:p>
        </w:tc>
      </w:tr>
      <w:tr w:rsidR="004E6A4A" w:rsidRPr="004E6A4A" w14:paraId="72BFBA72" w14:textId="77777777" w:rsidTr="00153084">
        <w:trPr>
          <w:trHeight w:val="764"/>
        </w:trPr>
        <w:tc>
          <w:tcPr>
            <w:tcW w:w="630" w:type="dxa"/>
          </w:tcPr>
          <w:p w14:paraId="4BE7092C" w14:textId="77777777" w:rsidR="000A21ED" w:rsidRPr="004E6A4A" w:rsidRDefault="000A21ED" w:rsidP="00C4419F">
            <w:pPr>
              <w:jc w:val="center"/>
              <w:rPr>
                <w:rFonts w:ascii="Times New Roman" w:eastAsia="Calibri" w:hAnsi="Times New Roman" w:cs="Times New Roman"/>
                <w:i/>
                <w:sz w:val="18"/>
                <w:szCs w:val="18"/>
              </w:rPr>
            </w:pPr>
          </w:p>
        </w:tc>
        <w:tc>
          <w:tcPr>
            <w:tcW w:w="4230" w:type="dxa"/>
          </w:tcPr>
          <w:p w14:paraId="4EDE52AC"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7.</w:t>
            </w:r>
            <w:r w:rsidRPr="004E6A4A">
              <w:rPr>
                <w:rFonts w:ascii="Times New Roman" w:eastAsia="Times New Roman" w:hAnsi="Times New Roman" w:cs="Times New Roman"/>
                <w:sz w:val="20"/>
                <w:szCs w:val="20"/>
              </w:rPr>
              <w:tab/>
              <w:t>Termi “NFE pasive” nënkupton çdo: (i) NFE që nuk është NFE aktive; ose (ii) Njësi Ekonomike Investimi të përshkruar në nënparagrafin A(6)(b) që nuk është Institucion Financiar i Juridiksionit Pjesëmarrës.</w:t>
            </w:r>
          </w:p>
        </w:tc>
        <w:tc>
          <w:tcPr>
            <w:tcW w:w="1350" w:type="dxa"/>
          </w:tcPr>
          <w:p w14:paraId="334762C2" w14:textId="77777777" w:rsidR="000A21ED" w:rsidRPr="004E6A4A" w:rsidRDefault="000A21ED" w:rsidP="00C4419F">
            <w:pPr>
              <w:jc w:val="center"/>
              <w:rPr>
                <w:rFonts w:ascii="Times New Roman" w:eastAsia="Calibri" w:hAnsi="Times New Roman" w:cs="Times New Roman"/>
                <w:sz w:val="18"/>
                <w:szCs w:val="18"/>
              </w:rPr>
            </w:pPr>
          </w:p>
        </w:tc>
        <w:tc>
          <w:tcPr>
            <w:tcW w:w="810" w:type="dxa"/>
          </w:tcPr>
          <w:p w14:paraId="54A484D1" w14:textId="77777777" w:rsidR="000A21ED" w:rsidRPr="004E6A4A" w:rsidRDefault="000A21ED" w:rsidP="00C4419F">
            <w:pPr>
              <w:jc w:val="center"/>
              <w:rPr>
                <w:rFonts w:ascii="Times New Roman" w:eastAsia="Times New Roman" w:hAnsi="Times New Roman" w:cs="Times New Roman"/>
                <w:sz w:val="20"/>
                <w:szCs w:val="21"/>
                <w:lang w:eastAsia="sq-AL"/>
              </w:rPr>
            </w:pPr>
          </w:p>
        </w:tc>
        <w:tc>
          <w:tcPr>
            <w:tcW w:w="4590" w:type="dxa"/>
          </w:tcPr>
          <w:p w14:paraId="42166035" w14:textId="77777777" w:rsidR="00FA0CFF" w:rsidRPr="004E6A4A" w:rsidRDefault="00144445">
            <w:pPr>
              <w:jc w:val="center"/>
            </w:pPr>
            <w:r w:rsidRPr="004E6A4A">
              <w:rPr>
                <w:rFonts w:ascii="Times New Roman" w:eastAsia="Times New Roman" w:hAnsi="Times New Roman" w:cs="Times New Roman"/>
                <w:b/>
                <w:sz w:val="20"/>
              </w:rPr>
              <w:t>Ligji: Neni 5</w:t>
            </w:r>
          </w:p>
          <w:p w14:paraId="6F75B548" w14:textId="77777777" w:rsidR="00FA0CFF" w:rsidRPr="004E6A4A" w:rsidRDefault="00144445">
            <w:pPr>
              <w:jc w:val="center"/>
            </w:pPr>
            <w:r w:rsidRPr="004E6A4A">
              <w:rPr>
                <w:rFonts w:ascii="Times New Roman" w:eastAsia="Times New Roman" w:hAnsi="Times New Roman" w:cs="Times New Roman"/>
                <w:b/>
                <w:sz w:val="20"/>
              </w:rPr>
              <w:t>Përkufizime</w:t>
            </w:r>
          </w:p>
          <w:p w14:paraId="11B877CE" w14:textId="77777777" w:rsidR="00FA0CFF" w:rsidRPr="004E6A4A" w:rsidRDefault="00144445">
            <w:pPr>
              <w:jc w:val="both"/>
            </w:pPr>
            <w:r w:rsidRPr="004E6A4A">
              <w:rPr>
                <w:rFonts w:ascii="Times New Roman" w:eastAsia="Times New Roman" w:hAnsi="Times New Roman" w:cs="Times New Roman"/>
                <w:sz w:val="20"/>
              </w:rPr>
              <w:t>58. “NFE pasive” është:</w:t>
            </w:r>
          </w:p>
          <w:p w14:paraId="6CD8DBFF" w14:textId="77777777" w:rsidR="00FA0CFF" w:rsidRPr="004E6A4A" w:rsidRDefault="00144445">
            <w:pPr>
              <w:jc w:val="both"/>
            </w:pPr>
            <w:r w:rsidRPr="004E6A4A">
              <w:rPr>
                <w:rFonts w:ascii="Times New Roman" w:eastAsia="Times New Roman" w:hAnsi="Times New Roman" w:cs="Times New Roman"/>
                <w:sz w:val="20"/>
              </w:rPr>
              <w:t>a) çdo NFE që nuk është NFE aktive; ose</w:t>
            </w:r>
          </w:p>
          <w:p w14:paraId="567CAE63" w14:textId="77777777" w:rsidR="00FA0CFF" w:rsidRPr="004E6A4A" w:rsidRDefault="00144445">
            <w:pPr>
              <w:jc w:val="both"/>
            </w:pPr>
            <w:r w:rsidRPr="004E6A4A">
              <w:rPr>
                <w:rFonts w:ascii="Times New Roman" w:eastAsia="Times New Roman" w:hAnsi="Times New Roman" w:cs="Times New Roman"/>
                <w:sz w:val="20"/>
              </w:rPr>
              <w:t>b) një Njësi Ekonomike Investimi e përshkruar në pikën 26, shkronja ‘b’, të këtij neni, që nuk është Institucion Financiar i një Juridiksioni Pjesëmarrës.</w:t>
            </w:r>
          </w:p>
        </w:tc>
        <w:tc>
          <w:tcPr>
            <w:tcW w:w="1620" w:type="dxa"/>
          </w:tcPr>
          <w:p w14:paraId="43920042" w14:textId="77777777" w:rsidR="001D563A" w:rsidRPr="004E6A4A" w:rsidRDefault="001D563A" w:rsidP="00C4419F">
            <w:pPr>
              <w:jc w:val="center"/>
              <w:rPr>
                <w:rFonts w:ascii="Times New Roman" w:eastAsia="Calibri" w:hAnsi="Times New Roman" w:cs="Times New Roman"/>
                <w:sz w:val="18"/>
                <w:szCs w:val="18"/>
              </w:rPr>
            </w:pPr>
          </w:p>
          <w:p w14:paraId="701A89A8" w14:textId="1AEE5079" w:rsidR="000A21ED" w:rsidRPr="004E6A4A" w:rsidRDefault="001D563A"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083AE369"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Përputhet.</w:t>
            </w:r>
          </w:p>
          <w:p w14:paraId="5632E5A5"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Transpozohet nga neni 5, pika 58, i projektligjit.</w:t>
            </w:r>
          </w:p>
        </w:tc>
      </w:tr>
      <w:tr w:rsidR="004E6A4A" w:rsidRPr="004E6A4A" w14:paraId="1C46C015" w14:textId="77777777" w:rsidTr="00153084">
        <w:trPr>
          <w:trHeight w:val="764"/>
        </w:trPr>
        <w:tc>
          <w:tcPr>
            <w:tcW w:w="630" w:type="dxa"/>
          </w:tcPr>
          <w:p w14:paraId="5ADDDF65" w14:textId="77777777" w:rsidR="00C4419F" w:rsidRPr="004E6A4A" w:rsidRDefault="00C4419F" w:rsidP="00C4419F">
            <w:pPr>
              <w:jc w:val="center"/>
              <w:rPr>
                <w:rFonts w:ascii="Times New Roman" w:eastAsia="Calibri" w:hAnsi="Times New Roman" w:cs="Times New Roman"/>
                <w:i/>
                <w:sz w:val="18"/>
                <w:szCs w:val="18"/>
              </w:rPr>
            </w:pPr>
          </w:p>
        </w:tc>
        <w:tc>
          <w:tcPr>
            <w:tcW w:w="4230" w:type="dxa"/>
          </w:tcPr>
          <w:p w14:paraId="79A0D51D"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8.</w:t>
            </w:r>
            <w:r w:rsidRPr="004E6A4A">
              <w:rPr>
                <w:rFonts w:ascii="Times New Roman" w:eastAsia="Times New Roman" w:hAnsi="Times New Roman" w:cs="Times New Roman"/>
                <w:sz w:val="20"/>
                <w:szCs w:val="20"/>
              </w:rPr>
              <w:tab/>
              <w:t>Termi “NFE aktive” nënkupton çdo NFE që përmbush cilindo nga kriteret e mëposhtme:</w:t>
            </w:r>
          </w:p>
          <w:p w14:paraId="2A1CA223"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(a)</w:t>
            </w:r>
            <w:r w:rsidRPr="004E6A4A">
              <w:rPr>
                <w:rFonts w:ascii="Times New Roman" w:eastAsia="Times New Roman" w:hAnsi="Times New Roman" w:cs="Times New Roman"/>
                <w:sz w:val="20"/>
                <w:szCs w:val="20"/>
              </w:rPr>
              <w:tab/>
              <w:t>më pak se 50 % e të ardhurave bruto të NFE-së për vitin kalendarik paraardhës ose për periudhën tjetër të përshtatshme raportuese janë të ardhura pasive dhe më pak se 50 % e aktiveve të mbajtura nga NFE-ja gjatë vitit kalendarik paraardhës ose periudhës tjetër të përshtatshme raportuese janë aktive që prodhojnë ose që mbahen për prodhimin e të ardhurave pasive;</w:t>
            </w:r>
          </w:p>
          <w:p w14:paraId="2784E212"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 xml:space="preserve"> (b)</w:t>
            </w:r>
            <w:r w:rsidRPr="004E6A4A">
              <w:rPr>
                <w:rFonts w:ascii="Times New Roman" w:eastAsia="Times New Roman" w:hAnsi="Times New Roman" w:cs="Times New Roman"/>
                <w:sz w:val="20"/>
                <w:szCs w:val="20"/>
              </w:rPr>
              <w:tab/>
              <w:t>aksionet e NFE-së tregtohen rregullisht në një treg të njohur letrash me vlerë ose NFE-ja është Njësi Ekonomike e Lidhur me një Njësi Ekonomike, aksionet e së cilës tregtohen rregullisht në një treg të njohur letrash me vlerë;</w:t>
            </w:r>
          </w:p>
          <w:p w14:paraId="2FE19FB6"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w:t>
            </w:r>
            <w:r w:rsidRPr="004E6A4A">
              <w:rPr>
                <w:rFonts w:ascii="Times New Roman" w:eastAsia="Times New Roman" w:hAnsi="Times New Roman" w:cs="Times New Roman"/>
                <w:sz w:val="20"/>
                <w:szCs w:val="20"/>
              </w:rPr>
              <w:tab/>
              <w:t>NFE-ja është Organ Qeveritar, Organizatë Ndërkombëtare, Bankë Qendrore ose Njësi Ekonomike në pronësi të plotë të një ose më shumë prej tyre;</w:t>
            </w:r>
          </w:p>
          <w:p w14:paraId="7DB8D46B"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(d)</w:t>
            </w:r>
            <w:r w:rsidRPr="004E6A4A">
              <w:rPr>
                <w:rFonts w:ascii="Times New Roman" w:eastAsia="Times New Roman" w:hAnsi="Times New Roman" w:cs="Times New Roman"/>
                <w:sz w:val="20"/>
                <w:szCs w:val="20"/>
              </w:rPr>
              <w:tab/>
              <w:t xml:space="preserve">thuajse të gjitha veprimtaritë e NFE-së konsistojnë në mbajtjen (tërësisht ose pjesërisht) të aksioneve në qarkullim të një ose më shumë </w:t>
            </w:r>
            <w:r w:rsidRPr="004E6A4A">
              <w:rPr>
                <w:rFonts w:ascii="Times New Roman" w:eastAsia="Times New Roman" w:hAnsi="Times New Roman" w:cs="Times New Roman"/>
                <w:sz w:val="20"/>
                <w:szCs w:val="20"/>
              </w:rPr>
              <w:lastRenderedPageBreak/>
              <w:t>filialeve, ose në dhënien e financimit dhe shërbimeve për to, të cilat ushtrojnë tregti ose veprimtari të ndryshme nga veprimtaria e një Institucioni Financiar, me përjashtim të faktit që një Njësi Ekonomike nuk kualifikohet për këtë status nëse Njësia Ekonomike funksionon (ose paraqitet) si fond investimi, si një fond kapitali privat, fond kapitali sipërmarrës, fond blerjesh me levë financiare ose çdo instrument investimi qëllimi i të cilit është të blejë ose të financojë shoqëri dhe më pas të mbajë interesa në këto shoqëri si aktive kapitale për qëllime investimi;</w:t>
            </w:r>
          </w:p>
          <w:p w14:paraId="36B9FBC4"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(e)</w:t>
            </w:r>
            <w:r w:rsidRPr="004E6A4A">
              <w:rPr>
                <w:rFonts w:ascii="Times New Roman" w:eastAsia="Times New Roman" w:hAnsi="Times New Roman" w:cs="Times New Roman"/>
                <w:sz w:val="20"/>
                <w:szCs w:val="20"/>
              </w:rPr>
              <w:tab/>
              <w:t>NFE-ja nuk ushtron ende një veprimtari dhe nuk ka histori të mëparshme veprimtarie, por investon kapital në aktive me synimin për të ushtruar një veprimtari të ndryshme nga ajo e një Institucioni Financiar, me kusht që NFE-ja të mos kualifikohet për këtë përjashtim pas datës që bie 24 muaj pas datës së organizimit fillestar të NFE-së;</w:t>
            </w:r>
          </w:p>
          <w:p w14:paraId="17FC6174"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(f)</w:t>
            </w:r>
            <w:r w:rsidRPr="004E6A4A">
              <w:rPr>
                <w:rFonts w:ascii="Times New Roman" w:eastAsia="Times New Roman" w:hAnsi="Times New Roman" w:cs="Times New Roman"/>
                <w:sz w:val="20"/>
                <w:szCs w:val="20"/>
              </w:rPr>
              <w:tab/>
              <w:t>NFE-ja nuk ka qenë Institucion Financiar në pesë vitet e fundit dhe është në proces likuidimi të aktiveve të saj ose po riorganizohet me synimin për të vazhduar ose për të rifilluar veprimtarinë në një veprimtari të ndryshme nga ajo e një Institucioni Financiar;</w:t>
            </w:r>
          </w:p>
          <w:p w14:paraId="48334B0C"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(g)</w:t>
            </w:r>
            <w:r w:rsidRPr="004E6A4A">
              <w:rPr>
                <w:rFonts w:ascii="Times New Roman" w:eastAsia="Times New Roman" w:hAnsi="Times New Roman" w:cs="Times New Roman"/>
                <w:sz w:val="20"/>
                <w:szCs w:val="20"/>
              </w:rPr>
              <w:tab/>
              <w:t>NFE-ja kryen kryesisht transaksione financimi dhe mbrojtjeje nga rreziku me ose për Njësi Ekonomike të Lidhura që nuk janë Institucione Financiare dhe nuk ofron shërbime financimi ose mbrojtjeje nga rreziku për asnjë Njësi Ekonomike që nuk është Njësi Ekonomike e Lidhur, me kusht që grupi i këtyre Njësive Ekonomike të Lidhura të ushtrojë kryesisht një veprimtari të ndryshme nga ajo e një Institucioni Financiar; ose</w:t>
            </w:r>
          </w:p>
          <w:p w14:paraId="72D2F621"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lastRenderedPageBreak/>
              <w:t>(h)</w:t>
            </w:r>
            <w:r w:rsidRPr="004E6A4A">
              <w:rPr>
                <w:rFonts w:ascii="Times New Roman" w:eastAsia="Times New Roman" w:hAnsi="Times New Roman" w:cs="Times New Roman"/>
                <w:sz w:val="20"/>
                <w:szCs w:val="20"/>
              </w:rPr>
              <w:tab/>
              <w:t>NFE-ja përmbush të gjitha kërkesat e mëposhtme:</w:t>
            </w:r>
          </w:p>
          <w:p w14:paraId="223949F9"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(i)</w:t>
            </w:r>
            <w:r w:rsidRPr="004E6A4A">
              <w:rPr>
                <w:rFonts w:ascii="Times New Roman" w:eastAsia="Times New Roman" w:hAnsi="Times New Roman" w:cs="Times New Roman"/>
                <w:sz w:val="20"/>
                <w:szCs w:val="20"/>
              </w:rPr>
              <w:tab/>
              <w:t>është themeluar dhe vepron në shtetin e saj anëtar ose në juridiksionin tjetër të rezidencës ekskluzivisht për qëllime fetare, bamirëse, shkencore, artistike, kulturore, sportive ose arsimore; ose është themeluar dhe vepron në shtetin e saj anëtar ose në juridiksionin tjetër të rezidencës dhe është organizatë profesionale, shoqatë biznesi, dhomë tregtie, organizatë punëtorësh, organizatë bujqësore ose kopshtarie, shoqatë qytetare ose organizatë që vepron ekskluzivisht për nxitjen e mirëqenies sociale;</w:t>
            </w:r>
          </w:p>
          <w:p w14:paraId="0AD7A436"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(ii)</w:t>
            </w:r>
            <w:r w:rsidRPr="004E6A4A">
              <w:rPr>
                <w:rFonts w:ascii="Times New Roman" w:eastAsia="Times New Roman" w:hAnsi="Times New Roman" w:cs="Times New Roman"/>
                <w:sz w:val="20"/>
                <w:szCs w:val="20"/>
              </w:rPr>
              <w:tab/>
              <w:t>është e përjashtuar nga tatimi mbi të ardhurat në shtetin e saj anëtar ose në juridiksionin tjetër të rezidencës;</w:t>
            </w:r>
          </w:p>
          <w:p w14:paraId="0DC35B6D"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(iii)</w:t>
            </w:r>
            <w:r w:rsidRPr="004E6A4A">
              <w:rPr>
                <w:rFonts w:ascii="Times New Roman" w:eastAsia="Times New Roman" w:hAnsi="Times New Roman" w:cs="Times New Roman"/>
                <w:sz w:val="20"/>
                <w:szCs w:val="20"/>
              </w:rPr>
              <w:tab/>
              <w:t>nuk ka aksionarë ose anëtarë që kanë interes pronësor ose përfitues në të ardhurat ose në aktivet e saj;</w:t>
            </w:r>
          </w:p>
          <w:p w14:paraId="1A9713BB"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(iv)</w:t>
            </w:r>
            <w:r w:rsidRPr="004E6A4A">
              <w:rPr>
                <w:rFonts w:ascii="Times New Roman" w:eastAsia="Times New Roman" w:hAnsi="Times New Roman" w:cs="Times New Roman"/>
                <w:sz w:val="20"/>
                <w:szCs w:val="20"/>
              </w:rPr>
              <w:tab/>
              <w:t>ligjet e zbatueshme të shtetit anëtar ose të juridiksionit tjetër të rezidencës së NFE-së ose aktet e themelimit të NFE-së nuk lejojnë që të ardhurat ose aktivet e NFE-së t’i shpërndahen ose të përdoren në dobi të një personi privat ose të një Njësie Ekonomike jobamirëse, përveçse në kuadër të ushtrimit të veprimtarive bamirëse të NFE-së, ose si pagesë e shpërblimit të arsyeshëm për shërbimet e kryera, ose si pagesë që përfaqëson vlerën e drejtë të tregut të pasurisë që NFE-ja ka blerë; dhe</w:t>
            </w:r>
          </w:p>
          <w:p w14:paraId="30DCAA14"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(v)</w:t>
            </w:r>
            <w:r w:rsidRPr="004E6A4A">
              <w:rPr>
                <w:rFonts w:ascii="Times New Roman" w:eastAsia="Times New Roman" w:hAnsi="Times New Roman" w:cs="Times New Roman"/>
                <w:sz w:val="20"/>
                <w:szCs w:val="20"/>
              </w:rPr>
              <w:tab/>
              <w:t xml:space="preserve">ligjet e zbatueshme të shtetit anëtar ose të juridiksionit tjetër të rezidencës së NFE-së ose aktet e themelimit të NFE-së kërkojnë që, me likuidimin ose shpërbërjen e NFE-së, të gjitha aktivet e saj t’i shpërndahen një Organi Qeveritar ose një organizate tjetër jofitimprurëse, ose t’i kalojnë qeverisë së shtetit anëtar ose të </w:t>
            </w:r>
            <w:r w:rsidRPr="004E6A4A">
              <w:rPr>
                <w:rFonts w:ascii="Times New Roman" w:eastAsia="Times New Roman" w:hAnsi="Times New Roman" w:cs="Times New Roman"/>
                <w:sz w:val="20"/>
                <w:szCs w:val="20"/>
              </w:rPr>
              <w:lastRenderedPageBreak/>
              <w:t>juridiksionit tjetër të rezidencës së NFE-së ose ndonjë nënndarjeje politike të tij.</w:t>
            </w:r>
          </w:p>
        </w:tc>
        <w:tc>
          <w:tcPr>
            <w:tcW w:w="1350" w:type="dxa"/>
          </w:tcPr>
          <w:p w14:paraId="22CCF31B" w14:textId="77777777" w:rsidR="00C4419F" w:rsidRPr="004E6A4A" w:rsidRDefault="00C4419F" w:rsidP="00C4419F">
            <w:pPr>
              <w:jc w:val="center"/>
              <w:rPr>
                <w:rFonts w:ascii="Times New Roman" w:eastAsia="Calibri" w:hAnsi="Times New Roman" w:cs="Times New Roman"/>
                <w:sz w:val="18"/>
                <w:szCs w:val="18"/>
              </w:rPr>
            </w:pPr>
          </w:p>
        </w:tc>
        <w:tc>
          <w:tcPr>
            <w:tcW w:w="810" w:type="dxa"/>
          </w:tcPr>
          <w:p w14:paraId="2B971A24" w14:textId="77777777" w:rsidR="00C4419F" w:rsidRPr="004E6A4A" w:rsidRDefault="00C4419F" w:rsidP="00C4419F">
            <w:pPr>
              <w:jc w:val="center"/>
              <w:rPr>
                <w:rFonts w:ascii="Times New Roman" w:eastAsia="Times New Roman" w:hAnsi="Times New Roman" w:cs="Times New Roman"/>
                <w:sz w:val="20"/>
                <w:szCs w:val="21"/>
                <w:lang w:eastAsia="sq-AL"/>
              </w:rPr>
            </w:pPr>
          </w:p>
        </w:tc>
        <w:tc>
          <w:tcPr>
            <w:tcW w:w="4590" w:type="dxa"/>
          </w:tcPr>
          <w:p w14:paraId="1C757D23" w14:textId="77777777" w:rsidR="00FA0CFF" w:rsidRPr="004E6A4A" w:rsidRDefault="00144445">
            <w:pPr>
              <w:jc w:val="center"/>
            </w:pPr>
            <w:r w:rsidRPr="004E6A4A">
              <w:rPr>
                <w:rFonts w:ascii="Times New Roman" w:eastAsia="Times New Roman" w:hAnsi="Times New Roman" w:cs="Times New Roman"/>
                <w:b/>
                <w:sz w:val="20"/>
              </w:rPr>
              <w:t>Ligji: Neni 5</w:t>
            </w:r>
          </w:p>
          <w:p w14:paraId="624E6036" w14:textId="77777777" w:rsidR="00FA0CFF" w:rsidRPr="004E6A4A" w:rsidRDefault="00144445">
            <w:pPr>
              <w:jc w:val="center"/>
            </w:pPr>
            <w:r w:rsidRPr="004E6A4A">
              <w:rPr>
                <w:rFonts w:ascii="Times New Roman" w:eastAsia="Times New Roman" w:hAnsi="Times New Roman" w:cs="Times New Roman"/>
                <w:b/>
                <w:sz w:val="20"/>
              </w:rPr>
              <w:t>Përkufizime</w:t>
            </w:r>
          </w:p>
          <w:p w14:paraId="73CDCFCE" w14:textId="77777777" w:rsidR="00FA0CFF" w:rsidRPr="004E6A4A" w:rsidRDefault="00144445">
            <w:pPr>
              <w:jc w:val="both"/>
            </w:pPr>
            <w:r w:rsidRPr="004E6A4A">
              <w:rPr>
                <w:rFonts w:ascii="Times New Roman" w:eastAsia="Times New Roman" w:hAnsi="Times New Roman" w:cs="Times New Roman"/>
                <w:sz w:val="20"/>
              </w:rPr>
              <w:t>57. “NFE aktive” është çdo NFE që përmbush të paktën një nga kriteret e mëposhtme:</w:t>
            </w:r>
          </w:p>
          <w:p w14:paraId="39AA0A06" w14:textId="77777777" w:rsidR="00FA0CFF" w:rsidRPr="004E6A4A" w:rsidRDefault="00144445">
            <w:pPr>
              <w:jc w:val="both"/>
            </w:pPr>
            <w:r w:rsidRPr="004E6A4A">
              <w:rPr>
                <w:rFonts w:ascii="Times New Roman" w:eastAsia="Times New Roman" w:hAnsi="Times New Roman" w:cs="Times New Roman"/>
                <w:sz w:val="20"/>
              </w:rPr>
              <w:t>a) më pak se 50 për qind e të ardhurave bruto të NFE-së për vitin kalendarik paraardhës ose një periudhë tjetër të përshtatshme raportimi janë të ardhura pasive dhe më pak se 50 për qind e aktiveve të mbajtura nga NFE-ja gjatë vitit kalendarik paraardhës ose një periudhe tjetër të përshtatshme raportimi janë aktive që prodhojnë ose mbahen për prodhimin e të ardhurave pasive;</w:t>
            </w:r>
          </w:p>
          <w:p w14:paraId="4B4F4924" w14:textId="77777777" w:rsidR="00FA0CFF" w:rsidRPr="004E6A4A" w:rsidRDefault="00144445">
            <w:pPr>
              <w:jc w:val="both"/>
            </w:pPr>
            <w:r w:rsidRPr="004E6A4A">
              <w:rPr>
                <w:rFonts w:ascii="Times New Roman" w:eastAsia="Times New Roman" w:hAnsi="Times New Roman" w:cs="Times New Roman"/>
                <w:sz w:val="20"/>
              </w:rPr>
              <w:t>b) aksionet e NFE-së tregtohen rregullisht në një treg të konsoliduar letrash me vlerë ose NFE-ja është njësi ekonomike e lidhur me një njësi ekonomike, aksionet e së cilës tregtohen rregullisht në një treg të konsoliduar letrash me vlerë;</w:t>
            </w:r>
          </w:p>
          <w:p w14:paraId="3BB5D66D" w14:textId="77777777" w:rsidR="00FA0CFF" w:rsidRPr="004E6A4A" w:rsidRDefault="00144445">
            <w:pPr>
              <w:jc w:val="both"/>
            </w:pPr>
            <w:r w:rsidRPr="004E6A4A">
              <w:rPr>
                <w:rFonts w:ascii="Times New Roman" w:eastAsia="Times New Roman" w:hAnsi="Times New Roman" w:cs="Times New Roman"/>
                <w:sz w:val="20"/>
              </w:rPr>
              <w:t>c) NFE-ja është organ qeveritar, organizatë ndërkombëtare, bankë qendrore ose një njësi ekonomike e zotëruar plotësisht nga një ose më shumë prej tyre;</w:t>
            </w:r>
          </w:p>
          <w:p w14:paraId="49EFE019" w14:textId="77777777" w:rsidR="00FA0CFF" w:rsidRPr="004E6A4A" w:rsidRDefault="00144445">
            <w:pPr>
              <w:jc w:val="both"/>
            </w:pPr>
            <w:r w:rsidRPr="004E6A4A">
              <w:rPr>
                <w:rFonts w:ascii="Times New Roman" w:eastAsia="Times New Roman" w:hAnsi="Times New Roman" w:cs="Times New Roman"/>
                <w:sz w:val="20"/>
              </w:rPr>
              <w:lastRenderedPageBreak/>
              <w:t>ç) në thelb, të gjitha aktivitetet e NFE-së konsistojnë në mbajtjen, plotësisht ose pjesërisht, të aksioneve të qarkullueshme të një ose më shumë filialeve ose në ofrimin e financimit dhe shërbimeve për një ose më shumë filiale që angazhohen në tregti ose biznese të ndryshme nga biznesi i institucionit financiar, por njësia ekonomike nuk kualifikohet për këtë status nëse funksionon ose pretendon se funksionon si një fond investimi, i tillë si fond privat me kapital neto, fond me sipërmarrje kapitali, fond blerjeje me financim nga të tretë ose çdo instrument investimi, qëllimi i të cilit është blerja ose financimi i shoqërive dhe më pas mbajtja e interesave në ato shoqëri si aktive kapitali për qëllime investimi;</w:t>
            </w:r>
          </w:p>
          <w:p w14:paraId="12750A62" w14:textId="77777777" w:rsidR="00FA0CFF" w:rsidRPr="004E6A4A" w:rsidRDefault="00144445">
            <w:pPr>
              <w:jc w:val="both"/>
            </w:pPr>
            <w:r w:rsidRPr="004E6A4A">
              <w:rPr>
                <w:rFonts w:ascii="Times New Roman" w:eastAsia="Times New Roman" w:hAnsi="Times New Roman" w:cs="Times New Roman"/>
                <w:sz w:val="20"/>
              </w:rPr>
              <w:t>d) NFE-ja ende nuk po operon një biznes dhe nuk ka asnjë historik të mëparshëm operimi, por po investon kapital në aktive me synimin për të operuar një biznes të ndryshëm nga ai i institucionit financiar, me kusht që NFE-ja nuk kualifikohet për këtë përjashtim pas datës që është 24 muaj pas datës së organizimit fillestar të NFE-së;</w:t>
            </w:r>
          </w:p>
          <w:p w14:paraId="2F1C0946" w14:textId="77777777" w:rsidR="00FA0CFF" w:rsidRPr="004E6A4A" w:rsidRDefault="00144445">
            <w:pPr>
              <w:jc w:val="both"/>
            </w:pPr>
            <w:r w:rsidRPr="004E6A4A">
              <w:rPr>
                <w:rFonts w:ascii="Times New Roman" w:eastAsia="Times New Roman" w:hAnsi="Times New Roman" w:cs="Times New Roman"/>
                <w:sz w:val="20"/>
              </w:rPr>
              <w:t>dh) NFE-ja nuk ka qenë institucion financiar në pesë vitet e fundit dhe është në procesin e likuidimit të aktiveve të saj ose po riorganizohet me qëllim vijimin ose rifillimin e operacioneve në një biznes të ndryshëm nga ai i institucionit financiar;</w:t>
            </w:r>
          </w:p>
          <w:p w14:paraId="619C9AB2" w14:textId="77777777" w:rsidR="00FA0CFF" w:rsidRPr="004E6A4A" w:rsidRDefault="00144445">
            <w:pPr>
              <w:jc w:val="both"/>
            </w:pPr>
            <w:r w:rsidRPr="004E6A4A">
              <w:rPr>
                <w:rFonts w:ascii="Times New Roman" w:eastAsia="Times New Roman" w:hAnsi="Times New Roman" w:cs="Times New Roman"/>
                <w:sz w:val="20"/>
              </w:rPr>
              <w:t>e) NFE-ja angazhohet kryesisht në financimin dhe mbrojtjen e transaksioneve me ose për njësitë ekonomike të lidhura që nuk janë institucione financiare dhe nuk i ofron shërbime financimi ose mbrojtjeje asnjë njësie ekonomike që nuk është njësi ekonomike e lidhur, me kusht që grupi i çdo njësie ekonomike të tillë të lidhur të jetë kryesisht i angazhuar në një biznes të ndryshëm nga ai i institucionit financiar; ose</w:t>
            </w:r>
          </w:p>
          <w:p w14:paraId="4FE77774" w14:textId="77777777" w:rsidR="00FA0CFF" w:rsidRPr="004E6A4A" w:rsidRDefault="00144445">
            <w:pPr>
              <w:jc w:val="both"/>
            </w:pPr>
            <w:r w:rsidRPr="004E6A4A">
              <w:rPr>
                <w:rFonts w:ascii="Times New Roman" w:eastAsia="Times New Roman" w:hAnsi="Times New Roman" w:cs="Times New Roman"/>
                <w:sz w:val="20"/>
              </w:rPr>
              <w:t>ë) NFE-ja përmbush të gjitha kërkesat e mëposhtme:</w:t>
            </w:r>
          </w:p>
          <w:p w14:paraId="7DDE8058" w14:textId="77777777" w:rsidR="00FA0CFF" w:rsidRPr="004E6A4A" w:rsidRDefault="00144445">
            <w:pPr>
              <w:jc w:val="both"/>
            </w:pPr>
            <w:r w:rsidRPr="004E6A4A">
              <w:rPr>
                <w:rFonts w:ascii="Times New Roman" w:eastAsia="Times New Roman" w:hAnsi="Times New Roman" w:cs="Times New Roman"/>
                <w:sz w:val="20"/>
              </w:rPr>
              <w:lastRenderedPageBreak/>
              <w:t>i) ajo është themeluar dhe funksionon në juridiksionin e saj të rezidencës vetëm për qëllime fetare, bamirësie, shkencore, artistike, kulturore, atletike ose arsimore, ose është themeluar dhe funksionon në juridiksionin e saj të rezidencës dhe është një organizatë profesionale, ligë biznesi, dhomë tregtie, organizatë pune, organizatë bujqësore ose hortikulturore, ligë civile ose një organizatë që funksionon ekskluzivisht për promovimin e mirëqenies sociale;</w:t>
            </w:r>
          </w:p>
          <w:p w14:paraId="5BEE9CB0" w14:textId="77777777" w:rsidR="00FA0CFF" w:rsidRPr="004E6A4A" w:rsidRDefault="00144445">
            <w:pPr>
              <w:jc w:val="both"/>
            </w:pPr>
            <w:r w:rsidRPr="004E6A4A">
              <w:rPr>
                <w:rFonts w:ascii="Times New Roman" w:eastAsia="Times New Roman" w:hAnsi="Times New Roman" w:cs="Times New Roman"/>
                <w:sz w:val="20"/>
              </w:rPr>
              <w:t>ii) ajo është e përjashtuar nga tatimi mbi të ardhurat në juridiksionin e saj të rezidencës;</w:t>
            </w:r>
          </w:p>
          <w:p w14:paraId="6BFDFB5A" w14:textId="77777777" w:rsidR="00FA0CFF" w:rsidRPr="004E6A4A" w:rsidRDefault="00144445">
            <w:pPr>
              <w:jc w:val="both"/>
            </w:pPr>
            <w:r w:rsidRPr="004E6A4A">
              <w:rPr>
                <w:rFonts w:ascii="Times New Roman" w:eastAsia="Times New Roman" w:hAnsi="Times New Roman" w:cs="Times New Roman"/>
                <w:sz w:val="20"/>
              </w:rPr>
              <w:t>iii) ajo nuk ka aksionarë ose anëtarë të cilët kanë interes pronësor ose përfitimi në të ardhurat ose aktivet e saj;</w:t>
            </w:r>
          </w:p>
          <w:p w14:paraId="09A0AFB9" w14:textId="77777777" w:rsidR="00FA0CFF" w:rsidRPr="004E6A4A" w:rsidRDefault="00144445">
            <w:pPr>
              <w:jc w:val="both"/>
            </w:pPr>
            <w:r w:rsidRPr="004E6A4A">
              <w:rPr>
                <w:rFonts w:ascii="Times New Roman" w:eastAsia="Times New Roman" w:hAnsi="Times New Roman" w:cs="Times New Roman"/>
                <w:sz w:val="20"/>
              </w:rPr>
              <w:t>iv) ligjet në fuqi të juridiksionit të rezidencës së NFE-së ose dokumentet e krijimit të NFE-së nuk lejojnë shpërndarjen ose kalimin e të ardhurave apo aktiveve në përfitim të personave privatë ose të një njësie ekonomike jobamirëse, përveçse në pajtim me kryerjen e aktiviteteve të bamirësisë të NFE-së ose si pagesë e një kompensimi të arsyeshëm për shërbimet e ofruara ose si pagesë që përfaqëson vlerën e drejtë në treg të pasurisë që ka blerë NFE-ja; dhe</w:t>
            </w:r>
          </w:p>
          <w:p w14:paraId="748201C7" w14:textId="77777777" w:rsidR="00FA0CFF" w:rsidRPr="004E6A4A" w:rsidRDefault="00144445">
            <w:pPr>
              <w:jc w:val="both"/>
            </w:pPr>
            <w:r w:rsidRPr="004E6A4A">
              <w:rPr>
                <w:rFonts w:ascii="Times New Roman" w:eastAsia="Times New Roman" w:hAnsi="Times New Roman" w:cs="Times New Roman"/>
                <w:sz w:val="20"/>
              </w:rPr>
              <w:t>v) ligjet në fuqi të juridiksionit të rezidencës së NFE-së ose dokumentet e krijimit të NFE-së kërkojnë që pas likuidimit ose shpërbërjes së NFE-së, të gjitha aktivet e saj t’i shpërndahen një organi qeveritar ose organizate tjetër jofitimprurëse ose t’i rikthehen qeverisë së juridiksionit të rezidencës së NFE-së apo çdo nënndarjeje politike të saj.</w:t>
            </w:r>
          </w:p>
        </w:tc>
        <w:tc>
          <w:tcPr>
            <w:tcW w:w="1620" w:type="dxa"/>
          </w:tcPr>
          <w:p w14:paraId="46A0A766" w14:textId="77777777" w:rsidR="001D563A" w:rsidRPr="004E6A4A" w:rsidRDefault="001D563A" w:rsidP="00C4419F">
            <w:pPr>
              <w:jc w:val="center"/>
              <w:rPr>
                <w:rFonts w:ascii="Times New Roman" w:eastAsia="Calibri" w:hAnsi="Times New Roman" w:cs="Times New Roman"/>
                <w:sz w:val="18"/>
                <w:szCs w:val="18"/>
              </w:rPr>
            </w:pPr>
          </w:p>
          <w:p w14:paraId="5366FE37" w14:textId="4EFC7851" w:rsidR="00C4419F" w:rsidRPr="004E6A4A" w:rsidRDefault="001D563A"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3A8B2AA0"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Përputhet.</w:t>
            </w:r>
          </w:p>
          <w:p w14:paraId="07EF155E"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Transpozohet nga neni 5, pika 57, i projektligjit.</w:t>
            </w:r>
          </w:p>
        </w:tc>
      </w:tr>
      <w:tr w:rsidR="004E6A4A" w:rsidRPr="004E6A4A" w14:paraId="4F101F45" w14:textId="77777777" w:rsidTr="00153084">
        <w:trPr>
          <w:trHeight w:val="764"/>
        </w:trPr>
        <w:tc>
          <w:tcPr>
            <w:tcW w:w="630" w:type="dxa"/>
          </w:tcPr>
          <w:p w14:paraId="12F357A7" w14:textId="77777777" w:rsidR="00C4419F" w:rsidRPr="004E6A4A" w:rsidRDefault="00C4419F" w:rsidP="00C4419F">
            <w:pPr>
              <w:jc w:val="center"/>
              <w:rPr>
                <w:rFonts w:ascii="Times New Roman" w:eastAsia="Calibri" w:hAnsi="Times New Roman" w:cs="Times New Roman"/>
                <w:i/>
                <w:sz w:val="18"/>
                <w:szCs w:val="18"/>
              </w:rPr>
            </w:pPr>
          </w:p>
        </w:tc>
        <w:tc>
          <w:tcPr>
            <w:tcW w:w="4230" w:type="dxa"/>
          </w:tcPr>
          <w:p w14:paraId="7A13776F"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E.</w:t>
            </w:r>
            <w:r w:rsidRPr="004E6A4A">
              <w:rPr>
                <w:rFonts w:ascii="Times New Roman" w:eastAsia="Times New Roman" w:hAnsi="Times New Roman" w:cs="Times New Roman"/>
                <w:sz w:val="20"/>
                <w:szCs w:val="20"/>
              </w:rPr>
              <w:tab/>
              <w:t>Të ndryshme</w:t>
            </w:r>
          </w:p>
          <w:p w14:paraId="57D9D7AE"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1.</w:t>
            </w:r>
            <w:r w:rsidRPr="004E6A4A">
              <w:rPr>
                <w:rFonts w:ascii="Times New Roman" w:eastAsia="Times New Roman" w:hAnsi="Times New Roman" w:cs="Times New Roman"/>
                <w:sz w:val="20"/>
                <w:szCs w:val="20"/>
              </w:rPr>
              <w:tab/>
              <w:t>Termi “Mbajtës i Llogarisë” nënkupton personin e regjistruar ose të identifikuar si mbajtës i një Llogarie Financiare nga Institucioni Financiar që mban llogarinë. Një person, i ndryshëm nga një Institucion Financiar, që mban një Llogari Financiare në dobi ose për llogari të një personi tjetër si agjent, kujdestar, i emëruar, nënshkrues, këshilltar investimesh ose ndërmjetës, nuk trajtohet si mbajtës i llogarisë për qëllimet e kësaj Direktive, dhe ky person tjetër trajtohet si mbajtës i llogarisë. Në rastin e një Kontrate Sigurimi në Vlerë në Para të Gatshme ose të një Kontrate Pensioni Vjetor, Mbajtës i Llogarisë është çdo person që ka të drejtë të ketë akses në Vlerën në Para të Gatshme ose të ndryshojë përfituesin e kontratës. Nëse asnjë person nuk mund të ketë akses në Vlerën në Para të Gatshme ose të ndryshojë përfituesin, Mbajtës i Llogarisë është çdo person i emëruar si pronar në kontratë dhe çdo person me të drejtë të fituar për pagesë sipas kushteve të kontratës. Me maturimin e një Kontrate Sigurimi në Vlerë në Para të Gatshme ose të një Kontrate Pensioni Vjetor, çdo person që ka të drejtë të marrë një pagesë sipas kontratës trajtohet si Mbajtës i Llogarisë.</w:t>
            </w:r>
          </w:p>
        </w:tc>
        <w:tc>
          <w:tcPr>
            <w:tcW w:w="1350" w:type="dxa"/>
          </w:tcPr>
          <w:p w14:paraId="023D2329" w14:textId="77777777" w:rsidR="00C4419F" w:rsidRPr="004E6A4A" w:rsidRDefault="00C4419F" w:rsidP="00C4419F">
            <w:pPr>
              <w:jc w:val="center"/>
              <w:rPr>
                <w:rFonts w:ascii="Times New Roman" w:eastAsia="Calibri" w:hAnsi="Times New Roman" w:cs="Times New Roman"/>
                <w:sz w:val="18"/>
                <w:szCs w:val="18"/>
              </w:rPr>
            </w:pPr>
          </w:p>
        </w:tc>
        <w:tc>
          <w:tcPr>
            <w:tcW w:w="810" w:type="dxa"/>
          </w:tcPr>
          <w:p w14:paraId="7E7A962F" w14:textId="77777777" w:rsidR="00C4419F" w:rsidRPr="004E6A4A" w:rsidRDefault="00C4419F" w:rsidP="00C4419F">
            <w:pPr>
              <w:jc w:val="center"/>
              <w:rPr>
                <w:rFonts w:ascii="Times New Roman" w:eastAsia="Times New Roman" w:hAnsi="Times New Roman" w:cs="Times New Roman"/>
                <w:sz w:val="20"/>
                <w:szCs w:val="21"/>
                <w:lang w:eastAsia="sq-AL"/>
              </w:rPr>
            </w:pPr>
          </w:p>
        </w:tc>
        <w:tc>
          <w:tcPr>
            <w:tcW w:w="4590" w:type="dxa"/>
          </w:tcPr>
          <w:p w14:paraId="5B341FE0" w14:textId="77777777" w:rsidR="00FA0CFF" w:rsidRPr="004E6A4A" w:rsidRDefault="00144445">
            <w:pPr>
              <w:jc w:val="center"/>
            </w:pPr>
            <w:r w:rsidRPr="004E6A4A">
              <w:rPr>
                <w:rFonts w:ascii="Times New Roman" w:eastAsia="Times New Roman" w:hAnsi="Times New Roman" w:cs="Times New Roman"/>
                <w:b/>
                <w:sz w:val="20"/>
              </w:rPr>
              <w:t>Ligji: Neni 5</w:t>
            </w:r>
          </w:p>
          <w:p w14:paraId="79B7C344" w14:textId="77777777" w:rsidR="00FA0CFF" w:rsidRPr="004E6A4A" w:rsidRDefault="00144445">
            <w:pPr>
              <w:jc w:val="center"/>
            </w:pPr>
            <w:r w:rsidRPr="004E6A4A">
              <w:rPr>
                <w:rFonts w:ascii="Times New Roman" w:eastAsia="Times New Roman" w:hAnsi="Times New Roman" w:cs="Times New Roman"/>
                <w:b/>
                <w:sz w:val="20"/>
              </w:rPr>
              <w:t>Përkufizime</w:t>
            </w:r>
          </w:p>
          <w:p w14:paraId="19CB0150" w14:textId="77777777" w:rsidR="00FA0CFF" w:rsidRPr="004E6A4A" w:rsidRDefault="00144445">
            <w:pPr>
              <w:jc w:val="both"/>
            </w:pPr>
            <w:r w:rsidRPr="004E6A4A">
              <w:rPr>
                <w:rFonts w:ascii="Times New Roman" w:eastAsia="Times New Roman" w:hAnsi="Times New Roman" w:cs="Times New Roman"/>
                <w:sz w:val="20"/>
              </w:rPr>
              <w:t>55. “Mbajtës i llogarisë” është personi i listuar ose i identifikuar si mbajtësi i llogarisë financiare nga institucioni financiar që mban llogarinë. Personi, i ndryshëm nga institucioni financiar, që mban një llogari financiare në përfitim të ose për llogari të një personi tjetër si agjent, kujdestar, i emëruar, nënshkrues, këshilltar investimesh ose ndërmjetës, nuk trajtohet si person që mban llogarinë për qëllime të këtij ligji dhe personi tjetër trajtohet si personi që mban llogarinë.</w:t>
            </w:r>
          </w:p>
          <w:p w14:paraId="1BFE2C69" w14:textId="77777777" w:rsidR="00FA0CFF" w:rsidRPr="004E6A4A" w:rsidRDefault="00144445">
            <w:pPr>
              <w:jc w:val="both"/>
            </w:pPr>
            <w:r w:rsidRPr="004E6A4A">
              <w:rPr>
                <w:rFonts w:ascii="Times New Roman" w:eastAsia="Times New Roman" w:hAnsi="Times New Roman" w:cs="Times New Roman"/>
                <w:sz w:val="20"/>
              </w:rPr>
              <w:t>Në rastin e një kontrate sigurimi në vlerë në para të gatshme ose kontrate pensioni vjetor, mbajtësi i llogarisë është çdo person që ka të drejtë të ketë akses në vlerën në para të gatshme ose të ndryshojë përfituesin e kontratës. Nëse asnjë person nuk mund të ketë akses në vlerën në para të gatshme ose të ndryshojë përfituesin, mbajtësi i llogarisë është çdo person i emëruar si pronar në kontratë dhe çdo person mbi të cilin bie e drejta e pagesës sipas kushteve të kontratës. Menjëherë pas maturimit të kontratës së sigurimit në vlerë në para të gatshme ose kontratës së pensionit vjetor, çdo person që ka të drejtë të marrë pagesë sipas kontratës trajtohet si mbajtës llogarie.</w:t>
            </w:r>
          </w:p>
          <w:p w14:paraId="00FA8387" w14:textId="77777777" w:rsidR="00FA0CFF" w:rsidRPr="004E6A4A" w:rsidRDefault="00144445">
            <w:pPr>
              <w:jc w:val="both"/>
            </w:pPr>
            <w:r w:rsidRPr="004E6A4A">
              <w:rPr>
                <w:rFonts w:ascii="Times New Roman" w:eastAsia="Times New Roman" w:hAnsi="Times New Roman" w:cs="Times New Roman"/>
                <w:sz w:val="20"/>
              </w:rPr>
              <w:t>Personat që kanë të drejtën e aksesit në vlerën në para të gatshme ose të drejtën për të ndryshuar përfituesit e kontratës konsiderohen mbajtës të llogarisë në lidhje me kontratën e sigurimit në vlerë në para të gatshme, përveç rastit kur ata kanë hequr dorë përfundimisht, plotësisht dhe në mënyrë të pakthyeshme si nga e drejta e aksesit në vlerën në para të gatshme, ashtu edhe nga e drejta për të ndryshuar përfituesit e kontratës së sigurimit në vlerë në para të gatshme.</w:t>
            </w:r>
          </w:p>
        </w:tc>
        <w:tc>
          <w:tcPr>
            <w:tcW w:w="1620" w:type="dxa"/>
          </w:tcPr>
          <w:p w14:paraId="0BA81CEB" w14:textId="77777777" w:rsidR="001D563A" w:rsidRPr="004E6A4A" w:rsidRDefault="001D563A" w:rsidP="00C4419F">
            <w:pPr>
              <w:jc w:val="center"/>
              <w:rPr>
                <w:rFonts w:ascii="Times New Roman" w:eastAsia="Calibri" w:hAnsi="Times New Roman" w:cs="Times New Roman"/>
                <w:sz w:val="18"/>
                <w:szCs w:val="18"/>
              </w:rPr>
            </w:pPr>
          </w:p>
          <w:p w14:paraId="25D0FC85" w14:textId="7C741074" w:rsidR="00C4419F" w:rsidRPr="004E6A4A" w:rsidRDefault="001D563A"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25947B2E"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Përputhet.</w:t>
            </w:r>
          </w:p>
          <w:p w14:paraId="4C4662D6"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Transpozohet nga neni 5, pika 55, i projektligjit.</w:t>
            </w:r>
          </w:p>
        </w:tc>
      </w:tr>
      <w:tr w:rsidR="004E6A4A" w:rsidRPr="004E6A4A" w14:paraId="5F869ABA" w14:textId="77777777" w:rsidTr="00153084">
        <w:trPr>
          <w:trHeight w:val="764"/>
        </w:trPr>
        <w:tc>
          <w:tcPr>
            <w:tcW w:w="630" w:type="dxa"/>
          </w:tcPr>
          <w:p w14:paraId="388C6AB1" w14:textId="77777777" w:rsidR="00C4419F" w:rsidRPr="004E6A4A" w:rsidRDefault="00C4419F" w:rsidP="00C4419F">
            <w:pPr>
              <w:jc w:val="center"/>
              <w:rPr>
                <w:rFonts w:ascii="Times New Roman" w:eastAsia="Calibri" w:hAnsi="Times New Roman" w:cs="Times New Roman"/>
                <w:i/>
                <w:sz w:val="18"/>
                <w:szCs w:val="18"/>
              </w:rPr>
            </w:pPr>
          </w:p>
        </w:tc>
        <w:tc>
          <w:tcPr>
            <w:tcW w:w="4230" w:type="dxa"/>
          </w:tcPr>
          <w:p w14:paraId="434A89E4"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2.</w:t>
            </w:r>
            <w:r w:rsidRPr="004E6A4A">
              <w:rPr>
                <w:rFonts w:ascii="Times New Roman" w:eastAsia="Times New Roman" w:hAnsi="Times New Roman" w:cs="Times New Roman"/>
                <w:sz w:val="20"/>
                <w:szCs w:val="20"/>
              </w:rPr>
              <w:tab/>
              <w:t>Termi “Procedurat për PPP/NJKT” nënkupton procedurat e vigjilencës së duhur ndaj klientit të një Institucioni Financiar Raportues në zbatim të kërkesave për parandalimin e pastrimit të parave ose kërkesave të ngjashme të cilave u nënshtrohet ky Institucion Financiar Raportues.</w:t>
            </w:r>
          </w:p>
        </w:tc>
        <w:tc>
          <w:tcPr>
            <w:tcW w:w="1350" w:type="dxa"/>
          </w:tcPr>
          <w:p w14:paraId="73F0F57A" w14:textId="77777777" w:rsidR="00C4419F" w:rsidRPr="004E6A4A" w:rsidRDefault="00C4419F" w:rsidP="00C4419F">
            <w:pPr>
              <w:jc w:val="center"/>
              <w:rPr>
                <w:rFonts w:ascii="Times New Roman" w:eastAsia="Calibri" w:hAnsi="Times New Roman" w:cs="Times New Roman"/>
                <w:sz w:val="18"/>
                <w:szCs w:val="18"/>
              </w:rPr>
            </w:pPr>
          </w:p>
        </w:tc>
        <w:tc>
          <w:tcPr>
            <w:tcW w:w="810" w:type="dxa"/>
          </w:tcPr>
          <w:p w14:paraId="7E063656" w14:textId="77777777" w:rsidR="00C4419F" w:rsidRPr="004E6A4A" w:rsidRDefault="00C4419F" w:rsidP="00C4419F">
            <w:pPr>
              <w:jc w:val="center"/>
              <w:rPr>
                <w:rFonts w:ascii="Times New Roman" w:eastAsia="Times New Roman" w:hAnsi="Times New Roman" w:cs="Times New Roman"/>
                <w:sz w:val="20"/>
                <w:szCs w:val="21"/>
                <w:lang w:eastAsia="sq-AL"/>
              </w:rPr>
            </w:pPr>
          </w:p>
        </w:tc>
        <w:tc>
          <w:tcPr>
            <w:tcW w:w="4590" w:type="dxa"/>
          </w:tcPr>
          <w:p w14:paraId="1D98BF68" w14:textId="77777777" w:rsidR="00FA0CFF" w:rsidRPr="004E6A4A" w:rsidRDefault="00144445">
            <w:pPr>
              <w:jc w:val="center"/>
            </w:pPr>
            <w:r w:rsidRPr="004E6A4A">
              <w:rPr>
                <w:rFonts w:ascii="Times New Roman" w:eastAsia="Times New Roman" w:hAnsi="Times New Roman" w:cs="Times New Roman"/>
                <w:b/>
                <w:sz w:val="20"/>
              </w:rPr>
              <w:t>Ligji: Neni 5</w:t>
            </w:r>
          </w:p>
          <w:p w14:paraId="07F3A884" w14:textId="77777777" w:rsidR="00FA0CFF" w:rsidRPr="004E6A4A" w:rsidRDefault="00144445">
            <w:pPr>
              <w:jc w:val="center"/>
            </w:pPr>
            <w:r w:rsidRPr="004E6A4A">
              <w:rPr>
                <w:rFonts w:ascii="Times New Roman" w:eastAsia="Times New Roman" w:hAnsi="Times New Roman" w:cs="Times New Roman"/>
                <w:b/>
                <w:sz w:val="20"/>
              </w:rPr>
              <w:t>Përkufizime</w:t>
            </w:r>
          </w:p>
          <w:p w14:paraId="2994781E" w14:textId="77777777" w:rsidR="00FA0CFF" w:rsidRPr="004E6A4A" w:rsidRDefault="00144445">
            <w:pPr>
              <w:jc w:val="both"/>
            </w:pPr>
            <w:r w:rsidRPr="004E6A4A">
              <w:rPr>
                <w:rFonts w:ascii="Times New Roman" w:eastAsia="Times New Roman" w:hAnsi="Times New Roman" w:cs="Times New Roman"/>
                <w:sz w:val="20"/>
              </w:rPr>
              <w:t>65. “Procedurat për PPP/NJKT” (AML/KYC) janë procedurat e vigjilencës së duhur ndaj klientit të institucionit financiar raportues, në bazë të kërkesave për parandalimin e pastrimit të parave ose kërkesave të ngjashme, ndaj të cilave ky institucion financiar raportues është objekt.</w:t>
            </w:r>
          </w:p>
          <w:p w14:paraId="3FD0D829" w14:textId="77777777" w:rsidR="00FA0CFF" w:rsidRPr="004E6A4A" w:rsidRDefault="00FA0CFF"/>
          <w:p w14:paraId="5F55D4C8" w14:textId="26872CC3" w:rsidR="00FA0CFF" w:rsidRPr="004E6A4A" w:rsidRDefault="00FA0CFF">
            <w:pPr>
              <w:jc w:val="both"/>
            </w:pPr>
          </w:p>
        </w:tc>
        <w:tc>
          <w:tcPr>
            <w:tcW w:w="1620" w:type="dxa"/>
          </w:tcPr>
          <w:p w14:paraId="1F9F3106" w14:textId="4B6A10B4" w:rsidR="00C4419F" w:rsidRPr="004E6A4A" w:rsidRDefault="001D563A"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7AD0F2F7"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Përputhet.</w:t>
            </w:r>
          </w:p>
          <w:p w14:paraId="3D05E6AA"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Transpozohet nga neni 5, pika 65, i projektligjit.</w:t>
            </w:r>
          </w:p>
        </w:tc>
      </w:tr>
      <w:tr w:rsidR="004E6A4A" w:rsidRPr="004E6A4A" w14:paraId="5B5C3AF0" w14:textId="77777777" w:rsidTr="00153084">
        <w:trPr>
          <w:trHeight w:val="764"/>
        </w:trPr>
        <w:tc>
          <w:tcPr>
            <w:tcW w:w="630" w:type="dxa"/>
          </w:tcPr>
          <w:p w14:paraId="49EAAD95" w14:textId="77777777" w:rsidR="00C4419F" w:rsidRPr="004E6A4A" w:rsidRDefault="00C4419F" w:rsidP="00C4419F">
            <w:pPr>
              <w:jc w:val="center"/>
              <w:rPr>
                <w:rFonts w:ascii="Times New Roman" w:eastAsia="Calibri" w:hAnsi="Times New Roman" w:cs="Times New Roman"/>
                <w:i/>
                <w:sz w:val="18"/>
                <w:szCs w:val="18"/>
              </w:rPr>
            </w:pPr>
          </w:p>
        </w:tc>
        <w:tc>
          <w:tcPr>
            <w:tcW w:w="4230" w:type="dxa"/>
          </w:tcPr>
          <w:p w14:paraId="266EE831"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3.</w:t>
            </w:r>
            <w:r w:rsidRPr="004E6A4A">
              <w:rPr>
                <w:rFonts w:ascii="Times New Roman" w:eastAsia="Times New Roman" w:hAnsi="Times New Roman" w:cs="Times New Roman"/>
                <w:sz w:val="20"/>
                <w:szCs w:val="20"/>
              </w:rPr>
              <w:tab/>
              <w:t>Termi “Njësi Ekonomike” nënkupton një person juridik ose një strukturë juridike, si një shoqëri, partneritet, trust ose fondacion.</w:t>
            </w:r>
          </w:p>
        </w:tc>
        <w:tc>
          <w:tcPr>
            <w:tcW w:w="1350" w:type="dxa"/>
          </w:tcPr>
          <w:p w14:paraId="0DF2A626" w14:textId="77777777" w:rsidR="00C4419F" w:rsidRPr="004E6A4A" w:rsidRDefault="00C4419F" w:rsidP="00C4419F">
            <w:pPr>
              <w:jc w:val="center"/>
              <w:rPr>
                <w:rFonts w:ascii="Times New Roman" w:eastAsia="Calibri" w:hAnsi="Times New Roman" w:cs="Times New Roman"/>
                <w:sz w:val="18"/>
                <w:szCs w:val="18"/>
              </w:rPr>
            </w:pPr>
          </w:p>
        </w:tc>
        <w:tc>
          <w:tcPr>
            <w:tcW w:w="810" w:type="dxa"/>
          </w:tcPr>
          <w:p w14:paraId="30DCB288" w14:textId="77777777" w:rsidR="00C4419F" w:rsidRPr="004E6A4A" w:rsidRDefault="00C4419F" w:rsidP="00C4419F">
            <w:pPr>
              <w:jc w:val="center"/>
              <w:rPr>
                <w:rFonts w:ascii="Times New Roman" w:eastAsia="Times New Roman" w:hAnsi="Times New Roman" w:cs="Times New Roman"/>
                <w:sz w:val="20"/>
                <w:szCs w:val="21"/>
                <w:lang w:eastAsia="sq-AL"/>
              </w:rPr>
            </w:pPr>
          </w:p>
        </w:tc>
        <w:tc>
          <w:tcPr>
            <w:tcW w:w="4590" w:type="dxa"/>
          </w:tcPr>
          <w:p w14:paraId="07CE70E0" w14:textId="77777777" w:rsidR="00FA0CFF" w:rsidRPr="004E6A4A" w:rsidRDefault="00144445">
            <w:pPr>
              <w:jc w:val="center"/>
            </w:pPr>
            <w:r w:rsidRPr="004E6A4A">
              <w:rPr>
                <w:rFonts w:ascii="Times New Roman" w:eastAsia="Times New Roman" w:hAnsi="Times New Roman" w:cs="Times New Roman"/>
                <w:b/>
                <w:sz w:val="20"/>
              </w:rPr>
              <w:t>Ligji: Neni 5</w:t>
            </w:r>
          </w:p>
          <w:p w14:paraId="15CD0962" w14:textId="77777777" w:rsidR="00FA0CFF" w:rsidRPr="004E6A4A" w:rsidRDefault="00144445">
            <w:pPr>
              <w:jc w:val="center"/>
            </w:pPr>
            <w:r w:rsidRPr="004E6A4A">
              <w:rPr>
                <w:rFonts w:ascii="Times New Roman" w:eastAsia="Times New Roman" w:hAnsi="Times New Roman" w:cs="Times New Roman"/>
                <w:b/>
                <w:sz w:val="20"/>
              </w:rPr>
              <w:t>Përkufizime</w:t>
            </w:r>
          </w:p>
          <w:p w14:paraId="75EDBD6E" w14:textId="77777777" w:rsidR="00FA0CFF" w:rsidRPr="004E6A4A" w:rsidRDefault="00144445">
            <w:pPr>
              <w:jc w:val="both"/>
            </w:pPr>
            <w:r w:rsidRPr="004E6A4A">
              <w:rPr>
                <w:rFonts w:ascii="Times New Roman" w:eastAsia="Times New Roman" w:hAnsi="Times New Roman" w:cs="Times New Roman"/>
                <w:sz w:val="20"/>
              </w:rPr>
              <w:t>59. “Njësi ekonomike” është personi juridik ose struktura juridike, si korporata, partneriteti, trusti ose fondacioni.</w:t>
            </w:r>
          </w:p>
          <w:p w14:paraId="3C891415" w14:textId="77777777" w:rsidR="00FA0CFF" w:rsidRPr="004E6A4A" w:rsidRDefault="00144445">
            <w:pPr>
              <w:jc w:val="both"/>
            </w:pPr>
            <w:r w:rsidRPr="004E6A4A">
              <w:rPr>
                <w:rFonts w:ascii="Times New Roman" w:eastAsia="Times New Roman" w:hAnsi="Times New Roman" w:cs="Times New Roman"/>
                <w:sz w:val="20"/>
              </w:rPr>
              <w:t>Njësia ekonomike është “njësi ekonomike e lidhur” me një njësi tjetër, nëse:</w:t>
            </w:r>
          </w:p>
          <w:p w14:paraId="71D42B7D" w14:textId="77777777" w:rsidR="00FA0CFF" w:rsidRPr="004E6A4A" w:rsidRDefault="00144445">
            <w:pPr>
              <w:jc w:val="both"/>
            </w:pPr>
            <w:r w:rsidRPr="004E6A4A">
              <w:rPr>
                <w:rFonts w:ascii="Times New Roman" w:eastAsia="Times New Roman" w:hAnsi="Times New Roman" w:cs="Times New Roman"/>
                <w:sz w:val="20"/>
              </w:rPr>
              <w:t>a) njëra prej njësive kontrollon tjetrën; ose</w:t>
            </w:r>
          </w:p>
          <w:p w14:paraId="73954DA6" w14:textId="77777777" w:rsidR="00FA0CFF" w:rsidRPr="004E6A4A" w:rsidRDefault="00144445">
            <w:pPr>
              <w:jc w:val="both"/>
            </w:pPr>
            <w:r w:rsidRPr="004E6A4A">
              <w:rPr>
                <w:rFonts w:ascii="Times New Roman" w:eastAsia="Times New Roman" w:hAnsi="Times New Roman" w:cs="Times New Roman"/>
                <w:sz w:val="20"/>
              </w:rPr>
              <w:t>b) të dyja njësitë janë nën kontroll të përbashkët; ose</w:t>
            </w:r>
          </w:p>
          <w:p w14:paraId="41D0C13B" w14:textId="77777777" w:rsidR="00FA0CFF" w:rsidRPr="004E6A4A" w:rsidRDefault="00144445">
            <w:pPr>
              <w:jc w:val="both"/>
            </w:pPr>
            <w:r w:rsidRPr="004E6A4A">
              <w:rPr>
                <w:rFonts w:ascii="Times New Roman" w:eastAsia="Times New Roman" w:hAnsi="Times New Roman" w:cs="Times New Roman"/>
                <w:sz w:val="20"/>
              </w:rPr>
              <w:t>c) të dyja njësitë janë Njësi Ekonomike Investimi të përshkruara në pikën 26, shkronja “b”, të këtij neni, janë nën menaxhim të përbashkët dhe ky menaxhim përmbush detyrimet e vigjilencës së duhur të këtyre njësive.</w:t>
            </w:r>
          </w:p>
          <w:p w14:paraId="0091CBE1" w14:textId="77777777" w:rsidR="00FA0CFF" w:rsidRPr="004E6A4A" w:rsidRDefault="00144445">
            <w:pPr>
              <w:jc w:val="both"/>
            </w:pPr>
            <w:r w:rsidRPr="004E6A4A">
              <w:rPr>
                <w:rFonts w:ascii="Times New Roman" w:eastAsia="Times New Roman" w:hAnsi="Times New Roman" w:cs="Times New Roman"/>
                <w:sz w:val="20"/>
              </w:rPr>
              <w:t>Për këtë qëllim, kontrolli përfshin pronësinë e drejtpërdrejtë ose të tërthortë të më shumë se 50 për qind të votave dhe të vlerës në një njësi ekonomike.</w:t>
            </w:r>
          </w:p>
        </w:tc>
        <w:tc>
          <w:tcPr>
            <w:tcW w:w="1620" w:type="dxa"/>
          </w:tcPr>
          <w:p w14:paraId="4381E835" w14:textId="77777777" w:rsidR="000F5E0F" w:rsidRPr="004E6A4A" w:rsidRDefault="000F5E0F" w:rsidP="00C4419F">
            <w:pPr>
              <w:jc w:val="center"/>
              <w:rPr>
                <w:rFonts w:ascii="Times New Roman" w:eastAsia="Calibri" w:hAnsi="Times New Roman" w:cs="Times New Roman"/>
                <w:sz w:val="18"/>
                <w:szCs w:val="18"/>
              </w:rPr>
            </w:pPr>
          </w:p>
          <w:p w14:paraId="7F71557F" w14:textId="2BB46B37" w:rsidR="00C4419F" w:rsidRPr="004E6A4A" w:rsidRDefault="000F5E0F"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7447293D"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Përputhet.</w:t>
            </w:r>
          </w:p>
          <w:p w14:paraId="6905F355"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Transpozohet nga neni 5, pika 59, i projektligjit.</w:t>
            </w:r>
          </w:p>
        </w:tc>
      </w:tr>
      <w:tr w:rsidR="004E6A4A" w:rsidRPr="004E6A4A" w14:paraId="00FB3D34" w14:textId="77777777" w:rsidTr="00153084">
        <w:trPr>
          <w:trHeight w:val="764"/>
        </w:trPr>
        <w:tc>
          <w:tcPr>
            <w:tcW w:w="630" w:type="dxa"/>
          </w:tcPr>
          <w:p w14:paraId="7C4DF156" w14:textId="77777777" w:rsidR="00C4419F" w:rsidRPr="004E6A4A" w:rsidRDefault="00C4419F" w:rsidP="00C4419F">
            <w:pPr>
              <w:jc w:val="center"/>
              <w:rPr>
                <w:rFonts w:ascii="Times New Roman" w:eastAsia="Calibri" w:hAnsi="Times New Roman" w:cs="Times New Roman"/>
                <w:i/>
                <w:sz w:val="18"/>
                <w:szCs w:val="18"/>
              </w:rPr>
            </w:pPr>
          </w:p>
        </w:tc>
        <w:tc>
          <w:tcPr>
            <w:tcW w:w="4230" w:type="dxa"/>
          </w:tcPr>
          <w:p w14:paraId="2454F818"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4.</w:t>
            </w:r>
            <w:r w:rsidRPr="004E6A4A">
              <w:rPr>
                <w:rFonts w:ascii="Times New Roman" w:eastAsia="Times New Roman" w:hAnsi="Times New Roman" w:cs="Times New Roman"/>
                <w:sz w:val="20"/>
                <w:szCs w:val="20"/>
              </w:rPr>
              <w:tab/>
              <w:t xml:space="preserve">Një Njësi Ekonomike është “Njësi Ekonomike e Lidhur” me një Njësi tjetër Ekonomike nëse (i) njëra prej Njësive Ekonomike kontrollon tjetrën; (ii) të dyja Njësitë Ekonomike janë nën kontroll të përbashkët; ose (iii) të dyja Njësitë Ekonomike janë Njësi Ekonomike Investimi të përshkruara në nënparagrafin A(6)(b), janë nën menaxhim të përbashkët dhe ky menaxhim përmbush detyrimet e vigjilencës së duhur të këtyre Njësive Ekonomike Investimi. Për </w:t>
            </w:r>
            <w:r w:rsidRPr="004E6A4A">
              <w:rPr>
                <w:rFonts w:ascii="Times New Roman" w:eastAsia="Times New Roman" w:hAnsi="Times New Roman" w:cs="Times New Roman"/>
                <w:sz w:val="20"/>
                <w:szCs w:val="20"/>
              </w:rPr>
              <w:lastRenderedPageBreak/>
              <w:t>këtë qëllim, kontrolli përfshin pronësinë e drejtpërdrejtë ose të tërthortë të më shumë se 50 % të votave dhe të vlerës në një Njësi Ekonomike.</w:t>
            </w:r>
          </w:p>
        </w:tc>
        <w:tc>
          <w:tcPr>
            <w:tcW w:w="1350" w:type="dxa"/>
          </w:tcPr>
          <w:p w14:paraId="3B59F990" w14:textId="77777777" w:rsidR="00C4419F" w:rsidRPr="004E6A4A" w:rsidRDefault="00C4419F" w:rsidP="00C4419F">
            <w:pPr>
              <w:jc w:val="center"/>
              <w:rPr>
                <w:rFonts w:ascii="Times New Roman" w:eastAsia="Calibri" w:hAnsi="Times New Roman" w:cs="Times New Roman"/>
                <w:sz w:val="18"/>
                <w:szCs w:val="18"/>
              </w:rPr>
            </w:pPr>
          </w:p>
        </w:tc>
        <w:tc>
          <w:tcPr>
            <w:tcW w:w="810" w:type="dxa"/>
          </w:tcPr>
          <w:p w14:paraId="05C7D957" w14:textId="77777777" w:rsidR="00C4419F" w:rsidRPr="004E6A4A" w:rsidRDefault="00C4419F" w:rsidP="00C4419F">
            <w:pPr>
              <w:jc w:val="center"/>
              <w:rPr>
                <w:rFonts w:ascii="Times New Roman" w:eastAsia="Times New Roman" w:hAnsi="Times New Roman" w:cs="Times New Roman"/>
                <w:sz w:val="20"/>
                <w:szCs w:val="21"/>
                <w:lang w:eastAsia="sq-AL"/>
              </w:rPr>
            </w:pPr>
          </w:p>
        </w:tc>
        <w:tc>
          <w:tcPr>
            <w:tcW w:w="4590" w:type="dxa"/>
          </w:tcPr>
          <w:p w14:paraId="6ABE7FFE" w14:textId="77777777" w:rsidR="00FA0CFF" w:rsidRPr="004E6A4A" w:rsidRDefault="00144445">
            <w:pPr>
              <w:jc w:val="center"/>
            </w:pPr>
            <w:r w:rsidRPr="004E6A4A">
              <w:rPr>
                <w:rFonts w:ascii="Times New Roman" w:eastAsia="Times New Roman" w:hAnsi="Times New Roman" w:cs="Times New Roman"/>
                <w:b/>
                <w:sz w:val="20"/>
              </w:rPr>
              <w:t>Ligji: Neni 5</w:t>
            </w:r>
          </w:p>
          <w:p w14:paraId="294113DC" w14:textId="77777777" w:rsidR="00FA0CFF" w:rsidRPr="004E6A4A" w:rsidRDefault="00144445">
            <w:pPr>
              <w:jc w:val="center"/>
            </w:pPr>
            <w:r w:rsidRPr="004E6A4A">
              <w:rPr>
                <w:rFonts w:ascii="Times New Roman" w:eastAsia="Times New Roman" w:hAnsi="Times New Roman" w:cs="Times New Roman"/>
                <w:b/>
                <w:sz w:val="20"/>
              </w:rPr>
              <w:t>Përkufizime</w:t>
            </w:r>
          </w:p>
          <w:p w14:paraId="40A39791" w14:textId="77777777" w:rsidR="00FA0CFF" w:rsidRPr="004E6A4A" w:rsidRDefault="00144445">
            <w:pPr>
              <w:jc w:val="both"/>
            </w:pPr>
            <w:r w:rsidRPr="004E6A4A">
              <w:rPr>
                <w:rFonts w:ascii="Times New Roman" w:eastAsia="Times New Roman" w:hAnsi="Times New Roman" w:cs="Times New Roman"/>
                <w:sz w:val="20"/>
              </w:rPr>
              <w:t>59. “Njësi ekonomike” është personi juridik ose struktura juridike, si korporata, partneriteti, trusti ose fondacioni.</w:t>
            </w:r>
          </w:p>
          <w:p w14:paraId="5EFA7BCD" w14:textId="77777777" w:rsidR="00FA0CFF" w:rsidRPr="004E6A4A" w:rsidRDefault="00144445">
            <w:pPr>
              <w:jc w:val="both"/>
            </w:pPr>
            <w:r w:rsidRPr="004E6A4A">
              <w:rPr>
                <w:rFonts w:ascii="Times New Roman" w:eastAsia="Times New Roman" w:hAnsi="Times New Roman" w:cs="Times New Roman"/>
                <w:sz w:val="20"/>
              </w:rPr>
              <w:t>Njësia ekonomike është “njësi ekonomike e lidhur” me një njësi tjetër, nëse:</w:t>
            </w:r>
          </w:p>
          <w:p w14:paraId="4A6C576A" w14:textId="77777777" w:rsidR="00FA0CFF" w:rsidRPr="004E6A4A" w:rsidRDefault="00144445">
            <w:pPr>
              <w:jc w:val="both"/>
            </w:pPr>
            <w:r w:rsidRPr="004E6A4A">
              <w:rPr>
                <w:rFonts w:ascii="Times New Roman" w:eastAsia="Times New Roman" w:hAnsi="Times New Roman" w:cs="Times New Roman"/>
                <w:sz w:val="20"/>
              </w:rPr>
              <w:t>a) njëra prej njësive kontrollon tjetrën; ose</w:t>
            </w:r>
          </w:p>
          <w:p w14:paraId="39626595" w14:textId="77777777" w:rsidR="00FA0CFF" w:rsidRPr="004E6A4A" w:rsidRDefault="00144445">
            <w:pPr>
              <w:jc w:val="both"/>
            </w:pPr>
            <w:r w:rsidRPr="004E6A4A">
              <w:rPr>
                <w:rFonts w:ascii="Times New Roman" w:eastAsia="Times New Roman" w:hAnsi="Times New Roman" w:cs="Times New Roman"/>
                <w:sz w:val="20"/>
              </w:rPr>
              <w:t>b) të dyja njësitë janë nën kontroll të përbashkët; ose</w:t>
            </w:r>
          </w:p>
          <w:p w14:paraId="0EDFEA6F" w14:textId="77777777" w:rsidR="00FA0CFF" w:rsidRPr="004E6A4A" w:rsidRDefault="00144445">
            <w:pPr>
              <w:jc w:val="both"/>
            </w:pPr>
            <w:r w:rsidRPr="004E6A4A">
              <w:rPr>
                <w:rFonts w:ascii="Times New Roman" w:eastAsia="Times New Roman" w:hAnsi="Times New Roman" w:cs="Times New Roman"/>
                <w:sz w:val="20"/>
              </w:rPr>
              <w:lastRenderedPageBreak/>
              <w:t>c) të dyja njësitë janë Njësi Ekonomike Investimi të përshkruara në pikën 26, shkronja “b”, të këtij neni, janë nën menaxhim të përbashkët dhe ky menaxhim përmbush detyrimet e vigjilencës së duhur të këtyre njësive.</w:t>
            </w:r>
          </w:p>
          <w:p w14:paraId="3F316DFB" w14:textId="77777777" w:rsidR="00FA0CFF" w:rsidRPr="004E6A4A" w:rsidRDefault="00144445">
            <w:pPr>
              <w:jc w:val="both"/>
            </w:pPr>
            <w:r w:rsidRPr="004E6A4A">
              <w:rPr>
                <w:rFonts w:ascii="Times New Roman" w:eastAsia="Times New Roman" w:hAnsi="Times New Roman" w:cs="Times New Roman"/>
                <w:sz w:val="20"/>
              </w:rPr>
              <w:t>Për këtë qëllim, kontrolli përfshin pronësinë e drejtpërdrejtë ose të tërthortë të më shumë se 50 për qind të votave dhe të vlerës në një njësi ekonomike.</w:t>
            </w:r>
          </w:p>
        </w:tc>
        <w:tc>
          <w:tcPr>
            <w:tcW w:w="1620" w:type="dxa"/>
          </w:tcPr>
          <w:p w14:paraId="4EE84681" w14:textId="77777777" w:rsidR="00272E22" w:rsidRPr="004E6A4A" w:rsidRDefault="00272E22" w:rsidP="00C4419F">
            <w:pPr>
              <w:jc w:val="center"/>
              <w:rPr>
                <w:rFonts w:ascii="Times New Roman" w:eastAsia="Calibri" w:hAnsi="Times New Roman" w:cs="Times New Roman"/>
                <w:sz w:val="18"/>
                <w:szCs w:val="18"/>
              </w:rPr>
            </w:pPr>
          </w:p>
          <w:p w14:paraId="67D60A42" w14:textId="77777777" w:rsidR="00272E22" w:rsidRPr="004E6A4A" w:rsidRDefault="00272E22" w:rsidP="00C4419F">
            <w:pPr>
              <w:jc w:val="center"/>
              <w:rPr>
                <w:rFonts w:ascii="Times New Roman" w:eastAsia="Calibri" w:hAnsi="Times New Roman" w:cs="Times New Roman"/>
                <w:sz w:val="18"/>
                <w:szCs w:val="18"/>
              </w:rPr>
            </w:pPr>
          </w:p>
          <w:p w14:paraId="418A81D1" w14:textId="3FE5A41F" w:rsidR="00C4419F" w:rsidRPr="004E6A4A" w:rsidRDefault="00272E22"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6654FEDD"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Përputhet.</w:t>
            </w:r>
          </w:p>
          <w:p w14:paraId="65C24577"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Transpozohet nga neni 5, pika 59, i projektligjit.</w:t>
            </w:r>
          </w:p>
        </w:tc>
      </w:tr>
      <w:tr w:rsidR="004E6A4A" w:rsidRPr="004E6A4A" w14:paraId="27C7A0E6" w14:textId="77777777" w:rsidTr="00153084">
        <w:trPr>
          <w:trHeight w:val="764"/>
        </w:trPr>
        <w:tc>
          <w:tcPr>
            <w:tcW w:w="630" w:type="dxa"/>
          </w:tcPr>
          <w:p w14:paraId="4167A75E" w14:textId="77777777" w:rsidR="00C4419F" w:rsidRPr="004E6A4A" w:rsidRDefault="00C4419F" w:rsidP="00C4419F">
            <w:pPr>
              <w:jc w:val="center"/>
              <w:rPr>
                <w:rFonts w:ascii="Times New Roman" w:eastAsia="Calibri" w:hAnsi="Times New Roman" w:cs="Times New Roman"/>
                <w:i/>
                <w:sz w:val="18"/>
                <w:szCs w:val="18"/>
              </w:rPr>
            </w:pPr>
          </w:p>
        </w:tc>
        <w:tc>
          <w:tcPr>
            <w:tcW w:w="4230" w:type="dxa"/>
          </w:tcPr>
          <w:p w14:paraId="68EFD69F"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5.</w:t>
            </w:r>
            <w:r w:rsidRPr="004E6A4A">
              <w:rPr>
                <w:rFonts w:ascii="Times New Roman" w:eastAsia="Times New Roman" w:hAnsi="Times New Roman" w:cs="Times New Roman"/>
                <w:sz w:val="20"/>
                <w:szCs w:val="20"/>
              </w:rPr>
              <w:tab/>
              <w:t>Termi “TIN” nënkupton Numrin Identifikues të Tatimpaguesit (ose ekuivalentin funksional në mungesë të një Numri Identifikues të Tatimpaguesit).</w:t>
            </w:r>
          </w:p>
        </w:tc>
        <w:tc>
          <w:tcPr>
            <w:tcW w:w="1350" w:type="dxa"/>
          </w:tcPr>
          <w:p w14:paraId="6BE96724" w14:textId="77777777" w:rsidR="00C4419F" w:rsidRPr="004E6A4A" w:rsidRDefault="00C4419F" w:rsidP="00C4419F">
            <w:pPr>
              <w:jc w:val="center"/>
              <w:rPr>
                <w:rFonts w:ascii="Times New Roman" w:eastAsia="Calibri" w:hAnsi="Times New Roman" w:cs="Times New Roman"/>
                <w:sz w:val="18"/>
                <w:szCs w:val="18"/>
              </w:rPr>
            </w:pPr>
          </w:p>
        </w:tc>
        <w:tc>
          <w:tcPr>
            <w:tcW w:w="810" w:type="dxa"/>
          </w:tcPr>
          <w:p w14:paraId="7426BCA5" w14:textId="77777777" w:rsidR="00C4419F" w:rsidRPr="004E6A4A" w:rsidRDefault="00C4419F" w:rsidP="00C4419F">
            <w:pPr>
              <w:jc w:val="center"/>
              <w:rPr>
                <w:rFonts w:ascii="Times New Roman" w:eastAsia="Times New Roman" w:hAnsi="Times New Roman" w:cs="Times New Roman"/>
                <w:sz w:val="20"/>
                <w:szCs w:val="21"/>
                <w:lang w:eastAsia="sq-AL"/>
              </w:rPr>
            </w:pPr>
          </w:p>
        </w:tc>
        <w:tc>
          <w:tcPr>
            <w:tcW w:w="4590" w:type="dxa"/>
          </w:tcPr>
          <w:p w14:paraId="54097D48" w14:textId="77777777" w:rsidR="00FA0CFF" w:rsidRPr="004E6A4A" w:rsidRDefault="00144445">
            <w:pPr>
              <w:jc w:val="center"/>
            </w:pPr>
            <w:r w:rsidRPr="004E6A4A">
              <w:rPr>
                <w:rFonts w:ascii="Times New Roman" w:eastAsia="Times New Roman" w:hAnsi="Times New Roman" w:cs="Times New Roman"/>
                <w:b/>
                <w:sz w:val="20"/>
              </w:rPr>
              <w:t>Ligji: Neni 5</w:t>
            </w:r>
          </w:p>
          <w:p w14:paraId="0B18261A" w14:textId="77777777" w:rsidR="00FA0CFF" w:rsidRPr="004E6A4A" w:rsidRDefault="00144445">
            <w:pPr>
              <w:jc w:val="center"/>
            </w:pPr>
            <w:r w:rsidRPr="004E6A4A">
              <w:rPr>
                <w:rFonts w:ascii="Times New Roman" w:eastAsia="Times New Roman" w:hAnsi="Times New Roman" w:cs="Times New Roman"/>
                <w:b/>
                <w:sz w:val="20"/>
              </w:rPr>
              <w:t>Përkufizime</w:t>
            </w:r>
          </w:p>
          <w:p w14:paraId="387A58FC" w14:textId="77777777" w:rsidR="00FA0CFF" w:rsidRPr="004E6A4A" w:rsidRDefault="00144445">
            <w:pPr>
              <w:jc w:val="both"/>
            </w:pPr>
            <w:r w:rsidRPr="004E6A4A">
              <w:rPr>
                <w:rFonts w:ascii="Times New Roman" w:eastAsia="Times New Roman" w:hAnsi="Times New Roman" w:cs="Times New Roman"/>
                <w:sz w:val="20"/>
              </w:rPr>
              <w:t>60. “Numër identifikues i tatimpaguesit (TIN)” është numri i identifikimit tatimor i lëshuar nga juridiksioni përkatës ose, kur një numër i tillë nuk ekziston, ekuivalenti funksional i tij. Për Republikën e Shqipërisë, TIN është NIPT/NUIS për personat e regjistruar dhe numri personal i identifikimit për individët, sipas legjislacionit shqiptar.</w:t>
            </w:r>
          </w:p>
        </w:tc>
        <w:tc>
          <w:tcPr>
            <w:tcW w:w="1620" w:type="dxa"/>
          </w:tcPr>
          <w:p w14:paraId="7A16EA05" w14:textId="77777777" w:rsidR="00272E22" w:rsidRPr="004E6A4A" w:rsidRDefault="00272E22" w:rsidP="00C4419F">
            <w:pPr>
              <w:jc w:val="center"/>
              <w:rPr>
                <w:rFonts w:ascii="Times New Roman" w:eastAsia="Calibri" w:hAnsi="Times New Roman" w:cs="Times New Roman"/>
                <w:sz w:val="18"/>
                <w:szCs w:val="18"/>
              </w:rPr>
            </w:pPr>
          </w:p>
          <w:p w14:paraId="21BDBE00" w14:textId="08BDF2C3" w:rsidR="00C4419F" w:rsidRPr="004E6A4A" w:rsidRDefault="00272E22"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48B49576"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Përputhet.</w:t>
            </w:r>
          </w:p>
          <w:p w14:paraId="52D6A882"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Transpozohet nga neni 5, pika 60, i projektligjit.</w:t>
            </w:r>
          </w:p>
        </w:tc>
      </w:tr>
      <w:tr w:rsidR="004E6A4A" w:rsidRPr="004E6A4A" w14:paraId="73AFB544" w14:textId="77777777" w:rsidTr="00153084">
        <w:trPr>
          <w:trHeight w:val="764"/>
        </w:trPr>
        <w:tc>
          <w:tcPr>
            <w:tcW w:w="630" w:type="dxa"/>
          </w:tcPr>
          <w:p w14:paraId="307455BF" w14:textId="77777777" w:rsidR="00C4419F" w:rsidRPr="004E6A4A" w:rsidRDefault="00C4419F" w:rsidP="00C4419F">
            <w:pPr>
              <w:jc w:val="center"/>
              <w:rPr>
                <w:rFonts w:ascii="Times New Roman" w:eastAsia="Calibri" w:hAnsi="Times New Roman" w:cs="Times New Roman"/>
                <w:i/>
                <w:sz w:val="18"/>
                <w:szCs w:val="18"/>
              </w:rPr>
            </w:pPr>
          </w:p>
        </w:tc>
        <w:tc>
          <w:tcPr>
            <w:tcW w:w="4230" w:type="dxa"/>
          </w:tcPr>
          <w:p w14:paraId="100B5880"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6.</w:t>
            </w:r>
            <w:r w:rsidRPr="004E6A4A">
              <w:rPr>
                <w:rFonts w:ascii="Times New Roman" w:eastAsia="Times New Roman" w:hAnsi="Times New Roman" w:cs="Times New Roman"/>
                <w:sz w:val="20"/>
                <w:szCs w:val="20"/>
              </w:rPr>
              <w:tab/>
              <w:t>Termi “Evidencë Shkresore” përfshin cilëndo nga sa vijon:</w:t>
            </w:r>
          </w:p>
          <w:p w14:paraId="1E4ECEBD"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(a)</w:t>
            </w:r>
            <w:r w:rsidRPr="004E6A4A">
              <w:rPr>
                <w:rFonts w:ascii="Times New Roman" w:eastAsia="Times New Roman" w:hAnsi="Times New Roman" w:cs="Times New Roman"/>
                <w:sz w:val="20"/>
                <w:szCs w:val="20"/>
              </w:rPr>
              <w:tab/>
              <w:t>një certifikatë rezidence të lëshuar nga një organ qeveritar i autorizuar (për shembull, një qeveri ose agjenci e saj, ose një bashki) i shtetit anëtar ose i juridiksionit tjetër në të cilin përfituesi i pagesës pretendon se është rezident;</w:t>
            </w:r>
          </w:p>
          <w:p w14:paraId="505DF0E4"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(b)</w:t>
            </w:r>
            <w:r w:rsidRPr="004E6A4A">
              <w:rPr>
                <w:rFonts w:ascii="Times New Roman" w:eastAsia="Times New Roman" w:hAnsi="Times New Roman" w:cs="Times New Roman"/>
                <w:sz w:val="20"/>
                <w:szCs w:val="20"/>
              </w:rPr>
              <w:tab/>
              <w:t>në lidhje me një individ, çdo dokument identifikimi të vlefshëm të lëshuar nga një organ qeveritar i autorizuar (për shembull, një qeveri ose agjenci e saj, ose një bashki), i cili përfshin emrin e individit dhe përdoret zakonisht për qëllime identifikimi;</w:t>
            </w:r>
          </w:p>
          <w:p w14:paraId="3EEF3890"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w:t>
            </w:r>
            <w:r w:rsidRPr="004E6A4A">
              <w:rPr>
                <w:rFonts w:ascii="Times New Roman" w:eastAsia="Times New Roman" w:hAnsi="Times New Roman" w:cs="Times New Roman"/>
                <w:sz w:val="20"/>
                <w:szCs w:val="20"/>
              </w:rPr>
              <w:tab/>
              <w:t xml:space="preserve">në lidhje me një Njësi Ekonomike, çdo dokumentacion zyrtar të lëshuar nga një organ qeveritar i autorizuar (për shembull, një qeveri ose agjenci e saj, ose një bashki), i cili përfshin emrin e Njësisë Ekonomike dhe ose adresën e selisë së saj kryesore në shtetin anëtar ose në juridiksionin tjetër në të cilin pretendon se është rezidente, ose </w:t>
            </w:r>
            <w:r w:rsidRPr="004E6A4A">
              <w:rPr>
                <w:rFonts w:ascii="Times New Roman" w:eastAsia="Times New Roman" w:hAnsi="Times New Roman" w:cs="Times New Roman"/>
                <w:sz w:val="20"/>
                <w:szCs w:val="20"/>
              </w:rPr>
              <w:lastRenderedPageBreak/>
              <w:t>shtetin anëtar ose juridiksionin tjetër në të cilin Njësia Ekonomike është themeluar ose organizuar;</w:t>
            </w:r>
          </w:p>
          <w:p w14:paraId="7A59CF11"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(d)</w:t>
            </w:r>
            <w:r w:rsidRPr="004E6A4A">
              <w:rPr>
                <w:rFonts w:ascii="Times New Roman" w:eastAsia="Times New Roman" w:hAnsi="Times New Roman" w:cs="Times New Roman"/>
                <w:sz w:val="20"/>
                <w:szCs w:val="20"/>
              </w:rPr>
              <w:tab/>
              <w:t>çdo pasqyrë financiare të audituar, raport krediti nga palë e tretë, kërkesë për falimentim ose raport të autoritetit rregullator të letrave me vlerë.</w:t>
            </w:r>
          </w:p>
          <w:p w14:paraId="6269A873"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Në lidhje me një Llogari Paraekzistuese të Njësisë Ekonomike, Institucionet Financiare Raportuese mund të përdorin si Evidencë Shkresore çdo klasifikim në regjistrat e Institucionit Financiar Raportues në lidhje me Mbajtësin e Llogarisë, i cili është përcaktuar bazuar në një sistem të standardizuar të kodimit të industrisë, është regjistruar nga Institucioni Financiar Raportues në përputhje me praktikat e tij të zakonshme të veprimtarisë për qëllime të Procedurave për PPP/NJKT ose për qëllime të tjera rregullatore (të ndryshme nga qëllimet tatimore) dhe është zbatuar nga Institucioni Financiar Raportues përpara datës së përdorur për klasifikimin e Llogarisë Financiare si Llogari Paraekzistuese, me kusht që Institucioni Financiar Raportues të mos e dijë ose të mos ketë arsye të dijë se ky klasifikim është i pasaktë ose jo i besueshëm.</w:t>
            </w:r>
          </w:p>
        </w:tc>
        <w:tc>
          <w:tcPr>
            <w:tcW w:w="1350" w:type="dxa"/>
          </w:tcPr>
          <w:p w14:paraId="78D58484" w14:textId="77777777" w:rsidR="00C4419F" w:rsidRPr="004E6A4A" w:rsidRDefault="00C4419F" w:rsidP="00C4419F">
            <w:pPr>
              <w:jc w:val="center"/>
              <w:rPr>
                <w:rFonts w:ascii="Times New Roman" w:eastAsia="Calibri" w:hAnsi="Times New Roman" w:cs="Times New Roman"/>
                <w:sz w:val="18"/>
                <w:szCs w:val="18"/>
              </w:rPr>
            </w:pPr>
          </w:p>
        </w:tc>
        <w:tc>
          <w:tcPr>
            <w:tcW w:w="810" w:type="dxa"/>
          </w:tcPr>
          <w:p w14:paraId="3249BFC1" w14:textId="77777777" w:rsidR="00C4419F" w:rsidRPr="004E6A4A" w:rsidRDefault="00C4419F" w:rsidP="00C4419F">
            <w:pPr>
              <w:jc w:val="center"/>
              <w:rPr>
                <w:rFonts w:ascii="Times New Roman" w:eastAsia="Times New Roman" w:hAnsi="Times New Roman" w:cs="Times New Roman"/>
                <w:sz w:val="20"/>
                <w:szCs w:val="21"/>
                <w:lang w:eastAsia="sq-AL"/>
              </w:rPr>
            </w:pPr>
          </w:p>
        </w:tc>
        <w:tc>
          <w:tcPr>
            <w:tcW w:w="4590" w:type="dxa"/>
          </w:tcPr>
          <w:p w14:paraId="0A702590" w14:textId="77777777" w:rsidR="00FA0CFF" w:rsidRPr="004E6A4A" w:rsidRDefault="00144445">
            <w:pPr>
              <w:jc w:val="center"/>
            </w:pPr>
            <w:r w:rsidRPr="004E6A4A">
              <w:rPr>
                <w:rFonts w:ascii="Times New Roman" w:eastAsia="Times New Roman" w:hAnsi="Times New Roman" w:cs="Times New Roman"/>
                <w:b/>
                <w:sz w:val="20"/>
              </w:rPr>
              <w:t>Ligji: Neni 5</w:t>
            </w:r>
          </w:p>
          <w:p w14:paraId="0B5DBA5E" w14:textId="77777777" w:rsidR="00FA0CFF" w:rsidRPr="004E6A4A" w:rsidRDefault="00144445">
            <w:pPr>
              <w:jc w:val="center"/>
            </w:pPr>
            <w:r w:rsidRPr="004E6A4A">
              <w:rPr>
                <w:rFonts w:ascii="Times New Roman" w:eastAsia="Times New Roman" w:hAnsi="Times New Roman" w:cs="Times New Roman"/>
                <w:b/>
                <w:sz w:val="20"/>
              </w:rPr>
              <w:t>Përkufizime</w:t>
            </w:r>
          </w:p>
          <w:p w14:paraId="25C34C57" w14:textId="77777777" w:rsidR="00FA0CFF" w:rsidRPr="004E6A4A" w:rsidRDefault="00144445">
            <w:pPr>
              <w:jc w:val="both"/>
            </w:pPr>
            <w:r w:rsidRPr="004E6A4A">
              <w:rPr>
                <w:rFonts w:ascii="Times New Roman" w:eastAsia="Times New Roman" w:hAnsi="Times New Roman" w:cs="Times New Roman"/>
                <w:sz w:val="20"/>
              </w:rPr>
              <w:t>25. “Evidencë shkresore” përfshin:</w:t>
            </w:r>
          </w:p>
          <w:p w14:paraId="5054752E" w14:textId="77777777" w:rsidR="00FA0CFF" w:rsidRPr="004E6A4A" w:rsidRDefault="00144445">
            <w:pPr>
              <w:jc w:val="both"/>
            </w:pPr>
            <w:r w:rsidRPr="004E6A4A">
              <w:rPr>
                <w:rFonts w:ascii="Times New Roman" w:eastAsia="Times New Roman" w:hAnsi="Times New Roman" w:cs="Times New Roman"/>
                <w:sz w:val="20"/>
              </w:rPr>
              <w:t>a) certifikatën e rezidencës të lëshuar nga një organ qeveritar i autorizuar i juridiksionit në të cilin marrësi i pagesës pretendon se është rezident;</w:t>
            </w:r>
          </w:p>
          <w:p w14:paraId="53203BCD" w14:textId="77777777" w:rsidR="00FA0CFF" w:rsidRPr="004E6A4A" w:rsidRDefault="00144445">
            <w:pPr>
              <w:jc w:val="both"/>
            </w:pPr>
            <w:r w:rsidRPr="004E6A4A">
              <w:rPr>
                <w:rFonts w:ascii="Times New Roman" w:eastAsia="Times New Roman" w:hAnsi="Times New Roman" w:cs="Times New Roman"/>
                <w:sz w:val="20"/>
              </w:rPr>
              <w:t>b) për individin, çdo identifikim të vlefshëm të lëshuar nga një organ qeveritar i autorizuar, që përmban emrin e individit dhe përdoret zakonisht për qëllime identifikimi;</w:t>
            </w:r>
          </w:p>
          <w:p w14:paraId="16A31C5D" w14:textId="77777777" w:rsidR="00FA0CFF" w:rsidRPr="004E6A4A" w:rsidRDefault="00144445">
            <w:pPr>
              <w:jc w:val="both"/>
            </w:pPr>
            <w:r w:rsidRPr="004E6A4A">
              <w:rPr>
                <w:rFonts w:ascii="Times New Roman" w:eastAsia="Times New Roman" w:hAnsi="Times New Roman" w:cs="Times New Roman"/>
                <w:sz w:val="20"/>
              </w:rPr>
              <w:t>c) për njësinë ekonomike, çdo dokument zyrtar të lëshuar nga një organ qeveritar i autorizuar, që përmban emrin e njësisë ekonomike dhe adresën e selisë së saj qendrore në juridiksionin në të cilin pretendon se është rezidente ose në të cilin është themeluar apo organizuar;</w:t>
            </w:r>
          </w:p>
          <w:p w14:paraId="0A83DD0D" w14:textId="77777777" w:rsidR="00FA0CFF" w:rsidRPr="004E6A4A" w:rsidRDefault="00144445">
            <w:pPr>
              <w:jc w:val="both"/>
            </w:pPr>
            <w:r w:rsidRPr="004E6A4A">
              <w:rPr>
                <w:rFonts w:ascii="Times New Roman" w:eastAsia="Times New Roman" w:hAnsi="Times New Roman" w:cs="Times New Roman"/>
                <w:sz w:val="20"/>
              </w:rPr>
              <w:t>ç) çdo pasqyrë financiare të audituar, raport kredie të palëve të treta, dokumentacion të procedurës së falimentimit ose raport të rregullatorit të letrave me vlerë.</w:t>
            </w:r>
          </w:p>
          <w:p w14:paraId="7FC3F736" w14:textId="77777777" w:rsidR="00FA0CFF" w:rsidRPr="004E6A4A" w:rsidRDefault="00144445">
            <w:pPr>
              <w:jc w:val="both"/>
            </w:pPr>
            <w:r w:rsidRPr="004E6A4A">
              <w:rPr>
                <w:rFonts w:ascii="Times New Roman" w:eastAsia="Times New Roman" w:hAnsi="Times New Roman" w:cs="Times New Roman"/>
                <w:sz w:val="20"/>
              </w:rPr>
              <w:lastRenderedPageBreak/>
              <w:t>Për një Llogari Paraekzistuese të Njësisë Ekonomike, institucioni financiar raportues mund të përdorë si evidencë shkresore edhe çdo klasifikim të mbajtur në të dhënat e tij për mbajtësin e llogarisë, të përcaktuar në bazë të një sistemi të standardizuar të kodimit të industrisë, të regjistruar nga institucioni financiar raportues në përputhje me praktikat e tij normale të biznesit për qëllimet e procedurave të parandalimit të pastrimit të parave dhe financimit të terrorizmit ose për qëllime të tjera rregullatore, përveç qëllimeve tatimore, nëse klasifikimi është zbatuar përpara datës së përdorur për klasifikimin e llogarisë si Llogari Paraekzistuese dhe institucioni financiar raportues nuk e di ose nuk ka arsye të dijë se klasifikimi është i pasaktë ose jo i besueshëm.</w:t>
            </w:r>
          </w:p>
        </w:tc>
        <w:tc>
          <w:tcPr>
            <w:tcW w:w="1620" w:type="dxa"/>
          </w:tcPr>
          <w:p w14:paraId="7BF0FB33" w14:textId="77777777" w:rsidR="00272E22" w:rsidRPr="004E6A4A" w:rsidRDefault="00272E22" w:rsidP="00C4419F">
            <w:pPr>
              <w:jc w:val="center"/>
              <w:rPr>
                <w:rFonts w:ascii="Times New Roman" w:eastAsia="Calibri" w:hAnsi="Times New Roman" w:cs="Times New Roman"/>
                <w:sz w:val="18"/>
                <w:szCs w:val="18"/>
              </w:rPr>
            </w:pPr>
          </w:p>
          <w:p w14:paraId="18B18AE8" w14:textId="2AA7A1A5" w:rsidR="00C4419F" w:rsidRPr="004E6A4A" w:rsidRDefault="00272E22"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1BEFDB5D"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Përputhet.</w:t>
            </w:r>
          </w:p>
          <w:p w14:paraId="5BBF454B"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Transpozohet nga neni 5, pika 25, i projektligjit.</w:t>
            </w:r>
          </w:p>
        </w:tc>
      </w:tr>
      <w:tr w:rsidR="004E6A4A" w:rsidRPr="004E6A4A" w14:paraId="1F27DD6E" w14:textId="77777777" w:rsidTr="00153084">
        <w:trPr>
          <w:trHeight w:val="764"/>
        </w:trPr>
        <w:tc>
          <w:tcPr>
            <w:tcW w:w="630" w:type="dxa"/>
          </w:tcPr>
          <w:p w14:paraId="36C9E8EA" w14:textId="77777777" w:rsidR="00C4419F" w:rsidRPr="004E6A4A" w:rsidRDefault="00C4419F" w:rsidP="00C4419F">
            <w:pPr>
              <w:jc w:val="center"/>
              <w:rPr>
                <w:rFonts w:ascii="Times New Roman" w:eastAsia="Calibri" w:hAnsi="Times New Roman" w:cs="Times New Roman"/>
                <w:i/>
                <w:sz w:val="18"/>
                <w:szCs w:val="18"/>
              </w:rPr>
            </w:pPr>
          </w:p>
        </w:tc>
        <w:tc>
          <w:tcPr>
            <w:tcW w:w="4230" w:type="dxa"/>
          </w:tcPr>
          <w:p w14:paraId="53D22529"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Termi “sistem i standardizuar i kodimit të industrisë” nënkupton një sistem kodimi që përdoret për klasifikimin e njësive sipas llojit të veprimtarisë për qëllime të ndryshme nga ato tatimore.</w:t>
            </w:r>
          </w:p>
        </w:tc>
        <w:tc>
          <w:tcPr>
            <w:tcW w:w="1350" w:type="dxa"/>
          </w:tcPr>
          <w:p w14:paraId="45150105" w14:textId="77777777" w:rsidR="00C4419F" w:rsidRPr="004E6A4A" w:rsidRDefault="00C4419F" w:rsidP="00C4419F">
            <w:pPr>
              <w:jc w:val="center"/>
              <w:rPr>
                <w:rFonts w:ascii="Times New Roman" w:eastAsia="Calibri" w:hAnsi="Times New Roman" w:cs="Times New Roman"/>
                <w:sz w:val="18"/>
                <w:szCs w:val="18"/>
              </w:rPr>
            </w:pPr>
          </w:p>
        </w:tc>
        <w:tc>
          <w:tcPr>
            <w:tcW w:w="810" w:type="dxa"/>
          </w:tcPr>
          <w:p w14:paraId="51D506D7" w14:textId="77777777" w:rsidR="00C4419F" w:rsidRPr="004E6A4A" w:rsidRDefault="00C4419F" w:rsidP="00C4419F">
            <w:pPr>
              <w:jc w:val="center"/>
              <w:rPr>
                <w:rFonts w:ascii="Times New Roman" w:eastAsia="Times New Roman" w:hAnsi="Times New Roman" w:cs="Times New Roman"/>
                <w:sz w:val="20"/>
                <w:szCs w:val="21"/>
                <w:lang w:eastAsia="sq-AL"/>
              </w:rPr>
            </w:pPr>
          </w:p>
        </w:tc>
        <w:tc>
          <w:tcPr>
            <w:tcW w:w="4590" w:type="dxa"/>
          </w:tcPr>
          <w:p w14:paraId="3FE88AB5" w14:textId="77777777" w:rsidR="00FA0CFF" w:rsidRPr="004E6A4A" w:rsidRDefault="00144445">
            <w:pPr>
              <w:jc w:val="center"/>
            </w:pPr>
            <w:r w:rsidRPr="004E6A4A">
              <w:rPr>
                <w:rFonts w:ascii="Times New Roman" w:eastAsia="Times New Roman" w:hAnsi="Times New Roman" w:cs="Times New Roman"/>
                <w:b/>
                <w:sz w:val="20"/>
              </w:rPr>
              <w:t>Ligji: Neni 5</w:t>
            </w:r>
          </w:p>
          <w:p w14:paraId="571E2269" w14:textId="77777777" w:rsidR="00FA0CFF" w:rsidRPr="004E6A4A" w:rsidRDefault="00144445">
            <w:pPr>
              <w:jc w:val="center"/>
            </w:pPr>
            <w:r w:rsidRPr="004E6A4A">
              <w:rPr>
                <w:rFonts w:ascii="Times New Roman" w:eastAsia="Times New Roman" w:hAnsi="Times New Roman" w:cs="Times New Roman"/>
                <w:b/>
                <w:sz w:val="20"/>
              </w:rPr>
              <w:t>Përkufizime</w:t>
            </w:r>
          </w:p>
          <w:p w14:paraId="3A1AFC1F" w14:textId="77777777" w:rsidR="00FA0CFF" w:rsidRPr="004E6A4A" w:rsidRDefault="00144445">
            <w:pPr>
              <w:jc w:val="both"/>
            </w:pPr>
            <w:r w:rsidRPr="004E6A4A">
              <w:rPr>
                <w:rFonts w:ascii="Times New Roman" w:eastAsia="Times New Roman" w:hAnsi="Times New Roman" w:cs="Times New Roman"/>
                <w:sz w:val="20"/>
              </w:rPr>
              <w:t>67. “Sistem i standardizuar i kodimit të industrisë” është një sistem kodimi i përdorur për klasifikimin e objekteve sipas llojit të biznesit për qëllime të ndryshme nga qëllimet tatimore.</w:t>
            </w:r>
          </w:p>
        </w:tc>
        <w:tc>
          <w:tcPr>
            <w:tcW w:w="1620" w:type="dxa"/>
          </w:tcPr>
          <w:p w14:paraId="6B457378" w14:textId="77777777" w:rsidR="00C4419F" w:rsidRPr="004E6A4A" w:rsidRDefault="00C4419F" w:rsidP="00C4419F">
            <w:pPr>
              <w:jc w:val="center"/>
              <w:rPr>
                <w:rFonts w:ascii="Times New Roman" w:eastAsia="Calibri" w:hAnsi="Times New Roman" w:cs="Times New Roman"/>
                <w:sz w:val="18"/>
                <w:szCs w:val="18"/>
              </w:rPr>
            </w:pPr>
          </w:p>
          <w:p w14:paraId="08155512" w14:textId="77777777" w:rsidR="00272E22" w:rsidRPr="004E6A4A" w:rsidRDefault="00272E22" w:rsidP="00C4419F">
            <w:pPr>
              <w:jc w:val="center"/>
              <w:rPr>
                <w:rFonts w:ascii="Times New Roman" w:eastAsia="Calibri" w:hAnsi="Times New Roman" w:cs="Times New Roman"/>
                <w:sz w:val="18"/>
                <w:szCs w:val="18"/>
              </w:rPr>
            </w:pPr>
          </w:p>
          <w:p w14:paraId="2AE5972A" w14:textId="5690B24F" w:rsidR="00272E22" w:rsidRPr="004E6A4A" w:rsidRDefault="00272E22"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38471345"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Përputhet.</w:t>
            </w:r>
          </w:p>
          <w:p w14:paraId="19BB0806"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Transpozohet nga neni 5, pika 67, i projektligjit.</w:t>
            </w:r>
          </w:p>
        </w:tc>
      </w:tr>
      <w:tr w:rsidR="004E6A4A" w:rsidRPr="004E6A4A" w14:paraId="34ACF25E" w14:textId="77777777" w:rsidTr="00153084">
        <w:trPr>
          <w:trHeight w:val="764"/>
        </w:trPr>
        <w:tc>
          <w:tcPr>
            <w:tcW w:w="630" w:type="dxa"/>
          </w:tcPr>
          <w:p w14:paraId="57668C37" w14:textId="77777777" w:rsidR="00C4419F" w:rsidRPr="004E6A4A" w:rsidRDefault="00C4419F" w:rsidP="00C4419F">
            <w:pPr>
              <w:jc w:val="center"/>
              <w:rPr>
                <w:rFonts w:ascii="Times New Roman" w:eastAsia="Calibri" w:hAnsi="Times New Roman" w:cs="Times New Roman"/>
                <w:i/>
                <w:sz w:val="18"/>
                <w:szCs w:val="18"/>
              </w:rPr>
            </w:pPr>
          </w:p>
        </w:tc>
        <w:tc>
          <w:tcPr>
            <w:tcW w:w="4230" w:type="dxa"/>
          </w:tcPr>
          <w:p w14:paraId="372F8C5F"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7. Termi “Shërbim Identifikimi” nënkupton një proces elektronik që vihet në dispozicion pa pagesë nga një shtet anëtar ose nga Bashkimi për një Institucion Financiar Raportues, me qëllim verifikimin e identitetit dhe të rezidencës tatimore të një Mbajtësi Llogarie ose të një Personi Kontrollues.</w:t>
            </w:r>
          </w:p>
        </w:tc>
        <w:tc>
          <w:tcPr>
            <w:tcW w:w="1350" w:type="dxa"/>
          </w:tcPr>
          <w:p w14:paraId="6060FFF2" w14:textId="77777777" w:rsidR="00C4419F" w:rsidRPr="004E6A4A" w:rsidRDefault="00C4419F" w:rsidP="00C4419F">
            <w:pPr>
              <w:jc w:val="center"/>
              <w:rPr>
                <w:rFonts w:ascii="Times New Roman" w:eastAsia="Calibri" w:hAnsi="Times New Roman" w:cs="Times New Roman"/>
                <w:sz w:val="18"/>
                <w:szCs w:val="18"/>
              </w:rPr>
            </w:pPr>
          </w:p>
        </w:tc>
        <w:tc>
          <w:tcPr>
            <w:tcW w:w="810" w:type="dxa"/>
          </w:tcPr>
          <w:p w14:paraId="0447CB52" w14:textId="77777777" w:rsidR="00C4419F" w:rsidRPr="004E6A4A" w:rsidRDefault="00C4419F" w:rsidP="00C4419F">
            <w:pPr>
              <w:jc w:val="center"/>
              <w:rPr>
                <w:rFonts w:ascii="Times New Roman" w:eastAsia="Times New Roman" w:hAnsi="Times New Roman" w:cs="Times New Roman"/>
                <w:sz w:val="20"/>
                <w:szCs w:val="21"/>
                <w:lang w:eastAsia="sq-AL"/>
              </w:rPr>
            </w:pPr>
          </w:p>
        </w:tc>
        <w:tc>
          <w:tcPr>
            <w:tcW w:w="4590" w:type="dxa"/>
          </w:tcPr>
          <w:p w14:paraId="3628E936" w14:textId="77777777" w:rsidR="00FA0CFF" w:rsidRPr="004E6A4A" w:rsidRDefault="00144445">
            <w:pPr>
              <w:jc w:val="center"/>
            </w:pPr>
            <w:r w:rsidRPr="004E6A4A">
              <w:rPr>
                <w:rFonts w:ascii="Times New Roman" w:eastAsia="Times New Roman" w:hAnsi="Times New Roman" w:cs="Times New Roman"/>
                <w:b/>
                <w:sz w:val="20"/>
              </w:rPr>
              <w:t>Ligji: Neni 5</w:t>
            </w:r>
          </w:p>
          <w:p w14:paraId="5A878825" w14:textId="77777777" w:rsidR="00FA0CFF" w:rsidRPr="004E6A4A" w:rsidRDefault="00144445">
            <w:pPr>
              <w:jc w:val="center"/>
            </w:pPr>
            <w:r w:rsidRPr="004E6A4A">
              <w:rPr>
                <w:rFonts w:ascii="Times New Roman" w:eastAsia="Times New Roman" w:hAnsi="Times New Roman" w:cs="Times New Roman"/>
                <w:b/>
                <w:sz w:val="20"/>
              </w:rPr>
              <w:t>Përkufizime</w:t>
            </w:r>
          </w:p>
          <w:p w14:paraId="1C7ED0E1" w14:textId="77777777" w:rsidR="00FA0CFF" w:rsidRPr="004E6A4A" w:rsidRDefault="00144445">
            <w:pPr>
              <w:jc w:val="both"/>
            </w:pPr>
            <w:r w:rsidRPr="004E6A4A">
              <w:rPr>
                <w:rFonts w:ascii="Times New Roman" w:eastAsia="Times New Roman" w:hAnsi="Times New Roman" w:cs="Times New Roman"/>
                <w:sz w:val="20"/>
              </w:rPr>
              <w:t xml:space="preserve">73. “Shërbim identifikimi” për qëllime të profilit të Bashkimit Evropian, është një proces elektronik i vënë në dispozicion pa pagesë nga një shtet anëtar ose nga Bashkimi Evropian për një Institucion Financiar Raportues, me qëllim përcaktimin e identitetit dhe </w:t>
            </w:r>
            <w:r w:rsidRPr="004E6A4A">
              <w:rPr>
                <w:rFonts w:ascii="Times New Roman" w:eastAsia="Times New Roman" w:hAnsi="Times New Roman" w:cs="Times New Roman"/>
                <w:sz w:val="20"/>
              </w:rPr>
              <w:lastRenderedPageBreak/>
              <w:t>rezidencës tatimore të një Mbajtësi Llogarie ose Personi Kontrollues.</w:t>
            </w:r>
          </w:p>
          <w:p w14:paraId="48200E9F" w14:textId="77777777" w:rsidR="00FA0CFF" w:rsidRPr="004E6A4A" w:rsidRDefault="00FA0CFF"/>
          <w:p w14:paraId="339A4031" w14:textId="2ACCF0A2" w:rsidR="00FA0CFF" w:rsidRPr="004E6A4A" w:rsidRDefault="00FA0CFF">
            <w:pPr>
              <w:jc w:val="both"/>
            </w:pPr>
          </w:p>
        </w:tc>
        <w:tc>
          <w:tcPr>
            <w:tcW w:w="1620" w:type="dxa"/>
          </w:tcPr>
          <w:p w14:paraId="38547E70" w14:textId="77777777" w:rsidR="00272E22" w:rsidRPr="004E6A4A" w:rsidRDefault="00272E22" w:rsidP="00C4419F">
            <w:pPr>
              <w:jc w:val="center"/>
              <w:rPr>
                <w:rFonts w:ascii="Times New Roman" w:eastAsia="Calibri" w:hAnsi="Times New Roman" w:cs="Times New Roman"/>
                <w:sz w:val="18"/>
                <w:szCs w:val="18"/>
              </w:rPr>
            </w:pPr>
          </w:p>
          <w:p w14:paraId="7D40B3FD" w14:textId="00F7AA7F" w:rsidR="00C4419F" w:rsidRPr="004E6A4A" w:rsidRDefault="00272E22"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3F9D6C2C"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Përputhet.</w:t>
            </w:r>
          </w:p>
          <w:p w14:paraId="154B9BB2"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Transpozohet nga neni 5, pika 73, i projektligjit.</w:t>
            </w:r>
          </w:p>
        </w:tc>
      </w:tr>
      <w:tr w:rsidR="004E6A4A" w:rsidRPr="004E6A4A" w14:paraId="38FD41CB" w14:textId="77777777" w:rsidTr="00153084">
        <w:trPr>
          <w:trHeight w:val="764"/>
        </w:trPr>
        <w:tc>
          <w:tcPr>
            <w:tcW w:w="630" w:type="dxa"/>
          </w:tcPr>
          <w:p w14:paraId="69DADD5B" w14:textId="77777777" w:rsidR="00C4419F" w:rsidRPr="004E6A4A" w:rsidRDefault="00C4419F" w:rsidP="00C4419F">
            <w:pPr>
              <w:jc w:val="center"/>
              <w:rPr>
                <w:rFonts w:ascii="Times New Roman" w:eastAsia="Calibri" w:hAnsi="Times New Roman" w:cs="Times New Roman"/>
                <w:i/>
                <w:sz w:val="18"/>
                <w:szCs w:val="18"/>
              </w:rPr>
            </w:pPr>
          </w:p>
        </w:tc>
        <w:tc>
          <w:tcPr>
            <w:tcW w:w="4230" w:type="dxa"/>
          </w:tcPr>
          <w:p w14:paraId="10A0A8A0" w14:textId="77777777" w:rsidR="008C56DE" w:rsidRPr="004E6A4A" w:rsidRDefault="00144445">
            <w:pPr>
              <w:rPr>
                <w:rFonts w:ascii="Times New Roman" w:eastAsia="Times New Roman" w:hAnsi="Times New Roman" w:cs="Times New Roman"/>
                <w:b/>
                <w:bCs/>
                <w:sz w:val="20"/>
                <w:szCs w:val="20"/>
              </w:rPr>
            </w:pPr>
            <w:r w:rsidRPr="004E6A4A">
              <w:rPr>
                <w:rFonts w:ascii="Times New Roman" w:eastAsia="Times New Roman" w:hAnsi="Times New Roman" w:cs="Times New Roman"/>
                <w:b/>
                <w:bCs/>
                <w:sz w:val="20"/>
                <w:szCs w:val="20"/>
              </w:rPr>
              <w:t>SEKSIONI IX</w:t>
            </w:r>
          </w:p>
          <w:p w14:paraId="7E71B4FF"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ZBATIMI EFEKTIV</w:t>
            </w:r>
          </w:p>
          <w:p w14:paraId="6B39A7A6"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Në zbatim të nenit 8(3a) të kësaj Direktive, shtetet anëtare duhet të kenë në fuqi rregulla dhe procedura administrative për të siguruar zbatimin efektiv dhe respektimin e procedurave të raportimit dhe të vigjilencës së duhur të përcaktuara më sipër, përfshirë:</w:t>
            </w:r>
          </w:p>
          <w:p w14:paraId="1DE185D1"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(1) rregulla për të parandaluar që çdo Institucion Financiar, person ose ndërmjetës të miratojë praktika që synojnë anashkalimin e procedurave të raportimit dhe të vigjilencës së duhur;</w:t>
            </w:r>
          </w:p>
        </w:tc>
        <w:tc>
          <w:tcPr>
            <w:tcW w:w="1350" w:type="dxa"/>
          </w:tcPr>
          <w:p w14:paraId="7CBD1A98" w14:textId="77777777" w:rsidR="00C4419F" w:rsidRPr="004E6A4A" w:rsidRDefault="00C4419F" w:rsidP="00C4419F">
            <w:pPr>
              <w:jc w:val="center"/>
              <w:rPr>
                <w:rFonts w:ascii="Times New Roman" w:eastAsia="Calibri" w:hAnsi="Times New Roman" w:cs="Times New Roman"/>
                <w:sz w:val="18"/>
                <w:szCs w:val="18"/>
              </w:rPr>
            </w:pPr>
          </w:p>
        </w:tc>
        <w:tc>
          <w:tcPr>
            <w:tcW w:w="810" w:type="dxa"/>
          </w:tcPr>
          <w:p w14:paraId="7DB23EAA" w14:textId="77777777" w:rsidR="00C4419F" w:rsidRPr="004E6A4A" w:rsidRDefault="00C4419F" w:rsidP="00C4419F">
            <w:pPr>
              <w:jc w:val="center"/>
              <w:rPr>
                <w:rFonts w:ascii="Times New Roman" w:eastAsia="Times New Roman" w:hAnsi="Times New Roman" w:cs="Times New Roman"/>
                <w:sz w:val="20"/>
                <w:szCs w:val="21"/>
                <w:lang w:eastAsia="sq-AL"/>
              </w:rPr>
            </w:pPr>
          </w:p>
        </w:tc>
        <w:tc>
          <w:tcPr>
            <w:tcW w:w="4590" w:type="dxa"/>
          </w:tcPr>
          <w:p w14:paraId="6FD755CD" w14:textId="77777777" w:rsidR="00FA0CFF" w:rsidRPr="004E6A4A" w:rsidRDefault="00144445">
            <w:pPr>
              <w:jc w:val="center"/>
            </w:pPr>
            <w:r w:rsidRPr="004E6A4A">
              <w:rPr>
                <w:rFonts w:ascii="Times New Roman" w:eastAsia="Times New Roman" w:hAnsi="Times New Roman" w:cs="Times New Roman"/>
                <w:b/>
                <w:sz w:val="20"/>
              </w:rPr>
              <w:t>VKM: Neni 13</w:t>
            </w:r>
          </w:p>
          <w:p w14:paraId="33038020" w14:textId="77777777" w:rsidR="00FA0CFF" w:rsidRPr="004E6A4A" w:rsidRDefault="00144445">
            <w:pPr>
              <w:jc w:val="center"/>
            </w:pPr>
            <w:r w:rsidRPr="004E6A4A">
              <w:rPr>
                <w:rFonts w:ascii="Times New Roman" w:eastAsia="Times New Roman" w:hAnsi="Times New Roman" w:cs="Times New Roman"/>
                <w:b/>
                <w:sz w:val="20"/>
              </w:rPr>
              <w:t>Zbatimi efektiv dhe kontrolli i përputhshmërisë</w:t>
            </w:r>
          </w:p>
          <w:p w14:paraId="28571FC5" w14:textId="77777777" w:rsidR="00FA0CFF" w:rsidRPr="004E6A4A" w:rsidRDefault="00144445">
            <w:pPr>
              <w:jc w:val="both"/>
            </w:pPr>
            <w:r w:rsidRPr="004E6A4A">
              <w:rPr>
                <w:rFonts w:ascii="Times New Roman" w:eastAsia="Times New Roman" w:hAnsi="Times New Roman" w:cs="Times New Roman"/>
                <w:sz w:val="20"/>
              </w:rPr>
              <w:t>1. DPT-ja dhe institucionet financiare raportuese janë përgjegjëse për zbatimin e këtij vendimi, brenda kompetencave dhe detyrimeve të tyre.</w:t>
            </w:r>
          </w:p>
          <w:p w14:paraId="316AA1BB" w14:textId="77777777" w:rsidR="00FA0CFF" w:rsidRPr="004E6A4A" w:rsidRDefault="00144445">
            <w:pPr>
              <w:jc w:val="both"/>
            </w:pPr>
            <w:r w:rsidRPr="004E6A4A">
              <w:rPr>
                <w:rFonts w:ascii="Times New Roman" w:eastAsia="Times New Roman" w:hAnsi="Times New Roman" w:cs="Times New Roman"/>
                <w:sz w:val="20"/>
              </w:rPr>
              <w:t>2. Institucionet financiare raportuese mbajnë evidenca të procedurave të kryera, hapave të ndërmarrë dhe provave mbi të cilat janë mbështetur për përmbushjen e detyrimeve të raportimit dhe të vigjilencës së duhur, për periudhën e përcaktuar në ligj dhe, në çdo rast, jo më pak se pesë vjet.</w:t>
            </w:r>
          </w:p>
          <w:p w14:paraId="62CB629D" w14:textId="77777777" w:rsidR="00FA0CFF" w:rsidRPr="004E6A4A" w:rsidRDefault="00FA0CFF"/>
          <w:p w14:paraId="2F931F84" w14:textId="77777777" w:rsidR="00FA0CFF" w:rsidRPr="004E6A4A" w:rsidRDefault="00144445">
            <w:pPr>
              <w:jc w:val="center"/>
            </w:pPr>
            <w:r w:rsidRPr="004E6A4A">
              <w:rPr>
                <w:rFonts w:ascii="Times New Roman" w:eastAsia="Times New Roman" w:hAnsi="Times New Roman" w:cs="Times New Roman"/>
                <w:b/>
                <w:sz w:val="20"/>
              </w:rPr>
              <w:t>Ligji: Neni 18</w:t>
            </w:r>
          </w:p>
          <w:p w14:paraId="3A2CD5CF" w14:textId="77777777" w:rsidR="00FA0CFF" w:rsidRPr="004E6A4A" w:rsidRDefault="00144445">
            <w:pPr>
              <w:jc w:val="center"/>
            </w:pPr>
            <w:r w:rsidRPr="004E6A4A">
              <w:rPr>
                <w:rFonts w:ascii="Times New Roman" w:eastAsia="Times New Roman" w:hAnsi="Times New Roman" w:cs="Times New Roman"/>
                <w:b/>
                <w:sz w:val="20"/>
              </w:rPr>
              <w:t>Rregulli kundër shmangies</w:t>
            </w:r>
          </w:p>
          <w:p w14:paraId="65132B48" w14:textId="77777777" w:rsidR="00FA0CFF" w:rsidRPr="004E6A4A" w:rsidRDefault="00144445">
            <w:pPr>
              <w:jc w:val="both"/>
            </w:pPr>
            <w:r w:rsidRPr="004E6A4A">
              <w:rPr>
                <w:rFonts w:ascii="Times New Roman" w:eastAsia="Times New Roman" w:hAnsi="Times New Roman" w:cs="Times New Roman"/>
                <w:sz w:val="20"/>
              </w:rPr>
              <w:t>1. Kur, duke marrë parasysh të gjitha faktet dhe rrethanat përkatëse, është e arsyeshme të konkludohet se qëllimi kryesor ose një nga qëllimet kryesore të një marrëveshjeje ose praktike të ndërmarrë nga një institucion financiar, ndërmjetës, ofrues shërbimi ose person tjetër është shmangia ose anashkalimi i detyrimeve të përcaktuara në këtë ligj ose në aktet nënligjore të nxjerra në zbatim të tij, këto detyrime zbatohen sikur marrëveshja ose praktika të mos ishte ndërmarrë.</w:t>
            </w:r>
          </w:p>
          <w:p w14:paraId="2B705521" w14:textId="77777777" w:rsidR="00FA0CFF" w:rsidRPr="004E6A4A" w:rsidRDefault="00FA0CFF"/>
          <w:p w14:paraId="2BA44A05" w14:textId="13384EBF" w:rsidR="00FA0CFF" w:rsidRPr="004E6A4A" w:rsidRDefault="00FA0CFF">
            <w:pPr>
              <w:jc w:val="both"/>
            </w:pPr>
          </w:p>
        </w:tc>
        <w:tc>
          <w:tcPr>
            <w:tcW w:w="1620" w:type="dxa"/>
          </w:tcPr>
          <w:p w14:paraId="0B91C0C1" w14:textId="77777777" w:rsidR="005A2F1D" w:rsidRPr="004E6A4A" w:rsidRDefault="005A2F1D" w:rsidP="00C4419F">
            <w:pPr>
              <w:jc w:val="center"/>
              <w:rPr>
                <w:rFonts w:ascii="Times New Roman" w:eastAsia="Calibri" w:hAnsi="Times New Roman" w:cs="Times New Roman"/>
                <w:sz w:val="18"/>
                <w:szCs w:val="18"/>
              </w:rPr>
            </w:pPr>
          </w:p>
          <w:p w14:paraId="360032F7" w14:textId="74E18AAB" w:rsidR="00C4419F" w:rsidRPr="004E6A4A" w:rsidRDefault="005A2F1D"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58B87DFA"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Përputhet.</w:t>
            </w:r>
          </w:p>
          <w:p w14:paraId="38C5C9B2"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Transpozohet nga neni 18 i projektligjit dhe nga neni 13, pikat 1 dhe 2, të VKM-së.</w:t>
            </w:r>
          </w:p>
        </w:tc>
      </w:tr>
      <w:tr w:rsidR="004E6A4A" w:rsidRPr="004E6A4A" w14:paraId="3A172E87" w14:textId="77777777" w:rsidTr="00153084">
        <w:trPr>
          <w:trHeight w:val="764"/>
        </w:trPr>
        <w:tc>
          <w:tcPr>
            <w:tcW w:w="630" w:type="dxa"/>
          </w:tcPr>
          <w:p w14:paraId="66D1E102" w14:textId="77777777" w:rsidR="00C4419F" w:rsidRPr="004E6A4A" w:rsidRDefault="00C4419F" w:rsidP="00C4419F">
            <w:pPr>
              <w:jc w:val="center"/>
              <w:rPr>
                <w:rFonts w:ascii="Times New Roman" w:eastAsia="Calibri" w:hAnsi="Times New Roman" w:cs="Times New Roman"/>
                <w:i/>
                <w:sz w:val="18"/>
                <w:szCs w:val="18"/>
              </w:rPr>
            </w:pPr>
          </w:p>
        </w:tc>
        <w:tc>
          <w:tcPr>
            <w:tcW w:w="4230" w:type="dxa"/>
          </w:tcPr>
          <w:p w14:paraId="16D77E65"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(2) rregulla që u kërkojnë Institucioneve Financiare Raportuese të mbajnë evidenca të hapave të ndërmarrë dhe të çdo prove mbi të cilën janë mbështetur për kryerjen e procedurave të mësipërme, si dhe masa të përshtatshme për marrjen e këtyre evidencave;</w:t>
            </w:r>
          </w:p>
        </w:tc>
        <w:tc>
          <w:tcPr>
            <w:tcW w:w="1350" w:type="dxa"/>
          </w:tcPr>
          <w:p w14:paraId="750B82F1" w14:textId="77777777" w:rsidR="00C4419F" w:rsidRPr="004E6A4A" w:rsidRDefault="00C4419F" w:rsidP="00C4419F">
            <w:pPr>
              <w:jc w:val="center"/>
              <w:rPr>
                <w:rFonts w:ascii="Times New Roman" w:eastAsia="Calibri" w:hAnsi="Times New Roman" w:cs="Times New Roman"/>
                <w:sz w:val="18"/>
                <w:szCs w:val="18"/>
              </w:rPr>
            </w:pPr>
          </w:p>
        </w:tc>
        <w:tc>
          <w:tcPr>
            <w:tcW w:w="810" w:type="dxa"/>
          </w:tcPr>
          <w:p w14:paraId="55AB4445" w14:textId="77777777" w:rsidR="00C4419F" w:rsidRPr="004E6A4A" w:rsidRDefault="00C4419F" w:rsidP="00C4419F">
            <w:pPr>
              <w:jc w:val="center"/>
              <w:rPr>
                <w:rFonts w:ascii="Times New Roman" w:eastAsia="Times New Roman" w:hAnsi="Times New Roman" w:cs="Times New Roman"/>
                <w:sz w:val="20"/>
                <w:szCs w:val="21"/>
                <w:lang w:eastAsia="sq-AL"/>
              </w:rPr>
            </w:pPr>
          </w:p>
        </w:tc>
        <w:tc>
          <w:tcPr>
            <w:tcW w:w="4590" w:type="dxa"/>
          </w:tcPr>
          <w:p w14:paraId="64189C2A" w14:textId="77777777" w:rsidR="00FA0CFF" w:rsidRPr="004E6A4A" w:rsidRDefault="00144445">
            <w:pPr>
              <w:jc w:val="center"/>
            </w:pPr>
            <w:r w:rsidRPr="004E6A4A">
              <w:rPr>
                <w:rFonts w:ascii="Times New Roman" w:eastAsia="Times New Roman" w:hAnsi="Times New Roman" w:cs="Times New Roman"/>
                <w:b/>
                <w:sz w:val="20"/>
              </w:rPr>
              <w:t>Ligji: Neni 15</w:t>
            </w:r>
          </w:p>
          <w:p w14:paraId="1F2BEF4C" w14:textId="77777777" w:rsidR="00FA0CFF" w:rsidRPr="004E6A4A" w:rsidRDefault="00144445">
            <w:pPr>
              <w:jc w:val="center"/>
            </w:pPr>
            <w:r w:rsidRPr="004E6A4A">
              <w:rPr>
                <w:rFonts w:ascii="Times New Roman" w:eastAsia="Times New Roman" w:hAnsi="Times New Roman" w:cs="Times New Roman"/>
                <w:b/>
                <w:sz w:val="20"/>
              </w:rPr>
              <w:t>Mbajtja e të dhënave dhe detyrimi për ruajtjen e tyre</w:t>
            </w:r>
          </w:p>
          <w:p w14:paraId="7387E9A2" w14:textId="77777777" w:rsidR="00FA0CFF" w:rsidRPr="004E6A4A" w:rsidRDefault="00144445">
            <w:pPr>
              <w:jc w:val="both"/>
            </w:pPr>
            <w:r w:rsidRPr="004E6A4A">
              <w:rPr>
                <w:rFonts w:ascii="Times New Roman" w:eastAsia="Times New Roman" w:hAnsi="Times New Roman" w:cs="Times New Roman"/>
                <w:sz w:val="20"/>
              </w:rPr>
              <w:t xml:space="preserve">1. Institucioni financiar raportues në Republikën e Shqipërisë duhet të krijojë, të mbajë dhe të dokumentojë procedurat e vigjilencës së duhur dhe të </w:t>
            </w:r>
            <w:r w:rsidRPr="004E6A4A">
              <w:rPr>
                <w:rFonts w:ascii="Times New Roman" w:eastAsia="Times New Roman" w:hAnsi="Times New Roman" w:cs="Times New Roman"/>
                <w:sz w:val="20"/>
              </w:rPr>
              <w:lastRenderedPageBreak/>
              <w:t>raportimit, në zbatim të këtij ligji, si dhe të mbajë të dhënat dhe dokumentacionin e nevojshëm për përmbushjen e këtyre detyrimeve.</w:t>
            </w:r>
          </w:p>
          <w:p w14:paraId="401AE071" w14:textId="77777777" w:rsidR="00FA0CFF" w:rsidRPr="004E6A4A" w:rsidRDefault="00144445">
            <w:pPr>
              <w:jc w:val="both"/>
            </w:pPr>
            <w:r w:rsidRPr="004E6A4A">
              <w:rPr>
                <w:rFonts w:ascii="Times New Roman" w:eastAsia="Times New Roman" w:hAnsi="Times New Roman" w:cs="Times New Roman"/>
                <w:sz w:val="20"/>
              </w:rPr>
              <w:t>3. Nëse këto regjistrime mbahen në një gjuhë tjetër, përveç asaj shqipe, në bazë të kërkesës së Autoritetit Kompetent, institucioni financiar raportues në Republikën e Shqipërisë duhet të sigurojë përkthim të tyre në gjuhën shqipe.</w:t>
            </w:r>
          </w:p>
          <w:p w14:paraId="62211ACD" w14:textId="77777777" w:rsidR="00FA0CFF" w:rsidRPr="004E6A4A" w:rsidRDefault="00144445">
            <w:pPr>
              <w:jc w:val="both"/>
            </w:pPr>
            <w:r w:rsidRPr="004E6A4A">
              <w:rPr>
                <w:rFonts w:ascii="Times New Roman" w:eastAsia="Times New Roman" w:hAnsi="Times New Roman" w:cs="Times New Roman"/>
                <w:sz w:val="20"/>
              </w:rPr>
              <w:t>4. Këto detyrime zbatohen gjithashtu për qëllime të kontrolleve të cilësisë së të dhënave, mekanizmave të kthimit të informacionit për korrigjimin e mangësive dhe marrjes së masave korrigjuese.</w:t>
            </w:r>
          </w:p>
          <w:p w14:paraId="2B0E1CD1" w14:textId="77777777" w:rsidR="00FA0CFF" w:rsidRPr="004E6A4A" w:rsidRDefault="00FA0CFF"/>
          <w:p w14:paraId="78C3E690" w14:textId="7231AB55" w:rsidR="00FA0CFF" w:rsidRPr="004E6A4A" w:rsidRDefault="00FA0CFF">
            <w:pPr>
              <w:jc w:val="both"/>
            </w:pPr>
          </w:p>
        </w:tc>
        <w:tc>
          <w:tcPr>
            <w:tcW w:w="1620" w:type="dxa"/>
          </w:tcPr>
          <w:p w14:paraId="57A444B5" w14:textId="4B712DF4" w:rsidR="00C4419F" w:rsidRPr="004E6A4A" w:rsidRDefault="005A2F1D"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lastRenderedPageBreak/>
              <w:t>F</w:t>
            </w:r>
          </w:p>
        </w:tc>
        <w:tc>
          <w:tcPr>
            <w:tcW w:w="2970" w:type="dxa"/>
          </w:tcPr>
          <w:p w14:paraId="0E7119D4"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Përputhet.</w:t>
            </w:r>
          </w:p>
          <w:p w14:paraId="23F882B4"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Transpozohet nga neni 15, pikat 1, 3 dhe 4, të projektligjit.</w:t>
            </w:r>
          </w:p>
        </w:tc>
      </w:tr>
      <w:tr w:rsidR="004E6A4A" w:rsidRPr="004E6A4A" w14:paraId="5A3FD392" w14:textId="77777777" w:rsidTr="00153084">
        <w:trPr>
          <w:trHeight w:val="764"/>
        </w:trPr>
        <w:tc>
          <w:tcPr>
            <w:tcW w:w="630" w:type="dxa"/>
          </w:tcPr>
          <w:p w14:paraId="2660D260" w14:textId="77777777" w:rsidR="00C4419F" w:rsidRPr="004E6A4A" w:rsidRDefault="00C4419F" w:rsidP="00C4419F">
            <w:pPr>
              <w:jc w:val="center"/>
              <w:rPr>
                <w:rFonts w:ascii="Times New Roman" w:eastAsia="Calibri" w:hAnsi="Times New Roman" w:cs="Times New Roman"/>
                <w:i/>
                <w:sz w:val="18"/>
                <w:szCs w:val="18"/>
              </w:rPr>
            </w:pPr>
          </w:p>
        </w:tc>
        <w:tc>
          <w:tcPr>
            <w:tcW w:w="4230" w:type="dxa"/>
          </w:tcPr>
          <w:p w14:paraId="0FBAFF12"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(3) procedura administrative për të verifikuar respektimin nga Institucionet Financiare Raportuese të procedurave të raportimit dhe të vigjilencës së duhur; procedura administrative për ndjekjen e mëtejshme me një Institucion Financiar Raportues kur raportohen llogari të padokumentuara;</w:t>
            </w:r>
          </w:p>
        </w:tc>
        <w:tc>
          <w:tcPr>
            <w:tcW w:w="1350" w:type="dxa"/>
          </w:tcPr>
          <w:p w14:paraId="49BC0F63" w14:textId="77777777" w:rsidR="00C4419F" w:rsidRPr="004E6A4A" w:rsidRDefault="00C4419F" w:rsidP="00C4419F">
            <w:pPr>
              <w:jc w:val="center"/>
              <w:rPr>
                <w:rFonts w:ascii="Times New Roman" w:eastAsia="Calibri" w:hAnsi="Times New Roman" w:cs="Times New Roman"/>
                <w:sz w:val="18"/>
                <w:szCs w:val="18"/>
              </w:rPr>
            </w:pPr>
          </w:p>
        </w:tc>
        <w:tc>
          <w:tcPr>
            <w:tcW w:w="810" w:type="dxa"/>
          </w:tcPr>
          <w:p w14:paraId="4EA7165D" w14:textId="77777777" w:rsidR="00C4419F" w:rsidRPr="004E6A4A" w:rsidRDefault="00C4419F" w:rsidP="00C4419F">
            <w:pPr>
              <w:jc w:val="center"/>
              <w:rPr>
                <w:rFonts w:ascii="Times New Roman" w:eastAsia="Times New Roman" w:hAnsi="Times New Roman" w:cs="Times New Roman"/>
                <w:sz w:val="20"/>
                <w:szCs w:val="21"/>
                <w:lang w:eastAsia="sq-AL"/>
              </w:rPr>
            </w:pPr>
          </w:p>
        </w:tc>
        <w:tc>
          <w:tcPr>
            <w:tcW w:w="4590" w:type="dxa"/>
          </w:tcPr>
          <w:p w14:paraId="13D81A8D" w14:textId="77777777" w:rsidR="00FA0CFF" w:rsidRPr="004E6A4A" w:rsidRDefault="00144445">
            <w:pPr>
              <w:jc w:val="center"/>
            </w:pPr>
            <w:r w:rsidRPr="004E6A4A">
              <w:rPr>
                <w:rFonts w:ascii="Times New Roman" w:eastAsia="Times New Roman" w:hAnsi="Times New Roman" w:cs="Times New Roman"/>
                <w:b/>
                <w:sz w:val="20"/>
              </w:rPr>
              <w:t>Ligji: Neni 14</w:t>
            </w:r>
          </w:p>
          <w:p w14:paraId="647F51DC" w14:textId="77777777" w:rsidR="00FA0CFF" w:rsidRPr="004E6A4A" w:rsidRDefault="00144445">
            <w:pPr>
              <w:jc w:val="center"/>
            </w:pPr>
            <w:r w:rsidRPr="004E6A4A">
              <w:rPr>
                <w:rFonts w:ascii="Times New Roman" w:eastAsia="Times New Roman" w:hAnsi="Times New Roman" w:cs="Times New Roman"/>
                <w:b/>
                <w:sz w:val="20"/>
              </w:rPr>
              <w:t>Detyrat dhe kompetencat e Autoritetit Kompetent</w:t>
            </w:r>
          </w:p>
          <w:p w14:paraId="03745F6F" w14:textId="77777777" w:rsidR="00FA0CFF" w:rsidRPr="004E6A4A" w:rsidRDefault="00144445">
            <w:pPr>
              <w:jc w:val="both"/>
            </w:pPr>
            <w:r w:rsidRPr="004E6A4A">
              <w:rPr>
                <w:rFonts w:ascii="Times New Roman" w:eastAsia="Times New Roman" w:hAnsi="Times New Roman" w:cs="Times New Roman"/>
                <w:sz w:val="20"/>
              </w:rPr>
              <w:t>1. Autoriteti Kompetent, nëpërmjet strukturave të tij të varësisë, mund të kërkojë informacion nga çdo institucion financiar raportues në Republikën e Shqipërisë. Me lajmërim paraprak, ai mund të hyjë në ambientet ku ushtrohet veprimtaria ekonomike e tij, me qëllim verifikimin e përmbushjes së detyrimeve të përcaktuara në këtë ligj.</w:t>
            </w:r>
          </w:p>
          <w:p w14:paraId="227DD821" w14:textId="77777777" w:rsidR="00FA0CFF" w:rsidRPr="004E6A4A" w:rsidRDefault="00144445">
            <w:pPr>
              <w:jc w:val="both"/>
            </w:pPr>
            <w:r w:rsidRPr="004E6A4A">
              <w:rPr>
                <w:rFonts w:ascii="Times New Roman" w:eastAsia="Times New Roman" w:hAnsi="Times New Roman" w:cs="Times New Roman"/>
                <w:sz w:val="20"/>
              </w:rPr>
              <w:t>2. Brenda 15 ditëve pune nga paraqitja e kërkesës me shkrim të Autoritetit Kompetent, institucioni financiar raportues i vë në dispozicion regjistrimet ose të dhënat e mbajtura sipas nenit 15 të këtij ligji, si dhe çdo dokument tjetër që kërkohet për të kryer verifikimin e përmbushjes së detyrimeve të përcaktuara në këtë ligj.</w:t>
            </w:r>
          </w:p>
          <w:p w14:paraId="50D9234F" w14:textId="77777777" w:rsidR="00FA0CFF" w:rsidRPr="004E6A4A" w:rsidRDefault="00144445">
            <w:pPr>
              <w:jc w:val="both"/>
            </w:pPr>
            <w:r w:rsidRPr="004E6A4A">
              <w:rPr>
                <w:rFonts w:ascii="Times New Roman" w:eastAsia="Times New Roman" w:hAnsi="Times New Roman" w:cs="Times New Roman"/>
                <w:sz w:val="20"/>
              </w:rPr>
              <w:t>3. Me kërkesë të Autoritetit Kompetent, një institucion financiar raportues në Republikën e Shqipërisë duhet të japë shpjegime shtesë. Informacioni shtesë, veç detyrimeve të tjera, përmban:</w:t>
            </w:r>
          </w:p>
          <w:p w14:paraId="352C65D1" w14:textId="77777777" w:rsidR="00FA0CFF" w:rsidRPr="004E6A4A" w:rsidRDefault="00144445">
            <w:pPr>
              <w:jc w:val="both"/>
            </w:pPr>
            <w:r w:rsidRPr="004E6A4A">
              <w:rPr>
                <w:rFonts w:ascii="Times New Roman" w:eastAsia="Times New Roman" w:hAnsi="Times New Roman" w:cs="Times New Roman"/>
                <w:sz w:val="20"/>
              </w:rPr>
              <w:t>a) plotësimin, nënshkrimin dhe kthimin e pyetësorëve ose kërkesave të tjera me shkrim për informacion nga Autoriteti Kompetent brenda 15 ditëve pune nga data e marrjes së kërkesës;</w:t>
            </w:r>
          </w:p>
          <w:p w14:paraId="034ACDC8" w14:textId="77777777" w:rsidR="00FA0CFF" w:rsidRPr="004E6A4A" w:rsidRDefault="00144445">
            <w:pPr>
              <w:jc w:val="both"/>
            </w:pPr>
            <w:r w:rsidRPr="004E6A4A">
              <w:rPr>
                <w:rFonts w:ascii="Times New Roman" w:eastAsia="Times New Roman" w:hAnsi="Times New Roman" w:cs="Times New Roman"/>
                <w:sz w:val="20"/>
              </w:rPr>
              <w:lastRenderedPageBreak/>
              <w:t>b) takimin me punonjësit e Autoritetit Kompetent gjatë orarit të punës, dhënien e përgjigjeve për pyetjet e adresuara, si dhe të informacionit lidhur me zbatimin e këtij ligji.</w:t>
            </w:r>
          </w:p>
          <w:p w14:paraId="67C536BD" w14:textId="77777777" w:rsidR="00FA0CFF" w:rsidRPr="004E6A4A" w:rsidRDefault="00144445">
            <w:pPr>
              <w:jc w:val="both"/>
            </w:pPr>
            <w:r w:rsidRPr="004E6A4A">
              <w:rPr>
                <w:rFonts w:ascii="Times New Roman" w:eastAsia="Times New Roman" w:hAnsi="Times New Roman" w:cs="Times New Roman"/>
                <w:sz w:val="20"/>
              </w:rPr>
              <w:t>4. Kur Autoriteti Kompetent ka arsye të besojë se një gabim ka çuar në informacion të pasaktë ose të paplotë, ose se raportimi apo procedurat e vigjilencës së duhur nuk janë në përputhje me kërkesat e zbatueshme, ai njofton institucionin financiar raportues dhe i kërkon korrigjimin, plotësimin ose ridorëzimin e informacionit brenda një afati të përcaktuar.</w:t>
            </w:r>
          </w:p>
          <w:p w14:paraId="13D1DCA3" w14:textId="77777777" w:rsidR="00FA0CFF" w:rsidRPr="004E6A4A" w:rsidRDefault="00144445">
            <w:pPr>
              <w:jc w:val="both"/>
            </w:pPr>
            <w:r w:rsidRPr="004E6A4A">
              <w:rPr>
                <w:rFonts w:ascii="Times New Roman" w:eastAsia="Times New Roman" w:hAnsi="Times New Roman" w:cs="Times New Roman"/>
                <w:sz w:val="20"/>
              </w:rPr>
              <w:t>5. Autoriteti Kompetent ndjek rastet kur një institucion financiar raportues raporton llogari të padokumentuara dhe i kërkon institucionit të marrë masat korrigjuese të nevojshme për plotësimin e dokumentacionit ose rishikimin e statusit të llogarisë.</w:t>
            </w:r>
          </w:p>
          <w:p w14:paraId="750A19E0" w14:textId="77777777" w:rsidR="00FA0CFF" w:rsidRPr="004E6A4A" w:rsidRDefault="00FA0CFF"/>
          <w:p w14:paraId="1F8F9D37" w14:textId="77777777" w:rsidR="00FA0CFF" w:rsidRPr="004E6A4A" w:rsidRDefault="00144445">
            <w:pPr>
              <w:jc w:val="center"/>
            </w:pPr>
            <w:r w:rsidRPr="004E6A4A">
              <w:rPr>
                <w:rFonts w:ascii="Times New Roman" w:eastAsia="Times New Roman" w:hAnsi="Times New Roman" w:cs="Times New Roman"/>
                <w:b/>
                <w:sz w:val="20"/>
              </w:rPr>
              <w:t>VKM: Neni 13</w:t>
            </w:r>
          </w:p>
          <w:p w14:paraId="638EFDC0" w14:textId="77777777" w:rsidR="00FA0CFF" w:rsidRPr="004E6A4A" w:rsidRDefault="00144445">
            <w:pPr>
              <w:jc w:val="center"/>
            </w:pPr>
            <w:r w:rsidRPr="004E6A4A">
              <w:rPr>
                <w:rFonts w:ascii="Times New Roman" w:eastAsia="Times New Roman" w:hAnsi="Times New Roman" w:cs="Times New Roman"/>
                <w:b/>
                <w:sz w:val="20"/>
              </w:rPr>
              <w:t>Zbatimi efektiv dhe kontrolli i përputhshmërisë</w:t>
            </w:r>
          </w:p>
          <w:p w14:paraId="7FA9A67B" w14:textId="77777777" w:rsidR="00FA0CFF" w:rsidRPr="004E6A4A" w:rsidRDefault="00144445">
            <w:pPr>
              <w:jc w:val="both"/>
            </w:pPr>
            <w:r w:rsidRPr="004E6A4A">
              <w:rPr>
                <w:rFonts w:ascii="Times New Roman" w:eastAsia="Times New Roman" w:hAnsi="Times New Roman" w:cs="Times New Roman"/>
                <w:sz w:val="20"/>
              </w:rPr>
              <w:t>3. DPT-ja kryen kontrolle dhe procedura administrative për verifikimin e përmbushjes së detyrimeve të raportimit dhe të vigjilencës së duhur dhe mund të kërkojë dokumentacionin, evidencat dhe të dhënat e nevojshme.</w:t>
            </w:r>
          </w:p>
          <w:p w14:paraId="2A64C6EE" w14:textId="77777777" w:rsidR="00FA0CFF" w:rsidRPr="004E6A4A" w:rsidRDefault="00144445">
            <w:pPr>
              <w:jc w:val="both"/>
            </w:pPr>
            <w:r w:rsidRPr="004E6A4A">
              <w:rPr>
                <w:rFonts w:ascii="Times New Roman" w:eastAsia="Times New Roman" w:hAnsi="Times New Roman" w:cs="Times New Roman"/>
                <w:sz w:val="20"/>
              </w:rPr>
              <w:t>4. Kur raportohet një Llogari e Padokumentuar ose evidentohen mangësi në informacionin e raportuar, DPT-ja kryen ndjekjen administrative me institucionin financiar raportues dhe kërkon, sipas rastit, marrjen e masave korrigjuese, plotësimin, korrigjimin ose ridorëzimin e informacionit.</w:t>
            </w:r>
          </w:p>
          <w:p w14:paraId="773050E1" w14:textId="77777777" w:rsidR="00FA0CFF" w:rsidRPr="004E6A4A" w:rsidRDefault="00144445">
            <w:pPr>
              <w:jc w:val="both"/>
            </w:pPr>
            <w:r w:rsidRPr="004E6A4A">
              <w:rPr>
                <w:rFonts w:ascii="Times New Roman" w:eastAsia="Times New Roman" w:hAnsi="Times New Roman" w:cs="Times New Roman"/>
                <w:sz w:val="20"/>
              </w:rPr>
              <w:t>8. DPT-ja mund të publikojë udhëzime teknike për dorëzimin, validimin, korrigjimin, zëvendësimin dhe menaxhimin e mesazheve, pa krijuar ose ndryshuar detyrime materiale të përcaktuara në ligj ose në këtë vendim.</w:t>
            </w:r>
          </w:p>
        </w:tc>
        <w:tc>
          <w:tcPr>
            <w:tcW w:w="1620" w:type="dxa"/>
          </w:tcPr>
          <w:p w14:paraId="7497E94F" w14:textId="77777777" w:rsidR="00A51FF1" w:rsidRPr="004E6A4A" w:rsidRDefault="00A51FF1" w:rsidP="00C4419F">
            <w:pPr>
              <w:jc w:val="center"/>
              <w:rPr>
                <w:rFonts w:ascii="Times New Roman" w:eastAsia="Calibri" w:hAnsi="Times New Roman" w:cs="Times New Roman"/>
                <w:sz w:val="18"/>
                <w:szCs w:val="18"/>
              </w:rPr>
            </w:pPr>
          </w:p>
          <w:p w14:paraId="77CA4CC3" w14:textId="6E5CAE4E" w:rsidR="00C4419F" w:rsidRPr="004E6A4A" w:rsidRDefault="00A51FF1"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139BBF54"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Përputhet.</w:t>
            </w:r>
          </w:p>
          <w:p w14:paraId="5907A918"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Transpozohet nga neni 14, pikat 1, 2, 3, 4 dhe 5, të projektligjit dhe nga neni 13, pikat 3, 4 dhe 8, të VKM-së.</w:t>
            </w:r>
          </w:p>
        </w:tc>
      </w:tr>
      <w:tr w:rsidR="004E6A4A" w:rsidRPr="004E6A4A" w14:paraId="09B28FA5" w14:textId="77777777" w:rsidTr="00153084">
        <w:trPr>
          <w:trHeight w:val="764"/>
        </w:trPr>
        <w:tc>
          <w:tcPr>
            <w:tcW w:w="630" w:type="dxa"/>
          </w:tcPr>
          <w:p w14:paraId="5DA45D02" w14:textId="77777777" w:rsidR="00C4419F" w:rsidRPr="004E6A4A" w:rsidRDefault="00C4419F" w:rsidP="00C4419F">
            <w:pPr>
              <w:jc w:val="center"/>
              <w:rPr>
                <w:rFonts w:ascii="Times New Roman" w:eastAsia="Calibri" w:hAnsi="Times New Roman" w:cs="Times New Roman"/>
                <w:i/>
                <w:sz w:val="18"/>
                <w:szCs w:val="18"/>
              </w:rPr>
            </w:pPr>
          </w:p>
        </w:tc>
        <w:tc>
          <w:tcPr>
            <w:tcW w:w="4230" w:type="dxa"/>
          </w:tcPr>
          <w:p w14:paraId="15EEE4AC"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(4) procedura administrative për të siguruar që Njësitë Ekonomike dhe llogaritë e përcaktuara në legjislacionin e brendshëm si Institucione Financiare Joraportuese dhe Llogari të Përjashtuara vazhdojnë të kenë rrezik të ulët për t’u përdorur për shmangien e tatimeve; dhe</w:t>
            </w:r>
          </w:p>
        </w:tc>
        <w:tc>
          <w:tcPr>
            <w:tcW w:w="1350" w:type="dxa"/>
          </w:tcPr>
          <w:p w14:paraId="2426A0A5" w14:textId="77777777" w:rsidR="00C4419F" w:rsidRPr="004E6A4A" w:rsidRDefault="00C4419F" w:rsidP="00C4419F">
            <w:pPr>
              <w:jc w:val="center"/>
              <w:rPr>
                <w:rFonts w:ascii="Times New Roman" w:eastAsia="Calibri" w:hAnsi="Times New Roman" w:cs="Times New Roman"/>
                <w:sz w:val="18"/>
                <w:szCs w:val="18"/>
              </w:rPr>
            </w:pPr>
          </w:p>
        </w:tc>
        <w:tc>
          <w:tcPr>
            <w:tcW w:w="810" w:type="dxa"/>
          </w:tcPr>
          <w:p w14:paraId="78ED8FD0" w14:textId="77777777" w:rsidR="00C4419F" w:rsidRPr="004E6A4A" w:rsidRDefault="00C4419F" w:rsidP="00C4419F">
            <w:pPr>
              <w:jc w:val="center"/>
              <w:rPr>
                <w:rFonts w:ascii="Times New Roman" w:eastAsia="Times New Roman" w:hAnsi="Times New Roman" w:cs="Times New Roman"/>
                <w:sz w:val="20"/>
                <w:szCs w:val="21"/>
                <w:lang w:eastAsia="sq-AL"/>
              </w:rPr>
            </w:pPr>
          </w:p>
        </w:tc>
        <w:tc>
          <w:tcPr>
            <w:tcW w:w="4590" w:type="dxa"/>
          </w:tcPr>
          <w:p w14:paraId="08C763FE" w14:textId="77777777" w:rsidR="00FA0CFF" w:rsidRPr="004E6A4A" w:rsidRDefault="00144445">
            <w:pPr>
              <w:jc w:val="center"/>
            </w:pPr>
            <w:r w:rsidRPr="004E6A4A">
              <w:rPr>
                <w:rFonts w:ascii="Times New Roman" w:eastAsia="Times New Roman" w:hAnsi="Times New Roman" w:cs="Times New Roman"/>
                <w:b/>
                <w:sz w:val="20"/>
              </w:rPr>
              <w:t>Ligji: Neni 14</w:t>
            </w:r>
          </w:p>
          <w:p w14:paraId="6453C204" w14:textId="77777777" w:rsidR="00FA0CFF" w:rsidRPr="004E6A4A" w:rsidRDefault="00144445">
            <w:pPr>
              <w:jc w:val="center"/>
            </w:pPr>
            <w:r w:rsidRPr="004E6A4A">
              <w:rPr>
                <w:rFonts w:ascii="Times New Roman" w:eastAsia="Times New Roman" w:hAnsi="Times New Roman" w:cs="Times New Roman"/>
                <w:b/>
                <w:sz w:val="20"/>
              </w:rPr>
              <w:t>Detyrat dhe kompetencat e Autoritetit Kompetent</w:t>
            </w:r>
          </w:p>
          <w:p w14:paraId="7C46FCE0" w14:textId="77777777" w:rsidR="00FA0CFF" w:rsidRPr="004E6A4A" w:rsidRDefault="00144445">
            <w:pPr>
              <w:jc w:val="both"/>
            </w:pPr>
            <w:r w:rsidRPr="004E6A4A">
              <w:rPr>
                <w:rFonts w:ascii="Times New Roman" w:eastAsia="Times New Roman" w:hAnsi="Times New Roman" w:cs="Times New Roman"/>
                <w:sz w:val="20"/>
              </w:rPr>
              <w:t>6. Autoriteti Kompetent verifikon periodikisht që entitetet dhe llogaritë e përcaktuara si institucione financiare joraportuese ose llogari të përjashtuara vazhdojnë të paraqesin rrezik të ulët për t’u përdorur për evazion tatimor. Kur kushtet nuk plotësohen më, Autoriteti Kompetent merr masat për ndryshimin e klasifikimit ose të listës përkatëse.</w:t>
            </w:r>
          </w:p>
          <w:p w14:paraId="4A600D05" w14:textId="77777777" w:rsidR="00FA0CFF" w:rsidRPr="004E6A4A" w:rsidRDefault="00FA0CFF"/>
          <w:p w14:paraId="61E0452B" w14:textId="77777777" w:rsidR="00FA0CFF" w:rsidRPr="004E6A4A" w:rsidRDefault="00144445">
            <w:pPr>
              <w:jc w:val="center"/>
            </w:pPr>
            <w:r w:rsidRPr="004E6A4A">
              <w:rPr>
                <w:rFonts w:ascii="Times New Roman" w:eastAsia="Times New Roman" w:hAnsi="Times New Roman" w:cs="Times New Roman"/>
                <w:b/>
                <w:sz w:val="20"/>
              </w:rPr>
              <w:t>VKM: Neni 13</w:t>
            </w:r>
          </w:p>
          <w:p w14:paraId="73CA5FFB" w14:textId="77777777" w:rsidR="00FA0CFF" w:rsidRPr="004E6A4A" w:rsidRDefault="00144445">
            <w:pPr>
              <w:jc w:val="center"/>
            </w:pPr>
            <w:r w:rsidRPr="004E6A4A">
              <w:rPr>
                <w:rFonts w:ascii="Times New Roman" w:eastAsia="Times New Roman" w:hAnsi="Times New Roman" w:cs="Times New Roman"/>
                <w:b/>
                <w:sz w:val="20"/>
              </w:rPr>
              <w:t>Zbatimi efektiv dhe kontrolli i përputhshmërisë</w:t>
            </w:r>
          </w:p>
          <w:p w14:paraId="35D10676" w14:textId="77777777" w:rsidR="00FA0CFF" w:rsidRPr="004E6A4A" w:rsidRDefault="00144445">
            <w:pPr>
              <w:jc w:val="both"/>
            </w:pPr>
            <w:r w:rsidRPr="004E6A4A">
              <w:rPr>
                <w:rFonts w:ascii="Times New Roman" w:eastAsia="Times New Roman" w:hAnsi="Times New Roman" w:cs="Times New Roman"/>
                <w:sz w:val="20"/>
              </w:rPr>
              <w:t>5. DPT-ja rishikon periodikisht nëse njësitë ekonomike dhe llogaritë që trajtohen si Institucione Financiare Joraportuese ose Llogari të Përjashtuara vazhdojnë të paraqesin rrezik të ulët për t’u përdorur për evazion tatimor dhe nëse statusi i tyre nuk cenon qëllimet e profilit përkatës.</w:t>
            </w:r>
          </w:p>
          <w:p w14:paraId="2EF1B476" w14:textId="77777777" w:rsidR="00FA0CFF" w:rsidRPr="004E6A4A" w:rsidRDefault="00144445">
            <w:pPr>
              <w:jc w:val="both"/>
            </w:pPr>
            <w:r w:rsidRPr="004E6A4A">
              <w:rPr>
                <w:rFonts w:ascii="Times New Roman" w:eastAsia="Times New Roman" w:hAnsi="Times New Roman" w:cs="Times New Roman"/>
                <w:sz w:val="20"/>
              </w:rPr>
              <w:t>6. Kur kushtet e pikës 5 nuk plotësohen më, DPT-ja propozon ose merr, sipas kompetencës, masat e nevojshme për ndryshimin e klasifikimit ose të listës përkatëse.</w:t>
            </w:r>
          </w:p>
        </w:tc>
        <w:tc>
          <w:tcPr>
            <w:tcW w:w="1620" w:type="dxa"/>
          </w:tcPr>
          <w:p w14:paraId="0C62D18A" w14:textId="101A3A25" w:rsidR="00C4419F" w:rsidRPr="004E6A4A" w:rsidRDefault="00A51FF1"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09A4D34F"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Përputhet.</w:t>
            </w:r>
          </w:p>
          <w:p w14:paraId="134B3945"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Transpozohet nga neni 14, pika 6, i projektligjit dhe nga neni 13, pikat 5 dhe 6, të VKM-së.</w:t>
            </w:r>
          </w:p>
        </w:tc>
      </w:tr>
      <w:tr w:rsidR="004E6A4A" w:rsidRPr="004E6A4A" w14:paraId="1BFBE5CE" w14:textId="77777777" w:rsidTr="00153084">
        <w:trPr>
          <w:trHeight w:val="764"/>
        </w:trPr>
        <w:tc>
          <w:tcPr>
            <w:tcW w:w="630" w:type="dxa"/>
          </w:tcPr>
          <w:p w14:paraId="223D727A" w14:textId="77777777" w:rsidR="00C4419F" w:rsidRPr="004E6A4A" w:rsidRDefault="00C4419F" w:rsidP="00C4419F">
            <w:pPr>
              <w:jc w:val="center"/>
              <w:rPr>
                <w:rFonts w:ascii="Times New Roman" w:eastAsia="Calibri" w:hAnsi="Times New Roman" w:cs="Times New Roman"/>
                <w:i/>
                <w:sz w:val="18"/>
                <w:szCs w:val="18"/>
              </w:rPr>
            </w:pPr>
          </w:p>
        </w:tc>
        <w:tc>
          <w:tcPr>
            <w:tcW w:w="4230" w:type="dxa"/>
          </w:tcPr>
          <w:p w14:paraId="47E0CF0D"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(5) dispozita efektive zbatuese për trajtimin e mospërmbushjes së detyrimeve.</w:t>
            </w:r>
          </w:p>
        </w:tc>
        <w:tc>
          <w:tcPr>
            <w:tcW w:w="1350" w:type="dxa"/>
          </w:tcPr>
          <w:p w14:paraId="5F52EF89" w14:textId="77777777" w:rsidR="00C4419F" w:rsidRPr="004E6A4A" w:rsidRDefault="00C4419F" w:rsidP="00C4419F">
            <w:pPr>
              <w:jc w:val="center"/>
              <w:rPr>
                <w:rFonts w:ascii="Times New Roman" w:eastAsia="Calibri" w:hAnsi="Times New Roman" w:cs="Times New Roman"/>
                <w:sz w:val="18"/>
                <w:szCs w:val="18"/>
              </w:rPr>
            </w:pPr>
          </w:p>
        </w:tc>
        <w:tc>
          <w:tcPr>
            <w:tcW w:w="810" w:type="dxa"/>
          </w:tcPr>
          <w:p w14:paraId="0BBC368F" w14:textId="77777777" w:rsidR="00C4419F" w:rsidRPr="004E6A4A" w:rsidRDefault="00C4419F" w:rsidP="00C4419F">
            <w:pPr>
              <w:jc w:val="center"/>
              <w:rPr>
                <w:rFonts w:ascii="Times New Roman" w:eastAsia="Times New Roman" w:hAnsi="Times New Roman" w:cs="Times New Roman"/>
                <w:sz w:val="20"/>
                <w:szCs w:val="21"/>
                <w:lang w:eastAsia="sq-AL"/>
              </w:rPr>
            </w:pPr>
          </w:p>
        </w:tc>
        <w:tc>
          <w:tcPr>
            <w:tcW w:w="4590" w:type="dxa"/>
          </w:tcPr>
          <w:p w14:paraId="16740E66" w14:textId="77777777" w:rsidR="00FA0CFF" w:rsidRPr="004E6A4A" w:rsidRDefault="00144445">
            <w:pPr>
              <w:jc w:val="center"/>
            </w:pPr>
            <w:r w:rsidRPr="004E6A4A">
              <w:rPr>
                <w:rFonts w:ascii="Times New Roman" w:eastAsia="Times New Roman" w:hAnsi="Times New Roman" w:cs="Times New Roman"/>
                <w:b/>
                <w:sz w:val="20"/>
              </w:rPr>
              <w:t>Ligji: Neni 17</w:t>
            </w:r>
          </w:p>
          <w:p w14:paraId="7D592F60" w14:textId="77777777" w:rsidR="00FA0CFF" w:rsidRPr="004E6A4A" w:rsidRDefault="00144445">
            <w:pPr>
              <w:jc w:val="center"/>
            </w:pPr>
            <w:r w:rsidRPr="004E6A4A">
              <w:rPr>
                <w:rFonts w:ascii="Times New Roman" w:eastAsia="Times New Roman" w:hAnsi="Times New Roman" w:cs="Times New Roman"/>
                <w:b/>
                <w:sz w:val="20"/>
              </w:rPr>
              <w:t>Kundërvajtjet administrative dhe sanksionet</w:t>
            </w:r>
          </w:p>
          <w:p w14:paraId="617B6B49" w14:textId="77777777" w:rsidR="00FA0CFF" w:rsidRPr="004E6A4A" w:rsidRDefault="00144445">
            <w:pPr>
              <w:jc w:val="both"/>
            </w:pPr>
            <w:r w:rsidRPr="004E6A4A">
              <w:rPr>
                <w:rFonts w:ascii="Times New Roman" w:eastAsia="Times New Roman" w:hAnsi="Times New Roman" w:cs="Times New Roman"/>
                <w:sz w:val="20"/>
              </w:rPr>
              <w:t>1. Mospërmbushja e detyrimeve të parashikuara në këtë ligj, për të cilat nuk është përcaktuar një masë administrative e posaçme, përbën kundërvajtje administrative dhe dënohet me gjobë nga 100 000 (njëqind mijë) deri në 1 000 000 (një milion) lekë.</w:t>
            </w:r>
          </w:p>
          <w:p w14:paraId="56CFC1A2" w14:textId="77777777" w:rsidR="00FA0CFF" w:rsidRPr="004E6A4A" w:rsidRDefault="00144445">
            <w:pPr>
              <w:jc w:val="both"/>
            </w:pPr>
            <w:r w:rsidRPr="004E6A4A">
              <w:rPr>
                <w:rFonts w:ascii="Times New Roman" w:eastAsia="Times New Roman" w:hAnsi="Times New Roman" w:cs="Times New Roman"/>
                <w:sz w:val="20"/>
              </w:rPr>
              <w:t>2. Përbëjnë në veçanti kundërvajtje administrative shkeljet e mëposhtme, kur kryhen nga institucioni financiar raportues ose nga personi tjetër që ka detyrimin përkatës sipas këtij ligji, dhe dënohen me gjobë:</w:t>
            </w:r>
          </w:p>
          <w:p w14:paraId="7B445630" w14:textId="77777777" w:rsidR="00FA0CFF" w:rsidRPr="004E6A4A" w:rsidRDefault="00144445">
            <w:pPr>
              <w:jc w:val="both"/>
            </w:pPr>
            <w:r w:rsidRPr="004E6A4A">
              <w:rPr>
                <w:rFonts w:ascii="Times New Roman" w:eastAsia="Times New Roman" w:hAnsi="Times New Roman" w:cs="Times New Roman"/>
                <w:sz w:val="20"/>
              </w:rPr>
              <w:t xml:space="preserve">a) mosdorëzimi i informacionit të detyrueshëm për t’u raportuar brenda afatit të përcaktuar në këtë ligj, </w:t>
            </w:r>
            <w:r w:rsidRPr="004E6A4A">
              <w:rPr>
                <w:rFonts w:ascii="Times New Roman" w:eastAsia="Times New Roman" w:hAnsi="Times New Roman" w:cs="Times New Roman"/>
                <w:sz w:val="20"/>
              </w:rPr>
              <w:lastRenderedPageBreak/>
              <w:t>dënohet me gjobë nga 300 000 (treqind mijë) deri në 700 000 (shtatëqind mijë) lekë;</w:t>
            </w:r>
          </w:p>
          <w:p w14:paraId="07AB76B0" w14:textId="77777777" w:rsidR="00FA0CFF" w:rsidRPr="004E6A4A" w:rsidRDefault="00144445">
            <w:pPr>
              <w:jc w:val="both"/>
            </w:pPr>
            <w:r w:rsidRPr="004E6A4A">
              <w:rPr>
                <w:rFonts w:ascii="Times New Roman" w:eastAsia="Times New Roman" w:hAnsi="Times New Roman" w:cs="Times New Roman"/>
                <w:sz w:val="20"/>
              </w:rPr>
              <w:t>b) dorëzimi i informacionit të paplotë, të pasaktë ose të pavërtetë, si dhe moskorrigjimi ose mosplotësimi i tij brenda afatit të përcaktuar nga Autoriteti Kompetent, dënohet me gjobë nga 200 000 (dyqind mijë) deri në 600 000 (gjashtëqind mijë) lekë;</w:t>
            </w:r>
          </w:p>
          <w:p w14:paraId="57F4EC2B" w14:textId="77777777" w:rsidR="00FA0CFF" w:rsidRPr="004E6A4A" w:rsidRDefault="00144445">
            <w:pPr>
              <w:jc w:val="both"/>
            </w:pPr>
            <w:r w:rsidRPr="004E6A4A">
              <w:rPr>
                <w:rFonts w:ascii="Times New Roman" w:eastAsia="Times New Roman" w:hAnsi="Times New Roman" w:cs="Times New Roman"/>
                <w:sz w:val="20"/>
              </w:rPr>
              <w:t>c) mospërmbushja, në tërësi ose pjesërisht, e detyrimeve për zbatimin e procedurave të vigjilencës së duhur të përcaktuara në këtë ligj, përfshirë mosmarrjen e masave të arsyeshme për identifikimin dhe dokumentimin e llogarive të raportueshme, dënohet me gjobë nga 150 000 (njëqind e pesëdhjetë mijë) deri në 750 000 (shtatëqind e pesëdhjetë mijë) lekë;</w:t>
            </w:r>
          </w:p>
          <w:p w14:paraId="6A150A3B" w14:textId="77777777" w:rsidR="00FA0CFF" w:rsidRPr="004E6A4A" w:rsidRDefault="00144445">
            <w:pPr>
              <w:jc w:val="both"/>
            </w:pPr>
            <w:r w:rsidRPr="004E6A4A">
              <w:rPr>
                <w:rFonts w:ascii="Times New Roman" w:eastAsia="Times New Roman" w:hAnsi="Times New Roman" w:cs="Times New Roman"/>
                <w:sz w:val="20"/>
              </w:rPr>
              <w:t>ç) mospërmbushja e detyrimit për mbajtjen dhe ruajtjen e regjistrimeve, dokumentacionit dhe provave të kërkuara sipas këtij ligji, dënohet me gjobë nga 50 000 (pesëdhjetë mijë) deri në 300 000 (treqind mijë) lekë;</w:t>
            </w:r>
          </w:p>
          <w:p w14:paraId="443666C1" w14:textId="77777777" w:rsidR="00FA0CFF" w:rsidRPr="004E6A4A" w:rsidRDefault="00144445">
            <w:pPr>
              <w:jc w:val="both"/>
            </w:pPr>
            <w:r w:rsidRPr="004E6A4A">
              <w:rPr>
                <w:rFonts w:ascii="Times New Roman" w:eastAsia="Times New Roman" w:hAnsi="Times New Roman" w:cs="Times New Roman"/>
                <w:sz w:val="20"/>
              </w:rPr>
              <w:t>d) mosdhënia nga mbajtësi i llogarisë, personi kontrollues ose personi tjetër përgjegjës e informacionit ose dokumentacionit të kërkuar sipas këtij ligji, dënohet me gjobë nga 300 000 (treqind mijë) deri në 700 000 (shtatëqind mijë) lekë;</w:t>
            </w:r>
          </w:p>
          <w:p w14:paraId="7610D479" w14:textId="77777777" w:rsidR="00FA0CFF" w:rsidRPr="004E6A4A" w:rsidRDefault="00144445">
            <w:pPr>
              <w:jc w:val="both"/>
            </w:pPr>
            <w:r w:rsidRPr="004E6A4A">
              <w:rPr>
                <w:rFonts w:ascii="Times New Roman" w:eastAsia="Times New Roman" w:hAnsi="Times New Roman" w:cs="Times New Roman"/>
                <w:sz w:val="20"/>
              </w:rPr>
              <w:t>dh) nënshkrimi, paraqitja ose konfirmimi i një vetëdeklarimi të rremë nga mbajtësi i llogarisë, personi kontrollues ose personi tjetër përgjegjës, në kundërshtim me kërkesat e këtij ligji, dënohet me gjobë nga 500 000 (pesëqind mijë) deri në 1 000 000 (një milion) lekë;</w:t>
            </w:r>
          </w:p>
          <w:p w14:paraId="7EB42867" w14:textId="77777777" w:rsidR="00FA0CFF" w:rsidRPr="004E6A4A" w:rsidRDefault="00144445">
            <w:pPr>
              <w:jc w:val="both"/>
            </w:pPr>
            <w:r w:rsidRPr="004E6A4A">
              <w:rPr>
                <w:rFonts w:ascii="Times New Roman" w:eastAsia="Times New Roman" w:hAnsi="Times New Roman" w:cs="Times New Roman"/>
                <w:sz w:val="20"/>
              </w:rPr>
              <w:t>e) pengimi, refuzimi ose mosbashkëpunimi, në mënyrë të drejtpërdrejtë ose të tërthortë, gjatë procedurave të verifikimit dhe kontrollit të kryera nga Autoriteti Kompetent, përfshirë mosvënien në dispozicion të regjistrimeve, dokumenteve, provave ose informacionit të kërkuar, dënohet me gjobë nga 500 000 (pesëqind mijë) deri në 1 000 000 (një milion) lekë.</w:t>
            </w:r>
          </w:p>
          <w:p w14:paraId="607F00C3" w14:textId="77777777" w:rsidR="00FA0CFF" w:rsidRPr="004E6A4A" w:rsidRDefault="00144445">
            <w:pPr>
              <w:jc w:val="both"/>
            </w:pPr>
            <w:r w:rsidRPr="004E6A4A">
              <w:rPr>
                <w:rFonts w:ascii="Times New Roman" w:eastAsia="Times New Roman" w:hAnsi="Times New Roman" w:cs="Times New Roman"/>
                <w:sz w:val="20"/>
              </w:rPr>
              <w:lastRenderedPageBreak/>
              <w:t>3. Gjobat sipas pikës 2 të këtij neni përcaktohen duke marrë parasysh natyrën, rëndësinë, kohëzgjatjen dhe përsëritjen e shkeljes, shkallën e përgjegjësisë dhe çdo rrethanë tjetër përkatëse, në përputhje me parimin e proporcionalitetit.</w:t>
            </w:r>
          </w:p>
          <w:p w14:paraId="034D10BC" w14:textId="77777777" w:rsidR="00FA0CFF" w:rsidRPr="004E6A4A" w:rsidRDefault="00144445">
            <w:pPr>
              <w:jc w:val="both"/>
            </w:pPr>
            <w:r w:rsidRPr="004E6A4A">
              <w:rPr>
                <w:rFonts w:ascii="Times New Roman" w:eastAsia="Times New Roman" w:hAnsi="Times New Roman" w:cs="Times New Roman"/>
                <w:sz w:val="20"/>
              </w:rPr>
              <w:t>4. Për shkeljet e parashikuara në pikën 2 të këtij neni, kur i njëjti veprim ose mosveprim përbën më shumë se një kundërvajtje administrative sipas këtij ligji, zbatohet vetëm sanksioni që parashikon masën më të lartë për të njëjtën shkelje.</w:t>
            </w:r>
          </w:p>
          <w:p w14:paraId="3E87B23F" w14:textId="77777777" w:rsidR="00FA0CFF" w:rsidRPr="004E6A4A" w:rsidRDefault="00144445">
            <w:pPr>
              <w:jc w:val="both"/>
            </w:pPr>
            <w:r w:rsidRPr="004E6A4A">
              <w:rPr>
                <w:rFonts w:ascii="Times New Roman" w:eastAsia="Times New Roman" w:hAnsi="Times New Roman" w:cs="Times New Roman"/>
                <w:sz w:val="20"/>
              </w:rPr>
              <w:t>5. Gjoba vendoset nga titullari i Drejtorisë së Përgjithshme të Tatimeve, në përputhje me legjislacionin në fuqi për kundërvajtjet administrative.</w:t>
            </w:r>
          </w:p>
          <w:p w14:paraId="76CDEC55" w14:textId="77777777" w:rsidR="00FA0CFF" w:rsidRPr="004E6A4A" w:rsidRDefault="00144445">
            <w:pPr>
              <w:jc w:val="both"/>
            </w:pPr>
            <w:r w:rsidRPr="004E6A4A">
              <w:rPr>
                <w:rFonts w:ascii="Times New Roman" w:eastAsia="Times New Roman" w:hAnsi="Times New Roman" w:cs="Times New Roman"/>
                <w:sz w:val="20"/>
              </w:rPr>
              <w:t>6. Sanksionet e parashikuara në këtë nen duhet të jenë efektive, proporcionale dhe dekurajuese.</w:t>
            </w:r>
          </w:p>
          <w:p w14:paraId="54F07ABB" w14:textId="77777777" w:rsidR="00FA0CFF" w:rsidRPr="004E6A4A" w:rsidRDefault="00144445">
            <w:pPr>
              <w:jc w:val="both"/>
            </w:pPr>
            <w:r w:rsidRPr="004E6A4A">
              <w:rPr>
                <w:rFonts w:ascii="Times New Roman" w:eastAsia="Times New Roman" w:hAnsi="Times New Roman" w:cs="Times New Roman"/>
                <w:sz w:val="20"/>
              </w:rPr>
              <w:t>7. Kundër vendimit për vendosjen e gjobës mund të bëhet ankim në gjykatën administrative kompetente, në përputhje me legjislacionin në fuqi.</w:t>
            </w:r>
          </w:p>
          <w:p w14:paraId="28A12988" w14:textId="77777777" w:rsidR="00FA0CFF" w:rsidRPr="004E6A4A" w:rsidRDefault="00FA0CFF"/>
          <w:p w14:paraId="49C318D4" w14:textId="77777777" w:rsidR="00FA0CFF" w:rsidRPr="004E6A4A" w:rsidRDefault="00144445">
            <w:pPr>
              <w:jc w:val="center"/>
            </w:pPr>
            <w:r w:rsidRPr="004E6A4A">
              <w:rPr>
                <w:rFonts w:ascii="Times New Roman" w:eastAsia="Times New Roman" w:hAnsi="Times New Roman" w:cs="Times New Roman"/>
                <w:b/>
                <w:sz w:val="20"/>
              </w:rPr>
              <w:t>VKM: Neni 13</w:t>
            </w:r>
          </w:p>
          <w:p w14:paraId="5C9C4F5C" w14:textId="77777777" w:rsidR="00FA0CFF" w:rsidRPr="004E6A4A" w:rsidRDefault="00144445">
            <w:pPr>
              <w:jc w:val="center"/>
            </w:pPr>
            <w:r w:rsidRPr="004E6A4A">
              <w:rPr>
                <w:rFonts w:ascii="Times New Roman" w:eastAsia="Times New Roman" w:hAnsi="Times New Roman" w:cs="Times New Roman"/>
                <w:b/>
                <w:sz w:val="20"/>
              </w:rPr>
              <w:t>Zbatimi efektiv dhe kontrolli i përputhshmërisë</w:t>
            </w:r>
          </w:p>
          <w:p w14:paraId="739D6E29" w14:textId="77777777" w:rsidR="00FA0CFF" w:rsidRPr="004E6A4A" w:rsidRDefault="00144445">
            <w:pPr>
              <w:jc w:val="both"/>
            </w:pPr>
            <w:r w:rsidRPr="004E6A4A">
              <w:rPr>
                <w:rFonts w:ascii="Times New Roman" w:eastAsia="Times New Roman" w:hAnsi="Times New Roman" w:cs="Times New Roman"/>
                <w:sz w:val="20"/>
              </w:rPr>
              <w:t>7. Shkeljet e detyrimeve të ligjit dhe të këtij vendimi trajtohen sipas dispozitave përkatëse të ligjit dhe legjislacionit tatimor në fuqi.</w:t>
            </w:r>
          </w:p>
        </w:tc>
        <w:tc>
          <w:tcPr>
            <w:tcW w:w="1620" w:type="dxa"/>
          </w:tcPr>
          <w:p w14:paraId="7EFBC883" w14:textId="77777777" w:rsidR="00C4419F" w:rsidRPr="004E6A4A" w:rsidRDefault="00C4419F" w:rsidP="00C4419F">
            <w:pPr>
              <w:jc w:val="center"/>
              <w:rPr>
                <w:rFonts w:ascii="Times New Roman" w:eastAsia="Calibri" w:hAnsi="Times New Roman" w:cs="Times New Roman"/>
                <w:sz w:val="18"/>
                <w:szCs w:val="18"/>
              </w:rPr>
            </w:pPr>
          </w:p>
        </w:tc>
        <w:tc>
          <w:tcPr>
            <w:tcW w:w="2970" w:type="dxa"/>
          </w:tcPr>
          <w:p w14:paraId="799810C1"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Përputhet.</w:t>
            </w:r>
          </w:p>
          <w:p w14:paraId="59C7B1AD"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Transpozohet nga neni 17 i projektligjit dhe nga neni 13, pika 7, i VKM-së.</w:t>
            </w:r>
          </w:p>
        </w:tc>
      </w:tr>
      <w:tr w:rsidR="004E6A4A" w:rsidRPr="004E6A4A" w14:paraId="5076B882" w14:textId="77777777" w:rsidTr="00153084">
        <w:trPr>
          <w:trHeight w:val="4184"/>
        </w:trPr>
        <w:tc>
          <w:tcPr>
            <w:tcW w:w="630" w:type="dxa"/>
          </w:tcPr>
          <w:p w14:paraId="29ABC4BD" w14:textId="77777777" w:rsidR="00C4419F" w:rsidRPr="004E6A4A" w:rsidRDefault="00C4419F" w:rsidP="00C4419F">
            <w:pPr>
              <w:jc w:val="center"/>
              <w:rPr>
                <w:rFonts w:ascii="Times New Roman" w:eastAsia="Calibri" w:hAnsi="Times New Roman" w:cs="Times New Roman"/>
                <w:i/>
                <w:sz w:val="18"/>
                <w:szCs w:val="18"/>
              </w:rPr>
            </w:pPr>
          </w:p>
        </w:tc>
        <w:tc>
          <w:tcPr>
            <w:tcW w:w="4230" w:type="dxa"/>
          </w:tcPr>
          <w:p w14:paraId="5CF81389"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Për të arritur qëllimet e kësaj Direktive, evidencat e përmendura në paragrafin e parë, pika (2), mbeten të disponueshme jo më gjatë se sa është e nevojshme, por në çdo rast jo më pak se pesë vjet.</w:t>
            </w:r>
          </w:p>
        </w:tc>
        <w:tc>
          <w:tcPr>
            <w:tcW w:w="1350" w:type="dxa"/>
          </w:tcPr>
          <w:p w14:paraId="54CCD29C" w14:textId="77777777" w:rsidR="00C4419F" w:rsidRPr="004E6A4A" w:rsidRDefault="00C4419F" w:rsidP="00C4419F">
            <w:pPr>
              <w:jc w:val="center"/>
              <w:rPr>
                <w:rFonts w:ascii="Times New Roman" w:eastAsia="Calibri" w:hAnsi="Times New Roman" w:cs="Times New Roman"/>
                <w:sz w:val="18"/>
                <w:szCs w:val="18"/>
              </w:rPr>
            </w:pPr>
          </w:p>
        </w:tc>
        <w:tc>
          <w:tcPr>
            <w:tcW w:w="810" w:type="dxa"/>
          </w:tcPr>
          <w:p w14:paraId="50B88004" w14:textId="77777777" w:rsidR="00C4419F" w:rsidRPr="004E6A4A" w:rsidRDefault="00C4419F" w:rsidP="00C4419F">
            <w:pPr>
              <w:jc w:val="center"/>
              <w:rPr>
                <w:rFonts w:ascii="Times New Roman" w:eastAsia="Times New Roman" w:hAnsi="Times New Roman" w:cs="Times New Roman"/>
                <w:sz w:val="20"/>
                <w:szCs w:val="21"/>
                <w:lang w:eastAsia="sq-AL"/>
              </w:rPr>
            </w:pPr>
          </w:p>
        </w:tc>
        <w:tc>
          <w:tcPr>
            <w:tcW w:w="4590" w:type="dxa"/>
          </w:tcPr>
          <w:p w14:paraId="341258DE" w14:textId="77777777" w:rsidR="00FA0CFF" w:rsidRPr="004E6A4A" w:rsidRDefault="00144445">
            <w:pPr>
              <w:jc w:val="center"/>
            </w:pPr>
            <w:r w:rsidRPr="004E6A4A">
              <w:rPr>
                <w:rFonts w:ascii="Times New Roman" w:eastAsia="Times New Roman" w:hAnsi="Times New Roman" w:cs="Times New Roman"/>
                <w:b/>
                <w:sz w:val="20"/>
              </w:rPr>
              <w:t>Ligji: Neni 15</w:t>
            </w:r>
          </w:p>
          <w:p w14:paraId="3EE81E48" w14:textId="77777777" w:rsidR="00FA0CFF" w:rsidRPr="004E6A4A" w:rsidRDefault="00144445">
            <w:pPr>
              <w:jc w:val="center"/>
            </w:pPr>
            <w:r w:rsidRPr="004E6A4A">
              <w:rPr>
                <w:rFonts w:ascii="Times New Roman" w:eastAsia="Times New Roman" w:hAnsi="Times New Roman" w:cs="Times New Roman"/>
                <w:b/>
                <w:sz w:val="20"/>
              </w:rPr>
              <w:t>Mbajtja e të dhënave dhe detyrimi për ruajtjen e tyre</w:t>
            </w:r>
          </w:p>
          <w:p w14:paraId="69DE7DA1" w14:textId="77777777" w:rsidR="00FA0CFF" w:rsidRPr="004E6A4A" w:rsidRDefault="00144445">
            <w:pPr>
              <w:jc w:val="both"/>
            </w:pPr>
            <w:r w:rsidRPr="004E6A4A">
              <w:rPr>
                <w:rFonts w:ascii="Times New Roman" w:eastAsia="Times New Roman" w:hAnsi="Times New Roman" w:cs="Times New Roman"/>
                <w:sz w:val="20"/>
              </w:rPr>
              <w:t>2. Institucioni financiar raportues</w:t>
            </w:r>
          </w:p>
          <w:p w14:paraId="178682A6" w14:textId="77777777" w:rsidR="00FA0CFF" w:rsidRPr="004E6A4A" w:rsidRDefault="00144445">
            <w:pPr>
              <w:jc w:val="both"/>
            </w:pPr>
            <w:r w:rsidRPr="004E6A4A">
              <w:rPr>
                <w:rFonts w:ascii="Times New Roman" w:eastAsia="Times New Roman" w:hAnsi="Times New Roman" w:cs="Times New Roman"/>
                <w:sz w:val="20"/>
              </w:rPr>
              <w:t>a) mban regjistrimet për hapat e ndërmarrë dhe çdo provë ku është mbështetur për përmbushjen e detyrimeve të raportimit dhe të vigjilencës së duhur, përfshirë vetëdeklarimet, provat dokumentare dhe dokumentacionin për identifikimin e llogarive të raportueshme. Regjistrimet mund të mbahen në formë elektronike ose në letër;</w:t>
            </w:r>
          </w:p>
          <w:p w14:paraId="1E4EE922" w14:textId="77777777" w:rsidR="00FA0CFF" w:rsidRPr="004E6A4A" w:rsidRDefault="00144445">
            <w:pPr>
              <w:jc w:val="both"/>
            </w:pPr>
            <w:r w:rsidRPr="004E6A4A">
              <w:rPr>
                <w:rFonts w:ascii="Times New Roman" w:eastAsia="Times New Roman" w:hAnsi="Times New Roman" w:cs="Times New Roman"/>
                <w:sz w:val="20"/>
              </w:rPr>
              <w:t>b) i ruan këto regjistrime jo më gjatë se sa është e nevojshme për qëllimet për të cilat janë mbledhur, por në çdo rast jo më pak se pesë vjet pas përfundimit të periudhës brenda së cilës duhet të raportohet informacioni. Pas përfundimit të periudhës së ruajtjes që është e zbatueshme sipas kësaj shkronje, regjistrimet asgjësohen, përveçse kur ruajtja e mëtejshme kërkohet nga një dispozitë tjetër ligjore ose është e nevojshme për një procedurë kontrolli, administrative ose gjyqësore në proces;</w:t>
            </w:r>
          </w:p>
          <w:p w14:paraId="54527420" w14:textId="77777777" w:rsidR="00FA0CFF" w:rsidRPr="004E6A4A" w:rsidRDefault="00144445">
            <w:pPr>
              <w:jc w:val="both"/>
            </w:pPr>
            <w:r w:rsidRPr="004E6A4A">
              <w:rPr>
                <w:rFonts w:ascii="Times New Roman" w:eastAsia="Times New Roman" w:hAnsi="Times New Roman" w:cs="Times New Roman"/>
                <w:sz w:val="20"/>
              </w:rPr>
              <w:t>c) merr masat e nevojshme teknike dhe organizative për të garantuar sigurinë e të dhënave personale, që përpunohen në kuadër të këtij ligji.</w:t>
            </w:r>
          </w:p>
        </w:tc>
        <w:tc>
          <w:tcPr>
            <w:tcW w:w="1620" w:type="dxa"/>
          </w:tcPr>
          <w:p w14:paraId="31F6CAAB" w14:textId="77777777" w:rsidR="00A51FF1" w:rsidRPr="004E6A4A" w:rsidRDefault="00A51FF1" w:rsidP="00C4419F">
            <w:pPr>
              <w:jc w:val="center"/>
              <w:rPr>
                <w:rFonts w:ascii="Times New Roman" w:eastAsia="Calibri" w:hAnsi="Times New Roman" w:cs="Times New Roman"/>
                <w:sz w:val="18"/>
                <w:szCs w:val="18"/>
              </w:rPr>
            </w:pPr>
          </w:p>
          <w:p w14:paraId="04C57D4B" w14:textId="5A1D529A" w:rsidR="00C4419F" w:rsidRPr="004E6A4A" w:rsidRDefault="00A51FF1"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7A3DC0FE"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Përputhet.</w:t>
            </w:r>
          </w:p>
          <w:p w14:paraId="2E21DA84"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Transpozohet nga neni 15, pika 2, i projektligjit.</w:t>
            </w:r>
          </w:p>
        </w:tc>
      </w:tr>
      <w:tr w:rsidR="004E6A4A" w:rsidRPr="004E6A4A" w14:paraId="5262FF16" w14:textId="77777777" w:rsidTr="00153084">
        <w:trPr>
          <w:trHeight w:val="764"/>
        </w:trPr>
        <w:tc>
          <w:tcPr>
            <w:tcW w:w="630" w:type="dxa"/>
          </w:tcPr>
          <w:p w14:paraId="63C8D8BC" w14:textId="77777777" w:rsidR="00FA0CFF" w:rsidRPr="004E6A4A" w:rsidRDefault="00FA0CFF"/>
        </w:tc>
        <w:tc>
          <w:tcPr>
            <w:tcW w:w="4230" w:type="dxa"/>
          </w:tcPr>
          <w:p w14:paraId="2B2F9BE2"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SEKSIONI X</w:t>
            </w:r>
          </w:p>
          <w:p w14:paraId="5C7C030B"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DATAT E ZBATIMIT PËR INSTITUCIONET FINANCIARE RAPORTUESE TË VENDOSURA NË AUSTRI</w:t>
            </w:r>
          </w:p>
          <w:p w14:paraId="1C8DA3F3"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Në rastin e Institucioneve Financiare Raportuese të vendosura në Austri, të gjitha referencat për ‘2016’ dhe ‘2017’ në këtë Aneks duhet të lexohen, përkatësisht, si referenca për ‘2017’ dhe ‘2018’.</w:t>
            </w:r>
          </w:p>
          <w:p w14:paraId="00D76AC9"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Në rastin e Llogarive Paraekzistuese të mbajtura nga Institucionet Financiare Raportuese të vendosura në Austri, të gjitha referencat për ‘31 dhjetor 2015’ në këtë Aneks duhet të lexohen si referenca për ‘31 dhjetor 2016’.</w:t>
            </w:r>
          </w:p>
        </w:tc>
        <w:tc>
          <w:tcPr>
            <w:tcW w:w="1350" w:type="dxa"/>
          </w:tcPr>
          <w:p w14:paraId="63285BC3" w14:textId="77777777" w:rsidR="00FA0CFF" w:rsidRPr="004E6A4A" w:rsidRDefault="00FA0CFF"/>
        </w:tc>
        <w:tc>
          <w:tcPr>
            <w:tcW w:w="810" w:type="dxa"/>
          </w:tcPr>
          <w:p w14:paraId="1E553144" w14:textId="77777777" w:rsidR="00FA0CFF" w:rsidRPr="004E6A4A" w:rsidRDefault="00FA0CFF"/>
        </w:tc>
        <w:tc>
          <w:tcPr>
            <w:tcW w:w="4590" w:type="dxa"/>
          </w:tcPr>
          <w:p w14:paraId="454FD272" w14:textId="77777777" w:rsidR="00FA0CFF" w:rsidRPr="004E6A4A" w:rsidRDefault="00144445">
            <w:pPr>
              <w:jc w:val="center"/>
            </w:pPr>
            <w:r w:rsidRPr="004E6A4A">
              <w:rPr>
                <w:rFonts w:ascii="Times New Roman" w:eastAsia="Times New Roman" w:hAnsi="Times New Roman" w:cs="Times New Roman"/>
                <w:sz w:val="20"/>
              </w:rPr>
              <w:t>N/A</w:t>
            </w:r>
          </w:p>
        </w:tc>
        <w:tc>
          <w:tcPr>
            <w:tcW w:w="1620" w:type="dxa"/>
          </w:tcPr>
          <w:p w14:paraId="224949F7" w14:textId="77777777" w:rsidR="00FA0CFF" w:rsidRPr="004E6A4A" w:rsidRDefault="00144445">
            <w:pPr>
              <w:jc w:val="center"/>
            </w:pPr>
            <w:r w:rsidRPr="004E6A4A">
              <w:rPr>
                <w:rFonts w:ascii="Times New Roman" w:eastAsia="Times New Roman" w:hAnsi="Times New Roman" w:cs="Times New Roman"/>
                <w:sz w:val="20"/>
              </w:rPr>
              <w:t>N/A</w:t>
            </w:r>
          </w:p>
        </w:tc>
        <w:tc>
          <w:tcPr>
            <w:tcW w:w="2970" w:type="dxa"/>
          </w:tcPr>
          <w:p w14:paraId="70A74771"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Nuk kërkon transpozim.</w:t>
            </w:r>
          </w:p>
          <w:p w14:paraId="5C6CBB87"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Dispozita ka të bëjë vetëm me Institucionet Financiare Raportuese të vendosura në Austri.</w:t>
            </w:r>
          </w:p>
        </w:tc>
      </w:tr>
      <w:tr w:rsidR="004E6A4A" w:rsidRPr="004E6A4A" w14:paraId="1A7385C2" w14:textId="77777777" w:rsidTr="00153084">
        <w:trPr>
          <w:trHeight w:val="764"/>
        </w:trPr>
        <w:tc>
          <w:tcPr>
            <w:tcW w:w="630" w:type="dxa"/>
          </w:tcPr>
          <w:p w14:paraId="759127E5" w14:textId="77777777" w:rsidR="00C4419F" w:rsidRPr="004E6A4A" w:rsidRDefault="00C4419F" w:rsidP="00C4419F">
            <w:pPr>
              <w:jc w:val="center"/>
              <w:rPr>
                <w:rFonts w:ascii="Times New Roman" w:eastAsia="Calibri" w:hAnsi="Times New Roman" w:cs="Times New Roman"/>
                <w:i/>
                <w:sz w:val="18"/>
                <w:szCs w:val="18"/>
              </w:rPr>
            </w:pPr>
          </w:p>
        </w:tc>
        <w:tc>
          <w:tcPr>
            <w:tcW w:w="4230" w:type="dxa"/>
          </w:tcPr>
          <w:p w14:paraId="3AE0CF0D" w14:textId="77777777" w:rsidR="008C56DE" w:rsidRPr="004E6A4A" w:rsidRDefault="00144445">
            <w:pPr>
              <w:rPr>
                <w:rFonts w:ascii="Times New Roman" w:eastAsia="Times New Roman" w:hAnsi="Times New Roman" w:cs="Times New Roman"/>
                <w:b/>
                <w:bCs/>
                <w:sz w:val="20"/>
                <w:szCs w:val="20"/>
              </w:rPr>
            </w:pPr>
            <w:r w:rsidRPr="004E6A4A">
              <w:rPr>
                <w:rFonts w:ascii="Times New Roman" w:eastAsia="Times New Roman" w:hAnsi="Times New Roman" w:cs="Times New Roman"/>
                <w:b/>
                <w:bCs/>
                <w:sz w:val="20"/>
                <w:szCs w:val="20"/>
              </w:rPr>
              <w:t>SEKSIONI XI</w:t>
            </w:r>
          </w:p>
          <w:p w14:paraId="5D73FA51"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MASAT KALIMTARE</w:t>
            </w:r>
          </w:p>
          <w:p w14:paraId="4556D20A"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Pavarësisht nga Seksioni I, nënparagrafi A(1), shkronja (b), dhe nënparagrafi A(6a), në lidhje me çdo Llogari të Raportueshme që mbahet nga një Institucion Financiar Raportues më 31 dhjetor 2025 dhe për periudhat raportuese që përfundojnë deri në vitin e dytë kalendarik pas kësaj date, informacioni në lidhje me rolin ose rolet për shkak të të cilave çdo Person i Raportueshëm është Person Kontrollues ose mbajtës i Interesit në Kapital të Njësisë Ekonomike kërkohet të raportohet vetëm nëse ky informacion është i disponueshëm në të dhënat e kërkueshme elektronikisht të mbajtura nga Institucioni Financiar Raportues.</w:t>
            </w:r>
          </w:p>
        </w:tc>
        <w:tc>
          <w:tcPr>
            <w:tcW w:w="1350" w:type="dxa"/>
          </w:tcPr>
          <w:p w14:paraId="0ECAF1D8" w14:textId="77777777" w:rsidR="00C4419F" w:rsidRPr="004E6A4A" w:rsidRDefault="00C4419F" w:rsidP="00C4419F">
            <w:pPr>
              <w:jc w:val="center"/>
              <w:rPr>
                <w:rFonts w:ascii="Times New Roman" w:eastAsia="Calibri" w:hAnsi="Times New Roman" w:cs="Times New Roman"/>
                <w:sz w:val="18"/>
                <w:szCs w:val="18"/>
              </w:rPr>
            </w:pPr>
          </w:p>
        </w:tc>
        <w:tc>
          <w:tcPr>
            <w:tcW w:w="810" w:type="dxa"/>
          </w:tcPr>
          <w:p w14:paraId="1AACA6D1" w14:textId="77777777" w:rsidR="00C4419F" w:rsidRPr="004E6A4A" w:rsidRDefault="00C4419F" w:rsidP="00C4419F">
            <w:pPr>
              <w:jc w:val="center"/>
              <w:rPr>
                <w:rFonts w:ascii="Times New Roman" w:eastAsia="Times New Roman" w:hAnsi="Times New Roman" w:cs="Times New Roman"/>
                <w:sz w:val="20"/>
                <w:szCs w:val="21"/>
                <w:lang w:eastAsia="sq-AL"/>
              </w:rPr>
            </w:pPr>
          </w:p>
        </w:tc>
        <w:tc>
          <w:tcPr>
            <w:tcW w:w="4590" w:type="dxa"/>
          </w:tcPr>
          <w:p w14:paraId="2EC49097" w14:textId="77777777" w:rsidR="00FA0CFF" w:rsidRPr="004E6A4A" w:rsidRDefault="00144445">
            <w:pPr>
              <w:jc w:val="center"/>
            </w:pPr>
            <w:r w:rsidRPr="004E6A4A">
              <w:rPr>
                <w:rFonts w:ascii="Times New Roman" w:eastAsia="Times New Roman" w:hAnsi="Times New Roman" w:cs="Times New Roman"/>
                <w:b/>
                <w:sz w:val="20"/>
              </w:rPr>
              <w:t>Ligji: Neni 22</w:t>
            </w:r>
          </w:p>
          <w:p w14:paraId="45EBCB38" w14:textId="77777777" w:rsidR="00FA0CFF" w:rsidRPr="004E6A4A" w:rsidRDefault="00144445">
            <w:pPr>
              <w:jc w:val="center"/>
            </w:pPr>
            <w:r w:rsidRPr="004E6A4A">
              <w:rPr>
                <w:rFonts w:ascii="Times New Roman" w:eastAsia="Times New Roman" w:hAnsi="Times New Roman" w:cs="Times New Roman"/>
                <w:b/>
                <w:sz w:val="20"/>
              </w:rPr>
              <w:t>Dispozita kalimtare</w:t>
            </w:r>
          </w:p>
          <w:p w14:paraId="01DFFF6F" w14:textId="77777777" w:rsidR="00FA0CFF" w:rsidRPr="004E6A4A" w:rsidRDefault="00144445">
            <w:pPr>
              <w:jc w:val="both"/>
            </w:pPr>
            <w:r w:rsidRPr="004E6A4A">
              <w:rPr>
                <w:rFonts w:ascii="Times New Roman" w:eastAsia="Times New Roman" w:hAnsi="Times New Roman" w:cs="Times New Roman"/>
                <w:sz w:val="20"/>
              </w:rPr>
              <w:t>1. Ndryshimet e parashikuara në këtë ligj për qëllime të përafrimit me Direktivën 2011/16/BE nuk ndikojnë në klasifikimin e llogarive financiare si llogari para-ekzistuese ose llogari të reja, të kryer në përputhje me Ligjin nr. 4/2020 dhe Standardin e Përbashkët të Raportimit (CRS), për periudhat raportuese që fillojnë përpara periudhës së parë raportuese për të cilën shkëmbimi automatik i informacionit me shtetet anëtare të Bashkimit Evropian bëhet i zbatueshëm për Republikën e Shqipërisë.</w:t>
            </w:r>
          </w:p>
          <w:p w14:paraId="095701DF" w14:textId="77777777" w:rsidR="00FA0CFF" w:rsidRPr="004E6A4A" w:rsidRDefault="00144445">
            <w:pPr>
              <w:jc w:val="both"/>
            </w:pPr>
            <w:r w:rsidRPr="004E6A4A">
              <w:rPr>
                <w:rFonts w:ascii="Times New Roman" w:eastAsia="Times New Roman" w:hAnsi="Times New Roman" w:cs="Times New Roman"/>
                <w:sz w:val="20"/>
              </w:rPr>
              <w:t>2. Pika 1 e këtij neni nuk cenon zbatimin e ndryshimeve të Standardit të Përbashkët të Raportimit dhe klasifikimin e produkteve ose llogarive që trajtohen si Llogari Financiare vetëm për shkak të këtyre ndryshimeve.</w:t>
            </w:r>
          </w:p>
          <w:p w14:paraId="69EF727F" w14:textId="77777777" w:rsidR="00FA0CFF" w:rsidRPr="004E6A4A" w:rsidRDefault="00144445">
            <w:pPr>
              <w:jc w:val="both"/>
            </w:pPr>
            <w:r w:rsidRPr="004E6A4A">
              <w:rPr>
                <w:rFonts w:ascii="Times New Roman" w:eastAsia="Times New Roman" w:hAnsi="Times New Roman" w:cs="Times New Roman"/>
                <w:sz w:val="20"/>
              </w:rPr>
              <w:t>3. Për shkëmbimet me shtetet anëtare të Bashkimit Evropian, klasifikimet e kryera përpara fillimit të zbatimit të regjimit të Bashkimit Evropian njihen për aq sa janë në përputhje me aneksin I të Direktivës 2011/16/BE, të ndryshuar.</w:t>
            </w:r>
          </w:p>
          <w:p w14:paraId="22086299" w14:textId="77777777" w:rsidR="00FA0CFF" w:rsidRPr="004E6A4A" w:rsidRDefault="00144445">
            <w:pPr>
              <w:jc w:val="both"/>
            </w:pPr>
            <w:r w:rsidRPr="004E6A4A">
              <w:rPr>
                <w:rFonts w:ascii="Times New Roman" w:eastAsia="Times New Roman" w:hAnsi="Times New Roman" w:cs="Times New Roman"/>
                <w:sz w:val="20"/>
              </w:rPr>
              <w:t>4. Dokumentacioni, vetëdeklarimet, evidencat shkresore dhe rezultatet e procedurave të vigjilencës së duhur të mbledhura ose të kryera përpara datës së fillimit të efekteve të këtij ligji vazhdojnë të përdoren, për aq sa mbeten të vlefshme, të besueshme dhe nuk ka ndodhur një ndryshim në rrethana që kërkon rishikimin e tyre. Për shkëmbimet me shtetet anëtare, ato plotësohen, kur është e nevojshme, me informacionin shtesë të kërkuar nga anekset I dhe II të Direktivës 2011/16/BE.</w:t>
            </w:r>
          </w:p>
          <w:p w14:paraId="36BB446D" w14:textId="77777777" w:rsidR="00FA0CFF" w:rsidRPr="004E6A4A" w:rsidRDefault="00144445">
            <w:pPr>
              <w:jc w:val="both"/>
            </w:pPr>
            <w:r w:rsidRPr="004E6A4A">
              <w:rPr>
                <w:rFonts w:ascii="Times New Roman" w:eastAsia="Times New Roman" w:hAnsi="Times New Roman" w:cs="Times New Roman"/>
                <w:sz w:val="20"/>
              </w:rPr>
              <w:t xml:space="preserve">5. Raportimet, korrigjimet, zëvendësimet, shkëmbimet, kontrollet dhe detyrimet e tjera që lidhen me periudhat raportuese që kanë përfunduar përpara datës së fillimit të efekteve të këtij ligji vazhdojnë të kryhen dhe të përfundojnë sipas rregullave materiale të zbatueshme </w:t>
            </w:r>
            <w:r w:rsidRPr="004E6A4A">
              <w:rPr>
                <w:rFonts w:ascii="Times New Roman" w:eastAsia="Times New Roman" w:hAnsi="Times New Roman" w:cs="Times New Roman"/>
                <w:sz w:val="20"/>
              </w:rPr>
              <w:lastRenderedPageBreak/>
              <w:t>për periudhën raportuese përkatëse, edhe kur afati për përmbushjen e tyre, përfshirë afatin për raportim, korrigjim, zëvendësim ose shkëmbim, bie pas kësaj date.</w:t>
            </w:r>
          </w:p>
          <w:p w14:paraId="493CCFF5" w14:textId="77777777" w:rsidR="00FA0CFF" w:rsidRPr="004E6A4A" w:rsidRDefault="00FA0CFF"/>
          <w:p w14:paraId="3D02B2FC" w14:textId="77777777" w:rsidR="00FA0CFF" w:rsidRPr="004E6A4A" w:rsidRDefault="00144445">
            <w:pPr>
              <w:jc w:val="center"/>
            </w:pPr>
            <w:r w:rsidRPr="004E6A4A">
              <w:rPr>
                <w:rFonts w:ascii="Times New Roman" w:eastAsia="Times New Roman" w:hAnsi="Times New Roman" w:cs="Times New Roman"/>
                <w:b/>
                <w:sz w:val="20"/>
              </w:rPr>
              <w:t>VKM: Neni 14</w:t>
            </w:r>
          </w:p>
          <w:p w14:paraId="2B99443E" w14:textId="77777777" w:rsidR="00FA0CFF" w:rsidRPr="004E6A4A" w:rsidRDefault="00144445">
            <w:pPr>
              <w:jc w:val="center"/>
            </w:pPr>
            <w:r w:rsidRPr="004E6A4A">
              <w:rPr>
                <w:rFonts w:ascii="Times New Roman" w:eastAsia="Times New Roman" w:hAnsi="Times New Roman" w:cs="Times New Roman"/>
                <w:b/>
                <w:sz w:val="20"/>
              </w:rPr>
              <w:t>Dispozita kalimtare dhe vazhdimësia e procedurave</w:t>
            </w:r>
          </w:p>
          <w:p w14:paraId="31DBB812" w14:textId="77777777" w:rsidR="00FA0CFF" w:rsidRPr="004E6A4A" w:rsidRDefault="00144445">
            <w:pPr>
              <w:jc w:val="both"/>
            </w:pPr>
            <w:r w:rsidRPr="004E6A4A">
              <w:rPr>
                <w:rFonts w:ascii="Times New Roman" w:eastAsia="Times New Roman" w:hAnsi="Times New Roman" w:cs="Times New Roman"/>
                <w:sz w:val="20"/>
              </w:rPr>
              <w:t>9. Klasifikimet, vetëdeklarimet, evidencat shkresore dhe rezultatet e procedurave të vigjilencës së duhur të marra ose të kryera përpara datës së fillimit të efekteve të këtij vendimi, në zbatim të ligjit nr. 4/2020 dhe akteve nënligjore të tij, vazhdojnë të përdoren për profilin e Standardit të Përbashkët të Raportimit, për aq sa mbeten të vlefshme, nuk ka ndodhur ndryshim i rrethanave dhe institucioni financiar raportues nuk di ose nuk ka arsye të dijë se janë të pasakta ose jo të besueshme.</w:t>
            </w:r>
          </w:p>
          <w:p w14:paraId="55315132" w14:textId="77777777" w:rsidR="00FA0CFF" w:rsidRPr="004E6A4A" w:rsidRDefault="00144445">
            <w:pPr>
              <w:jc w:val="both"/>
            </w:pPr>
            <w:r w:rsidRPr="004E6A4A">
              <w:rPr>
                <w:rFonts w:ascii="Times New Roman" w:eastAsia="Times New Roman" w:hAnsi="Times New Roman" w:cs="Times New Roman"/>
                <w:sz w:val="20"/>
              </w:rPr>
              <w:t>10. Për profilin e Bashkimit Evropian, dokumentacioni, vetëdeklarimet dhe procedurat e përmendura në pikën 1 mund të përdoren për aq sa plotësojnë kërkesat materiale të anekseve I dhe II të Direktivës 2011/16/BE, të ndryshuar, mbeten të vlefshme dhe nuk ka ndodhur ndryshim i rrethanave.</w:t>
            </w:r>
          </w:p>
          <w:p w14:paraId="6004D004" w14:textId="77777777" w:rsidR="00FA0CFF" w:rsidRPr="004E6A4A" w:rsidRDefault="00144445">
            <w:pPr>
              <w:jc w:val="both"/>
            </w:pPr>
            <w:r w:rsidRPr="004E6A4A">
              <w:rPr>
                <w:rFonts w:ascii="Times New Roman" w:eastAsia="Times New Roman" w:hAnsi="Times New Roman" w:cs="Times New Roman"/>
                <w:sz w:val="20"/>
              </w:rPr>
              <w:t>11. Kur, për periudhën e parë për të cilën zbatohet profili i Bashkimit Evropian, informacioni ose procedurat ekzistuese nuk përmbajnë të gjitha elementet e kërkuara nga acquis-i, institucioni financiar raportues merr informacionin plotësues ose kryen procedurat shtesë të nevojshme përpara afatit të raportimit në DPT për atë periudhë.</w:t>
            </w:r>
          </w:p>
          <w:p w14:paraId="33AD1606" w14:textId="77777777" w:rsidR="00FA0CFF" w:rsidRPr="004E6A4A" w:rsidRDefault="00144445">
            <w:pPr>
              <w:jc w:val="both"/>
            </w:pPr>
            <w:r w:rsidRPr="004E6A4A">
              <w:rPr>
                <w:rFonts w:ascii="Times New Roman" w:eastAsia="Times New Roman" w:hAnsi="Times New Roman" w:cs="Times New Roman"/>
                <w:sz w:val="20"/>
              </w:rPr>
              <w:t>12. Klasifikimi i një llogarie si Llogari Paraekzistuese ose Llogari e Re bëhet veçmas sipas datave dhe kushteve të profilit përkatës. Klasifikimi i mëparshëm sipas Standardit të Përbashkët të Raportimit nuk ndryshon datat ose kushtet e klasifikimit që zbatohen për profilin e Bashkimit Evropian.</w:t>
            </w:r>
          </w:p>
          <w:p w14:paraId="1232C597" w14:textId="77777777" w:rsidR="00FA0CFF" w:rsidRPr="004E6A4A" w:rsidRDefault="00144445">
            <w:pPr>
              <w:jc w:val="both"/>
            </w:pPr>
            <w:r w:rsidRPr="004E6A4A">
              <w:rPr>
                <w:rFonts w:ascii="Times New Roman" w:eastAsia="Times New Roman" w:hAnsi="Times New Roman" w:cs="Times New Roman"/>
                <w:sz w:val="20"/>
              </w:rPr>
              <w:lastRenderedPageBreak/>
              <w:t>13. Raportimet, korrigjimet, zëvendësimet, shkëmbimet, kontrollet dhe detyrimet ose procedurat e tjera që lidhen me periudhat raportuese që kanë përfunduar përpara datës së fillimit të efekteve të këtij vendimi vazhdojnë të kryhen dhe të përfundojnë sipas rregullave materiale të zbatueshme për periudhën raportuese përkatëse, edhe kur afati për përmbushjen e tyre, përfshirë afatin për raportim, korrigjim, zëvendësim ose shkëmbim, bie pas kësaj date.</w:t>
            </w:r>
          </w:p>
          <w:p w14:paraId="40D2EA6D" w14:textId="77777777" w:rsidR="00FA0CFF" w:rsidRPr="004E6A4A" w:rsidRDefault="00144445">
            <w:pPr>
              <w:jc w:val="both"/>
            </w:pPr>
            <w:r w:rsidRPr="004E6A4A">
              <w:rPr>
                <w:rFonts w:ascii="Times New Roman" w:eastAsia="Times New Roman" w:hAnsi="Times New Roman" w:cs="Times New Roman"/>
                <w:sz w:val="20"/>
              </w:rPr>
              <w:t>14. Dispozitat kalimtare të zbatuara në lidhje me ndryshimet e Standardit të Përbashkët të Raportimit që kanë filluar të zbatohen përpara këtij vendimi ruajnë efektet vetëm për periudhat për të cilat kanë qenë të zbatueshme dhe nuk rifillojnë nga data e fillimit të efekteve të këtij vendimi.</w:t>
            </w:r>
          </w:p>
          <w:p w14:paraId="767836C1" w14:textId="77777777" w:rsidR="00FA0CFF" w:rsidRPr="004E6A4A" w:rsidRDefault="00144445">
            <w:pPr>
              <w:jc w:val="both"/>
            </w:pPr>
            <w:r w:rsidRPr="004E6A4A">
              <w:rPr>
                <w:rFonts w:ascii="Times New Roman" w:eastAsia="Times New Roman" w:hAnsi="Times New Roman" w:cs="Times New Roman"/>
                <w:sz w:val="20"/>
              </w:rPr>
              <w:t>15. Masat kalimtare të së drejtës së Bashkimit Evropian që, sipas përmbajtjes së tyre, lidhen me data ose periudha të përfunduara përpara datës së fillimit të efekteve të këtij vendimi nuk riaktivizohen, përveçse kur akti juridik që rregullon aderimin e Republikës së Shqipërisë në Bashkimin Evropian parashikon shprehimisht ndryshe.</w:t>
            </w:r>
          </w:p>
        </w:tc>
        <w:tc>
          <w:tcPr>
            <w:tcW w:w="1620" w:type="dxa"/>
          </w:tcPr>
          <w:p w14:paraId="44257167" w14:textId="77777777" w:rsidR="00C4419F" w:rsidRPr="004E6A4A" w:rsidRDefault="00C4419F" w:rsidP="00C4419F">
            <w:pPr>
              <w:jc w:val="center"/>
              <w:rPr>
                <w:rFonts w:ascii="Times New Roman" w:eastAsia="Calibri" w:hAnsi="Times New Roman" w:cs="Times New Roman"/>
                <w:sz w:val="18"/>
                <w:szCs w:val="18"/>
              </w:rPr>
            </w:pPr>
          </w:p>
        </w:tc>
        <w:tc>
          <w:tcPr>
            <w:tcW w:w="2970" w:type="dxa"/>
          </w:tcPr>
          <w:p w14:paraId="7CD97E2C"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Përputhet.</w:t>
            </w:r>
          </w:p>
          <w:p w14:paraId="3ECA6C20"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Transpozohet nga neni 22 i projektligjit dhe nga neni 14 i VKM-së.</w:t>
            </w:r>
          </w:p>
        </w:tc>
      </w:tr>
      <w:tr w:rsidR="004E6A4A" w:rsidRPr="004E6A4A" w14:paraId="1815E8BB" w14:textId="77777777" w:rsidTr="00153084">
        <w:trPr>
          <w:trHeight w:val="764"/>
        </w:trPr>
        <w:tc>
          <w:tcPr>
            <w:tcW w:w="630" w:type="dxa"/>
          </w:tcPr>
          <w:p w14:paraId="5CDF1826" w14:textId="77777777" w:rsidR="00C4419F" w:rsidRPr="004E6A4A" w:rsidRDefault="00C4419F" w:rsidP="00C4419F">
            <w:pPr>
              <w:jc w:val="center"/>
              <w:rPr>
                <w:rFonts w:ascii="Times New Roman" w:eastAsia="Calibri" w:hAnsi="Times New Roman" w:cs="Times New Roman"/>
                <w:i/>
                <w:sz w:val="18"/>
                <w:szCs w:val="18"/>
              </w:rPr>
            </w:pPr>
          </w:p>
        </w:tc>
        <w:tc>
          <w:tcPr>
            <w:tcW w:w="4230" w:type="dxa"/>
          </w:tcPr>
          <w:p w14:paraId="76A2D120" w14:textId="77777777" w:rsidR="008C56DE" w:rsidRPr="004E6A4A" w:rsidRDefault="00144445">
            <w:pPr>
              <w:rPr>
                <w:rFonts w:ascii="Times New Roman" w:eastAsia="Times New Roman" w:hAnsi="Times New Roman" w:cs="Times New Roman"/>
                <w:b/>
                <w:bCs/>
                <w:sz w:val="20"/>
                <w:szCs w:val="20"/>
              </w:rPr>
            </w:pPr>
            <w:r w:rsidRPr="004E6A4A">
              <w:rPr>
                <w:rFonts w:ascii="Times New Roman" w:eastAsia="Times New Roman" w:hAnsi="Times New Roman" w:cs="Times New Roman"/>
                <w:b/>
                <w:bCs/>
                <w:sz w:val="20"/>
                <w:szCs w:val="20"/>
              </w:rPr>
              <w:t>Aneksi II</w:t>
            </w:r>
          </w:p>
          <w:p w14:paraId="5F3DC018"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Rregulla plotësuese të raportimit dhe të vigjilencës së duhur për informacionin e llogarive financiare</w:t>
            </w:r>
          </w:p>
          <w:p w14:paraId="5EFF4224"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1.</w:t>
            </w:r>
            <w:r w:rsidRPr="004E6A4A">
              <w:rPr>
                <w:rFonts w:ascii="Times New Roman" w:eastAsia="Times New Roman" w:hAnsi="Times New Roman" w:cs="Times New Roman"/>
                <w:sz w:val="20"/>
                <w:szCs w:val="20"/>
              </w:rPr>
              <w:tab/>
              <w:t>Ndryshimi në rrethana</w:t>
            </w:r>
          </w:p>
          <w:p w14:paraId="01994EBA"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 xml:space="preserve">Një “ndryshim në rrethana” përfshin çdo ndryshim që sjell shtimin e informacionit që lidhet me statusin e një personi ose që bie ndryshe në kundërshtim me statusin e këtij personi. Përveç kësaj, një ndryshim në rrethana përfshin çdo ndryshim ose shtim informacioni në llogarinë e Mbajtësit të Llogarisë (përfshirë shtimin, zëvendësimin ose ndryshimin tjetër të një Mbajtësi Llogarie) ose çdo ndryshim ose shtim informacioni në çdo llogari që lidhet me këtë llogari (duke zbatuar rregullat për totalizimin e </w:t>
            </w:r>
            <w:r w:rsidRPr="004E6A4A">
              <w:rPr>
                <w:rFonts w:ascii="Times New Roman" w:eastAsia="Times New Roman" w:hAnsi="Times New Roman" w:cs="Times New Roman"/>
                <w:sz w:val="20"/>
                <w:szCs w:val="20"/>
              </w:rPr>
              <w:lastRenderedPageBreak/>
              <w:t>llogarive të përshkruara në nënparagrafët C(1) deri në (3) të Seksionit VII të Aneksit I), nëse ky ndryshim ose shtim informacioni ndikon në statusin e Mbajtësit të Llogarisë.</w:t>
            </w:r>
          </w:p>
          <w:p w14:paraId="716DDB68"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Nëse një Institucion Financiar Raportues është mbështetur në testin e adresës së rezidencës të përshkruar në nënparagrafin B(1) të Seksionit III të Aneksit I dhe ka një ndryshim në rrethana që bën që Institucioni Financiar Raportues të dijë ose të ketë arsye të dijë se Evidenca Shkresore fillestare (ose dokumentacioni tjetër ekuivalent) është e pasaktë ose jo e besueshme, Institucioni Financiar Raportues duhet, deri në datën më të vonë ndërmjet ditës së fundit të vitit kalendarik përkatës ose të periudhës tjetër të përshtatshme raportuese dhe 90 ditëve kalendarike pas njoftimit ose zbulimit të këtij ndryshimi në rrethana, të marrë një vetëdeklarim dhe Evidencë Shkresore të re për të përcaktuar rezidencën ose rezidencat për qëllime tatimore të Mbajtësit të Llogarisë. Nëse Institucioni Financiar Raportues nuk mund të marrë vetëdeklarimin dhe Evidencën Shkresore të re deri në këtë datë, Institucioni Financiar Raportues duhet të zbatojë procedurën e kërkimit në regjistrat elektronikë të përshkruar në nënparagrafët B(2) deri në (6) të Seksionit III të Aneksit I.</w:t>
            </w:r>
          </w:p>
          <w:p w14:paraId="1E871A92"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2.</w:t>
            </w:r>
            <w:r w:rsidRPr="004E6A4A">
              <w:rPr>
                <w:rFonts w:ascii="Times New Roman" w:eastAsia="Times New Roman" w:hAnsi="Times New Roman" w:cs="Times New Roman"/>
                <w:sz w:val="20"/>
                <w:szCs w:val="20"/>
              </w:rPr>
              <w:tab/>
              <w:t>Vetëdeklarimi për Llogaritë e Reja të Njësive Ekonomike</w:t>
            </w:r>
          </w:p>
          <w:p w14:paraId="401326BC"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Në lidhje me Llogaritë e Reja të Njësive Ekonomike, për qëllime të përcaktimit nëse një Person Kontrollues i një NFE pasive është Person i Raportueshëm, një Institucion Financiar Raportues mund të mbështetet vetëm në një vetëdeklarim nga Mbajtësi i Llogarisë ose nga Personi Kontrollues.</w:t>
            </w:r>
          </w:p>
          <w:p w14:paraId="39C1D004"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3.</w:t>
            </w:r>
            <w:r w:rsidRPr="004E6A4A">
              <w:rPr>
                <w:rFonts w:ascii="Times New Roman" w:eastAsia="Times New Roman" w:hAnsi="Times New Roman" w:cs="Times New Roman"/>
                <w:sz w:val="20"/>
                <w:szCs w:val="20"/>
              </w:rPr>
              <w:tab/>
              <w:t>Rezidenca e një Institucioni Financiar</w:t>
            </w:r>
          </w:p>
          <w:p w14:paraId="5B55FB80"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lastRenderedPageBreak/>
              <w:t>Një Institucion Financiar është “rezident” në një shtet anëtar nëse i nënshtrohet juridiksionit të këtij shteti anëtar (d.m.th., shteti anëtar është në gjendje të zbatojë detyrimin e raportimit ndaj Institucionit Financiar). Në përgjithësi, kur një Institucion Financiar është rezident për qëllime tatimore në një shtet anëtar, ai i nënshtrohet juridiksionit të këtij shteti anëtar dhe, për rrjedhojë, është Institucion Financiar i Shtetit Anëtar. Në rastin e një trusti që është Institucion Financiar (pavarësisht nëse është ose jo rezident për qëllime tatimore në një shtet anëtar), trusti konsiderohet se i nënshtrohet juridiksionit të një shteti anëtar nëse një ose më shumë administratorë të tij janë rezidentë në këtë shtet anëtar, përveçse kur trusti i raporton të gjithë informacionin që kërkohet të raportohet në zbatim të kësaj Direktive në lidhje me Llogaritë e Raportueshme të mbajtura nga trusti në një shtet tjetër anëtar, sepse është rezident për qëllime tatimore në atë shtet tjetër anëtar. Megjithatë, kur një Institucion Financiar (i ndryshëm nga një trust) nuk ka rezidencë për qëllime tatimore (p.sh., sepse trajtohet si fiskalisht transparent ose ndodhet në një juridiksion që nuk ka tatim mbi të ardhurat), ai konsiderohet se i nënshtrohet juridiksionit të një shteti anëtar dhe, për rrjedhojë, është Institucion Financiar i Shtetit Anëtar, nëse:</w:t>
            </w:r>
          </w:p>
          <w:p w14:paraId="0C9E335F"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(a)</w:t>
            </w:r>
            <w:r w:rsidRPr="004E6A4A">
              <w:rPr>
                <w:rFonts w:ascii="Times New Roman" w:eastAsia="Times New Roman" w:hAnsi="Times New Roman" w:cs="Times New Roman"/>
                <w:sz w:val="20"/>
                <w:szCs w:val="20"/>
              </w:rPr>
              <w:tab/>
              <w:t>është themeluar sipas ligjeve të shtetit anëtar;</w:t>
            </w:r>
          </w:p>
          <w:p w14:paraId="2C257D22"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(b)</w:t>
            </w:r>
            <w:r w:rsidRPr="004E6A4A">
              <w:rPr>
                <w:rFonts w:ascii="Times New Roman" w:eastAsia="Times New Roman" w:hAnsi="Times New Roman" w:cs="Times New Roman"/>
                <w:sz w:val="20"/>
                <w:szCs w:val="20"/>
              </w:rPr>
              <w:tab/>
              <w:t>ka vendin e menaxhimit (përfshirë menaxhimin efektiv) në shtetin anëtar; ose</w:t>
            </w:r>
          </w:p>
          <w:p w14:paraId="353E4EFA"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w:t>
            </w:r>
            <w:r w:rsidRPr="004E6A4A">
              <w:rPr>
                <w:rFonts w:ascii="Times New Roman" w:eastAsia="Times New Roman" w:hAnsi="Times New Roman" w:cs="Times New Roman"/>
                <w:sz w:val="20"/>
                <w:szCs w:val="20"/>
              </w:rPr>
              <w:tab/>
              <w:t>i nënshtrohet mbikëqyrjes financiare në shtetin anëtar.</w:t>
            </w:r>
          </w:p>
          <w:p w14:paraId="3268AD8E"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 xml:space="preserve">Kur një Institucion Financiar (i ndryshëm nga një trust) është rezident në dy ose më shumë shtete anëtare, ky Institucion Financiar u nënshtrohet </w:t>
            </w:r>
            <w:r w:rsidRPr="004E6A4A">
              <w:rPr>
                <w:rFonts w:ascii="Times New Roman" w:eastAsia="Times New Roman" w:hAnsi="Times New Roman" w:cs="Times New Roman"/>
                <w:sz w:val="20"/>
                <w:szCs w:val="20"/>
              </w:rPr>
              <w:lastRenderedPageBreak/>
              <w:t>detyrimeve të raportimit dhe të vigjilencës së duhur të shtetit anëtar në të cilin mban Llogarinë ose Llogaritë Financiare.</w:t>
            </w:r>
          </w:p>
          <w:p w14:paraId="74D6E72A"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4.</w:t>
            </w:r>
            <w:r w:rsidRPr="004E6A4A">
              <w:rPr>
                <w:rFonts w:ascii="Times New Roman" w:eastAsia="Times New Roman" w:hAnsi="Times New Roman" w:cs="Times New Roman"/>
                <w:sz w:val="20"/>
                <w:szCs w:val="20"/>
              </w:rPr>
              <w:tab/>
              <w:t>Llogaria e mbajtur</w:t>
            </w:r>
          </w:p>
          <w:p w14:paraId="736F3A81"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Në përgjithësi, një llogari konsiderohet se mbahet nga një Institucion Financiar si më poshtë:</w:t>
            </w:r>
          </w:p>
          <w:p w14:paraId="0D2457A2"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(a)</w:t>
            </w:r>
            <w:r w:rsidRPr="004E6A4A">
              <w:rPr>
                <w:rFonts w:ascii="Times New Roman" w:eastAsia="Times New Roman" w:hAnsi="Times New Roman" w:cs="Times New Roman"/>
                <w:sz w:val="20"/>
                <w:szCs w:val="20"/>
              </w:rPr>
              <w:tab/>
              <w:t>në rastin e një Llogarie Kujdestarie, nga Institucioni Financiar që ka në kujdestari aktivet e llogarisë (përfshirë një Institucion Financiar që mban aktive në emër të vet për një Mbajtës Llogarie në këtë institucion);</w:t>
            </w:r>
          </w:p>
          <w:p w14:paraId="4642A390"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(b)</w:t>
            </w:r>
            <w:r w:rsidRPr="004E6A4A">
              <w:rPr>
                <w:rFonts w:ascii="Times New Roman" w:eastAsia="Times New Roman" w:hAnsi="Times New Roman" w:cs="Times New Roman"/>
                <w:sz w:val="20"/>
                <w:szCs w:val="20"/>
              </w:rPr>
              <w:tab/>
              <w:t>në rastin e një Llogarie Depozite, nga Institucioni Financiar që është i detyruar të kryejë pagesa në lidhje me llogarinë (duke përjashtuar një agjent të një Institucioni Financiar, pavarësisht nëse ky agjent është ose jo Institucion Financiar);</w:t>
            </w:r>
          </w:p>
          <w:p w14:paraId="0589B09F"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 xml:space="preserve"> (c)</w:t>
            </w:r>
            <w:r w:rsidRPr="004E6A4A">
              <w:rPr>
                <w:rFonts w:ascii="Times New Roman" w:eastAsia="Times New Roman" w:hAnsi="Times New Roman" w:cs="Times New Roman"/>
                <w:sz w:val="20"/>
                <w:szCs w:val="20"/>
              </w:rPr>
              <w:tab/>
              <w:t>në rastin e çdo interesi në kapital ose në borxh në një Institucion Financiar që përbën Llogari Financiare, nga ky Institucion Financiar;</w:t>
            </w:r>
          </w:p>
          <w:p w14:paraId="0E49670E"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(d)</w:t>
            </w:r>
            <w:r w:rsidRPr="004E6A4A">
              <w:rPr>
                <w:rFonts w:ascii="Times New Roman" w:eastAsia="Times New Roman" w:hAnsi="Times New Roman" w:cs="Times New Roman"/>
                <w:sz w:val="20"/>
                <w:szCs w:val="20"/>
              </w:rPr>
              <w:tab/>
              <w:t>në rastin e një Kontrate Sigurimi në Vlerë në Para të Gatshme ose të një Kontrate Pensioni Vjetor, nga Institucioni Financiar që është i detyruar të kryejë pagesa në lidhje me kontratën.</w:t>
            </w:r>
          </w:p>
          <w:p w14:paraId="31034CC5"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5.</w:t>
            </w:r>
            <w:r w:rsidRPr="004E6A4A">
              <w:rPr>
                <w:rFonts w:ascii="Times New Roman" w:eastAsia="Times New Roman" w:hAnsi="Times New Roman" w:cs="Times New Roman"/>
                <w:sz w:val="20"/>
                <w:szCs w:val="20"/>
              </w:rPr>
              <w:tab/>
              <w:t>Trustet që janë NFE pasive</w:t>
            </w:r>
          </w:p>
          <w:p w14:paraId="66A4DC62"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 xml:space="preserve">Një Njësi Ekonomike, si një partneritet, partneritet me përgjegjësi të kufizuar ose strukturë juridike e ngjashme që nuk ka rezidencë për qëllime tatimore, sipas nënparagrafit D(3) të Seksionit VIII të Aneksit I, trajtohet si rezidente në juridiksionin në të cilin ndodhet vendi i menaxhimit të saj efektiv. Për këto qëllime, një person juridik ose një strukturë juridike konsiderohet “e ngjashme” me një partneritet dhe me një partneritet me përgjegjësi të kufizuar kur nuk trajtohet si njësi e tatueshme në një shtet anëtar sipas legjislacionit tatimor të këtij shteti anëtar. Megjithatë, për të shmangur raportimin e dyfishtë </w:t>
            </w:r>
            <w:r w:rsidRPr="004E6A4A">
              <w:rPr>
                <w:rFonts w:ascii="Times New Roman" w:eastAsia="Times New Roman" w:hAnsi="Times New Roman" w:cs="Times New Roman"/>
                <w:sz w:val="20"/>
                <w:szCs w:val="20"/>
              </w:rPr>
              <w:lastRenderedPageBreak/>
              <w:t>(duke pasur parasysh fushën e gjerë të termit “Persona Kontrollues” në rastin e trusteve), një trust që është NFE pasive nuk mund të konsiderohet strukturë juridike e ngjashme.</w:t>
            </w:r>
          </w:p>
          <w:p w14:paraId="5DA78BFE"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6.</w:t>
            </w:r>
            <w:r w:rsidRPr="004E6A4A">
              <w:rPr>
                <w:rFonts w:ascii="Times New Roman" w:eastAsia="Times New Roman" w:hAnsi="Times New Roman" w:cs="Times New Roman"/>
                <w:sz w:val="20"/>
                <w:szCs w:val="20"/>
              </w:rPr>
              <w:tab/>
              <w:t>Adresa e selisë kryesore të Njësisë Ekonomike</w:t>
            </w:r>
          </w:p>
          <w:p w14:paraId="7FB27ACB"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Një nga kërkesat e përshkruara në nënparagrafin E(6)(c) të Seksionit VIII të Aneksit I është që, në lidhje me një Njësi Ekonomike, dokumentacioni zyrtar të përfshijë ose adresën e selisë kryesore të Njësisë Ekonomike në shtetin anëtar ose në juridiksionin tjetër në të cilin pretendon se është rezidente, ose shtetin anëtar ose juridiksionin tjetër në të cilin Njësia Ekonomike është themeluar ose organizuar. Adresa e selisë kryesore të Njësisë Ekonomike është në përgjithësi vendi ku ndodhet vendi i menaxhimit të saj efektiv. Adresa e një Institucioni Financiar pranë të cilit Njësia Ekonomike mban një llogari, një kuti postare ose një adresë që përdoret vetëm për qëllime postare nuk është adresa e selisë kryesore të Njësisë Ekonomike, përveçse kur kjo adresë është e vetmja adresë e përdorur nga Njësia Ekonomike dhe figuron si adresa e regjistruar e Njësisë Ekonomike në aktet e saj të organizimit. Për më tepër, një adresë që jepet me udhëzimin që e gjithë posta të ruhet në atë adresë nuk është adresa e selisë kryesore të Njësisë Ekonomike.’</w:t>
            </w:r>
          </w:p>
        </w:tc>
        <w:tc>
          <w:tcPr>
            <w:tcW w:w="1350" w:type="dxa"/>
          </w:tcPr>
          <w:p w14:paraId="3D6254B4" w14:textId="77777777" w:rsidR="00C4419F" w:rsidRPr="004E6A4A" w:rsidRDefault="00C4419F" w:rsidP="00C4419F">
            <w:pPr>
              <w:jc w:val="center"/>
              <w:rPr>
                <w:rFonts w:ascii="Times New Roman" w:eastAsia="Calibri" w:hAnsi="Times New Roman" w:cs="Times New Roman"/>
                <w:sz w:val="18"/>
                <w:szCs w:val="18"/>
              </w:rPr>
            </w:pPr>
          </w:p>
        </w:tc>
        <w:tc>
          <w:tcPr>
            <w:tcW w:w="810" w:type="dxa"/>
          </w:tcPr>
          <w:p w14:paraId="005851B0" w14:textId="77777777" w:rsidR="00C4419F" w:rsidRPr="004E6A4A" w:rsidRDefault="00C4419F" w:rsidP="00C4419F">
            <w:pPr>
              <w:jc w:val="center"/>
              <w:rPr>
                <w:rFonts w:ascii="Times New Roman" w:eastAsia="Times New Roman" w:hAnsi="Times New Roman" w:cs="Times New Roman"/>
                <w:sz w:val="20"/>
                <w:szCs w:val="21"/>
                <w:lang w:eastAsia="sq-AL"/>
              </w:rPr>
            </w:pPr>
          </w:p>
        </w:tc>
        <w:tc>
          <w:tcPr>
            <w:tcW w:w="4590" w:type="dxa"/>
          </w:tcPr>
          <w:p w14:paraId="7D1DB0AF" w14:textId="77777777" w:rsidR="00FA0CFF" w:rsidRPr="004E6A4A" w:rsidRDefault="00144445">
            <w:pPr>
              <w:jc w:val="center"/>
            </w:pPr>
            <w:r w:rsidRPr="004E6A4A">
              <w:rPr>
                <w:rFonts w:ascii="Times New Roman" w:eastAsia="Times New Roman" w:hAnsi="Times New Roman" w:cs="Times New Roman"/>
                <w:b/>
                <w:sz w:val="20"/>
              </w:rPr>
              <w:t>VKM: Neni 11</w:t>
            </w:r>
          </w:p>
          <w:p w14:paraId="77101BFD" w14:textId="77777777" w:rsidR="00FA0CFF" w:rsidRPr="004E6A4A" w:rsidRDefault="00144445">
            <w:pPr>
              <w:jc w:val="center"/>
            </w:pPr>
            <w:r w:rsidRPr="004E6A4A">
              <w:rPr>
                <w:rFonts w:ascii="Times New Roman" w:eastAsia="Times New Roman" w:hAnsi="Times New Roman" w:cs="Times New Roman"/>
                <w:b/>
                <w:sz w:val="20"/>
              </w:rPr>
              <w:t>Rregulla plotësuese të raportimit dhe të vigjilencës së duhur lidhur me informacionin mbi llogaritë financiare</w:t>
            </w:r>
          </w:p>
          <w:p w14:paraId="400EA0D6" w14:textId="77777777" w:rsidR="00FA0CFF" w:rsidRPr="004E6A4A" w:rsidRDefault="00144445">
            <w:pPr>
              <w:jc w:val="both"/>
            </w:pPr>
            <w:r w:rsidRPr="004E6A4A">
              <w:rPr>
                <w:rFonts w:ascii="Times New Roman" w:eastAsia="Times New Roman" w:hAnsi="Times New Roman" w:cs="Times New Roman"/>
                <w:sz w:val="20"/>
              </w:rPr>
              <w:t>1. Ndryshimet në rrethana</w:t>
            </w:r>
          </w:p>
          <w:p w14:paraId="0C3D0930" w14:textId="77777777" w:rsidR="00FA0CFF" w:rsidRPr="004E6A4A" w:rsidRDefault="00144445">
            <w:pPr>
              <w:jc w:val="both"/>
            </w:pPr>
            <w:r w:rsidRPr="004E6A4A">
              <w:rPr>
                <w:rFonts w:ascii="Times New Roman" w:eastAsia="Times New Roman" w:hAnsi="Times New Roman" w:cs="Times New Roman"/>
                <w:sz w:val="20"/>
              </w:rPr>
              <w:t>a) “Ndryshimi i rrethanave” përfshin çdo ndryshim që sjell shtimin e informacionit të rëndësishëm për statusin e një personi ose që bie ndesh me statusin e tij. Ai përfshin gjithashtu çdo ndryshim ose shtim të informacionit në llogarinë e Mbajtësit të Llogarisë, përfshirë shtimin, zëvendësimin ose ndryshimin e një Mbajtësi të Llogarisë, ose në një llogari të lidhur me të, duke zbatuar rregullat e agregimit të pikës 5 të nenit 10, kur ky ndryshim ose shtim ndikon në statusin e Mbajtësit të Llogarisë.</w:t>
            </w:r>
          </w:p>
          <w:p w14:paraId="1C9628F1" w14:textId="77777777" w:rsidR="00FA0CFF" w:rsidRPr="004E6A4A" w:rsidRDefault="00144445">
            <w:pPr>
              <w:jc w:val="both"/>
            </w:pPr>
            <w:r w:rsidRPr="004E6A4A">
              <w:rPr>
                <w:rFonts w:ascii="Times New Roman" w:eastAsia="Times New Roman" w:hAnsi="Times New Roman" w:cs="Times New Roman"/>
                <w:sz w:val="20"/>
              </w:rPr>
              <w:lastRenderedPageBreak/>
              <w:t>b) Për qëllimet e procedurave të vigjilencës së duhur të përcaktuara në nenet 6-10, kur ka një ndryshim në procedurat e aplikueshme të PPP/NJKT-së, informacioni shtesë i marrë sipas procedurave të tilla të ndryshuara të PPP/NJKT-së duhet të përdoret për të përcaktuar nëse ka pasur një ndryshim në rrethanat në lidhje me identitetin dhe/ose statusin e raportueshëm të mbajtësve të llogarisë dhe/ose të personave kontrollues.</w:t>
            </w:r>
          </w:p>
          <w:p w14:paraId="47AD695C" w14:textId="77777777" w:rsidR="00FA0CFF" w:rsidRPr="004E6A4A" w:rsidRDefault="00144445">
            <w:pPr>
              <w:jc w:val="both"/>
            </w:pPr>
            <w:r w:rsidRPr="004E6A4A">
              <w:rPr>
                <w:rFonts w:ascii="Times New Roman" w:eastAsia="Times New Roman" w:hAnsi="Times New Roman" w:cs="Times New Roman"/>
                <w:sz w:val="20"/>
              </w:rPr>
              <w:t>c) Nëse institucioni financiar raportues është mbështetur në testin e adresës së rezidencës dhe një ndryshim i rrethanave bën që ai të dijë ose të ketë arsye të dijë se evidenca shkresore fillestare është e pasaktë ose jo e besueshme, institucioni merr një vetëdeklarim dhe evidencë të re shkresore për përcaktimin e rezidencës tatimore jo më vonë se data më e vonshme ndërmjet: i. ditës së fundit të vitit kalendarik ose periudhës tjetër përkatëse të raportimit; dhe ii. ditës së 90-të kalendarike pas njoftimit ose zbulimit të ndryshimit të rrethanave. Kur dokumentacioni nuk merret brenda këtij afati, institucioni zbaton procedurën e kërkimit elektronik të nenit 6.</w:t>
            </w:r>
          </w:p>
          <w:p w14:paraId="62AFD705" w14:textId="77777777" w:rsidR="00FA0CFF" w:rsidRPr="004E6A4A" w:rsidRDefault="00144445">
            <w:pPr>
              <w:jc w:val="both"/>
            </w:pPr>
            <w:r w:rsidRPr="004E6A4A">
              <w:rPr>
                <w:rFonts w:ascii="Times New Roman" w:eastAsia="Times New Roman" w:hAnsi="Times New Roman" w:cs="Times New Roman"/>
                <w:sz w:val="20"/>
              </w:rPr>
              <w:t>2. Vetëdeklarim për llogaritë e reja të njësisë ekonomike: Për sa u përket llogarive të reja të njësive ekonomike, për qëllime të përcaktimit nëse një person kontrollues i një NFE-je pasive është një person i raportueshëm, një institucion financiar raportues mund të mbështetet vetëm në një vetëdeklarim nga mbajtësi i llogarisë ose personi kontrollues.</w:t>
            </w:r>
          </w:p>
          <w:p w14:paraId="0ED8CA8A" w14:textId="77777777" w:rsidR="00FA0CFF" w:rsidRPr="004E6A4A" w:rsidRDefault="00144445">
            <w:pPr>
              <w:jc w:val="both"/>
            </w:pPr>
            <w:r w:rsidRPr="004E6A4A">
              <w:rPr>
                <w:rFonts w:ascii="Times New Roman" w:eastAsia="Times New Roman" w:hAnsi="Times New Roman" w:cs="Times New Roman"/>
                <w:sz w:val="20"/>
              </w:rPr>
              <w:t xml:space="preserve">3. Rezidenca e institucionit financiar. Për profilin e Bashkimit Evropian, një institucion financiar është rezident në një shtet anëtar kur është subjekt i juridiksionit të atij shteti anëtar, në mënyrë që ky shtet të mund të zbatojë ndaj tij detyrimet e raportimit. Për profilin e Standardit të Përbashkët të Raportimit, i njëjti kriter zbatohet në lidhje me një Juridiksion Pjesëmarrës. Kur institucioni financiar është rezident </w:t>
            </w:r>
            <w:r w:rsidRPr="004E6A4A">
              <w:rPr>
                <w:rFonts w:ascii="Times New Roman" w:eastAsia="Times New Roman" w:hAnsi="Times New Roman" w:cs="Times New Roman"/>
                <w:sz w:val="20"/>
              </w:rPr>
              <w:lastRenderedPageBreak/>
              <w:t>për qëllime tatimore në shtetin anëtar ose Juridiksionin Pjesëmarrës përkatës, ai konsiderohet, në parim, subjekt i juridiksionit të tij.</w:t>
            </w:r>
          </w:p>
          <w:p w14:paraId="2DDEBCF1" w14:textId="77777777" w:rsidR="00FA0CFF" w:rsidRPr="004E6A4A" w:rsidRDefault="00144445">
            <w:pPr>
              <w:jc w:val="both"/>
            </w:pPr>
            <w:r w:rsidRPr="004E6A4A">
              <w:rPr>
                <w:rFonts w:ascii="Times New Roman" w:eastAsia="Times New Roman" w:hAnsi="Times New Roman" w:cs="Times New Roman"/>
                <w:sz w:val="20"/>
              </w:rPr>
              <w:t>a) Në rastin e një trusti që është institucion financiar, pavarësisht nëse trusti është rezident për qëllime tatimore, ai konsiderohet subjekt i juridiksionit: a) për profilin e Bashkimit Evropian, të një shteti anëtar kur një ose më shumë administratorë të tij janë rezidentë në atë shtet anëtar, përveçse kur trusti i raporton të gjithë informacionin e kërkuar për Llogaritë e Raportueshme një shteti tjetër anëtar sepse është rezident për qëllime tatimore në atë shtet tjetër anëtar; b) për profilin e Standardit të Përbashkët të Raportimit, të një Juridiksioni Pjesëmarrës kur një ose më shumë administratorë të tij janë rezidentë në atë juridiksion, përveçse kur trusti i raporton të gjithë informacionin e kërkuar një Juridiksioni tjetër Pjesëmarrës sepse është rezident për qëllime tatimore në atë juridiksion tjetër.</w:t>
            </w:r>
          </w:p>
          <w:p w14:paraId="550334DA" w14:textId="77777777" w:rsidR="00FA0CFF" w:rsidRPr="004E6A4A" w:rsidRDefault="00144445">
            <w:pPr>
              <w:jc w:val="both"/>
            </w:pPr>
            <w:r w:rsidRPr="004E6A4A">
              <w:rPr>
                <w:rFonts w:ascii="Times New Roman" w:eastAsia="Times New Roman" w:hAnsi="Times New Roman" w:cs="Times New Roman"/>
                <w:sz w:val="20"/>
              </w:rPr>
              <w:t>b) Kur një institucion financiar, përveç një trusti, nuk ka rezidencë për qëllime tatimore, për shembull sepse trajtohet si transparent fiskalisht ose ndodhet në një juridiksion që nuk zbaton tatim mbi të ardhurat, ai konsiderohet subjekt i juridiksionit të shtetit anëtar, për profilin e Bashkimit Evropian, ose të Juridiksionit Pjesëmarrës, për profilin e Standardit të Përbashkët të Raportimit, kur plotëson të paktën një nga kushtet e mëposhtme:</w:t>
            </w:r>
          </w:p>
          <w:p w14:paraId="770F7E16" w14:textId="77777777" w:rsidR="00FA0CFF" w:rsidRPr="004E6A4A" w:rsidRDefault="00144445">
            <w:pPr>
              <w:jc w:val="both"/>
            </w:pPr>
            <w:r w:rsidRPr="004E6A4A">
              <w:rPr>
                <w:rFonts w:ascii="Times New Roman" w:eastAsia="Times New Roman" w:hAnsi="Times New Roman" w:cs="Times New Roman"/>
                <w:sz w:val="20"/>
              </w:rPr>
              <w:t>i. është themeluar sipas ligjeve të shtetit anëtar ose Juridiksionit Pjesëmarrës përkatës;</w:t>
            </w:r>
          </w:p>
          <w:p w14:paraId="28650B9A" w14:textId="77777777" w:rsidR="00FA0CFF" w:rsidRPr="004E6A4A" w:rsidRDefault="00144445">
            <w:pPr>
              <w:jc w:val="both"/>
            </w:pPr>
            <w:r w:rsidRPr="004E6A4A">
              <w:rPr>
                <w:rFonts w:ascii="Times New Roman" w:eastAsia="Times New Roman" w:hAnsi="Times New Roman" w:cs="Times New Roman"/>
                <w:sz w:val="20"/>
              </w:rPr>
              <w:t>ii. ka vendin e menaxhimit, përfshirë vendin e menaxhimit efektiv, në shtetin anëtar ose Juridiksionin Pjesëmarrës përkatës; ose</w:t>
            </w:r>
          </w:p>
          <w:p w14:paraId="477AE54B" w14:textId="77777777" w:rsidR="00FA0CFF" w:rsidRPr="004E6A4A" w:rsidRDefault="00144445">
            <w:pPr>
              <w:jc w:val="both"/>
            </w:pPr>
            <w:r w:rsidRPr="004E6A4A">
              <w:rPr>
                <w:rFonts w:ascii="Times New Roman" w:eastAsia="Times New Roman" w:hAnsi="Times New Roman" w:cs="Times New Roman"/>
                <w:sz w:val="20"/>
              </w:rPr>
              <w:t>iii. i nënshtrohet mbikëqyrjes financiare në shtetin anëtar ose Juridiksionin Pjesëmarrës përkatës.</w:t>
            </w:r>
          </w:p>
          <w:p w14:paraId="50BB39A0" w14:textId="77777777" w:rsidR="00FA0CFF" w:rsidRPr="004E6A4A" w:rsidRDefault="00144445">
            <w:pPr>
              <w:jc w:val="both"/>
            </w:pPr>
            <w:r w:rsidRPr="004E6A4A">
              <w:rPr>
                <w:rFonts w:ascii="Times New Roman" w:eastAsia="Times New Roman" w:hAnsi="Times New Roman" w:cs="Times New Roman"/>
                <w:sz w:val="20"/>
              </w:rPr>
              <w:t xml:space="preserve">c) Kur një institucion financiar, përveç një trusti, është rezident në dy ose më shumë shtete anëtare, për profilin e Bashkimit Evropian, ose në dy ose më shumë </w:t>
            </w:r>
            <w:r w:rsidRPr="004E6A4A">
              <w:rPr>
                <w:rFonts w:ascii="Times New Roman" w:eastAsia="Times New Roman" w:hAnsi="Times New Roman" w:cs="Times New Roman"/>
                <w:sz w:val="20"/>
              </w:rPr>
              <w:lastRenderedPageBreak/>
              <w:t>Juridiksione Pjesëmarrëse, për profilin e Standardit të Përbashkët të Raportimit, ai u nënshtrohet detyrimeve të raportimit dhe të vigjilencës së duhur të juridiksionit në të cilin mban Llogarinë ose Llogaritë Financiare.</w:t>
            </w:r>
          </w:p>
          <w:p w14:paraId="399E7EA0" w14:textId="77777777" w:rsidR="00FA0CFF" w:rsidRPr="004E6A4A" w:rsidRDefault="00144445">
            <w:pPr>
              <w:jc w:val="both"/>
            </w:pPr>
            <w:r w:rsidRPr="004E6A4A">
              <w:rPr>
                <w:rFonts w:ascii="Times New Roman" w:eastAsia="Times New Roman" w:hAnsi="Times New Roman" w:cs="Times New Roman"/>
                <w:sz w:val="20"/>
              </w:rPr>
              <w:t>4. Mbajtja e llogarisë: Në përgjithësi, një llogari do të konsiderohet se mbahet nga një institucion financiar në rastet e mëposhtme:</w:t>
            </w:r>
          </w:p>
          <w:p w14:paraId="106C8F41" w14:textId="77777777" w:rsidR="00FA0CFF" w:rsidRPr="004E6A4A" w:rsidRDefault="00144445">
            <w:pPr>
              <w:jc w:val="both"/>
            </w:pPr>
            <w:r w:rsidRPr="004E6A4A">
              <w:rPr>
                <w:rFonts w:ascii="Times New Roman" w:eastAsia="Times New Roman" w:hAnsi="Times New Roman" w:cs="Times New Roman"/>
                <w:sz w:val="20"/>
              </w:rPr>
              <w:t>a) në rastin e një llogarie të kujdestarisë, nga institucioni financiar që ka kujdestarinë mbi aktivet e llogarisë (duke përfshirë një institucion financiar që mban aktive në emër të mbajtësit të llogarisë në një institucion të tillë);</w:t>
            </w:r>
          </w:p>
          <w:p w14:paraId="2FC05CE6" w14:textId="77777777" w:rsidR="00FA0CFF" w:rsidRPr="004E6A4A" w:rsidRDefault="00144445">
            <w:pPr>
              <w:jc w:val="both"/>
            </w:pPr>
            <w:r w:rsidRPr="004E6A4A">
              <w:rPr>
                <w:rFonts w:ascii="Times New Roman" w:eastAsia="Times New Roman" w:hAnsi="Times New Roman" w:cs="Times New Roman"/>
                <w:sz w:val="20"/>
              </w:rPr>
              <w:t>b) në rastin e një llogarie depozitë, nga institucioni financiar i cili është i detyruar të kryejë pagesa në lidhje me llogarinë (përjashtuar një agjent të një institucioni financiar pavarësisht nëse një agjent i tillë është një institucion financiar);</w:t>
            </w:r>
          </w:p>
          <w:p w14:paraId="01B8A472" w14:textId="77777777" w:rsidR="00FA0CFF" w:rsidRPr="004E6A4A" w:rsidRDefault="00144445">
            <w:pPr>
              <w:jc w:val="both"/>
            </w:pPr>
            <w:r w:rsidRPr="004E6A4A">
              <w:rPr>
                <w:rFonts w:ascii="Times New Roman" w:eastAsia="Times New Roman" w:hAnsi="Times New Roman" w:cs="Times New Roman"/>
                <w:sz w:val="20"/>
              </w:rPr>
              <w:t>c) në rastin e ndonjë interesi ose borxhit të kapitalit në një institucion financiar që përbën një llogari financiare, nga ky institucion financiar;</w:t>
            </w:r>
          </w:p>
          <w:p w14:paraId="2389686E" w14:textId="77777777" w:rsidR="00FA0CFF" w:rsidRPr="004E6A4A" w:rsidRDefault="00144445">
            <w:pPr>
              <w:jc w:val="both"/>
            </w:pPr>
            <w:r w:rsidRPr="004E6A4A">
              <w:rPr>
                <w:rFonts w:ascii="Times New Roman" w:eastAsia="Times New Roman" w:hAnsi="Times New Roman" w:cs="Times New Roman"/>
                <w:sz w:val="20"/>
              </w:rPr>
              <w:t>ç) në rastin e një kontrate sigurimi në vlerë në para të gatshme ose të një kontrate të pensionit vjetor, nga institucioni financiar që është i detyruar të kryejë pagesa në lidhje me kontratën.</w:t>
            </w:r>
          </w:p>
          <w:p w14:paraId="69781495" w14:textId="77777777" w:rsidR="00FA0CFF" w:rsidRPr="004E6A4A" w:rsidRDefault="00144445">
            <w:pPr>
              <w:jc w:val="both"/>
            </w:pPr>
            <w:r w:rsidRPr="004E6A4A">
              <w:rPr>
                <w:rFonts w:ascii="Times New Roman" w:eastAsia="Times New Roman" w:hAnsi="Times New Roman" w:cs="Times New Roman"/>
                <w:sz w:val="20"/>
              </w:rPr>
              <w:t>5. Njësitë ekonomike pa rezidencë tatimore. Një njësi ekonomike, si partneriteti, partneriteti me përgjegjësi të kufizuar ose strukturë ligjore e ngjashme, që nuk ka rezidencë për qëllime tatimore, trajtohet si rezidente në juridiksionin ku ndodhet vendi i menaxhimit efektiv. Për të shmangur raportimin e dyfishtë, një trust që është NFE pasive nuk trajtohet si strukturë e ngjashme vetëm për këtë qëllim.</w:t>
            </w:r>
          </w:p>
          <w:p w14:paraId="3EBA9A0E" w14:textId="77777777" w:rsidR="00FA0CFF" w:rsidRPr="004E6A4A" w:rsidRDefault="00144445">
            <w:pPr>
              <w:jc w:val="both"/>
            </w:pPr>
            <w:r w:rsidRPr="004E6A4A">
              <w:rPr>
                <w:rFonts w:ascii="Times New Roman" w:eastAsia="Times New Roman" w:hAnsi="Times New Roman" w:cs="Times New Roman"/>
                <w:sz w:val="20"/>
              </w:rPr>
              <w:t>6. Adresa e selisë qendrore të njësisë ekonomike:</w:t>
            </w:r>
          </w:p>
          <w:p w14:paraId="17B4E394" w14:textId="77777777" w:rsidR="00FA0CFF" w:rsidRPr="004E6A4A" w:rsidRDefault="00144445">
            <w:pPr>
              <w:jc w:val="both"/>
            </w:pPr>
            <w:r w:rsidRPr="004E6A4A">
              <w:rPr>
                <w:rFonts w:ascii="Times New Roman" w:eastAsia="Times New Roman" w:hAnsi="Times New Roman" w:cs="Times New Roman"/>
                <w:sz w:val="20"/>
              </w:rPr>
              <w:t xml:space="preserve">a) Një nga kërkesat e përcaktuara në nenin 5, pika 25, shkronja “c”, të ligjit është që, për një Njësi Ekonomike, dokumentacioni zyrtar të përfshijë emrin e Njësisë Ekonomike dhe adresën e selisë së saj </w:t>
            </w:r>
            <w:r w:rsidRPr="004E6A4A">
              <w:rPr>
                <w:rFonts w:ascii="Times New Roman" w:eastAsia="Times New Roman" w:hAnsi="Times New Roman" w:cs="Times New Roman"/>
                <w:sz w:val="20"/>
              </w:rPr>
              <w:lastRenderedPageBreak/>
              <w:t>qendrore në juridiksionin ku pretendon se është rezidente ose juridiksionin ku është themeluar apo organizuar. Adresa kryesore e një njësie ekonomike është adresa ku menaxhohet efektivisht.</w:t>
            </w:r>
          </w:p>
          <w:p w14:paraId="118B6C1A" w14:textId="77777777" w:rsidR="00FA0CFF" w:rsidRPr="004E6A4A" w:rsidRDefault="00144445">
            <w:pPr>
              <w:jc w:val="both"/>
            </w:pPr>
            <w:r w:rsidRPr="004E6A4A">
              <w:rPr>
                <w:rFonts w:ascii="Times New Roman" w:eastAsia="Times New Roman" w:hAnsi="Times New Roman" w:cs="Times New Roman"/>
                <w:sz w:val="20"/>
              </w:rPr>
              <w:t>b) Adresa e një institucioni financiar në të cilin njësia ekonomike mban një llogari, një kuti postare ose një adresë të cilën e përdor vetëm për qëllime postimi nuk është adresa e selisë qendrore e njësisë ekonomike, përveçse kur kjo adresë është adresa e vetme e përdorur nga njësia ekonomike dhe paraqitet si adresa e regjistruar e njësisë ekonomike në të gjitha dokumentet zyrtare.</w:t>
            </w:r>
          </w:p>
          <w:p w14:paraId="2CBED1ED" w14:textId="77777777" w:rsidR="00FA0CFF" w:rsidRPr="004E6A4A" w:rsidRDefault="00144445">
            <w:pPr>
              <w:jc w:val="both"/>
            </w:pPr>
            <w:r w:rsidRPr="004E6A4A">
              <w:rPr>
                <w:rFonts w:ascii="Times New Roman" w:eastAsia="Times New Roman" w:hAnsi="Times New Roman" w:cs="Times New Roman"/>
                <w:sz w:val="20"/>
              </w:rPr>
              <w:t>c) Adresa e cila është përcaktuar për të mbajtur të gjithë postën në atë adresë nuk përfaqëson adresën e selisë kryesore të njësisë ekonomike.</w:t>
            </w:r>
          </w:p>
        </w:tc>
        <w:tc>
          <w:tcPr>
            <w:tcW w:w="1620" w:type="dxa"/>
          </w:tcPr>
          <w:p w14:paraId="06039283" w14:textId="77777777" w:rsidR="00A51FF1" w:rsidRPr="004E6A4A" w:rsidRDefault="00A51FF1" w:rsidP="00C4419F">
            <w:pPr>
              <w:jc w:val="center"/>
              <w:rPr>
                <w:rFonts w:ascii="Times New Roman" w:eastAsia="Calibri" w:hAnsi="Times New Roman" w:cs="Times New Roman"/>
                <w:sz w:val="18"/>
                <w:szCs w:val="18"/>
              </w:rPr>
            </w:pPr>
          </w:p>
          <w:p w14:paraId="2F41FD4B" w14:textId="6AA639C8" w:rsidR="00C4419F" w:rsidRPr="004E6A4A" w:rsidRDefault="00A51FF1"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2F883895"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Përputhet.</w:t>
            </w:r>
          </w:p>
          <w:p w14:paraId="17EF6A8C"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Transpozohet nga neni 11 i VKM-së.</w:t>
            </w:r>
          </w:p>
        </w:tc>
      </w:tr>
      <w:tr w:rsidR="004E6A4A" w:rsidRPr="004E6A4A" w14:paraId="157BE5EF" w14:textId="77777777" w:rsidTr="00153084">
        <w:trPr>
          <w:trHeight w:val="764"/>
        </w:trPr>
        <w:tc>
          <w:tcPr>
            <w:tcW w:w="630" w:type="dxa"/>
          </w:tcPr>
          <w:p w14:paraId="56D73C19" w14:textId="77777777" w:rsidR="00FA0CFF" w:rsidRPr="004E6A4A" w:rsidRDefault="00FA0CFF"/>
        </w:tc>
        <w:tc>
          <w:tcPr>
            <w:tcW w:w="4230" w:type="dxa"/>
          </w:tcPr>
          <w:p w14:paraId="1A29709D"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Nuk ka dispozitë përkatëse në Direktivën 2014/107/BE të Këshillit.</w:t>
            </w:r>
          </w:p>
        </w:tc>
        <w:tc>
          <w:tcPr>
            <w:tcW w:w="1350" w:type="dxa"/>
          </w:tcPr>
          <w:p w14:paraId="42D1EF3B" w14:textId="77777777" w:rsidR="00FA0CFF" w:rsidRPr="004E6A4A" w:rsidRDefault="00FA0CFF">
            <w:pPr>
              <w:jc w:val="both"/>
            </w:pPr>
          </w:p>
        </w:tc>
        <w:tc>
          <w:tcPr>
            <w:tcW w:w="810" w:type="dxa"/>
          </w:tcPr>
          <w:p w14:paraId="0AD38D1E" w14:textId="77777777" w:rsidR="00FA0CFF" w:rsidRPr="004E6A4A" w:rsidRDefault="00FA0CFF">
            <w:pPr>
              <w:jc w:val="both"/>
            </w:pPr>
          </w:p>
        </w:tc>
        <w:tc>
          <w:tcPr>
            <w:tcW w:w="4590" w:type="dxa"/>
          </w:tcPr>
          <w:p w14:paraId="70D973D7" w14:textId="77777777" w:rsidR="00FA0CFF" w:rsidRPr="004E6A4A" w:rsidRDefault="00144445">
            <w:pPr>
              <w:jc w:val="center"/>
            </w:pPr>
            <w:r w:rsidRPr="004E6A4A">
              <w:rPr>
                <w:rFonts w:ascii="Times New Roman" w:eastAsia="Times New Roman" w:hAnsi="Times New Roman" w:cs="Times New Roman"/>
                <w:b/>
                <w:sz w:val="20"/>
              </w:rPr>
              <w:t>Ligji: Neni 2</w:t>
            </w:r>
          </w:p>
          <w:p w14:paraId="613DE4EE" w14:textId="77777777" w:rsidR="00FA0CFF" w:rsidRPr="004E6A4A" w:rsidRDefault="00144445">
            <w:pPr>
              <w:jc w:val="center"/>
            </w:pPr>
            <w:r w:rsidRPr="004E6A4A">
              <w:rPr>
                <w:rFonts w:ascii="Times New Roman" w:eastAsia="Times New Roman" w:hAnsi="Times New Roman" w:cs="Times New Roman"/>
                <w:b/>
                <w:sz w:val="20"/>
              </w:rPr>
              <w:t>Qëllimi</w:t>
            </w:r>
          </w:p>
          <w:p w14:paraId="1E8478F9" w14:textId="77777777" w:rsidR="00FA0CFF" w:rsidRPr="004E6A4A" w:rsidRDefault="00144445">
            <w:pPr>
              <w:jc w:val="both"/>
            </w:pPr>
            <w:r w:rsidRPr="004E6A4A">
              <w:rPr>
                <w:rFonts w:ascii="Times New Roman" w:eastAsia="Times New Roman" w:hAnsi="Times New Roman" w:cs="Times New Roman"/>
                <w:sz w:val="20"/>
              </w:rPr>
              <w:t>1. Ky ligj ka për qëllim krijimin e kuadrit ligjor për zbatimin e:</w:t>
            </w:r>
          </w:p>
          <w:p w14:paraId="5B219B42" w14:textId="77777777" w:rsidR="00FA0CFF" w:rsidRPr="004E6A4A" w:rsidRDefault="00144445">
            <w:pPr>
              <w:jc w:val="both"/>
            </w:pPr>
            <w:r w:rsidRPr="004E6A4A">
              <w:rPr>
                <w:rFonts w:ascii="Times New Roman" w:eastAsia="Times New Roman" w:hAnsi="Times New Roman" w:cs="Times New Roman"/>
                <w:sz w:val="20"/>
              </w:rPr>
              <w:t>a) Direktivës 2011/16/BE të Këshillit, të ndryshuar, në marrëdhëniet me shtetet anëtare të Bashkimit Evropian;</w:t>
            </w:r>
          </w:p>
          <w:p w14:paraId="334E12A9" w14:textId="77777777" w:rsidR="00FA0CFF" w:rsidRPr="004E6A4A" w:rsidRDefault="00144445">
            <w:pPr>
              <w:jc w:val="both"/>
            </w:pPr>
            <w:r w:rsidRPr="004E6A4A">
              <w:rPr>
                <w:rFonts w:ascii="Times New Roman" w:eastAsia="Times New Roman" w:hAnsi="Times New Roman" w:cs="Times New Roman"/>
                <w:sz w:val="20"/>
              </w:rPr>
              <w:t>b) Konventës për Ndihmën e Ndërsjellë Administrative në Çështje Tatimore; dhe</w:t>
            </w:r>
          </w:p>
          <w:p w14:paraId="552EB582" w14:textId="77777777" w:rsidR="00FA0CFF" w:rsidRPr="004E6A4A" w:rsidRDefault="00144445">
            <w:pPr>
              <w:jc w:val="both"/>
            </w:pPr>
            <w:r w:rsidRPr="004E6A4A">
              <w:rPr>
                <w:rFonts w:ascii="Times New Roman" w:eastAsia="Times New Roman" w:hAnsi="Times New Roman" w:cs="Times New Roman"/>
                <w:sz w:val="20"/>
              </w:rPr>
              <w:lastRenderedPageBreak/>
              <w:t>c) Marrëveshjes Shumëpalëshe të Autoriteteve Kompetente për shkëmbimin automatik të informacionit të llogarive financiare,</w:t>
            </w:r>
          </w:p>
          <w:p w14:paraId="7BF62D71" w14:textId="77777777" w:rsidR="00FA0CFF" w:rsidRPr="004E6A4A" w:rsidRDefault="00144445">
            <w:pPr>
              <w:jc w:val="both"/>
            </w:pPr>
            <w:r w:rsidRPr="004E6A4A">
              <w:rPr>
                <w:rFonts w:ascii="Times New Roman" w:eastAsia="Times New Roman" w:hAnsi="Times New Roman" w:cs="Times New Roman"/>
                <w:sz w:val="20"/>
              </w:rPr>
              <w:t>me synim parandalimin dhe luftimin e mashtrimit tatimor dhe evazionit fiskal, si dhe përmirësimin e pajtueshmërisë tatimore në nivel kombëtar dhe ndërkombëtar.</w:t>
            </w:r>
          </w:p>
          <w:p w14:paraId="2E3A3380" w14:textId="77777777" w:rsidR="00FA0CFF" w:rsidRPr="004E6A4A" w:rsidRDefault="00FA0CFF"/>
          <w:p w14:paraId="09D67B43" w14:textId="77777777" w:rsidR="00FA0CFF" w:rsidRPr="004E6A4A" w:rsidRDefault="00144445">
            <w:pPr>
              <w:jc w:val="center"/>
            </w:pPr>
            <w:r w:rsidRPr="004E6A4A">
              <w:rPr>
                <w:rFonts w:ascii="Times New Roman" w:eastAsia="Times New Roman" w:hAnsi="Times New Roman" w:cs="Times New Roman"/>
                <w:b/>
                <w:sz w:val="20"/>
              </w:rPr>
              <w:t>Ligji: Neni 3</w:t>
            </w:r>
          </w:p>
          <w:p w14:paraId="044370F1" w14:textId="77777777" w:rsidR="00FA0CFF" w:rsidRPr="004E6A4A" w:rsidRDefault="00144445">
            <w:pPr>
              <w:jc w:val="center"/>
            </w:pPr>
            <w:r w:rsidRPr="004E6A4A">
              <w:rPr>
                <w:rFonts w:ascii="Times New Roman" w:eastAsia="Times New Roman" w:hAnsi="Times New Roman" w:cs="Times New Roman"/>
                <w:b/>
                <w:sz w:val="20"/>
              </w:rPr>
              <w:t>Parimet e zbatimit</w:t>
            </w:r>
          </w:p>
          <w:p w14:paraId="2A50787D" w14:textId="77777777" w:rsidR="00FA0CFF" w:rsidRPr="004E6A4A" w:rsidRDefault="00144445">
            <w:pPr>
              <w:jc w:val="both"/>
            </w:pPr>
            <w:r w:rsidRPr="004E6A4A">
              <w:rPr>
                <w:rFonts w:ascii="Times New Roman" w:eastAsia="Times New Roman" w:hAnsi="Times New Roman" w:cs="Times New Roman"/>
                <w:sz w:val="20"/>
              </w:rPr>
              <w:t>1. Mbledhja, raportimi, shkëmbimi dhe përdorimi i informacionit të llogarive financiare kryhen duke respektuar konfidencialitetin, përdorimin e lejuar të informacionit, mbrojtjen e të dhënave personale dhe sigurinë e informacionit.</w:t>
            </w:r>
          </w:p>
          <w:p w14:paraId="6C2B09F5" w14:textId="77777777" w:rsidR="00FA0CFF" w:rsidRPr="004E6A4A" w:rsidRDefault="00144445">
            <w:pPr>
              <w:jc w:val="both"/>
            </w:pPr>
            <w:r w:rsidRPr="004E6A4A">
              <w:rPr>
                <w:rFonts w:ascii="Times New Roman" w:eastAsia="Times New Roman" w:hAnsi="Times New Roman" w:cs="Times New Roman"/>
                <w:sz w:val="20"/>
              </w:rPr>
              <w:t>2. Për shkëmbimet me shtetet anëtare të Bashkimit Evropian, zbatohen plotësueshëm dispozitat e ligjit “Për bashkëpunimin administrativ në fushën e tatimeve dhe shkëmbimin e informacionit tatimor”, përfshirë dispozitat për konfidencialitetin, përdorimin e lejuar, mbrojtjen e të dhënave personale, shkeljet e të dhënave dhe përdorimin e rrjetit CCN.</w:t>
            </w:r>
          </w:p>
          <w:p w14:paraId="4A29DED6" w14:textId="77777777" w:rsidR="00FA0CFF" w:rsidRPr="004E6A4A" w:rsidRDefault="00144445">
            <w:pPr>
              <w:jc w:val="both"/>
            </w:pPr>
            <w:r w:rsidRPr="004E6A4A">
              <w:rPr>
                <w:rFonts w:ascii="Times New Roman" w:eastAsia="Times New Roman" w:hAnsi="Times New Roman" w:cs="Times New Roman"/>
                <w:sz w:val="20"/>
              </w:rPr>
              <w:t>3. Për shkëmbimet me juridiksionet që nuk janë shtete anëtare të Bashkimit Evropian, zbatohen Konventa për Ndihmën e Ndërsjellë Administrative në Çështjet Tatimore, Marrëveshja Shumëpalëshe e Autoriteteve Kompetente, Standardi i Përbashkët i Raportimit dhe legjislacioni kombëtar përkatës.</w:t>
            </w:r>
          </w:p>
          <w:p w14:paraId="435681B2" w14:textId="77777777" w:rsidR="00FA0CFF" w:rsidRPr="004E6A4A" w:rsidRDefault="00FA0CFF"/>
          <w:p w14:paraId="68BA6E37" w14:textId="77777777" w:rsidR="00FA0CFF" w:rsidRPr="004E6A4A" w:rsidRDefault="00144445">
            <w:pPr>
              <w:jc w:val="center"/>
            </w:pPr>
            <w:r w:rsidRPr="004E6A4A">
              <w:rPr>
                <w:rFonts w:ascii="Times New Roman" w:eastAsia="Times New Roman" w:hAnsi="Times New Roman" w:cs="Times New Roman"/>
                <w:b/>
                <w:sz w:val="20"/>
              </w:rPr>
              <w:t>Ligji: Neni 4</w:t>
            </w:r>
          </w:p>
          <w:p w14:paraId="53232B0A" w14:textId="77777777" w:rsidR="00FA0CFF" w:rsidRPr="004E6A4A" w:rsidRDefault="00144445">
            <w:pPr>
              <w:jc w:val="center"/>
            </w:pPr>
            <w:r w:rsidRPr="004E6A4A">
              <w:rPr>
                <w:rFonts w:ascii="Times New Roman" w:eastAsia="Times New Roman" w:hAnsi="Times New Roman" w:cs="Times New Roman"/>
                <w:b/>
                <w:sz w:val="20"/>
              </w:rPr>
              <w:t>Subjektet</w:t>
            </w:r>
          </w:p>
          <w:p w14:paraId="07371087" w14:textId="77777777" w:rsidR="00FA0CFF" w:rsidRPr="004E6A4A" w:rsidRDefault="00144445">
            <w:pPr>
              <w:jc w:val="both"/>
            </w:pPr>
            <w:r w:rsidRPr="004E6A4A">
              <w:rPr>
                <w:rFonts w:ascii="Times New Roman" w:eastAsia="Times New Roman" w:hAnsi="Times New Roman" w:cs="Times New Roman"/>
                <w:sz w:val="20"/>
              </w:rPr>
              <w:t>1. Subjekte të këtij ligji janë institucionet financiare raportuese në Republikën e Shqipërisë dhe, vetëm për detyrimet që u ngarkohen shprehimisht nga ky ligj ose nga aktet nënligjore të nxjerra në zbatim të tij, mbajtësit e llogarive, personat kontrollues, ofruesit e shërbimeve palë e tretë dhe personat e tjerë përgjegjës.</w:t>
            </w:r>
          </w:p>
        </w:tc>
        <w:tc>
          <w:tcPr>
            <w:tcW w:w="1620" w:type="dxa"/>
          </w:tcPr>
          <w:p w14:paraId="6681C21D" w14:textId="77777777" w:rsidR="00FA0CFF" w:rsidRPr="004E6A4A" w:rsidRDefault="00144445">
            <w:pPr>
              <w:jc w:val="center"/>
            </w:pPr>
            <w:r w:rsidRPr="004E6A4A">
              <w:rPr>
                <w:rFonts w:ascii="Times New Roman" w:hAnsi="Times New Roman" w:cs="Times New Roman"/>
                <w:sz w:val="20"/>
              </w:rPr>
              <w:lastRenderedPageBreak/>
              <w:t>N/A</w:t>
            </w:r>
          </w:p>
        </w:tc>
        <w:tc>
          <w:tcPr>
            <w:tcW w:w="2970" w:type="dxa"/>
          </w:tcPr>
          <w:p w14:paraId="1B00BFC8"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Dispozitë kombëtare.</w:t>
            </w:r>
          </w:p>
          <w:p w14:paraId="06CA2F0E"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Qëllimi, parimet e zbatimit dhe subjektet e projektligjit.</w:t>
            </w:r>
          </w:p>
        </w:tc>
      </w:tr>
      <w:tr w:rsidR="004E6A4A" w:rsidRPr="004E6A4A" w14:paraId="68D0E53D" w14:textId="77777777" w:rsidTr="00153084">
        <w:trPr>
          <w:trHeight w:val="764"/>
        </w:trPr>
        <w:tc>
          <w:tcPr>
            <w:tcW w:w="630" w:type="dxa"/>
          </w:tcPr>
          <w:p w14:paraId="4D30BDFE" w14:textId="77777777" w:rsidR="00FA0CFF" w:rsidRPr="004E6A4A" w:rsidRDefault="00FA0CFF"/>
        </w:tc>
        <w:tc>
          <w:tcPr>
            <w:tcW w:w="4230" w:type="dxa"/>
          </w:tcPr>
          <w:p w14:paraId="61F58DA4"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Nuk ka dispozitë përkatëse në Direktivën 2014/107/BE të Këshillit.</w:t>
            </w:r>
          </w:p>
        </w:tc>
        <w:tc>
          <w:tcPr>
            <w:tcW w:w="1350" w:type="dxa"/>
          </w:tcPr>
          <w:p w14:paraId="2447BAA6" w14:textId="77777777" w:rsidR="00FA0CFF" w:rsidRPr="004E6A4A" w:rsidRDefault="00FA0CFF">
            <w:pPr>
              <w:jc w:val="both"/>
            </w:pPr>
          </w:p>
        </w:tc>
        <w:tc>
          <w:tcPr>
            <w:tcW w:w="810" w:type="dxa"/>
          </w:tcPr>
          <w:p w14:paraId="6ED0459F" w14:textId="77777777" w:rsidR="00FA0CFF" w:rsidRPr="004E6A4A" w:rsidRDefault="00FA0CFF">
            <w:pPr>
              <w:jc w:val="both"/>
            </w:pPr>
          </w:p>
        </w:tc>
        <w:tc>
          <w:tcPr>
            <w:tcW w:w="4590" w:type="dxa"/>
          </w:tcPr>
          <w:p w14:paraId="470BE45D" w14:textId="77777777" w:rsidR="00FA0CFF" w:rsidRPr="004E6A4A" w:rsidRDefault="00144445">
            <w:pPr>
              <w:jc w:val="center"/>
            </w:pPr>
            <w:r w:rsidRPr="004E6A4A">
              <w:rPr>
                <w:rFonts w:ascii="Times New Roman" w:eastAsia="Times New Roman" w:hAnsi="Times New Roman" w:cs="Times New Roman"/>
                <w:b/>
                <w:sz w:val="20"/>
              </w:rPr>
              <w:t>Ligji: Neni 19</w:t>
            </w:r>
          </w:p>
          <w:p w14:paraId="2E44AA83" w14:textId="77777777" w:rsidR="00FA0CFF" w:rsidRPr="004E6A4A" w:rsidRDefault="00144445">
            <w:pPr>
              <w:jc w:val="center"/>
            </w:pPr>
            <w:r w:rsidRPr="004E6A4A">
              <w:rPr>
                <w:rFonts w:ascii="Times New Roman" w:eastAsia="Times New Roman" w:hAnsi="Times New Roman" w:cs="Times New Roman"/>
                <w:b/>
                <w:sz w:val="20"/>
              </w:rPr>
              <w:t>Konfidencialiteti</w:t>
            </w:r>
          </w:p>
          <w:p w14:paraId="1B4E3E8E" w14:textId="77777777" w:rsidR="00FA0CFF" w:rsidRPr="004E6A4A" w:rsidRDefault="00144445">
            <w:pPr>
              <w:jc w:val="both"/>
            </w:pPr>
            <w:r w:rsidRPr="004E6A4A">
              <w:rPr>
                <w:rFonts w:ascii="Times New Roman" w:eastAsia="Times New Roman" w:hAnsi="Times New Roman" w:cs="Times New Roman"/>
                <w:sz w:val="20"/>
              </w:rPr>
              <w:t>1. Informacioni i siguruar nga institucionet financiare raportuese në Republikën e Shqipërisë është konfidencial.</w:t>
            </w:r>
          </w:p>
          <w:p w14:paraId="23C294B2" w14:textId="77777777" w:rsidR="00FA0CFF" w:rsidRPr="004E6A4A" w:rsidRDefault="00144445">
            <w:pPr>
              <w:jc w:val="both"/>
            </w:pPr>
            <w:r w:rsidRPr="004E6A4A">
              <w:rPr>
                <w:rFonts w:ascii="Times New Roman" w:eastAsia="Times New Roman" w:hAnsi="Times New Roman" w:cs="Times New Roman"/>
                <w:sz w:val="20"/>
              </w:rPr>
              <w:t>2. Çdo punonjës i Autoritetit Kompetent, institucionit financiar raportues dhe çdo funksionar publik, që ka akses në të dhënat personale që përpunohen në kuadër të këtij ligji, ka detyrimin që të nënshkruajë deklaratën e konfidencialitetit, e cila administrohet nga institucionet përkatëse, në cilësinë e punëdhënësit.</w:t>
            </w:r>
          </w:p>
          <w:p w14:paraId="7ACF3299" w14:textId="77777777" w:rsidR="00FA0CFF" w:rsidRPr="004E6A4A" w:rsidRDefault="00144445">
            <w:pPr>
              <w:jc w:val="both"/>
            </w:pPr>
            <w:r w:rsidRPr="004E6A4A">
              <w:rPr>
                <w:rFonts w:ascii="Times New Roman" w:eastAsia="Times New Roman" w:hAnsi="Times New Roman" w:cs="Times New Roman"/>
                <w:sz w:val="20"/>
              </w:rPr>
              <w:t>3. Detyrimi për ruajtjen e konfidencialitetit vazhdon edhe pasi zyrtarët ose punonjësit nuk janë më të punësuar nga Autoriteti Kompetent, institucioni financiar raportues apo institucioni përkatës.</w:t>
            </w:r>
          </w:p>
          <w:p w14:paraId="79D511C9" w14:textId="77777777" w:rsidR="00FA0CFF" w:rsidRPr="004E6A4A" w:rsidRDefault="00144445">
            <w:pPr>
              <w:jc w:val="both"/>
            </w:pPr>
            <w:r w:rsidRPr="004E6A4A">
              <w:rPr>
                <w:rFonts w:ascii="Times New Roman" w:eastAsia="Times New Roman" w:hAnsi="Times New Roman" w:cs="Times New Roman"/>
                <w:sz w:val="20"/>
              </w:rPr>
              <w:t>4. Informacioni i marrë nga autoritetet kompetente të huaja ruhet, përdoret dhe zbulohet vetëm sipas kufizimeve të parashikuara në bazën juridike përkatëse të shkëmbimit. Për shkëmbimet me shtetet anëtare zbatohen dispozitat e ligjit “Për bashkëpunimin administrativ në fushën e tatimeve dhe shkëmbimin e informacionit tatimor”; për shkëmbimet e tjera zbatohen Konventa, Marrëveshja Shumëpalëshe e Autoriteteve Kompetente dhe instrumentet e tjera përkatëse.</w:t>
            </w:r>
          </w:p>
        </w:tc>
        <w:tc>
          <w:tcPr>
            <w:tcW w:w="1620" w:type="dxa"/>
          </w:tcPr>
          <w:p w14:paraId="7E18561C" w14:textId="77777777" w:rsidR="00FA0CFF" w:rsidRPr="004E6A4A" w:rsidRDefault="00144445">
            <w:pPr>
              <w:jc w:val="center"/>
            </w:pPr>
            <w:r w:rsidRPr="004E6A4A">
              <w:rPr>
                <w:rFonts w:ascii="Times New Roman" w:hAnsi="Times New Roman" w:cs="Times New Roman"/>
                <w:sz w:val="20"/>
              </w:rPr>
              <w:t>N/A</w:t>
            </w:r>
          </w:p>
        </w:tc>
        <w:tc>
          <w:tcPr>
            <w:tcW w:w="2970" w:type="dxa"/>
          </w:tcPr>
          <w:p w14:paraId="06AC6763"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Dispozitë kombëtare.</w:t>
            </w:r>
          </w:p>
          <w:p w14:paraId="1F06F425"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Konfidencialiteti i informacionit të dhënë nga institucionet financiare raportuese.</w:t>
            </w:r>
          </w:p>
        </w:tc>
      </w:tr>
      <w:tr w:rsidR="004E6A4A" w:rsidRPr="004E6A4A" w14:paraId="18E939A4" w14:textId="77777777" w:rsidTr="00153084">
        <w:trPr>
          <w:trHeight w:val="764"/>
        </w:trPr>
        <w:tc>
          <w:tcPr>
            <w:tcW w:w="630" w:type="dxa"/>
          </w:tcPr>
          <w:p w14:paraId="30F73F09" w14:textId="77777777" w:rsidR="00FA0CFF" w:rsidRPr="004E6A4A" w:rsidRDefault="00FA0CFF"/>
        </w:tc>
        <w:tc>
          <w:tcPr>
            <w:tcW w:w="4230" w:type="dxa"/>
          </w:tcPr>
          <w:p w14:paraId="183A0900"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Nuk ka dispozitë përkatëse në Direktivën 2014/107/BE të Këshillit.</w:t>
            </w:r>
          </w:p>
        </w:tc>
        <w:tc>
          <w:tcPr>
            <w:tcW w:w="1350" w:type="dxa"/>
          </w:tcPr>
          <w:p w14:paraId="0577F87B" w14:textId="77777777" w:rsidR="00FA0CFF" w:rsidRPr="004E6A4A" w:rsidRDefault="00FA0CFF"/>
        </w:tc>
        <w:tc>
          <w:tcPr>
            <w:tcW w:w="810" w:type="dxa"/>
          </w:tcPr>
          <w:p w14:paraId="668431FD" w14:textId="77777777" w:rsidR="00FA0CFF" w:rsidRPr="004E6A4A" w:rsidRDefault="00FA0CFF"/>
        </w:tc>
        <w:tc>
          <w:tcPr>
            <w:tcW w:w="4590" w:type="dxa"/>
          </w:tcPr>
          <w:p w14:paraId="787EB6A9" w14:textId="77777777" w:rsidR="00FA0CFF" w:rsidRPr="004E6A4A" w:rsidRDefault="00144445">
            <w:pPr>
              <w:jc w:val="center"/>
            </w:pPr>
            <w:r w:rsidRPr="004E6A4A">
              <w:rPr>
                <w:rFonts w:ascii="Times New Roman" w:eastAsia="Times New Roman" w:hAnsi="Times New Roman" w:cs="Times New Roman"/>
                <w:b/>
                <w:sz w:val="20"/>
              </w:rPr>
              <w:t>VKM: Neni 12</w:t>
            </w:r>
          </w:p>
          <w:p w14:paraId="303265FC" w14:textId="77777777" w:rsidR="00FA0CFF" w:rsidRPr="004E6A4A" w:rsidRDefault="00144445">
            <w:pPr>
              <w:jc w:val="center"/>
            </w:pPr>
            <w:r w:rsidRPr="004E6A4A">
              <w:rPr>
                <w:rFonts w:ascii="Times New Roman" w:eastAsia="Times New Roman" w:hAnsi="Times New Roman" w:cs="Times New Roman"/>
                <w:b/>
                <w:sz w:val="20"/>
              </w:rPr>
              <w:t>Shkëmbimi i informacionit mbi llogaritë e raportueshme</w:t>
            </w:r>
          </w:p>
          <w:p w14:paraId="187F404D" w14:textId="77777777" w:rsidR="00FA0CFF" w:rsidRPr="004E6A4A" w:rsidRDefault="00144445">
            <w:pPr>
              <w:jc w:val="both"/>
            </w:pPr>
            <w:r w:rsidRPr="004E6A4A">
              <w:rPr>
                <w:rFonts w:ascii="Times New Roman" w:eastAsia="Times New Roman" w:hAnsi="Times New Roman" w:cs="Times New Roman"/>
                <w:sz w:val="20"/>
              </w:rPr>
              <w:t>5. Për shkëmbimet me juridiksionet që nuk janë shtete anëtare të Bashkimit Evropian, DPT-ja përdor Sistemin e Përbashkët të Transmetimit (CTS) ose kanalin tjetër të sigurt të përcaktuar në instrumentin ndërkombëtar përkatës, së bashku me skemën XML të Standardit të Përbashkët të Raportimit dhe rregullat teknike të OECD-së në fuqi.</w:t>
            </w:r>
          </w:p>
          <w:p w14:paraId="64D295F3" w14:textId="77777777" w:rsidR="00FA0CFF" w:rsidRPr="004E6A4A" w:rsidRDefault="00144445">
            <w:pPr>
              <w:jc w:val="both"/>
            </w:pPr>
            <w:r w:rsidRPr="004E6A4A">
              <w:rPr>
                <w:rFonts w:ascii="Times New Roman" w:eastAsia="Times New Roman" w:hAnsi="Times New Roman" w:cs="Times New Roman"/>
                <w:sz w:val="20"/>
              </w:rPr>
              <w:t>6. Afati i shkëmbimit sipas pikës 5 përcaktohet nga instrumenti ndërkombëtar përkatës.</w:t>
            </w:r>
          </w:p>
          <w:p w14:paraId="7DCF6C28" w14:textId="77777777" w:rsidR="00FA0CFF" w:rsidRPr="004E6A4A" w:rsidRDefault="00144445">
            <w:pPr>
              <w:jc w:val="both"/>
            </w:pPr>
            <w:r w:rsidRPr="004E6A4A">
              <w:rPr>
                <w:rFonts w:ascii="Times New Roman" w:eastAsia="Times New Roman" w:hAnsi="Times New Roman" w:cs="Times New Roman"/>
                <w:sz w:val="20"/>
              </w:rPr>
              <w:lastRenderedPageBreak/>
              <w:t>7. Përpunimi, transmetimi dhe ruajtja e informacionit kryhen në përputhje me ligjin nr. ___/____, ligjin për bashkëpunimin administrativ në fushën e tatimeve dhe shkëmbimin e informacionit tatimor, legjislacionin për mbrojtjen e të dhënave personale dhe kërkesat e sigurisë, konfidencialitetit, proporcionalitetit, minimizimit dhe gjurmueshmërisë që rrjedhin nga baza juridike e shkëmbimit.</w:t>
            </w:r>
          </w:p>
          <w:p w14:paraId="1975356B" w14:textId="77777777" w:rsidR="00FA0CFF" w:rsidRPr="004E6A4A" w:rsidRDefault="00144445">
            <w:pPr>
              <w:jc w:val="both"/>
            </w:pPr>
            <w:r w:rsidRPr="004E6A4A">
              <w:rPr>
                <w:rFonts w:ascii="Times New Roman" w:eastAsia="Times New Roman" w:hAnsi="Times New Roman" w:cs="Times New Roman"/>
                <w:sz w:val="20"/>
              </w:rPr>
              <w:t>8. DPT-ja dhe institucionet financiare raportuese, brenda përgjegjësive të tyre, sigurojnë masa të përshtatshme sigurie, gjurmë auditimi të përpunimit dhe transmetimit, si dhe ushtrimin e të drejtave të subjekteve të të dhënave sipas legjislacionit të zbatueshëm.</w:t>
            </w:r>
          </w:p>
          <w:p w14:paraId="408EF927" w14:textId="77777777" w:rsidR="00FA0CFF" w:rsidRPr="004E6A4A" w:rsidRDefault="00144445">
            <w:pPr>
              <w:jc w:val="both"/>
            </w:pPr>
            <w:r w:rsidRPr="004E6A4A">
              <w:rPr>
                <w:rFonts w:ascii="Times New Roman" w:eastAsia="Times New Roman" w:hAnsi="Times New Roman" w:cs="Times New Roman"/>
                <w:sz w:val="20"/>
              </w:rPr>
              <w:t>9. Specifikimet teknike të Shtojcës IV dhe udhëzimet teknike të DPT-së nuk mund të ndryshojnë subjektet, përmbajtjen materiale të informacionit, afatet, përjashtimet ose detyrimet e përcaktuara në ligj dhe në këtë vendim.</w:t>
            </w:r>
          </w:p>
          <w:p w14:paraId="47F9183F" w14:textId="77777777" w:rsidR="00FA0CFF" w:rsidRPr="004E6A4A" w:rsidRDefault="00144445">
            <w:pPr>
              <w:jc w:val="both"/>
            </w:pPr>
            <w:r w:rsidRPr="004E6A4A">
              <w:rPr>
                <w:rFonts w:ascii="Times New Roman" w:eastAsia="Times New Roman" w:hAnsi="Times New Roman" w:cs="Times New Roman"/>
                <w:sz w:val="20"/>
              </w:rPr>
              <w:t>10. Për profilin e Bashkimit Evropian, DPT-ja përgatit dhe i komunikon Komisionit Evropian statistikat për shkëmbimin e detyrueshëm automatik të informacionit sipas nenit 8(3a) të Direktivës 2011/16/BE, të ndryshuar, në përputhje me nenin 2d, pikat 1 dhe 3, dhe Aneksin XI të Rregullores Zbatuese të Komisionit (BE) 2015/2378, të ndryshuar, përpara datës 1 nëntor të çdo viti.</w:t>
            </w:r>
          </w:p>
        </w:tc>
        <w:tc>
          <w:tcPr>
            <w:tcW w:w="1620" w:type="dxa"/>
          </w:tcPr>
          <w:p w14:paraId="3A2402E0" w14:textId="77777777" w:rsidR="00FA0CFF" w:rsidRPr="004E6A4A" w:rsidRDefault="00144445">
            <w:pPr>
              <w:jc w:val="center"/>
            </w:pPr>
            <w:r w:rsidRPr="004E6A4A">
              <w:rPr>
                <w:rFonts w:ascii="Times New Roman" w:eastAsia="Times New Roman" w:hAnsi="Times New Roman" w:cs="Times New Roman"/>
                <w:sz w:val="20"/>
              </w:rPr>
              <w:lastRenderedPageBreak/>
              <w:t>N/A</w:t>
            </w:r>
          </w:p>
        </w:tc>
        <w:tc>
          <w:tcPr>
            <w:tcW w:w="2970" w:type="dxa"/>
          </w:tcPr>
          <w:p w14:paraId="128F2AFD"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Dispozitë kombëtare.</w:t>
            </w:r>
          </w:p>
          <w:p w14:paraId="1970D6B2"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Shkëmbimet me juridiksionet që nuk janë shtete anëtare, specifikimet teknike dhe statistikat.</w:t>
            </w:r>
          </w:p>
        </w:tc>
      </w:tr>
      <w:tr w:rsidR="004E6A4A" w:rsidRPr="004E6A4A" w14:paraId="46544A1F" w14:textId="77777777" w:rsidTr="00153084">
        <w:trPr>
          <w:trHeight w:val="764"/>
        </w:trPr>
        <w:tc>
          <w:tcPr>
            <w:tcW w:w="630" w:type="dxa"/>
          </w:tcPr>
          <w:p w14:paraId="46550D4A" w14:textId="77777777" w:rsidR="00FA0CFF" w:rsidRPr="004E6A4A" w:rsidRDefault="00FA0CFF"/>
        </w:tc>
        <w:tc>
          <w:tcPr>
            <w:tcW w:w="4230" w:type="dxa"/>
          </w:tcPr>
          <w:p w14:paraId="47EB9903"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Nuk ka dispozitë përkatëse në Direktivën 2014/107/BE të Këshillit.</w:t>
            </w:r>
          </w:p>
        </w:tc>
        <w:tc>
          <w:tcPr>
            <w:tcW w:w="1350" w:type="dxa"/>
          </w:tcPr>
          <w:p w14:paraId="3459ECB8" w14:textId="77777777" w:rsidR="00FA0CFF" w:rsidRPr="004E6A4A" w:rsidRDefault="00FA0CFF"/>
        </w:tc>
        <w:tc>
          <w:tcPr>
            <w:tcW w:w="810" w:type="dxa"/>
          </w:tcPr>
          <w:p w14:paraId="78DB2682" w14:textId="77777777" w:rsidR="00FA0CFF" w:rsidRPr="004E6A4A" w:rsidRDefault="00FA0CFF"/>
        </w:tc>
        <w:tc>
          <w:tcPr>
            <w:tcW w:w="4590" w:type="dxa"/>
          </w:tcPr>
          <w:p w14:paraId="0A613700" w14:textId="77777777" w:rsidR="00FA0CFF" w:rsidRPr="004E6A4A" w:rsidRDefault="00144445">
            <w:pPr>
              <w:jc w:val="center"/>
            </w:pPr>
            <w:r w:rsidRPr="004E6A4A">
              <w:rPr>
                <w:rFonts w:ascii="Times New Roman" w:eastAsia="Times New Roman" w:hAnsi="Times New Roman" w:cs="Times New Roman"/>
                <w:b/>
                <w:sz w:val="20"/>
              </w:rPr>
              <w:t>Ligji: Neni 5</w:t>
            </w:r>
          </w:p>
          <w:p w14:paraId="4E87B285" w14:textId="77777777" w:rsidR="00FA0CFF" w:rsidRPr="004E6A4A" w:rsidRDefault="00144445">
            <w:pPr>
              <w:jc w:val="center"/>
            </w:pPr>
            <w:r w:rsidRPr="004E6A4A">
              <w:rPr>
                <w:rFonts w:ascii="Times New Roman" w:eastAsia="Times New Roman" w:hAnsi="Times New Roman" w:cs="Times New Roman"/>
                <w:b/>
                <w:sz w:val="20"/>
              </w:rPr>
              <w:t>Përkufizime</w:t>
            </w:r>
          </w:p>
          <w:p w14:paraId="46D88902" w14:textId="77777777" w:rsidR="00FA0CFF" w:rsidRPr="004E6A4A" w:rsidRDefault="00144445">
            <w:pPr>
              <w:jc w:val="both"/>
            </w:pPr>
            <w:r w:rsidRPr="004E6A4A">
              <w:rPr>
                <w:rFonts w:ascii="Times New Roman" w:eastAsia="Times New Roman" w:hAnsi="Times New Roman" w:cs="Times New Roman"/>
                <w:sz w:val="20"/>
              </w:rPr>
              <w:t>1. “Autoriteti Kompetent” është Drejtoria e Përgjithshme e Tatimeve. Për shkëmbimin automatik të informacionit me shtetet anëtare të Bashkimit Evropian, Autoriteti Kompetent ushtron edhe funksionet dhe kompetencat e përcaktuara në ligjin “Për bashkëpunimin administrativ në fushën e tatimeve dhe shkëmbimin e informacionit tatimor”.</w:t>
            </w:r>
          </w:p>
          <w:p w14:paraId="7C0CF2C1" w14:textId="77777777" w:rsidR="00FA0CFF" w:rsidRPr="004E6A4A" w:rsidRDefault="00144445">
            <w:pPr>
              <w:jc w:val="both"/>
            </w:pPr>
            <w:r w:rsidRPr="004E6A4A">
              <w:rPr>
                <w:rFonts w:ascii="Times New Roman" w:eastAsia="Times New Roman" w:hAnsi="Times New Roman" w:cs="Times New Roman"/>
                <w:sz w:val="20"/>
              </w:rPr>
              <w:lastRenderedPageBreak/>
              <w:t>2. “Marrëveshje” është Marrëveshja Shumëpalëshe e Autoritetit Kompetent për shkëmbimin automatik të informacionit të llogarive financiare, e miratuar me vendimin nr. 178, datë 9.3.2016, të Këshillit të Ministrave, “Për miratimin e Marrëveshjes Shumëpalëshe të Autoritetit Kompetent për shkëmbimin automatik të informacionit të llogarisë financiare”.</w:t>
            </w:r>
          </w:p>
          <w:p w14:paraId="17C9DEEF" w14:textId="77777777" w:rsidR="00FA0CFF" w:rsidRPr="004E6A4A" w:rsidRDefault="00144445">
            <w:pPr>
              <w:jc w:val="both"/>
            </w:pPr>
            <w:r w:rsidRPr="004E6A4A">
              <w:rPr>
                <w:rFonts w:ascii="Times New Roman" w:eastAsia="Times New Roman" w:hAnsi="Times New Roman" w:cs="Times New Roman"/>
                <w:sz w:val="20"/>
              </w:rPr>
              <w:t>9. “Standardi i Përbashkët i Raportimit (CRS)” është Standardi i Përbashkët i Raportimit për shkëmbimin automatik të informacionit të llogarive financiare, i miratuar nga Organizata për Bashkëpunim dhe Zhvillim Ekonomik, i ndryshuar.</w:t>
            </w:r>
          </w:p>
          <w:p w14:paraId="367A4460" w14:textId="77777777" w:rsidR="00FA0CFF" w:rsidRPr="004E6A4A" w:rsidRDefault="00144445">
            <w:pPr>
              <w:jc w:val="both"/>
            </w:pPr>
            <w:r w:rsidRPr="004E6A4A">
              <w:rPr>
                <w:rFonts w:ascii="Times New Roman" w:eastAsia="Times New Roman" w:hAnsi="Times New Roman" w:cs="Times New Roman"/>
                <w:sz w:val="20"/>
              </w:rPr>
              <w:t>10. “Vigjilenca e duhur” janë procedurat për identifikimin dhe klasifikimin e llogarive financiare, përcaktimin e rezidencës dhe statusit të mbajtësve të llogarive dhe, sipas rastit, të personave kontrollues, si dhe identifikimin e llogarive të raportueshme dhe personave të raportueshëm.</w:t>
            </w:r>
          </w:p>
          <w:p w14:paraId="0B9DF0A5" w14:textId="77777777" w:rsidR="00FA0CFF" w:rsidRPr="004E6A4A" w:rsidRDefault="00144445">
            <w:pPr>
              <w:jc w:val="both"/>
            </w:pPr>
            <w:r w:rsidRPr="004E6A4A">
              <w:rPr>
                <w:rFonts w:ascii="Times New Roman" w:eastAsia="Times New Roman" w:hAnsi="Times New Roman" w:cs="Times New Roman"/>
                <w:sz w:val="20"/>
              </w:rPr>
              <w:t>11. “Komentari” është interpretimi i detajuar i çdo seksioni të Marrëveshjes së Autoritetit Kompetent dhe të Standardit të Përbashkët të Raportimit, që synon të sigurojë zbatimin e duhur të tyre dhe interpretimin e qëndrueshëm të dispozitave të tyre.</w:t>
            </w:r>
          </w:p>
          <w:p w14:paraId="45258E48" w14:textId="77777777" w:rsidR="00FA0CFF" w:rsidRPr="004E6A4A" w:rsidRDefault="00144445">
            <w:pPr>
              <w:jc w:val="both"/>
            </w:pPr>
            <w:r w:rsidRPr="004E6A4A">
              <w:rPr>
                <w:rFonts w:ascii="Times New Roman" w:eastAsia="Times New Roman" w:hAnsi="Times New Roman" w:cs="Times New Roman"/>
                <w:sz w:val="20"/>
              </w:rPr>
              <w:t>23. “CTS” është sistemi i krijuar nga Organizata për Bashkëpunim dhe Zhvillim Ekonomik, që mundëson shkëmbimin automatik të informacionit ndërmjet autoriteteve tatimore në përputhje me Standardin.</w:t>
            </w:r>
          </w:p>
          <w:p w14:paraId="4CD03DAB" w14:textId="77777777" w:rsidR="00FA0CFF" w:rsidRPr="004E6A4A" w:rsidRDefault="00144445">
            <w:pPr>
              <w:jc w:val="both"/>
            </w:pPr>
            <w:r w:rsidRPr="004E6A4A">
              <w:rPr>
                <w:rFonts w:ascii="Times New Roman" w:eastAsia="Times New Roman" w:hAnsi="Times New Roman" w:cs="Times New Roman"/>
                <w:sz w:val="20"/>
              </w:rPr>
              <w:t>66. “Shërbim Qeveritar Verifikimi” për qëllimet e profilit të Standardit të Përbashkët të Raportimit, është një proces elektronik i mundësuar nga një juridiksion raportues për Institucionet Financiare Raportuese, për qëllime të verifikimit të identitetit dhe rezidencës tatimore të një Mbajtësi Llogarie ose Personi Kontrollues.</w:t>
            </w:r>
          </w:p>
          <w:p w14:paraId="6BDA96F8" w14:textId="77777777" w:rsidR="00FA0CFF" w:rsidRPr="004E6A4A" w:rsidRDefault="00144445">
            <w:pPr>
              <w:jc w:val="both"/>
            </w:pPr>
            <w:r w:rsidRPr="004E6A4A">
              <w:rPr>
                <w:rFonts w:ascii="Times New Roman" w:eastAsia="Times New Roman" w:hAnsi="Times New Roman" w:cs="Times New Roman"/>
                <w:sz w:val="20"/>
              </w:rPr>
              <w:lastRenderedPageBreak/>
              <w:t>70. “Rrjeti CCN” ka të njëjtin kuptim sipas përcaktimit në ligjin “Për bashkëpunimin administrativ në fushën e tatimeve dhe shkëmbimin e informacionit tatimor”.</w:t>
            </w:r>
          </w:p>
          <w:p w14:paraId="3BDE9DBB" w14:textId="77777777" w:rsidR="00FA0CFF" w:rsidRPr="004E6A4A" w:rsidRDefault="00144445">
            <w:pPr>
              <w:jc w:val="both"/>
            </w:pPr>
            <w:r w:rsidRPr="004E6A4A">
              <w:rPr>
                <w:rFonts w:ascii="Times New Roman" w:eastAsia="Times New Roman" w:hAnsi="Times New Roman" w:cs="Times New Roman"/>
                <w:sz w:val="20"/>
              </w:rPr>
              <w:t>71. “Shkelje e të dhënave” ka të njëjtin kuptim sipas përcaktimit në ligjin “Për bashkëpunimin administrativ në fushën e tatimeve dhe shkëmbimin e informacionit tatimor”.</w:t>
            </w:r>
          </w:p>
        </w:tc>
        <w:tc>
          <w:tcPr>
            <w:tcW w:w="1620" w:type="dxa"/>
          </w:tcPr>
          <w:p w14:paraId="6655EFAA" w14:textId="77777777" w:rsidR="00FA0CFF" w:rsidRPr="004E6A4A" w:rsidRDefault="00144445">
            <w:pPr>
              <w:jc w:val="center"/>
            </w:pPr>
            <w:r w:rsidRPr="004E6A4A">
              <w:rPr>
                <w:rFonts w:ascii="Times New Roman" w:eastAsia="Times New Roman" w:hAnsi="Times New Roman" w:cs="Times New Roman"/>
                <w:sz w:val="20"/>
              </w:rPr>
              <w:lastRenderedPageBreak/>
              <w:t>N/A</w:t>
            </w:r>
          </w:p>
        </w:tc>
        <w:tc>
          <w:tcPr>
            <w:tcW w:w="2970" w:type="dxa"/>
          </w:tcPr>
          <w:p w14:paraId="09D839B5"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Dispozitë kombëtare.</w:t>
            </w:r>
          </w:p>
          <w:p w14:paraId="472A8C47"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Përkufizime që lidhen me Autoritetin Kompetent, me Standardin e Përbashkët të Raportimit dhe me terma të përcaktuar në projektligjin “Për bashkëpunimin administrativ në fushën e tatimeve dhe shkëmbimin e informacionit tatimor”.</w:t>
            </w:r>
          </w:p>
        </w:tc>
      </w:tr>
      <w:tr w:rsidR="004E6A4A" w:rsidRPr="004E6A4A" w14:paraId="538F7EAB" w14:textId="77777777" w:rsidTr="00153084">
        <w:trPr>
          <w:trHeight w:val="764"/>
        </w:trPr>
        <w:tc>
          <w:tcPr>
            <w:tcW w:w="630" w:type="dxa"/>
          </w:tcPr>
          <w:p w14:paraId="2AAC684C" w14:textId="77777777" w:rsidR="00FA0CFF" w:rsidRPr="004E6A4A" w:rsidRDefault="00FA0CFF"/>
        </w:tc>
        <w:tc>
          <w:tcPr>
            <w:tcW w:w="4230" w:type="dxa"/>
          </w:tcPr>
          <w:p w14:paraId="3329E7B4"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Nuk ka dispozitë përkatëse në Direktivën 2014/107/BE të Këshillit.</w:t>
            </w:r>
          </w:p>
        </w:tc>
        <w:tc>
          <w:tcPr>
            <w:tcW w:w="1350" w:type="dxa"/>
          </w:tcPr>
          <w:p w14:paraId="69AAB1CA" w14:textId="77777777" w:rsidR="00FA0CFF" w:rsidRPr="004E6A4A" w:rsidRDefault="00FA0CFF">
            <w:pPr>
              <w:jc w:val="both"/>
            </w:pPr>
          </w:p>
        </w:tc>
        <w:tc>
          <w:tcPr>
            <w:tcW w:w="810" w:type="dxa"/>
          </w:tcPr>
          <w:p w14:paraId="54738493" w14:textId="77777777" w:rsidR="00FA0CFF" w:rsidRPr="004E6A4A" w:rsidRDefault="00FA0CFF">
            <w:pPr>
              <w:jc w:val="both"/>
            </w:pPr>
          </w:p>
        </w:tc>
        <w:tc>
          <w:tcPr>
            <w:tcW w:w="4590" w:type="dxa"/>
          </w:tcPr>
          <w:p w14:paraId="6EB1CE58" w14:textId="77777777" w:rsidR="00FA0CFF" w:rsidRPr="004E6A4A" w:rsidRDefault="00144445">
            <w:pPr>
              <w:jc w:val="center"/>
            </w:pPr>
            <w:r w:rsidRPr="004E6A4A">
              <w:rPr>
                <w:rFonts w:ascii="Times New Roman" w:eastAsia="Times New Roman" w:hAnsi="Times New Roman" w:cs="Times New Roman"/>
                <w:b/>
                <w:sz w:val="20"/>
              </w:rPr>
              <w:t>Ligji: Neni 23</w:t>
            </w:r>
          </w:p>
          <w:p w14:paraId="36460918" w14:textId="77777777" w:rsidR="00FA0CFF" w:rsidRPr="004E6A4A" w:rsidRDefault="00144445">
            <w:pPr>
              <w:jc w:val="center"/>
            </w:pPr>
            <w:r w:rsidRPr="004E6A4A">
              <w:rPr>
                <w:rFonts w:ascii="Times New Roman" w:eastAsia="Times New Roman" w:hAnsi="Times New Roman" w:cs="Times New Roman"/>
                <w:b/>
                <w:sz w:val="20"/>
              </w:rPr>
              <w:t>Shfuqizime</w:t>
            </w:r>
          </w:p>
          <w:p w14:paraId="37D7B2C3" w14:textId="77777777" w:rsidR="00FA0CFF" w:rsidRPr="004E6A4A" w:rsidRDefault="00144445">
            <w:pPr>
              <w:jc w:val="both"/>
            </w:pPr>
            <w:r w:rsidRPr="004E6A4A">
              <w:rPr>
                <w:rFonts w:ascii="Times New Roman" w:eastAsia="Times New Roman" w:hAnsi="Times New Roman" w:cs="Times New Roman"/>
                <w:sz w:val="20"/>
              </w:rPr>
              <w:t>1. Ligji Nr.4/2020 “Për shkëmbimin automatik të informacionit të llogarive financiare”, shfuqizohet në datën e fillimit të efekteve të këtij ligji.</w:t>
            </w:r>
          </w:p>
          <w:p w14:paraId="68F1C2E5" w14:textId="77777777" w:rsidR="00FA0CFF" w:rsidRPr="004E6A4A" w:rsidRDefault="00144445">
            <w:pPr>
              <w:jc w:val="both"/>
            </w:pPr>
            <w:r w:rsidRPr="004E6A4A">
              <w:rPr>
                <w:rFonts w:ascii="Times New Roman" w:eastAsia="Times New Roman" w:hAnsi="Times New Roman" w:cs="Times New Roman"/>
                <w:sz w:val="20"/>
              </w:rPr>
              <w:t>2. Aktet nënligjore të dala në zbatim të Ligjit Nr.4/2020 “Për shkëmbimin automatik të informacionit të llogarive financiare”, shfuqizohen në datën e fillimit të efekteve të këtij ligji.</w:t>
            </w:r>
          </w:p>
          <w:p w14:paraId="1DCEC627" w14:textId="77777777" w:rsidR="00FA0CFF" w:rsidRPr="004E6A4A" w:rsidRDefault="00FA0CFF"/>
          <w:p w14:paraId="20947C6B" w14:textId="77777777" w:rsidR="00FA0CFF" w:rsidRPr="004E6A4A" w:rsidRDefault="00144445">
            <w:pPr>
              <w:jc w:val="center"/>
            </w:pPr>
            <w:r w:rsidRPr="004E6A4A">
              <w:rPr>
                <w:rFonts w:ascii="Times New Roman" w:eastAsia="Times New Roman" w:hAnsi="Times New Roman" w:cs="Times New Roman"/>
                <w:b/>
                <w:sz w:val="20"/>
              </w:rPr>
              <w:t>Ligji: Neni 24</w:t>
            </w:r>
          </w:p>
          <w:p w14:paraId="7B75DBD3" w14:textId="77777777" w:rsidR="00FA0CFF" w:rsidRPr="004E6A4A" w:rsidRDefault="00144445">
            <w:pPr>
              <w:jc w:val="center"/>
            </w:pPr>
            <w:r w:rsidRPr="004E6A4A">
              <w:rPr>
                <w:rFonts w:ascii="Times New Roman" w:eastAsia="Times New Roman" w:hAnsi="Times New Roman" w:cs="Times New Roman"/>
                <w:b/>
                <w:sz w:val="20"/>
              </w:rPr>
              <w:t>Aktet nënligjore</w:t>
            </w:r>
          </w:p>
          <w:p w14:paraId="737F2E60" w14:textId="77777777" w:rsidR="00FA0CFF" w:rsidRPr="004E6A4A" w:rsidRDefault="00144445">
            <w:pPr>
              <w:jc w:val="both"/>
            </w:pPr>
            <w:r w:rsidRPr="004E6A4A">
              <w:rPr>
                <w:rFonts w:ascii="Times New Roman" w:eastAsia="Times New Roman" w:hAnsi="Times New Roman" w:cs="Times New Roman"/>
                <w:sz w:val="20"/>
              </w:rPr>
              <w:t>1. Ngarkohet Këshilli i Ministrave që, brenda 6 muajve nga hyrja në fuqi e këtij ligji, të miratojë rregullat e hollësishme për zbatimin e tij, përfshirë rregullat e raportimit dhe të vigjilencës së duhur, datat dhe pragjet sipas profilit përkatës, vetëdeklarimet dhe evidencat shkresore, ndryshimin e rrethanave, totalizimin dhe konvertimin e monedhës, listat përkatëse të institucioneve financiare joraportuese, llogarive të përjashtuara dhe juridiksioneve, si dhe procedurat e dorëzimit, validimit, korrigjimit dhe shkëmbimit të informacionit.</w:t>
            </w:r>
          </w:p>
          <w:p w14:paraId="71231B79" w14:textId="77777777" w:rsidR="00FA0CFF" w:rsidRPr="004E6A4A" w:rsidRDefault="00FA0CFF"/>
          <w:p w14:paraId="6AE1E1DF" w14:textId="77777777" w:rsidR="00FA0CFF" w:rsidRPr="004E6A4A" w:rsidRDefault="00144445">
            <w:pPr>
              <w:jc w:val="center"/>
            </w:pPr>
            <w:r w:rsidRPr="004E6A4A">
              <w:rPr>
                <w:rFonts w:ascii="Times New Roman" w:eastAsia="Times New Roman" w:hAnsi="Times New Roman" w:cs="Times New Roman"/>
                <w:b/>
                <w:sz w:val="20"/>
              </w:rPr>
              <w:t>Ligji: Neni 25</w:t>
            </w:r>
          </w:p>
          <w:p w14:paraId="76A31E05" w14:textId="77777777" w:rsidR="00FA0CFF" w:rsidRPr="004E6A4A" w:rsidRDefault="00144445">
            <w:pPr>
              <w:jc w:val="center"/>
            </w:pPr>
            <w:r w:rsidRPr="004E6A4A">
              <w:rPr>
                <w:rFonts w:ascii="Times New Roman" w:eastAsia="Times New Roman" w:hAnsi="Times New Roman" w:cs="Times New Roman"/>
                <w:b/>
                <w:sz w:val="20"/>
              </w:rPr>
              <w:t>Hyrja në fuqi dhe zbatimi</w:t>
            </w:r>
          </w:p>
          <w:p w14:paraId="6AC3A950" w14:textId="77777777" w:rsidR="00FA0CFF" w:rsidRPr="004E6A4A" w:rsidRDefault="00144445">
            <w:pPr>
              <w:jc w:val="both"/>
            </w:pPr>
            <w:r w:rsidRPr="004E6A4A">
              <w:rPr>
                <w:rFonts w:ascii="Times New Roman" w:eastAsia="Times New Roman" w:hAnsi="Times New Roman" w:cs="Times New Roman"/>
                <w:sz w:val="20"/>
              </w:rPr>
              <w:t>1. Ky ligj hyn në fuqi 15 ditë pas botimit në Fletoren Zyrtare.</w:t>
            </w:r>
          </w:p>
          <w:p w14:paraId="6F4359DF" w14:textId="77777777" w:rsidR="00FA0CFF" w:rsidRPr="004E6A4A" w:rsidRDefault="00144445">
            <w:pPr>
              <w:jc w:val="both"/>
            </w:pPr>
            <w:r w:rsidRPr="004E6A4A">
              <w:rPr>
                <w:rFonts w:ascii="Times New Roman" w:eastAsia="Times New Roman" w:hAnsi="Times New Roman" w:cs="Times New Roman"/>
                <w:sz w:val="20"/>
              </w:rPr>
              <w:lastRenderedPageBreak/>
              <w:t>2. Efektet e këtij ligji do të fillojnë nga data e anëtarësimit të Shqipërisë në Bashkimin Evropian, në përputhje me Traktatin e Anëtarësimit.</w:t>
            </w:r>
          </w:p>
        </w:tc>
        <w:tc>
          <w:tcPr>
            <w:tcW w:w="1620" w:type="dxa"/>
          </w:tcPr>
          <w:p w14:paraId="05DBAADD" w14:textId="77777777" w:rsidR="00FA0CFF" w:rsidRPr="004E6A4A" w:rsidRDefault="00144445">
            <w:pPr>
              <w:jc w:val="center"/>
            </w:pPr>
            <w:r w:rsidRPr="004E6A4A">
              <w:rPr>
                <w:rFonts w:ascii="Times New Roman" w:hAnsi="Times New Roman" w:cs="Times New Roman"/>
                <w:sz w:val="20"/>
              </w:rPr>
              <w:lastRenderedPageBreak/>
              <w:t>N/A</w:t>
            </w:r>
          </w:p>
        </w:tc>
        <w:tc>
          <w:tcPr>
            <w:tcW w:w="2970" w:type="dxa"/>
          </w:tcPr>
          <w:p w14:paraId="573694A9"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Dispozitë kombëtare.</w:t>
            </w:r>
          </w:p>
          <w:p w14:paraId="63F1EFF5" w14:textId="77777777" w:rsidR="008C56DE"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Shfuqizimi i ligjit nr. 4/2020, aktet nënligjore dhe hyrja në fuqi.</w:t>
            </w:r>
          </w:p>
        </w:tc>
      </w:tr>
    </w:tbl>
    <w:p w14:paraId="472BBBA9" w14:textId="77777777" w:rsidR="000A21ED" w:rsidRPr="004E6A4A" w:rsidRDefault="000A21ED" w:rsidP="000A21ED">
      <w:pPr>
        <w:spacing w:line="240" w:lineRule="auto"/>
        <w:rPr>
          <w:rFonts w:ascii="Times New Roman" w:hAnsi="Times New Roman" w:cs="Times New Roman"/>
          <w:sz w:val="18"/>
          <w:szCs w:val="18"/>
        </w:rPr>
      </w:pPr>
    </w:p>
    <w:p w14:paraId="4E2D4073" w14:textId="0279B2DE" w:rsidR="009A20F7" w:rsidRPr="004E6A4A" w:rsidRDefault="009A20F7" w:rsidP="00E172D2">
      <w:pPr>
        <w:spacing w:line="240" w:lineRule="auto"/>
        <w:rPr>
          <w:rFonts w:ascii="Times New Roman" w:hAnsi="Times New Roman" w:cs="Times New Roman"/>
          <w:sz w:val="18"/>
          <w:szCs w:val="18"/>
        </w:rPr>
      </w:pPr>
    </w:p>
    <w:sectPr w:rsidR="009A20F7" w:rsidRPr="004E6A4A" w:rsidSect="003F6C69">
      <w:footerReference w:type="default" r:id="rId11"/>
      <w:pgSz w:w="16838" w:h="11906" w:orient="landscape"/>
      <w:pgMar w:top="1701" w:right="1418" w:bottom="113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797015" w14:textId="77777777" w:rsidR="000B2276" w:rsidRDefault="000B2276" w:rsidP="00922FEB">
      <w:pPr>
        <w:spacing w:after="0" w:line="240" w:lineRule="auto"/>
      </w:pPr>
      <w:r>
        <w:separator/>
      </w:r>
    </w:p>
  </w:endnote>
  <w:endnote w:type="continuationSeparator" w:id="0">
    <w:p w14:paraId="244A9D5E" w14:textId="77777777" w:rsidR="000B2276" w:rsidRDefault="000B2276" w:rsidP="00922F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531F5" w14:textId="6E632485" w:rsidR="003A0A4C" w:rsidRDefault="003A0A4C">
    <w:pPr>
      <w:pStyle w:val="Footer"/>
    </w:pPr>
    <w:r>
      <w:fldChar w:fldCharType="begin"/>
    </w:r>
    <w:r>
      <w:instrText>PAGE   \* MERGEFORMAT</w:instrText>
    </w:r>
    <w:r>
      <w:fldChar w:fldCharType="separate"/>
    </w:r>
    <w:r w:rsidR="005022D6">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24799D" w14:textId="77777777" w:rsidR="000B2276" w:rsidRDefault="000B2276" w:rsidP="00922FEB">
      <w:pPr>
        <w:spacing w:after="0" w:line="240" w:lineRule="auto"/>
      </w:pPr>
      <w:r>
        <w:separator/>
      </w:r>
    </w:p>
  </w:footnote>
  <w:footnote w:type="continuationSeparator" w:id="0">
    <w:p w14:paraId="2518DE7D" w14:textId="77777777" w:rsidR="000B2276" w:rsidRDefault="000B2276" w:rsidP="00922F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D6851"/>
    <w:multiLevelType w:val="hybridMultilevel"/>
    <w:tmpl w:val="4A309E3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F8758BB"/>
    <w:multiLevelType w:val="hybridMultilevel"/>
    <w:tmpl w:val="ECF2BEF2"/>
    <w:lvl w:ilvl="0" w:tplc="CC34722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903663A"/>
    <w:multiLevelType w:val="hybridMultilevel"/>
    <w:tmpl w:val="DB666586"/>
    <w:lvl w:ilvl="0" w:tplc="33B4EE4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F3A60B4"/>
    <w:multiLevelType w:val="hybridMultilevel"/>
    <w:tmpl w:val="1A40880C"/>
    <w:lvl w:ilvl="0" w:tplc="858A5FEA">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 w15:restartNumberingAfterBreak="0">
    <w:nsid w:val="40D14282"/>
    <w:multiLevelType w:val="hybridMultilevel"/>
    <w:tmpl w:val="56F8E514"/>
    <w:lvl w:ilvl="0" w:tplc="C382065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18A1B0B"/>
    <w:multiLevelType w:val="hybridMultilevel"/>
    <w:tmpl w:val="C14AD418"/>
    <w:lvl w:ilvl="0" w:tplc="3B466E08">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3457687"/>
    <w:multiLevelType w:val="hybridMultilevel"/>
    <w:tmpl w:val="5B16CA0A"/>
    <w:lvl w:ilvl="0" w:tplc="7324C41E">
      <w:start w:val="1"/>
      <w:numFmt w:val="decimal"/>
      <w:lvlText w:val="%1."/>
      <w:lvlJc w:val="left"/>
      <w:pPr>
        <w:ind w:left="720" w:hanging="360"/>
      </w:pPr>
      <w:rPr>
        <w:rFonts w:eastAsia="Times New Roman"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4DC172A"/>
    <w:multiLevelType w:val="hybridMultilevel"/>
    <w:tmpl w:val="F7E24BD0"/>
    <w:lvl w:ilvl="0" w:tplc="180AC16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6A055E8"/>
    <w:multiLevelType w:val="hybridMultilevel"/>
    <w:tmpl w:val="9912E1F6"/>
    <w:lvl w:ilvl="0" w:tplc="3F700CA6">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6A7695C"/>
    <w:multiLevelType w:val="hybridMultilevel"/>
    <w:tmpl w:val="902C58DE"/>
    <w:lvl w:ilvl="0" w:tplc="3708787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5587D41"/>
    <w:multiLevelType w:val="hybridMultilevel"/>
    <w:tmpl w:val="6C6016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90746BC"/>
    <w:multiLevelType w:val="hybridMultilevel"/>
    <w:tmpl w:val="2EAA7BE2"/>
    <w:lvl w:ilvl="0" w:tplc="33EA042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9101F2C"/>
    <w:multiLevelType w:val="hybridMultilevel"/>
    <w:tmpl w:val="F5288F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63899279">
    <w:abstractNumId w:val="0"/>
  </w:num>
  <w:num w:numId="2" w16cid:durableId="2093968724">
    <w:abstractNumId w:val="3"/>
  </w:num>
  <w:num w:numId="3" w16cid:durableId="1828857869">
    <w:abstractNumId w:val="5"/>
  </w:num>
  <w:num w:numId="4" w16cid:durableId="326177013">
    <w:abstractNumId w:val="7"/>
  </w:num>
  <w:num w:numId="5" w16cid:durableId="472868276">
    <w:abstractNumId w:val="10"/>
  </w:num>
  <w:num w:numId="6" w16cid:durableId="706492981">
    <w:abstractNumId w:val="1"/>
  </w:num>
  <w:num w:numId="7" w16cid:durableId="1412655015">
    <w:abstractNumId w:val="11"/>
  </w:num>
  <w:num w:numId="8" w16cid:durableId="229001114">
    <w:abstractNumId w:val="2"/>
  </w:num>
  <w:num w:numId="9" w16cid:durableId="51277487">
    <w:abstractNumId w:val="4"/>
  </w:num>
  <w:num w:numId="10" w16cid:durableId="634918967">
    <w:abstractNumId w:val="9"/>
  </w:num>
  <w:num w:numId="11" w16cid:durableId="1015427933">
    <w:abstractNumId w:val="8"/>
  </w:num>
  <w:num w:numId="12" w16cid:durableId="478692677">
    <w:abstractNumId w:val="12"/>
  </w:num>
  <w:num w:numId="13" w16cid:durableId="972710289">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77FB"/>
    <w:rsid w:val="0000140B"/>
    <w:rsid w:val="00001A78"/>
    <w:rsid w:val="00010A4D"/>
    <w:rsid w:val="000144FB"/>
    <w:rsid w:val="00015086"/>
    <w:rsid w:val="000150BB"/>
    <w:rsid w:val="00016C4D"/>
    <w:rsid w:val="00017CC1"/>
    <w:rsid w:val="00020AE3"/>
    <w:rsid w:val="00026CC0"/>
    <w:rsid w:val="000339C8"/>
    <w:rsid w:val="00034129"/>
    <w:rsid w:val="00036F88"/>
    <w:rsid w:val="00046B6D"/>
    <w:rsid w:val="00052607"/>
    <w:rsid w:val="00052664"/>
    <w:rsid w:val="00053923"/>
    <w:rsid w:val="00054B04"/>
    <w:rsid w:val="00061FFB"/>
    <w:rsid w:val="00062524"/>
    <w:rsid w:val="00063722"/>
    <w:rsid w:val="00065705"/>
    <w:rsid w:val="00075318"/>
    <w:rsid w:val="00075E79"/>
    <w:rsid w:val="00076B31"/>
    <w:rsid w:val="00077A9A"/>
    <w:rsid w:val="00080E02"/>
    <w:rsid w:val="00081BC1"/>
    <w:rsid w:val="00082EBC"/>
    <w:rsid w:val="000916B6"/>
    <w:rsid w:val="00092CAE"/>
    <w:rsid w:val="00093110"/>
    <w:rsid w:val="00093C1A"/>
    <w:rsid w:val="00095ECC"/>
    <w:rsid w:val="000A1939"/>
    <w:rsid w:val="000A21ED"/>
    <w:rsid w:val="000A26EF"/>
    <w:rsid w:val="000A38FB"/>
    <w:rsid w:val="000A7EA3"/>
    <w:rsid w:val="000B014A"/>
    <w:rsid w:val="000B05B4"/>
    <w:rsid w:val="000B1124"/>
    <w:rsid w:val="000B162F"/>
    <w:rsid w:val="000B1824"/>
    <w:rsid w:val="000B190A"/>
    <w:rsid w:val="000B19FC"/>
    <w:rsid w:val="000B2276"/>
    <w:rsid w:val="000B32AC"/>
    <w:rsid w:val="000B4CF9"/>
    <w:rsid w:val="000B5E85"/>
    <w:rsid w:val="000B687F"/>
    <w:rsid w:val="000C09CF"/>
    <w:rsid w:val="000C227B"/>
    <w:rsid w:val="000C4C00"/>
    <w:rsid w:val="000C79DC"/>
    <w:rsid w:val="000D0E76"/>
    <w:rsid w:val="000D34E7"/>
    <w:rsid w:val="000D4CD0"/>
    <w:rsid w:val="000D6E38"/>
    <w:rsid w:val="000D77FB"/>
    <w:rsid w:val="000D7CA4"/>
    <w:rsid w:val="000D7DCD"/>
    <w:rsid w:val="000E0147"/>
    <w:rsid w:val="000E09F3"/>
    <w:rsid w:val="000E1010"/>
    <w:rsid w:val="000E16D8"/>
    <w:rsid w:val="000E2BC3"/>
    <w:rsid w:val="000E4DE0"/>
    <w:rsid w:val="000E5AC4"/>
    <w:rsid w:val="000E668E"/>
    <w:rsid w:val="000E7263"/>
    <w:rsid w:val="000F3AAF"/>
    <w:rsid w:val="000F3B3B"/>
    <w:rsid w:val="000F5E0F"/>
    <w:rsid w:val="00101EF4"/>
    <w:rsid w:val="001024E6"/>
    <w:rsid w:val="00103497"/>
    <w:rsid w:val="00106912"/>
    <w:rsid w:val="0010722F"/>
    <w:rsid w:val="0010735E"/>
    <w:rsid w:val="0010796A"/>
    <w:rsid w:val="0011146E"/>
    <w:rsid w:val="001123ED"/>
    <w:rsid w:val="001207DE"/>
    <w:rsid w:val="00121010"/>
    <w:rsid w:val="00125EE3"/>
    <w:rsid w:val="00140D96"/>
    <w:rsid w:val="00142D73"/>
    <w:rsid w:val="00144445"/>
    <w:rsid w:val="00144FB8"/>
    <w:rsid w:val="00147A54"/>
    <w:rsid w:val="001520C0"/>
    <w:rsid w:val="00153084"/>
    <w:rsid w:val="0015399E"/>
    <w:rsid w:val="00153CCC"/>
    <w:rsid w:val="00154981"/>
    <w:rsid w:val="001552C4"/>
    <w:rsid w:val="0015599D"/>
    <w:rsid w:val="00160121"/>
    <w:rsid w:val="001619E7"/>
    <w:rsid w:val="00164173"/>
    <w:rsid w:val="00170836"/>
    <w:rsid w:val="00171AE3"/>
    <w:rsid w:val="001775D3"/>
    <w:rsid w:val="001828C4"/>
    <w:rsid w:val="00185F3D"/>
    <w:rsid w:val="00185FF3"/>
    <w:rsid w:val="00190654"/>
    <w:rsid w:val="00190EF9"/>
    <w:rsid w:val="00191477"/>
    <w:rsid w:val="00192388"/>
    <w:rsid w:val="0019465F"/>
    <w:rsid w:val="001A054E"/>
    <w:rsid w:val="001A1CC0"/>
    <w:rsid w:val="001A1DCF"/>
    <w:rsid w:val="001A223E"/>
    <w:rsid w:val="001A240D"/>
    <w:rsid w:val="001A43E8"/>
    <w:rsid w:val="001B46A8"/>
    <w:rsid w:val="001B4AFB"/>
    <w:rsid w:val="001B4F3F"/>
    <w:rsid w:val="001B6BC6"/>
    <w:rsid w:val="001C029C"/>
    <w:rsid w:val="001C2405"/>
    <w:rsid w:val="001C7741"/>
    <w:rsid w:val="001D180F"/>
    <w:rsid w:val="001D413A"/>
    <w:rsid w:val="001D47BD"/>
    <w:rsid w:val="001D563A"/>
    <w:rsid w:val="001D652C"/>
    <w:rsid w:val="001D7325"/>
    <w:rsid w:val="001D75F8"/>
    <w:rsid w:val="001E074F"/>
    <w:rsid w:val="001E2141"/>
    <w:rsid w:val="001E566F"/>
    <w:rsid w:val="001E71E0"/>
    <w:rsid w:val="001F0349"/>
    <w:rsid w:val="001F1CAE"/>
    <w:rsid w:val="001F2CB3"/>
    <w:rsid w:val="001F3413"/>
    <w:rsid w:val="001F3E2D"/>
    <w:rsid w:val="001F6E50"/>
    <w:rsid w:val="001F7BBC"/>
    <w:rsid w:val="00200996"/>
    <w:rsid w:val="00200AA9"/>
    <w:rsid w:val="00205B09"/>
    <w:rsid w:val="00206694"/>
    <w:rsid w:val="00207E2E"/>
    <w:rsid w:val="00212234"/>
    <w:rsid w:val="00216CB5"/>
    <w:rsid w:val="00217FFD"/>
    <w:rsid w:val="00220DD6"/>
    <w:rsid w:val="002234E1"/>
    <w:rsid w:val="00226B07"/>
    <w:rsid w:val="00231874"/>
    <w:rsid w:val="00233AD8"/>
    <w:rsid w:val="002351EE"/>
    <w:rsid w:val="00236C1E"/>
    <w:rsid w:val="00237085"/>
    <w:rsid w:val="00237B65"/>
    <w:rsid w:val="00241058"/>
    <w:rsid w:val="00241DAE"/>
    <w:rsid w:val="00242D3A"/>
    <w:rsid w:val="00243A1A"/>
    <w:rsid w:val="002450C4"/>
    <w:rsid w:val="0024728F"/>
    <w:rsid w:val="00247573"/>
    <w:rsid w:val="00250974"/>
    <w:rsid w:val="00250B34"/>
    <w:rsid w:val="002511E0"/>
    <w:rsid w:val="00251AC3"/>
    <w:rsid w:val="00253F5A"/>
    <w:rsid w:val="00256570"/>
    <w:rsid w:val="00260632"/>
    <w:rsid w:val="00261EE3"/>
    <w:rsid w:val="00262E99"/>
    <w:rsid w:val="002652D5"/>
    <w:rsid w:val="00265C53"/>
    <w:rsid w:val="00266B2B"/>
    <w:rsid w:val="00266B43"/>
    <w:rsid w:val="00266B81"/>
    <w:rsid w:val="002675D8"/>
    <w:rsid w:val="00271AAA"/>
    <w:rsid w:val="00271F5B"/>
    <w:rsid w:val="00272E22"/>
    <w:rsid w:val="00273323"/>
    <w:rsid w:val="00276714"/>
    <w:rsid w:val="0027774B"/>
    <w:rsid w:val="00277A8F"/>
    <w:rsid w:val="002826E4"/>
    <w:rsid w:val="00282FA2"/>
    <w:rsid w:val="002852DA"/>
    <w:rsid w:val="00287B86"/>
    <w:rsid w:val="00292825"/>
    <w:rsid w:val="002973DE"/>
    <w:rsid w:val="002A2DF8"/>
    <w:rsid w:val="002A59EF"/>
    <w:rsid w:val="002B02E4"/>
    <w:rsid w:val="002B3D21"/>
    <w:rsid w:val="002B44A1"/>
    <w:rsid w:val="002B4C9F"/>
    <w:rsid w:val="002B731D"/>
    <w:rsid w:val="002C031D"/>
    <w:rsid w:val="002C1FF8"/>
    <w:rsid w:val="002C569C"/>
    <w:rsid w:val="002C6E4F"/>
    <w:rsid w:val="002C733F"/>
    <w:rsid w:val="002C7F03"/>
    <w:rsid w:val="002D0742"/>
    <w:rsid w:val="002D2221"/>
    <w:rsid w:val="002D529D"/>
    <w:rsid w:val="002D574D"/>
    <w:rsid w:val="002D6555"/>
    <w:rsid w:val="002D7485"/>
    <w:rsid w:val="002E6526"/>
    <w:rsid w:val="002F152A"/>
    <w:rsid w:val="002F6DDC"/>
    <w:rsid w:val="002F76DE"/>
    <w:rsid w:val="00301958"/>
    <w:rsid w:val="0030526E"/>
    <w:rsid w:val="00310B3D"/>
    <w:rsid w:val="0031114B"/>
    <w:rsid w:val="003116B5"/>
    <w:rsid w:val="00314369"/>
    <w:rsid w:val="003154C5"/>
    <w:rsid w:val="0031566F"/>
    <w:rsid w:val="00317005"/>
    <w:rsid w:val="00322C4F"/>
    <w:rsid w:val="00326253"/>
    <w:rsid w:val="00332366"/>
    <w:rsid w:val="003323EE"/>
    <w:rsid w:val="00335C48"/>
    <w:rsid w:val="003433F8"/>
    <w:rsid w:val="00344587"/>
    <w:rsid w:val="00345085"/>
    <w:rsid w:val="00345A6E"/>
    <w:rsid w:val="0035145A"/>
    <w:rsid w:val="003518E4"/>
    <w:rsid w:val="003541B4"/>
    <w:rsid w:val="00356F7E"/>
    <w:rsid w:val="00357D61"/>
    <w:rsid w:val="003601D4"/>
    <w:rsid w:val="00361C42"/>
    <w:rsid w:val="00362930"/>
    <w:rsid w:val="00364559"/>
    <w:rsid w:val="00365D68"/>
    <w:rsid w:val="0037327C"/>
    <w:rsid w:val="00374572"/>
    <w:rsid w:val="0038082A"/>
    <w:rsid w:val="00381019"/>
    <w:rsid w:val="00391383"/>
    <w:rsid w:val="00395E2E"/>
    <w:rsid w:val="00396D74"/>
    <w:rsid w:val="003A0A4C"/>
    <w:rsid w:val="003A75B8"/>
    <w:rsid w:val="003B191B"/>
    <w:rsid w:val="003B1CE7"/>
    <w:rsid w:val="003B7C4A"/>
    <w:rsid w:val="003C045B"/>
    <w:rsid w:val="003C1E87"/>
    <w:rsid w:val="003C2EAB"/>
    <w:rsid w:val="003C4AC6"/>
    <w:rsid w:val="003C63BE"/>
    <w:rsid w:val="003C79E1"/>
    <w:rsid w:val="003D4694"/>
    <w:rsid w:val="003D4793"/>
    <w:rsid w:val="003D4F83"/>
    <w:rsid w:val="003E1AE4"/>
    <w:rsid w:val="003E2711"/>
    <w:rsid w:val="003F12A2"/>
    <w:rsid w:val="003F422C"/>
    <w:rsid w:val="003F6A79"/>
    <w:rsid w:val="003F6C69"/>
    <w:rsid w:val="004003B3"/>
    <w:rsid w:val="00400C6E"/>
    <w:rsid w:val="004020E6"/>
    <w:rsid w:val="0040246D"/>
    <w:rsid w:val="004024D0"/>
    <w:rsid w:val="00405A74"/>
    <w:rsid w:val="004075EA"/>
    <w:rsid w:val="00410A88"/>
    <w:rsid w:val="00411E80"/>
    <w:rsid w:val="00415B69"/>
    <w:rsid w:val="00415BDC"/>
    <w:rsid w:val="00415C9E"/>
    <w:rsid w:val="004164B2"/>
    <w:rsid w:val="00416E2E"/>
    <w:rsid w:val="004224EA"/>
    <w:rsid w:val="00424D4A"/>
    <w:rsid w:val="0042577F"/>
    <w:rsid w:val="00426889"/>
    <w:rsid w:val="00427624"/>
    <w:rsid w:val="00427E4C"/>
    <w:rsid w:val="00427EE2"/>
    <w:rsid w:val="0043228D"/>
    <w:rsid w:val="00433DB0"/>
    <w:rsid w:val="004457A1"/>
    <w:rsid w:val="00450B0B"/>
    <w:rsid w:val="00450C23"/>
    <w:rsid w:val="00451218"/>
    <w:rsid w:val="00451313"/>
    <w:rsid w:val="004570E7"/>
    <w:rsid w:val="00457B24"/>
    <w:rsid w:val="00462F38"/>
    <w:rsid w:val="00463768"/>
    <w:rsid w:val="00463860"/>
    <w:rsid w:val="00463D26"/>
    <w:rsid w:val="00465304"/>
    <w:rsid w:val="0047211B"/>
    <w:rsid w:val="00472C5C"/>
    <w:rsid w:val="004738EE"/>
    <w:rsid w:val="004745E6"/>
    <w:rsid w:val="00476A5C"/>
    <w:rsid w:val="004812F5"/>
    <w:rsid w:val="004816E5"/>
    <w:rsid w:val="004833A3"/>
    <w:rsid w:val="004857FB"/>
    <w:rsid w:val="00491A7D"/>
    <w:rsid w:val="004933C1"/>
    <w:rsid w:val="00497724"/>
    <w:rsid w:val="004A1713"/>
    <w:rsid w:val="004A3603"/>
    <w:rsid w:val="004A36CD"/>
    <w:rsid w:val="004A4B29"/>
    <w:rsid w:val="004A57E6"/>
    <w:rsid w:val="004B748A"/>
    <w:rsid w:val="004B7E97"/>
    <w:rsid w:val="004B7F04"/>
    <w:rsid w:val="004C2EE7"/>
    <w:rsid w:val="004C3BDB"/>
    <w:rsid w:val="004D0576"/>
    <w:rsid w:val="004D36D7"/>
    <w:rsid w:val="004D3792"/>
    <w:rsid w:val="004D4A5A"/>
    <w:rsid w:val="004D747D"/>
    <w:rsid w:val="004E0D2B"/>
    <w:rsid w:val="004E24EA"/>
    <w:rsid w:val="004E2956"/>
    <w:rsid w:val="004E30E5"/>
    <w:rsid w:val="004E4138"/>
    <w:rsid w:val="004E6A4A"/>
    <w:rsid w:val="004E78F0"/>
    <w:rsid w:val="004E7D58"/>
    <w:rsid w:val="004F0084"/>
    <w:rsid w:val="004F0109"/>
    <w:rsid w:val="004F2266"/>
    <w:rsid w:val="004F27D1"/>
    <w:rsid w:val="004F5B78"/>
    <w:rsid w:val="004F619A"/>
    <w:rsid w:val="004F637B"/>
    <w:rsid w:val="004F778D"/>
    <w:rsid w:val="004F7895"/>
    <w:rsid w:val="005002A2"/>
    <w:rsid w:val="005007CA"/>
    <w:rsid w:val="005022D6"/>
    <w:rsid w:val="0050266C"/>
    <w:rsid w:val="00502F25"/>
    <w:rsid w:val="0050578D"/>
    <w:rsid w:val="00510FD6"/>
    <w:rsid w:val="005178FC"/>
    <w:rsid w:val="005222ED"/>
    <w:rsid w:val="00523BD5"/>
    <w:rsid w:val="00532F36"/>
    <w:rsid w:val="00534507"/>
    <w:rsid w:val="00536BD1"/>
    <w:rsid w:val="00536F48"/>
    <w:rsid w:val="005373C7"/>
    <w:rsid w:val="00542046"/>
    <w:rsid w:val="00542B90"/>
    <w:rsid w:val="00544726"/>
    <w:rsid w:val="00545293"/>
    <w:rsid w:val="0054653E"/>
    <w:rsid w:val="00555B0E"/>
    <w:rsid w:val="00560A1E"/>
    <w:rsid w:val="00561970"/>
    <w:rsid w:val="00562EF5"/>
    <w:rsid w:val="0056390B"/>
    <w:rsid w:val="005721F0"/>
    <w:rsid w:val="005739CF"/>
    <w:rsid w:val="005740C8"/>
    <w:rsid w:val="005759ED"/>
    <w:rsid w:val="00575CAB"/>
    <w:rsid w:val="0058092D"/>
    <w:rsid w:val="00581189"/>
    <w:rsid w:val="005828C1"/>
    <w:rsid w:val="00584007"/>
    <w:rsid w:val="00591261"/>
    <w:rsid w:val="00591577"/>
    <w:rsid w:val="00594419"/>
    <w:rsid w:val="0059538D"/>
    <w:rsid w:val="005A07D2"/>
    <w:rsid w:val="005A1A3C"/>
    <w:rsid w:val="005A2F1D"/>
    <w:rsid w:val="005A3A0B"/>
    <w:rsid w:val="005A7288"/>
    <w:rsid w:val="005B0CEA"/>
    <w:rsid w:val="005B425E"/>
    <w:rsid w:val="005B76CF"/>
    <w:rsid w:val="005C2C12"/>
    <w:rsid w:val="005C4E8B"/>
    <w:rsid w:val="005C5778"/>
    <w:rsid w:val="005D1762"/>
    <w:rsid w:val="005D2CA7"/>
    <w:rsid w:val="005D6115"/>
    <w:rsid w:val="005D7747"/>
    <w:rsid w:val="005E10BC"/>
    <w:rsid w:val="005E5DCC"/>
    <w:rsid w:val="005E65A8"/>
    <w:rsid w:val="005E6AA8"/>
    <w:rsid w:val="005E6B47"/>
    <w:rsid w:val="005F1B9C"/>
    <w:rsid w:val="005F434C"/>
    <w:rsid w:val="005F57EB"/>
    <w:rsid w:val="0060204E"/>
    <w:rsid w:val="0060781B"/>
    <w:rsid w:val="00614C48"/>
    <w:rsid w:val="0061684B"/>
    <w:rsid w:val="00617362"/>
    <w:rsid w:val="00617558"/>
    <w:rsid w:val="0062231E"/>
    <w:rsid w:val="00623590"/>
    <w:rsid w:val="00627580"/>
    <w:rsid w:val="0063030D"/>
    <w:rsid w:val="006310DD"/>
    <w:rsid w:val="00632923"/>
    <w:rsid w:val="00635147"/>
    <w:rsid w:val="00640D9F"/>
    <w:rsid w:val="00641095"/>
    <w:rsid w:val="0064231D"/>
    <w:rsid w:val="006444CD"/>
    <w:rsid w:val="00651851"/>
    <w:rsid w:val="00654FB9"/>
    <w:rsid w:val="006566CD"/>
    <w:rsid w:val="00657867"/>
    <w:rsid w:val="0066027E"/>
    <w:rsid w:val="006618BF"/>
    <w:rsid w:val="00661965"/>
    <w:rsid w:val="0066667D"/>
    <w:rsid w:val="00666B47"/>
    <w:rsid w:val="00672140"/>
    <w:rsid w:val="0067247A"/>
    <w:rsid w:val="006726C3"/>
    <w:rsid w:val="00672902"/>
    <w:rsid w:val="00672C4E"/>
    <w:rsid w:val="00676111"/>
    <w:rsid w:val="00676EA9"/>
    <w:rsid w:val="0067730A"/>
    <w:rsid w:val="006774B8"/>
    <w:rsid w:val="00683F40"/>
    <w:rsid w:val="00687D05"/>
    <w:rsid w:val="00695317"/>
    <w:rsid w:val="006953D8"/>
    <w:rsid w:val="006A09C7"/>
    <w:rsid w:val="006A2D4D"/>
    <w:rsid w:val="006A6DE3"/>
    <w:rsid w:val="006B0D0A"/>
    <w:rsid w:val="006B0D7D"/>
    <w:rsid w:val="006B323C"/>
    <w:rsid w:val="006B36B7"/>
    <w:rsid w:val="006B7ABD"/>
    <w:rsid w:val="006C1477"/>
    <w:rsid w:val="006C1526"/>
    <w:rsid w:val="006C1BCA"/>
    <w:rsid w:val="006C1FFE"/>
    <w:rsid w:val="006C4222"/>
    <w:rsid w:val="006C7B60"/>
    <w:rsid w:val="006D0605"/>
    <w:rsid w:val="006D6109"/>
    <w:rsid w:val="006D648E"/>
    <w:rsid w:val="006D70D0"/>
    <w:rsid w:val="006E3A8B"/>
    <w:rsid w:val="006E7B3E"/>
    <w:rsid w:val="006E7F7A"/>
    <w:rsid w:val="006E7FA1"/>
    <w:rsid w:val="006F2527"/>
    <w:rsid w:val="006F2F12"/>
    <w:rsid w:val="006F311F"/>
    <w:rsid w:val="007006CF"/>
    <w:rsid w:val="00700F75"/>
    <w:rsid w:val="00702436"/>
    <w:rsid w:val="00703F01"/>
    <w:rsid w:val="007045CF"/>
    <w:rsid w:val="00705280"/>
    <w:rsid w:val="00706107"/>
    <w:rsid w:val="0071079D"/>
    <w:rsid w:val="00710999"/>
    <w:rsid w:val="00714B51"/>
    <w:rsid w:val="007155A5"/>
    <w:rsid w:val="00715EF9"/>
    <w:rsid w:val="00717DF3"/>
    <w:rsid w:val="00720B64"/>
    <w:rsid w:val="0072295D"/>
    <w:rsid w:val="00723BB2"/>
    <w:rsid w:val="00724305"/>
    <w:rsid w:val="007246D5"/>
    <w:rsid w:val="007251FA"/>
    <w:rsid w:val="007277B4"/>
    <w:rsid w:val="00732339"/>
    <w:rsid w:val="00736441"/>
    <w:rsid w:val="00737082"/>
    <w:rsid w:val="007440E2"/>
    <w:rsid w:val="00745147"/>
    <w:rsid w:val="007462E6"/>
    <w:rsid w:val="00746656"/>
    <w:rsid w:val="00746F5E"/>
    <w:rsid w:val="00747364"/>
    <w:rsid w:val="00754F1B"/>
    <w:rsid w:val="007556BD"/>
    <w:rsid w:val="00757BFC"/>
    <w:rsid w:val="00760919"/>
    <w:rsid w:val="00760A37"/>
    <w:rsid w:val="00765071"/>
    <w:rsid w:val="0076650E"/>
    <w:rsid w:val="00766567"/>
    <w:rsid w:val="007668CC"/>
    <w:rsid w:val="00766BAF"/>
    <w:rsid w:val="0076782F"/>
    <w:rsid w:val="00773087"/>
    <w:rsid w:val="007731D9"/>
    <w:rsid w:val="007743FD"/>
    <w:rsid w:val="00775A2D"/>
    <w:rsid w:val="0077636B"/>
    <w:rsid w:val="007777E8"/>
    <w:rsid w:val="00777958"/>
    <w:rsid w:val="0078098D"/>
    <w:rsid w:val="00780F53"/>
    <w:rsid w:val="00794E58"/>
    <w:rsid w:val="007A1CE1"/>
    <w:rsid w:val="007A24BB"/>
    <w:rsid w:val="007A609F"/>
    <w:rsid w:val="007A64BB"/>
    <w:rsid w:val="007B00C7"/>
    <w:rsid w:val="007B312A"/>
    <w:rsid w:val="007C025E"/>
    <w:rsid w:val="007C217F"/>
    <w:rsid w:val="007C23D6"/>
    <w:rsid w:val="007C3F0C"/>
    <w:rsid w:val="007C5223"/>
    <w:rsid w:val="007C6287"/>
    <w:rsid w:val="007C78D2"/>
    <w:rsid w:val="007D0DF0"/>
    <w:rsid w:val="007D6215"/>
    <w:rsid w:val="007D6CB1"/>
    <w:rsid w:val="007E346B"/>
    <w:rsid w:val="007E431F"/>
    <w:rsid w:val="007E488D"/>
    <w:rsid w:val="007F0768"/>
    <w:rsid w:val="007F323E"/>
    <w:rsid w:val="007F3CF1"/>
    <w:rsid w:val="007F518E"/>
    <w:rsid w:val="007F5D33"/>
    <w:rsid w:val="008018C3"/>
    <w:rsid w:val="008036D5"/>
    <w:rsid w:val="0080541B"/>
    <w:rsid w:val="00807AFF"/>
    <w:rsid w:val="00811CF0"/>
    <w:rsid w:val="00826C10"/>
    <w:rsid w:val="00830C7D"/>
    <w:rsid w:val="00835CD6"/>
    <w:rsid w:val="008363D3"/>
    <w:rsid w:val="00840BC8"/>
    <w:rsid w:val="00844AB2"/>
    <w:rsid w:val="0084519E"/>
    <w:rsid w:val="00845FCB"/>
    <w:rsid w:val="0085013E"/>
    <w:rsid w:val="00854007"/>
    <w:rsid w:val="0085501A"/>
    <w:rsid w:val="00857138"/>
    <w:rsid w:val="00861003"/>
    <w:rsid w:val="00865C4F"/>
    <w:rsid w:val="008723DD"/>
    <w:rsid w:val="00873538"/>
    <w:rsid w:val="00873B84"/>
    <w:rsid w:val="00874BD7"/>
    <w:rsid w:val="00876F48"/>
    <w:rsid w:val="00877039"/>
    <w:rsid w:val="00880C14"/>
    <w:rsid w:val="00881798"/>
    <w:rsid w:val="008820CF"/>
    <w:rsid w:val="008829C8"/>
    <w:rsid w:val="00883E0C"/>
    <w:rsid w:val="00886049"/>
    <w:rsid w:val="008860EA"/>
    <w:rsid w:val="00886459"/>
    <w:rsid w:val="0088678D"/>
    <w:rsid w:val="00886FB5"/>
    <w:rsid w:val="008876A4"/>
    <w:rsid w:val="0089224E"/>
    <w:rsid w:val="00895D36"/>
    <w:rsid w:val="00896CE2"/>
    <w:rsid w:val="008A3696"/>
    <w:rsid w:val="008A5926"/>
    <w:rsid w:val="008A6294"/>
    <w:rsid w:val="008A70F4"/>
    <w:rsid w:val="008B055C"/>
    <w:rsid w:val="008B39B5"/>
    <w:rsid w:val="008B5730"/>
    <w:rsid w:val="008B6E7F"/>
    <w:rsid w:val="008C06D1"/>
    <w:rsid w:val="008C344B"/>
    <w:rsid w:val="008C4F82"/>
    <w:rsid w:val="008C56DE"/>
    <w:rsid w:val="008C6992"/>
    <w:rsid w:val="008C7CE9"/>
    <w:rsid w:val="008D066A"/>
    <w:rsid w:val="008D4FDF"/>
    <w:rsid w:val="008D5CE4"/>
    <w:rsid w:val="008D5DD4"/>
    <w:rsid w:val="008E267F"/>
    <w:rsid w:val="008E382D"/>
    <w:rsid w:val="008E5E6C"/>
    <w:rsid w:val="008F0B14"/>
    <w:rsid w:val="008F4103"/>
    <w:rsid w:val="008F7A0F"/>
    <w:rsid w:val="00900209"/>
    <w:rsid w:val="00900733"/>
    <w:rsid w:val="00900CDD"/>
    <w:rsid w:val="0090345E"/>
    <w:rsid w:val="00903483"/>
    <w:rsid w:val="00905100"/>
    <w:rsid w:val="0091018F"/>
    <w:rsid w:val="009116FC"/>
    <w:rsid w:val="00912024"/>
    <w:rsid w:val="00912A81"/>
    <w:rsid w:val="00914927"/>
    <w:rsid w:val="00916618"/>
    <w:rsid w:val="00922FEB"/>
    <w:rsid w:val="009266E5"/>
    <w:rsid w:val="009272BF"/>
    <w:rsid w:val="0093106A"/>
    <w:rsid w:val="00936130"/>
    <w:rsid w:val="00937073"/>
    <w:rsid w:val="0093777F"/>
    <w:rsid w:val="0094028D"/>
    <w:rsid w:val="0094134A"/>
    <w:rsid w:val="00943DF9"/>
    <w:rsid w:val="00945058"/>
    <w:rsid w:val="00946891"/>
    <w:rsid w:val="00947346"/>
    <w:rsid w:val="00950BE7"/>
    <w:rsid w:val="0095143E"/>
    <w:rsid w:val="00954EFF"/>
    <w:rsid w:val="00956D2D"/>
    <w:rsid w:val="00960DD4"/>
    <w:rsid w:val="00961CE2"/>
    <w:rsid w:val="009669F8"/>
    <w:rsid w:val="009726F8"/>
    <w:rsid w:val="00973DF3"/>
    <w:rsid w:val="009740A1"/>
    <w:rsid w:val="009770D2"/>
    <w:rsid w:val="009837C8"/>
    <w:rsid w:val="00984729"/>
    <w:rsid w:val="00986E09"/>
    <w:rsid w:val="00990A3C"/>
    <w:rsid w:val="00991E9A"/>
    <w:rsid w:val="00992DC8"/>
    <w:rsid w:val="009930BD"/>
    <w:rsid w:val="0099499F"/>
    <w:rsid w:val="00996667"/>
    <w:rsid w:val="009A05BF"/>
    <w:rsid w:val="009A0775"/>
    <w:rsid w:val="009A1F4D"/>
    <w:rsid w:val="009A20F7"/>
    <w:rsid w:val="009B2315"/>
    <w:rsid w:val="009B5674"/>
    <w:rsid w:val="009C2D1D"/>
    <w:rsid w:val="009C4544"/>
    <w:rsid w:val="009C4565"/>
    <w:rsid w:val="009C4AB8"/>
    <w:rsid w:val="009C6155"/>
    <w:rsid w:val="009C71E4"/>
    <w:rsid w:val="009D0B38"/>
    <w:rsid w:val="009D14DE"/>
    <w:rsid w:val="009D1668"/>
    <w:rsid w:val="009D26C0"/>
    <w:rsid w:val="009D64A3"/>
    <w:rsid w:val="009D7034"/>
    <w:rsid w:val="009D7B8C"/>
    <w:rsid w:val="009E06AE"/>
    <w:rsid w:val="009E08DD"/>
    <w:rsid w:val="009E0C89"/>
    <w:rsid w:val="009E29DA"/>
    <w:rsid w:val="009E4A2F"/>
    <w:rsid w:val="009E6BD3"/>
    <w:rsid w:val="009E6C0E"/>
    <w:rsid w:val="009F0018"/>
    <w:rsid w:val="009F018B"/>
    <w:rsid w:val="009F0E45"/>
    <w:rsid w:val="009F2891"/>
    <w:rsid w:val="009F4771"/>
    <w:rsid w:val="009F73DA"/>
    <w:rsid w:val="00A03335"/>
    <w:rsid w:val="00A106AB"/>
    <w:rsid w:val="00A10ABB"/>
    <w:rsid w:val="00A11922"/>
    <w:rsid w:val="00A12F75"/>
    <w:rsid w:val="00A17682"/>
    <w:rsid w:val="00A22CD6"/>
    <w:rsid w:val="00A231BF"/>
    <w:rsid w:val="00A235BE"/>
    <w:rsid w:val="00A23CE3"/>
    <w:rsid w:val="00A25B73"/>
    <w:rsid w:val="00A25D4A"/>
    <w:rsid w:val="00A26FC2"/>
    <w:rsid w:val="00A34557"/>
    <w:rsid w:val="00A345DE"/>
    <w:rsid w:val="00A3756C"/>
    <w:rsid w:val="00A40F57"/>
    <w:rsid w:val="00A43694"/>
    <w:rsid w:val="00A43EA9"/>
    <w:rsid w:val="00A45944"/>
    <w:rsid w:val="00A4752A"/>
    <w:rsid w:val="00A51FF1"/>
    <w:rsid w:val="00A54CA1"/>
    <w:rsid w:val="00A57D3C"/>
    <w:rsid w:val="00A61AEB"/>
    <w:rsid w:val="00A625F8"/>
    <w:rsid w:val="00A64D34"/>
    <w:rsid w:val="00A74DD7"/>
    <w:rsid w:val="00A7637A"/>
    <w:rsid w:val="00A7784E"/>
    <w:rsid w:val="00A8172F"/>
    <w:rsid w:val="00A835CB"/>
    <w:rsid w:val="00A837E0"/>
    <w:rsid w:val="00A8449D"/>
    <w:rsid w:val="00A85C2A"/>
    <w:rsid w:val="00A915ED"/>
    <w:rsid w:val="00A9181F"/>
    <w:rsid w:val="00A919CD"/>
    <w:rsid w:val="00A93747"/>
    <w:rsid w:val="00A95385"/>
    <w:rsid w:val="00A96A0F"/>
    <w:rsid w:val="00A96B7A"/>
    <w:rsid w:val="00A96FAA"/>
    <w:rsid w:val="00A97512"/>
    <w:rsid w:val="00AA1B31"/>
    <w:rsid w:val="00AA2A3A"/>
    <w:rsid w:val="00AA42AE"/>
    <w:rsid w:val="00AA4B0A"/>
    <w:rsid w:val="00AA68CF"/>
    <w:rsid w:val="00AA72C3"/>
    <w:rsid w:val="00AB0BE6"/>
    <w:rsid w:val="00AB296B"/>
    <w:rsid w:val="00AB4788"/>
    <w:rsid w:val="00AB57E9"/>
    <w:rsid w:val="00AB6BA4"/>
    <w:rsid w:val="00AC3A97"/>
    <w:rsid w:val="00AC3DAE"/>
    <w:rsid w:val="00AC4CF3"/>
    <w:rsid w:val="00AC5123"/>
    <w:rsid w:val="00AC59BE"/>
    <w:rsid w:val="00AC6B0B"/>
    <w:rsid w:val="00AD0ED0"/>
    <w:rsid w:val="00AD0F34"/>
    <w:rsid w:val="00AD3AAB"/>
    <w:rsid w:val="00AD597C"/>
    <w:rsid w:val="00AD5C20"/>
    <w:rsid w:val="00AD6055"/>
    <w:rsid w:val="00AD61E7"/>
    <w:rsid w:val="00AD7342"/>
    <w:rsid w:val="00AD7C53"/>
    <w:rsid w:val="00AE3E8F"/>
    <w:rsid w:val="00AE5216"/>
    <w:rsid w:val="00AF0520"/>
    <w:rsid w:val="00AF1AA4"/>
    <w:rsid w:val="00AF1DCF"/>
    <w:rsid w:val="00AF2598"/>
    <w:rsid w:val="00AF3271"/>
    <w:rsid w:val="00AF6E05"/>
    <w:rsid w:val="00AF7139"/>
    <w:rsid w:val="00B02FF5"/>
    <w:rsid w:val="00B03A2F"/>
    <w:rsid w:val="00B0586E"/>
    <w:rsid w:val="00B058FC"/>
    <w:rsid w:val="00B114DB"/>
    <w:rsid w:val="00B13469"/>
    <w:rsid w:val="00B15547"/>
    <w:rsid w:val="00B1652A"/>
    <w:rsid w:val="00B167C6"/>
    <w:rsid w:val="00B16F37"/>
    <w:rsid w:val="00B17414"/>
    <w:rsid w:val="00B21860"/>
    <w:rsid w:val="00B25191"/>
    <w:rsid w:val="00B255FB"/>
    <w:rsid w:val="00B259CE"/>
    <w:rsid w:val="00B26C72"/>
    <w:rsid w:val="00B306D3"/>
    <w:rsid w:val="00B353DE"/>
    <w:rsid w:val="00B37AA1"/>
    <w:rsid w:val="00B418E2"/>
    <w:rsid w:val="00B45264"/>
    <w:rsid w:val="00B46145"/>
    <w:rsid w:val="00B503DF"/>
    <w:rsid w:val="00B5258D"/>
    <w:rsid w:val="00B5370F"/>
    <w:rsid w:val="00B54657"/>
    <w:rsid w:val="00B54EA3"/>
    <w:rsid w:val="00B55371"/>
    <w:rsid w:val="00B63161"/>
    <w:rsid w:val="00B6607B"/>
    <w:rsid w:val="00B6709E"/>
    <w:rsid w:val="00B70DBE"/>
    <w:rsid w:val="00B72C75"/>
    <w:rsid w:val="00B73C4F"/>
    <w:rsid w:val="00B76DBB"/>
    <w:rsid w:val="00B84C0D"/>
    <w:rsid w:val="00B84C5E"/>
    <w:rsid w:val="00B909DA"/>
    <w:rsid w:val="00B91D86"/>
    <w:rsid w:val="00B9571F"/>
    <w:rsid w:val="00B96DD0"/>
    <w:rsid w:val="00BA0482"/>
    <w:rsid w:val="00BA2EF6"/>
    <w:rsid w:val="00BA42EC"/>
    <w:rsid w:val="00BA5747"/>
    <w:rsid w:val="00BA64F0"/>
    <w:rsid w:val="00BA7CDB"/>
    <w:rsid w:val="00BA7D26"/>
    <w:rsid w:val="00BB2ED5"/>
    <w:rsid w:val="00BB6DD9"/>
    <w:rsid w:val="00BC33AD"/>
    <w:rsid w:val="00BC3517"/>
    <w:rsid w:val="00BC4268"/>
    <w:rsid w:val="00BC5DCD"/>
    <w:rsid w:val="00BC72D6"/>
    <w:rsid w:val="00BD1B8F"/>
    <w:rsid w:val="00BD3625"/>
    <w:rsid w:val="00BD6AE2"/>
    <w:rsid w:val="00BD7236"/>
    <w:rsid w:val="00BE2ADC"/>
    <w:rsid w:val="00BE44C9"/>
    <w:rsid w:val="00BE48E2"/>
    <w:rsid w:val="00BE6AC7"/>
    <w:rsid w:val="00BE7055"/>
    <w:rsid w:val="00BF0152"/>
    <w:rsid w:val="00BF173E"/>
    <w:rsid w:val="00BF18F7"/>
    <w:rsid w:val="00BF3F3D"/>
    <w:rsid w:val="00BF5500"/>
    <w:rsid w:val="00BF76F8"/>
    <w:rsid w:val="00C0015B"/>
    <w:rsid w:val="00C00F26"/>
    <w:rsid w:val="00C02E9D"/>
    <w:rsid w:val="00C04EE6"/>
    <w:rsid w:val="00C04FDF"/>
    <w:rsid w:val="00C0516B"/>
    <w:rsid w:val="00C064BA"/>
    <w:rsid w:val="00C11ACA"/>
    <w:rsid w:val="00C155F2"/>
    <w:rsid w:val="00C23FE6"/>
    <w:rsid w:val="00C32352"/>
    <w:rsid w:val="00C327BA"/>
    <w:rsid w:val="00C34A80"/>
    <w:rsid w:val="00C355B7"/>
    <w:rsid w:val="00C378C4"/>
    <w:rsid w:val="00C41F0C"/>
    <w:rsid w:val="00C428C9"/>
    <w:rsid w:val="00C4419F"/>
    <w:rsid w:val="00C45CE8"/>
    <w:rsid w:val="00C46328"/>
    <w:rsid w:val="00C46499"/>
    <w:rsid w:val="00C52639"/>
    <w:rsid w:val="00C52BF2"/>
    <w:rsid w:val="00C53EF1"/>
    <w:rsid w:val="00C54DF6"/>
    <w:rsid w:val="00C569B0"/>
    <w:rsid w:val="00C60A86"/>
    <w:rsid w:val="00C63F93"/>
    <w:rsid w:val="00C6481F"/>
    <w:rsid w:val="00C64C7A"/>
    <w:rsid w:val="00C64CBD"/>
    <w:rsid w:val="00C66519"/>
    <w:rsid w:val="00C66B25"/>
    <w:rsid w:val="00C67DD0"/>
    <w:rsid w:val="00C714C9"/>
    <w:rsid w:val="00C7263F"/>
    <w:rsid w:val="00C815F0"/>
    <w:rsid w:val="00C82DD3"/>
    <w:rsid w:val="00C85409"/>
    <w:rsid w:val="00C85E90"/>
    <w:rsid w:val="00C86A4A"/>
    <w:rsid w:val="00C90DD5"/>
    <w:rsid w:val="00C913FB"/>
    <w:rsid w:val="00C917BB"/>
    <w:rsid w:val="00C92686"/>
    <w:rsid w:val="00C93E05"/>
    <w:rsid w:val="00C9465F"/>
    <w:rsid w:val="00C947F4"/>
    <w:rsid w:val="00CA00ED"/>
    <w:rsid w:val="00CA04A6"/>
    <w:rsid w:val="00CA069C"/>
    <w:rsid w:val="00CA1C4C"/>
    <w:rsid w:val="00CA2F97"/>
    <w:rsid w:val="00CA4DA2"/>
    <w:rsid w:val="00CA76DC"/>
    <w:rsid w:val="00CA7D24"/>
    <w:rsid w:val="00CB0400"/>
    <w:rsid w:val="00CB11D0"/>
    <w:rsid w:val="00CB4834"/>
    <w:rsid w:val="00CB6827"/>
    <w:rsid w:val="00CB7E55"/>
    <w:rsid w:val="00CC0BDE"/>
    <w:rsid w:val="00CC146E"/>
    <w:rsid w:val="00CC583E"/>
    <w:rsid w:val="00CD074A"/>
    <w:rsid w:val="00CD0902"/>
    <w:rsid w:val="00CD260C"/>
    <w:rsid w:val="00CD3FEC"/>
    <w:rsid w:val="00CD42B9"/>
    <w:rsid w:val="00CD6E0B"/>
    <w:rsid w:val="00CE1D47"/>
    <w:rsid w:val="00CE37E5"/>
    <w:rsid w:val="00CE58C1"/>
    <w:rsid w:val="00CE6B7A"/>
    <w:rsid w:val="00CE707E"/>
    <w:rsid w:val="00D00AE0"/>
    <w:rsid w:val="00D02465"/>
    <w:rsid w:val="00D026D5"/>
    <w:rsid w:val="00D0274A"/>
    <w:rsid w:val="00D03F62"/>
    <w:rsid w:val="00D1104B"/>
    <w:rsid w:val="00D15D65"/>
    <w:rsid w:val="00D17890"/>
    <w:rsid w:val="00D23DA5"/>
    <w:rsid w:val="00D24852"/>
    <w:rsid w:val="00D24AD2"/>
    <w:rsid w:val="00D27C06"/>
    <w:rsid w:val="00D35297"/>
    <w:rsid w:val="00D35B3D"/>
    <w:rsid w:val="00D41BE4"/>
    <w:rsid w:val="00D429B0"/>
    <w:rsid w:val="00D430DB"/>
    <w:rsid w:val="00D43E43"/>
    <w:rsid w:val="00D44638"/>
    <w:rsid w:val="00D47DA4"/>
    <w:rsid w:val="00D47FB4"/>
    <w:rsid w:val="00D50C6D"/>
    <w:rsid w:val="00D5103B"/>
    <w:rsid w:val="00D511BB"/>
    <w:rsid w:val="00D5354C"/>
    <w:rsid w:val="00D567C3"/>
    <w:rsid w:val="00D61709"/>
    <w:rsid w:val="00D622C1"/>
    <w:rsid w:val="00D62947"/>
    <w:rsid w:val="00D63898"/>
    <w:rsid w:val="00D64B2B"/>
    <w:rsid w:val="00D6605E"/>
    <w:rsid w:val="00D732B4"/>
    <w:rsid w:val="00D751DD"/>
    <w:rsid w:val="00D759D9"/>
    <w:rsid w:val="00D76C5B"/>
    <w:rsid w:val="00D779F7"/>
    <w:rsid w:val="00D77E79"/>
    <w:rsid w:val="00D827AD"/>
    <w:rsid w:val="00D82EC3"/>
    <w:rsid w:val="00D838DF"/>
    <w:rsid w:val="00D83F54"/>
    <w:rsid w:val="00D84EF8"/>
    <w:rsid w:val="00D8530B"/>
    <w:rsid w:val="00D87421"/>
    <w:rsid w:val="00D94863"/>
    <w:rsid w:val="00D9706D"/>
    <w:rsid w:val="00DA047A"/>
    <w:rsid w:val="00DA12C0"/>
    <w:rsid w:val="00DA145E"/>
    <w:rsid w:val="00DA2762"/>
    <w:rsid w:val="00DA36BF"/>
    <w:rsid w:val="00DA5F17"/>
    <w:rsid w:val="00DA6234"/>
    <w:rsid w:val="00DA6DDA"/>
    <w:rsid w:val="00DB0BB8"/>
    <w:rsid w:val="00DB377A"/>
    <w:rsid w:val="00DB7C8F"/>
    <w:rsid w:val="00DB7D40"/>
    <w:rsid w:val="00DC032B"/>
    <w:rsid w:val="00DC1794"/>
    <w:rsid w:val="00DC1EF3"/>
    <w:rsid w:val="00DC3028"/>
    <w:rsid w:val="00DC43ED"/>
    <w:rsid w:val="00DD0E9B"/>
    <w:rsid w:val="00DD36A7"/>
    <w:rsid w:val="00DD3DDA"/>
    <w:rsid w:val="00DD48A5"/>
    <w:rsid w:val="00DD4CC1"/>
    <w:rsid w:val="00DD54E0"/>
    <w:rsid w:val="00DD7553"/>
    <w:rsid w:val="00DE0020"/>
    <w:rsid w:val="00DE4307"/>
    <w:rsid w:val="00DE4DCE"/>
    <w:rsid w:val="00DE543B"/>
    <w:rsid w:val="00DE6956"/>
    <w:rsid w:val="00DF3533"/>
    <w:rsid w:val="00DF42C2"/>
    <w:rsid w:val="00DF520A"/>
    <w:rsid w:val="00DF55CE"/>
    <w:rsid w:val="00DF5D9D"/>
    <w:rsid w:val="00E0142F"/>
    <w:rsid w:val="00E0229B"/>
    <w:rsid w:val="00E0351F"/>
    <w:rsid w:val="00E036DD"/>
    <w:rsid w:val="00E04699"/>
    <w:rsid w:val="00E07AF2"/>
    <w:rsid w:val="00E10775"/>
    <w:rsid w:val="00E12826"/>
    <w:rsid w:val="00E16BA5"/>
    <w:rsid w:val="00E17299"/>
    <w:rsid w:val="00E172D2"/>
    <w:rsid w:val="00E17D54"/>
    <w:rsid w:val="00E17EDB"/>
    <w:rsid w:val="00E24383"/>
    <w:rsid w:val="00E260AB"/>
    <w:rsid w:val="00E27D40"/>
    <w:rsid w:val="00E316B8"/>
    <w:rsid w:val="00E336AC"/>
    <w:rsid w:val="00E34A3C"/>
    <w:rsid w:val="00E37B3A"/>
    <w:rsid w:val="00E4179D"/>
    <w:rsid w:val="00E43433"/>
    <w:rsid w:val="00E43EC9"/>
    <w:rsid w:val="00E44329"/>
    <w:rsid w:val="00E519B9"/>
    <w:rsid w:val="00E540A1"/>
    <w:rsid w:val="00E55097"/>
    <w:rsid w:val="00E55E51"/>
    <w:rsid w:val="00E560C7"/>
    <w:rsid w:val="00E571EA"/>
    <w:rsid w:val="00E6089F"/>
    <w:rsid w:val="00E609B5"/>
    <w:rsid w:val="00E60B27"/>
    <w:rsid w:val="00E65DD8"/>
    <w:rsid w:val="00E669C9"/>
    <w:rsid w:val="00E67446"/>
    <w:rsid w:val="00E706E1"/>
    <w:rsid w:val="00E7431C"/>
    <w:rsid w:val="00E80D7B"/>
    <w:rsid w:val="00E83899"/>
    <w:rsid w:val="00E8462D"/>
    <w:rsid w:val="00E847A2"/>
    <w:rsid w:val="00E87546"/>
    <w:rsid w:val="00E9084B"/>
    <w:rsid w:val="00E92FF4"/>
    <w:rsid w:val="00E94486"/>
    <w:rsid w:val="00E95C28"/>
    <w:rsid w:val="00E960C8"/>
    <w:rsid w:val="00E96B23"/>
    <w:rsid w:val="00EA09E3"/>
    <w:rsid w:val="00EA116F"/>
    <w:rsid w:val="00EA5226"/>
    <w:rsid w:val="00EB212D"/>
    <w:rsid w:val="00EB2C6A"/>
    <w:rsid w:val="00EB64E9"/>
    <w:rsid w:val="00EB704B"/>
    <w:rsid w:val="00EB7E72"/>
    <w:rsid w:val="00EC3FD8"/>
    <w:rsid w:val="00EC4617"/>
    <w:rsid w:val="00EC4D26"/>
    <w:rsid w:val="00EC57C5"/>
    <w:rsid w:val="00EC5EDE"/>
    <w:rsid w:val="00EC6441"/>
    <w:rsid w:val="00ED0068"/>
    <w:rsid w:val="00ED4F81"/>
    <w:rsid w:val="00EE0155"/>
    <w:rsid w:val="00EE46E6"/>
    <w:rsid w:val="00EE66CC"/>
    <w:rsid w:val="00EF06F3"/>
    <w:rsid w:val="00EF287B"/>
    <w:rsid w:val="00EF4510"/>
    <w:rsid w:val="00EF5C3B"/>
    <w:rsid w:val="00EF72C9"/>
    <w:rsid w:val="00F024B2"/>
    <w:rsid w:val="00F04225"/>
    <w:rsid w:val="00F04939"/>
    <w:rsid w:val="00F04D6F"/>
    <w:rsid w:val="00F103E1"/>
    <w:rsid w:val="00F11DDC"/>
    <w:rsid w:val="00F1494A"/>
    <w:rsid w:val="00F20FBB"/>
    <w:rsid w:val="00F24589"/>
    <w:rsid w:val="00F248C7"/>
    <w:rsid w:val="00F24961"/>
    <w:rsid w:val="00F25125"/>
    <w:rsid w:val="00F320F0"/>
    <w:rsid w:val="00F33B15"/>
    <w:rsid w:val="00F4007B"/>
    <w:rsid w:val="00F45D2D"/>
    <w:rsid w:val="00F46524"/>
    <w:rsid w:val="00F52149"/>
    <w:rsid w:val="00F52F64"/>
    <w:rsid w:val="00F56840"/>
    <w:rsid w:val="00F60585"/>
    <w:rsid w:val="00F633F0"/>
    <w:rsid w:val="00F6440D"/>
    <w:rsid w:val="00F714DD"/>
    <w:rsid w:val="00F72A00"/>
    <w:rsid w:val="00F74957"/>
    <w:rsid w:val="00F763F5"/>
    <w:rsid w:val="00F7685F"/>
    <w:rsid w:val="00F8202D"/>
    <w:rsid w:val="00F82237"/>
    <w:rsid w:val="00F82F30"/>
    <w:rsid w:val="00F83098"/>
    <w:rsid w:val="00F83FEC"/>
    <w:rsid w:val="00F85F25"/>
    <w:rsid w:val="00F91685"/>
    <w:rsid w:val="00F9184B"/>
    <w:rsid w:val="00F92708"/>
    <w:rsid w:val="00F9523D"/>
    <w:rsid w:val="00F9718B"/>
    <w:rsid w:val="00FA0CFF"/>
    <w:rsid w:val="00FA0ED9"/>
    <w:rsid w:val="00FA3440"/>
    <w:rsid w:val="00FA34C6"/>
    <w:rsid w:val="00FA6058"/>
    <w:rsid w:val="00FA7216"/>
    <w:rsid w:val="00FB1F82"/>
    <w:rsid w:val="00FB42CE"/>
    <w:rsid w:val="00FB71AF"/>
    <w:rsid w:val="00FB7673"/>
    <w:rsid w:val="00FC0B94"/>
    <w:rsid w:val="00FC25B5"/>
    <w:rsid w:val="00FC2BF7"/>
    <w:rsid w:val="00FC5AE0"/>
    <w:rsid w:val="00FC5D1C"/>
    <w:rsid w:val="00FC5DB9"/>
    <w:rsid w:val="00FC6541"/>
    <w:rsid w:val="00FC68D3"/>
    <w:rsid w:val="00FD4A8D"/>
    <w:rsid w:val="00FD6B7D"/>
    <w:rsid w:val="00FD6CD0"/>
    <w:rsid w:val="00FD7393"/>
    <w:rsid w:val="00FD7583"/>
    <w:rsid w:val="00FD7C5C"/>
    <w:rsid w:val="00FE067A"/>
    <w:rsid w:val="00FE09EE"/>
    <w:rsid w:val="00FE45A5"/>
    <w:rsid w:val="00FE4A52"/>
    <w:rsid w:val="00FE4E32"/>
    <w:rsid w:val="00FE5756"/>
    <w:rsid w:val="00FE6EDB"/>
    <w:rsid w:val="00FE74CD"/>
    <w:rsid w:val="00FE7A0A"/>
    <w:rsid w:val="00FF2543"/>
    <w:rsid w:val="00FF7A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514FA"/>
  <w15:docId w15:val="{BE76CB99-5151-44B9-9BAD-39B65BF9E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q-A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70D0"/>
  </w:style>
  <w:style w:type="paragraph" w:styleId="Heading1">
    <w:name w:val="heading 1"/>
    <w:basedOn w:val="Normal"/>
    <w:next w:val="Normal"/>
    <w:link w:val="Heading1Char"/>
    <w:uiPriority w:val="9"/>
    <w:qFormat/>
    <w:rsid w:val="009D64A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42D3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E519B9"/>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22FE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rsid w:val="00922FEB"/>
    <w:rPr>
      <w:color w:val="0000FF"/>
      <w:u w:val="single"/>
    </w:rPr>
  </w:style>
  <w:style w:type="character" w:customStyle="1" w:styleId="FollowedHyperlink1">
    <w:name w:val="FollowedHyperlink1"/>
    <w:basedOn w:val="DefaultParagraphFont"/>
    <w:uiPriority w:val="99"/>
    <w:semiHidden/>
    <w:unhideWhenUsed/>
    <w:rsid w:val="00922FEB"/>
    <w:rPr>
      <w:color w:val="800080"/>
      <w:u w:val="single"/>
    </w:rPr>
  </w:style>
  <w:style w:type="paragraph" w:styleId="FootnoteText">
    <w:name w:val="footnote text"/>
    <w:basedOn w:val="Normal"/>
    <w:link w:val="FootnoteTextChar"/>
    <w:uiPriority w:val="99"/>
    <w:semiHidden/>
    <w:unhideWhenUsed/>
    <w:rsid w:val="00922FEB"/>
    <w:pPr>
      <w:spacing w:after="0" w:line="240" w:lineRule="auto"/>
    </w:pPr>
    <w:rPr>
      <w:kern w:val="0"/>
      <w:sz w:val="20"/>
      <w:szCs w:val="20"/>
      <w14:ligatures w14:val="none"/>
    </w:rPr>
  </w:style>
  <w:style w:type="character" w:customStyle="1" w:styleId="FootnoteTextChar">
    <w:name w:val="Footnote Text Char"/>
    <w:basedOn w:val="DefaultParagraphFont"/>
    <w:link w:val="FootnoteText"/>
    <w:uiPriority w:val="99"/>
    <w:semiHidden/>
    <w:rsid w:val="00922FEB"/>
    <w:rPr>
      <w:kern w:val="0"/>
      <w:sz w:val="20"/>
      <w:szCs w:val="20"/>
      <w14:ligatures w14:val="none"/>
    </w:rPr>
  </w:style>
  <w:style w:type="character" w:styleId="FootnoteReference">
    <w:name w:val="footnote reference"/>
    <w:basedOn w:val="DefaultParagraphFont"/>
    <w:uiPriority w:val="99"/>
    <w:semiHidden/>
    <w:unhideWhenUsed/>
    <w:rsid w:val="00922FEB"/>
    <w:rPr>
      <w:vertAlign w:val="superscript"/>
    </w:rPr>
  </w:style>
  <w:style w:type="paragraph" w:styleId="ListParagraph">
    <w:name w:val="List Paragraph"/>
    <w:basedOn w:val="Normal"/>
    <w:uiPriority w:val="34"/>
    <w:qFormat/>
    <w:rsid w:val="00922FEB"/>
    <w:pPr>
      <w:spacing w:after="200" w:line="276" w:lineRule="auto"/>
      <w:ind w:left="720"/>
      <w:contextualSpacing/>
    </w:pPr>
    <w:rPr>
      <w:kern w:val="0"/>
      <w14:ligatures w14:val="none"/>
    </w:rPr>
  </w:style>
  <w:style w:type="paragraph" w:styleId="NormalWeb">
    <w:name w:val="Normal (Web)"/>
    <w:basedOn w:val="Normal"/>
    <w:uiPriority w:val="99"/>
    <w:unhideWhenUsed/>
    <w:rsid w:val="00922FEB"/>
    <w:pPr>
      <w:spacing w:after="200" w:line="276" w:lineRule="auto"/>
    </w:pPr>
    <w:rPr>
      <w:rFonts w:ascii="Times New Roman" w:hAnsi="Times New Roman" w:cs="Times New Roman"/>
      <w:kern w:val="0"/>
      <w:sz w:val="24"/>
      <w:szCs w:val="24"/>
      <w14:ligatures w14:val="none"/>
    </w:rPr>
  </w:style>
  <w:style w:type="character" w:customStyle="1" w:styleId="apple-converted-space">
    <w:name w:val="apple-converted-space"/>
    <w:basedOn w:val="DefaultParagraphFont"/>
    <w:rsid w:val="00922FEB"/>
  </w:style>
  <w:style w:type="character" w:styleId="PageNumber">
    <w:name w:val="page number"/>
    <w:basedOn w:val="DefaultParagraphFont"/>
    <w:rsid w:val="00922FEB"/>
  </w:style>
  <w:style w:type="character" w:customStyle="1" w:styleId="docblue">
    <w:name w:val="doc_blue"/>
    <w:basedOn w:val="DefaultParagraphFont"/>
    <w:rsid w:val="00922FEB"/>
  </w:style>
  <w:style w:type="character" w:customStyle="1" w:styleId="docbody">
    <w:name w:val="doc_body"/>
    <w:basedOn w:val="DefaultParagraphFont"/>
    <w:rsid w:val="00922FEB"/>
  </w:style>
  <w:style w:type="character" w:customStyle="1" w:styleId="docred">
    <w:name w:val="doc_red"/>
    <w:basedOn w:val="DefaultParagraphFont"/>
    <w:rsid w:val="00922FEB"/>
  </w:style>
  <w:style w:type="character" w:styleId="CommentReference">
    <w:name w:val="annotation reference"/>
    <w:basedOn w:val="DefaultParagraphFont"/>
    <w:uiPriority w:val="99"/>
    <w:semiHidden/>
    <w:unhideWhenUsed/>
    <w:rsid w:val="00922FEB"/>
    <w:rPr>
      <w:sz w:val="16"/>
      <w:szCs w:val="16"/>
    </w:rPr>
  </w:style>
  <w:style w:type="paragraph" w:styleId="CommentText">
    <w:name w:val="annotation text"/>
    <w:basedOn w:val="Normal"/>
    <w:link w:val="CommentTextChar"/>
    <w:uiPriority w:val="99"/>
    <w:unhideWhenUsed/>
    <w:rsid w:val="00922FEB"/>
    <w:pPr>
      <w:spacing w:after="200" w:line="240" w:lineRule="auto"/>
    </w:pPr>
    <w:rPr>
      <w:kern w:val="0"/>
      <w:sz w:val="20"/>
      <w:szCs w:val="20"/>
      <w14:ligatures w14:val="none"/>
    </w:rPr>
  </w:style>
  <w:style w:type="character" w:customStyle="1" w:styleId="CommentTextChar">
    <w:name w:val="Comment Text Char"/>
    <w:basedOn w:val="DefaultParagraphFont"/>
    <w:link w:val="CommentText"/>
    <w:uiPriority w:val="99"/>
    <w:rsid w:val="00922FEB"/>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922FEB"/>
    <w:rPr>
      <w:b/>
      <w:bCs/>
    </w:rPr>
  </w:style>
  <w:style w:type="character" w:customStyle="1" w:styleId="CommentSubjectChar">
    <w:name w:val="Comment Subject Char"/>
    <w:basedOn w:val="CommentTextChar"/>
    <w:link w:val="CommentSubject"/>
    <w:uiPriority w:val="99"/>
    <w:semiHidden/>
    <w:rsid w:val="00922FEB"/>
    <w:rPr>
      <w:b/>
      <w:bCs/>
      <w:kern w:val="0"/>
      <w:sz w:val="20"/>
      <w:szCs w:val="20"/>
      <w14:ligatures w14:val="none"/>
    </w:rPr>
  </w:style>
  <w:style w:type="paragraph" w:styleId="BalloonText">
    <w:name w:val="Balloon Text"/>
    <w:basedOn w:val="Normal"/>
    <w:link w:val="BalloonTextChar"/>
    <w:uiPriority w:val="99"/>
    <w:semiHidden/>
    <w:unhideWhenUsed/>
    <w:rsid w:val="00922FEB"/>
    <w:pPr>
      <w:spacing w:after="0" w:line="240" w:lineRule="auto"/>
    </w:pPr>
    <w:rPr>
      <w:rFonts w:ascii="Tahoma" w:hAnsi="Tahoma" w:cs="Tahoma"/>
      <w:kern w:val="0"/>
      <w:sz w:val="16"/>
      <w:szCs w:val="16"/>
      <w14:ligatures w14:val="none"/>
    </w:rPr>
  </w:style>
  <w:style w:type="character" w:customStyle="1" w:styleId="BalloonTextChar">
    <w:name w:val="Balloon Text Char"/>
    <w:basedOn w:val="DefaultParagraphFont"/>
    <w:link w:val="BalloonText"/>
    <w:uiPriority w:val="99"/>
    <w:semiHidden/>
    <w:rsid w:val="00922FEB"/>
    <w:rPr>
      <w:rFonts w:ascii="Tahoma" w:hAnsi="Tahoma" w:cs="Tahoma"/>
      <w:kern w:val="0"/>
      <w:sz w:val="16"/>
      <w:szCs w:val="16"/>
      <w14:ligatures w14:val="none"/>
    </w:rPr>
  </w:style>
  <w:style w:type="character" w:styleId="Strong">
    <w:name w:val="Strong"/>
    <w:basedOn w:val="DefaultParagraphFont"/>
    <w:uiPriority w:val="22"/>
    <w:qFormat/>
    <w:rsid w:val="00922FEB"/>
    <w:rPr>
      <w:b/>
      <w:bCs/>
    </w:rPr>
  </w:style>
  <w:style w:type="character" w:customStyle="1" w:styleId="docheader">
    <w:name w:val="doc_header"/>
    <w:basedOn w:val="DefaultParagraphFont"/>
    <w:rsid w:val="00922FEB"/>
  </w:style>
  <w:style w:type="paragraph" w:customStyle="1" w:styleId="ColorfulList-Accent11">
    <w:name w:val="Colorful List - Accent 11"/>
    <w:basedOn w:val="Normal"/>
    <w:uiPriority w:val="34"/>
    <w:qFormat/>
    <w:rsid w:val="00922FEB"/>
    <w:pPr>
      <w:spacing w:after="200" w:line="276" w:lineRule="auto"/>
      <w:ind w:left="720"/>
      <w:contextualSpacing/>
    </w:pPr>
    <w:rPr>
      <w:rFonts w:ascii="Calibri" w:eastAsia="Calibri" w:hAnsi="Calibri" w:cs="Times New Roman"/>
      <w:kern w:val="0"/>
      <w14:ligatures w14:val="none"/>
    </w:rPr>
  </w:style>
  <w:style w:type="character" w:customStyle="1" w:styleId="hps">
    <w:name w:val="hps"/>
    <w:rsid w:val="00922FEB"/>
  </w:style>
  <w:style w:type="paragraph" w:customStyle="1" w:styleId="MediumGrid1-Accent21">
    <w:name w:val="Medium Grid 1 - Accent 21"/>
    <w:basedOn w:val="Normal"/>
    <w:uiPriority w:val="34"/>
    <w:qFormat/>
    <w:rsid w:val="00922FEB"/>
    <w:pPr>
      <w:ind w:left="720"/>
      <w:contextualSpacing/>
    </w:pPr>
    <w:rPr>
      <w:rFonts w:ascii="Times New Roman" w:eastAsia="Calibri" w:hAnsi="Times New Roman" w:cs="Times New Roman"/>
      <w:color w:val="000000"/>
      <w:kern w:val="0"/>
      <w:sz w:val="24"/>
      <w14:ligatures w14:val="none"/>
    </w:rPr>
  </w:style>
  <w:style w:type="character" w:customStyle="1" w:styleId="UnresolvedMention1">
    <w:name w:val="Unresolved Mention1"/>
    <w:basedOn w:val="DefaultParagraphFont"/>
    <w:uiPriority w:val="99"/>
    <w:semiHidden/>
    <w:unhideWhenUsed/>
    <w:rsid w:val="00922FEB"/>
    <w:rPr>
      <w:color w:val="605E5C"/>
      <w:shd w:val="clear" w:color="auto" w:fill="E1DFDD"/>
    </w:rPr>
  </w:style>
  <w:style w:type="character" w:styleId="Hyperlink">
    <w:name w:val="Hyperlink"/>
    <w:basedOn w:val="DefaultParagraphFont"/>
    <w:uiPriority w:val="99"/>
    <w:unhideWhenUsed/>
    <w:rsid w:val="00922FEB"/>
    <w:rPr>
      <w:color w:val="0563C1" w:themeColor="hyperlink"/>
      <w:u w:val="single"/>
    </w:rPr>
  </w:style>
  <w:style w:type="character" w:styleId="FollowedHyperlink">
    <w:name w:val="FollowedHyperlink"/>
    <w:basedOn w:val="DefaultParagraphFont"/>
    <w:uiPriority w:val="99"/>
    <w:semiHidden/>
    <w:unhideWhenUsed/>
    <w:rsid w:val="00922FEB"/>
    <w:rPr>
      <w:color w:val="954F72" w:themeColor="followedHyperlink"/>
      <w:u w:val="single"/>
    </w:rPr>
  </w:style>
  <w:style w:type="paragraph" w:styleId="BodyText">
    <w:name w:val="Body Text"/>
    <w:basedOn w:val="Normal"/>
    <w:link w:val="BodyTextChar"/>
    <w:uiPriority w:val="1"/>
    <w:qFormat/>
    <w:rsid w:val="00996667"/>
    <w:pPr>
      <w:widowControl w:val="0"/>
      <w:autoSpaceDE w:val="0"/>
      <w:autoSpaceDN w:val="0"/>
      <w:spacing w:after="0" w:line="240" w:lineRule="auto"/>
      <w:ind w:left="744" w:hanging="361"/>
      <w:jc w:val="both"/>
    </w:pPr>
    <w:rPr>
      <w:rFonts w:ascii="Calibri" w:eastAsia="Calibri" w:hAnsi="Calibri" w:cs="Calibri"/>
      <w:kern w:val="0"/>
      <w:sz w:val="24"/>
      <w:szCs w:val="24"/>
      <w14:ligatures w14:val="none"/>
    </w:rPr>
  </w:style>
  <w:style w:type="character" w:customStyle="1" w:styleId="BodyTextChar">
    <w:name w:val="Body Text Char"/>
    <w:basedOn w:val="DefaultParagraphFont"/>
    <w:link w:val="BodyText"/>
    <w:uiPriority w:val="1"/>
    <w:rsid w:val="00996667"/>
    <w:rPr>
      <w:rFonts w:ascii="Calibri" w:eastAsia="Calibri" w:hAnsi="Calibri" w:cs="Calibri"/>
      <w:kern w:val="0"/>
      <w:sz w:val="24"/>
      <w:szCs w:val="24"/>
      <w14:ligatures w14:val="none"/>
    </w:rPr>
  </w:style>
  <w:style w:type="character" w:styleId="Emphasis">
    <w:name w:val="Emphasis"/>
    <w:basedOn w:val="DefaultParagraphFont"/>
    <w:uiPriority w:val="20"/>
    <w:qFormat/>
    <w:rsid w:val="001024E6"/>
    <w:rPr>
      <w:i/>
      <w:iCs/>
    </w:rPr>
  </w:style>
  <w:style w:type="character" w:customStyle="1" w:styleId="Heading3Char">
    <w:name w:val="Heading 3 Char"/>
    <w:basedOn w:val="DefaultParagraphFont"/>
    <w:link w:val="Heading3"/>
    <w:uiPriority w:val="9"/>
    <w:rsid w:val="00E519B9"/>
    <w:rPr>
      <w:rFonts w:ascii="Times New Roman" w:eastAsia="Times New Roman" w:hAnsi="Times New Roman" w:cs="Times New Roman"/>
      <w:b/>
      <w:bCs/>
      <w:kern w:val="0"/>
      <w:sz w:val="27"/>
      <w:szCs w:val="27"/>
      <w14:ligatures w14:val="none"/>
    </w:rPr>
  </w:style>
  <w:style w:type="character" w:customStyle="1" w:styleId="Heading1Char">
    <w:name w:val="Heading 1 Char"/>
    <w:basedOn w:val="DefaultParagraphFont"/>
    <w:link w:val="Heading1"/>
    <w:uiPriority w:val="9"/>
    <w:rsid w:val="009D64A3"/>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9D64A3"/>
    <w:pPr>
      <w:outlineLvl w:val="9"/>
    </w:pPr>
    <w:rPr>
      <w:kern w:val="0"/>
      <w14:ligatures w14:val="none"/>
    </w:rPr>
  </w:style>
  <w:style w:type="paragraph" w:styleId="TOC3">
    <w:name w:val="toc 3"/>
    <w:basedOn w:val="Normal"/>
    <w:next w:val="Normal"/>
    <w:autoRedefine/>
    <w:uiPriority w:val="39"/>
    <w:unhideWhenUsed/>
    <w:rsid w:val="009D64A3"/>
    <w:pPr>
      <w:spacing w:after="100"/>
      <w:ind w:left="440"/>
    </w:pPr>
  </w:style>
  <w:style w:type="character" w:customStyle="1" w:styleId="Heading2Char">
    <w:name w:val="Heading 2 Char"/>
    <w:basedOn w:val="DefaultParagraphFont"/>
    <w:link w:val="Heading2"/>
    <w:uiPriority w:val="9"/>
    <w:rsid w:val="00242D3A"/>
    <w:rPr>
      <w:rFonts w:asciiTheme="majorHAnsi" w:eastAsiaTheme="majorEastAsia" w:hAnsiTheme="majorHAnsi" w:cstheme="majorBidi"/>
      <w:color w:val="2F5496" w:themeColor="accent1" w:themeShade="BF"/>
      <w:sz w:val="26"/>
      <w:szCs w:val="26"/>
    </w:rPr>
  </w:style>
  <w:style w:type="paragraph" w:styleId="TOC1">
    <w:name w:val="toc 1"/>
    <w:basedOn w:val="Normal"/>
    <w:next w:val="Normal"/>
    <w:autoRedefine/>
    <w:uiPriority w:val="39"/>
    <w:unhideWhenUsed/>
    <w:rsid w:val="00415BDC"/>
    <w:pPr>
      <w:spacing w:after="100"/>
    </w:pPr>
  </w:style>
  <w:style w:type="paragraph" w:styleId="TOC2">
    <w:name w:val="toc 2"/>
    <w:basedOn w:val="Normal"/>
    <w:next w:val="Normal"/>
    <w:autoRedefine/>
    <w:uiPriority w:val="39"/>
    <w:unhideWhenUsed/>
    <w:rsid w:val="00415BDC"/>
    <w:pPr>
      <w:spacing w:after="100"/>
      <w:ind w:left="220"/>
    </w:pPr>
  </w:style>
  <w:style w:type="paragraph" w:styleId="TOC4">
    <w:name w:val="toc 4"/>
    <w:basedOn w:val="Normal"/>
    <w:next w:val="Normal"/>
    <w:autoRedefine/>
    <w:uiPriority w:val="39"/>
    <w:unhideWhenUsed/>
    <w:rsid w:val="00415BDC"/>
    <w:pPr>
      <w:spacing w:after="100"/>
      <w:ind w:left="660"/>
    </w:pPr>
    <w:rPr>
      <w:rFonts w:eastAsiaTheme="minorEastAsia"/>
      <w:kern w:val="0"/>
      <w14:ligatures w14:val="none"/>
    </w:rPr>
  </w:style>
  <w:style w:type="paragraph" w:styleId="TOC5">
    <w:name w:val="toc 5"/>
    <w:basedOn w:val="Normal"/>
    <w:next w:val="Normal"/>
    <w:autoRedefine/>
    <w:uiPriority w:val="39"/>
    <w:unhideWhenUsed/>
    <w:rsid w:val="00415BDC"/>
    <w:pPr>
      <w:spacing w:after="100"/>
      <w:ind w:left="880"/>
    </w:pPr>
    <w:rPr>
      <w:rFonts w:eastAsiaTheme="minorEastAsia"/>
      <w:kern w:val="0"/>
      <w14:ligatures w14:val="none"/>
    </w:rPr>
  </w:style>
  <w:style w:type="paragraph" w:styleId="TOC6">
    <w:name w:val="toc 6"/>
    <w:basedOn w:val="Normal"/>
    <w:next w:val="Normal"/>
    <w:autoRedefine/>
    <w:uiPriority w:val="39"/>
    <w:unhideWhenUsed/>
    <w:rsid w:val="00415BDC"/>
    <w:pPr>
      <w:spacing w:after="100"/>
      <w:ind w:left="1100"/>
    </w:pPr>
    <w:rPr>
      <w:rFonts w:eastAsiaTheme="minorEastAsia"/>
      <w:kern w:val="0"/>
      <w14:ligatures w14:val="none"/>
    </w:rPr>
  </w:style>
  <w:style w:type="paragraph" w:styleId="TOC7">
    <w:name w:val="toc 7"/>
    <w:basedOn w:val="Normal"/>
    <w:next w:val="Normal"/>
    <w:autoRedefine/>
    <w:uiPriority w:val="39"/>
    <w:unhideWhenUsed/>
    <w:rsid w:val="00415BDC"/>
    <w:pPr>
      <w:spacing w:after="100"/>
      <w:ind w:left="1320"/>
    </w:pPr>
    <w:rPr>
      <w:rFonts w:eastAsiaTheme="minorEastAsia"/>
      <w:kern w:val="0"/>
      <w14:ligatures w14:val="none"/>
    </w:rPr>
  </w:style>
  <w:style w:type="paragraph" w:styleId="TOC8">
    <w:name w:val="toc 8"/>
    <w:basedOn w:val="Normal"/>
    <w:next w:val="Normal"/>
    <w:autoRedefine/>
    <w:uiPriority w:val="39"/>
    <w:unhideWhenUsed/>
    <w:rsid w:val="00415BDC"/>
    <w:pPr>
      <w:spacing w:after="100"/>
      <w:ind w:left="1540"/>
    </w:pPr>
    <w:rPr>
      <w:rFonts w:eastAsiaTheme="minorEastAsia"/>
      <w:kern w:val="0"/>
      <w14:ligatures w14:val="none"/>
    </w:rPr>
  </w:style>
  <w:style w:type="paragraph" w:styleId="TOC9">
    <w:name w:val="toc 9"/>
    <w:basedOn w:val="Normal"/>
    <w:next w:val="Normal"/>
    <w:autoRedefine/>
    <w:uiPriority w:val="39"/>
    <w:unhideWhenUsed/>
    <w:rsid w:val="00415BDC"/>
    <w:pPr>
      <w:spacing w:after="100"/>
      <w:ind w:left="1760"/>
    </w:pPr>
    <w:rPr>
      <w:rFonts w:eastAsiaTheme="minorEastAsia"/>
      <w:kern w:val="0"/>
      <w14:ligatures w14:val="none"/>
    </w:rPr>
  </w:style>
  <w:style w:type="paragraph" w:styleId="Header">
    <w:name w:val="header"/>
    <w:basedOn w:val="Normal"/>
    <w:link w:val="HeaderChar"/>
    <w:uiPriority w:val="99"/>
    <w:unhideWhenUsed/>
    <w:rsid w:val="00A106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06AB"/>
  </w:style>
  <w:style w:type="paragraph" w:styleId="Footer">
    <w:name w:val="footer"/>
    <w:basedOn w:val="Normal"/>
    <w:link w:val="FooterChar"/>
    <w:uiPriority w:val="99"/>
    <w:unhideWhenUsed/>
    <w:rsid w:val="00A106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06AB"/>
  </w:style>
  <w:style w:type="paragraph" w:customStyle="1" w:styleId="oj-normal">
    <w:name w:val="oj-normal"/>
    <w:basedOn w:val="Normal"/>
    <w:rsid w:val="0077636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oj-ti-grseq-1">
    <w:name w:val="oj-ti-grseq-1"/>
    <w:basedOn w:val="Normal"/>
    <w:rsid w:val="0077636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oj-expanded">
    <w:name w:val="oj-expanded"/>
    <w:basedOn w:val="DefaultParagraphFont"/>
    <w:rsid w:val="0077636B"/>
  </w:style>
  <w:style w:type="paragraph" w:customStyle="1" w:styleId="oj-ti-art">
    <w:name w:val="oj-ti-art"/>
    <w:basedOn w:val="Normal"/>
    <w:rsid w:val="0077636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oj-super">
    <w:name w:val="oj-super"/>
    <w:basedOn w:val="DefaultParagraphFont"/>
    <w:rsid w:val="0077636B"/>
  </w:style>
  <w:style w:type="paragraph" w:styleId="NoSpacing">
    <w:name w:val="No Spacing"/>
    <w:uiPriority w:val="1"/>
    <w:qFormat/>
    <w:rsid w:val="0071079D"/>
    <w:pPr>
      <w:spacing w:after="0" w:line="240" w:lineRule="auto"/>
    </w:pPr>
    <w:rPr>
      <w:rFonts w:eastAsiaTheme="minorEastAsia"/>
      <w:kern w:val="0"/>
      <w14:ligatures w14:val="none"/>
    </w:rPr>
  </w:style>
  <w:style w:type="character" w:customStyle="1" w:styleId="legamendingtext">
    <w:name w:val="legamendingtext"/>
    <w:basedOn w:val="DefaultParagraphFont"/>
    <w:rsid w:val="0042577F"/>
  </w:style>
  <w:style w:type="paragraph" w:customStyle="1" w:styleId="legclearfix">
    <w:name w:val="legclearfix"/>
    <w:basedOn w:val="Normal"/>
    <w:rsid w:val="0042577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legrhs">
    <w:name w:val="legrhs"/>
    <w:basedOn w:val="Normal"/>
    <w:rsid w:val="0042577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Revision">
    <w:name w:val="Revision"/>
    <w:hidden/>
    <w:uiPriority w:val="99"/>
    <w:semiHidden/>
    <w:rsid w:val="00A25B7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77726">
      <w:bodyDiv w:val="1"/>
      <w:marLeft w:val="0"/>
      <w:marRight w:val="0"/>
      <w:marTop w:val="0"/>
      <w:marBottom w:val="0"/>
      <w:divBdr>
        <w:top w:val="none" w:sz="0" w:space="0" w:color="auto"/>
        <w:left w:val="none" w:sz="0" w:space="0" w:color="auto"/>
        <w:bottom w:val="none" w:sz="0" w:space="0" w:color="auto"/>
        <w:right w:val="none" w:sz="0" w:space="0" w:color="auto"/>
      </w:divBdr>
    </w:div>
    <w:div w:id="45180504">
      <w:bodyDiv w:val="1"/>
      <w:marLeft w:val="0"/>
      <w:marRight w:val="0"/>
      <w:marTop w:val="0"/>
      <w:marBottom w:val="0"/>
      <w:divBdr>
        <w:top w:val="none" w:sz="0" w:space="0" w:color="auto"/>
        <w:left w:val="none" w:sz="0" w:space="0" w:color="auto"/>
        <w:bottom w:val="none" w:sz="0" w:space="0" w:color="auto"/>
        <w:right w:val="none" w:sz="0" w:space="0" w:color="auto"/>
      </w:divBdr>
    </w:div>
    <w:div w:id="46341139">
      <w:bodyDiv w:val="1"/>
      <w:marLeft w:val="0"/>
      <w:marRight w:val="0"/>
      <w:marTop w:val="0"/>
      <w:marBottom w:val="0"/>
      <w:divBdr>
        <w:top w:val="none" w:sz="0" w:space="0" w:color="auto"/>
        <w:left w:val="none" w:sz="0" w:space="0" w:color="auto"/>
        <w:bottom w:val="none" w:sz="0" w:space="0" w:color="auto"/>
        <w:right w:val="none" w:sz="0" w:space="0" w:color="auto"/>
      </w:divBdr>
    </w:div>
    <w:div w:id="66853641">
      <w:bodyDiv w:val="1"/>
      <w:marLeft w:val="0"/>
      <w:marRight w:val="0"/>
      <w:marTop w:val="0"/>
      <w:marBottom w:val="0"/>
      <w:divBdr>
        <w:top w:val="none" w:sz="0" w:space="0" w:color="auto"/>
        <w:left w:val="none" w:sz="0" w:space="0" w:color="auto"/>
        <w:bottom w:val="none" w:sz="0" w:space="0" w:color="auto"/>
        <w:right w:val="none" w:sz="0" w:space="0" w:color="auto"/>
      </w:divBdr>
      <w:divsChild>
        <w:div w:id="80807730">
          <w:marLeft w:val="0"/>
          <w:marRight w:val="0"/>
          <w:marTop w:val="0"/>
          <w:marBottom w:val="0"/>
          <w:divBdr>
            <w:top w:val="none" w:sz="0" w:space="0" w:color="auto"/>
            <w:left w:val="none" w:sz="0" w:space="0" w:color="auto"/>
            <w:bottom w:val="none" w:sz="0" w:space="0" w:color="auto"/>
            <w:right w:val="none" w:sz="0" w:space="0" w:color="auto"/>
          </w:divBdr>
        </w:div>
        <w:div w:id="388841559">
          <w:marLeft w:val="0"/>
          <w:marRight w:val="0"/>
          <w:marTop w:val="0"/>
          <w:marBottom w:val="0"/>
          <w:divBdr>
            <w:top w:val="none" w:sz="0" w:space="0" w:color="auto"/>
            <w:left w:val="none" w:sz="0" w:space="0" w:color="auto"/>
            <w:bottom w:val="none" w:sz="0" w:space="0" w:color="auto"/>
            <w:right w:val="none" w:sz="0" w:space="0" w:color="auto"/>
          </w:divBdr>
        </w:div>
        <w:div w:id="1896507503">
          <w:marLeft w:val="0"/>
          <w:marRight w:val="0"/>
          <w:marTop w:val="0"/>
          <w:marBottom w:val="0"/>
          <w:divBdr>
            <w:top w:val="none" w:sz="0" w:space="0" w:color="auto"/>
            <w:left w:val="none" w:sz="0" w:space="0" w:color="auto"/>
            <w:bottom w:val="none" w:sz="0" w:space="0" w:color="auto"/>
            <w:right w:val="none" w:sz="0" w:space="0" w:color="auto"/>
          </w:divBdr>
        </w:div>
        <w:div w:id="1199705502">
          <w:marLeft w:val="0"/>
          <w:marRight w:val="0"/>
          <w:marTop w:val="0"/>
          <w:marBottom w:val="0"/>
          <w:divBdr>
            <w:top w:val="none" w:sz="0" w:space="0" w:color="auto"/>
            <w:left w:val="none" w:sz="0" w:space="0" w:color="auto"/>
            <w:bottom w:val="none" w:sz="0" w:space="0" w:color="auto"/>
            <w:right w:val="none" w:sz="0" w:space="0" w:color="auto"/>
          </w:divBdr>
        </w:div>
      </w:divsChild>
    </w:div>
    <w:div w:id="69619284">
      <w:bodyDiv w:val="1"/>
      <w:marLeft w:val="0"/>
      <w:marRight w:val="0"/>
      <w:marTop w:val="0"/>
      <w:marBottom w:val="0"/>
      <w:divBdr>
        <w:top w:val="none" w:sz="0" w:space="0" w:color="auto"/>
        <w:left w:val="none" w:sz="0" w:space="0" w:color="auto"/>
        <w:bottom w:val="none" w:sz="0" w:space="0" w:color="auto"/>
        <w:right w:val="none" w:sz="0" w:space="0" w:color="auto"/>
      </w:divBdr>
    </w:div>
    <w:div w:id="74909541">
      <w:bodyDiv w:val="1"/>
      <w:marLeft w:val="0"/>
      <w:marRight w:val="0"/>
      <w:marTop w:val="0"/>
      <w:marBottom w:val="0"/>
      <w:divBdr>
        <w:top w:val="none" w:sz="0" w:space="0" w:color="auto"/>
        <w:left w:val="none" w:sz="0" w:space="0" w:color="auto"/>
        <w:bottom w:val="none" w:sz="0" w:space="0" w:color="auto"/>
        <w:right w:val="none" w:sz="0" w:space="0" w:color="auto"/>
      </w:divBdr>
    </w:div>
    <w:div w:id="91051474">
      <w:bodyDiv w:val="1"/>
      <w:marLeft w:val="0"/>
      <w:marRight w:val="0"/>
      <w:marTop w:val="0"/>
      <w:marBottom w:val="0"/>
      <w:divBdr>
        <w:top w:val="none" w:sz="0" w:space="0" w:color="auto"/>
        <w:left w:val="none" w:sz="0" w:space="0" w:color="auto"/>
        <w:bottom w:val="none" w:sz="0" w:space="0" w:color="auto"/>
        <w:right w:val="none" w:sz="0" w:space="0" w:color="auto"/>
      </w:divBdr>
      <w:divsChild>
        <w:div w:id="875309546">
          <w:marLeft w:val="0"/>
          <w:marRight w:val="0"/>
          <w:marTop w:val="0"/>
          <w:marBottom w:val="0"/>
          <w:divBdr>
            <w:top w:val="none" w:sz="0" w:space="0" w:color="auto"/>
            <w:left w:val="none" w:sz="0" w:space="0" w:color="auto"/>
            <w:bottom w:val="none" w:sz="0" w:space="0" w:color="auto"/>
            <w:right w:val="none" w:sz="0" w:space="0" w:color="auto"/>
          </w:divBdr>
        </w:div>
      </w:divsChild>
    </w:div>
    <w:div w:id="95175758">
      <w:bodyDiv w:val="1"/>
      <w:marLeft w:val="0"/>
      <w:marRight w:val="0"/>
      <w:marTop w:val="0"/>
      <w:marBottom w:val="0"/>
      <w:divBdr>
        <w:top w:val="none" w:sz="0" w:space="0" w:color="auto"/>
        <w:left w:val="none" w:sz="0" w:space="0" w:color="auto"/>
        <w:bottom w:val="none" w:sz="0" w:space="0" w:color="auto"/>
        <w:right w:val="none" w:sz="0" w:space="0" w:color="auto"/>
      </w:divBdr>
    </w:div>
    <w:div w:id="99180801">
      <w:bodyDiv w:val="1"/>
      <w:marLeft w:val="0"/>
      <w:marRight w:val="0"/>
      <w:marTop w:val="0"/>
      <w:marBottom w:val="0"/>
      <w:divBdr>
        <w:top w:val="none" w:sz="0" w:space="0" w:color="auto"/>
        <w:left w:val="none" w:sz="0" w:space="0" w:color="auto"/>
        <w:bottom w:val="none" w:sz="0" w:space="0" w:color="auto"/>
        <w:right w:val="none" w:sz="0" w:space="0" w:color="auto"/>
      </w:divBdr>
      <w:divsChild>
        <w:div w:id="99298901">
          <w:marLeft w:val="0"/>
          <w:marRight w:val="0"/>
          <w:marTop w:val="0"/>
          <w:marBottom w:val="0"/>
          <w:divBdr>
            <w:top w:val="none" w:sz="0" w:space="0" w:color="auto"/>
            <w:left w:val="none" w:sz="0" w:space="0" w:color="auto"/>
            <w:bottom w:val="none" w:sz="0" w:space="0" w:color="auto"/>
            <w:right w:val="none" w:sz="0" w:space="0" w:color="auto"/>
          </w:divBdr>
        </w:div>
      </w:divsChild>
    </w:div>
    <w:div w:id="109595969">
      <w:bodyDiv w:val="1"/>
      <w:marLeft w:val="0"/>
      <w:marRight w:val="0"/>
      <w:marTop w:val="0"/>
      <w:marBottom w:val="0"/>
      <w:divBdr>
        <w:top w:val="none" w:sz="0" w:space="0" w:color="auto"/>
        <w:left w:val="none" w:sz="0" w:space="0" w:color="auto"/>
        <w:bottom w:val="none" w:sz="0" w:space="0" w:color="auto"/>
        <w:right w:val="none" w:sz="0" w:space="0" w:color="auto"/>
      </w:divBdr>
    </w:div>
    <w:div w:id="113450903">
      <w:bodyDiv w:val="1"/>
      <w:marLeft w:val="0"/>
      <w:marRight w:val="0"/>
      <w:marTop w:val="0"/>
      <w:marBottom w:val="0"/>
      <w:divBdr>
        <w:top w:val="none" w:sz="0" w:space="0" w:color="auto"/>
        <w:left w:val="none" w:sz="0" w:space="0" w:color="auto"/>
        <w:bottom w:val="none" w:sz="0" w:space="0" w:color="auto"/>
        <w:right w:val="none" w:sz="0" w:space="0" w:color="auto"/>
      </w:divBdr>
    </w:div>
    <w:div w:id="114913414">
      <w:bodyDiv w:val="1"/>
      <w:marLeft w:val="0"/>
      <w:marRight w:val="0"/>
      <w:marTop w:val="0"/>
      <w:marBottom w:val="0"/>
      <w:divBdr>
        <w:top w:val="none" w:sz="0" w:space="0" w:color="auto"/>
        <w:left w:val="none" w:sz="0" w:space="0" w:color="auto"/>
        <w:bottom w:val="none" w:sz="0" w:space="0" w:color="auto"/>
        <w:right w:val="none" w:sz="0" w:space="0" w:color="auto"/>
      </w:divBdr>
    </w:div>
    <w:div w:id="126823937">
      <w:bodyDiv w:val="1"/>
      <w:marLeft w:val="0"/>
      <w:marRight w:val="0"/>
      <w:marTop w:val="0"/>
      <w:marBottom w:val="0"/>
      <w:divBdr>
        <w:top w:val="none" w:sz="0" w:space="0" w:color="auto"/>
        <w:left w:val="none" w:sz="0" w:space="0" w:color="auto"/>
        <w:bottom w:val="none" w:sz="0" w:space="0" w:color="auto"/>
        <w:right w:val="none" w:sz="0" w:space="0" w:color="auto"/>
      </w:divBdr>
      <w:divsChild>
        <w:div w:id="1319185451">
          <w:marLeft w:val="0"/>
          <w:marRight w:val="0"/>
          <w:marTop w:val="0"/>
          <w:marBottom w:val="0"/>
          <w:divBdr>
            <w:top w:val="none" w:sz="0" w:space="0" w:color="auto"/>
            <w:left w:val="none" w:sz="0" w:space="0" w:color="auto"/>
            <w:bottom w:val="none" w:sz="0" w:space="0" w:color="auto"/>
            <w:right w:val="none" w:sz="0" w:space="0" w:color="auto"/>
          </w:divBdr>
        </w:div>
      </w:divsChild>
    </w:div>
    <w:div w:id="138888242">
      <w:bodyDiv w:val="1"/>
      <w:marLeft w:val="0"/>
      <w:marRight w:val="0"/>
      <w:marTop w:val="0"/>
      <w:marBottom w:val="0"/>
      <w:divBdr>
        <w:top w:val="none" w:sz="0" w:space="0" w:color="auto"/>
        <w:left w:val="none" w:sz="0" w:space="0" w:color="auto"/>
        <w:bottom w:val="none" w:sz="0" w:space="0" w:color="auto"/>
        <w:right w:val="none" w:sz="0" w:space="0" w:color="auto"/>
      </w:divBdr>
    </w:div>
    <w:div w:id="146748648">
      <w:bodyDiv w:val="1"/>
      <w:marLeft w:val="0"/>
      <w:marRight w:val="0"/>
      <w:marTop w:val="0"/>
      <w:marBottom w:val="0"/>
      <w:divBdr>
        <w:top w:val="none" w:sz="0" w:space="0" w:color="auto"/>
        <w:left w:val="none" w:sz="0" w:space="0" w:color="auto"/>
        <w:bottom w:val="none" w:sz="0" w:space="0" w:color="auto"/>
        <w:right w:val="none" w:sz="0" w:space="0" w:color="auto"/>
      </w:divBdr>
    </w:div>
    <w:div w:id="155149104">
      <w:bodyDiv w:val="1"/>
      <w:marLeft w:val="0"/>
      <w:marRight w:val="0"/>
      <w:marTop w:val="0"/>
      <w:marBottom w:val="0"/>
      <w:divBdr>
        <w:top w:val="none" w:sz="0" w:space="0" w:color="auto"/>
        <w:left w:val="none" w:sz="0" w:space="0" w:color="auto"/>
        <w:bottom w:val="none" w:sz="0" w:space="0" w:color="auto"/>
        <w:right w:val="none" w:sz="0" w:space="0" w:color="auto"/>
      </w:divBdr>
    </w:div>
    <w:div w:id="157619288">
      <w:bodyDiv w:val="1"/>
      <w:marLeft w:val="0"/>
      <w:marRight w:val="0"/>
      <w:marTop w:val="0"/>
      <w:marBottom w:val="0"/>
      <w:divBdr>
        <w:top w:val="none" w:sz="0" w:space="0" w:color="auto"/>
        <w:left w:val="none" w:sz="0" w:space="0" w:color="auto"/>
        <w:bottom w:val="none" w:sz="0" w:space="0" w:color="auto"/>
        <w:right w:val="none" w:sz="0" w:space="0" w:color="auto"/>
      </w:divBdr>
    </w:div>
    <w:div w:id="194972149">
      <w:bodyDiv w:val="1"/>
      <w:marLeft w:val="0"/>
      <w:marRight w:val="0"/>
      <w:marTop w:val="0"/>
      <w:marBottom w:val="0"/>
      <w:divBdr>
        <w:top w:val="none" w:sz="0" w:space="0" w:color="auto"/>
        <w:left w:val="none" w:sz="0" w:space="0" w:color="auto"/>
        <w:bottom w:val="none" w:sz="0" w:space="0" w:color="auto"/>
        <w:right w:val="none" w:sz="0" w:space="0" w:color="auto"/>
      </w:divBdr>
    </w:div>
    <w:div w:id="197744658">
      <w:bodyDiv w:val="1"/>
      <w:marLeft w:val="0"/>
      <w:marRight w:val="0"/>
      <w:marTop w:val="0"/>
      <w:marBottom w:val="0"/>
      <w:divBdr>
        <w:top w:val="none" w:sz="0" w:space="0" w:color="auto"/>
        <w:left w:val="none" w:sz="0" w:space="0" w:color="auto"/>
        <w:bottom w:val="none" w:sz="0" w:space="0" w:color="auto"/>
        <w:right w:val="none" w:sz="0" w:space="0" w:color="auto"/>
      </w:divBdr>
      <w:divsChild>
        <w:div w:id="824004724">
          <w:marLeft w:val="0"/>
          <w:marRight w:val="0"/>
          <w:marTop w:val="0"/>
          <w:marBottom w:val="0"/>
          <w:divBdr>
            <w:top w:val="none" w:sz="0" w:space="0" w:color="auto"/>
            <w:left w:val="none" w:sz="0" w:space="0" w:color="auto"/>
            <w:bottom w:val="none" w:sz="0" w:space="0" w:color="auto"/>
            <w:right w:val="none" w:sz="0" w:space="0" w:color="auto"/>
          </w:divBdr>
        </w:div>
      </w:divsChild>
    </w:div>
    <w:div w:id="207491911">
      <w:bodyDiv w:val="1"/>
      <w:marLeft w:val="0"/>
      <w:marRight w:val="0"/>
      <w:marTop w:val="0"/>
      <w:marBottom w:val="0"/>
      <w:divBdr>
        <w:top w:val="none" w:sz="0" w:space="0" w:color="auto"/>
        <w:left w:val="none" w:sz="0" w:space="0" w:color="auto"/>
        <w:bottom w:val="none" w:sz="0" w:space="0" w:color="auto"/>
        <w:right w:val="none" w:sz="0" w:space="0" w:color="auto"/>
      </w:divBdr>
    </w:div>
    <w:div w:id="215049848">
      <w:bodyDiv w:val="1"/>
      <w:marLeft w:val="0"/>
      <w:marRight w:val="0"/>
      <w:marTop w:val="0"/>
      <w:marBottom w:val="0"/>
      <w:divBdr>
        <w:top w:val="none" w:sz="0" w:space="0" w:color="auto"/>
        <w:left w:val="none" w:sz="0" w:space="0" w:color="auto"/>
        <w:bottom w:val="none" w:sz="0" w:space="0" w:color="auto"/>
        <w:right w:val="none" w:sz="0" w:space="0" w:color="auto"/>
      </w:divBdr>
    </w:div>
    <w:div w:id="228618765">
      <w:bodyDiv w:val="1"/>
      <w:marLeft w:val="0"/>
      <w:marRight w:val="0"/>
      <w:marTop w:val="0"/>
      <w:marBottom w:val="0"/>
      <w:divBdr>
        <w:top w:val="none" w:sz="0" w:space="0" w:color="auto"/>
        <w:left w:val="none" w:sz="0" w:space="0" w:color="auto"/>
        <w:bottom w:val="none" w:sz="0" w:space="0" w:color="auto"/>
        <w:right w:val="none" w:sz="0" w:space="0" w:color="auto"/>
      </w:divBdr>
    </w:div>
    <w:div w:id="232012678">
      <w:bodyDiv w:val="1"/>
      <w:marLeft w:val="0"/>
      <w:marRight w:val="0"/>
      <w:marTop w:val="0"/>
      <w:marBottom w:val="0"/>
      <w:divBdr>
        <w:top w:val="none" w:sz="0" w:space="0" w:color="auto"/>
        <w:left w:val="none" w:sz="0" w:space="0" w:color="auto"/>
        <w:bottom w:val="none" w:sz="0" w:space="0" w:color="auto"/>
        <w:right w:val="none" w:sz="0" w:space="0" w:color="auto"/>
      </w:divBdr>
    </w:div>
    <w:div w:id="233782473">
      <w:bodyDiv w:val="1"/>
      <w:marLeft w:val="0"/>
      <w:marRight w:val="0"/>
      <w:marTop w:val="0"/>
      <w:marBottom w:val="0"/>
      <w:divBdr>
        <w:top w:val="none" w:sz="0" w:space="0" w:color="auto"/>
        <w:left w:val="none" w:sz="0" w:space="0" w:color="auto"/>
        <w:bottom w:val="none" w:sz="0" w:space="0" w:color="auto"/>
        <w:right w:val="none" w:sz="0" w:space="0" w:color="auto"/>
      </w:divBdr>
    </w:div>
    <w:div w:id="235287955">
      <w:bodyDiv w:val="1"/>
      <w:marLeft w:val="0"/>
      <w:marRight w:val="0"/>
      <w:marTop w:val="0"/>
      <w:marBottom w:val="0"/>
      <w:divBdr>
        <w:top w:val="none" w:sz="0" w:space="0" w:color="auto"/>
        <w:left w:val="none" w:sz="0" w:space="0" w:color="auto"/>
        <w:bottom w:val="none" w:sz="0" w:space="0" w:color="auto"/>
        <w:right w:val="none" w:sz="0" w:space="0" w:color="auto"/>
      </w:divBdr>
    </w:div>
    <w:div w:id="253363157">
      <w:bodyDiv w:val="1"/>
      <w:marLeft w:val="0"/>
      <w:marRight w:val="0"/>
      <w:marTop w:val="0"/>
      <w:marBottom w:val="0"/>
      <w:divBdr>
        <w:top w:val="none" w:sz="0" w:space="0" w:color="auto"/>
        <w:left w:val="none" w:sz="0" w:space="0" w:color="auto"/>
        <w:bottom w:val="none" w:sz="0" w:space="0" w:color="auto"/>
        <w:right w:val="none" w:sz="0" w:space="0" w:color="auto"/>
      </w:divBdr>
      <w:divsChild>
        <w:div w:id="1789354778">
          <w:marLeft w:val="0"/>
          <w:marRight w:val="0"/>
          <w:marTop w:val="0"/>
          <w:marBottom w:val="0"/>
          <w:divBdr>
            <w:top w:val="none" w:sz="0" w:space="0" w:color="auto"/>
            <w:left w:val="none" w:sz="0" w:space="0" w:color="auto"/>
            <w:bottom w:val="none" w:sz="0" w:space="0" w:color="auto"/>
            <w:right w:val="none" w:sz="0" w:space="0" w:color="auto"/>
          </w:divBdr>
        </w:div>
      </w:divsChild>
    </w:div>
    <w:div w:id="300890385">
      <w:bodyDiv w:val="1"/>
      <w:marLeft w:val="0"/>
      <w:marRight w:val="0"/>
      <w:marTop w:val="0"/>
      <w:marBottom w:val="0"/>
      <w:divBdr>
        <w:top w:val="none" w:sz="0" w:space="0" w:color="auto"/>
        <w:left w:val="none" w:sz="0" w:space="0" w:color="auto"/>
        <w:bottom w:val="none" w:sz="0" w:space="0" w:color="auto"/>
        <w:right w:val="none" w:sz="0" w:space="0" w:color="auto"/>
      </w:divBdr>
    </w:div>
    <w:div w:id="307167823">
      <w:bodyDiv w:val="1"/>
      <w:marLeft w:val="0"/>
      <w:marRight w:val="0"/>
      <w:marTop w:val="0"/>
      <w:marBottom w:val="0"/>
      <w:divBdr>
        <w:top w:val="none" w:sz="0" w:space="0" w:color="auto"/>
        <w:left w:val="none" w:sz="0" w:space="0" w:color="auto"/>
        <w:bottom w:val="none" w:sz="0" w:space="0" w:color="auto"/>
        <w:right w:val="none" w:sz="0" w:space="0" w:color="auto"/>
      </w:divBdr>
    </w:div>
    <w:div w:id="308289579">
      <w:bodyDiv w:val="1"/>
      <w:marLeft w:val="0"/>
      <w:marRight w:val="0"/>
      <w:marTop w:val="0"/>
      <w:marBottom w:val="0"/>
      <w:divBdr>
        <w:top w:val="none" w:sz="0" w:space="0" w:color="auto"/>
        <w:left w:val="none" w:sz="0" w:space="0" w:color="auto"/>
        <w:bottom w:val="none" w:sz="0" w:space="0" w:color="auto"/>
        <w:right w:val="none" w:sz="0" w:space="0" w:color="auto"/>
      </w:divBdr>
    </w:div>
    <w:div w:id="329646590">
      <w:bodyDiv w:val="1"/>
      <w:marLeft w:val="0"/>
      <w:marRight w:val="0"/>
      <w:marTop w:val="0"/>
      <w:marBottom w:val="0"/>
      <w:divBdr>
        <w:top w:val="none" w:sz="0" w:space="0" w:color="auto"/>
        <w:left w:val="none" w:sz="0" w:space="0" w:color="auto"/>
        <w:bottom w:val="none" w:sz="0" w:space="0" w:color="auto"/>
        <w:right w:val="none" w:sz="0" w:space="0" w:color="auto"/>
      </w:divBdr>
    </w:div>
    <w:div w:id="339358952">
      <w:bodyDiv w:val="1"/>
      <w:marLeft w:val="0"/>
      <w:marRight w:val="0"/>
      <w:marTop w:val="0"/>
      <w:marBottom w:val="0"/>
      <w:divBdr>
        <w:top w:val="none" w:sz="0" w:space="0" w:color="auto"/>
        <w:left w:val="none" w:sz="0" w:space="0" w:color="auto"/>
        <w:bottom w:val="none" w:sz="0" w:space="0" w:color="auto"/>
        <w:right w:val="none" w:sz="0" w:space="0" w:color="auto"/>
      </w:divBdr>
    </w:div>
    <w:div w:id="345601155">
      <w:bodyDiv w:val="1"/>
      <w:marLeft w:val="0"/>
      <w:marRight w:val="0"/>
      <w:marTop w:val="0"/>
      <w:marBottom w:val="0"/>
      <w:divBdr>
        <w:top w:val="none" w:sz="0" w:space="0" w:color="auto"/>
        <w:left w:val="none" w:sz="0" w:space="0" w:color="auto"/>
        <w:bottom w:val="none" w:sz="0" w:space="0" w:color="auto"/>
        <w:right w:val="none" w:sz="0" w:space="0" w:color="auto"/>
      </w:divBdr>
    </w:div>
    <w:div w:id="347684202">
      <w:bodyDiv w:val="1"/>
      <w:marLeft w:val="0"/>
      <w:marRight w:val="0"/>
      <w:marTop w:val="0"/>
      <w:marBottom w:val="0"/>
      <w:divBdr>
        <w:top w:val="none" w:sz="0" w:space="0" w:color="auto"/>
        <w:left w:val="none" w:sz="0" w:space="0" w:color="auto"/>
        <w:bottom w:val="none" w:sz="0" w:space="0" w:color="auto"/>
        <w:right w:val="none" w:sz="0" w:space="0" w:color="auto"/>
      </w:divBdr>
    </w:div>
    <w:div w:id="351538661">
      <w:bodyDiv w:val="1"/>
      <w:marLeft w:val="0"/>
      <w:marRight w:val="0"/>
      <w:marTop w:val="0"/>
      <w:marBottom w:val="0"/>
      <w:divBdr>
        <w:top w:val="none" w:sz="0" w:space="0" w:color="auto"/>
        <w:left w:val="none" w:sz="0" w:space="0" w:color="auto"/>
        <w:bottom w:val="none" w:sz="0" w:space="0" w:color="auto"/>
        <w:right w:val="none" w:sz="0" w:space="0" w:color="auto"/>
      </w:divBdr>
      <w:divsChild>
        <w:div w:id="1800219538">
          <w:marLeft w:val="0"/>
          <w:marRight w:val="0"/>
          <w:marTop w:val="0"/>
          <w:marBottom w:val="0"/>
          <w:divBdr>
            <w:top w:val="none" w:sz="0" w:space="0" w:color="auto"/>
            <w:left w:val="none" w:sz="0" w:space="0" w:color="auto"/>
            <w:bottom w:val="none" w:sz="0" w:space="0" w:color="auto"/>
            <w:right w:val="none" w:sz="0" w:space="0" w:color="auto"/>
          </w:divBdr>
        </w:div>
      </w:divsChild>
    </w:div>
    <w:div w:id="353456647">
      <w:bodyDiv w:val="1"/>
      <w:marLeft w:val="0"/>
      <w:marRight w:val="0"/>
      <w:marTop w:val="0"/>
      <w:marBottom w:val="0"/>
      <w:divBdr>
        <w:top w:val="none" w:sz="0" w:space="0" w:color="auto"/>
        <w:left w:val="none" w:sz="0" w:space="0" w:color="auto"/>
        <w:bottom w:val="none" w:sz="0" w:space="0" w:color="auto"/>
        <w:right w:val="none" w:sz="0" w:space="0" w:color="auto"/>
      </w:divBdr>
    </w:div>
    <w:div w:id="373651388">
      <w:bodyDiv w:val="1"/>
      <w:marLeft w:val="0"/>
      <w:marRight w:val="0"/>
      <w:marTop w:val="0"/>
      <w:marBottom w:val="0"/>
      <w:divBdr>
        <w:top w:val="none" w:sz="0" w:space="0" w:color="auto"/>
        <w:left w:val="none" w:sz="0" w:space="0" w:color="auto"/>
        <w:bottom w:val="none" w:sz="0" w:space="0" w:color="auto"/>
        <w:right w:val="none" w:sz="0" w:space="0" w:color="auto"/>
      </w:divBdr>
      <w:divsChild>
        <w:div w:id="1559784496">
          <w:marLeft w:val="0"/>
          <w:marRight w:val="0"/>
          <w:marTop w:val="0"/>
          <w:marBottom w:val="0"/>
          <w:divBdr>
            <w:top w:val="none" w:sz="0" w:space="0" w:color="auto"/>
            <w:left w:val="none" w:sz="0" w:space="0" w:color="auto"/>
            <w:bottom w:val="none" w:sz="0" w:space="0" w:color="auto"/>
            <w:right w:val="none" w:sz="0" w:space="0" w:color="auto"/>
          </w:divBdr>
        </w:div>
      </w:divsChild>
    </w:div>
    <w:div w:id="382291549">
      <w:bodyDiv w:val="1"/>
      <w:marLeft w:val="0"/>
      <w:marRight w:val="0"/>
      <w:marTop w:val="0"/>
      <w:marBottom w:val="0"/>
      <w:divBdr>
        <w:top w:val="none" w:sz="0" w:space="0" w:color="auto"/>
        <w:left w:val="none" w:sz="0" w:space="0" w:color="auto"/>
        <w:bottom w:val="none" w:sz="0" w:space="0" w:color="auto"/>
        <w:right w:val="none" w:sz="0" w:space="0" w:color="auto"/>
      </w:divBdr>
    </w:div>
    <w:div w:id="389815015">
      <w:bodyDiv w:val="1"/>
      <w:marLeft w:val="0"/>
      <w:marRight w:val="0"/>
      <w:marTop w:val="0"/>
      <w:marBottom w:val="0"/>
      <w:divBdr>
        <w:top w:val="none" w:sz="0" w:space="0" w:color="auto"/>
        <w:left w:val="none" w:sz="0" w:space="0" w:color="auto"/>
        <w:bottom w:val="none" w:sz="0" w:space="0" w:color="auto"/>
        <w:right w:val="none" w:sz="0" w:space="0" w:color="auto"/>
      </w:divBdr>
    </w:div>
    <w:div w:id="407964562">
      <w:bodyDiv w:val="1"/>
      <w:marLeft w:val="0"/>
      <w:marRight w:val="0"/>
      <w:marTop w:val="0"/>
      <w:marBottom w:val="0"/>
      <w:divBdr>
        <w:top w:val="none" w:sz="0" w:space="0" w:color="auto"/>
        <w:left w:val="none" w:sz="0" w:space="0" w:color="auto"/>
        <w:bottom w:val="none" w:sz="0" w:space="0" w:color="auto"/>
        <w:right w:val="none" w:sz="0" w:space="0" w:color="auto"/>
      </w:divBdr>
      <w:divsChild>
        <w:div w:id="887766585">
          <w:marLeft w:val="0"/>
          <w:marRight w:val="0"/>
          <w:marTop w:val="0"/>
          <w:marBottom w:val="0"/>
          <w:divBdr>
            <w:top w:val="none" w:sz="0" w:space="0" w:color="auto"/>
            <w:left w:val="none" w:sz="0" w:space="0" w:color="auto"/>
            <w:bottom w:val="none" w:sz="0" w:space="0" w:color="auto"/>
            <w:right w:val="none" w:sz="0" w:space="0" w:color="auto"/>
          </w:divBdr>
          <w:divsChild>
            <w:div w:id="549146384">
              <w:marLeft w:val="0"/>
              <w:marRight w:val="0"/>
              <w:marTop w:val="0"/>
              <w:marBottom w:val="0"/>
              <w:divBdr>
                <w:top w:val="none" w:sz="0" w:space="0" w:color="auto"/>
                <w:left w:val="none" w:sz="0" w:space="0" w:color="auto"/>
                <w:bottom w:val="none" w:sz="0" w:space="0" w:color="auto"/>
                <w:right w:val="none" w:sz="0" w:space="0" w:color="auto"/>
              </w:divBdr>
              <w:divsChild>
                <w:div w:id="2000036163">
                  <w:marLeft w:val="0"/>
                  <w:marRight w:val="0"/>
                  <w:marTop w:val="0"/>
                  <w:marBottom w:val="0"/>
                  <w:divBdr>
                    <w:top w:val="none" w:sz="0" w:space="0" w:color="auto"/>
                    <w:left w:val="none" w:sz="0" w:space="0" w:color="auto"/>
                    <w:bottom w:val="none" w:sz="0" w:space="0" w:color="auto"/>
                    <w:right w:val="none" w:sz="0" w:space="0" w:color="auto"/>
                  </w:divBdr>
                  <w:divsChild>
                    <w:div w:id="900017271">
                      <w:marLeft w:val="0"/>
                      <w:marRight w:val="0"/>
                      <w:marTop w:val="0"/>
                      <w:marBottom w:val="0"/>
                      <w:divBdr>
                        <w:top w:val="none" w:sz="0" w:space="0" w:color="auto"/>
                        <w:left w:val="none" w:sz="0" w:space="0" w:color="auto"/>
                        <w:bottom w:val="none" w:sz="0" w:space="0" w:color="auto"/>
                        <w:right w:val="none" w:sz="0" w:space="0" w:color="auto"/>
                      </w:divBdr>
                      <w:divsChild>
                        <w:div w:id="703751487">
                          <w:marLeft w:val="0"/>
                          <w:marRight w:val="0"/>
                          <w:marTop w:val="0"/>
                          <w:marBottom w:val="0"/>
                          <w:divBdr>
                            <w:top w:val="none" w:sz="0" w:space="0" w:color="auto"/>
                            <w:left w:val="none" w:sz="0" w:space="0" w:color="auto"/>
                            <w:bottom w:val="none" w:sz="0" w:space="0" w:color="auto"/>
                            <w:right w:val="none" w:sz="0" w:space="0" w:color="auto"/>
                          </w:divBdr>
                          <w:divsChild>
                            <w:div w:id="758868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7093969">
      <w:bodyDiv w:val="1"/>
      <w:marLeft w:val="0"/>
      <w:marRight w:val="0"/>
      <w:marTop w:val="0"/>
      <w:marBottom w:val="0"/>
      <w:divBdr>
        <w:top w:val="none" w:sz="0" w:space="0" w:color="auto"/>
        <w:left w:val="none" w:sz="0" w:space="0" w:color="auto"/>
        <w:bottom w:val="none" w:sz="0" w:space="0" w:color="auto"/>
        <w:right w:val="none" w:sz="0" w:space="0" w:color="auto"/>
      </w:divBdr>
      <w:divsChild>
        <w:div w:id="1735152977">
          <w:marLeft w:val="0"/>
          <w:marRight w:val="0"/>
          <w:marTop w:val="0"/>
          <w:marBottom w:val="0"/>
          <w:divBdr>
            <w:top w:val="none" w:sz="0" w:space="0" w:color="auto"/>
            <w:left w:val="none" w:sz="0" w:space="0" w:color="auto"/>
            <w:bottom w:val="none" w:sz="0" w:space="0" w:color="auto"/>
            <w:right w:val="none" w:sz="0" w:space="0" w:color="auto"/>
          </w:divBdr>
        </w:div>
      </w:divsChild>
    </w:div>
    <w:div w:id="418453714">
      <w:bodyDiv w:val="1"/>
      <w:marLeft w:val="0"/>
      <w:marRight w:val="0"/>
      <w:marTop w:val="0"/>
      <w:marBottom w:val="0"/>
      <w:divBdr>
        <w:top w:val="none" w:sz="0" w:space="0" w:color="auto"/>
        <w:left w:val="none" w:sz="0" w:space="0" w:color="auto"/>
        <w:bottom w:val="none" w:sz="0" w:space="0" w:color="auto"/>
        <w:right w:val="none" w:sz="0" w:space="0" w:color="auto"/>
      </w:divBdr>
      <w:divsChild>
        <w:div w:id="255674626">
          <w:marLeft w:val="0"/>
          <w:marRight w:val="0"/>
          <w:marTop w:val="0"/>
          <w:marBottom w:val="0"/>
          <w:divBdr>
            <w:top w:val="none" w:sz="0" w:space="0" w:color="auto"/>
            <w:left w:val="none" w:sz="0" w:space="0" w:color="auto"/>
            <w:bottom w:val="none" w:sz="0" w:space="0" w:color="auto"/>
            <w:right w:val="none" w:sz="0" w:space="0" w:color="auto"/>
          </w:divBdr>
        </w:div>
        <w:div w:id="908464086">
          <w:marLeft w:val="0"/>
          <w:marRight w:val="0"/>
          <w:marTop w:val="0"/>
          <w:marBottom w:val="0"/>
          <w:divBdr>
            <w:top w:val="none" w:sz="0" w:space="0" w:color="auto"/>
            <w:left w:val="none" w:sz="0" w:space="0" w:color="auto"/>
            <w:bottom w:val="none" w:sz="0" w:space="0" w:color="auto"/>
            <w:right w:val="none" w:sz="0" w:space="0" w:color="auto"/>
          </w:divBdr>
        </w:div>
      </w:divsChild>
    </w:div>
    <w:div w:id="447050906">
      <w:bodyDiv w:val="1"/>
      <w:marLeft w:val="0"/>
      <w:marRight w:val="0"/>
      <w:marTop w:val="0"/>
      <w:marBottom w:val="0"/>
      <w:divBdr>
        <w:top w:val="none" w:sz="0" w:space="0" w:color="auto"/>
        <w:left w:val="none" w:sz="0" w:space="0" w:color="auto"/>
        <w:bottom w:val="none" w:sz="0" w:space="0" w:color="auto"/>
        <w:right w:val="none" w:sz="0" w:space="0" w:color="auto"/>
      </w:divBdr>
      <w:divsChild>
        <w:div w:id="13003924">
          <w:marLeft w:val="0"/>
          <w:marRight w:val="0"/>
          <w:marTop w:val="0"/>
          <w:marBottom w:val="0"/>
          <w:divBdr>
            <w:top w:val="none" w:sz="0" w:space="0" w:color="auto"/>
            <w:left w:val="none" w:sz="0" w:space="0" w:color="auto"/>
            <w:bottom w:val="none" w:sz="0" w:space="0" w:color="auto"/>
            <w:right w:val="none" w:sz="0" w:space="0" w:color="auto"/>
          </w:divBdr>
        </w:div>
        <w:div w:id="416171366">
          <w:marLeft w:val="0"/>
          <w:marRight w:val="0"/>
          <w:marTop w:val="0"/>
          <w:marBottom w:val="0"/>
          <w:divBdr>
            <w:top w:val="none" w:sz="0" w:space="0" w:color="auto"/>
            <w:left w:val="none" w:sz="0" w:space="0" w:color="auto"/>
            <w:bottom w:val="none" w:sz="0" w:space="0" w:color="auto"/>
            <w:right w:val="none" w:sz="0" w:space="0" w:color="auto"/>
          </w:divBdr>
        </w:div>
        <w:div w:id="1956326091">
          <w:marLeft w:val="0"/>
          <w:marRight w:val="0"/>
          <w:marTop w:val="0"/>
          <w:marBottom w:val="0"/>
          <w:divBdr>
            <w:top w:val="none" w:sz="0" w:space="0" w:color="auto"/>
            <w:left w:val="none" w:sz="0" w:space="0" w:color="auto"/>
            <w:bottom w:val="none" w:sz="0" w:space="0" w:color="auto"/>
            <w:right w:val="none" w:sz="0" w:space="0" w:color="auto"/>
          </w:divBdr>
        </w:div>
        <w:div w:id="1482966685">
          <w:marLeft w:val="0"/>
          <w:marRight w:val="0"/>
          <w:marTop w:val="0"/>
          <w:marBottom w:val="0"/>
          <w:divBdr>
            <w:top w:val="none" w:sz="0" w:space="0" w:color="auto"/>
            <w:left w:val="none" w:sz="0" w:space="0" w:color="auto"/>
            <w:bottom w:val="none" w:sz="0" w:space="0" w:color="auto"/>
            <w:right w:val="none" w:sz="0" w:space="0" w:color="auto"/>
          </w:divBdr>
        </w:div>
      </w:divsChild>
    </w:div>
    <w:div w:id="450822376">
      <w:bodyDiv w:val="1"/>
      <w:marLeft w:val="0"/>
      <w:marRight w:val="0"/>
      <w:marTop w:val="0"/>
      <w:marBottom w:val="0"/>
      <w:divBdr>
        <w:top w:val="none" w:sz="0" w:space="0" w:color="auto"/>
        <w:left w:val="none" w:sz="0" w:space="0" w:color="auto"/>
        <w:bottom w:val="none" w:sz="0" w:space="0" w:color="auto"/>
        <w:right w:val="none" w:sz="0" w:space="0" w:color="auto"/>
      </w:divBdr>
    </w:div>
    <w:div w:id="472335658">
      <w:bodyDiv w:val="1"/>
      <w:marLeft w:val="0"/>
      <w:marRight w:val="0"/>
      <w:marTop w:val="0"/>
      <w:marBottom w:val="0"/>
      <w:divBdr>
        <w:top w:val="none" w:sz="0" w:space="0" w:color="auto"/>
        <w:left w:val="none" w:sz="0" w:space="0" w:color="auto"/>
        <w:bottom w:val="none" w:sz="0" w:space="0" w:color="auto"/>
        <w:right w:val="none" w:sz="0" w:space="0" w:color="auto"/>
      </w:divBdr>
    </w:div>
    <w:div w:id="496192425">
      <w:bodyDiv w:val="1"/>
      <w:marLeft w:val="0"/>
      <w:marRight w:val="0"/>
      <w:marTop w:val="0"/>
      <w:marBottom w:val="0"/>
      <w:divBdr>
        <w:top w:val="none" w:sz="0" w:space="0" w:color="auto"/>
        <w:left w:val="none" w:sz="0" w:space="0" w:color="auto"/>
        <w:bottom w:val="none" w:sz="0" w:space="0" w:color="auto"/>
        <w:right w:val="none" w:sz="0" w:space="0" w:color="auto"/>
      </w:divBdr>
    </w:div>
    <w:div w:id="496269949">
      <w:bodyDiv w:val="1"/>
      <w:marLeft w:val="0"/>
      <w:marRight w:val="0"/>
      <w:marTop w:val="0"/>
      <w:marBottom w:val="0"/>
      <w:divBdr>
        <w:top w:val="none" w:sz="0" w:space="0" w:color="auto"/>
        <w:left w:val="none" w:sz="0" w:space="0" w:color="auto"/>
        <w:bottom w:val="none" w:sz="0" w:space="0" w:color="auto"/>
        <w:right w:val="none" w:sz="0" w:space="0" w:color="auto"/>
      </w:divBdr>
    </w:div>
    <w:div w:id="498547958">
      <w:bodyDiv w:val="1"/>
      <w:marLeft w:val="0"/>
      <w:marRight w:val="0"/>
      <w:marTop w:val="0"/>
      <w:marBottom w:val="0"/>
      <w:divBdr>
        <w:top w:val="none" w:sz="0" w:space="0" w:color="auto"/>
        <w:left w:val="none" w:sz="0" w:space="0" w:color="auto"/>
        <w:bottom w:val="none" w:sz="0" w:space="0" w:color="auto"/>
        <w:right w:val="none" w:sz="0" w:space="0" w:color="auto"/>
      </w:divBdr>
      <w:divsChild>
        <w:div w:id="440565309">
          <w:marLeft w:val="0"/>
          <w:marRight w:val="0"/>
          <w:marTop w:val="0"/>
          <w:marBottom w:val="0"/>
          <w:divBdr>
            <w:top w:val="none" w:sz="0" w:space="0" w:color="auto"/>
            <w:left w:val="none" w:sz="0" w:space="0" w:color="auto"/>
            <w:bottom w:val="none" w:sz="0" w:space="0" w:color="auto"/>
            <w:right w:val="none" w:sz="0" w:space="0" w:color="auto"/>
          </w:divBdr>
        </w:div>
        <w:div w:id="1471702461">
          <w:marLeft w:val="0"/>
          <w:marRight w:val="0"/>
          <w:marTop w:val="0"/>
          <w:marBottom w:val="0"/>
          <w:divBdr>
            <w:top w:val="none" w:sz="0" w:space="0" w:color="auto"/>
            <w:left w:val="none" w:sz="0" w:space="0" w:color="auto"/>
            <w:bottom w:val="none" w:sz="0" w:space="0" w:color="auto"/>
            <w:right w:val="none" w:sz="0" w:space="0" w:color="auto"/>
          </w:divBdr>
        </w:div>
      </w:divsChild>
    </w:div>
    <w:div w:id="499928394">
      <w:bodyDiv w:val="1"/>
      <w:marLeft w:val="0"/>
      <w:marRight w:val="0"/>
      <w:marTop w:val="0"/>
      <w:marBottom w:val="0"/>
      <w:divBdr>
        <w:top w:val="none" w:sz="0" w:space="0" w:color="auto"/>
        <w:left w:val="none" w:sz="0" w:space="0" w:color="auto"/>
        <w:bottom w:val="none" w:sz="0" w:space="0" w:color="auto"/>
        <w:right w:val="none" w:sz="0" w:space="0" w:color="auto"/>
      </w:divBdr>
    </w:div>
    <w:div w:id="518545862">
      <w:bodyDiv w:val="1"/>
      <w:marLeft w:val="0"/>
      <w:marRight w:val="0"/>
      <w:marTop w:val="0"/>
      <w:marBottom w:val="0"/>
      <w:divBdr>
        <w:top w:val="none" w:sz="0" w:space="0" w:color="auto"/>
        <w:left w:val="none" w:sz="0" w:space="0" w:color="auto"/>
        <w:bottom w:val="none" w:sz="0" w:space="0" w:color="auto"/>
        <w:right w:val="none" w:sz="0" w:space="0" w:color="auto"/>
      </w:divBdr>
    </w:div>
    <w:div w:id="529226030">
      <w:bodyDiv w:val="1"/>
      <w:marLeft w:val="0"/>
      <w:marRight w:val="0"/>
      <w:marTop w:val="0"/>
      <w:marBottom w:val="0"/>
      <w:divBdr>
        <w:top w:val="none" w:sz="0" w:space="0" w:color="auto"/>
        <w:left w:val="none" w:sz="0" w:space="0" w:color="auto"/>
        <w:bottom w:val="none" w:sz="0" w:space="0" w:color="auto"/>
        <w:right w:val="none" w:sz="0" w:space="0" w:color="auto"/>
      </w:divBdr>
    </w:div>
    <w:div w:id="540629444">
      <w:bodyDiv w:val="1"/>
      <w:marLeft w:val="0"/>
      <w:marRight w:val="0"/>
      <w:marTop w:val="0"/>
      <w:marBottom w:val="0"/>
      <w:divBdr>
        <w:top w:val="none" w:sz="0" w:space="0" w:color="auto"/>
        <w:left w:val="none" w:sz="0" w:space="0" w:color="auto"/>
        <w:bottom w:val="none" w:sz="0" w:space="0" w:color="auto"/>
        <w:right w:val="none" w:sz="0" w:space="0" w:color="auto"/>
      </w:divBdr>
    </w:div>
    <w:div w:id="543761449">
      <w:bodyDiv w:val="1"/>
      <w:marLeft w:val="0"/>
      <w:marRight w:val="0"/>
      <w:marTop w:val="0"/>
      <w:marBottom w:val="0"/>
      <w:divBdr>
        <w:top w:val="none" w:sz="0" w:space="0" w:color="auto"/>
        <w:left w:val="none" w:sz="0" w:space="0" w:color="auto"/>
        <w:bottom w:val="none" w:sz="0" w:space="0" w:color="auto"/>
        <w:right w:val="none" w:sz="0" w:space="0" w:color="auto"/>
      </w:divBdr>
    </w:div>
    <w:div w:id="553078111">
      <w:bodyDiv w:val="1"/>
      <w:marLeft w:val="0"/>
      <w:marRight w:val="0"/>
      <w:marTop w:val="0"/>
      <w:marBottom w:val="0"/>
      <w:divBdr>
        <w:top w:val="none" w:sz="0" w:space="0" w:color="auto"/>
        <w:left w:val="none" w:sz="0" w:space="0" w:color="auto"/>
        <w:bottom w:val="none" w:sz="0" w:space="0" w:color="auto"/>
        <w:right w:val="none" w:sz="0" w:space="0" w:color="auto"/>
      </w:divBdr>
      <w:divsChild>
        <w:div w:id="1117944171">
          <w:marLeft w:val="0"/>
          <w:marRight w:val="0"/>
          <w:marTop w:val="0"/>
          <w:marBottom w:val="0"/>
          <w:divBdr>
            <w:top w:val="none" w:sz="0" w:space="0" w:color="auto"/>
            <w:left w:val="none" w:sz="0" w:space="0" w:color="auto"/>
            <w:bottom w:val="none" w:sz="0" w:space="0" w:color="auto"/>
            <w:right w:val="none" w:sz="0" w:space="0" w:color="auto"/>
          </w:divBdr>
          <w:divsChild>
            <w:div w:id="1278870376">
              <w:marLeft w:val="0"/>
              <w:marRight w:val="0"/>
              <w:marTop w:val="0"/>
              <w:marBottom w:val="0"/>
              <w:divBdr>
                <w:top w:val="none" w:sz="0" w:space="0" w:color="auto"/>
                <w:left w:val="none" w:sz="0" w:space="0" w:color="auto"/>
                <w:bottom w:val="none" w:sz="0" w:space="0" w:color="auto"/>
                <w:right w:val="none" w:sz="0" w:space="0" w:color="auto"/>
              </w:divBdr>
              <w:divsChild>
                <w:div w:id="222720717">
                  <w:marLeft w:val="0"/>
                  <w:marRight w:val="0"/>
                  <w:marTop w:val="0"/>
                  <w:marBottom w:val="0"/>
                  <w:divBdr>
                    <w:top w:val="none" w:sz="0" w:space="0" w:color="auto"/>
                    <w:left w:val="none" w:sz="0" w:space="0" w:color="auto"/>
                    <w:bottom w:val="none" w:sz="0" w:space="0" w:color="auto"/>
                    <w:right w:val="none" w:sz="0" w:space="0" w:color="auto"/>
                  </w:divBdr>
                  <w:divsChild>
                    <w:div w:id="673190547">
                      <w:marLeft w:val="0"/>
                      <w:marRight w:val="0"/>
                      <w:marTop w:val="0"/>
                      <w:marBottom w:val="0"/>
                      <w:divBdr>
                        <w:top w:val="none" w:sz="0" w:space="0" w:color="auto"/>
                        <w:left w:val="none" w:sz="0" w:space="0" w:color="auto"/>
                        <w:bottom w:val="none" w:sz="0" w:space="0" w:color="auto"/>
                        <w:right w:val="none" w:sz="0" w:space="0" w:color="auto"/>
                      </w:divBdr>
                      <w:divsChild>
                        <w:div w:id="291641113">
                          <w:marLeft w:val="0"/>
                          <w:marRight w:val="0"/>
                          <w:marTop w:val="0"/>
                          <w:marBottom w:val="0"/>
                          <w:divBdr>
                            <w:top w:val="none" w:sz="0" w:space="0" w:color="auto"/>
                            <w:left w:val="none" w:sz="0" w:space="0" w:color="auto"/>
                            <w:bottom w:val="none" w:sz="0" w:space="0" w:color="auto"/>
                            <w:right w:val="none" w:sz="0" w:space="0" w:color="auto"/>
                          </w:divBdr>
                          <w:divsChild>
                            <w:div w:id="1720090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3369655">
      <w:bodyDiv w:val="1"/>
      <w:marLeft w:val="0"/>
      <w:marRight w:val="0"/>
      <w:marTop w:val="0"/>
      <w:marBottom w:val="0"/>
      <w:divBdr>
        <w:top w:val="none" w:sz="0" w:space="0" w:color="auto"/>
        <w:left w:val="none" w:sz="0" w:space="0" w:color="auto"/>
        <w:bottom w:val="none" w:sz="0" w:space="0" w:color="auto"/>
        <w:right w:val="none" w:sz="0" w:space="0" w:color="auto"/>
      </w:divBdr>
      <w:divsChild>
        <w:div w:id="402216587">
          <w:marLeft w:val="0"/>
          <w:marRight w:val="0"/>
          <w:marTop w:val="0"/>
          <w:marBottom w:val="0"/>
          <w:divBdr>
            <w:top w:val="none" w:sz="0" w:space="0" w:color="auto"/>
            <w:left w:val="none" w:sz="0" w:space="0" w:color="auto"/>
            <w:bottom w:val="none" w:sz="0" w:space="0" w:color="auto"/>
            <w:right w:val="none" w:sz="0" w:space="0" w:color="auto"/>
          </w:divBdr>
        </w:div>
      </w:divsChild>
    </w:div>
    <w:div w:id="564686841">
      <w:bodyDiv w:val="1"/>
      <w:marLeft w:val="0"/>
      <w:marRight w:val="0"/>
      <w:marTop w:val="0"/>
      <w:marBottom w:val="0"/>
      <w:divBdr>
        <w:top w:val="none" w:sz="0" w:space="0" w:color="auto"/>
        <w:left w:val="none" w:sz="0" w:space="0" w:color="auto"/>
        <w:bottom w:val="none" w:sz="0" w:space="0" w:color="auto"/>
        <w:right w:val="none" w:sz="0" w:space="0" w:color="auto"/>
      </w:divBdr>
      <w:divsChild>
        <w:div w:id="826481380">
          <w:marLeft w:val="0"/>
          <w:marRight w:val="0"/>
          <w:marTop w:val="0"/>
          <w:marBottom w:val="0"/>
          <w:divBdr>
            <w:top w:val="none" w:sz="0" w:space="0" w:color="auto"/>
            <w:left w:val="none" w:sz="0" w:space="0" w:color="auto"/>
            <w:bottom w:val="none" w:sz="0" w:space="0" w:color="auto"/>
            <w:right w:val="none" w:sz="0" w:space="0" w:color="auto"/>
          </w:divBdr>
        </w:div>
      </w:divsChild>
    </w:div>
    <w:div w:id="567107624">
      <w:bodyDiv w:val="1"/>
      <w:marLeft w:val="0"/>
      <w:marRight w:val="0"/>
      <w:marTop w:val="0"/>
      <w:marBottom w:val="0"/>
      <w:divBdr>
        <w:top w:val="none" w:sz="0" w:space="0" w:color="auto"/>
        <w:left w:val="none" w:sz="0" w:space="0" w:color="auto"/>
        <w:bottom w:val="none" w:sz="0" w:space="0" w:color="auto"/>
        <w:right w:val="none" w:sz="0" w:space="0" w:color="auto"/>
      </w:divBdr>
    </w:div>
    <w:div w:id="605770520">
      <w:bodyDiv w:val="1"/>
      <w:marLeft w:val="0"/>
      <w:marRight w:val="0"/>
      <w:marTop w:val="0"/>
      <w:marBottom w:val="0"/>
      <w:divBdr>
        <w:top w:val="none" w:sz="0" w:space="0" w:color="auto"/>
        <w:left w:val="none" w:sz="0" w:space="0" w:color="auto"/>
        <w:bottom w:val="none" w:sz="0" w:space="0" w:color="auto"/>
        <w:right w:val="none" w:sz="0" w:space="0" w:color="auto"/>
      </w:divBdr>
    </w:div>
    <w:div w:id="618534568">
      <w:bodyDiv w:val="1"/>
      <w:marLeft w:val="0"/>
      <w:marRight w:val="0"/>
      <w:marTop w:val="0"/>
      <w:marBottom w:val="0"/>
      <w:divBdr>
        <w:top w:val="none" w:sz="0" w:space="0" w:color="auto"/>
        <w:left w:val="none" w:sz="0" w:space="0" w:color="auto"/>
        <w:bottom w:val="none" w:sz="0" w:space="0" w:color="auto"/>
        <w:right w:val="none" w:sz="0" w:space="0" w:color="auto"/>
      </w:divBdr>
    </w:div>
    <w:div w:id="621765434">
      <w:bodyDiv w:val="1"/>
      <w:marLeft w:val="0"/>
      <w:marRight w:val="0"/>
      <w:marTop w:val="0"/>
      <w:marBottom w:val="0"/>
      <w:divBdr>
        <w:top w:val="none" w:sz="0" w:space="0" w:color="auto"/>
        <w:left w:val="none" w:sz="0" w:space="0" w:color="auto"/>
        <w:bottom w:val="none" w:sz="0" w:space="0" w:color="auto"/>
        <w:right w:val="none" w:sz="0" w:space="0" w:color="auto"/>
      </w:divBdr>
      <w:divsChild>
        <w:div w:id="1059327104">
          <w:marLeft w:val="0"/>
          <w:marRight w:val="0"/>
          <w:marTop w:val="0"/>
          <w:marBottom w:val="0"/>
          <w:divBdr>
            <w:top w:val="none" w:sz="0" w:space="0" w:color="auto"/>
            <w:left w:val="none" w:sz="0" w:space="0" w:color="auto"/>
            <w:bottom w:val="none" w:sz="0" w:space="0" w:color="auto"/>
            <w:right w:val="none" w:sz="0" w:space="0" w:color="auto"/>
          </w:divBdr>
        </w:div>
      </w:divsChild>
    </w:div>
    <w:div w:id="624968986">
      <w:bodyDiv w:val="1"/>
      <w:marLeft w:val="0"/>
      <w:marRight w:val="0"/>
      <w:marTop w:val="0"/>
      <w:marBottom w:val="0"/>
      <w:divBdr>
        <w:top w:val="none" w:sz="0" w:space="0" w:color="auto"/>
        <w:left w:val="none" w:sz="0" w:space="0" w:color="auto"/>
        <w:bottom w:val="none" w:sz="0" w:space="0" w:color="auto"/>
        <w:right w:val="none" w:sz="0" w:space="0" w:color="auto"/>
      </w:divBdr>
    </w:div>
    <w:div w:id="710879036">
      <w:bodyDiv w:val="1"/>
      <w:marLeft w:val="0"/>
      <w:marRight w:val="0"/>
      <w:marTop w:val="0"/>
      <w:marBottom w:val="0"/>
      <w:divBdr>
        <w:top w:val="none" w:sz="0" w:space="0" w:color="auto"/>
        <w:left w:val="none" w:sz="0" w:space="0" w:color="auto"/>
        <w:bottom w:val="none" w:sz="0" w:space="0" w:color="auto"/>
        <w:right w:val="none" w:sz="0" w:space="0" w:color="auto"/>
      </w:divBdr>
      <w:divsChild>
        <w:div w:id="2096395800">
          <w:marLeft w:val="0"/>
          <w:marRight w:val="0"/>
          <w:marTop w:val="0"/>
          <w:marBottom w:val="0"/>
          <w:divBdr>
            <w:top w:val="none" w:sz="0" w:space="0" w:color="auto"/>
            <w:left w:val="none" w:sz="0" w:space="0" w:color="auto"/>
            <w:bottom w:val="none" w:sz="0" w:space="0" w:color="auto"/>
            <w:right w:val="none" w:sz="0" w:space="0" w:color="auto"/>
          </w:divBdr>
        </w:div>
      </w:divsChild>
    </w:div>
    <w:div w:id="715273510">
      <w:bodyDiv w:val="1"/>
      <w:marLeft w:val="0"/>
      <w:marRight w:val="0"/>
      <w:marTop w:val="0"/>
      <w:marBottom w:val="0"/>
      <w:divBdr>
        <w:top w:val="none" w:sz="0" w:space="0" w:color="auto"/>
        <w:left w:val="none" w:sz="0" w:space="0" w:color="auto"/>
        <w:bottom w:val="none" w:sz="0" w:space="0" w:color="auto"/>
        <w:right w:val="none" w:sz="0" w:space="0" w:color="auto"/>
      </w:divBdr>
    </w:div>
    <w:div w:id="733892786">
      <w:bodyDiv w:val="1"/>
      <w:marLeft w:val="0"/>
      <w:marRight w:val="0"/>
      <w:marTop w:val="0"/>
      <w:marBottom w:val="0"/>
      <w:divBdr>
        <w:top w:val="none" w:sz="0" w:space="0" w:color="auto"/>
        <w:left w:val="none" w:sz="0" w:space="0" w:color="auto"/>
        <w:bottom w:val="none" w:sz="0" w:space="0" w:color="auto"/>
        <w:right w:val="none" w:sz="0" w:space="0" w:color="auto"/>
      </w:divBdr>
    </w:div>
    <w:div w:id="750084904">
      <w:bodyDiv w:val="1"/>
      <w:marLeft w:val="0"/>
      <w:marRight w:val="0"/>
      <w:marTop w:val="0"/>
      <w:marBottom w:val="0"/>
      <w:divBdr>
        <w:top w:val="none" w:sz="0" w:space="0" w:color="auto"/>
        <w:left w:val="none" w:sz="0" w:space="0" w:color="auto"/>
        <w:bottom w:val="none" w:sz="0" w:space="0" w:color="auto"/>
        <w:right w:val="none" w:sz="0" w:space="0" w:color="auto"/>
      </w:divBdr>
    </w:div>
    <w:div w:id="751196519">
      <w:bodyDiv w:val="1"/>
      <w:marLeft w:val="0"/>
      <w:marRight w:val="0"/>
      <w:marTop w:val="0"/>
      <w:marBottom w:val="0"/>
      <w:divBdr>
        <w:top w:val="none" w:sz="0" w:space="0" w:color="auto"/>
        <w:left w:val="none" w:sz="0" w:space="0" w:color="auto"/>
        <w:bottom w:val="none" w:sz="0" w:space="0" w:color="auto"/>
        <w:right w:val="none" w:sz="0" w:space="0" w:color="auto"/>
      </w:divBdr>
      <w:divsChild>
        <w:div w:id="1478646491">
          <w:marLeft w:val="0"/>
          <w:marRight w:val="0"/>
          <w:marTop w:val="0"/>
          <w:marBottom w:val="0"/>
          <w:divBdr>
            <w:top w:val="none" w:sz="0" w:space="0" w:color="auto"/>
            <w:left w:val="none" w:sz="0" w:space="0" w:color="auto"/>
            <w:bottom w:val="none" w:sz="0" w:space="0" w:color="auto"/>
            <w:right w:val="none" w:sz="0" w:space="0" w:color="auto"/>
          </w:divBdr>
        </w:div>
      </w:divsChild>
    </w:div>
    <w:div w:id="803501540">
      <w:bodyDiv w:val="1"/>
      <w:marLeft w:val="0"/>
      <w:marRight w:val="0"/>
      <w:marTop w:val="0"/>
      <w:marBottom w:val="0"/>
      <w:divBdr>
        <w:top w:val="none" w:sz="0" w:space="0" w:color="auto"/>
        <w:left w:val="none" w:sz="0" w:space="0" w:color="auto"/>
        <w:bottom w:val="none" w:sz="0" w:space="0" w:color="auto"/>
        <w:right w:val="none" w:sz="0" w:space="0" w:color="auto"/>
      </w:divBdr>
    </w:div>
    <w:div w:id="828062506">
      <w:bodyDiv w:val="1"/>
      <w:marLeft w:val="0"/>
      <w:marRight w:val="0"/>
      <w:marTop w:val="0"/>
      <w:marBottom w:val="0"/>
      <w:divBdr>
        <w:top w:val="none" w:sz="0" w:space="0" w:color="auto"/>
        <w:left w:val="none" w:sz="0" w:space="0" w:color="auto"/>
        <w:bottom w:val="none" w:sz="0" w:space="0" w:color="auto"/>
        <w:right w:val="none" w:sz="0" w:space="0" w:color="auto"/>
      </w:divBdr>
    </w:div>
    <w:div w:id="830098522">
      <w:bodyDiv w:val="1"/>
      <w:marLeft w:val="0"/>
      <w:marRight w:val="0"/>
      <w:marTop w:val="0"/>
      <w:marBottom w:val="0"/>
      <w:divBdr>
        <w:top w:val="none" w:sz="0" w:space="0" w:color="auto"/>
        <w:left w:val="none" w:sz="0" w:space="0" w:color="auto"/>
        <w:bottom w:val="none" w:sz="0" w:space="0" w:color="auto"/>
        <w:right w:val="none" w:sz="0" w:space="0" w:color="auto"/>
      </w:divBdr>
    </w:div>
    <w:div w:id="840705891">
      <w:bodyDiv w:val="1"/>
      <w:marLeft w:val="0"/>
      <w:marRight w:val="0"/>
      <w:marTop w:val="0"/>
      <w:marBottom w:val="0"/>
      <w:divBdr>
        <w:top w:val="none" w:sz="0" w:space="0" w:color="auto"/>
        <w:left w:val="none" w:sz="0" w:space="0" w:color="auto"/>
        <w:bottom w:val="none" w:sz="0" w:space="0" w:color="auto"/>
        <w:right w:val="none" w:sz="0" w:space="0" w:color="auto"/>
      </w:divBdr>
    </w:div>
    <w:div w:id="869030184">
      <w:bodyDiv w:val="1"/>
      <w:marLeft w:val="0"/>
      <w:marRight w:val="0"/>
      <w:marTop w:val="0"/>
      <w:marBottom w:val="0"/>
      <w:divBdr>
        <w:top w:val="none" w:sz="0" w:space="0" w:color="auto"/>
        <w:left w:val="none" w:sz="0" w:space="0" w:color="auto"/>
        <w:bottom w:val="none" w:sz="0" w:space="0" w:color="auto"/>
        <w:right w:val="none" w:sz="0" w:space="0" w:color="auto"/>
      </w:divBdr>
      <w:divsChild>
        <w:div w:id="1452281802">
          <w:marLeft w:val="0"/>
          <w:marRight w:val="0"/>
          <w:marTop w:val="0"/>
          <w:marBottom w:val="0"/>
          <w:divBdr>
            <w:top w:val="none" w:sz="0" w:space="0" w:color="auto"/>
            <w:left w:val="none" w:sz="0" w:space="0" w:color="auto"/>
            <w:bottom w:val="none" w:sz="0" w:space="0" w:color="auto"/>
            <w:right w:val="none" w:sz="0" w:space="0" w:color="auto"/>
          </w:divBdr>
        </w:div>
      </w:divsChild>
    </w:div>
    <w:div w:id="898327597">
      <w:bodyDiv w:val="1"/>
      <w:marLeft w:val="0"/>
      <w:marRight w:val="0"/>
      <w:marTop w:val="0"/>
      <w:marBottom w:val="0"/>
      <w:divBdr>
        <w:top w:val="none" w:sz="0" w:space="0" w:color="auto"/>
        <w:left w:val="none" w:sz="0" w:space="0" w:color="auto"/>
        <w:bottom w:val="none" w:sz="0" w:space="0" w:color="auto"/>
        <w:right w:val="none" w:sz="0" w:space="0" w:color="auto"/>
      </w:divBdr>
    </w:div>
    <w:div w:id="901257174">
      <w:bodyDiv w:val="1"/>
      <w:marLeft w:val="0"/>
      <w:marRight w:val="0"/>
      <w:marTop w:val="0"/>
      <w:marBottom w:val="0"/>
      <w:divBdr>
        <w:top w:val="none" w:sz="0" w:space="0" w:color="auto"/>
        <w:left w:val="none" w:sz="0" w:space="0" w:color="auto"/>
        <w:bottom w:val="none" w:sz="0" w:space="0" w:color="auto"/>
        <w:right w:val="none" w:sz="0" w:space="0" w:color="auto"/>
      </w:divBdr>
    </w:div>
    <w:div w:id="915360996">
      <w:bodyDiv w:val="1"/>
      <w:marLeft w:val="0"/>
      <w:marRight w:val="0"/>
      <w:marTop w:val="0"/>
      <w:marBottom w:val="0"/>
      <w:divBdr>
        <w:top w:val="none" w:sz="0" w:space="0" w:color="auto"/>
        <w:left w:val="none" w:sz="0" w:space="0" w:color="auto"/>
        <w:bottom w:val="none" w:sz="0" w:space="0" w:color="auto"/>
        <w:right w:val="none" w:sz="0" w:space="0" w:color="auto"/>
      </w:divBdr>
    </w:div>
    <w:div w:id="919677650">
      <w:bodyDiv w:val="1"/>
      <w:marLeft w:val="0"/>
      <w:marRight w:val="0"/>
      <w:marTop w:val="0"/>
      <w:marBottom w:val="0"/>
      <w:divBdr>
        <w:top w:val="none" w:sz="0" w:space="0" w:color="auto"/>
        <w:left w:val="none" w:sz="0" w:space="0" w:color="auto"/>
        <w:bottom w:val="none" w:sz="0" w:space="0" w:color="auto"/>
        <w:right w:val="none" w:sz="0" w:space="0" w:color="auto"/>
      </w:divBdr>
      <w:divsChild>
        <w:div w:id="3636541">
          <w:marLeft w:val="0"/>
          <w:marRight w:val="0"/>
          <w:marTop w:val="0"/>
          <w:marBottom w:val="0"/>
          <w:divBdr>
            <w:top w:val="none" w:sz="0" w:space="0" w:color="auto"/>
            <w:left w:val="none" w:sz="0" w:space="0" w:color="auto"/>
            <w:bottom w:val="none" w:sz="0" w:space="0" w:color="auto"/>
            <w:right w:val="none" w:sz="0" w:space="0" w:color="auto"/>
          </w:divBdr>
        </w:div>
      </w:divsChild>
    </w:div>
    <w:div w:id="921182885">
      <w:bodyDiv w:val="1"/>
      <w:marLeft w:val="0"/>
      <w:marRight w:val="0"/>
      <w:marTop w:val="0"/>
      <w:marBottom w:val="0"/>
      <w:divBdr>
        <w:top w:val="none" w:sz="0" w:space="0" w:color="auto"/>
        <w:left w:val="none" w:sz="0" w:space="0" w:color="auto"/>
        <w:bottom w:val="none" w:sz="0" w:space="0" w:color="auto"/>
        <w:right w:val="none" w:sz="0" w:space="0" w:color="auto"/>
      </w:divBdr>
    </w:div>
    <w:div w:id="931668483">
      <w:bodyDiv w:val="1"/>
      <w:marLeft w:val="0"/>
      <w:marRight w:val="0"/>
      <w:marTop w:val="0"/>
      <w:marBottom w:val="0"/>
      <w:divBdr>
        <w:top w:val="none" w:sz="0" w:space="0" w:color="auto"/>
        <w:left w:val="none" w:sz="0" w:space="0" w:color="auto"/>
        <w:bottom w:val="none" w:sz="0" w:space="0" w:color="auto"/>
        <w:right w:val="none" w:sz="0" w:space="0" w:color="auto"/>
      </w:divBdr>
    </w:div>
    <w:div w:id="934897949">
      <w:bodyDiv w:val="1"/>
      <w:marLeft w:val="0"/>
      <w:marRight w:val="0"/>
      <w:marTop w:val="0"/>
      <w:marBottom w:val="0"/>
      <w:divBdr>
        <w:top w:val="none" w:sz="0" w:space="0" w:color="auto"/>
        <w:left w:val="none" w:sz="0" w:space="0" w:color="auto"/>
        <w:bottom w:val="none" w:sz="0" w:space="0" w:color="auto"/>
        <w:right w:val="none" w:sz="0" w:space="0" w:color="auto"/>
      </w:divBdr>
    </w:div>
    <w:div w:id="977686383">
      <w:bodyDiv w:val="1"/>
      <w:marLeft w:val="0"/>
      <w:marRight w:val="0"/>
      <w:marTop w:val="0"/>
      <w:marBottom w:val="0"/>
      <w:divBdr>
        <w:top w:val="none" w:sz="0" w:space="0" w:color="auto"/>
        <w:left w:val="none" w:sz="0" w:space="0" w:color="auto"/>
        <w:bottom w:val="none" w:sz="0" w:space="0" w:color="auto"/>
        <w:right w:val="none" w:sz="0" w:space="0" w:color="auto"/>
      </w:divBdr>
    </w:div>
    <w:div w:id="982005359">
      <w:bodyDiv w:val="1"/>
      <w:marLeft w:val="0"/>
      <w:marRight w:val="0"/>
      <w:marTop w:val="0"/>
      <w:marBottom w:val="0"/>
      <w:divBdr>
        <w:top w:val="none" w:sz="0" w:space="0" w:color="auto"/>
        <w:left w:val="none" w:sz="0" w:space="0" w:color="auto"/>
        <w:bottom w:val="none" w:sz="0" w:space="0" w:color="auto"/>
        <w:right w:val="none" w:sz="0" w:space="0" w:color="auto"/>
      </w:divBdr>
    </w:div>
    <w:div w:id="992955265">
      <w:bodyDiv w:val="1"/>
      <w:marLeft w:val="0"/>
      <w:marRight w:val="0"/>
      <w:marTop w:val="0"/>
      <w:marBottom w:val="0"/>
      <w:divBdr>
        <w:top w:val="none" w:sz="0" w:space="0" w:color="auto"/>
        <w:left w:val="none" w:sz="0" w:space="0" w:color="auto"/>
        <w:bottom w:val="none" w:sz="0" w:space="0" w:color="auto"/>
        <w:right w:val="none" w:sz="0" w:space="0" w:color="auto"/>
      </w:divBdr>
    </w:div>
    <w:div w:id="993531264">
      <w:bodyDiv w:val="1"/>
      <w:marLeft w:val="0"/>
      <w:marRight w:val="0"/>
      <w:marTop w:val="0"/>
      <w:marBottom w:val="0"/>
      <w:divBdr>
        <w:top w:val="none" w:sz="0" w:space="0" w:color="auto"/>
        <w:left w:val="none" w:sz="0" w:space="0" w:color="auto"/>
        <w:bottom w:val="none" w:sz="0" w:space="0" w:color="auto"/>
        <w:right w:val="none" w:sz="0" w:space="0" w:color="auto"/>
      </w:divBdr>
    </w:div>
    <w:div w:id="1006251259">
      <w:bodyDiv w:val="1"/>
      <w:marLeft w:val="0"/>
      <w:marRight w:val="0"/>
      <w:marTop w:val="0"/>
      <w:marBottom w:val="0"/>
      <w:divBdr>
        <w:top w:val="none" w:sz="0" w:space="0" w:color="auto"/>
        <w:left w:val="none" w:sz="0" w:space="0" w:color="auto"/>
        <w:bottom w:val="none" w:sz="0" w:space="0" w:color="auto"/>
        <w:right w:val="none" w:sz="0" w:space="0" w:color="auto"/>
      </w:divBdr>
    </w:div>
    <w:div w:id="1016661322">
      <w:bodyDiv w:val="1"/>
      <w:marLeft w:val="0"/>
      <w:marRight w:val="0"/>
      <w:marTop w:val="0"/>
      <w:marBottom w:val="0"/>
      <w:divBdr>
        <w:top w:val="none" w:sz="0" w:space="0" w:color="auto"/>
        <w:left w:val="none" w:sz="0" w:space="0" w:color="auto"/>
        <w:bottom w:val="none" w:sz="0" w:space="0" w:color="auto"/>
        <w:right w:val="none" w:sz="0" w:space="0" w:color="auto"/>
      </w:divBdr>
    </w:div>
    <w:div w:id="1044788700">
      <w:bodyDiv w:val="1"/>
      <w:marLeft w:val="0"/>
      <w:marRight w:val="0"/>
      <w:marTop w:val="0"/>
      <w:marBottom w:val="0"/>
      <w:divBdr>
        <w:top w:val="none" w:sz="0" w:space="0" w:color="auto"/>
        <w:left w:val="none" w:sz="0" w:space="0" w:color="auto"/>
        <w:bottom w:val="none" w:sz="0" w:space="0" w:color="auto"/>
        <w:right w:val="none" w:sz="0" w:space="0" w:color="auto"/>
      </w:divBdr>
    </w:div>
    <w:div w:id="1062675586">
      <w:bodyDiv w:val="1"/>
      <w:marLeft w:val="0"/>
      <w:marRight w:val="0"/>
      <w:marTop w:val="0"/>
      <w:marBottom w:val="0"/>
      <w:divBdr>
        <w:top w:val="none" w:sz="0" w:space="0" w:color="auto"/>
        <w:left w:val="none" w:sz="0" w:space="0" w:color="auto"/>
        <w:bottom w:val="none" w:sz="0" w:space="0" w:color="auto"/>
        <w:right w:val="none" w:sz="0" w:space="0" w:color="auto"/>
      </w:divBdr>
    </w:div>
    <w:div w:id="1084567547">
      <w:bodyDiv w:val="1"/>
      <w:marLeft w:val="0"/>
      <w:marRight w:val="0"/>
      <w:marTop w:val="0"/>
      <w:marBottom w:val="0"/>
      <w:divBdr>
        <w:top w:val="none" w:sz="0" w:space="0" w:color="auto"/>
        <w:left w:val="none" w:sz="0" w:space="0" w:color="auto"/>
        <w:bottom w:val="none" w:sz="0" w:space="0" w:color="auto"/>
        <w:right w:val="none" w:sz="0" w:space="0" w:color="auto"/>
      </w:divBdr>
      <w:divsChild>
        <w:div w:id="395903985">
          <w:marLeft w:val="0"/>
          <w:marRight w:val="0"/>
          <w:marTop w:val="0"/>
          <w:marBottom w:val="0"/>
          <w:divBdr>
            <w:top w:val="none" w:sz="0" w:space="0" w:color="auto"/>
            <w:left w:val="none" w:sz="0" w:space="0" w:color="auto"/>
            <w:bottom w:val="none" w:sz="0" w:space="0" w:color="auto"/>
            <w:right w:val="none" w:sz="0" w:space="0" w:color="auto"/>
          </w:divBdr>
        </w:div>
      </w:divsChild>
    </w:div>
    <w:div w:id="1095440216">
      <w:bodyDiv w:val="1"/>
      <w:marLeft w:val="0"/>
      <w:marRight w:val="0"/>
      <w:marTop w:val="0"/>
      <w:marBottom w:val="0"/>
      <w:divBdr>
        <w:top w:val="none" w:sz="0" w:space="0" w:color="auto"/>
        <w:left w:val="none" w:sz="0" w:space="0" w:color="auto"/>
        <w:bottom w:val="none" w:sz="0" w:space="0" w:color="auto"/>
        <w:right w:val="none" w:sz="0" w:space="0" w:color="auto"/>
      </w:divBdr>
    </w:div>
    <w:div w:id="1100759149">
      <w:bodyDiv w:val="1"/>
      <w:marLeft w:val="0"/>
      <w:marRight w:val="0"/>
      <w:marTop w:val="0"/>
      <w:marBottom w:val="0"/>
      <w:divBdr>
        <w:top w:val="none" w:sz="0" w:space="0" w:color="auto"/>
        <w:left w:val="none" w:sz="0" w:space="0" w:color="auto"/>
        <w:bottom w:val="none" w:sz="0" w:space="0" w:color="auto"/>
        <w:right w:val="none" w:sz="0" w:space="0" w:color="auto"/>
      </w:divBdr>
    </w:div>
    <w:div w:id="1111826380">
      <w:bodyDiv w:val="1"/>
      <w:marLeft w:val="0"/>
      <w:marRight w:val="0"/>
      <w:marTop w:val="0"/>
      <w:marBottom w:val="0"/>
      <w:divBdr>
        <w:top w:val="none" w:sz="0" w:space="0" w:color="auto"/>
        <w:left w:val="none" w:sz="0" w:space="0" w:color="auto"/>
        <w:bottom w:val="none" w:sz="0" w:space="0" w:color="auto"/>
        <w:right w:val="none" w:sz="0" w:space="0" w:color="auto"/>
      </w:divBdr>
      <w:divsChild>
        <w:div w:id="369845006">
          <w:marLeft w:val="0"/>
          <w:marRight w:val="0"/>
          <w:marTop w:val="0"/>
          <w:marBottom w:val="0"/>
          <w:divBdr>
            <w:top w:val="none" w:sz="0" w:space="0" w:color="auto"/>
            <w:left w:val="none" w:sz="0" w:space="0" w:color="auto"/>
            <w:bottom w:val="none" w:sz="0" w:space="0" w:color="auto"/>
            <w:right w:val="none" w:sz="0" w:space="0" w:color="auto"/>
          </w:divBdr>
        </w:div>
      </w:divsChild>
    </w:div>
    <w:div w:id="1117023986">
      <w:bodyDiv w:val="1"/>
      <w:marLeft w:val="0"/>
      <w:marRight w:val="0"/>
      <w:marTop w:val="0"/>
      <w:marBottom w:val="0"/>
      <w:divBdr>
        <w:top w:val="none" w:sz="0" w:space="0" w:color="auto"/>
        <w:left w:val="none" w:sz="0" w:space="0" w:color="auto"/>
        <w:bottom w:val="none" w:sz="0" w:space="0" w:color="auto"/>
        <w:right w:val="none" w:sz="0" w:space="0" w:color="auto"/>
      </w:divBdr>
    </w:div>
    <w:div w:id="1118526983">
      <w:bodyDiv w:val="1"/>
      <w:marLeft w:val="0"/>
      <w:marRight w:val="0"/>
      <w:marTop w:val="0"/>
      <w:marBottom w:val="0"/>
      <w:divBdr>
        <w:top w:val="none" w:sz="0" w:space="0" w:color="auto"/>
        <w:left w:val="none" w:sz="0" w:space="0" w:color="auto"/>
        <w:bottom w:val="none" w:sz="0" w:space="0" w:color="auto"/>
        <w:right w:val="none" w:sz="0" w:space="0" w:color="auto"/>
      </w:divBdr>
    </w:div>
    <w:div w:id="1133907089">
      <w:bodyDiv w:val="1"/>
      <w:marLeft w:val="0"/>
      <w:marRight w:val="0"/>
      <w:marTop w:val="0"/>
      <w:marBottom w:val="0"/>
      <w:divBdr>
        <w:top w:val="none" w:sz="0" w:space="0" w:color="auto"/>
        <w:left w:val="none" w:sz="0" w:space="0" w:color="auto"/>
        <w:bottom w:val="none" w:sz="0" w:space="0" w:color="auto"/>
        <w:right w:val="none" w:sz="0" w:space="0" w:color="auto"/>
      </w:divBdr>
    </w:div>
    <w:div w:id="1140222321">
      <w:bodyDiv w:val="1"/>
      <w:marLeft w:val="0"/>
      <w:marRight w:val="0"/>
      <w:marTop w:val="0"/>
      <w:marBottom w:val="0"/>
      <w:divBdr>
        <w:top w:val="none" w:sz="0" w:space="0" w:color="auto"/>
        <w:left w:val="none" w:sz="0" w:space="0" w:color="auto"/>
        <w:bottom w:val="none" w:sz="0" w:space="0" w:color="auto"/>
        <w:right w:val="none" w:sz="0" w:space="0" w:color="auto"/>
      </w:divBdr>
    </w:div>
    <w:div w:id="1140879991">
      <w:bodyDiv w:val="1"/>
      <w:marLeft w:val="0"/>
      <w:marRight w:val="0"/>
      <w:marTop w:val="0"/>
      <w:marBottom w:val="0"/>
      <w:divBdr>
        <w:top w:val="none" w:sz="0" w:space="0" w:color="auto"/>
        <w:left w:val="none" w:sz="0" w:space="0" w:color="auto"/>
        <w:bottom w:val="none" w:sz="0" w:space="0" w:color="auto"/>
        <w:right w:val="none" w:sz="0" w:space="0" w:color="auto"/>
      </w:divBdr>
    </w:div>
    <w:div w:id="1143428929">
      <w:bodyDiv w:val="1"/>
      <w:marLeft w:val="0"/>
      <w:marRight w:val="0"/>
      <w:marTop w:val="0"/>
      <w:marBottom w:val="0"/>
      <w:divBdr>
        <w:top w:val="none" w:sz="0" w:space="0" w:color="auto"/>
        <w:left w:val="none" w:sz="0" w:space="0" w:color="auto"/>
        <w:bottom w:val="none" w:sz="0" w:space="0" w:color="auto"/>
        <w:right w:val="none" w:sz="0" w:space="0" w:color="auto"/>
      </w:divBdr>
      <w:divsChild>
        <w:div w:id="1379939966">
          <w:marLeft w:val="0"/>
          <w:marRight w:val="0"/>
          <w:marTop w:val="0"/>
          <w:marBottom w:val="0"/>
          <w:divBdr>
            <w:top w:val="none" w:sz="0" w:space="0" w:color="auto"/>
            <w:left w:val="none" w:sz="0" w:space="0" w:color="auto"/>
            <w:bottom w:val="none" w:sz="0" w:space="0" w:color="auto"/>
            <w:right w:val="none" w:sz="0" w:space="0" w:color="auto"/>
          </w:divBdr>
        </w:div>
        <w:div w:id="1393117421">
          <w:marLeft w:val="0"/>
          <w:marRight w:val="0"/>
          <w:marTop w:val="0"/>
          <w:marBottom w:val="0"/>
          <w:divBdr>
            <w:top w:val="none" w:sz="0" w:space="0" w:color="auto"/>
            <w:left w:val="none" w:sz="0" w:space="0" w:color="auto"/>
            <w:bottom w:val="none" w:sz="0" w:space="0" w:color="auto"/>
            <w:right w:val="none" w:sz="0" w:space="0" w:color="auto"/>
          </w:divBdr>
        </w:div>
      </w:divsChild>
    </w:div>
    <w:div w:id="1145271705">
      <w:bodyDiv w:val="1"/>
      <w:marLeft w:val="0"/>
      <w:marRight w:val="0"/>
      <w:marTop w:val="0"/>
      <w:marBottom w:val="0"/>
      <w:divBdr>
        <w:top w:val="none" w:sz="0" w:space="0" w:color="auto"/>
        <w:left w:val="none" w:sz="0" w:space="0" w:color="auto"/>
        <w:bottom w:val="none" w:sz="0" w:space="0" w:color="auto"/>
        <w:right w:val="none" w:sz="0" w:space="0" w:color="auto"/>
      </w:divBdr>
      <w:divsChild>
        <w:div w:id="1413433094">
          <w:marLeft w:val="0"/>
          <w:marRight w:val="0"/>
          <w:marTop w:val="0"/>
          <w:marBottom w:val="0"/>
          <w:divBdr>
            <w:top w:val="none" w:sz="0" w:space="0" w:color="auto"/>
            <w:left w:val="none" w:sz="0" w:space="0" w:color="auto"/>
            <w:bottom w:val="none" w:sz="0" w:space="0" w:color="auto"/>
            <w:right w:val="none" w:sz="0" w:space="0" w:color="auto"/>
          </w:divBdr>
        </w:div>
      </w:divsChild>
    </w:div>
    <w:div w:id="1147553949">
      <w:bodyDiv w:val="1"/>
      <w:marLeft w:val="0"/>
      <w:marRight w:val="0"/>
      <w:marTop w:val="0"/>
      <w:marBottom w:val="0"/>
      <w:divBdr>
        <w:top w:val="none" w:sz="0" w:space="0" w:color="auto"/>
        <w:left w:val="none" w:sz="0" w:space="0" w:color="auto"/>
        <w:bottom w:val="none" w:sz="0" w:space="0" w:color="auto"/>
        <w:right w:val="none" w:sz="0" w:space="0" w:color="auto"/>
      </w:divBdr>
    </w:div>
    <w:div w:id="1161002815">
      <w:bodyDiv w:val="1"/>
      <w:marLeft w:val="0"/>
      <w:marRight w:val="0"/>
      <w:marTop w:val="0"/>
      <w:marBottom w:val="0"/>
      <w:divBdr>
        <w:top w:val="none" w:sz="0" w:space="0" w:color="auto"/>
        <w:left w:val="none" w:sz="0" w:space="0" w:color="auto"/>
        <w:bottom w:val="none" w:sz="0" w:space="0" w:color="auto"/>
        <w:right w:val="none" w:sz="0" w:space="0" w:color="auto"/>
      </w:divBdr>
    </w:div>
    <w:div w:id="1187059755">
      <w:bodyDiv w:val="1"/>
      <w:marLeft w:val="0"/>
      <w:marRight w:val="0"/>
      <w:marTop w:val="0"/>
      <w:marBottom w:val="0"/>
      <w:divBdr>
        <w:top w:val="none" w:sz="0" w:space="0" w:color="auto"/>
        <w:left w:val="none" w:sz="0" w:space="0" w:color="auto"/>
        <w:bottom w:val="none" w:sz="0" w:space="0" w:color="auto"/>
        <w:right w:val="none" w:sz="0" w:space="0" w:color="auto"/>
      </w:divBdr>
    </w:div>
    <w:div w:id="1194688329">
      <w:bodyDiv w:val="1"/>
      <w:marLeft w:val="0"/>
      <w:marRight w:val="0"/>
      <w:marTop w:val="0"/>
      <w:marBottom w:val="0"/>
      <w:divBdr>
        <w:top w:val="none" w:sz="0" w:space="0" w:color="auto"/>
        <w:left w:val="none" w:sz="0" w:space="0" w:color="auto"/>
        <w:bottom w:val="none" w:sz="0" w:space="0" w:color="auto"/>
        <w:right w:val="none" w:sz="0" w:space="0" w:color="auto"/>
      </w:divBdr>
    </w:div>
    <w:div w:id="1202748485">
      <w:bodyDiv w:val="1"/>
      <w:marLeft w:val="0"/>
      <w:marRight w:val="0"/>
      <w:marTop w:val="0"/>
      <w:marBottom w:val="0"/>
      <w:divBdr>
        <w:top w:val="none" w:sz="0" w:space="0" w:color="auto"/>
        <w:left w:val="none" w:sz="0" w:space="0" w:color="auto"/>
        <w:bottom w:val="none" w:sz="0" w:space="0" w:color="auto"/>
        <w:right w:val="none" w:sz="0" w:space="0" w:color="auto"/>
      </w:divBdr>
    </w:div>
    <w:div w:id="1204369706">
      <w:bodyDiv w:val="1"/>
      <w:marLeft w:val="0"/>
      <w:marRight w:val="0"/>
      <w:marTop w:val="0"/>
      <w:marBottom w:val="0"/>
      <w:divBdr>
        <w:top w:val="none" w:sz="0" w:space="0" w:color="auto"/>
        <w:left w:val="none" w:sz="0" w:space="0" w:color="auto"/>
        <w:bottom w:val="none" w:sz="0" w:space="0" w:color="auto"/>
        <w:right w:val="none" w:sz="0" w:space="0" w:color="auto"/>
      </w:divBdr>
      <w:divsChild>
        <w:div w:id="1108238942">
          <w:marLeft w:val="0"/>
          <w:marRight w:val="0"/>
          <w:marTop w:val="0"/>
          <w:marBottom w:val="0"/>
          <w:divBdr>
            <w:top w:val="none" w:sz="0" w:space="0" w:color="auto"/>
            <w:left w:val="none" w:sz="0" w:space="0" w:color="auto"/>
            <w:bottom w:val="none" w:sz="0" w:space="0" w:color="auto"/>
            <w:right w:val="none" w:sz="0" w:space="0" w:color="auto"/>
          </w:divBdr>
        </w:div>
      </w:divsChild>
    </w:div>
    <w:div w:id="1206675337">
      <w:bodyDiv w:val="1"/>
      <w:marLeft w:val="0"/>
      <w:marRight w:val="0"/>
      <w:marTop w:val="0"/>
      <w:marBottom w:val="0"/>
      <w:divBdr>
        <w:top w:val="none" w:sz="0" w:space="0" w:color="auto"/>
        <w:left w:val="none" w:sz="0" w:space="0" w:color="auto"/>
        <w:bottom w:val="none" w:sz="0" w:space="0" w:color="auto"/>
        <w:right w:val="none" w:sz="0" w:space="0" w:color="auto"/>
      </w:divBdr>
    </w:div>
    <w:div w:id="1215585258">
      <w:bodyDiv w:val="1"/>
      <w:marLeft w:val="0"/>
      <w:marRight w:val="0"/>
      <w:marTop w:val="0"/>
      <w:marBottom w:val="0"/>
      <w:divBdr>
        <w:top w:val="none" w:sz="0" w:space="0" w:color="auto"/>
        <w:left w:val="none" w:sz="0" w:space="0" w:color="auto"/>
        <w:bottom w:val="none" w:sz="0" w:space="0" w:color="auto"/>
        <w:right w:val="none" w:sz="0" w:space="0" w:color="auto"/>
      </w:divBdr>
      <w:divsChild>
        <w:div w:id="511187518">
          <w:marLeft w:val="0"/>
          <w:marRight w:val="0"/>
          <w:marTop w:val="0"/>
          <w:marBottom w:val="0"/>
          <w:divBdr>
            <w:top w:val="none" w:sz="0" w:space="0" w:color="auto"/>
            <w:left w:val="none" w:sz="0" w:space="0" w:color="auto"/>
            <w:bottom w:val="none" w:sz="0" w:space="0" w:color="auto"/>
            <w:right w:val="none" w:sz="0" w:space="0" w:color="auto"/>
          </w:divBdr>
        </w:div>
      </w:divsChild>
    </w:div>
    <w:div w:id="1218781725">
      <w:bodyDiv w:val="1"/>
      <w:marLeft w:val="0"/>
      <w:marRight w:val="0"/>
      <w:marTop w:val="0"/>
      <w:marBottom w:val="0"/>
      <w:divBdr>
        <w:top w:val="none" w:sz="0" w:space="0" w:color="auto"/>
        <w:left w:val="none" w:sz="0" w:space="0" w:color="auto"/>
        <w:bottom w:val="none" w:sz="0" w:space="0" w:color="auto"/>
        <w:right w:val="none" w:sz="0" w:space="0" w:color="auto"/>
      </w:divBdr>
    </w:div>
    <w:div w:id="1241671191">
      <w:bodyDiv w:val="1"/>
      <w:marLeft w:val="0"/>
      <w:marRight w:val="0"/>
      <w:marTop w:val="0"/>
      <w:marBottom w:val="0"/>
      <w:divBdr>
        <w:top w:val="none" w:sz="0" w:space="0" w:color="auto"/>
        <w:left w:val="none" w:sz="0" w:space="0" w:color="auto"/>
        <w:bottom w:val="none" w:sz="0" w:space="0" w:color="auto"/>
        <w:right w:val="none" w:sz="0" w:space="0" w:color="auto"/>
      </w:divBdr>
    </w:div>
    <w:div w:id="1242134830">
      <w:bodyDiv w:val="1"/>
      <w:marLeft w:val="0"/>
      <w:marRight w:val="0"/>
      <w:marTop w:val="0"/>
      <w:marBottom w:val="0"/>
      <w:divBdr>
        <w:top w:val="none" w:sz="0" w:space="0" w:color="auto"/>
        <w:left w:val="none" w:sz="0" w:space="0" w:color="auto"/>
        <w:bottom w:val="none" w:sz="0" w:space="0" w:color="auto"/>
        <w:right w:val="none" w:sz="0" w:space="0" w:color="auto"/>
      </w:divBdr>
    </w:div>
    <w:div w:id="1270435452">
      <w:bodyDiv w:val="1"/>
      <w:marLeft w:val="0"/>
      <w:marRight w:val="0"/>
      <w:marTop w:val="0"/>
      <w:marBottom w:val="0"/>
      <w:divBdr>
        <w:top w:val="none" w:sz="0" w:space="0" w:color="auto"/>
        <w:left w:val="none" w:sz="0" w:space="0" w:color="auto"/>
        <w:bottom w:val="none" w:sz="0" w:space="0" w:color="auto"/>
        <w:right w:val="none" w:sz="0" w:space="0" w:color="auto"/>
      </w:divBdr>
    </w:div>
    <w:div w:id="1288509228">
      <w:bodyDiv w:val="1"/>
      <w:marLeft w:val="0"/>
      <w:marRight w:val="0"/>
      <w:marTop w:val="0"/>
      <w:marBottom w:val="0"/>
      <w:divBdr>
        <w:top w:val="none" w:sz="0" w:space="0" w:color="auto"/>
        <w:left w:val="none" w:sz="0" w:space="0" w:color="auto"/>
        <w:bottom w:val="none" w:sz="0" w:space="0" w:color="auto"/>
        <w:right w:val="none" w:sz="0" w:space="0" w:color="auto"/>
      </w:divBdr>
      <w:divsChild>
        <w:div w:id="1444113407">
          <w:marLeft w:val="0"/>
          <w:marRight w:val="0"/>
          <w:marTop w:val="0"/>
          <w:marBottom w:val="0"/>
          <w:divBdr>
            <w:top w:val="none" w:sz="0" w:space="0" w:color="auto"/>
            <w:left w:val="none" w:sz="0" w:space="0" w:color="auto"/>
            <w:bottom w:val="none" w:sz="0" w:space="0" w:color="auto"/>
            <w:right w:val="none" w:sz="0" w:space="0" w:color="auto"/>
          </w:divBdr>
        </w:div>
      </w:divsChild>
    </w:div>
    <w:div w:id="1291284667">
      <w:bodyDiv w:val="1"/>
      <w:marLeft w:val="0"/>
      <w:marRight w:val="0"/>
      <w:marTop w:val="0"/>
      <w:marBottom w:val="0"/>
      <w:divBdr>
        <w:top w:val="none" w:sz="0" w:space="0" w:color="auto"/>
        <w:left w:val="none" w:sz="0" w:space="0" w:color="auto"/>
        <w:bottom w:val="none" w:sz="0" w:space="0" w:color="auto"/>
        <w:right w:val="none" w:sz="0" w:space="0" w:color="auto"/>
      </w:divBdr>
    </w:div>
    <w:div w:id="1303190203">
      <w:bodyDiv w:val="1"/>
      <w:marLeft w:val="0"/>
      <w:marRight w:val="0"/>
      <w:marTop w:val="0"/>
      <w:marBottom w:val="0"/>
      <w:divBdr>
        <w:top w:val="none" w:sz="0" w:space="0" w:color="auto"/>
        <w:left w:val="none" w:sz="0" w:space="0" w:color="auto"/>
        <w:bottom w:val="none" w:sz="0" w:space="0" w:color="auto"/>
        <w:right w:val="none" w:sz="0" w:space="0" w:color="auto"/>
      </w:divBdr>
      <w:divsChild>
        <w:div w:id="2109496138">
          <w:marLeft w:val="0"/>
          <w:marRight w:val="0"/>
          <w:marTop w:val="0"/>
          <w:marBottom w:val="0"/>
          <w:divBdr>
            <w:top w:val="none" w:sz="0" w:space="0" w:color="auto"/>
            <w:left w:val="none" w:sz="0" w:space="0" w:color="auto"/>
            <w:bottom w:val="none" w:sz="0" w:space="0" w:color="auto"/>
            <w:right w:val="none" w:sz="0" w:space="0" w:color="auto"/>
          </w:divBdr>
        </w:div>
      </w:divsChild>
    </w:div>
    <w:div w:id="1306543237">
      <w:bodyDiv w:val="1"/>
      <w:marLeft w:val="0"/>
      <w:marRight w:val="0"/>
      <w:marTop w:val="0"/>
      <w:marBottom w:val="0"/>
      <w:divBdr>
        <w:top w:val="none" w:sz="0" w:space="0" w:color="auto"/>
        <w:left w:val="none" w:sz="0" w:space="0" w:color="auto"/>
        <w:bottom w:val="none" w:sz="0" w:space="0" w:color="auto"/>
        <w:right w:val="none" w:sz="0" w:space="0" w:color="auto"/>
      </w:divBdr>
    </w:div>
    <w:div w:id="1314067334">
      <w:bodyDiv w:val="1"/>
      <w:marLeft w:val="0"/>
      <w:marRight w:val="0"/>
      <w:marTop w:val="0"/>
      <w:marBottom w:val="0"/>
      <w:divBdr>
        <w:top w:val="none" w:sz="0" w:space="0" w:color="auto"/>
        <w:left w:val="none" w:sz="0" w:space="0" w:color="auto"/>
        <w:bottom w:val="none" w:sz="0" w:space="0" w:color="auto"/>
        <w:right w:val="none" w:sz="0" w:space="0" w:color="auto"/>
      </w:divBdr>
    </w:div>
    <w:div w:id="1317688136">
      <w:bodyDiv w:val="1"/>
      <w:marLeft w:val="0"/>
      <w:marRight w:val="0"/>
      <w:marTop w:val="0"/>
      <w:marBottom w:val="0"/>
      <w:divBdr>
        <w:top w:val="none" w:sz="0" w:space="0" w:color="auto"/>
        <w:left w:val="none" w:sz="0" w:space="0" w:color="auto"/>
        <w:bottom w:val="none" w:sz="0" w:space="0" w:color="auto"/>
        <w:right w:val="none" w:sz="0" w:space="0" w:color="auto"/>
      </w:divBdr>
    </w:div>
    <w:div w:id="1319067845">
      <w:bodyDiv w:val="1"/>
      <w:marLeft w:val="0"/>
      <w:marRight w:val="0"/>
      <w:marTop w:val="0"/>
      <w:marBottom w:val="0"/>
      <w:divBdr>
        <w:top w:val="none" w:sz="0" w:space="0" w:color="auto"/>
        <w:left w:val="none" w:sz="0" w:space="0" w:color="auto"/>
        <w:bottom w:val="none" w:sz="0" w:space="0" w:color="auto"/>
        <w:right w:val="none" w:sz="0" w:space="0" w:color="auto"/>
      </w:divBdr>
    </w:div>
    <w:div w:id="1329017688">
      <w:bodyDiv w:val="1"/>
      <w:marLeft w:val="0"/>
      <w:marRight w:val="0"/>
      <w:marTop w:val="0"/>
      <w:marBottom w:val="0"/>
      <w:divBdr>
        <w:top w:val="none" w:sz="0" w:space="0" w:color="auto"/>
        <w:left w:val="none" w:sz="0" w:space="0" w:color="auto"/>
        <w:bottom w:val="none" w:sz="0" w:space="0" w:color="auto"/>
        <w:right w:val="none" w:sz="0" w:space="0" w:color="auto"/>
      </w:divBdr>
      <w:divsChild>
        <w:div w:id="1106728845">
          <w:marLeft w:val="0"/>
          <w:marRight w:val="0"/>
          <w:marTop w:val="0"/>
          <w:marBottom w:val="0"/>
          <w:divBdr>
            <w:top w:val="none" w:sz="0" w:space="0" w:color="auto"/>
            <w:left w:val="none" w:sz="0" w:space="0" w:color="auto"/>
            <w:bottom w:val="none" w:sz="0" w:space="0" w:color="auto"/>
            <w:right w:val="none" w:sz="0" w:space="0" w:color="auto"/>
          </w:divBdr>
        </w:div>
        <w:div w:id="2039818381">
          <w:marLeft w:val="0"/>
          <w:marRight w:val="0"/>
          <w:marTop w:val="0"/>
          <w:marBottom w:val="0"/>
          <w:divBdr>
            <w:top w:val="none" w:sz="0" w:space="0" w:color="auto"/>
            <w:left w:val="none" w:sz="0" w:space="0" w:color="auto"/>
            <w:bottom w:val="none" w:sz="0" w:space="0" w:color="auto"/>
            <w:right w:val="none" w:sz="0" w:space="0" w:color="auto"/>
          </w:divBdr>
        </w:div>
      </w:divsChild>
    </w:div>
    <w:div w:id="1345480193">
      <w:bodyDiv w:val="1"/>
      <w:marLeft w:val="0"/>
      <w:marRight w:val="0"/>
      <w:marTop w:val="0"/>
      <w:marBottom w:val="0"/>
      <w:divBdr>
        <w:top w:val="none" w:sz="0" w:space="0" w:color="auto"/>
        <w:left w:val="none" w:sz="0" w:space="0" w:color="auto"/>
        <w:bottom w:val="none" w:sz="0" w:space="0" w:color="auto"/>
        <w:right w:val="none" w:sz="0" w:space="0" w:color="auto"/>
      </w:divBdr>
    </w:div>
    <w:div w:id="1345862233">
      <w:bodyDiv w:val="1"/>
      <w:marLeft w:val="0"/>
      <w:marRight w:val="0"/>
      <w:marTop w:val="0"/>
      <w:marBottom w:val="0"/>
      <w:divBdr>
        <w:top w:val="none" w:sz="0" w:space="0" w:color="auto"/>
        <w:left w:val="none" w:sz="0" w:space="0" w:color="auto"/>
        <w:bottom w:val="none" w:sz="0" w:space="0" w:color="auto"/>
        <w:right w:val="none" w:sz="0" w:space="0" w:color="auto"/>
      </w:divBdr>
    </w:div>
    <w:div w:id="1350178023">
      <w:bodyDiv w:val="1"/>
      <w:marLeft w:val="0"/>
      <w:marRight w:val="0"/>
      <w:marTop w:val="0"/>
      <w:marBottom w:val="0"/>
      <w:divBdr>
        <w:top w:val="none" w:sz="0" w:space="0" w:color="auto"/>
        <w:left w:val="none" w:sz="0" w:space="0" w:color="auto"/>
        <w:bottom w:val="none" w:sz="0" w:space="0" w:color="auto"/>
        <w:right w:val="none" w:sz="0" w:space="0" w:color="auto"/>
      </w:divBdr>
    </w:div>
    <w:div w:id="1353609104">
      <w:bodyDiv w:val="1"/>
      <w:marLeft w:val="0"/>
      <w:marRight w:val="0"/>
      <w:marTop w:val="0"/>
      <w:marBottom w:val="0"/>
      <w:divBdr>
        <w:top w:val="none" w:sz="0" w:space="0" w:color="auto"/>
        <w:left w:val="none" w:sz="0" w:space="0" w:color="auto"/>
        <w:bottom w:val="none" w:sz="0" w:space="0" w:color="auto"/>
        <w:right w:val="none" w:sz="0" w:space="0" w:color="auto"/>
      </w:divBdr>
    </w:div>
    <w:div w:id="1362778122">
      <w:bodyDiv w:val="1"/>
      <w:marLeft w:val="0"/>
      <w:marRight w:val="0"/>
      <w:marTop w:val="0"/>
      <w:marBottom w:val="0"/>
      <w:divBdr>
        <w:top w:val="none" w:sz="0" w:space="0" w:color="auto"/>
        <w:left w:val="none" w:sz="0" w:space="0" w:color="auto"/>
        <w:bottom w:val="none" w:sz="0" w:space="0" w:color="auto"/>
        <w:right w:val="none" w:sz="0" w:space="0" w:color="auto"/>
      </w:divBdr>
    </w:div>
    <w:div w:id="1404063093">
      <w:bodyDiv w:val="1"/>
      <w:marLeft w:val="0"/>
      <w:marRight w:val="0"/>
      <w:marTop w:val="0"/>
      <w:marBottom w:val="0"/>
      <w:divBdr>
        <w:top w:val="none" w:sz="0" w:space="0" w:color="auto"/>
        <w:left w:val="none" w:sz="0" w:space="0" w:color="auto"/>
        <w:bottom w:val="none" w:sz="0" w:space="0" w:color="auto"/>
        <w:right w:val="none" w:sz="0" w:space="0" w:color="auto"/>
      </w:divBdr>
    </w:div>
    <w:div w:id="1408767606">
      <w:bodyDiv w:val="1"/>
      <w:marLeft w:val="0"/>
      <w:marRight w:val="0"/>
      <w:marTop w:val="0"/>
      <w:marBottom w:val="0"/>
      <w:divBdr>
        <w:top w:val="none" w:sz="0" w:space="0" w:color="auto"/>
        <w:left w:val="none" w:sz="0" w:space="0" w:color="auto"/>
        <w:bottom w:val="none" w:sz="0" w:space="0" w:color="auto"/>
        <w:right w:val="none" w:sz="0" w:space="0" w:color="auto"/>
      </w:divBdr>
    </w:div>
    <w:div w:id="1412003045">
      <w:bodyDiv w:val="1"/>
      <w:marLeft w:val="0"/>
      <w:marRight w:val="0"/>
      <w:marTop w:val="0"/>
      <w:marBottom w:val="0"/>
      <w:divBdr>
        <w:top w:val="none" w:sz="0" w:space="0" w:color="auto"/>
        <w:left w:val="none" w:sz="0" w:space="0" w:color="auto"/>
        <w:bottom w:val="none" w:sz="0" w:space="0" w:color="auto"/>
        <w:right w:val="none" w:sz="0" w:space="0" w:color="auto"/>
      </w:divBdr>
    </w:div>
    <w:div w:id="1412658986">
      <w:bodyDiv w:val="1"/>
      <w:marLeft w:val="0"/>
      <w:marRight w:val="0"/>
      <w:marTop w:val="0"/>
      <w:marBottom w:val="0"/>
      <w:divBdr>
        <w:top w:val="none" w:sz="0" w:space="0" w:color="auto"/>
        <w:left w:val="none" w:sz="0" w:space="0" w:color="auto"/>
        <w:bottom w:val="none" w:sz="0" w:space="0" w:color="auto"/>
        <w:right w:val="none" w:sz="0" w:space="0" w:color="auto"/>
      </w:divBdr>
    </w:div>
    <w:div w:id="1413161487">
      <w:bodyDiv w:val="1"/>
      <w:marLeft w:val="0"/>
      <w:marRight w:val="0"/>
      <w:marTop w:val="0"/>
      <w:marBottom w:val="0"/>
      <w:divBdr>
        <w:top w:val="none" w:sz="0" w:space="0" w:color="auto"/>
        <w:left w:val="none" w:sz="0" w:space="0" w:color="auto"/>
        <w:bottom w:val="none" w:sz="0" w:space="0" w:color="auto"/>
        <w:right w:val="none" w:sz="0" w:space="0" w:color="auto"/>
      </w:divBdr>
      <w:divsChild>
        <w:div w:id="239799749">
          <w:marLeft w:val="0"/>
          <w:marRight w:val="0"/>
          <w:marTop w:val="0"/>
          <w:marBottom w:val="0"/>
          <w:divBdr>
            <w:top w:val="none" w:sz="0" w:space="0" w:color="auto"/>
            <w:left w:val="none" w:sz="0" w:space="0" w:color="auto"/>
            <w:bottom w:val="none" w:sz="0" w:space="0" w:color="auto"/>
            <w:right w:val="none" w:sz="0" w:space="0" w:color="auto"/>
          </w:divBdr>
        </w:div>
      </w:divsChild>
    </w:div>
    <w:div w:id="1415937206">
      <w:bodyDiv w:val="1"/>
      <w:marLeft w:val="0"/>
      <w:marRight w:val="0"/>
      <w:marTop w:val="0"/>
      <w:marBottom w:val="0"/>
      <w:divBdr>
        <w:top w:val="none" w:sz="0" w:space="0" w:color="auto"/>
        <w:left w:val="none" w:sz="0" w:space="0" w:color="auto"/>
        <w:bottom w:val="none" w:sz="0" w:space="0" w:color="auto"/>
        <w:right w:val="none" w:sz="0" w:space="0" w:color="auto"/>
      </w:divBdr>
      <w:divsChild>
        <w:div w:id="351415898">
          <w:marLeft w:val="0"/>
          <w:marRight w:val="0"/>
          <w:marTop w:val="0"/>
          <w:marBottom w:val="0"/>
          <w:divBdr>
            <w:top w:val="none" w:sz="0" w:space="0" w:color="auto"/>
            <w:left w:val="none" w:sz="0" w:space="0" w:color="auto"/>
            <w:bottom w:val="none" w:sz="0" w:space="0" w:color="auto"/>
            <w:right w:val="none" w:sz="0" w:space="0" w:color="auto"/>
          </w:divBdr>
        </w:div>
      </w:divsChild>
    </w:div>
    <w:div w:id="1417096892">
      <w:bodyDiv w:val="1"/>
      <w:marLeft w:val="0"/>
      <w:marRight w:val="0"/>
      <w:marTop w:val="0"/>
      <w:marBottom w:val="0"/>
      <w:divBdr>
        <w:top w:val="none" w:sz="0" w:space="0" w:color="auto"/>
        <w:left w:val="none" w:sz="0" w:space="0" w:color="auto"/>
        <w:bottom w:val="none" w:sz="0" w:space="0" w:color="auto"/>
        <w:right w:val="none" w:sz="0" w:space="0" w:color="auto"/>
      </w:divBdr>
    </w:div>
    <w:div w:id="1421488161">
      <w:bodyDiv w:val="1"/>
      <w:marLeft w:val="0"/>
      <w:marRight w:val="0"/>
      <w:marTop w:val="0"/>
      <w:marBottom w:val="0"/>
      <w:divBdr>
        <w:top w:val="none" w:sz="0" w:space="0" w:color="auto"/>
        <w:left w:val="none" w:sz="0" w:space="0" w:color="auto"/>
        <w:bottom w:val="none" w:sz="0" w:space="0" w:color="auto"/>
        <w:right w:val="none" w:sz="0" w:space="0" w:color="auto"/>
      </w:divBdr>
      <w:divsChild>
        <w:div w:id="131095707">
          <w:marLeft w:val="0"/>
          <w:marRight w:val="0"/>
          <w:marTop w:val="0"/>
          <w:marBottom w:val="0"/>
          <w:divBdr>
            <w:top w:val="none" w:sz="0" w:space="0" w:color="auto"/>
            <w:left w:val="none" w:sz="0" w:space="0" w:color="auto"/>
            <w:bottom w:val="none" w:sz="0" w:space="0" w:color="auto"/>
            <w:right w:val="none" w:sz="0" w:space="0" w:color="auto"/>
          </w:divBdr>
        </w:div>
      </w:divsChild>
    </w:div>
    <w:div w:id="1429041483">
      <w:bodyDiv w:val="1"/>
      <w:marLeft w:val="0"/>
      <w:marRight w:val="0"/>
      <w:marTop w:val="0"/>
      <w:marBottom w:val="0"/>
      <w:divBdr>
        <w:top w:val="none" w:sz="0" w:space="0" w:color="auto"/>
        <w:left w:val="none" w:sz="0" w:space="0" w:color="auto"/>
        <w:bottom w:val="none" w:sz="0" w:space="0" w:color="auto"/>
        <w:right w:val="none" w:sz="0" w:space="0" w:color="auto"/>
      </w:divBdr>
    </w:div>
    <w:div w:id="1436905350">
      <w:bodyDiv w:val="1"/>
      <w:marLeft w:val="0"/>
      <w:marRight w:val="0"/>
      <w:marTop w:val="0"/>
      <w:marBottom w:val="0"/>
      <w:divBdr>
        <w:top w:val="none" w:sz="0" w:space="0" w:color="auto"/>
        <w:left w:val="none" w:sz="0" w:space="0" w:color="auto"/>
        <w:bottom w:val="none" w:sz="0" w:space="0" w:color="auto"/>
        <w:right w:val="none" w:sz="0" w:space="0" w:color="auto"/>
      </w:divBdr>
    </w:div>
    <w:div w:id="1438598790">
      <w:bodyDiv w:val="1"/>
      <w:marLeft w:val="0"/>
      <w:marRight w:val="0"/>
      <w:marTop w:val="0"/>
      <w:marBottom w:val="0"/>
      <w:divBdr>
        <w:top w:val="none" w:sz="0" w:space="0" w:color="auto"/>
        <w:left w:val="none" w:sz="0" w:space="0" w:color="auto"/>
        <w:bottom w:val="none" w:sz="0" w:space="0" w:color="auto"/>
        <w:right w:val="none" w:sz="0" w:space="0" w:color="auto"/>
      </w:divBdr>
    </w:div>
    <w:div w:id="1447651809">
      <w:bodyDiv w:val="1"/>
      <w:marLeft w:val="0"/>
      <w:marRight w:val="0"/>
      <w:marTop w:val="0"/>
      <w:marBottom w:val="0"/>
      <w:divBdr>
        <w:top w:val="none" w:sz="0" w:space="0" w:color="auto"/>
        <w:left w:val="none" w:sz="0" w:space="0" w:color="auto"/>
        <w:bottom w:val="none" w:sz="0" w:space="0" w:color="auto"/>
        <w:right w:val="none" w:sz="0" w:space="0" w:color="auto"/>
      </w:divBdr>
    </w:div>
    <w:div w:id="1464426666">
      <w:bodyDiv w:val="1"/>
      <w:marLeft w:val="0"/>
      <w:marRight w:val="0"/>
      <w:marTop w:val="0"/>
      <w:marBottom w:val="0"/>
      <w:divBdr>
        <w:top w:val="none" w:sz="0" w:space="0" w:color="auto"/>
        <w:left w:val="none" w:sz="0" w:space="0" w:color="auto"/>
        <w:bottom w:val="none" w:sz="0" w:space="0" w:color="auto"/>
        <w:right w:val="none" w:sz="0" w:space="0" w:color="auto"/>
      </w:divBdr>
    </w:div>
    <w:div w:id="1465392587">
      <w:bodyDiv w:val="1"/>
      <w:marLeft w:val="0"/>
      <w:marRight w:val="0"/>
      <w:marTop w:val="0"/>
      <w:marBottom w:val="0"/>
      <w:divBdr>
        <w:top w:val="none" w:sz="0" w:space="0" w:color="auto"/>
        <w:left w:val="none" w:sz="0" w:space="0" w:color="auto"/>
        <w:bottom w:val="none" w:sz="0" w:space="0" w:color="auto"/>
        <w:right w:val="none" w:sz="0" w:space="0" w:color="auto"/>
      </w:divBdr>
    </w:div>
    <w:div w:id="1467821281">
      <w:bodyDiv w:val="1"/>
      <w:marLeft w:val="0"/>
      <w:marRight w:val="0"/>
      <w:marTop w:val="0"/>
      <w:marBottom w:val="0"/>
      <w:divBdr>
        <w:top w:val="none" w:sz="0" w:space="0" w:color="auto"/>
        <w:left w:val="none" w:sz="0" w:space="0" w:color="auto"/>
        <w:bottom w:val="none" w:sz="0" w:space="0" w:color="auto"/>
        <w:right w:val="none" w:sz="0" w:space="0" w:color="auto"/>
      </w:divBdr>
    </w:div>
    <w:div w:id="1480731536">
      <w:bodyDiv w:val="1"/>
      <w:marLeft w:val="0"/>
      <w:marRight w:val="0"/>
      <w:marTop w:val="0"/>
      <w:marBottom w:val="0"/>
      <w:divBdr>
        <w:top w:val="none" w:sz="0" w:space="0" w:color="auto"/>
        <w:left w:val="none" w:sz="0" w:space="0" w:color="auto"/>
        <w:bottom w:val="none" w:sz="0" w:space="0" w:color="auto"/>
        <w:right w:val="none" w:sz="0" w:space="0" w:color="auto"/>
      </w:divBdr>
    </w:div>
    <w:div w:id="1495341793">
      <w:bodyDiv w:val="1"/>
      <w:marLeft w:val="0"/>
      <w:marRight w:val="0"/>
      <w:marTop w:val="0"/>
      <w:marBottom w:val="0"/>
      <w:divBdr>
        <w:top w:val="none" w:sz="0" w:space="0" w:color="auto"/>
        <w:left w:val="none" w:sz="0" w:space="0" w:color="auto"/>
        <w:bottom w:val="none" w:sz="0" w:space="0" w:color="auto"/>
        <w:right w:val="none" w:sz="0" w:space="0" w:color="auto"/>
      </w:divBdr>
    </w:div>
    <w:div w:id="1507745873">
      <w:bodyDiv w:val="1"/>
      <w:marLeft w:val="0"/>
      <w:marRight w:val="0"/>
      <w:marTop w:val="0"/>
      <w:marBottom w:val="0"/>
      <w:divBdr>
        <w:top w:val="none" w:sz="0" w:space="0" w:color="auto"/>
        <w:left w:val="none" w:sz="0" w:space="0" w:color="auto"/>
        <w:bottom w:val="none" w:sz="0" w:space="0" w:color="auto"/>
        <w:right w:val="none" w:sz="0" w:space="0" w:color="auto"/>
      </w:divBdr>
    </w:div>
    <w:div w:id="1509906064">
      <w:bodyDiv w:val="1"/>
      <w:marLeft w:val="0"/>
      <w:marRight w:val="0"/>
      <w:marTop w:val="0"/>
      <w:marBottom w:val="0"/>
      <w:divBdr>
        <w:top w:val="none" w:sz="0" w:space="0" w:color="auto"/>
        <w:left w:val="none" w:sz="0" w:space="0" w:color="auto"/>
        <w:bottom w:val="none" w:sz="0" w:space="0" w:color="auto"/>
        <w:right w:val="none" w:sz="0" w:space="0" w:color="auto"/>
      </w:divBdr>
    </w:div>
    <w:div w:id="1517159890">
      <w:bodyDiv w:val="1"/>
      <w:marLeft w:val="0"/>
      <w:marRight w:val="0"/>
      <w:marTop w:val="0"/>
      <w:marBottom w:val="0"/>
      <w:divBdr>
        <w:top w:val="none" w:sz="0" w:space="0" w:color="auto"/>
        <w:left w:val="none" w:sz="0" w:space="0" w:color="auto"/>
        <w:bottom w:val="none" w:sz="0" w:space="0" w:color="auto"/>
        <w:right w:val="none" w:sz="0" w:space="0" w:color="auto"/>
      </w:divBdr>
    </w:div>
    <w:div w:id="1525093348">
      <w:bodyDiv w:val="1"/>
      <w:marLeft w:val="0"/>
      <w:marRight w:val="0"/>
      <w:marTop w:val="0"/>
      <w:marBottom w:val="0"/>
      <w:divBdr>
        <w:top w:val="none" w:sz="0" w:space="0" w:color="auto"/>
        <w:left w:val="none" w:sz="0" w:space="0" w:color="auto"/>
        <w:bottom w:val="none" w:sz="0" w:space="0" w:color="auto"/>
        <w:right w:val="none" w:sz="0" w:space="0" w:color="auto"/>
      </w:divBdr>
    </w:div>
    <w:div w:id="1545750518">
      <w:bodyDiv w:val="1"/>
      <w:marLeft w:val="0"/>
      <w:marRight w:val="0"/>
      <w:marTop w:val="0"/>
      <w:marBottom w:val="0"/>
      <w:divBdr>
        <w:top w:val="none" w:sz="0" w:space="0" w:color="auto"/>
        <w:left w:val="none" w:sz="0" w:space="0" w:color="auto"/>
        <w:bottom w:val="none" w:sz="0" w:space="0" w:color="auto"/>
        <w:right w:val="none" w:sz="0" w:space="0" w:color="auto"/>
      </w:divBdr>
      <w:divsChild>
        <w:div w:id="897739740">
          <w:marLeft w:val="0"/>
          <w:marRight w:val="0"/>
          <w:marTop w:val="0"/>
          <w:marBottom w:val="0"/>
          <w:divBdr>
            <w:top w:val="none" w:sz="0" w:space="0" w:color="auto"/>
            <w:left w:val="none" w:sz="0" w:space="0" w:color="auto"/>
            <w:bottom w:val="none" w:sz="0" w:space="0" w:color="auto"/>
            <w:right w:val="none" w:sz="0" w:space="0" w:color="auto"/>
          </w:divBdr>
          <w:divsChild>
            <w:div w:id="1789615952">
              <w:marLeft w:val="0"/>
              <w:marRight w:val="0"/>
              <w:marTop w:val="0"/>
              <w:marBottom w:val="0"/>
              <w:divBdr>
                <w:top w:val="none" w:sz="0" w:space="0" w:color="auto"/>
                <w:left w:val="none" w:sz="0" w:space="0" w:color="auto"/>
                <w:bottom w:val="none" w:sz="0" w:space="0" w:color="auto"/>
                <w:right w:val="none" w:sz="0" w:space="0" w:color="auto"/>
              </w:divBdr>
            </w:div>
            <w:div w:id="868837757">
              <w:marLeft w:val="0"/>
              <w:marRight w:val="0"/>
              <w:marTop w:val="0"/>
              <w:marBottom w:val="0"/>
              <w:divBdr>
                <w:top w:val="none" w:sz="0" w:space="0" w:color="auto"/>
                <w:left w:val="none" w:sz="0" w:space="0" w:color="auto"/>
                <w:bottom w:val="none" w:sz="0" w:space="0" w:color="auto"/>
                <w:right w:val="none" w:sz="0" w:space="0" w:color="auto"/>
              </w:divBdr>
            </w:div>
            <w:div w:id="34892998">
              <w:marLeft w:val="0"/>
              <w:marRight w:val="0"/>
              <w:marTop w:val="0"/>
              <w:marBottom w:val="0"/>
              <w:divBdr>
                <w:top w:val="none" w:sz="0" w:space="0" w:color="auto"/>
                <w:left w:val="none" w:sz="0" w:space="0" w:color="auto"/>
                <w:bottom w:val="none" w:sz="0" w:space="0" w:color="auto"/>
                <w:right w:val="none" w:sz="0" w:space="0" w:color="auto"/>
              </w:divBdr>
            </w:div>
            <w:div w:id="272633386">
              <w:marLeft w:val="0"/>
              <w:marRight w:val="0"/>
              <w:marTop w:val="0"/>
              <w:marBottom w:val="0"/>
              <w:divBdr>
                <w:top w:val="none" w:sz="0" w:space="0" w:color="auto"/>
                <w:left w:val="none" w:sz="0" w:space="0" w:color="auto"/>
                <w:bottom w:val="none" w:sz="0" w:space="0" w:color="auto"/>
                <w:right w:val="none" w:sz="0" w:space="0" w:color="auto"/>
              </w:divBdr>
            </w:div>
            <w:div w:id="1659647382">
              <w:marLeft w:val="0"/>
              <w:marRight w:val="0"/>
              <w:marTop w:val="0"/>
              <w:marBottom w:val="0"/>
              <w:divBdr>
                <w:top w:val="none" w:sz="0" w:space="0" w:color="auto"/>
                <w:left w:val="none" w:sz="0" w:space="0" w:color="auto"/>
                <w:bottom w:val="none" w:sz="0" w:space="0" w:color="auto"/>
                <w:right w:val="none" w:sz="0" w:space="0" w:color="auto"/>
              </w:divBdr>
            </w:div>
            <w:div w:id="1397633122">
              <w:marLeft w:val="0"/>
              <w:marRight w:val="0"/>
              <w:marTop w:val="0"/>
              <w:marBottom w:val="0"/>
              <w:divBdr>
                <w:top w:val="none" w:sz="0" w:space="0" w:color="auto"/>
                <w:left w:val="none" w:sz="0" w:space="0" w:color="auto"/>
                <w:bottom w:val="none" w:sz="0" w:space="0" w:color="auto"/>
                <w:right w:val="none" w:sz="0" w:space="0" w:color="auto"/>
              </w:divBdr>
            </w:div>
            <w:div w:id="1015378537">
              <w:marLeft w:val="0"/>
              <w:marRight w:val="0"/>
              <w:marTop w:val="0"/>
              <w:marBottom w:val="0"/>
              <w:divBdr>
                <w:top w:val="none" w:sz="0" w:space="0" w:color="auto"/>
                <w:left w:val="none" w:sz="0" w:space="0" w:color="auto"/>
                <w:bottom w:val="none" w:sz="0" w:space="0" w:color="auto"/>
                <w:right w:val="none" w:sz="0" w:space="0" w:color="auto"/>
              </w:divBdr>
            </w:div>
            <w:div w:id="1354651986">
              <w:marLeft w:val="0"/>
              <w:marRight w:val="0"/>
              <w:marTop w:val="0"/>
              <w:marBottom w:val="0"/>
              <w:divBdr>
                <w:top w:val="none" w:sz="0" w:space="0" w:color="auto"/>
                <w:left w:val="none" w:sz="0" w:space="0" w:color="auto"/>
                <w:bottom w:val="none" w:sz="0" w:space="0" w:color="auto"/>
                <w:right w:val="none" w:sz="0" w:space="0" w:color="auto"/>
              </w:divBdr>
            </w:div>
            <w:div w:id="1376352043">
              <w:marLeft w:val="0"/>
              <w:marRight w:val="0"/>
              <w:marTop w:val="0"/>
              <w:marBottom w:val="0"/>
              <w:divBdr>
                <w:top w:val="none" w:sz="0" w:space="0" w:color="auto"/>
                <w:left w:val="none" w:sz="0" w:space="0" w:color="auto"/>
                <w:bottom w:val="none" w:sz="0" w:space="0" w:color="auto"/>
                <w:right w:val="none" w:sz="0" w:space="0" w:color="auto"/>
              </w:divBdr>
            </w:div>
            <w:div w:id="1759210653">
              <w:marLeft w:val="0"/>
              <w:marRight w:val="0"/>
              <w:marTop w:val="0"/>
              <w:marBottom w:val="0"/>
              <w:divBdr>
                <w:top w:val="none" w:sz="0" w:space="0" w:color="auto"/>
                <w:left w:val="none" w:sz="0" w:space="0" w:color="auto"/>
                <w:bottom w:val="none" w:sz="0" w:space="0" w:color="auto"/>
                <w:right w:val="none" w:sz="0" w:space="0" w:color="auto"/>
              </w:divBdr>
            </w:div>
            <w:div w:id="700253051">
              <w:marLeft w:val="0"/>
              <w:marRight w:val="0"/>
              <w:marTop w:val="0"/>
              <w:marBottom w:val="0"/>
              <w:divBdr>
                <w:top w:val="none" w:sz="0" w:space="0" w:color="auto"/>
                <w:left w:val="none" w:sz="0" w:space="0" w:color="auto"/>
                <w:bottom w:val="none" w:sz="0" w:space="0" w:color="auto"/>
                <w:right w:val="none" w:sz="0" w:space="0" w:color="auto"/>
              </w:divBdr>
            </w:div>
            <w:div w:id="256643611">
              <w:marLeft w:val="0"/>
              <w:marRight w:val="0"/>
              <w:marTop w:val="0"/>
              <w:marBottom w:val="0"/>
              <w:divBdr>
                <w:top w:val="none" w:sz="0" w:space="0" w:color="auto"/>
                <w:left w:val="none" w:sz="0" w:space="0" w:color="auto"/>
                <w:bottom w:val="none" w:sz="0" w:space="0" w:color="auto"/>
                <w:right w:val="none" w:sz="0" w:space="0" w:color="auto"/>
              </w:divBdr>
            </w:div>
          </w:divsChild>
        </w:div>
        <w:div w:id="1185900122">
          <w:marLeft w:val="0"/>
          <w:marRight w:val="0"/>
          <w:marTop w:val="0"/>
          <w:marBottom w:val="0"/>
          <w:divBdr>
            <w:top w:val="none" w:sz="0" w:space="0" w:color="auto"/>
            <w:left w:val="none" w:sz="0" w:space="0" w:color="auto"/>
            <w:bottom w:val="none" w:sz="0" w:space="0" w:color="auto"/>
            <w:right w:val="none" w:sz="0" w:space="0" w:color="auto"/>
          </w:divBdr>
        </w:div>
        <w:div w:id="1913856650">
          <w:marLeft w:val="0"/>
          <w:marRight w:val="0"/>
          <w:marTop w:val="0"/>
          <w:marBottom w:val="0"/>
          <w:divBdr>
            <w:top w:val="none" w:sz="0" w:space="0" w:color="auto"/>
            <w:left w:val="none" w:sz="0" w:space="0" w:color="auto"/>
            <w:bottom w:val="none" w:sz="0" w:space="0" w:color="auto"/>
            <w:right w:val="none" w:sz="0" w:space="0" w:color="auto"/>
          </w:divBdr>
        </w:div>
        <w:div w:id="1373992271">
          <w:marLeft w:val="0"/>
          <w:marRight w:val="0"/>
          <w:marTop w:val="0"/>
          <w:marBottom w:val="0"/>
          <w:divBdr>
            <w:top w:val="none" w:sz="0" w:space="0" w:color="auto"/>
            <w:left w:val="none" w:sz="0" w:space="0" w:color="auto"/>
            <w:bottom w:val="none" w:sz="0" w:space="0" w:color="auto"/>
            <w:right w:val="none" w:sz="0" w:space="0" w:color="auto"/>
          </w:divBdr>
        </w:div>
        <w:div w:id="54932655">
          <w:marLeft w:val="0"/>
          <w:marRight w:val="0"/>
          <w:marTop w:val="0"/>
          <w:marBottom w:val="0"/>
          <w:divBdr>
            <w:top w:val="none" w:sz="0" w:space="0" w:color="auto"/>
            <w:left w:val="none" w:sz="0" w:space="0" w:color="auto"/>
            <w:bottom w:val="none" w:sz="0" w:space="0" w:color="auto"/>
            <w:right w:val="none" w:sz="0" w:space="0" w:color="auto"/>
          </w:divBdr>
        </w:div>
        <w:div w:id="1798452203">
          <w:marLeft w:val="0"/>
          <w:marRight w:val="0"/>
          <w:marTop w:val="0"/>
          <w:marBottom w:val="0"/>
          <w:divBdr>
            <w:top w:val="none" w:sz="0" w:space="0" w:color="auto"/>
            <w:left w:val="none" w:sz="0" w:space="0" w:color="auto"/>
            <w:bottom w:val="none" w:sz="0" w:space="0" w:color="auto"/>
            <w:right w:val="none" w:sz="0" w:space="0" w:color="auto"/>
          </w:divBdr>
        </w:div>
        <w:div w:id="324094033">
          <w:marLeft w:val="0"/>
          <w:marRight w:val="0"/>
          <w:marTop w:val="0"/>
          <w:marBottom w:val="0"/>
          <w:divBdr>
            <w:top w:val="none" w:sz="0" w:space="0" w:color="auto"/>
            <w:left w:val="none" w:sz="0" w:space="0" w:color="auto"/>
            <w:bottom w:val="none" w:sz="0" w:space="0" w:color="auto"/>
            <w:right w:val="none" w:sz="0" w:space="0" w:color="auto"/>
          </w:divBdr>
        </w:div>
        <w:div w:id="999424847">
          <w:marLeft w:val="0"/>
          <w:marRight w:val="0"/>
          <w:marTop w:val="0"/>
          <w:marBottom w:val="0"/>
          <w:divBdr>
            <w:top w:val="none" w:sz="0" w:space="0" w:color="auto"/>
            <w:left w:val="none" w:sz="0" w:space="0" w:color="auto"/>
            <w:bottom w:val="none" w:sz="0" w:space="0" w:color="auto"/>
            <w:right w:val="none" w:sz="0" w:space="0" w:color="auto"/>
          </w:divBdr>
        </w:div>
        <w:div w:id="58938792">
          <w:marLeft w:val="0"/>
          <w:marRight w:val="0"/>
          <w:marTop w:val="0"/>
          <w:marBottom w:val="0"/>
          <w:divBdr>
            <w:top w:val="none" w:sz="0" w:space="0" w:color="auto"/>
            <w:left w:val="none" w:sz="0" w:space="0" w:color="auto"/>
            <w:bottom w:val="none" w:sz="0" w:space="0" w:color="auto"/>
            <w:right w:val="none" w:sz="0" w:space="0" w:color="auto"/>
          </w:divBdr>
        </w:div>
        <w:div w:id="1971591890">
          <w:marLeft w:val="0"/>
          <w:marRight w:val="0"/>
          <w:marTop w:val="0"/>
          <w:marBottom w:val="0"/>
          <w:divBdr>
            <w:top w:val="none" w:sz="0" w:space="0" w:color="auto"/>
            <w:left w:val="none" w:sz="0" w:space="0" w:color="auto"/>
            <w:bottom w:val="none" w:sz="0" w:space="0" w:color="auto"/>
            <w:right w:val="none" w:sz="0" w:space="0" w:color="auto"/>
          </w:divBdr>
        </w:div>
        <w:div w:id="755705954">
          <w:marLeft w:val="0"/>
          <w:marRight w:val="0"/>
          <w:marTop w:val="0"/>
          <w:marBottom w:val="0"/>
          <w:divBdr>
            <w:top w:val="none" w:sz="0" w:space="0" w:color="auto"/>
            <w:left w:val="none" w:sz="0" w:space="0" w:color="auto"/>
            <w:bottom w:val="none" w:sz="0" w:space="0" w:color="auto"/>
            <w:right w:val="none" w:sz="0" w:space="0" w:color="auto"/>
          </w:divBdr>
        </w:div>
        <w:div w:id="1416971101">
          <w:marLeft w:val="0"/>
          <w:marRight w:val="0"/>
          <w:marTop w:val="0"/>
          <w:marBottom w:val="0"/>
          <w:divBdr>
            <w:top w:val="none" w:sz="0" w:space="0" w:color="auto"/>
            <w:left w:val="none" w:sz="0" w:space="0" w:color="auto"/>
            <w:bottom w:val="none" w:sz="0" w:space="0" w:color="auto"/>
            <w:right w:val="none" w:sz="0" w:space="0" w:color="auto"/>
          </w:divBdr>
        </w:div>
      </w:divsChild>
    </w:div>
    <w:div w:id="1553691541">
      <w:bodyDiv w:val="1"/>
      <w:marLeft w:val="0"/>
      <w:marRight w:val="0"/>
      <w:marTop w:val="0"/>
      <w:marBottom w:val="0"/>
      <w:divBdr>
        <w:top w:val="none" w:sz="0" w:space="0" w:color="auto"/>
        <w:left w:val="none" w:sz="0" w:space="0" w:color="auto"/>
        <w:bottom w:val="none" w:sz="0" w:space="0" w:color="auto"/>
        <w:right w:val="none" w:sz="0" w:space="0" w:color="auto"/>
      </w:divBdr>
      <w:divsChild>
        <w:div w:id="1504469557">
          <w:marLeft w:val="0"/>
          <w:marRight w:val="0"/>
          <w:marTop w:val="0"/>
          <w:marBottom w:val="0"/>
          <w:divBdr>
            <w:top w:val="none" w:sz="0" w:space="0" w:color="auto"/>
            <w:left w:val="none" w:sz="0" w:space="0" w:color="auto"/>
            <w:bottom w:val="none" w:sz="0" w:space="0" w:color="auto"/>
            <w:right w:val="none" w:sz="0" w:space="0" w:color="auto"/>
          </w:divBdr>
        </w:div>
        <w:div w:id="674066632">
          <w:marLeft w:val="0"/>
          <w:marRight w:val="0"/>
          <w:marTop w:val="0"/>
          <w:marBottom w:val="0"/>
          <w:divBdr>
            <w:top w:val="none" w:sz="0" w:space="0" w:color="auto"/>
            <w:left w:val="none" w:sz="0" w:space="0" w:color="auto"/>
            <w:bottom w:val="none" w:sz="0" w:space="0" w:color="auto"/>
            <w:right w:val="none" w:sz="0" w:space="0" w:color="auto"/>
          </w:divBdr>
        </w:div>
        <w:div w:id="1325089639">
          <w:marLeft w:val="0"/>
          <w:marRight w:val="0"/>
          <w:marTop w:val="0"/>
          <w:marBottom w:val="0"/>
          <w:divBdr>
            <w:top w:val="none" w:sz="0" w:space="0" w:color="auto"/>
            <w:left w:val="none" w:sz="0" w:space="0" w:color="auto"/>
            <w:bottom w:val="none" w:sz="0" w:space="0" w:color="auto"/>
            <w:right w:val="none" w:sz="0" w:space="0" w:color="auto"/>
          </w:divBdr>
        </w:div>
      </w:divsChild>
    </w:div>
    <w:div w:id="1556309237">
      <w:bodyDiv w:val="1"/>
      <w:marLeft w:val="0"/>
      <w:marRight w:val="0"/>
      <w:marTop w:val="0"/>
      <w:marBottom w:val="0"/>
      <w:divBdr>
        <w:top w:val="none" w:sz="0" w:space="0" w:color="auto"/>
        <w:left w:val="none" w:sz="0" w:space="0" w:color="auto"/>
        <w:bottom w:val="none" w:sz="0" w:space="0" w:color="auto"/>
        <w:right w:val="none" w:sz="0" w:space="0" w:color="auto"/>
      </w:divBdr>
    </w:div>
    <w:div w:id="1572350277">
      <w:bodyDiv w:val="1"/>
      <w:marLeft w:val="0"/>
      <w:marRight w:val="0"/>
      <w:marTop w:val="0"/>
      <w:marBottom w:val="0"/>
      <w:divBdr>
        <w:top w:val="none" w:sz="0" w:space="0" w:color="auto"/>
        <w:left w:val="none" w:sz="0" w:space="0" w:color="auto"/>
        <w:bottom w:val="none" w:sz="0" w:space="0" w:color="auto"/>
        <w:right w:val="none" w:sz="0" w:space="0" w:color="auto"/>
      </w:divBdr>
    </w:div>
    <w:div w:id="1602058560">
      <w:bodyDiv w:val="1"/>
      <w:marLeft w:val="0"/>
      <w:marRight w:val="0"/>
      <w:marTop w:val="0"/>
      <w:marBottom w:val="0"/>
      <w:divBdr>
        <w:top w:val="none" w:sz="0" w:space="0" w:color="auto"/>
        <w:left w:val="none" w:sz="0" w:space="0" w:color="auto"/>
        <w:bottom w:val="none" w:sz="0" w:space="0" w:color="auto"/>
        <w:right w:val="none" w:sz="0" w:space="0" w:color="auto"/>
      </w:divBdr>
    </w:div>
    <w:div w:id="1604335210">
      <w:bodyDiv w:val="1"/>
      <w:marLeft w:val="0"/>
      <w:marRight w:val="0"/>
      <w:marTop w:val="0"/>
      <w:marBottom w:val="0"/>
      <w:divBdr>
        <w:top w:val="none" w:sz="0" w:space="0" w:color="auto"/>
        <w:left w:val="none" w:sz="0" w:space="0" w:color="auto"/>
        <w:bottom w:val="none" w:sz="0" w:space="0" w:color="auto"/>
        <w:right w:val="none" w:sz="0" w:space="0" w:color="auto"/>
      </w:divBdr>
    </w:div>
    <w:div w:id="1619413588">
      <w:bodyDiv w:val="1"/>
      <w:marLeft w:val="0"/>
      <w:marRight w:val="0"/>
      <w:marTop w:val="0"/>
      <w:marBottom w:val="0"/>
      <w:divBdr>
        <w:top w:val="none" w:sz="0" w:space="0" w:color="auto"/>
        <w:left w:val="none" w:sz="0" w:space="0" w:color="auto"/>
        <w:bottom w:val="none" w:sz="0" w:space="0" w:color="auto"/>
        <w:right w:val="none" w:sz="0" w:space="0" w:color="auto"/>
      </w:divBdr>
    </w:div>
    <w:div w:id="1640182488">
      <w:bodyDiv w:val="1"/>
      <w:marLeft w:val="0"/>
      <w:marRight w:val="0"/>
      <w:marTop w:val="0"/>
      <w:marBottom w:val="0"/>
      <w:divBdr>
        <w:top w:val="none" w:sz="0" w:space="0" w:color="auto"/>
        <w:left w:val="none" w:sz="0" w:space="0" w:color="auto"/>
        <w:bottom w:val="none" w:sz="0" w:space="0" w:color="auto"/>
        <w:right w:val="none" w:sz="0" w:space="0" w:color="auto"/>
      </w:divBdr>
    </w:div>
    <w:div w:id="1641306092">
      <w:bodyDiv w:val="1"/>
      <w:marLeft w:val="0"/>
      <w:marRight w:val="0"/>
      <w:marTop w:val="0"/>
      <w:marBottom w:val="0"/>
      <w:divBdr>
        <w:top w:val="none" w:sz="0" w:space="0" w:color="auto"/>
        <w:left w:val="none" w:sz="0" w:space="0" w:color="auto"/>
        <w:bottom w:val="none" w:sz="0" w:space="0" w:color="auto"/>
        <w:right w:val="none" w:sz="0" w:space="0" w:color="auto"/>
      </w:divBdr>
      <w:divsChild>
        <w:div w:id="1753509481">
          <w:marLeft w:val="0"/>
          <w:marRight w:val="0"/>
          <w:marTop w:val="0"/>
          <w:marBottom w:val="0"/>
          <w:divBdr>
            <w:top w:val="none" w:sz="0" w:space="0" w:color="auto"/>
            <w:left w:val="none" w:sz="0" w:space="0" w:color="auto"/>
            <w:bottom w:val="none" w:sz="0" w:space="0" w:color="auto"/>
            <w:right w:val="none" w:sz="0" w:space="0" w:color="auto"/>
          </w:divBdr>
        </w:div>
      </w:divsChild>
    </w:div>
    <w:div w:id="1642881502">
      <w:bodyDiv w:val="1"/>
      <w:marLeft w:val="0"/>
      <w:marRight w:val="0"/>
      <w:marTop w:val="0"/>
      <w:marBottom w:val="0"/>
      <w:divBdr>
        <w:top w:val="none" w:sz="0" w:space="0" w:color="auto"/>
        <w:left w:val="none" w:sz="0" w:space="0" w:color="auto"/>
        <w:bottom w:val="none" w:sz="0" w:space="0" w:color="auto"/>
        <w:right w:val="none" w:sz="0" w:space="0" w:color="auto"/>
      </w:divBdr>
    </w:div>
    <w:div w:id="1648700782">
      <w:bodyDiv w:val="1"/>
      <w:marLeft w:val="0"/>
      <w:marRight w:val="0"/>
      <w:marTop w:val="0"/>
      <w:marBottom w:val="0"/>
      <w:divBdr>
        <w:top w:val="none" w:sz="0" w:space="0" w:color="auto"/>
        <w:left w:val="none" w:sz="0" w:space="0" w:color="auto"/>
        <w:bottom w:val="none" w:sz="0" w:space="0" w:color="auto"/>
        <w:right w:val="none" w:sz="0" w:space="0" w:color="auto"/>
      </w:divBdr>
      <w:divsChild>
        <w:div w:id="295722113">
          <w:marLeft w:val="0"/>
          <w:marRight w:val="0"/>
          <w:marTop w:val="0"/>
          <w:marBottom w:val="0"/>
          <w:divBdr>
            <w:top w:val="none" w:sz="0" w:space="0" w:color="auto"/>
            <w:left w:val="none" w:sz="0" w:space="0" w:color="auto"/>
            <w:bottom w:val="none" w:sz="0" w:space="0" w:color="auto"/>
            <w:right w:val="none" w:sz="0" w:space="0" w:color="auto"/>
          </w:divBdr>
        </w:div>
      </w:divsChild>
    </w:div>
    <w:div w:id="1655260305">
      <w:bodyDiv w:val="1"/>
      <w:marLeft w:val="0"/>
      <w:marRight w:val="0"/>
      <w:marTop w:val="0"/>
      <w:marBottom w:val="0"/>
      <w:divBdr>
        <w:top w:val="none" w:sz="0" w:space="0" w:color="auto"/>
        <w:left w:val="none" w:sz="0" w:space="0" w:color="auto"/>
        <w:bottom w:val="none" w:sz="0" w:space="0" w:color="auto"/>
        <w:right w:val="none" w:sz="0" w:space="0" w:color="auto"/>
      </w:divBdr>
    </w:div>
    <w:div w:id="1657491284">
      <w:bodyDiv w:val="1"/>
      <w:marLeft w:val="0"/>
      <w:marRight w:val="0"/>
      <w:marTop w:val="0"/>
      <w:marBottom w:val="0"/>
      <w:divBdr>
        <w:top w:val="none" w:sz="0" w:space="0" w:color="auto"/>
        <w:left w:val="none" w:sz="0" w:space="0" w:color="auto"/>
        <w:bottom w:val="none" w:sz="0" w:space="0" w:color="auto"/>
        <w:right w:val="none" w:sz="0" w:space="0" w:color="auto"/>
      </w:divBdr>
    </w:div>
    <w:div w:id="1687557172">
      <w:bodyDiv w:val="1"/>
      <w:marLeft w:val="0"/>
      <w:marRight w:val="0"/>
      <w:marTop w:val="0"/>
      <w:marBottom w:val="0"/>
      <w:divBdr>
        <w:top w:val="none" w:sz="0" w:space="0" w:color="auto"/>
        <w:left w:val="none" w:sz="0" w:space="0" w:color="auto"/>
        <w:bottom w:val="none" w:sz="0" w:space="0" w:color="auto"/>
        <w:right w:val="none" w:sz="0" w:space="0" w:color="auto"/>
      </w:divBdr>
    </w:div>
    <w:div w:id="1698117709">
      <w:bodyDiv w:val="1"/>
      <w:marLeft w:val="0"/>
      <w:marRight w:val="0"/>
      <w:marTop w:val="0"/>
      <w:marBottom w:val="0"/>
      <w:divBdr>
        <w:top w:val="none" w:sz="0" w:space="0" w:color="auto"/>
        <w:left w:val="none" w:sz="0" w:space="0" w:color="auto"/>
        <w:bottom w:val="none" w:sz="0" w:space="0" w:color="auto"/>
        <w:right w:val="none" w:sz="0" w:space="0" w:color="auto"/>
      </w:divBdr>
    </w:div>
    <w:div w:id="1703242801">
      <w:bodyDiv w:val="1"/>
      <w:marLeft w:val="0"/>
      <w:marRight w:val="0"/>
      <w:marTop w:val="0"/>
      <w:marBottom w:val="0"/>
      <w:divBdr>
        <w:top w:val="none" w:sz="0" w:space="0" w:color="auto"/>
        <w:left w:val="none" w:sz="0" w:space="0" w:color="auto"/>
        <w:bottom w:val="none" w:sz="0" w:space="0" w:color="auto"/>
        <w:right w:val="none" w:sz="0" w:space="0" w:color="auto"/>
      </w:divBdr>
    </w:div>
    <w:div w:id="1735002361">
      <w:bodyDiv w:val="1"/>
      <w:marLeft w:val="0"/>
      <w:marRight w:val="0"/>
      <w:marTop w:val="0"/>
      <w:marBottom w:val="0"/>
      <w:divBdr>
        <w:top w:val="none" w:sz="0" w:space="0" w:color="auto"/>
        <w:left w:val="none" w:sz="0" w:space="0" w:color="auto"/>
        <w:bottom w:val="none" w:sz="0" w:space="0" w:color="auto"/>
        <w:right w:val="none" w:sz="0" w:space="0" w:color="auto"/>
      </w:divBdr>
    </w:div>
    <w:div w:id="1739815359">
      <w:bodyDiv w:val="1"/>
      <w:marLeft w:val="0"/>
      <w:marRight w:val="0"/>
      <w:marTop w:val="0"/>
      <w:marBottom w:val="0"/>
      <w:divBdr>
        <w:top w:val="none" w:sz="0" w:space="0" w:color="auto"/>
        <w:left w:val="none" w:sz="0" w:space="0" w:color="auto"/>
        <w:bottom w:val="none" w:sz="0" w:space="0" w:color="auto"/>
        <w:right w:val="none" w:sz="0" w:space="0" w:color="auto"/>
      </w:divBdr>
    </w:div>
    <w:div w:id="1757826530">
      <w:bodyDiv w:val="1"/>
      <w:marLeft w:val="0"/>
      <w:marRight w:val="0"/>
      <w:marTop w:val="0"/>
      <w:marBottom w:val="0"/>
      <w:divBdr>
        <w:top w:val="none" w:sz="0" w:space="0" w:color="auto"/>
        <w:left w:val="none" w:sz="0" w:space="0" w:color="auto"/>
        <w:bottom w:val="none" w:sz="0" w:space="0" w:color="auto"/>
        <w:right w:val="none" w:sz="0" w:space="0" w:color="auto"/>
      </w:divBdr>
    </w:div>
    <w:div w:id="1760712327">
      <w:bodyDiv w:val="1"/>
      <w:marLeft w:val="0"/>
      <w:marRight w:val="0"/>
      <w:marTop w:val="0"/>
      <w:marBottom w:val="0"/>
      <w:divBdr>
        <w:top w:val="none" w:sz="0" w:space="0" w:color="auto"/>
        <w:left w:val="none" w:sz="0" w:space="0" w:color="auto"/>
        <w:bottom w:val="none" w:sz="0" w:space="0" w:color="auto"/>
        <w:right w:val="none" w:sz="0" w:space="0" w:color="auto"/>
      </w:divBdr>
    </w:div>
    <w:div w:id="1766879942">
      <w:bodyDiv w:val="1"/>
      <w:marLeft w:val="0"/>
      <w:marRight w:val="0"/>
      <w:marTop w:val="0"/>
      <w:marBottom w:val="0"/>
      <w:divBdr>
        <w:top w:val="none" w:sz="0" w:space="0" w:color="auto"/>
        <w:left w:val="none" w:sz="0" w:space="0" w:color="auto"/>
        <w:bottom w:val="none" w:sz="0" w:space="0" w:color="auto"/>
        <w:right w:val="none" w:sz="0" w:space="0" w:color="auto"/>
      </w:divBdr>
    </w:div>
    <w:div w:id="1767262482">
      <w:bodyDiv w:val="1"/>
      <w:marLeft w:val="0"/>
      <w:marRight w:val="0"/>
      <w:marTop w:val="0"/>
      <w:marBottom w:val="0"/>
      <w:divBdr>
        <w:top w:val="none" w:sz="0" w:space="0" w:color="auto"/>
        <w:left w:val="none" w:sz="0" w:space="0" w:color="auto"/>
        <w:bottom w:val="none" w:sz="0" w:space="0" w:color="auto"/>
        <w:right w:val="none" w:sz="0" w:space="0" w:color="auto"/>
      </w:divBdr>
      <w:divsChild>
        <w:div w:id="607389149">
          <w:marLeft w:val="0"/>
          <w:marRight w:val="0"/>
          <w:marTop w:val="0"/>
          <w:marBottom w:val="0"/>
          <w:divBdr>
            <w:top w:val="none" w:sz="0" w:space="0" w:color="auto"/>
            <w:left w:val="none" w:sz="0" w:space="0" w:color="auto"/>
            <w:bottom w:val="none" w:sz="0" w:space="0" w:color="auto"/>
            <w:right w:val="none" w:sz="0" w:space="0" w:color="auto"/>
          </w:divBdr>
        </w:div>
      </w:divsChild>
    </w:div>
    <w:div w:id="1777212049">
      <w:bodyDiv w:val="1"/>
      <w:marLeft w:val="0"/>
      <w:marRight w:val="0"/>
      <w:marTop w:val="0"/>
      <w:marBottom w:val="0"/>
      <w:divBdr>
        <w:top w:val="none" w:sz="0" w:space="0" w:color="auto"/>
        <w:left w:val="none" w:sz="0" w:space="0" w:color="auto"/>
        <w:bottom w:val="none" w:sz="0" w:space="0" w:color="auto"/>
        <w:right w:val="none" w:sz="0" w:space="0" w:color="auto"/>
      </w:divBdr>
    </w:div>
    <w:div w:id="1778520623">
      <w:bodyDiv w:val="1"/>
      <w:marLeft w:val="0"/>
      <w:marRight w:val="0"/>
      <w:marTop w:val="0"/>
      <w:marBottom w:val="0"/>
      <w:divBdr>
        <w:top w:val="none" w:sz="0" w:space="0" w:color="auto"/>
        <w:left w:val="none" w:sz="0" w:space="0" w:color="auto"/>
        <w:bottom w:val="none" w:sz="0" w:space="0" w:color="auto"/>
        <w:right w:val="none" w:sz="0" w:space="0" w:color="auto"/>
      </w:divBdr>
    </w:div>
    <w:div w:id="1812282802">
      <w:bodyDiv w:val="1"/>
      <w:marLeft w:val="0"/>
      <w:marRight w:val="0"/>
      <w:marTop w:val="0"/>
      <w:marBottom w:val="0"/>
      <w:divBdr>
        <w:top w:val="none" w:sz="0" w:space="0" w:color="auto"/>
        <w:left w:val="none" w:sz="0" w:space="0" w:color="auto"/>
        <w:bottom w:val="none" w:sz="0" w:space="0" w:color="auto"/>
        <w:right w:val="none" w:sz="0" w:space="0" w:color="auto"/>
      </w:divBdr>
    </w:div>
    <w:div w:id="1817604334">
      <w:bodyDiv w:val="1"/>
      <w:marLeft w:val="0"/>
      <w:marRight w:val="0"/>
      <w:marTop w:val="0"/>
      <w:marBottom w:val="0"/>
      <w:divBdr>
        <w:top w:val="none" w:sz="0" w:space="0" w:color="auto"/>
        <w:left w:val="none" w:sz="0" w:space="0" w:color="auto"/>
        <w:bottom w:val="none" w:sz="0" w:space="0" w:color="auto"/>
        <w:right w:val="none" w:sz="0" w:space="0" w:color="auto"/>
      </w:divBdr>
    </w:div>
    <w:div w:id="1825198655">
      <w:bodyDiv w:val="1"/>
      <w:marLeft w:val="0"/>
      <w:marRight w:val="0"/>
      <w:marTop w:val="0"/>
      <w:marBottom w:val="0"/>
      <w:divBdr>
        <w:top w:val="none" w:sz="0" w:space="0" w:color="auto"/>
        <w:left w:val="none" w:sz="0" w:space="0" w:color="auto"/>
        <w:bottom w:val="none" w:sz="0" w:space="0" w:color="auto"/>
        <w:right w:val="none" w:sz="0" w:space="0" w:color="auto"/>
      </w:divBdr>
    </w:div>
    <w:div w:id="1825507785">
      <w:bodyDiv w:val="1"/>
      <w:marLeft w:val="0"/>
      <w:marRight w:val="0"/>
      <w:marTop w:val="0"/>
      <w:marBottom w:val="0"/>
      <w:divBdr>
        <w:top w:val="none" w:sz="0" w:space="0" w:color="auto"/>
        <w:left w:val="none" w:sz="0" w:space="0" w:color="auto"/>
        <w:bottom w:val="none" w:sz="0" w:space="0" w:color="auto"/>
        <w:right w:val="none" w:sz="0" w:space="0" w:color="auto"/>
      </w:divBdr>
    </w:div>
    <w:div w:id="1832520206">
      <w:bodyDiv w:val="1"/>
      <w:marLeft w:val="0"/>
      <w:marRight w:val="0"/>
      <w:marTop w:val="0"/>
      <w:marBottom w:val="0"/>
      <w:divBdr>
        <w:top w:val="none" w:sz="0" w:space="0" w:color="auto"/>
        <w:left w:val="none" w:sz="0" w:space="0" w:color="auto"/>
        <w:bottom w:val="none" w:sz="0" w:space="0" w:color="auto"/>
        <w:right w:val="none" w:sz="0" w:space="0" w:color="auto"/>
      </w:divBdr>
    </w:div>
    <w:div w:id="1837921704">
      <w:bodyDiv w:val="1"/>
      <w:marLeft w:val="0"/>
      <w:marRight w:val="0"/>
      <w:marTop w:val="0"/>
      <w:marBottom w:val="0"/>
      <w:divBdr>
        <w:top w:val="none" w:sz="0" w:space="0" w:color="auto"/>
        <w:left w:val="none" w:sz="0" w:space="0" w:color="auto"/>
        <w:bottom w:val="none" w:sz="0" w:space="0" w:color="auto"/>
        <w:right w:val="none" w:sz="0" w:space="0" w:color="auto"/>
      </w:divBdr>
    </w:div>
    <w:div w:id="1841193463">
      <w:bodyDiv w:val="1"/>
      <w:marLeft w:val="0"/>
      <w:marRight w:val="0"/>
      <w:marTop w:val="0"/>
      <w:marBottom w:val="0"/>
      <w:divBdr>
        <w:top w:val="none" w:sz="0" w:space="0" w:color="auto"/>
        <w:left w:val="none" w:sz="0" w:space="0" w:color="auto"/>
        <w:bottom w:val="none" w:sz="0" w:space="0" w:color="auto"/>
        <w:right w:val="none" w:sz="0" w:space="0" w:color="auto"/>
      </w:divBdr>
    </w:div>
    <w:div w:id="1842042979">
      <w:bodyDiv w:val="1"/>
      <w:marLeft w:val="0"/>
      <w:marRight w:val="0"/>
      <w:marTop w:val="0"/>
      <w:marBottom w:val="0"/>
      <w:divBdr>
        <w:top w:val="none" w:sz="0" w:space="0" w:color="auto"/>
        <w:left w:val="none" w:sz="0" w:space="0" w:color="auto"/>
        <w:bottom w:val="none" w:sz="0" w:space="0" w:color="auto"/>
        <w:right w:val="none" w:sz="0" w:space="0" w:color="auto"/>
      </w:divBdr>
    </w:div>
    <w:div w:id="1851486084">
      <w:bodyDiv w:val="1"/>
      <w:marLeft w:val="0"/>
      <w:marRight w:val="0"/>
      <w:marTop w:val="0"/>
      <w:marBottom w:val="0"/>
      <w:divBdr>
        <w:top w:val="none" w:sz="0" w:space="0" w:color="auto"/>
        <w:left w:val="none" w:sz="0" w:space="0" w:color="auto"/>
        <w:bottom w:val="none" w:sz="0" w:space="0" w:color="auto"/>
        <w:right w:val="none" w:sz="0" w:space="0" w:color="auto"/>
      </w:divBdr>
    </w:div>
    <w:div w:id="1858230227">
      <w:bodyDiv w:val="1"/>
      <w:marLeft w:val="0"/>
      <w:marRight w:val="0"/>
      <w:marTop w:val="0"/>
      <w:marBottom w:val="0"/>
      <w:divBdr>
        <w:top w:val="none" w:sz="0" w:space="0" w:color="auto"/>
        <w:left w:val="none" w:sz="0" w:space="0" w:color="auto"/>
        <w:bottom w:val="none" w:sz="0" w:space="0" w:color="auto"/>
        <w:right w:val="none" w:sz="0" w:space="0" w:color="auto"/>
      </w:divBdr>
    </w:div>
    <w:div w:id="1868981347">
      <w:bodyDiv w:val="1"/>
      <w:marLeft w:val="0"/>
      <w:marRight w:val="0"/>
      <w:marTop w:val="0"/>
      <w:marBottom w:val="0"/>
      <w:divBdr>
        <w:top w:val="none" w:sz="0" w:space="0" w:color="auto"/>
        <w:left w:val="none" w:sz="0" w:space="0" w:color="auto"/>
        <w:bottom w:val="none" w:sz="0" w:space="0" w:color="auto"/>
        <w:right w:val="none" w:sz="0" w:space="0" w:color="auto"/>
      </w:divBdr>
    </w:div>
    <w:div w:id="1881821959">
      <w:bodyDiv w:val="1"/>
      <w:marLeft w:val="0"/>
      <w:marRight w:val="0"/>
      <w:marTop w:val="0"/>
      <w:marBottom w:val="0"/>
      <w:divBdr>
        <w:top w:val="none" w:sz="0" w:space="0" w:color="auto"/>
        <w:left w:val="none" w:sz="0" w:space="0" w:color="auto"/>
        <w:bottom w:val="none" w:sz="0" w:space="0" w:color="auto"/>
        <w:right w:val="none" w:sz="0" w:space="0" w:color="auto"/>
      </w:divBdr>
    </w:div>
    <w:div w:id="1900827316">
      <w:bodyDiv w:val="1"/>
      <w:marLeft w:val="0"/>
      <w:marRight w:val="0"/>
      <w:marTop w:val="0"/>
      <w:marBottom w:val="0"/>
      <w:divBdr>
        <w:top w:val="none" w:sz="0" w:space="0" w:color="auto"/>
        <w:left w:val="none" w:sz="0" w:space="0" w:color="auto"/>
        <w:bottom w:val="none" w:sz="0" w:space="0" w:color="auto"/>
        <w:right w:val="none" w:sz="0" w:space="0" w:color="auto"/>
      </w:divBdr>
    </w:div>
    <w:div w:id="1904220576">
      <w:bodyDiv w:val="1"/>
      <w:marLeft w:val="0"/>
      <w:marRight w:val="0"/>
      <w:marTop w:val="0"/>
      <w:marBottom w:val="0"/>
      <w:divBdr>
        <w:top w:val="none" w:sz="0" w:space="0" w:color="auto"/>
        <w:left w:val="none" w:sz="0" w:space="0" w:color="auto"/>
        <w:bottom w:val="none" w:sz="0" w:space="0" w:color="auto"/>
        <w:right w:val="none" w:sz="0" w:space="0" w:color="auto"/>
      </w:divBdr>
      <w:divsChild>
        <w:div w:id="1297297040">
          <w:marLeft w:val="0"/>
          <w:marRight w:val="0"/>
          <w:marTop w:val="0"/>
          <w:marBottom w:val="0"/>
          <w:divBdr>
            <w:top w:val="none" w:sz="0" w:space="0" w:color="auto"/>
            <w:left w:val="none" w:sz="0" w:space="0" w:color="auto"/>
            <w:bottom w:val="none" w:sz="0" w:space="0" w:color="auto"/>
            <w:right w:val="none" w:sz="0" w:space="0" w:color="auto"/>
          </w:divBdr>
        </w:div>
      </w:divsChild>
    </w:div>
    <w:div w:id="1910192093">
      <w:bodyDiv w:val="1"/>
      <w:marLeft w:val="0"/>
      <w:marRight w:val="0"/>
      <w:marTop w:val="0"/>
      <w:marBottom w:val="0"/>
      <w:divBdr>
        <w:top w:val="none" w:sz="0" w:space="0" w:color="auto"/>
        <w:left w:val="none" w:sz="0" w:space="0" w:color="auto"/>
        <w:bottom w:val="none" w:sz="0" w:space="0" w:color="auto"/>
        <w:right w:val="none" w:sz="0" w:space="0" w:color="auto"/>
      </w:divBdr>
      <w:divsChild>
        <w:div w:id="994533989">
          <w:marLeft w:val="0"/>
          <w:marRight w:val="0"/>
          <w:marTop w:val="0"/>
          <w:marBottom w:val="0"/>
          <w:divBdr>
            <w:top w:val="none" w:sz="0" w:space="0" w:color="auto"/>
            <w:left w:val="none" w:sz="0" w:space="0" w:color="auto"/>
            <w:bottom w:val="none" w:sz="0" w:space="0" w:color="auto"/>
            <w:right w:val="none" w:sz="0" w:space="0" w:color="auto"/>
          </w:divBdr>
        </w:div>
      </w:divsChild>
    </w:div>
    <w:div w:id="1914008204">
      <w:bodyDiv w:val="1"/>
      <w:marLeft w:val="0"/>
      <w:marRight w:val="0"/>
      <w:marTop w:val="0"/>
      <w:marBottom w:val="0"/>
      <w:divBdr>
        <w:top w:val="none" w:sz="0" w:space="0" w:color="auto"/>
        <w:left w:val="none" w:sz="0" w:space="0" w:color="auto"/>
        <w:bottom w:val="none" w:sz="0" w:space="0" w:color="auto"/>
        <w:right w:val="none" w:sz="0" w:space="0" w:color="auto"/>
      </w:divBdr>
    </w:div>
    <w:div w:id="1916086223">
      <w:bodyDiv w:val="1"/>
      <w:marLeft w:val="0"/>
      <w:marRight w:val="0"/>
      <w:marTop w:val="0"/>
      <w:marBottom w:val="0"/>
      <w:divBdr>
        <w:top w:val="none" w:sz="0" w:space="0" w:color="auto"/>
        <w:left w:val="none" w:sz="0" w:space="0" w:color="auto"/>
        <w:bottom w:val="none" w:sz="0" w:space="0" w:color="auto"/>
        <w:right w:val="none" w:sz="0" w:space="0" w:color="auto"/>
      </w:divBdr>
    </w:div>
    <w:div w:id="1924025236">
      <w:bodyDiv w:val="1"/>
      <w:marLeft w:val="0"/>
      <w:marRight w:val="0"/>
      <w:marTop w:val="0"/>
      <w:marBottom w:val="0"/>
      <w:divBdr>
        <w:top w:val="none" w:sz="0" w:space="0" w:color="auto"/>
        <w:left w:val="none" w:sz="0" w:space="0" w:color="auto"/>
        <w:bottom w:val="none" w:sz="0" w:space="0" w:color="auto"/>
        <w:right w:val="none" w:sz="0" w:space="0" w:color="auto"/>
      </w:divBdr>
    </w:div>
    <w:div w:id="1958172853">
      <w:bodyDiv w:val="1"/>
      <w:marLeft w:val="0"/>
      <w:marRight w:val="0"/>
      <w:marTop w:val="0"/>
      <w:marBottom w:val="0"/>
      <w:divBdr>
        <w:top w:val="none" w:sz="0" w:space="0" w:color="auto"/>
        <w:left w:val="none" w:sz="0" w:space="0" w:color="auto"/>
        <w:bottom w:val="none" w:sz="0" w:space="0" w:color="auto"/>
        <w:right w:val="none" w:sz="0" w:space="0" w:color="auto"/>
      </w:divBdr>
    </w:div>
    <w:div w:id="1974291801">
      <w:bodyDiv w:val="1"/>
      <w:marLeft w:val="0"/>
      <w:marRight w:val="0"/>
      <w:marTop w:val="0"/>
      <w:marBottom w:val="0"/>
      <w:divBdr>
        <w:top w:val="none" w:sz="0" w:space="0" w:color="auto"/>
        <w:left w:val="none" w:sz="0" w:space="0" w:color="auto"/>
        <w:bottom w:val="none" w:sz="0" w:space="0" w:color="auto"/>
        <w:right w:val="none" w:sz="0" w:space="0" w:color="auto"/>
      </w:divBdr>
    </w:div>
    <w:div w:id="2004159372">
      <w:bodyDiv w:val="1"/>
      <w:marLeft w:val="0"/>
      <w:marRight w:val="0"/>
      <w:marTop w:val="0"/>
      <w:marBottom w:val="0"/>
      <w:divBdr>
        <w:top w:val="none" w:sz="0" w:space="0" w:color="auto"/>
        <w:left w:val="none" w:sz="0" w:space="0" w:color="auto"/>
        <w:bottom w:val="none" w:sz="0" w:space="0" w:color="auto"/>
        <w:right w:val="none" w:sz="0" w:space="0" w:color="auto"/>
      </w:divBdr>
    </w:div>
    <w:div w:id="2015835677">
      <w:bodyDiv w:val="1"/>
      <w:marLeft w:val="0"/>
      <w:marRight w:val="0"/>
      <w:marTop w:val="0"/>
      <w:marBottom w:val="0"/>
      <w:divBdr>
        <w:top w:val="none" w:sz="0" w:space="0" w:color="auto"/>
        <w:left w:val="none" w:sz="0" w:space="0" w:color="auto"/>
        <w:bottom w:val="none" w:sz="0" w:space="0" w:color="auto"/>
        <w:right w:val="none" w:sz="0" w:space="0" w:color="auto"/>
      </w:divBdr>
    </w:div>
    <w:div w:id="2020690866">
      <w:bodyDiv w:val="1"/>
      <w:marLeft w:val="0"/>
      <w:marRight w:val="0"/>
      <w:marTop w:val="0"/>
      <w:marBottom w:val="0"/>
      <w:divBdr>
        <w:top w:val="none" w:sz="0" w:space="0" w:color="auto"/>
        <w:left w:val="none" w:sz="0" w:space="0" w:color="auto"/>
        <w:bottom w:val="none" w:sz="0" w:space="0" w:color="auto"/>
        <w:right w:val="none" w:sz="0" w:space="0" w:color="auto"/>
      </w:divBdr>
    </w:div>
    <w:div w:id="2034914766">
      <w:bodyDiv w:val="1"/>
      <w:marLeft w:val="0"/>
      <w:marRight w:val="0"/>
      <w:marTop w:val="0"/>
      <w:marBottom w:val="0"/>
      <w:divBdr>
        <w:top w:val="none" w:sz="0" w:space="0" w:color="auto"/>
        <w:left w:val="none" w:sz="0" w:space="0" w:color="auto"/>
        <w:bottom w:val="none" w:sz="0" w:space="0" w:color="auto"/>
        <w:right w:val="none" w:sz="0" w:space="0" w:color="auto"/>
      </w:divBdr>
    </w:div>
    <w:div w:id="2044594590">
      <w:bodyDiv w:val="1"/>
      <w:marLeft w:val="0"/>
      <w:marRight w:val="0"/>
      <w:marTop w:val="0"/>
      <w:marBottom w:val="0"/>
      <w:divBdr>
        <w:top w:val="none" w:sz="0" w:space="0" w:color="auto"/>
        <w:left w:val="none" w:sz="0" w:space="0" w:color="auto"/>
        <w:bottom w:val="none" w:sz="0" w:space="0" w:color="auto"/>
        <w:right w:val="none" w:sz="0" w:space="0" w:color="auto"/>
      </w:divBdr>
    </w:div>
    <w:div w:id="2070808028">
      <w:bodyDiv w:val="1"/>
      <w:marLeft w:val="0"/>
      <w:marRight w:val="0"/>
      <w:marTop w:val="0"/>
      <w:marBottom w:val="0"/>
      <w:divBdr>
        <w:top w:val="none" w:sz="0" w:space="0" w:color="auto"/>
        <w:left w:val="none" w:sz="0" w:space="0" w:color="auto"/>
        <w:bottom w:val="none" w:sz="0" w:space="0" w:color="auto"/>
        <w:right w:val="none" w:sz="0" w:space="0" w:color="auto"/>
      </w:divBdr>
    </w:div>
    <w:div w:id="2072341542">
      <w:bodyDiv w:val="1"/>
      <w:marLeft w:val="0"/>
      <w:marRight w:val="0"/>
      <w:marTop w:val="0"/>
      <w:marBottom w:val="0"/>
      <w:divBdr>
        <w:top w:val="none" w:sz="0" w:space="0" w:color="auto"/>
        <w:left w:val="none" w:sz="0" w:space="0" w:color="auto"/>
        <w:bottom w:val="none" w:sz="0" w:space="0" w:color="auto"/>
        <w:right w:val="none" w:sz="0" w:space="0" w:color="auto"/>
      </w:divBdr>
    </w:div>
    <w:div w:id="2076466910">
      <w:bodyDiv w:val="1"/>
      <w:marLeft w:val="0"/>
      <w:marRight w:val="0"/>
      <w:marTop w:val="0"/>
      <w:marBottom w:val="0"/>
      <w:divBdr>
        <w:top w:val="none" w:sz="0" w:space="0" w:color="auto"/>
        <w:left w:val="none" w:sz="0" w:space="0" w:color="auto"/>
        <w:bottom w:val="none" w:sz="0" w:space="0" w:color="auto"/>
        <w:right w:val="none" w:sz="0" w:space="0" w:color="auto"/>
      </w:divBdr>
    </w:div>
    <w:div w:id="2091656295">
      <w:bodyDiv w:val="1"/>
      <w:marLeft w:val="0"/>
      <w:marRight w:val="0"/>
      <w:marTop w:val="0"/>
      <w:marBottom w:val="0"/>
      <w:divBdr>
        <w:top w:val="none" w:sz="0" w:space="0" w:color="auto"/>
        <w:left w:val="none" w:sz="0" w:space="0" w:color="auto"/>
        <w:bottom w:val="none" w:sz="0" w:space="0" w:color="auto"/>
        <w:right w:val="none" w:sz="0" w:space="0" w:color="auto"/>
      </w:divBdr>
    </w:div>
    <w:div w:id="2092578841">
      <w:bodyDiv w:val="1"/>
      <w:marLeft w:val="0"/>
      <w:marRight w:val="0"/>
      <w:marTop w:val="0"/>
      <w:marBottom w:val="0"/>
      <w:divBdr>
        <w:top w:val="none" w:sz="0" w:space="0" w:color="auto"/>
        <w:left w:val="none" w:sz="0" w:space="0" w:color="auto"/>
        <w:bottom w:val="none" w:sz="0" w:space="0" w:color="auto"/>
        <w:right w:val="none" w:sz="0" w:space="0" w:color="auto"/>
      </w:divBdr>
    </w:div>
    <w:div w:id="2121680670">
      <w:bodyDiv w:val="1"/>
      <w:marLeft w:val="0"/>
      <w:marRight w:val="0"/>
      <w:marTop w:val="0"/>
      <w:marBottom w:val="0"/>
      <w:divBdr>
        <w:top w:val="none" w:sz="0" w:space="0" w:color="auto"/>
        <w:left w:val="none" w:sz="0" w:space="0" w:color="auto"/>
        <w:bottom w:val="none" w:sz="0" w:space="0" w:color="auto"/>
        <w:right w:val="none" w:sz="0" w:space="0" w:color="auto"/>
      </w:divBdr>
    </w:div>
    <w:div w:id="2125884620">
      <w:bodyDiv w:val="1"/>
      <w:marLeft w:val="0"/>
      <w:marRight w:val="0"/>
      <w:marTop w:val="0"/>
      <w:marBottom w:val="0"/>
      <w:divBdr>
        <w:top w:val="none" w:sz="0" w:space="0" w:color="auto"/>
        <w:left w:val="none" w:sz="0" w:space="0" w:color="auto"/>
        <w:bottom w:val="none" w:sz="0" w:space="0" w:color="auto"/>
        <w:right w:val="none" w:sz="0" w:space="0" w:color="auto"/>
      </w:divBdr>
      <w:divsChild>
        <w:div w:id="320736016">
          <w:marLeft w:val="0"/>
          <w:marRight w:val="0"/>
          <w:marTop w:val="0"/>
          <w:marBottom w:val="0"/>
          <w:divBdr>
            <w:top w:val="none" w:sz="0" w:space="0" w:color="auto"/>
            <w:left w:val="none" w:sz="0" w:space="0" w:color="auto"/>
            <w:bottom w:val="none" w:sz="0" w:space="0" w:color="auto"/>
            <w:right w:val="none" w:sz="0" w:space="0" w:color="auto"/>
          </w:divBdr>
        </w:div>
        <w:div w:id="1152137667">
          <w:marLeft w:val="0"/>
          <w:marRight w:val="0"/>
          <w:marTop w:val="0"/>
          <w:marBottom w:val="0"/>
          <w:divBdr>
            <w:top w:val="none" w:sz="0" w:space="0" w:color="auto"/>
            <w:left w:val="none" w:sz="0" w:space="0" w:color="auto"/>
            <w:bottom w:val="none" w:sz="0" w:space="0" w:color="auto"/>
            <w:right w:val="none" w:sz="0" w:space="0" w:color="auto"/>
          </w:divBdr>
        </w:div>
      </w:divsChild>
    </w:div>
    <w:div w:id="2130008987">
      <w:bodyDiv w:val="1"/>
      <w:marLeft w:val="0"/>
      <w:marRight w:val="0"/>
      <w:marTop w:val="0"/>
      <w:marBottom w:val="0"/>
      <w:divBdr>
        <w:top w:val="none" w:sz="0" w:space="0" w:color="auto"/>
        <w:left w:val="none" w:sz="0" w:space="0" w:color="auto"/>
        <w:bottom w:val="none" w:sz="0" w:space="0" w:color="auto"/>
        <w:right w:val="none" w:sz="0" w:space="0" w:color="auto"/>
      </w:divBdr>
    </w:div>
    <w:div w:id="2131120093">
      <w:bodyDiv w:val="1"/>
      <w:marLeft w:val="0"/>
      <w:marRight w:val="0"/>
      <w:marTop w:val="0"/>
      <w:marBottom w:val="0"/>
      <w:divBdr>
        <w:top w:val="none" w:sz="0" w:space="0" w:color="auto"/>
        <w:left w:val="none" w:sz="0" w:space="0" w:color="auto"/>
        <w:bottom w:val="none" w:sz="0" w:space="0" w:color="auto"/>
        <w:right w:val="none" w:sz="0" w:space="0" w:color="auto"/>
      </w:divBdr>
    </w:div>
    <w:div w:id="2139180517">
      <w:bodyDiv w:val="1"/>
      <w:marLeft w:val="0"/>
      <w:marRight w:val="0"/>
      <w:marTop w:val="0"/>
      <w:marBottom w:val="0"/>
      <w:divBdr>
        <w:top w:val="none" w:sz="0" w:space="0" w:color="auto"/>
        <w:left w:val="none" w:sz="0" w:space="0" w:color="auto"/>
        <w:bottom w:val="none" w:sz="0" w:space="0" w:color="auto"/>
        <w:right w:val="none" w:sz="0" w:space="0" w:color="auto"/>
      </w:divBdr>
    </w:div>
    <w:div w:id="2143186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240d9007-a1fb-482a-96da-a02b62c0469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F2A0166CDDC494A97954A231935641B" ma:contentTypeVersion="13" ma:contentTypeDescription="Create a new document." ma:contentTypeScope="" ma:versionID="c3d19ebebc2992bab255171358259a31">
  <xsd:schema xmlns:xsd="http://www.w3.org/2001/XMLSchema" xmlns:xs="http://www.w3.org/2001/XMLSchema" xmlns:p="http://schemas.microsoft.com/office/2006/metadata/properties" xmlns:ns3="240d9007-a1fb-482a-96da-a02b62c04690" targetNamespace="http://schemas.microsoft.com/office/2006/metadata/properties" ma:root="true" ma:fieldsID="f539a5008bc6e821f4d34d4f9d77e990" ns3:_="">
    <xsd:import namespace="240d9007-a1fb-482a-96da-a02b62c04690"/>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SearchProperties" minOccurs="0"/>
                <xsd:element ref="ns3:MediaServiceDateTaken" minOccurs="0"/>
                <xsd:element ref="ns3:_activity" minOccurs="0"/>
                <xsd:element ref="ns3:MediaServiceSystemTags"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0d9007-a1fb-482a-96da-a02b62c046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SystemTags" ma:index="18" nillable="true" ma:displayName="MediaServiceSystemTags" ma:hidden="true" ma:internalName="MediaServiceSystemTags"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4CC7308-B6BD-4BBA-8377-DE70EF76F367}">
  <ds:schemaRefs>
    <ds:schemaRef ds:uri="http://schemas.microsoft.com/office/2006/metadata/properties"/>
    <ds:schemaRef ds:uri="http://schemas.microsoft.com/office/infopath/2007/PartnerControls"/>
    <ds:schemaRef ds:uri="240d9007-a1fb-482a-96da-a02b62c04690"/>
  </ds:schemaRefs>
</ds:datastoreItem>
</file>

<file path=customXml/itemProps2.xml><?xml version="1.0" encoding="utf-8"?>
<ds:datastoreItem xmlns:ds="http://schemas.openxmlformats.org/officeDocument/2006/customXml" ds:itemID="{B2FEED44-A682-48E6-BA7F-4C21321627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0d9007-a1fb-482a-96da-a02b62c046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4DA03D9-A405-4AB4-88DF-14D05D210789}">
  <ds:schemaRefs>
    <ds:schemaRef ds:uri="http://schemas.openxmlformats.org/officeDocument/2006/bibliography"/>
  </ds:schemaRefs>
</ds:datastoreItem>
</file>

<file path=customXml/itemProps4.xml><?xml version="1.0" encoding="utf-8"?>
<ds:datastoreItem xmlns:ds="http://schemas.openxmlformats.org/officeDocument/2006/customXml" ds:itemID="{C5EA9D05-736E-4640-A230-B82B493A710C}">
  <ds:schemaRefs>
    <ds:schemaRef ds:uri="http://schemas.microsoft.com/sharepoint/v3/contenttype/forms"/>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10</TotalTime>
  <Pages>110</Pages>
  <Words>43921</Words>
  <Characters>250353</Characters>
  <Application>Microsoft Office Word</Application>
  <DocSecurity>0</DocSecurity>
  <Lines>2086</Lines>
  <Paragraphs>587</Paragraphs>
  <ScaleCrop>false</ScaleCrop>
  <HeadingPairs>
    <vt:vector size="2" baseType="variant">
      <vt:variant>
        <vt:lpstr>Title</vt:lpstr>
      </vt:variant>
      <vt:variant>
        <vt:i4>1</vt:i4>
      </vt:variant>
    </vt:vector>
  </HeadingPairs>
  <TitlesOfParts>
    <vt:vector size="1" baseType="lpstr">
      <vt:lpstr/>
    </vt:vector>
  </TitlesOfParts>
  <Company>WBG</Company>
  <LinksUpToDate>false</LinksUpToDate>
  <CharactersWithSpaces>293687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Svetlana Platon</dc:creator>
  <cp:keywords/>
  <dc:description/>
  <cp:lastModifiedBy>Author</cp:lastModifiedBy>
  <cp:revision>7</cp:revision>
  <cp:lastPrinted>2026-10-05T08:00:00Z</cp:lastPrinted>
  <dcterms:created xsi:type="dcterms:W3CDTF">2026-10-01T08:40:00Z</dcterms:created>
  <dcterms:modified xsi:type="dcterms:W3CDTF">2026-10-05T08:02:00Z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0x010100AF2A0166CDDC494A97954A231935641B</vt:lpwstr>
  </property>
  <property fmtid="{D5CDD505-2E9C-101B-9397-08002B2CF9AE}" pid="3" name="GrammarlyDocumentId">
    <vt:lpwstr>bb991ad244c3700b1aa3e8351a9d92182f871de5f1f027855e241573972841e9</vt:lpwstr>
  </property>
</Properties>
</file>