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CCEE8" w14:textId="77777777" w:rsidR="00767CD0" w:rsidRPr="00C51AE9" w:rsidRDefault="000D2F8B">
      <w:pPr>
        <w:spacing w:after="0"/>
        <w:jc w:val="center"/>
        <w:rPr>
          <w:rFonts w:ascii="Arial Black" w:hAnsi="Arial Black"/>
          <w:b/>
          <w:spacing w:val="70"/>
          <w:sz w:val="14"/>
          <w:szCs w:val="18"/>
        </w:rPr>
      </w:pPr>
      <w:r w:rsidRPr="00C51AE9">
        <w:rPr>
          <w:rFonts w:ascii="Arial Black" w:hAnsi="Arial Black"/>
          <w:b/>
          <w:spacing w:val="70"/>
          <w:sz w:val="14"/>
          <w:szCs w:val="18"/>
        </w:rPr>
        <w:t xml:space="preserve"> </w:t>
      </w:r>
    </w:p>
    <w:p w14:paraId="227A6D14" w14:textId="77777777" w:rsidR="00767CD0" w:rsidRPr="00C51AE9" w:rsidRDefault="00767CD0">
      <w:pPr>
        <w:spacing w:after="0"/>
        <w:jc w:val="center"/>
        <w:rPr>
          <w:rFonts w:ascii="Arial Black" w:hAnsi="Arial Black"/>
          <w:b/>
          <w:spacing w:val="70"/>
          <w:sz w:val="14"/>
          <w:szCs w:val="18"/>
        </w:rPr>
      </w:pPr>
    </w:p>
    <w:p w14:paraId="4DB76717" w14:textId="77777777" w:rsidR="00767CD0" w:rsidRPr="00C51AE9" w:rsidRDefault="00C51AE9">
      <w:pPr>
        <w:spacing w:after="0"/>
        <w:jc w:val="center"/>
        <w:rPr>
          <w:rFonts w:ascii="Times New Roman" w:hAnsi="Times New Roman" w:cs="Times New Roman"/>
          <w:b/>
          <w:bCs/>
        </w:rPr>
      </w:pPr>
      <w:r w:rsidRPr="00C51AE9">
        <w:rPr>
          <w:noProof/>
          <w:lang w:val="en-US"/>
        </w:rPr>
        <w:drawing>
          <wp:anchor distT="0" distB="0" distL="114300" distR="114300" simplePos="0" relativeHeight="2" behindDoc="0" locked="0" layoutInCell="0" allowOverlap="1" wp14:anchorId="4D765449" wp14:editId="4F8C4D3C">
            <wp:simplePos x="0" y="0"/>
            <wp:positionH relativeFrom="margin">
              <wp:posOffset>3175</wp:posOffset>
            </wp:positionH>
            <wp:positionV relativeFrom="margin">
              <wp:posOffset>3175</wp:posOffset>
            </wp:positionV>
            <wp:extent cx="5400040" cy="660400"/>
            <wp:effectExtent l="0" t="0" r="0" b="0"/>
            <wp:wrapSquare wrapText="bothSides"/>
            <wp:docPr id="1" name="Picture 9" descr="C:\Users\Adrian.Kamenica\Desktop\mt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C:\Users\Adrian.Kamenica\Desktop\mtm3.png"/>
                    <pic:cNvPicPr>
                      <a:picLocks noChangeAspect="1" noChangeArrowheads="1"/>
                    </pic:cNvPicPr>
                  </pic:nvPicPr>
                  <pic:blipFill>
                    <a:blip r:embed="rId8"/>
                    <a:srcRect r="6028" b="32262"/>
                    <a:stretch>
                      <a:fillRect/>
                    </a:stretch>
                  </pic:blipFill>
                  <pic:spPr bwMode="auto">
                    <a:xfrm>
                      <a:off x="0" y="0"/>
                      <a:ext cx="5400040" cy="660400"/>
                    </a:xfrm>
                    <a:prstGeom prst="rect">
                      <a:avLst/>
                    </a:prstGeom>
                  </pic:spPr>
                </pic:pic>
              </a:graphicData>
            </a:graphic>
          </wp:anchor>
        </w:drawing>
      </w:r>
      <w:r w:rsidRPr="00C51AE9">
        <w:rPr>
          <w:rFonts w:ascii="Arial Black" w:hAnsi="Arial Black"/>
          <w:b/>
          <w:spacing w:val="70"/>
          <w:sz w:val="14"/>
          <w:szCs w:val="18"/>
        </w:rPr>
        <w:t>REPUBLIKA E SHQIPËRISË</w:t>
      </w:r>
    </w:p>
    <w:p w14:paraId="0FFABA7F" w14:textId="77777777" w:rsidR="00767CD0" w:rsidRPr="00C51AE9" w:rsidRDefault="00C51AE9">
      <w:pPr>
        <w:spacing w:after="0"/>
        <w:jc w:val="center"/>
        <w:rPr>
          <w:rFonts w:ascii="Times New Roman" w:hAnsi="Times New Roman" w:cs="Times New Roman"/>
          <w:b/>
          <w:bCs/>
          <w:sz w:val="28"/>
          <w:szCs w:val="28"/>
        </w:rPr>
      </w:pPr>
      <w:r w:rsidRPr="00C51AE9">
        <w:rPr>
          <w:rFonts w:ascii="Times New Roman" w:hAnsi="Times New Roman" w:cs="Times New Roman"/>
          <w:b/>
          <w:bCs/>
          <w:sz w:val="28"/>
          <w:szCs w:val="28"/>
        </w:rPr>
        <w:t>KËSHILLI I MINISTRAVE</w:t>
      </w:r>
    </w:p>
    <w:p w14:paraId="20D14526" w14:textId="77777777" w:rsidR="00767CD0" w:rsidRPr="00C51AE9" w:rsidRDefault="00767CD0">
      <w:pPr>
        <w:spacing w:beforeAutospacing="1" w:afterAutospacing="1"/>
        <w:jc w:val="center"/>
        <w:rPr>
          <w:rFonts w:ascii="Times New Roman" w:hAnsi="Times New Roman" w:cs="Times New Roman"/>
          <w:b/>
          <w:bCs/>
        </w:rPr>
      </w:pPr>
    </w:p>
    <w:p w14:paraId="17568053" w14:textId="77777777" w:rsidR="00767CD0" w:rsidRPr="00C51AE9" w:rsidRDefault="00C51AE9">
      <w:pPr>
        <w:spacing w:beforeAutospacing="1" w:afterAutospacing="1"/>
        <w:jc w:val="center"/>
        <w:rPr>
          <w:rFonts w:ascii="Times New Roman" w:hAnsi="Times New Roman" w:cs="Times New Roman"/>
          <w:b/>
          <w:bCs/>
          <w:sz w:val="28"/>
          <w:szCs w:val="28"/>
        </w:rPr>
      </w:pPr>
      <w:r w:rsidRPr="00C51AE9">
        <w:rPr>
          <w:rFonts w:ascii="Times New Roman" w:hAnsi="Times New Roman" w:cs="Times New Roman"/>
          <w:b/>
          <w:bCs/>
          <w:sz w:val="28"/>
          <w:szCs w:val="28"/>
        </w:rPr>
        <w:t>PROJEKTVENDIM</w:t>
      </w:r>
    </w:p>
    <w:p w14:paraId="6C85A87F" w14:textId="77777777" w:rsidR="00767CD0" w:rsidRPr="00C51AE9" w:rsidRDefault="00767CD0">
      <w:pPr>
        <w:spacing w:beforeAutospacing="1" w:afterAutospacing="1"/>
        <w:jc w:val="center"/>
        <w:rPr>
          <w:rFonts w:ascii="Times New Roman" w:hAnsi="Times New Roman" w:cs="Times New Roman"/>
          <w:b/>
          <w:bCs/>
          <w:sz w:val="28"/>
          <w:szCs w:val="28"/>
        </w:rPr>
      </w:pPr>
    </w:p>
    <w:p w14:paraId="5E9E00C1" w14:textId="77777777" w:rsidR="00767CD0" w:rsidRPr="00C51AE9" w:rsidRDefault="00C51AE9">
      <w:pPr>
        <w:spacing w:beforeAutospacing="1" w:afterAutospacing="1"/>
        <w:jc w:val="center"/>
        <w:rPr>
          <w:rFonts w:ascii="Times New Roman" w:hAnsi="Times New Roman" w:cs="Times New Roman"/>
          <w:b/>
          <w:bCs/>
        </w:rPr>
      </w:pPr>
      <w:r w:rsidRPr="00C51AE9">
        <w:rPr>
          <w:rFonts w:ascii="Times New Roman" w:hAnsi="Times New Roman" w:cs="Times New Roman"/>
          <w:b/>
          <w:bCs/>
        </w:rPr>
        <w:t>Nr. ____, datë ____. ____ . 2026</w:t>
      </w:r>
    </w:p>
    <w:p w14:paraId="6E8FC640" w14:textId="77777777" w:rsidR="00767CD0" w:rsidRPr="00C51AE9" w:rsidRDefault="00C51AE9">
      <w:pPr>
        <w:spacing w:after="0"/>
        <w:ind w:left="3600"/>
        <w:rPr>
          <w:rFonts w:ascii="Times New Roman" w:hAnsi="Times New Roman" w:cs="Times New Roman"/>
          <w:b/>
          <w:bCs/>
        </w:rPr>
      </w:pPr>
      <w:r w:rsidRPr="00C51AE9">
        <w:rPr>
          <w:rFonts w:ascii="Times New Roman" w:hAnsi="Times New Roman" w:cs="Times New Roman"/>
          <w:b/>
          <w:bCs/>
        </w:rPr>
        <w:t xml:space="preserve">       PËR</w:t>
      </w:r>
    </w:p>
    <w:p w14:paraId="1CB572CC"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 xml:space="preserve">AMBALAZHET, MBETJET E AMBALAZHEVE, QESET PLASTIKE TË LEHTA DHE QESET PLASTIKE OXO-DEGRADUESE, ETIKETIMIN DHE GJURMUESHMËRINË </w:t>
      </w:r>
      <w:r w:rsidRPr="00C51AE9">
        <w:rPr>
          <w:rStyle w:val="FootnoteReference"/>
          <w:rFonts w:ascii="Times New Roman" w:hAnsi="Times New Roman" w:cs="Times New Roman"/>
          <w:b/>
          <w:bCs/>
        </w:rPr>
        <w:footnoteReference w:id="1"/>
      </w:r>
    </w:p>
    <w:p w14:paraId="7801C529" w14:textId="77777777" w:rsidR="00767CD0" w:rsidRPr="00C51AE9" w:rsidRDefault="00767CD0">
      <w:pPr>
        <w:spacing w:beforeAutospacing="1" w:afterAutospacing="1"/>
        <w:jc w:val="center"/>
        <w:rPr>
          <w:rFonts w:ascii="Times New Roman" w:hAnsi="Times New Roman" w:cs="Times New Roman"/>
          <w:b/>
          <w:bCs/>
        </w:rPr>
      </w:pPr>
    </w:p>
    <w:p w14:paraId="76F5B9EA" w14:textId="77777777" w:rsidR="00767CD0" w:rsidRPr="00C51AE9" w:rsidRDefault="00C51AE9">
      <w:pPr>
        <w:spacing w:beforeAutospacing="1" w:afterAutospacing="1"/>
        <w:jc w:val="both"/>
        <w:rPr>
          <w:rFonts w:ascii="Times New Roman" w:hAnsi="Times New Roman" w:cs="Times New Roman"/>
        </w:rPr>
      </w:pPr>
      <w:r w:rsidRPr="00C51AE9">
        <w:rPr>
          <w:rFonts w:ascii="Times New Roman" w:hAnsi="Times New Roman" w:cs="Times New Roman"/>
        </w:rPr>
        <w:t xml:space="preserve">Në mbështetje të nenit 100 të Kushtetutës, të nenit 49 të ligjit të Ligjit Nr. 57/2025, datë 12.10.2025, “Për menaxhim e integruar të mbetjeve” dhe pikës 2 të nenit 7 të Ligjit Nr. 74/2025, datë 29.12.2025,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me propozimin e ministrit të Mjedisit, Këshilli i Ministrave</w:t>
      </w:r>
    </w:p>
    <w:p w14:paraId="4BEA484F" w14:textId="77777777" w:rsidR="00767CD0" w:rsidRPr="00C51AE9" w:rsidRDefault="00C51AE9">
      <w:pPr>
        <w:spacing w:beforeAutospacing="1" w:afterAutospacing="1"/>
        <w:jc w:val="center"/>
        <w:rPr>
          <w:rFonts w:ascii="Times New Roman" w:hAnsi="Times New Roman" w:cs="Times New Roman"/>
          <w:b/>
          <w:bCs/>
        </w:rPr>
      </w:pPr>
      <w:r w:rsidRPr="00C51AE9">
        <w:rPr>
          <w:rFonts w:ascii="Times New Roman" w:hAnsi="Times New Roman" w:cs="Times New Roman"/>
          <w:b/>
          <w:bCs/>
        </w:rPr>
        <w:t>VENDOSI:</w:t>
      </w:r>
    </w:p>
    <w:p w14:paraId="75E4D3BD"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KREU I</w:t>
      </w:r>
    </w:p>
    <w:p w14:paraId="669C0014" w14:textId="77777777" w:rsidR="00767CD0" w:rsidRPr="00C51AE9" w:rsidRDefault="00C51AE9">
      <w:pPr>
        <w:keepNext/>
        <w:keepLines/>
        <w:spacing w:before="360" w:after="80"/>
        <w:jc w:val="center"/>
        <w:outlineLvl w:val="0"/>
        <w:rPr>
          <w:rFonts w:ascii="Times New Roman" w:eastAsiaTheme="majorEastAsia" w:hAnsi="Times New Roman" w:cs="Times New Roman"/>
          <w:b/>
        </w:rPr>
      </w:pPr>
      <w:bookmarkStart w:id="0" w:name="_Toc227317597"/>
      <w:r w:rsidRPr="00C51AE9">
        <w:rPr>
          <w:rFonts w:ascii="Times New Roman" w:eastAsiaTheme="majorEastAsia" w:hAnsi="Times New Roman" w:cs="Times New Roman"/>
          <w:b/>
        </w:rPr>
        <w:t>DISPOZITA TË PËRGJITHSHME</w:t>
      </w:r>
      <w:bookmarkEnd w:id="0"/>
    </w:p>
    <w:p w14:paraId="09BBFA60"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1 </w:t>
      </w:r>
    </w:p>
    <w:p w14:paraId="0B80F910"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1" w:name="_Toc227317598"/>
      <w:bookmarkStart w:id="2" w:name="_Hlk212109678"/>
      <w:r w:rsidRPr="00C51AE9">
        <w:rPr>
          <w:rFonts w:ascii="Times New Roman" w:eastAsiaTheme="majorEastAsia" w:hAnsi="Times New Roman" w:cs="Times New Roman"/>
          <w:b/>
        </w:rPr>
        <w:t xml:space="preserve">Objekti </w:t>
      </w:r>
      <w:bookmarkEnd w:id="1"/>
      <w:bookmarkEnd w:id="2"/>
    </w:p>
    <w:p w14:paraId="6DDF9986" w14:textId="77777777" w:rsidR="00767CD0" w:rsidRPr="00C51AE9" w:rsidRDefault="00C51AE9">
      <w:pPr>
        <w:numPr>
          <w:ilvl w:val="0"/>
          <w:numId w:val="25"/>
        </w:numPr>
        <w:spacing w:beforeAutospacing="1" w:after="0"/>
        <w:ind w:left="90" w:hanging="180"/>
        <w:contextualSpacing/>
        <w:jc w:val="both"/>
        <w:rPr>
          <w:rFonts w:ascii="Times New Roman" w:hAnsi="Times New Roman" w:cs="Times New Roman"/>
        </w:rPr>
      </w:pPr>
      <w:r w:rsidRPr="00C51AE9">
        <w:rPr>
          <w:rFonts w:ascii="Times New Roman" w:hAnsi="Times New Roman" w:cs="Times New Roman"/>
        </w:rPr>
        <w:t xml:space="preserve"> Ky vendim përcakton kërkesa për të gjithë ciklin jetësor të ambalazheve, sa i përket qëndrueshmërisë mjedisore dhe etiketimit, vendosjen në treg, si dhe kërkesat lidhur me përgjegjësinë e zgjeruar të prodhuesit, parandalimin e krijimit të mbetjeve nga </w:t>
      </w:r>
      <w:r w:rsidRPr="00C51AE9">
        <w:rPr>
          <w:rFonts w:ascii="Times New Roman" w:hAnsi="Times New Roman" w:cs="Times New Roman"/>
        </w:rPr>
        <w:lastRenderedPageBreak/>
        <w:t xml:space="preserve">ambalazhet, përfshirë reduktimin e ambalazhit të panevojshëm, ripërdorimin, mbledhjen dhe trajtimin, përfshirë riciklimin, e mbetjeve nga  ambalazhet, si dhe rregullat për ndalimin e qeseve  mbajtëse plastike të lehta e </w:t>
      </w:r>
      <w:proofErr w:type="spellStart"/>
      <w:r w:rsidRPr="00C51AE9">
        <w:rPr>
          <w:rFonts w:ascii="Times New Roman" w:hAnsi="Times New Roman" w:cs="Times New Roman"/>
        </w:rPr>
        <w:t>oxo-degradueshme</w:t>
      </w:r>
      <w:proofErr w:type="spellEnd"/>
      <w:r w:rsidRPr="00C51AE9">
        <w:rPr>
          <w:rFonts w:ascii="Times New Roman" w:hAnsi="Times New Roman" w:cs="Times New Roman"/>
        </w:rPr>
        <w:t>, përcaktimin e kërkesave minimale për ambalazhet, ngritjen e sistemeve të ripërdorimit e rikuperimit dhe krijimin e bazës së të dhënave për monitorimin e këtyre objektivave.</w:t>
      </w:r>
    </w:p>
    <w:p w14:paraId="3611AB28" w14:textId="77777777" w:rsidR="00767CD0" w:rsidRPr="00C51AE9" w:rsidRDefault="00C51AE9">
      <w:pPr>
        <w:numPr>
          <w:ilvl w:val="0"/>
          <w:numId w:val="25"/>
        </w:numPr>
        <w:spacing w:after="0"/>
        <w:ind w:left="180" w:hanging="180"/>
        <w:contextualSpacing/>
        <w:jc w:val="both"/>
        <w:rPr>
          <w:rFonts w:ascii="Times New Roman" w:hAnsi="Times New Roman" w:cs="Times New Roman"/>
        </w:rPr>
      </w:pPr>
      <w:r w:rsidRPr="00C51AE9">
        <w:rPr>
          <w:rFonts w:ascii="Times New Roman" w:hAnsi="Times New Roman" w:cs="Times New Roman"/>
        </w:rPr>
        <w:t xml:space="preserve"> Ky vendim siguron funksionimin efikas të tregut në Republikën e Shqipërisë, duke shmangur pengesat ndaj tregtisë dhe konkurrencën e pandershme, duke parandaluar ose zvogëluar ndikimet e dëmshme nga ambalazhet dhe mbetjet e tyre në mjedis dhe në shëndetin e njeriut, me qëllim rritjen e nivelit  të mbrojtjes së mjedisit.</w:t>
      </w:r>
    </w:p>
    <w:p w14:paraId="5EDFF293" w14:textId="77777777" w:rsidR="00767CD0" w:rsidRPr="00C51AE9" w:rsidRDefault="00C51AE9">
      <w:pPr>
        <w:numPr>
          <w:ilvl w:val="0"/>
          <w:numId w:val="25"/>
        </w:numPr>
        <w:spacing w:afterAutospacing="1"/>
        <w:ind w:left="180" w:hanging="180"/>
        <w:contextualSpacing/>
        <w:jc w:val="both"/>
        <w:rPr>
          <w:rFonts w:ascii="Times New Roman" w:hAnsi="Times New Roman" w:cs="Times New Roman"/>
        </w:rPr>
      </w:pPr>
      <w:r w:rsidRPr="00C51AE9">
        <w:rPr>
          <w:rFonts w:ascii="Times New Roman" w:hAnsi="Times New Roman" w:cs="Times New Roman"/>
        </w:rPr>
        <w:t xml:space="preserve"> Ky vendim kontribuon në </w:t>
      </w:r>
      <w:proofErr w:type="spellStart"/>
      <w:r w:rsidRPr="00C51AE9">
        <w:rPr>
          <w:rFonts w:ascii="Times New Roman" w:hAnsi="Times New Roman" w:cs="Times New Roman"/>
        </w:rPr>
        <w:t>tranzicionin</w:t>
      </w:r>
      <w:proofErr w:type="spellEnd"/>
      <w:r w:rsidRPr="00C51AE9">
        <w:rPr>
          <w:rFonts w:ascii="Times New Roman" w:hAnsi="Times New Roman" w:cs="Times New Roman"/>
        </w:rPr>
        <w:t xml:space="preserve"> drejt një ekonomie qarkulluese dhe në arritjen e neutralitetit klimatik jo më vonë se viti 2050, në përputhje me hierarkinë e mbetjeve sipas legjislacionit në fuqi për menaxhimin e integruar të mbetjeve.</w:t>
      </w:r>
    </w:p>
    <w:p w14:paraId="5069D176" w14:textId="77777777" w:rsidR="00767CD0" w:rsidRPr="00C51AE9" w:rsidRDefault="00767CD0">
      <w:pPr>
        <w:ind w:left="720"/>
        <w:contextualSpacing/>
        <w:rPr>
          <w:rFonts w:ascii="Times New Roman" w:hAnsi="Times New Roman" w:cs="Times New Roman"/>
        </w:rPr>
      </w:pPr>
    </w:p>
    <w:p w14:paraId="0695707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2</w:t>
      </w:r>
    </w:p>
    <w:p w14:paraId="2E083B7B"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 w:name="_Toc227317599"/>
      <w:r w:rsidRPr="00C51AE9">
        <w:rPr>
          <w:rFonts w:ascii="Times New Roman" w:eastAsiaTheme="majorEastAsia" w:hAnsi="Times New Roman" w:cs="Times New Roman"/>
          <w:b/>
        </w:rPr>
        <w:t>Fusha e zbatimit</w:t>
      </w:r>
      <w:bookmarkEnd w:id="3"/>
    </w:p>
    <w:p w14:paraId="0CDEA4A5" w14:textId="77777777" w:rsidR="00767CD0" w:rsidRPr="00C51AE9" w:rsidRDefault="00C51AE9">
      <w:pPr>
        <w:numPr>
          <w:ilvl w:val="0"/>
          <w:numId w:val="4"/>
        </w:numPr>
        <w:contextualSpacing/>
        <w:jc w:val="both"/>
        <w:rPr>
          <w:rFonts w:ascii="Times New Roman" w:hAnsi="Times New Roman" w:cs="Times New Roman"/>
        </w:rPr>
      </w:pPr>
      <w:r w:rsidRPr="00C51AE9">
        <w:rPr>
          <w:rFonts w:ascii="Times New Roman" w:hAnsi="Times New Roman" w:cs="Times New Roman"/>
        </w:rPr>
        <w:t xml:space="preserve">Ky vendim zbatohet nga të gjithë operatorët ekonomikë, prodhuesit, importuesit dhe tregtuesit e qeseve  mbajtëse plastike të lehta, si dhe e qeseve  mbajtëse plastike të </w:t>
      </w:r>
      <w:proofErr w:type="spellStart"/>
      <w:r w:rsidRPr="00C51AE9">
        <w:rPr>
          <w:rFonts w:ascii="Times New Roman" w:hAnsi="Times New Roman" w:cs="Times New Roman"/>
        </w:rPr>
        <w:t>oxo-degradueshme</w:t>
      </w:r>
      <w:proofErr w:type="spellEnd"/>
      <w:r w:rsidRPr="00C51AE9">
        <w:rPr>
          <w:rFonts w:ascii="Times New Roman" w:hAnsi="Times New Roman" w:cs="Times New Roman"/>
        </w:rPr>
        <w:t>, dhe për të gjitha ambalazhet, pavarësisht nga materiali përbërës i tyre, për të gjitha mbetjet e krijuara nga ambalazhet, pa dallim nëse ato përdoren apo e kanë origjinën nga industria, prodhimtaria,  tregtia me pakicë ose shpërndarjes, shërbimet apo ekonomitë familjare.</w:t>
      </w:r>
    </w:p>
    <w:p w14:paraId="545F01F1" w14:textId="77777777" w:rsidR="00767CD0" w:rsidRPr="00C51AE9" w:rsidRDefault="00C51AE9">
      <w:pPr>
        <w:numPr>
          <w:ilvl w:val="0"/>
          <w:numId w:val="4"/>
        </w:numPr>
        <w:contextualSpacing/>
        <w:jc w:val="both"/>
        <w:rPr>
          <w:rFonts w:ascii="Times New Roman" w:hAnsi="Times New Roman" w:cs="Times New Roman"/>
        </w:rPr>
      </w:pPr>
      <w:r w:rsidRPr="00C51AE9">
        <w:rPr>
          <w:rFonts w:ascii="Times New Roman" w:hAnsi="Times New Roman" w:cs="Times New Roman"/>
        </w:rPr>
        <w:t xml:space="preserve"> Ky vendim zbatohet bazuar në dispozitat e legjislacionit në fuqi për menaxhimin e integruar të mbetjeve si dhe në kërkesat e tjera ligjore për mjedisin, sigurinë, cilësinë, mbrojtjen e shëndetit dhe higjienën e produkteve të ambalazhuara. Në rast se dispozitat e këtij vendimi bien ndesh me legjislacionin në fuqi për transportin e mallrave të rrezikshme, përparësi zbatimi do të kenë dispozitat e këtij të fundit.</w:t>
      </w:r>
    </w:p>
    <w:p w14:paraId="5BDA56A3" w14:textId="77777777" w:rsidR="00767CD0" w:rsidRPr="00C51AE9" w:rsidRDefault="00C51AE9">
      <w:pPr>
        <w:numPr>
          <w:ilvl w:val="0"/>
          <w:numId w:val="4"/>
        </w:numPr>
        <w:contextualSpacing/>
        <w:jc w:val="both"/>
        <w:rPr>
          <w:rFonts w:ascii="Times New Roman" w:hAnsi="Times New Roman" w:cs="Times New Roman"/>
        </w:rPr>
      </w:pPr>
      <w:r w:rsidRPr="00C51AE9">
        <w:rPr>
          <w:rFonts w:ascii="Times New Roman" w:hAnsi="Times New Roman" w:cs="Times New Roman"/>
        </w:rPr>
        <w:t xml:space="preserve">Dispozitat e Kreut VIII të këtij vendimi, që lidhen me përgjegjësinë e zgjeruar të prodhuesit, autorizimin e Shoqërive të Përgjegjësisë së Zgjeruar të Subjekteve Prodhuese, regjistrin e prodhuesve, pjesën e tregut, kontratat me njësitë e vetëqeverisjes vendore, garancitë financiare dhe raportimin, kanë karakter plotësues dhe zbatohen në përputhje me ligjin nr.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dhe aktet nënligjore të dala në zbatim të tij. </w:t>
      </w:r>
      <w:bookmarkStart w:id="4" w:name="_Toc227317600"/>
    </w:p>
    <w:p w14:paraId="623A8E1E"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3 </w:t>
      </w:r>
    </w:p>
    <w:p w14:paraId="7B6B0C1B"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Përkufizime </w:t>
      </w:r>
      <w:bookmarkEnd w:id="4"/>
    </w:p>
    <w:p w14:paraId="54BC67A3" w14:textId="77777777" w:rsidR="00767CD0" w:rsidRPr="00C51AE9" w:rsidRDefault="00C51AE9" w:rsidP="00C51AE9">
      <w:pPr>
        <w:spacing w:after="0"/>
        <w:ind w:left="360"/>
        <w:jc w:val="both"/>
        <w:rPr>
          <w:rFonts w:ascii="Times New Roman" w:hAnsi="Times New Roman" w:cs="Times New Roman"/>
        </w:rPr>
      </w:pPr>
      <w:r w:rsidRPr="00C51AE9">
        <w:rPr>
          <w:rFonts w:ascii="Times New Roman" w:hAnsi="Times New Roman" w:cs="Times New Roman"/>
        </w:rPr>
        <w:t xml:space="preserve">Termat e përdorur në këtë vendim kanë të njëjtin kuptim si termat e përcaktuar në Neni 4 të Ligjit Nr. 57/2025, "Për menaxhimin e integruar të mbetjeve", dhe Neni 3, të Ligjit Nr.74/2025, " Për përgjegjësitë e zgjeruara të prodhuesve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ndërsa termat e mëposhtëm kanë kuptimet e mëposhtme:</w:t>
      </w:r>
    </w:p>
    <w:p w14:paraId="5AE0AD8F" w14:textId="77777777" w:rsidR="00767CD0" w:rsidRPr="00C51AE9" w:rsidRDefault="00C51AE9" w:rsidP="00F635BF">
      <w:pPr>
        <w:numPr>
          <w:ilvl w:val="0"/>
          <w:numId w:val="84"/>
        </w:numPr>
        <w:spacing w:after="0"/>
        <w:ind w:left="270" w:hanging="270"/>
        <w:contextualSpacing/>
        <w:jc w:val="both"/>
        <w:rPr>
          <w:rFonts w:ascii="Times New Roman" w:hAnsi="Times New Roman" w:cs="Times New Roman"/>
        </w:rPr>
      </w:pPr>
      <w:r w:rsidRPr="00C51AE9">
        <w:rPr>
          <w:rFonts w:ascii="Times New Roman" w:hAnsi="Times New Roman" w:cs="Times New Roman"/>
        </w:rPr>
        <w:t xml:space="preserve">“Ambalazh” ka kuptimin sipas pikës 4 të nenit 3 të ligjit Nr. 57/2025 “Për menaxhimin e integruar të mbetjeve”, dhe në kuptim të këtij vendimi nënkupton një artikull, pavarësisht materialeve nga të cilat përbëhet, që synohet të përdoret nga një operator ekonomik për mbajtjen, mbrojtjen, trajtimin, dorëzimin ose paraqitjen e produkteve te një operator tjetër ekonomik ose te një përdorues fundor, dhe që mund të diferencohet </w:t>
      </w:r>
      <w:r w:rsidRPr="00C51AE9">
        <w:rPr>
          <w:rFonts w:ascii="Times New Roman" w:hAnsi="Times New Roman" w:cs="Times New Roman"/>
        </w:rPr>
        <w:lastRenderedPageBreak/>
        <w:t>sipas formatit të ambalazhimit bazuar në funksionin, materialin dhe projektimin e tij, duke përfshirë:</w:t>
      </w:r>
    </w:p>
    <w:p w14:paraId="786F1C84" w14:textId="77777777" w:rsidR="00767CD0" w:rsidRPr="00C51AE9" w:rsidRDefault="00C51AE9" w:rsidP="00F635BF">
      <w:pPr>
        <w:numPr>
          <w:ilvl w:val="0"/>
          <w:numId w:val="79"/>
        </w:numPr>
        <w:ind w:left="1170"/>
        <w:contextualSpacing/>
        <w:jc w:val="both"/>
        <w:rPr>
          <w:rFonts w:ascii="Times New Roman" w:hAnsi="Times New Roman" w:cs="Times New Roman"/>
        </w:rPr>
      </w:pPr>
      <w:r w:rsidRPr="00C51AE9">
        <w:rPr>
          <w:rFonts w:ascii="Times New Roman" w:hAnsi="Times New Roman" w:cs="Times New Roman"/>
        </w:rPr>
        <w:t>një artikull që është i nevojshëm për të mbajtur, mbështetur ose ruajtur një produkt gjatë gjithë jetëgjatësisë së tij, pa qenë pjesë përbërëse e produktit, dhe që synohet të përdoret, konsumohet ose hidhet poshtë së bashku me produktin;</w:t>
      </w:r>
    </w:p>
    <w:p w14:paraId="59A5DE6D" w14:textId="77777777" w:rsidR="00767CD0" w:rsidRPr="00C51AE9" w:rsidRDefault="00C51AE9" w:rsidP="00F635BF">
      <w:pPr>
        <w:numPr>
          <w:ilvl w:val="0"/>
          <w:numId w:val="79"/>
        </w:numPr>
        <w:ind w:left="1170"/>
        <w:contextualSpacing/>
        <w:jc w:val="both"/>
        <w:rPr>
          <w:rFonts w:ascii="Times New Roman" w:hAnsi="Times New Roman" w:cs="Times New Roman"/>
        </w:rPr>
      </w:pPr>
      <w:r w:rsidRPr="00C51AE9">
        <w:rPr>
          <w:rFonts w:ascii="Times New Roman" w:hAnsi="Times New Roman" w:cs="Times New Roman"/>
        </w:rPr>
        <w:t>një komponent i, dhe element ndihmës për një artikull të përmendur në pikën (a) që është i integruar në artikull;</w:t>
      </w:r>
    </w:p>
    <w:p w14:paraId="4B52D9C8" w14:textId="77777777" w:rsidR="00767CD0" w:rsidRPr="00C51AE9" w:rsidRDefault="00C51AE9" w:rsidP="00F635BF">
      <w:pPr>
        <w:numPr>
          <w:ilvl w:val="0"/>
          <w:numId w:val="79"/>
        </w:numPr>
        <w:spacing w:after="0"/>
        <w:ind w:left="1170"/>
        <w:contextualSpacing/>
        <w:jc w:val="both"/>
        <w:rPr>
          <w:rFonts w:ascii="Times New Roman" w:hAnsi="Times New Roman" w:cs="Times New Roman"/>
        </w:rPr>
      </w:pPr>
      <w:r w:rsidRPr="00C51AE9">
        <w:rPr>
          <w:rFonts w:ascii="Times New Roman" w:hAnsi="Times New Roman" w:cs="Times New Roman"/>
        </w:rPr>
        <w:t>një element ndihmës i një artikulli të përmendur në pikën (a) që varet drejtpërdrejt në, ose i bashkëngjitet, produktit dhe që kryen një funksion ambalazhimi, pa qenë pjesë përbërëse e produktit, dhe që synohet të përdoret, konsumohet ose asgjësohet së bashku me produktin;</w:t>
      </w:r>
    </w:p>
    <w:p w14:paraId="4479B3DC" w14:textId="77777777" w:rsidR="00767CD0" w:rsidRPr="00C51AE9" w:rsidRDefault="00C51AE9">
      <w:pPr>
        <w:spacing w:after="0"/>
        <w:ind w:left="1170" w:hanging="270"/>
        <w:jc w:val="both"/>
        <w:rPr>
          <w:rFonts w:ascii="Times New Roman" w:hAnsi="Times New Roman" w:cs="Times New Roman"/>
        </w:rPr>
      </w:pPr>
      <w:r w:rsidRPr="00C51AE9">
        <w:rPr>
          <w:rFonts w:ascii="Times New Roman" w:hAnsi="Times New Roman" w:cs="Times New Roman"/>
        </w:rPr>
        <w:t>ç. një artikull që është projektuar dhe synuar të mbushet në pikën e shitjes për të shpërndarë produktin, i cili gjithashtu quhet ‘ambalazh shërbimi’;</w:t>
      </w:r>
    </w:p>
    <w:p w14:paraId="0BF5CF79" w14:textId="77777777" w:rsidR="00767CD0" w:rsidRPr="00C51AE9" w:rsidRDefault="00C51AE9" w:rsidP="00F635BF">
      <w:pPr>
        <w:numPr>
          <w:ilvl w:val="0"/>
          <w:numId w:val="79"/>
        </w:numPr>
        <w:spacing w:after="0"/>
        <w:ind w:left="1170"/>
        <w:contextualSpacing/>
        <w:jc w:val="both"/>
        <w:rPr>
          <w:rFonts w:ascii="Times New Roman" w:hAnsi="Times New Roman" w:cs="Times New Roman"/>
        </w:rPr>
      </w:pPr>
      <w:r w:rsidRPr="00C51AE9">
        <w:rPr>
          <w:rFonts w:ascii="Times New Roman" w:hAnsi="Times New Roman" w:cs="Times New Roman"/>
        </w:rPr>
        <w:t xml:space="preserve">një artikull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që shitet dhe mbushet ose është projektuar dhe synohet të mbushet në pikën e shitjes dhe që kryen një funksion ambalazhimi;</w:t>
      </w:r>
    </w:p>
    <w:p w14:paraId="7025128C" w14:textId="77777777" w:rsidR="00767CD0" w:rsidRPr="00C51AE9" w:rsidRDefault="00C51AE9">
      <w:pPr>
        <w:spacing w:after="0"/>
        <w:ind w:left="1170" w:hanging="360"/>
        <w:jc w:val="both"/>
        <w:rPr>
          <w:rFonts w:ascii="Times New Roman" w:hAnsi="Times New Roman" w:cs="Times New Roman"/>
        </w:rPr>
      </w:pPr>
      <w:r w:rsidRPr="00C51AE9">
        <w:rPr>
          <w:rFonts w:ascii="Times New Roman" w:hAnsi="Times New Roman" w:cs="Times New Roman"/>
        </w:rPr>
        <w:t>dh. një qese të përshkueshme çaji, kafeje ose pijeje tjetër, ose një njësi me porcion të vetëm me sistem të butë pas përdorimit që përmban çaj, kafe ose një pije tjetër, dhe që synohet të përdoret dhe të hidhet së bashku me produktin;</w:t>
      </w:r>
    </w:p>
    <w:p w14:paraId="59456A89" w14:textId="77777777" w:rsidR="00767CD0" w:rsidRPr="00C51AE9" w:rsidRDefault="00C51AE9">
      <w:pPr>
        <w:spacing w:after="0"/>
        <w:ind w:left="1170" w:hanging="270"/>
        <w:jc w:val="both"/>
        <w:rPr>
          <w:rFonts w:ascii="Times New Roman" w:hAnsi="Times New Roman" w:cs="Times New Roman"/>
        </w:rPr>
      </w:pPr>
      <w:r w:rsidRPr="00C51AE9">
        <w:rPr>
          <w:rFonts w:ascii="Times New Roman" w:hAnsi="Times New Roman" w:cs="Times New Roman"/>
        </w:rPr>
        <w:t xml:space="preserve">g. kapsulat ose dozat </w:t>
      </w:r>
      <w:proofErr w:type="spellStart"/>
      <w:r w:rsidRPr="00C51AE9">
        <w:rPr>
          <w:rFonts w:ascii="Times New Roman" w:hAnsi="Times New Roman" w:cs="Times New Roman"/>
        </w:rPr>
        <w:t>njëpërdorimshe</w:t>
      </w:r>
      <w:proofErr w:type="spellEnd"/>
      <w:r w:rsidRPr="00C51AE9">
        <w:rPr>
          <w:rFonts w:ascii="Times New Roman" w:hAnsi="Times New Roman" w:cs="Times New Roman"/>
        </w:rPr>
        <w:t xml:space="preserve"> të përbëra nga materiale të papërshkueshme për çaj, kafe ose pije të tjera, të destinuara për t'u përdorur në aparate specifike dhe që përdoren e hidhen si mbetje së bashku me produktin;</w:t>
      </w:r>
    </w:p>
    <w:p w14:paraId="5714F65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i destinuar për produktet të ndjeshme ndaj kontaktit” është ambalazhi i destinuar për produkte që kërkojnë standarde specifike sigurie </w:t>
      </w:r>
      <w:proofErr w:type="spellStart"/>
      <w:r w:rsidRPr="00C51AE9">
        <w:rPr>
          <w:rFonts w:ascii="Times New Roman" w:hAnsi="Times New Roman" w:cs="Times New Roman"/>
        </w:rPr>
        <w:t>higjieno</w:t>
      </w:r>
      <w:proofErr w:type="spellEnd"/>
      <w:r w:rsidRPr="00C51AE9">
        <w:rPr>
          <w:rFonts w:ascii="Times New Roman" w:hAnsi="Times New Roman" w:cs="Times New Roman"/>
        </w:rPr>
        <w:t>-sanitare, duke përfshirë, ushqimin për njerëz dhe kafshë, produktet kozmetike, barnat mjekësore (humane dhe veterinare), pajisjet mjekësore, shtesat ushqimore, si dhe ambalazhet për transportin e mallrave të rrezikshme, sipas legjislacionit përkatës në fuqi.</w:t>
      </w:r>
    </w:p>
    <w:p w14:paraId="5A3B490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“Ambalazh i grupuar” nënkupton ambalazhimin e konceptuar në mënyrë që të përbëjë një grupim të një numri të caktuar njësish shitjeje në pikën e shitjes, pavarësisht nëse ai grupim njësish shitjeje shitet si i tillë te përdoruesi fundor ose nëse shërben si një mjet për të lehtësuar rimbushjen e rafteve në pikën e shitjes ose për të krijuar një njësi ruajtjeje stoku ose shpërndarjeje, dhe i cili mund të hiqet nga produkti pa ndikuar në karakteristikat e tij;</w:t>
      </w:r>
    </w:p>
    <w:p w14:paraId="2F6CD706" w14:textId="77777777" w:rsidR="00767CD0" w:rsidRPr="00C51AE9" w:rsidRDefault="00C51AE9" w:rsidP="00F635BF">
      <w:pPr>
        <w:numPr>
          <w:ilvl w:val="0"/>
          <w:numId w:val="84"/>
        </w:numPr>
        <w:contextualSpacing/>
        <w:jc w:val="both"/>
        <w:rPr>
          <w:rFonts w:ascii="Times New Roman" w:hAnsi="Times New Roman" w:cs="Times New Roman"/>
        </w:rPr>
      </w:pPr>
      <w:bookmarkStart w:id="5" w:name="_bookmark111"/>
      <w:bookmarkEnd w:id="5"/>
      <w:r w:rsidRPr="00C51AE9">
        <w:rPr>
          <w:rFonts w:ascii="Times New Roman" w:hAnsi="Times New Roman" w:cs="Times New Roman"/>
        </w:rPr>
        <w:t xml:space="preserve">“Ambalazh i </w:t>
      </w:r>
      <w:proofErr w:type="spellStart"/>
      <w:r w:rsidRPr="00C51AE9">
        <w:rPr>
          <w:rFonts w:ascii="Times New Roman" w:hAnsi="Times New Roman" w:cs="Times New Roman"/>
        </w:rPr>
        <w:t>kompostueshëm</w:t>
      </w:r>
      <w:proofErr w:type="spellEnd"/>
      <w:r w:rsidRPr="00C51AE9">
        <w:rPr>
          <w:rFonts w:ascii="Times New Roman" w:hAnsi="Times New Roman" w:cs="Times New Roman"/>
        </w:rPr>
        <w:t xml:space="preserve">” nënkupton ambalazhin që </w:t>
      </w:r>
      <w:proofErr w:type="spellStart"/>
      <w:r w:rsidRPr="00C51AE9">
        <w:rPr>
          <w:rFonts w:ascii="Times New Roman" w:hAnsi="Times New Roman" w:cs="Times New Roman"/>
        </w:rPr>
        <w:t>biodegradohet</w:t>
      </w:r>
      <w:proofErr w:type="spellEnd"/>
      <w:r w:rsidRPr="00C51AE9">
        <w:rPr>
          <w:rFonts w:ascii="Times New Roman" w:hAnsi="Times New Roman" w:cs="Times New Roman"/>
        </w:rPr>
        <w:t xml:space="preserve"> në kushte të kontrolluara industriale ose që është i aftë t’i nënshtrohet dekompozimit biologjik në kushte të tilla, përfshirë tretjen anaerobe, por jo domosdoshmërish në një mjedis kompostimi shtëpiak, i kombinuar, nëse është e nevojshme, me trajtim fizik, duke rezultuar përfundimisht në shndërrimin e ambalazhit në </w:t>
      </w:r>
      <w:proofErr w:type="spellStart"/>
      <w:r w:rsidRPr="00C51AE9">
        <w:rPr>
          <w:rFonts w:ascii="Times New Roman" w:hAnsi="Times New Roman" w:cs="Times New Roman"/>
        </w:rPr>
        <w:t>dioksid</w:t>
      </w:r>
      <w:proofErr w:type="spellEnd"/>
      <w:r w:rsidRPr="00C51AE9">
        <w:rPr>
          <w:rFonts w:ascii="Times New Roman" w:hAnsi="Times New Roman" w:cs="Times New Roman"/>
        </w:rPr>
        <w:t xml:space="preserve"> karboni ose, në mungesë të oksigjenit, metan, kripëra minerale, biomasë dhe ujë, dhe që nuk pengon ose rrezikon grumbullimin e veçantë dhe procesin e kompostimit dhe të tretjes anaerobe;</w:t>
      </w:r>
    </w:p>
    <w:p w14:paraId="7D81E056"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i </w:t>
      </w:r>
      <w:proofErr w:type="spellStart"/>
      <w:r w:rsidRPr="00C51AE9">
        <w:rPr>
          <w:rFonts w:ascii="Times New Roman" w:hAnsi="Times New Roman" w:cs="Times New Roman"/>
        </w:rPr>
        <w:t>kompostueshëm</w:t>
      </w:r>
      <w:proofErr w:type="spellEnd"/>
      <w:r w:rsidRPr="00C51AE9">
        <w:rPr>
          <w:rFonts w:ascii="Times New Roman" w:hAnsi="Times New Roman" w:cs="Times New Roman"/>
        </w:rPr>
        <w:t xml:space="preserve"> në shtëpi’ është ambalazh që mund të </w:t>
      </w:r>
      <w:proofErr w:type="spellStart"/>
      <w:r w:rsidRPr="00C51AE9">
        <w:rPr>
          <w:rFonts w:ascii="Times New Roman" w:hAnsi="Times New Roman" w:cs="Times New Roman"/>
        </w:rPr>
        <w:t>biodegradohet</w:t>
      </w:r>
      <w:proofErr w:type="spellEnd"/>
      <w:r w:rsidRPr="00C51AE9">
        <w:rPr>
          <w:rFonts w:ascii="Times New Roman" w:hAnsi="Times New Roman" w:cs="Times New Roman"/>
        </w:rPr>
        <w:t xml:space="preserve"> në kushte të pakontrolluara që nuk janë impiante kompostimi në shkallë industriale </w:t>
      </w:r>
      <w:r w:rsidRPr="00C51AE9">
        <w:rPr>
          <w:rFonts w:ascii="Times New Roman" w:hAnsi="Times New Roman" w:cs="Times New Roman"/>
        </w:rPr>
        <w:lastRenderedPageBreak/>
        <w:t xml:space="preserve">dhe procesi i kompostimit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cilit kryhet nga individë privatë me qëllim prodhimin e </w:t>
      </w:r>
      <w:proofErr w:type="spellStart"/>
      <w:r w:rsidRPr="00C51AE9">
        <w:rPr>
          <w:rFonts w:ascii="Times New Roman" w:hAnsi="Times New Roman" w:cs="Times New Roman"/>
        </w:rPr>
        <w:t>kompostit</w:t>
      </w:r>
      <w:proofErr w:type="spellEnd"/>
      <w:r w:rsidRPr="00C51AE9">
        <w:rPr>
          <w:rFonts w:ascii="Times New Roman" w:hAnsi="Times New Roman" w:cs="Times New Roman"/>
        </w:rPr>
        <w:t xml:space="preserve"> për përdorimin e tyre.</w:t>
      </w:r>
    </w:p>
    <w:p w14:paraId="7A88374E"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i përbërë” nënkupton një njësi ambalazhi të bërë nga dy ose më shumë materiale të ndryshme të cilat përbëjnë pjesë të peshës së materialit kryesor të ambalazhit dhe nuk mund të ndahen </w:t>
      </w:r>
      <w:proofErr w:type="spellStart"/>
      <w:r w:rsidRPr="00C51AE9">
        <w:rPr>
          <w:rFonts w:ascii="Times New Roman" w:hAnsi="Times New Roman" w:cs="Times New Roman"/>
        </w:rPr>
        <w:t>manualisht</w:t>
      </w:r>
      <w:proofErr w:type="spellEnd"/>
      <w:r w:rsidRPr="00C51AE9">
        <w:rPr>
          <w:rFonts w:ascii="Times New Roman" w:hAnsi="Times New Roman" w:cs="Times New Roman"/>
        </w:rPr>
        <w:t xml:space="preserve"> dhe për këtë arsye formojnë një njësi të vetme integrale, përveç rasteve kur njëri prej materialeve përbën një pjesë të parëndësishme të njësisë së ambalazhit dhe në çdo rast jo më shumë se 5 % të masës totale të njësisë së ambalazhit dhe duke përjashtuar etiketat, </w:t>
      </w:r>
      <w:proofErr w:type="spellStart"/>
      <w:r w:rsidRPr="00C51AE9">
        <w:rPr>
          <w:rFonts w:ascii="Times New Roman" w:hAnsi="Times New Roman" w:cs="Times New Roman"/>
        </w:rPr>
        <w:t>vernikët</w:t>
      </w:r>
      <w:proofErr w:type="spellEnd"/>
      <w:r w:rsidRPr="00C51AE9">
        <w:rPr>
          <w:rFonts w:ascii="Times New Roman" w:hAnsi="Times New Roman" w:cs="Times New Roman"/>
        </w:rPr>
        <w:t xml:space="preserve">, bojërat, ngjyrat, ngjitësit dhe </w:t>
      </w:r>
      <w:proofErr w:type="spellStart"/>
      <w:r w:rsidRPr="00C51AE9">
        <w:rPr>
          <w:rFonts w:ascii="Times New Roman" w:hAnsi="Times New Roman" w:cs="Times New Roman"/>
        </w:rPr>
        <w:t>llaqet</w:t>
      </w:r>
      <w:proofErr w:type="spellEnd"/>
      <w:r w:rsidRPr="00C51AE9">
        <w:rPr>
          <w:rFonts w:ascii="Times New Roman" w:hAnsi="Times New Roman" w:cs="Times New Roman"/>
        </w:rPr>
        <w:t>.</w:t>
      </w:r>
    </w:p>
    <w:p w14:paraId="56BE931C"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“Ambalazh i prodhimit parësor’” janë artikuj të projektuar dhe të destinuar për t'u përdorur si ambalazhe për produkte të papërpunuara, që e kanë origjinën nga prodhimi parësor, sipas përcaktimit në legjislacionin në fuqi për ushqimin;</w:t>
      </w:r>
    </w:p>
    <w:p w14:paraId="681E890A"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me një përdorim” do të thotë ambalazh që nuk është ambalazh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w:t>
      </w:r>
    </w:p>
    <w:p w14:paraId="767C25BD" w14:textId="77777777" w:rsidR="00767CD0" w:rsidRPr="00C51AE9" w:rsidRDefault="00C51AE9" w:rsidP="00F635BF">
      <w:pPr>
        <w:numPr>
          <w:ilvl w:val="0"/>
          <w:numId w:val="84"/>
        </w:numPr>
        <w:spacing w:after="0"/>
        <w:contextualSpacing/>
        <w:jc w:val="both"/>
        <w:rPr>
          <w:rFonts w:ascii="Times New Roman" w:hAnsi="Times New Roman" w:cs="Times New Roman"/>
        </w:rPr>
      </w:pPr>
      <w:r w:rsidRPr="00C51AE9">
        <w:rPr>
          <w:rFonts w:ascii="Times New Roman" w:hAnsi="Times New Roman" w:cs="Times New Roman"/>
        </w:rPr>
        <w:t>“Ambalazh për marrje me vete” është ambalazhi i shërbimit që mbushet në pikat e shitjes me pije ose ushqime të gatshme, të cilat për t'u transportuar dhe konsumuar menjëherë në një vend tjetër, pa pasur nevojë për përgatitje të mëtejshme, dhe që përgjithësisht konsumohen direkt nga ky ambalazh.</w:t>
      </w:r>
    </w:p>
    <w:p w14:paraId="13C0AD16"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për tregti elektronike” është ambalazh transporti i përdorur për të dorëzuar produkte në kontekstin e shitjes </w:t>
      </w:r>
      <w:proofErr w:type="spellStart"/>
      <w:r w:rsidRPr="00C51AE9">
        <w:rPr>
          <w:rFonts w:ascii="Times New Roman" w:hAnsi="Times New Roman" w:cs="Times New Roman"/>
          <w:i/>
          <w:iCs/>
        </w:rPr>
        <w:t>online</w:t>
      </w:r>
      <w:proofErr w:type="spellEnd"/>
      <w:r w:rsidRPr="00C51AE9">
        <w:rPr>
          <w:rFonts w:ascii="Times New Roman" w:hAnsi="Times New Roman" w:cs="Times New Roman"/>
        </w:rPr>
        <w:t xml:space="preserve"> ose nëpërmjet mjeteve të tjera të shitjeve në distancë te përdoruesi fundor.</w:t>
      </w:r>
    </w:p>
    <w:p w14:paraId="61BCEE58"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“Ambalazh që paraqet një risk serioz” nënkupton ambalazh që paraqet një rrezik për të cilin, bazuar në një vlerësim, shkalla e mospërputhshmërisë përkatëse ose dëmi i lidhur konsiderohet se kërkon ndërhyrje të shpejtë nga autoritetet e mbikëqyrjes së tregut, përfshirë rastet kur efektet e mospërputhshmërisë nuk janë të menjëhershme.</w:t>
      </w:r>
    </w:p>
    <w:p w14:paraId="28109F8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 që paraqet risk” nënkupton ambalazh që, duke mos përmbushur një kërkesë të parashikuar në ose në zbatim të këtij vendimi, përveç atyre kërkesave të </w:t>
      </w:r>
      <w:proofErr w:type="spellStart"/>
      <w:r w:rsidRPr="00C51AE9">
        <w:rPr>
          <w:rFonts w:ascii="Times New Roman" w:hAnsi="Times New Roman" w:cs="Times New Roman"/>
        </w:rPr>
        <w:t>listuara</w:t>
      </w:r>
      <w:proofErr w:type="spellEnd"/>
      <w:r w:rsidRPr="00C51AE9">
        <w:rPr>
          <w:rFonts w:ascii="Times New Roman" w:hAnsi="Times New Roman" w:cs="Times New Roman"/>
        </w:rPr>
        <w:t xml:space="preserve"> në nenin 68 të këtij vendimi, mund të ndikojë negativisht në mjedis, shëndet ose interesa të tjera publike të mbrojtura nga ajo kërkesë.</w:t>
      </w:r>
    </w:p>
    <w:p w14:paraId="20C3E32B"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“Ambalazh shitjeje” nënkupton ambalazhin e konceptuar në mënyrë të tillë që të përbëjë një njësi shitjeje të përbërë nga produkte dhe ambalazh për përdoruesin përfundimtar në pikën e shitjes;</w:t>
      </w:r>
    </w:p>
    <w:p w14:paraId="15EEB128"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“Ambalazh transporti” është ambalazhi i konceptuar në mënyrë të tillë që të lehtësojë trajtimin dhe transportin e një ose më shumë njësive të shitjes ose një grupimi të njësive të shitjes, me qëllim parandalimin e dëmtimit të produktit nga trajtimi dhe transporti, por që përjashton kontejnerët rrugorë, hekurudhorë, detarë dhe ajrorë;</w:t>
      </w:r>
    </w:p>
    <w:p w14:paraId="010EF86B"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“Ambalazhim </w:t>
      </w:r>
      <w:proofErr w:type="spellStart"/>
      <w:r w:rsidRPr="00C51AE9">
        <w:rPr>
          <w:rFonts w:ascii="Times New Roman" w:hAnsi="Times New Roman" w:cs="Times New Roman"/>
        </w:rPr>
        <w:t>inovativ</w:t>
      </w:r>
      <w:proofErr w:type="spellEnd"/>
      <w:r w:rsidRPr="00C51AE9">
        <w:rPr>
          <w:rFonts w:ascii="Times New Roman" w:hAnsi="Times New Roman" w:cs="Times New Roman"/>
        </w:rPr>
        <w:t xml:space="preserve">” nënkupton një formë ambalazhimi që prodhohet duke përdorur materiale të reja, duke rezultuar në një përmirësim të ndjeshëm të funksioneve të ambalazhimit, siç janë përmbajtja, mbrojtja, trajtimi, ose shpërndarja e produkteve, dhe në përfitime të përgjithshme mjedisore të </w:t>
      </w:r>
      <w:proofErr w:type="spellStart"/>
      <w:r w:rsidRPr="00C51AE9">
        <w:rPr>
          <w:rFonts w:ascii="Times New Roman" w:hAnsi="Times New Roman" w:cs="Times New Roman"/>
        </w:rPr>
        <w:t>demonstrueshme</w:t>
      </w:r>
      <w:proofErr w:type="spellEnd"/>
      <w:r w:rsidRPr="00C51AE9">
        <w:rPr>
          <w:rFonts w:ascii="Times New Roman" w:hAnsi="Times New Roman" w:cs="Times New Roman"/>
        </w:rPr>
        <w:t>, me përjashtim të ambalazhimit që është rezultat i modifikimit të ambalazhimit ekzistues për qëllimin kryesor të përmirësimit të paraqitjes së produkteve dhe marketingut.</w:t>
      </w:r>
    </w:p>
    <w:p w14:paraId="365CCCC8" w14:textId="77777777" w:rsidR="00767CD0" w:rsidRPr="00C51AE9" w:rsidRDefault="00C51AE9" w:rsidP="00F635BF">
      <w:pPr>
        <w:numPr>
          <w:ilvl w:val="0"/>
          <w:numId w:val="84"/>
        </w:numPr>
        <w:spacing w:after="0"/>
        <w:contextualSpacing/>
        <w:jc w:val="both"/>
        <w:rPr>
          <w:rFonts w:ascii="Times New Roman" w:hAnsi="Times New Roman" w:cs="Times New Roman"/>
        </w:rPr>
      </w:pPr>
      <w:r w:rsidRPr="00C51AE9">
        <w:lastRenderedPageBreak/>
        <w:t>“Bartës i të dhënave” është një</w:t>
      </w:r>
      <w:r w:rsidRPr="00C51AE9">
        <w:rPr>
          <w:rFonts w:ascii="Times New Roman" w:hAnsi="Times New Roman" w:cs="Times New Roman"/>
        </w:rPr>
        <w:t xml:space="preserve"> simbol </w:t>
      </w:r>
      <w:proofErr w:type="spellStart"/>
      <w:r w:rsidRPr="00C51AE9">
        <w:rPr>
          <w:rFonts w:ascii="Times New Roman" w:hAnsi="Times New Roman" w:cs="Times New Roman"/>
        </w:rPr>
        <w:t>barkodi</w:t>
      </w:r>
      <w:proofErr w:type="spellEnd"/>
      <w:r w:rsidRPr="00C51AE9">
        <w:rPr>
          <w:rFonts w:ascii="Times New Roman" w:hAnsi="Times New Roman" w:cs="Times New Roman"/>
        </w:rPr>
        <w:t xml:space="preserve"> linear, një simbol </w:t>
      </w:r>
      <w:proofErr w:type="spellStart"/>
      <w:r w:rsidRPr="00C51AE9">
        <w:rPr>
          <w:rFonts w:ascii="Times New Roman" w:hAnsi="Times New Roman" w:cs="Times New Roman"/>
        </w:rPr>
        <w:t>dydimensional</w:t>
      </w:r>
      <w:proofErr w:type="spellEnd"/>
      <w:r w:rsidRPr="00C51AE9">
        <w:rPr>
          <w:rFonts w:ascii="Times New Roman" w:hAnsi="Times New Roman" w:cs="Times New Roman"/>
        </w:rPr>
        <w:t xml:space="preserve"> ose një mjet tjetër për kapjen automatike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të identifikimit, i cili mund të lexohet nga një pajisje.</w:t>
      </w:r>
    </w:p>
    <w:p w14:paraId="2128D91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“Cikli i jetës” nënkupton fazat e njëpasnjëshme dhe të ndërlidhura të jetës së ambalazhimit, që përbëhen nga sigurimi i lëndës së parë ose gjenerimi nga burimet natyrore, </w:t>
      </w:r>
      <w:proofErr w:type="spellStart"/>
      <w:r w:rsidRPr="00C51AE9">
        <w:rPr>
          <w:rFonts w:ascii="Times New Roman" w:hAnsi="Times New Roman" w:cs="Times New Roman"/>
        </w:rPr>
        <w:t>parapërpunimi</w:t>
      </w:r>
      <w:proofErr w:type="spellEnd"/>
      <w:r w:rsidRPr="00C51AE9">
        <w:rPr>
          <w:rFonts w:ascii="Times New Roman" w:hAnsi="Times New Roman" w:cs="Times New Roman"/>
        </w:rPr>
        <w:t>, prodhimi, magazinimi, shpërndarja, përdorimi, riparimi, ripërdorimi dhe fundi i jetës.</w:t>
      </w:r>
    </w:p>
    <w:p w14:paraId="371C404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“Depozitë’ janë një shumë e përcaktuar parash, që nuk është pjesë e çmimit të një produkti të ambalazhuar ose të mbushur, e cila mblidhet nga përdoruesi fundor kur blen një produkt të tillë të ambalazhuar ose të mbushur, të mbuluar nga një sistem depozite dhe kthimi dhe e </w:t>
      </w:r>
      <w:proofErr w:type="spellStart"/>
      <w:r w:rsidRPr="00C51AE9">
        <w:rPr>
          <w:rFonts w:ascii="Times New Roman" w:hAnsi="Times New Roman" w:cs="Times New Roman"/>
        </w:rPr>
        <w:t>rimbursueshme</w:t>
      </w:r>
      <w:proofErr w:type="spellEnd"/>
      <w:r w:rsidRPr="00C51AE9">
        <w:rPr>
          <w:rFonts w:ascii="Times New Roman" w:hAnsi="Times New Roman" w:cs="Times New Roman"/>
        </w:rPr>
        <w:t xml:space="preserve"> kur përdoruesi fundor ose çdo person tjetër e kthen ambalazhimin me depozitë në një pikë grumbullimi të krijuar për këtë qëllim.</w:t>
      </w:r>
    </w:p>
    <w:p w14:paraId="51DA111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‘"Enë mbajtëse të mbetjeve</w:t>
      </w:r>
      <w:r w:rsidRPr="00C51AE9">
        <w:rPr>
          <w:rFonts w:ascii="Times New Roman" w:hAnsi="Times New Roman" w:cs="Times New Roman"/>
          <w:b/>
          <w:bCs/>
        </w:rPr>
        <w:t>"</w:t>
      </w:r>
      <w:r w:rsidRPr="00C51AE9">
        <w:rPr>
          <w:rFonts w:ascii="Times New Roman" w:hAnsi="Times New Roman" w:cs="Times New Roman"/>
        </w:rPr>
        <w:t xml:space="preserve"> janë të gjitha enët, koshat, kontejnerët apo qeset që përdoren posaçërisht për grumbullimin, ruajtjen e përkohshme dhe mbledhjen e mbetjeve.</w:t>
      </w:r>
    </w:p>
    <w:p w14:paraId="35CDCB5D"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“Furnizues” është çdo person fizik ose juridik që furnizon ambalazhe ose material ambalazhimi për një prodhues;</w:t>
      </w:r>
    </w:p>
    <w:p w14:paraId="32FF70DF"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Importues” nënkupton çdo person fizik ose juridik i vendosur në territorin e Republikës së Shqipëri që vendos në treg në territorin e Republikës së Shqipëri ambalazhin e importuar nga një vend tjetër.</w:t>
      </w:r>
    </w:p>
    <w:p w14:paraId="0C99FCCC"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Kategori ambalazhimi” është një kombinim materiali dhe projektimi specifik të ambalazhimit që përcakton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duke iu referuar proceseve më të përparuara të vendosura të grumbullimit, klasifikimit dhe riciklimit të provuara në kushte operative dhe që është i rëndësishëm për përcaktimin e kritereve të projektimit për riciklim.</w:t>
      </w:r>
    </w:p>
    <w:p w14:paraId="0A83D32A"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“Kodi QR” është një bar kod dy </w:t>
      </w:r>
      <w:proofErr w:type="spellStart"/>
      <w:r w:rsidRPr="00C51AE9">
        <w:rPr>
          <w:rFonts w:ascii="Times New Roman" w:hAnsi="Times New Roman" w:cs="Times New Roman"/>
        </w:rPr>
        <w:t>dimensional</w:t>
      </w:r>
      <w:proofErr w:type="spellEnd"/>
      <w:r w:rsidRPr="00C51AE9">
        <w:rPr>
          <w:rFonts w:ascii="Times New Roman" w:hAnsi="Times New Roman" w:cs="Times New Roman"/>
        </w:rPr>
        <w:t xml:space="preserve"> i përgjigjes së shpejtë, që përdoret për të </w:t>
      </w:r>
      <w:proofErr w:type="spellStart"/>
      <w:r w:rsidRPr="00C51AE9">
        <w:rPr>
          <w:rFonts w:ascii="Times New Roman" w:hAnsi="Times New Roman" w:cs="Times New Roman"/>
        </w:rPr>
        <w:t>aksesuar</w:t>
      </w:r>
      <w:proofErr w:type="spellEnd"/>
      <w:r w:rsidRPr="00C51AE9">
        <w:rPr>
          <w:rFonts w:ascii="Times New Roman" w:hAnsi="Times New Roman" w:cs="Times New Roman"/>
        </w:rPr>
        <w:t xml:space="preserve"> në mënyrë të thjeshtë dhe të shpejtë informacionin, sipas përcaktimit në legjislacionin për </w:t>
      </w:r>
      <w:proofErr w:type="spellStart"/>
      <w:r w:rsidRPr="00C51AE9">
        <w:rPr>
          <w:rFonts w:ascii="Times New Roman" w:hAnsi="Times New Roman" w:cs="Times New Roman"/>
        </w:rPr>
        <w:t>fiskalizimin</w:t>
      </w:r>
      <w:proofErr w:type="spellEnd"/>
      <w:r w:rsidRPr="00C51AE9">
        <w:rPr>
          <w:rFonts w:ascii="Times New Roman" w:hAnsi="Times New Roman" w:cs="Times New Roman"/>
        </w:rPr>
        <w:t>.</w:t>
      </w:r>
    </w:p>
    <w:p w14:paraId="7E48967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“Konsumator” nënkupton çdo person fizik që vepron për qëllime të cilat janë jashtë tregtisë, biznesit ose profesionit të tij.</w:t>
      </w:r>
    </w:p>
    <w:p w14:paraId="41C0895A"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“Kontratë në distancë” është kontratë e lidhur ndërmjet tregtarit dhe konsumatorit sipas një skeme të organizuar shitjeje në distancë ose ofrimi shërbimesh pa praninë fizike të njëkohshme të tregtarit dhe konsumatorit, me përdorimin ekskluziv të një ose më shumë mjeteve të komunikimit në distancë deri dhe duke përfshirë kohën në të cilën lidhet kontrata; </w:t>
      </w:r>
    </w:p>
    <w:p w14:paraId="126217F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“Lëndë të para dytësore” është material që i janë nënshtruar të gjitha kontrolleve dhe klasifikimeve të nevojshme dhe janë përftuar përmes proceseve të riciklimit dhe mund të zëvendësojnë lëndët e para parësore;</w:t>
      </w:r>
    </w:p>
    <w:p w14:paraId="583D2EA6"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“Mbetje ambalazhi të ricikluara në shkallë” janë mbetjet e ambalazheve që grumbullohen në mënyrë të diferencuar, ndahen dhe riciklohen në infrastrukturë të instaluar, nëpërmjet proceseve të provuara në mjedis operativ, të cilat sigurojnë në nivel të Bashkimit Evropian një sasi vjetore të materialit të ricikluar, për secilën kategori ambalazhi të përcaktuar në tabelën 2 të Shtojcës II të këtij vendimi, prej të paktën 30 % për drurin dhe 55 % për të gjitha materialet e tjera, duke përfshirë </w:t>
      </w:r>
      <w:r w:rsidRPr="00C51AE9">
        <w:rPr>
          <w:rFonts w:ascii="Times New Roman" w:hAnsi="Times New Roman" w:cs="Times New Roman"/>
        </w:rPr>
        <w:lastRenderedPageBreak/>
        <w:t>mbetjet e ambalazheve të eksportuara që përmbushin kërkesat e nenit 63 të këtij vendimi.</w:t>
      </w:r>
    </w:p>
    <w:p w14:paraId="3E3375B0"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Mbetje plastike pas konsumit” nënkupton mbetje që janë plastikë dhe që janë </w:t>
      </w:r>
      <w:proofErr w:type="spellStart"/>
      <w:r w:rsidRPr="00C51AE9">
        <w:rPr>
          <w:rFonts w:ascii="Times New Roman" w:hAnsi="Times New Roman" w:cs="Times New Roman"/>
        </w:rPr>
        <w:t>gjeneruar</w:t>
      </w:r>
      <w:proofErr w:type="spellEnd"/>
      <w:r w:rsidRPr="00C51AE9">
        <w:rPr>
          <w:rFonts w:ascii="Times New Roman" w:hAnsi="Times New Roman" w:cs="Times New Roman"/>
        </w:rPr>
        <w:t xml:space="preserve"> nga produkte plastike që janë hedhur në treg ose janë furnizuar për shpërndarje, konsum ose përdorim në një vend të tretë gjatë një veprimtarie tregtare, qoftë kundrejt pagesës ose pa pagesë.</w:t>
      </w:r>
    </w:p>
    <w:p w14:paraId="5736C38B"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“Mjedise shitjeje” është sipërfaqja e dedikuar për ekspozimin e mallrave të ofruara për shitje, për kryerjen e pagesës për këto mallra, si dhe për lëvizjen dhe qëndrimin e klientëve, por nuk përfshin mjediset që nuk janë të hapura për publikun, siç janë hapësirat e magazinimit, ose mjedise të tjera ku produktet nuk ekspozohen, siç janë </w:t>
      </w:r>
      <w:proofErr w:type="spellStart"/>
      <w:r w:rsidRPr="00C51AE9">
        <w:rPr>
          <w:rFonts w:ascii="Times New Roman" w:hAnsi="Times New Roman" w:cs="Times New Roman"/>
        </w:rPr>
        <w:t>vendparkimet</w:t>
      </w:r>
      <w:proofErr w:type="spellEnd"/>
      <w:r w:rsidRPr="00C51AE9">
        <w:rPr>
          <w:rFonts w:ascii="Times New Roman" w:hAnsi="Times New Roman" w:cs="Times New Roman"/>
        </w:rPr>
        <w:t>; në kontekstin e ambalazheve të tregtisë elektronike, sipërfaqja e magazinimit dhe e dërgimit konsiderohet mjedise shitjeje;.</w:t>
      </w:r>
    </w:p>
    <w:p w14:paraId="6AF886D5"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“Ndërmarrje </w:t>
      </w:r>
      <w:proofErr w:type="spellStart"/>
      <w:r w:rsidRPr="00C51AE9">
        <w:rPr>
          <w:rFonts w:ascii="Times New Roman" w:hAnsi="Times New Roman" w:cs="Times New Roman"/>
        </w:rPr>
        <w:t>mikro</w:t>
      </w:r>
      <w:proofErr w:type="spellEnd"/>
      <w:r w:rsidRPr="00C51AE9">
        <w:rPr>
          <w:rFonts w:ascii="Times New Roman" w:hAnsi="Times New Roman" w:cs="Times New Roman"/>
        </w:rPr>
        <w:t xml:space="preserve">” ka të njëjtin kuptim me përkufizimin e dhënë në pikën 4 të nenit 3 të ligjit nr. 43/2022, “Për zhvillimin e ndërmarrjeve </w:t>
      </w:r>
      <w:proofErr w:type="spellStart"/>
      <w:r w:rsidRPr="00C51AE9">
        <w:rPr>
          <w:rFonts w:ascii="Times New Roman" w:hAnsi="Times New Roman" w:cs="Times New Roman"/>
        </w:rPr>
        <w:t>mikro</w:t>
      </w:r>
      <w:proofErr w:type="spellEnd"/>
      <w:r w:rsidRPr="00C51AE9">
        <w:rPr>
          <w:rFonts w:ascii="Times New Roman" w:hAnsi="Times New Roman" w:cs="Times New Roman"/>
        </w:rPr>
        <w:t>, të vogla dhe të mesme”.</w:t>
      </w:r>
    </w:p>
    <w:p w14:paraId="5B598354"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“Njësi ambalazhimi” nënkupton një njësi, duke përfshirë çdo përbërës të integruar ose të veçantë, e cila në tërësi kryen një funksion ambalazhimi, si mbajtja, mbrojtja, trajtimi, dorëzimi, magazinimi, transporti ose paraqitja e produkteve, dhe përfshin njësitë e pavarura të ambalazhit të grupuar ose të ambalazhit të transportit, kur ato hidhen/flaken përpara dërgimit në pikën së shitjes.</w:t>
      </w:r>
    </w:p>
    <w:p w14:paraId="1410015D"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"Objektivi për popullsinë e mbuluar nga Shoqëritë e Përgjegjësisë së Zgjeruar të Subjekteve Prodhuese" është një rezultat që llogaritet sipas formulës së mëposhtme: </w:t>
      </w:r>
    </w:p>
    <w:p w14:paraId="45110A14"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 xml:space="preserve">N </w:t>
      </w:r>
      <w:r w:rsidRPr="00C51AE9">
        <w:rPr>
          <w:rFonts w:ascii="Times New Roman" w:hAnsi="Times New Roman" w:cs="Times New Roman"/>
          <w:vertAlign w:val="subscript"/>
        </w:rPr>
        <w:t>SHPZP 1</w:t>
      </w:r>
      <w:r w:rsidRPr="00C51AE9">
        <w:rPr>
          <w:rFonts w:ascii="Times New Roman" w:hAnsi="Times New Roman" w:cs="Times New Roman"/>
        </w:rPr>
        <w:t xml:space="preserve"> = </w:t>
      </w:r>
      <w:bookmarkStart w:id="6" w:name="_Hlk202626510"/>
      <w:r w:rsidRPr="00C51AE9">
        <w:rPr>
          <w:rFonts w:ascii="Times New Roman" w:hAnsi="Times New Roman" w:cs="Times New Roman"/>
        </w:rPr>
        <w:t xml:space="preserve">M </w:t>
      </w:r>
      <w:r w:rsidRPr="00C51AE9">
        <w:rPr>
          <w:rFonts w:ascii="Times New Roman" w:hAnsi="Times New Roman" w:cs="Times New Roman"/>
          <w:vertAlign w:val="subscript"/>
        </w:rPr>
        <w:t>SHPZP 1</w:t>
      </w:r>
      <w:bookmarkEnd w:id="6"/>
      <w:r w:rsidRPr="00C51AE9">
        <w:rPr>
          <w:rFonts w:ascii="Times New Roman" w:hAnsi="Times New Roman" w:cs="Times New Roman"/>
          <w:vertAlign w:val="subscript"/>
        </w:rPr>
        <w:t xml:space="preserve"> </w:t>
      </w:r>
      <w:r w:rsidRPr="00C51AE9">
        <w:rPr>
          <w:rFonts w:ascii="Times New Roman" w:hAnsi="Times New Roman" w:cs="Times New Roman"/>
        </w:rPr>
        <w:t>x N</w:t>
      </w:r>
      <w:r w:rsidRPr="00C51AE9">
        <w:rPr>
          <w:rFonts w:ascii="Times New Roman" w:hAnsi="Times New Roman" w:cs="Times New Roman"/>
          <w:vertAlign w:val="subscript"/>
        </w:rPr>
        <w:t>MON</w:t>
      </w:r>
      <w:r w:rsidRPr="00C51AE9">
        <w:rPr>
          <w:rFonts w:ascii="Times New Roman" w:hAnsi="Times New Roman" w:cs="Times New Roman"/>
        </w:rPr>
        <w:t xml:space="preserve">, ku: </w:t>
      </w:r>
    </w:p>
    <w:p w14:paraId="39BC6B12"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 xml:space="preserve">N </w:t>
      </w:r>
      <w:r w:rsidRPr="00C51AE9">
        <w:rPr>
          <w:rFonts w:ascii="Times New Roman" w:hAnsi="Times New Roman" w:cs="Times New Roman"/>
          <w:vertAlign w:val="subscript"/>
        </w:rPr>
        <w:t>SHPZP 1</w:t>
      </w:r>
      <w:r w:rsidRPr="00C51AE9">
        <w:rPr>
          <w:rFonts w:ascii="Times New Roman" w:hAnsi="Times New Roman" w:cs="Times New Roman"/>
        </w:rPr>
        <w:t xml:space="preserve"> është detyrimi që popullsisë t’i ofrohen shërbime të diferencuara grumbullimi nga SHPZP 1  (numri i banorëve);</w:t>
      </w:r>
    </w:p>
    <w:p w14:paraId="0C646829" w14:textId="77777777" w:rsidR="00767CD0" w:rsidRPr="00C51AE9" w:rsidRDefault="00C51AE9">
      <w:pPr>
        <w:ind w:left="360" w:firstLine="360"/>
        <w:contextualSpacing/>
        <w:jc w:val="both"/>
        <w:rPr>
          <w:rFonts w:ascii="Times New Roman" w:hAnsi="Times New Roman" w:cs="Times New Roman"/>
        </w:rPr>
      </w:pPr>
      <w:r w:rsidRPr="00C51AE9">
        <w:rPr>
          <w:rFonts w:ascii="Times New Roman" w:hAnsi="Times New Roman" w:cs="Times New Roman"/>
        </w:rPr>
        <w:t xml:space="preserve">M </w:t>
      </w:r>
      <w:r w:rsidRPr="00C51AE9">
        <w:rPr>
          <w:rFonts w:ascii="Times New Roman" w:hAnsi="Times New Roman" w:cs="Times New Roman"/>
          <w:vertAlign w:val="subscript"/>
        </w:rPr>
        <w:t>SHPZP 1</w:t>
      </w:r>
      <w:r w:rsidRPr="00C51AE9">
        <w:rPr>
          <w:rFonts w:ascii="Times New Roman" w:hAnsi="Times New Roman" w:cs="Times New Roman"/>
        </w:rPr>
        <w:t xml:space="preserve">– është pjesa e tregut e PRO1; </w:t>
      </w:r>
    </w:p>
    <w:p w14:paraId="02FC9F7A" w14:textId="77777777" w:rsidR="00767CD0" w:rsidRPr="00C51AE9" w:rsidRDefault="00C51AE9">
      <w:pPr>
        <w:ind w:left="360" w:firstLine="360"/>
        <w:contextualSpacing/>
        <w:jc w:val="both"/>
        <w:rPr>
          <w:rFonts w:ascii="Times New Roman" w:hAnsi="Times New Roman" w:cs="Times New Roman"/>
        </w:rPr>
      </w:pPr>
      <w:r w:rsidRPr="00C51AE9">
        <w:rPr>
          <w:rFonts w:ascii="Times New Roman" w:hAnsi="Times New Roman" w:cs="Times New Roman"/>
        </w:rPr>
        <w:t>N</w:t>
      </w:r>
      <w:r w:rsidRPr="00C51AE9">
        <w:rPr>
          <w:rFonts w:ascii="Times New Roman" w:hAnsi="Times New Roman" w:cs="Times New Roman"/>
          <w:vertAlign w:val="subscript"/>
        </w:rPr>
        <w:t>MON</w:t>
      </w:r>
      <w:r w:rsidRPr="00C51AE9">
        <w:rPr>
          <w:rFonts w:ascii="Times New Roman" w:hAnsi="Times New Roman" w:cs="Times New Roman"/>
        </w:rPr>
        <w:t xml:space="preserve"> – është popullsia totale e Shqipërisë për periudhën përkatëse</w:t>
      </w:r>
    </w:p>
    <w:p w14:paraId="307EAFBD"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“Ofrues i shërbimeve të përmbushjes së porosive” është çdo person fizik ose juridik që, gjatë ushtrimit të një veprimtarie tregtare, ofron të paktën dy nga shërbimet e mëposhtme, magazinimin, ambalazhimin, adresimin dhe dërgimin, pa pasur pronësinë mbi produktet përkatëse, me përjashtim të shërbimeve postare, shërbimeve të dorëzimit të pakove dhe shërbimeve të tjera postare ose të transportit të mallrave. .</w:t>
      </w:r>
    </w:p>
    <w:p w14:paraId="0728A3C8"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“Operator ekonomik” nënkupton prodhuesin, furnizuesin, importuesin, shpërndarësin, përfaqësuesin e autorizuar, shpërndarësin përfundimtar dhe ofruesin e shërbimit të  përmbushjes së porosive tregtare sipas legjislacionit për legjislacioni për Tregun e Brendshëm, Sigurinë e Produkteve dhe Mbikëqyrjen e Tregut  në Shqipëri.  </w:t>
      </w:r>
    </w:p>
    <w:p w14:paraId="3D1FEA0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“Parandalimi i mbetjeve të ambalazheve” nënkupton masat e marra përpara se çdo ambalazh ose material ambalazhimi të shndërrohet në mbetje ambalazhesh, të cilat zvogëlojnë sasinë e mbetjeve të ambalazheve, në mënyrë që të nevojitet më pak ambalazh ose të mos nevojitet fare ambalazh për të përmbajtur, mbrojtur, trajtuar, transportuar ose paraqitur produktet, duke përfshirë masat që lidhen me ripërdorimin e ambalazheve dhe masat për zgjatjen e jetëgjatësisë së tyre përpara se ato të shndërrohen në mbetje..</w:t>
      </w:r>
    </w:p>
    <w:p w14:paraId="0C61D52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lastRenderedPageBreak/>
        <w:t>“Përbërës i integruar” nënkupton një përbërës ambalazhimi, qoftë ose jo prej të njëjtit material si, ose i dallueshëm nga trupi kryesor i njësisë së ambalazhimit, që është integral për njësinë e ambalazhimit dhe funksionimin e saj, që nuk ka nevojë të ndahet nga trupi kryesor i njësisë së ambalazhimit për të siguruar funksionalitetin e njësisë së ambalazhimit dhe që zakonisht hidhet në të njëjtën kohë si trupi kryesor i njësisë së ambalazhimit, megjithëse jo domosdoshmërish përmes të njëjtës rrugë asgjësimi</w:t>
      </w:r>
    </w:p>
    <w:p w14:paraId="203A0A8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“Përbërës i veçantë” është një përbërës i ambalazhit, qoftë ose jo i përbërë nga i njëjti material si trupi kryesor i njësisë së ambalazhit, që është i dallueshëm nga trupi kryesor i njësisë së ambalazhit, që duhet të çmontohet plotësisht dhe në mënyrë të përhershme nga trupi kryesor i njësisë së ambalazhit dhe që zakonisht hidhet përpara dhe veçmas nga trupi kryesor i njësisë së ambalazhit, duke përfshirë përbërësit e ambalazhit që mund të ndahen nga njëri-tjetri vetëm si rezultat i stresit mekanik gjatë transportit ose klasifikimit.</w:t>
      </w:r>
    </w:p>
    <w:p w14:paraId="6DB20DEB"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“Përdorues fundor’ është çdo person fizik ose juridik që banon ose është i themeluar në Republikën e Shqipërisë, të cilit një produkt i është vënë në dispozicion qoftë si konsumator ose si përdorues fundor profesional në rrjedhën e veprimtarive të tij industriale ose profesionale, dhe që nuk e vendos atë produkt më tej në treg në formën në të cilën i është furnizuar.</w:t>
      </w:r>
    </w:p>
    <w:p w14:paraId="62CCD16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“Përfaqësues i autorizuar” nënkupton çdo person fizik ose juridik që ushtron aktivitet tregtar në Republikën e Shqipërisë që ka marrë një mandat me shkrim nga prodhuesi për të vepruar në emër të atij prodhuesi në lidhje me detyra të përcaktuara për sa i përket detyrimeve të prodhuesit sipas këtij vendimi;</w:t>
      </w:r>
    </w:p>
    <w:p w14:paraId="668A3EF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“Përfaqësues i autorizuar për përgjegjësinë e zgjeruar të prodhuesit” është çdo person fizik ose juridik që ushtron aktivitet tregtar në Republikën e Shqipërisë ku prodhuesi vendos për herë të parë në treg ambalazhe ose produkte të ambalazhuara në territorin e Republikës së Shqipërisë, ose kur ai shpaketon produkte të ambalazhuara pa qenë përdorues fundor, i ndryshëm nga vendi i origjinës ose vendit të tretë ku prodhuesi është i vendosur dhe që emërohet nga prodhuesi për të përmbushur detyrimet e atij prodhuesi sipas Kreut VIII të këtij vendimi.</w:t>
      </w:r>
    </w:p>
    <w:p w14:paraId="609DC4A5"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"Pjesa e tregut e Shoqërisë së Përgjegjësisë së Zgjeruar të Subjekteve Prodhuese " është raporti ndërmjet sasisë së ambalazhit të deklaruar secilit prej Shoqërive të Përgjegjësisë së Zgjeruar të Subjekteve Prodhuese - për dymbëdhjetë muajt e fundit dhe sasisë totale të ambalazhit të deklaruar për të gjithë Shoqëritë e Përgjegjësive të Zgjeruar të Subjekteve Prodhuese - për numrin e muajve të pranisë në treg. Pjesa e tregut llogaritet sipas formulës: </w:t>
      </w:r>
    </w:p>
    <w:p w14:paraId="1F8DDC03" w14:textId="77777777" w:rsidR="00767CD0" w:rsidRPr="00C51AE9" w:rsidRDefault="00C51AE9" w:rsidP="00F635BF">
      <w:pPr>
        <w:numPr>
          <w:ilvl w:val="1"/>
          <w:numId w:val="84"/>
        </w:numPr>
        <w:contextualSpacing/>
        <w:jc w:val="both"/>
        <w:rPr>
          <w:rFonts w:ascii="Times New Roman" w:hAnsi="Times New Roman" w:cs="Times New Roman"/>
        </w:rPr>
      </w:pPr>
      <w:r w:rsidRPr="00C51AE9">
        <w:rPr>
          <w:rFonts w:ascii="Times New Roman" w:hAnsi="Times New Roman" w:cs="Times New Roman"/>
        </w:rPr>
        <w:t xml:space="preserve">M është pjesa e tregut, %; </w:t>
      </w:r>
    </w:p>
    <w:p w14:paraId="203E326A" w14:textId="77777777" w:rsidR="00767CD0" w:rsidRPr="00C51AE9" w:rsidRDefault="00C51AE9" w:rsidP="00F635BF">
      <w:pPr>
        <w:numPr>
          <w:ilvl w:val="1"/>
          <w:numId w:val="84"/>
        </w:numPr>
        <w:contextualSpacing/>
        <w:jc w:val="both"/>
        <w:rPr>
          <w:rFonts w:ascii="Times New Roman" w:hAnsi="Times New Roman" w:cs="Times New Roman"/>
        </w:rPr>
      </w:pPr>
      <w:r w:rsidRPr="00C51AE9">
        <w:rPr>
          <w:rFonts w:ascii="Times New Roman" w:hAnsi="Times New Roman" w:cs="Times New Roman"/>
        </w:rPr>
        <w:t xml:space="preserve">PQ – ambalazhimi i përfaqësuar nga shoqëria për 12 muajt e fundit; Shoqëria e Përgjegjësisë së Zgjeruar të Subjekteve Prodhuese 1 - N - Shoqërive të Përgjegjësisë së Zgjeruar të Subjekteve Prodhuese -të që janë regjistruar për të operuar për një periudhë prej 12 muajsh. </w:t>
      </w:r>
    </w:p>
    <w:p w14:paraId="0D20BF63" w14:textId="77777777" w:rsidR="00767CD0" w:rsidRPr="00C51AE9" w:rsidRDefault="00C51AE9" w:rsidP="00F635BF">
      <w:pPr>
        <w:numPr>
          <w:ilvl w:val="1"/>
          <w:numId w:val="84"/>
        </w:numPr>
        <w:contextualSpacing/>
        <w:jc w:val="both"/>
        <w:rPr>
          <w:rFonts w:ascii="Times New Roman" w:hAnsi="Times New Roman" w:cs="Times New Roman"/>
        </w:rPr>
      </w:pPr>
      <w:r w:rsidRPr="00C51AE9">
        <w:rPr>
          <w:rFonts w:ascii="Times New Roman" w:hAnsi="Times New Roman" w:cs="Times New Roman"/>
        </w:rPr>
        <w:t xml:space="preserve">Pjesa e tregut llogaritet në fund të çdo tremujori të (fundit të prillit, gushtit dhe dhjetorit). Pjesa e tregut llogaritet duke pjesëtuar shumën e sasisë së ambalazheve të deklaruara te secila prej Shoqërive të Përgjegjësisë së Zgjeruar të Subjekteve Prodhuese që aktualisht operojnë gjatë 12 muajve </w:t>
      </w:r>
      <w:r w:rsidRPr="00C51AE9">
        <w:rPr>
          <w:rFonts w:ascii="Times New Roman" w:hAnsi="Times New Roman" w:cs="Times New Roman"/>
        </w:rPr>
        <w:lastRenderedPageBreak/>
        <w:t xml:space="preserve">të fundit me sasinë totale të ambalazheve të deklaruara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gjitha shoqëritë që kanë operuar gjatë kësaj periudhe.</w:t>
      </w:r>
    </w:p>
    <w:p w14:paraId="3C5AF94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“Plastika me bazë biologjike’ është plastika e prodhuara nga burime biologjike, si lëndë e parë nga biomasa, mbetje organike ose nënprodukte, dhe pavarësisht nëse </w:t>
      </w:r>
      <w:proofErr w:type="spellStart"/>
      <w:r w:rsidRPr="00C51AE9">
        <w:rPr>
          <w:rFonts w:ascii="Times New Roman" w:hAnsi="Times New Roman" w:cs="Times New Roman"/>
        </w:rPr>
        <w:t>plastikat</w:t>
      </w:r>
      <w:proofErr w:type="spellEnd"/>
      <w:r w:rsidRPr="00C51AE9">
        <w:rPr>
          <w:rFonts w:ascii="Times New Roman" w:hAnsi="Times New Roman" w:cs="Times New Roman"/>
        </w:rPr>
        <w:t xml:space="preserve"> janë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ose jo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w:t>
      </w:r>
    </w:p>
    <w:p w14:paraId="0919069D"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“Plastikë” në kuptim të këtij vendimi është materiali që përbëhet nga një </w:t>
      </w:r>
      <w:proofErr w:type="spellStart"/>
      <w:r w:rsidRPr="00C51AE9">
        <w:rPr>
          <w:rFonts w:ascii="Times New Roman" w:hAnsi="Times New Roman" w:cs="Times New Roman"/>
        </w:rPr>
        <w:t>polimer</w:t>
      </w:r>
      <w:proofErr w:type="spellEnd"/>
      <w:r w:rsidRPr="00C51AE9">
        <w:rPr>
          <w:rFonts w:ascii="Times New Roman" w:hAnsi="Times New Roman" w:cs="Times New Roman"/>
        </w:rPr>
        <w:t xml:space="preserve">, sipas përcaktimit të legjislacionit në fuqi për </w:t>
      </w:r>
      <w:proofErr w:type="spellStart"/>
      <w:r w:rsidRPr="00C51AE9">
        <w:rPr>
          <w:rFonts w:ascii="Times New Roman" w:hAnsi="Times New Roman" w:cs="Times New Roman"/>
        </w:rPr>
        <w:t>kimikatet</w:t>
      </w:r>
      <w:proofErr w:type="spellEnd"/>
      <w:r w:rsidRPr="00C51AE9">
        <w:rPr>
          <w:rFonts w:ascii="Times New Roman" w:hAnsi="Times New Roman" w:cs="Times New Roman"/>
        </w:rPr>
        <w:t xml:space="preserve">, të cilit mund t’i jenë shtuar aditivë ose substanca të tjera, dhe që mund të funksionojë si përbërës kryesor strukturor i ambalazhit, me përjashtim të </w:t>
      </w:r>
      <w:proofErr w:type="spellStart"/>
      <w:r w:rsidRPr="00C51AE9">
        <w:rPr>
          <w:rFonts w:ascii="Times New Roman" w:hAnsi="Times New Roman" w:cs="Times New Roman"/>
        </w:rPr>
        <w:t>polimereve</w:t>
      </w:r>
      <w:proofErr w:type="spellEnd"/>
      <w:r w:rsidRPr="00C51AE9">
        <w:rPr>
          <w:rFonts w:ascii="Times New Roman" w:hAnsi="Times New Roman" w:cs="Times New Roman"/>
        </w:rPr>
        <w:t xml:space="preserve"> natyrore që nuk janë modifikuar kimikisht.</w:t>
      </w:r>
    </w:p>
    <w:p w14:paraId="201F59E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“Platformë </w:t>
      </w:r>
      <w:proofErr w:type="spellStart"/>
      <w:r w:rsidRPr="00C51AE9">
        <w:rPr>
          <w:rFonts w:ascii="Times New Roman" w:hAnsi="Times New Roman" w:cs="Times New Roman"/>
        </w:rPr>
        <w:t>online</w:t>
      </w:r>
      <w:proofErr w:type="spellEnd"/>
      <w:r w:rsidRPr="00C51AE9">
        <w:rPr>
          <w:rFonts w:ascii="Times New Roman" w:hAnsi="Times New Roman" w:cs="Times New Roman"/>
        </w:rPr>
        <w:t>” është shërbimi i strehimit që, me kërkesë të marrësit të shërbimit, ruan dhe shpërndan informacion te publiku, përfshirë platformat që u mundësojnë konsumatorëve lidhjen e kontratave në distancë me operatorët ekonomikë, sipas përcaktimeve të legjislacionit në fuqi për tregtinë elektronike.</w:t>
      </w:r>
    </w:p>
    <w:p w14:paraId="6DC8B47A"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“Prodhues i ambalazhit ’ nënkupton çdo person fizik ose juridik që prodhon ambalazh ose një produkt të ambalazhuar megjithatë:</w:t>
      </w:r>
    </w:p>
    <w:p w14:paraId="47C0AA0D" w14:textId="77777777" w:rsidR="00767CD0" w:rsidRPr="00C51AE9" w:rsidRDefault="00C51AE9" w:rsidP="00F635BF">
      <w:pPr>
        <w:numPr>
          <w:ilvl w:val="0"/>
          <w:numId w:val="80"/>
        </w:numPr>
        <w:ind w:hanging="450"/>
        <w:contextualSpacing/>
        <w:jc w:val="both"/>
        <w:rPr>
          <w:rFonts w:ascii="Times New Roman" w:hAnsi="Times New Roman" w:cs="Times New Roman"/>
        </w:rPr>
      </w:pPr>
      <w:r w:rsidRPr="00C51AE9">
        <w:rPr>
          <w:rFonts w:ascii="Times New Roman" w:hAnsi="Times New Roman" w:cs="Times New Roman"/>
        </w:rPr>
        <w:t>në varësi të pikës (b), kur një person fizik ose juridik ka ambalazh ose një produkt të ambalazhuar të projektuar ose prodhuar nën emrin ose markën e vet tregtare, pavarësisht nëse ndonjë markë tjetër tregtare është e dukshme në ambalazh ose në produktin e ambalazhuar, “prodhues” nënkupton atë person fizik ose juridik;</w:t>
      </w:r>
    </w:p>
    <w:p w14:paraId="454886C5" w14:textId="77777777" w:rsidR="00767CD0" w:rsidRPr="00C51AE9" w:rsidRDefault="00C51AE9" w:rsidP="00F635BF">
      <w:pPr>
        <w:numPr>
          <w:ilvl w:val="0"/>
          <w:numId w:val="80"/>
        </w:numPr>
        <w:ind w:hanging="450"/>
        <w:contextualSpacing/>
        <w:jc w:val="both"/>
        <w:rPr>
          <w:rFonts w:ascii="Times New Roman" w:hAnsi="Times New Roman" w:cs="Times New Roman"/>
        </w:rPr>
      </w:pPr>
      <w:r w:rsidRPr="00C51AE9">
        <w:rPr>
          <w:rFonts w:ascii="Times New Roman" w:hAnsi="Times New Roman" w:cs="Times New Roman"/>
        </w:rPr>
        <w:t xml:space="preserve">kur personi fizik ose juridik që e ka ambalazhimin ose produktin e ambalazhuar të projektuar ose të prodhuar nën emrin ose markën tregtare të vet bie brenda përkufizimit të </w:t>
      </w:r>
      <w:proofErr w:type="spellStart"/>
      <w:r w:rsidRPr="00C51AE9">
        <w:rPr>
          <w:rFonts w:ascii="Times New Roman" w:hAnsi="Times New Roman" w:cs="Times New Roman"/>
        </w:rPr>
        <w:t>mikro</w:t>
      </w:r>
      <w:proofErr w:type="spellEnd"/>
      <w:r w:rsidRPr="00C51AE9">
        <w:rPr>
          <w:rFonts w:ascii="Times New Roman" w:hAnsi="Times New Roman" w:cs="Times New Roman"/>
        </w:rPr>
        <w:t xml:space="preserve"> ndërmarrjes, dhe personi fizik ose juridik që furnizon ambalazhim të personi fizik ose juridik që e ka ambalazhimin të projektuar ose të prodhuar nën emrin ose markën tregtare të vet ndodhet gjithashtu në Shqipëri, “prodhues” nënkupton personin fizik ose juridik që furnizon ambalazhimin;</w:t>
      </w:r>
    </w:p>
    <w:p w14:paraId="0A670970"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“Subjekt Prodhues” është çdo prodhues, importues ose shpërndarës ndaj të cilit, pavarësisht nga teknika e shitjes së përdorur, duke përfshirë me anë të kontratave në distancë, zbatohet një nga sa vijon:</w:t>
      </w:r>
    </w:p>
    <w:p w14:paraId="2DE1C74F" w14:textId="77777777" w:rsidR="00767CD0" w:rsidRPr="00C51AE9" w:rsidRDefault="00C51AE9" w:rsidP="00F635BF">
      <w:pPr>
        <w:numPr>
          <w:ilvl w:val="0"/>
          <w:numId w:val="81"/>
        </w:numPr>
        <w:contextualSpacing/>
        <w:jc w:val="both"/>
        <w:rPr>
          <w:rFonts w:ascii="Times New Roman" w:hAnsi="Times New Roman" w:cs="Times New Roman"/>
        </w:rPr>
      </w:pPr>
      <w:r w:rsidRPr="00C51AE9">
        <w:rPr>
          <w:rFonts w:ascii="Times New Roman" w:hAnsi="Times New Roman" w:cs="Times New Roman"/>
        </w:rPr>
        <w:t xml:space="preserve">prodhuesi, importuesi ose shpërndarësi është themeluar në Shqipëri dhe e vë në dispozicion për herë të parë brenda territorit të Shqipërisë ambalazhe transporti, ambalazhe shërbimi, ose ambalazhe të prodhimit parësor, qoftë si ambalazhe njëpërdorimshme ose si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ose</w:t>
      </w:r>
    </w:p>
    <w:p w14:paraId="49A7EF53" w14:textId="77777777" w:rsidR="00767CD0" w:rsidRPr="00C51AE9" w:rsidRDefault="00C51AE9" w:rsidP="00F635BF">
      <w:pPr>
        <w:numPr>
          <w:ilvl w:val="0"/>
          <w:numId w:val="81"/>
        </w:numPr>
        <w:contextualSpacing/>
        <w:jc w:val="both"/>
        <w:rPr>
          <w:rFonts w:ascii="Times New Roman" w:hAnsi="Times New Roman" w:cs="Times New Roman"/>
        </w:rPr>
      </w:pPr>
      <w:r w:rsidRPr="00C51AE9">
        <w:rPr>
          <w:rFonts w:ascii="Times New Roman" w:hAnsi="Times New Roman" w:cs="Times New Roman"/>
        </w:rPr>
        <w:t>prodhuesi, importuesi ose Shpërndarësi është i themeluar në Shqipëri dhe vë në dispozicion për herë të parë brenda territorit të Republikës së  Shqipërisë produkte të ambalazhuara në ambalazhe të ndryshme nga ato të përmendura në pikën a;</w:t>
      </w:r>
    </w:p>
    <w:p w14:paraId="4A9523E2" w14:textId="77777777" w:rsidR="00767CD0" w:rsidRPr="00C51AE9" w:rsidRDefault="00C51AE9" w:rsidP="00F635BF">
      <w:pPr>
        <w:numPr>
          <w:ilvl w:val="0"/>
          <w:numId w:val="81"/>
        </w:numPr>
        <w:spacing w:after="0"/>
        <w:contextualSpacing/>
        <w:jc w:val="both"/>
        <w:rPr>
          <w:rFonts w:ascii="Times New Roman" w:hAnsi="Times New Roman" w:cs="Times New Roman"/>
        </w:rPr>
      </w:pPr>
      <w:r w:rsidRPr="00C51AE9">
        <w:rPr>
          <w:rFonts w:ascii="Times New Roman" w:hAnsi="Times New Roman" w:cs="Times New Roman"/>
        </w:rPr>
        <w:t xml:space="preserve">prodhuesi, importuesi ose shpërndarësi është i themeluar në shtet anëtar të BE ose në një vend të tretë dhe vë në dispozicion për herë të parë në territorin e Shqipërisë, drejtpërdrejt për përdoruesit fundorë, ambalazh transporti, ambalazh shërbimi ose ambalazh të prodhimit parësor, qoftë si ambalazh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ose si ambalazh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w:t>
      </w:r>
    </w:p>
    <w:p w14:paraId="568E820C" w14:textId="77777777" w:rsidR="00767CD0" w:rsidRPr="00C51AE9" w:rsidRDefault="00C51AE9">
      <w:pPr>
        <w:spacing w:after="0"/>
        <w:ind w:left="990" w:hanging="270"/>
        <w:jc w:val="both"/>
        <w:rPr>
          <w:rFonts w:ascii="Times New Roman" w:hAnsi="Times New Roman" w:cs="Times New Roman"/>
        </w:rPr>
      </w:pPr>
      <w:r w:rsidRPr="00C51AE9">
        <w:rPr>
          <w:rFonts w:ascii="Times New Roman" w:hAnsi="Times New Roman" w:cs="Times New Roman"/>
        </w:rPr>
        <w:t xml:space="preserve">ç.  prodhuesi, importuesi ose shpërndarësi është themeluar në një shtet anëtar të BE            ose në një vend të tretë dhe vë në dispozicion për herë të parë në </w:t>
      </w:r>
      <w:r w:rsidRPr="00C51AE9">
        <w:rPr>
          <w:rFonts w:ascii="Times New Roman" w:hAnsi="Times New Roman" w:cs="Times New Roman"/>
        </w:rPr>
        <w:lastRenderedPageBreak/>
        <w:t>territorin e Shqipërisë, drejtpërdrejt për përdoruesit fundorë, produkte të ambalazhuara në ambalazh tjetër nga ato të përmendura në pikën (c);</w:t>
      </w:r>
    </w:p>
    <w:p w14:paraId="341FE43F"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t>dh. prodhuesi, importuesi ose Shpërndarësi është i themeluar në një Shqipëri dhe shpaketon produkte të ambalazhuara pa qenë përdorues fundor, përveç nëse një person tjetër është prodhuesi siç përcaktohet në pikën (a), (b), (c) ose (ç);</w:t>
      </w:r>
    </w:p>
    <w:p w14:paraId="46840F3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‘Projektim për riciklim” nënkupton projektimin e ambalazhit, duke përfshirë përbërësit individualë të ambalazhit, që siguron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ambalazhit me procese të vendosura grumbullimi, ndarjeje dhe riciklimi të provuara në kushte reale të funksionimit.</w:t>
      </w:r>
    </w:p>
    <w:p w14:paraId="5348920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eastAsia="EUAlbertina" w:hAnsi="Times New Roman" w:cs="Times New Roman"/>
          <w:w w:val="101"/>
        </w:rPr>
        <w:t xml:space="preserve">“Qese  mbajtëse plastike shumë të lehta janë qeset  mbajtëse plastike me trashësi muri më të vogël se 15 mikronë, të cilat përdoren për qëllime </w:t>
      </w:r>
      <w:proofErr w:type="spellStart"/>
      <w:r w:rsidRPr="00C51AE9">
        <w:rPr>
          <w:rFonts w:ascii="Times New Roman" w:eastAsia="EUAlbertina" w:hAnsi="Times New Roman" w:cs="Times New Roman"/>
          <w:w w:val="101"/>
        </w:rPr>
        <w:t>higjenike</w:t>
      </w:r>
      <w:proofErr w:type="spellEnd"/>
      <w:r w:rsidRPr="00C51AE9">
        <w:rPr>
          <w:rFonts w:ascii="Times New Roman" w:eastAsia="EUAlbertina" w:hAnsi="Times New Roman" w:cs="Times New Roman"/>
          <w:w w:val="101"/>
        </w:rPr>
        <w:t xml:space="preserve"> ose ofrohen si ambalazhim parësor për ushqime të shitura pa ambalazh, kur përdorimi i tyre kontribuon në parandalimin e shpërdorimit të ushqimit.</w:t>
      </w:r>
    </w:p>
    <w:p w14:paraId="22165F8C"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eastAsia="EUAlbertina" w:hAnsi="Times New Roman" w:cs="Times New Roman"/>
          <w:w w:val="101"/>
        </w:rPr>
        <w:t>“Qese mbajtëse plastike shumë të trasha” janë qeset mbajtëse plastike me trashësi muri mbi 99 mikronë.</w:t>
      </w:r>
    </w:p>
    <w:p w14:paraId="4F5C4B4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eastAsia="EUAlbertina" w:hAnsi="Times New Roman" w:cs="Times New Roman"/>
          <w:w w:val="101"/>
        </w:rPr>
        <w:t>“Qese mbajtëse plastike të trasha” janë qeset mbajtëse plastike me trashësi muri ndërmjet 70 dhe 99 mikronë.</w:t>
      </w:r>
    </w:p>
    <w:p w14:paraId="22C0152B"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“Riciklim i materialit” është çdo operacion rikuperimi me anë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cilit materialet e mbetjeve ripërpunohen në materiale ose substanca, qoftë për qëllimet fillestare ose të tjera, me përjashtim të operacioneve të trajtimit biologjik të mbetjeve ripërpunimi i materialit organik, rikuperimi i energjisë dhe ripërpunimi në materiale që  përdoren si lëndë djegëse ose për rimbushje. </w:t>
      </w:r>
    </w:p>
    <w:p w14:paraId="3DF8E59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“Riciklim me cilësi të lartë” nënkupton çdo proces riciklimi që prodhon materiale të ricikluara të cilat janë me cilësi të barasvlershme me materialet origjinale, bazuar në karakteristikat teknike të ruajtura, dhe që përdoren si zëvendësim për lëndët e para parësore për </w:t>
      </w:r>
      <w:proofErr w:type="spellStart"/>
      <w:r w:rsidRPr="00C51AE9">
        <w:rPr>
          <w:rFonts w:ascii="Times New Roman" w:hAnsi="Times New Roman" w:cs="Times New Roman"/>
        </w:rPr>
        <w:t>amabalazhim</w:t>
      </w:r>
      <w:proofErr w:type="spellEnd"/>
      <w:r w:rsidRPr="00C51AE9">
        <w:rPr>
          <w:rFonts w:ascii="Times New Roman" w:hAnsi="Times New Roman" w:cs="Times New Roman"/>
        </w:rPr>
        <w:t xml:space="preserve"> ose zbatime të tjera ku ruhet cilësia e materialit të ricikluar.</w:t>
      </w:r>
    </w:p>
    <w:p w14:paraId="108BC871"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w:t>
      </w:r>
      <w:proofErr w:type="spellStart"/>
      <w:r w:rsidRPr="00C51AE9">
        <w:rPr>
          <w:rFonts w:ascii="Times New Roman" w:hAnsi="Times New Roman" w:cs="Times New Roman"/>
        </w:rPr>
        <w:t>Riciklueshmëri</w:t>
      </w:r>
      <w:proofErr w:type="spellEnd"/>
      <w:r w:rsidRPr="00C51AE9">
        <w:rPr>
          <w:rFonts w:ascii="Times New Roman" w:hAnsi="Times New Roman" w:cs="Times New Roman"/>
        </w:rPr>
        <w:t>” nënkupton përputhshmërinë e ambalazhimit me menaxhimin dhe përpunimin e mbetjeve sipas projektimit, bazuar në grumbullimin e ndarë, klasifikimin në rryma të veçanta, riciklimin në shkallë të gjerë dhe përdorimin e materialeve të ricikluara për të zëvendësuar lëndët e para primare.</w:t>
      </w:r>
    </w:p>
    <w:p w14:paraId="5D954594" w14:textId="77777777" w:rsidR="00767CD0" w:rsidRPr="00C51AE9" w:rsidRDefault="00C51AE9" w:rsidP="00F635BF">
      <w:pPr>
        <w:numPr>
          <w:ilvl w:val="0"/>
          <w:numId w:val="84"/>
        </w:numPr>
        <w:contextualSpacing/>
        <w:jc w:val="both"/>
        <w:rPr>
          <w:rFonts w:ascii="Times New Roman" w:hAnsi="Times New Roman" w:cs="Times New Roman"/>
        </w:rPr>
      </w:pPr>
      <w:proofErr w:type="spellStart"/>
      <w:r w:rsidRPr="00C51AE9">
        <w:rPr>
          <w:rFonts w:ascii="Times New Roman" w:hAnsi="Times New Roman" w:cs="Times New Roman"/>
        </w:rPr>
        <w:t>Rikondicionim</w:t>
      </w:r>
      <w:proofErr w:type="spellEnd"/>
      <w:r w:rsidRPr="00C51AE9">
        <w:rPr>
          <w:rFonts w:ascii="Times New Roman" w:hAnsi="Times New Roman" w:cs="Times New Roman"/>
        </w:rPr>
        <w:t xml:space="preserve">” nënkupton çdo proces ose veprimtari të renditur në Pjesën B të Shtojcës VI të këtij vendimi, të nevojshme për të rikthyer ambalazhin e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në një gjendje funksionale, me qëllim që ai të përdoret sërish për të njëjtin qëllim.</w:t>
      </w:r>
    </w:p>
    <w:p w14:paraId="429B3740"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“Rimbushje” nënkupton një veprim nëpërmjet të cilit një enë që përmbush funksionin e ambalazhit dhe që është në pronësi të përdoruesit fundor ose blihet prej tij në pikën e shitjes së shpërndarësit përfundimtar, mbushet nga përdoruesi fundor ose nga shpërndarësi përfundimtar me një ose disa produkte të blera nga përdoruesi fundor te shpërndarësi përfundimtar.</w:t>
      </w:r>
    </w:p>
    <w:p w14:paraId="57A36F16"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Ripërdorim” nënkupton çdo veprim me anë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cilit ambalazhimi i ripërdorshim përdoret përsëri shumë herë për të njëjtin qëllim për të cilin është konceptuar.</w:t>
      </w:r>
    </w:p>
    <w:p w14:paraId="33E97ADB" w14:textId="77777777" w:rsidR="00767CD0" w:rsidRPr="00C51AE9" w:rsidRDefault="00C51AE9" w:rsidP="00F635BF">
      <w:pPr>
        <w:numPr>
          <w:ilvl w:val="0"/>
          <w:numId w:val="84"/>
        </w:numPr>
        <w:contextualSpacing/>
        <w:jc w:val="both"/>
        <w:rPr>
          <w:rFonts w:ascii="Times New Roman" w:hAnsi="Times New Roman" w:cs="Times New Roman"/>
        </w:rPr>
      </w:pPr>
      <w:r>
        <w:rPr>
          <w:rFonts w:ascii="Times New Roman" w:hAnsi="Times New Roman" w:cs="Times New Roman"/>
        </w:rPr>
        <w:t>“Risk” Rrezik</w:t>
      </w:r>
      <w:r w:rsidRPr="00C51AE9">
        <w:rPr>
          <w:rFonts w:ascii="Times New Roman" w:hAnsi="Times New Roman" w:cs="Times New Roman"/>
        </w:rPr>
        <w:t xml:space="preserve"> është kombinimi i probabilitetit mundësisë së shfaqjes së një rreziku që shkakton dëm dhe shkallës së rëndësisë së këtij dëmi.</w:t>
      </w:r>
    </w:p>
    <w:p w14:paraId="1F1AF190"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lastRenderedPageBreak/>
        <w:t xml:space="preserve">“Rotacion” nënkupton ciklin që ambalazhimi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përmbush nga momenti kur hidhet në treg së bashku me produktin që synon të përmbajë, mbrojë, trajtojë, dorëzojë ose paraqesë deri në momentin kur është gati të ripërdoret brenda një sistemi ripërdorimi me qëllim që të furnizohet sërish te përdoruesit fundorë së bashku me një produkt tjetër.</w:t>
      </w:r>
    </w:p>
    <w:p w14:paraId="67B1D828"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“Sektori i hotelerisë” restoranteve dhe </w:t>
      </w:r>
      <w:proofErr w:type="spellStart"/>
      <w:r w:rsidRPr="00C51AE9">
        <w:rPr>
          <w:rFonts w:ascii="Times New Roman" w:hAnsi="Times New Roman" w:cs="Times New Roman"/>
          <w:i/>
          <w:iCs/>
        </w:rPr>
        <w:t>kateringut</w:t>
      </w:r>
      <w:proofErr w:type="spellEnd"/>
      <w:r w:rsidRPr="00C51AE9">
        <w:rPr>
          <w:rFonts w:ascii="Times New Roman" w:hAnsi="Times New Roman" w:cs="Times New Roman"/>
        </w:rPr>
        <w:t xml:space="preserve"> (HORECA) nënkupton veprimtaritë që lidhen me shërbimet e akomodimit dhe të ushqimit, sipas Nomenklaturës së Veprimtarive Ekonomike në fuqi.</w:t>
      </w:r>
    </w:p>
    <w:p w14:paraId="2CBE753D"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“SIM” është Sistemi i informacionit të integruar mjedisor; </w:t>
      </w:r>
    </w:p>
    <w:p w14:paraId="21A45E8F"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“Sistem ripërdorimi” nënkupton rregullimet organizative, teknike ose financiare, së bashku me stimujt, që lejojnë ripërdorimin ose në një sistem me qark të mbyllur ose me qark të hapur, siç është një sistem depozitimi dhe kthimi që siguron që ambalazhi të mblidhet për ripërdorim.</w:t>
      </w:r>
    </w:p>
    <w:p w14:paraId="39CC4CAC"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“Sistemit të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është një sistem në të cilin një depozitë i ngarkohet përdoruesit fundor gjatë blerjes së një produkti të ambalazhuar ose të mbushur të mbuluar nga ai sistem, dhe </w:t>
      </w:r>
      <w:proofErr w:type="spellStart"/>
      <w:r w:rsidRPr="00C51AE9">
        <w:rPr>
          <w:rFonts w:ascii="Times New Roman" w:hAnsi="Times New Roman" w:cs="Times New Roman"/>
        </w:rPr>
        <w:t>rimbursohet</w:t>
      </w:r>
      <w:proofErr w:type="spellEnd"/>
      <w:r w:rsidRPr="00C51AE9">
        <w:rPr>
          <w:rFonts w:ascii="Times New Roman" w:hAnsi="Times New Roman" w:cs="Times New Roman"/>
        </w:rPr>
        <w:t xml:space="preserve"> kur ambalazhi që mban depozitën kthehet nëpërmjet njërit prej kanaleve të grumbullimit që janë të autorizuara për atë qëllim nga autoritetet kombëtare</w:t>
      </w:r>
    </w:p>
    <w:p w14:paraId="6DA62937"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“Specifikim teknik” nënkupton një dokument që përcakton kërkesat teknike që duhet të përmbushen nga një produkt, proces ose shërbim.</w:t>
      </w:r>
    </w:p>
    <w:p w14:paraId="1A880ECE"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“Stacion rimbushjeje” nënkupton një vend ku një shpërndarës u ofron përdoruesve fundorë produkte që mund të blihen përmes rimbushjes;</w:t>
      </w:r>
    </w:p>
    <w:p w14:paraId="70ACB6FF"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 “Standard i harmonizuar shqiptar”  përcaktohet sipas përcaktimit të Ligjit nr.9870, datë 4.2.2008 “Për standardizimin” i ndryshuar. </w:t>
      </w:r>
    </w:p>
    <w:p w14:paraId="2CF53D6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“Substanca </w:t>
      </w:r>
      <w:proofErr w:type="spellStart"/>
      <w:r w:rsidRPr="00C51AE9">
        <w:rPr>
          <w:rFonts w:ascii="Times New Roman" w:hAnsi="Times New Roman" w:cs="Times New Roman"/>
        </w:rPr>
        <w:t>alkine</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polifluorinuara</w:t>
      </w:r>
      <w:proofErr w:type="spellEnd"/>
      <w:r w:rsidRPr="00C51AE9">
        <w:rPr>
          <w:rFonts w:ascii="Times New Roman" w:hAnsi="Times New Roman" w:cs="Times New Roman"/>
        </w:rPr>
        <w:t xml:space="preserve">” (PFAS)” është çdo substancë që përmban të paktën një atom karboni metil plotësisht të </w:t>
      </w:r>
      <w:proofErr w:type="spellStart"/>
      <w:r w:rsidRPr="00C51AE9">
        <w:rPr>
          <w:rFonts w:ascii="Times New Roman" w:hAnsi="Times New Roman" w:cs="Times New Roman"/>
        </w:rPr>
        <w:t>fluorizuar</w:t>
      </w:r>
      <w:proofErr w:type="spellEnd"/>
      <w:r w:rsidRPr="00C51AE9">
        <w:rPr>
          <w:rFonts w:ascii="Times New Roman" w:hAnsi="Times New Roman" w:cs="Times New Roman"/>
        </w:rPr>
        <w:t xml:space="preserve"> (CF3-) ose metilen (-CF2-) (pa asnjë H/</w:t>
      </w:r>
      <w:proofErr w:type="spellStart"/>
      <w:r w:rsidRPr="00C51AE9">
        <w:rPr>
          <w:rFonts w:ascii="Times New Roman" w:hAnsi="Times New Roman" w:cs="Times New Roman"/>
        </w:rPr>
        <w:t>Cl</w:t>
      </w:r>
      <w:proofErr w:type="spellEnd"/>
      <w:r w:rsidRPr="00C51AE9">
        <w:rPr>
          <w:rFonts w:ascii="Times New Roman" w:hAnsi="Times New Roman" w:cs="Times New Roman"/>
        </w:rPr>
        <w:t>/</w:t>
      </w:r>
      <w:proofErr w:type="spellStart"/>
      <w:r w:rsidRPr="00C51AE9">
        <w:rPr>
          <w:rFonts w:ascii="Times New Roman" w:hAnsi="Times New Roman" w:cs="Times New Roman"/>
        </w:rPr>
        <w:t>Br</w:t>
      </w:r>
      <w:proofErr w:type="spellEnd"/>
      <w:r w:rsidRPr="00C51AE9">
        <w:rPr>
          <w:rFonts w:ascii="Times New Roman" w:hAnsi="Times New Roman" w:cs="Times New Roman"/>
        </w:rPr>
        <w:t xml:space="preserve">/I të lidhur me të), përveç substancave që përmbajnë vetëm elementet strukturore të mëposhtme: CF3-X ose X-CF2-X′, ku X = -OR ose -NRR′ dhe X′ = metil (-CH3), metilen (-CH2-), një grup aromatik, një grup </w:t>
      </w:r>
      <w:proofErr w:type="spellStart"/>
      <w:r w:rsidRPr="00C51AE9">
        <w:rPr>
          <w:rFonts w:ascii="Times New Roman" w:hAnsi="Times New Roman" w:cs="Times New Roman"/>
        </w:rPr>
        <w:t>karbonil</w:t>
      </w:r>
      <w:proofErr w:type="spellEnd"/>
      <w:r w:rsidRPr="00C51AE9">
        <w:rPr>
          <w:rFonts w:ascii="Times New Roman" w:hAnsi="Times New Roman" w:cs="Times New Roman"/>
        </w:rPr>
        <w:t xml:space="preserve"> (-C (O)-), -OR′′, -SR′′ ose –NR′′R′′′; dhe ku R/R′/R′′/R′′′ është hidrogjen (-H), metil (-CH3), metilen (-CH2-), një grup aromatik ose një grup </w:t>
      </w:r>
      <w:proofErr w:type="spellStart"/>
      <w:r w:rsidRPr="00C51AE9">
        <w:rPr>
          <w:rFonts w:ascii="Times New Roman" w:hAnsi="Times New Roman" w:cs="Times New Roman"/>
        </w:rPr>
        <w:t>karbonil</w:t>
      </w:r>
      <w:proofErr w:type="spellEnd"/>
      <w:r w:rsidRPr="00C51AE9">
        <w:rPr>
          <w:rFonts w:ascii="Times New Roman" w:hAnsi="Times New Roman" w:cs="Times New Roman"/>
        </w:rPr>
        <w:t xml:space="preserve"> (-C(O)-).PFAS.</w:t>
      </w:r>
    </w:p>
    <w:p w14:paraId="5740D668"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“Substancë shqetësuese” përcaktohet sipas legjislacionit në fuqi për </w:t>
      </w:r>
      <w:proofErr w:type="spellStart"/>
      <w:r w:rsidRPr="00C51AE9">
        <w:rPr>
          <w:rFonts w:ascii="Times New Roman" w:hAnsi="Times New Roman" w:cs="Times New Roman"/>
        </w:rPr>
        <w:t>kimikatet</w:t>
      </w:r>
      <w:proofErr w:type="spellEnd"/>
      <w:r w:rsidRPr="00C51AE9">
        <w:rPr>
          <w:rFonts w:ascii="Times New Roman" w:hAnsi="Times New Roman" w:cs="Times New Roman"/>
        </w:rPr>
        <w:t xml:space="preserve"> dhe kriteret e përcaktuara në legjislacionin në fuqi për Klasifikimin, Etiketimin dhe Ambalazhimin e </w:t>
      </w:r>
      <w:proofErr w:type="spellStart"/>
      <w:r w:rsidRPr="00C51AE9">
        <w:rPr>
          <w:rFonts w:ascii="Times New Roman" w:hAnsi="Times New Roman" w:cs="Times New Roman"/>
        </w:rPr>
        <w:t>Kimikateve</w:t>
      </w:r>
      <w:proofErr w:type="spellEnd"/>
      <w:r w:rsidRPr="00C51AE9">
        <w:rPr>
          <w:rFonts w:ascii="Times New Roman" w:hAnsi="Times New Roman" w:cs="Times New Roman"/>
        </w:rPr>
        <w:t>”.</w:t>
      </w:r>
    </w:p>
    <w:p w14:paraId="6D6E2CA5"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“Shishe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 janë shishet e pijeve sipas përcaktimit të legjislacionit në fuqi për produktet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w:t>
      </w:r>
    </w:p>
    <w:p w14:paraId="36B3A01E"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“Shoqëri për përgjegjësinë e zgjeruar të subjektit prodhues” përcaktohet sipas përcaktimit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w:t>
      </w:r>
    </w:p>
    <w:p w14:paraId="24126136"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"Shpërndarës"</w:t>
      </w:r>
      <w:r w:rsidRPr="00C51AE9">
        <w:rPr>
          <w:rFonts w:ascii="Times New Roman" w:hAnsi="Times New Roman" w:cs="Times New Roman"/>
        </w:rPr>
        <w:t xml:space="preserve"> përcaktohet sipas përcaktimit Për tregtimin dhe mbikëqyrjen e tregut të produkteve </w:t>
      </w:r>
      <w:proofErr w:type="spellStart"/>
      <w:r w:rsidRPr="00C51AE9">
        <w:rPr>
          <w:rFonts w:ascii="Times New Roman" w:hAnsi="Times New Roman" w:cs="Times New Roman"/>
        </w:rPr>
        <w:t>joushqimore</w:t>
      </w:r>
      <w:proofErr w:type="spellEnd"/>
      <w:r w:rsidRPr="00C51AE9">
        <w:rPr>
          <w:rFonts w:ascii="Times New Roman" w:hAnsi="Times New Roman" w:cs="Times New Roman"/>
        </w:rPr>
        <w:t xml:space="preserve"> i ndryshuar</w:t>
      </w:r>
      <w:r w:rsidRPr="00C51AE9">
        <w:rPr>
          <w:rFonts w:ascii="Times New Roman" w:eastAsia="Times New Roman" w:hAnsi="Times New Roman" w:cs="Times New Roman"/>
          <w:kern w:val="0"/>
          <w14:ligatures w14:val="none"/>
        </w:rPr>
        <w:t>.</w:t>
      </w:r>
    </w:p>
    <w:p w14:paraId="702824F0"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“Shpërndarësi përfundimtar” është personi fizik ose juridik në zinxhirin e furnizimit që dorëzon produktet e ambalazhuara, duke përfshirë përmes ripërdorimit, ose produktet që mund të blihen përmes rimbushjes te përdoruesi fundor.</w:t>
      </w:r>
    </w:p>
    <w:p w14:paraId="4F1E0099"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bCs/>
        </w:rPr>
        <w:lastRenderedPageBreak/>
        <w:t>“Veprim korrigjues”</w:t>
      </w:r>
      <w:r w:rsidRPr="00C51AE9">
        <w:rPr>
          <w:rFonts w:ascii="Times New Roman" w:hAnsi="Times New Roman" w:cs="Times New Roman"/>
        </w:rPr>
        <w:t xml:space="preserve"> është çdo veprim i ndërmarrë nga një operator ekonomik për të </w:t>
      </w:r>
      <w:r w:rsidRPr="00C51AE9">
        <w:rPr>
          <w:rFonts w:ascii="Times New Roman" w:hAnsi="Times New Roman" w:cs="Times New Roman"/>
          <w:bCs/>
        </w:rPr>
        <w:t>përfunduar një rast mospërputhjeje</w:t>
      </w:r>
      <w:r w:rsidRPr="00C51AE9">
        <w:rPr>
          <w:rFonts w:ascii="Times New Roman" w:hAnsi="Times New Roman" w:cs="Times New Roman"/>
        </w:rPr>
        <w:t>, kur ky veprim kërkohet nga një autoritet i mbikëqyrjes së tregut ose ndërmerret me iniciativën e vetë operatorit ekonomik.</w:t>
      </w:r>
    </w:p>
    <w:p w14:paraId="4D09DFB3"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‘‘Vënia në treg’  përcaktohet sipas përcaktimit në legjislacionin në fuqi për sigurinë e përgjithshme të produkteve </w:t>
      </w:r>
      <w:proofErr w:type="spellStart"/>
      <w:r w:rsidRPr="00C51AE9">
        <w:rPr>
          <w:rFonts w:ascii="Times New Roman" w:hAnsi="Times New Roman" w:cs="Times New Roman"/>
        </w:rPr>
        <w:t>joushqimore</w:t>
      </w:r>
      <w:proofErr w:type="spellEnd"/>
      <w:r w:rsidRPr="00C51AE9">
        <w:rPr>
          <w:rFonts w:ascii="Times New Roman" w:hAnsi="Times New Roman" w:cs="Times New Roman"/>
        </w:rPr>
        <w:t>, si dhe legjislacionit në fuqi për Ushqimin.</w:t>
      </w:r>
    </w:p>
    <w:p w14:paraId="0ED7A202"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 xml:space="preserve"> “Vënie në dispozicion në treg” është çdo furnizim me ambalazh, bosh ose me produkt, për shpërndarje, konsum ose përdorim në tregun e Republikës së Shqipërisë gjatë një veprimtarie tregtare, kundrejt pagesës ose falas.</w:t>
      </w:r>
    </w:p>
    <w:p w14:paraId="016EE140" w14:textId="77777777" w:rsidR="00767CD0" w:rsidRPr="00C51AE9" w:rsidRDefault="00C51AE9" w:rsidP="00F635BF">
      <w:pPr>
        <w:numPr>
          <w:ilvl w:val="0"/>
          <w:numId w:val="84"/>
        </w:numPr>
        <w:contextualSpacing/>
        <w:jc w:val="both"/>
        <w:rPr>
          <w:rFonts w:ascii="Times New Roman" w:hAnsi="Times New Roman" w:cs="Times New Roman"/>
        </w:rPr>
      </w:pPr>
      <w:bookmarkStart w:id="7" w:name="_bookmark116"/>
      <w:bookmarkEnd w:id="7"/>
      <w:r w:rsidRPr="00C51AE9">
        <w:rPr>
          <w:rFonts w:ascii="Times New Roman" w:hAnsi="Times New Roman" w:cs="Times New Roman"/>
        </w:rPr>
        <w:t>“Vlerësim i përputhshmërisë’ nënkupton procesin që demonstron nëse kërkesat e qëndrueshmërisë, sigurisë, etiketimit dhe informacionit të këtij vendimi që lidhen me ambalazhimin janë përmbushur.</w:t>
      </w:r>
    </w:p>
    <w:p w14:paraId="15C40269"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“Zhvendosje” nënkupton transferimin e ambalazhit, nga mbushja ose ngarkimi deri në zbrazjen ose shkarkimin, si pjesë e një rotacioni në kuadër të një cikli përdorimi ose në mënyrë të pavarur.</w:t>
      </w:r>
    </w:p>
    <w:p w14:paraId="1B9D256E" w14:textId="77777777" w:rsidR="00767CD0" w:rsidRPr="00C51AE9" w:rsidRDefault="00C51AE9" w:rsidP="00F635BF">
      <w:pPr>
        <w:numPr>
          <w:ilvl w:val="0"/>
          <w:numId w:val="84"/>
        </w:numPr>
        <w:contextualSpacing/>
        <w:jc w:val="both"/>
        <w:rPr>
          <w:rFonts w:ascii="Times New Roman" w:hAnsi="Times New Roman" w:cs="Times New Roman"/>
        </w:rPr>
      </w:pPr>
      <w:r w:rsidRPr="00C51AE9">
        <w:rPr>
          <w:rFonts w:ascii="Times New Roman" w:hAnsi="Times New Roman" w:cs="Times New Roman"/>
        </w:rPr>
        <w:t>Termat ‘Mbikëqyrja e tregut”, “autoriteti i mbikëqyrjes së tregut”, “ofruesi i shërbimit të përmbushjes”, “masa korrigjuese”, “rreziku”, “kthimi i produktit” dhe “ndalimit të tregtimit” janë sipas përcaktimeve në legjislacionin në fuqi për tregtimin dhe mbikëqyrjen e tregut të produkteve jo ushqimor.</w:t>
      </w:r>
    </w:p>
    <w:p w14:paraId="76B19D2D" w14:textId="77777777" w:rsidR="00767CD0" w:rsidRPr="00C51AE9" w:rsidRDefault="00767CD0"/>
    <w:p w14:paraId="16E7AFFD" w14:textId="77777777" w:rsidR="00767CD0" w:rsidRPr="00C51AE9" w:rsidRDefault="00C51AE9">
      <w:pPr>
        <w:ind w:left="1080"/>
        <w:contextualSpacing/>
        <w:jc w:val="center"/>
        <w:rPr>
          <w:rFonts w:ascii="Times New Roman" w:hAnsi="Times New Roman" w:cs="Times New Roman"/>
        </w:rPr>
      </w:pPr>
      <w:r w:rsidRPr="00C51AE9">
        <w:rPr>
          <w:rFonts w:ascii="Times New Roman" w:hAnsi="Times New Roman" w:cs="Times New Roman"/>
        </w:rPr>
        <w:t>Neni 4</w:t>
      </w:r>
    </w:p>
    <w:p w14:paraId="515736AE" w14:textId="77777777" w:rsidR="00767CD0" w:rsidRPr="00C51AE9" w:rsidRDefault="00C51AE9">
      <w:pPr>
        <w:ind w:left="540"/>
        <w:jc w:val="both"/>
        <w:rPr>
          <w:rFonts w:ascii="Times New Roman" w:hAnsi="Times New Roman" w:cs="Times New Roman"/>
          <w:b/>
        </w:rPr>
      </w:pPr>
      <w:r w:rsidRPr="00C51AE9">
        <w:rPr>
          <w:rFonts w:ascii="Times New Roman" w:hAnsi="Times New Roman" w:cs="Times New Roman"/>
          <w:b/>
        </w:rPr>
        <w:t xml:space="preserve">Ndalimi i qeseve mbajtëse plastike të lehta dhe i qeseve plastike </w:t>
      </w:r>
      <w:proofErr w:type="spellStart"/>
      <w:r w:rsidRPr="00C51AE9">
        <w:rPr>
          <w:rFonts w:ascii="Times New Roman" w:hAnsi="Times New Roman" w:cs="Times New Roman"/>
          <w:b/>
        </w:rPr>
        <w:t>oxo-degradueshme</w:t>
      </w:r>
      <w:proofErr w:type="spellEnd"/>
    </w:p>
    <w:p w14:paraId="19D98CC7"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Ndalohet prodhimi, importimi, futja në territorin e Republikës së Shqipërisë, vendosja ose bërja e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treg, shpërndarja dhe përdorimi në pikat e shitjes i: </w:t>
      </w:r>
    </w:p>
    <w:p w14:paraId="49FA606B" w14:textId="77777777" w:rsidR="00767CD0" w:rsidRPr="00C51AE9" w:rsidRDefault="00C51AE9" w:rsidP="00F635BF">
      <w:pPr>
        <w:numPr>
          <w:ilvl w:val="1"/>
          <w:numId w:val="172"/>
        </w:numPr>
        <w:spacing w:after="0"/>
        <w:jc w:val="both"/>
        <w:rPr>
          <w:rFonts w:ascii="Times New Roman" w:hAnsi="Times New Roman" w:cs="Times New Roman"/>
        </w:rPr>
      </w:pPr>
      <w:r w:rsidRPr="00C51AE9">
        <w:rPr>
          <w:rFonts w:ascii="Times New Roman" w:hAnsi="Times New Roman" w:cs="Times New Roman"/>
        </w:rPr>
        <w:t>qeseve  mbajtëse plastike të lehta, me trashësi të murit për çdo anë më të vogël se 70 mikronë, me përjashtim të qeseve  mbajtëse plastike shumë të lehta, sipas pikës 2 të nenit 39 të këtij vendimi;</w:t>
      </w:r>
    </w:p>
    <w:p w14:paraId="2551D691" w14:textId="77777777" w:rsidR="00767CD0" w:rsidRPr="00C51AE9" w:rsidRDefault="00C51AE9" w:rsidP="00F635BF">
      <w:pPr>
        <w:numPr>
          <w:ilvl w:val="1"/>
          <w:numId w:val="172"/>
        </w:numPr>
        <w:spacing w:after="0"/>
        <w:jc w:val="both"/>
        <w:rPr>
          <w:rFonts w:ascii="Times New Roman" w:hAnsi="Times New Roman" w:cs="Times New Roman"/>
        </w:rPr>
      </w:pPr>
      <w:r w:rsidRPr="00C51AE9">
        <w:rPr>
          <w:rFonts w:ascii="Times New Roman" w:hAnsi="Times New Roman" w:cs="Times New Roman"/>
        </w:rPr>
        <w:t xml:space="preserve">qeseve  mbajtëse plastike </w:t>
      </w:r>
      <w:proofErr w:type="spellStart"/>
      <w:r w:rsidRPr="00C51AE9">
        <w:rPr>
          <w:rFonts w:ascii="Times New Roman" w:hAnsi="Times New Roman" w:cs="Times New Roman"/>
        </w:rPr>
        <w:t>oxo-degradueshme</w:t>
      </w:r>
      <w:proofErr w:type="spellEnd"/>
      <w:r w:rsidRPr="00C51AE9">
        <w:rPr>
          <w:rFonts w:ascii="Times New Roman" w:hAnsi="Times New Roman" w:cs="Times New Roman"/>
        </w:rPr>
        <w:t>, pavarësisht trashësisë, përmasave, kapacitetit mbajtës, përbërjes ose mënyrës së përdorimit të tyre.</w:t>
      </w:r>
    </w:p>
    <w:p w14:paraId="4FA14F84"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Ndalimi i përcaktuar në pikën 1 zbatohet pavarësisht nëse qeset i ofrohen konsumatorit kundrejt pagesës ose pa pagesë. </w:t>
      </w:r>
    </w:p>
    <w:p w14:paraId="7A7468CB"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Qeset  mbajtëse plastike me trashësi të murit për çdo anë 70 mikronë ose më shumë mund të prodhohen, importohen, vendosen ose bëhen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treg vetëm kur: </w:t>
      </w:r>
    </w:p>
    <w:p w14:paraId="5EE53EE3"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janë projektuar dhe prodhuar për përdorim të shumëfishtë;</w:t>
      </w:r>
    </w:p>
    <w:p w14:paraId="1BAA7025"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kanë qëndrueshmëri dhe kapacitet mbajtës të përshtatshëm për përdorim të përsëritur;</w:t>
      </w:r>
    </w:p>
    <w:p w14:paraId="749D0192"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shoqërohen me dokumentacion teknik ose deklaratë të prodhuesit apo importuesit që vërteton trashësinë, përbërjen dhe përshtatshmërinë e tyre për përdorim të shumëfishtë;</w:t>
      </w:r>
    </w:p>
    <w:p w14:paraId="46523ED7" w14:textId="77777777" w:rsidR="00767CD0" w:rsidRPr="00C51AE9" w:rsidRDefault="00C51AE9">
      <w:pPr>
        <w:spacing w:after="0"/>
        <w:ind w:left="720"/>
        <w:jc w:val="both"/>
        <w:rPr>
          <w:rFonts w:ascii="Times New Roman" w:hAnsi="Times New Roman" w:cs="Times New Roman"/>
        </w:rPr>
      </w:pPr>
      <w:r w:rsidRPr="00C51AE9">
        <w:rPr>
          <w:rFonts w:ascii="Times New Roman" w:hAnsi="Times New Roman" w:cs="Times New Roman"/>
        </w:rPr>
        <w:t xml:space="preserve">ç.   mbajnë, në mënyrë të dukshme, të lexueshme dhe të qëndrueshme, informacionin për trashësinë e qeses, materialin përbërës dhe faktin që qesja është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w:t>
      </w:r>
    </w:p>
    <w:p w14:paraId="5C41A13C"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lastRenderedPageBreak/>
        <w:t xml:space="preserve">Qeset  mbajtëse plastike të përcaktuara në pikën 3 nuk u ofrohen konsumatorëve pa pagesë. Çmimi i tyre paraqitet veçmas dhe në mënyrë të dukshme në pikën e shitjes dhe, kur është teknikisht e mundur, evidentohet veçmas në dokumentin fiskal. </w:t>
      </w:r>
    </w:p>
    <w:p w14:paraId="5CD3608C"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Prodhuesit dhe importuesit e qeseve  mbajtëse plastike të përcaktuara në pikën 3: </w:t>
      </w:r>
    </w:p>
    <w:p w14:paraId="342BCE53"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mbajnë të dhëna për sasitë e prodhuara, të importuara ose të vendosura në treg, të shprehura në numër dhe në peshë;</w:t>
      </w:r>
    </w:p>
    <w:p w14:paraId="0F971C79"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ruajnë dokumentacionin që provon përputhshmërinë me kërkesat e këtij neni për një periudhë jo më pak se pesë vjet nga data e vendosjes në treg;</w:t>
      </w:r>
    </w:p>
    <w:p w14:paraId="332C0B06" w14:textId="77777777" w:rsidR="00767CD0" w:rsidRPr="00C51AE9" w:rsidRDefault="00C51AE9" w:rsidP="00F635BF">
      <w:pPr>
        <w:numPr>
          <w:ilvl w:val="1"/>
          <w:numId w:val="164"/>
        </w:numPr>
        <w:spacing w:after="0"/>
        <w:jc w:val="both"/>
        <w:rPr>
          <w:rFonts w:ascii="Times New Roman" w:hAnsi="Times New Roman" w:cs="Times New Roman"/>
        </w:rPr>
      </w:pPr>
      <w:r w:rsidRPr="00C51AE9">
        <w:rPr>
          <w:rFonts w:ascii="Times New Roman" w:hAnsi="Times New Roman" w:cs="Times New Roman"/>
        </w:rPr>
        <w:t>raportojnë të dhënat sipas kërkesave, afateve dhe formatit të përcaktuar në këtë vendim.</w:t>
      </w:r>
    </w:p>
    <w:p w14:paraId="3BAFC071"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Ky nen nuk zbatohet për qeset plastike </w:t>
      </w:r>
      <w:proofErr w:type="spellStart"/>
      <w:r w:rsidRPr="00C51AE9">
        <w:rPr>
          <w:rFonts w:ascii="Times New Roman" w:hAnsi="Times New Roman" w:cs="Times New Roman"/>
        </w:rPr>
        <w:t>higjieno</w:t>
      </w:r>
      <w:proofErr w:type="spellEnd"/>
      <w:r w:rsidRPr="00C51AE9">
        <w:rPr>
          <w:rFonts w:ascii="Times New Roman" w:hAnsi="Times New Roman" w:cs="Times New Roman"/>
        </w:rPr>
        <w:t xml:space="preserve">-sanitare të destinuara dhe të shitura posaçërisht për grumbullimin e mbetjeve, me kusht që ato të mos ofrohen në pikën e shitjes për mbajtjen ose transportimin e mallrave të blera nga konsumatori. </w:t>
      </w:r>
    </w:p>
    <w:p w14:paraId="60769208" w14:textId="77777777" w:rsidR="00767CD0" w:rsidRPr="00C51AE9" w:rsidRDefault="00C51AE9" w:rsidP="00F635BF">
      <w:pPr>
        <w:numPr>
          <w:ilvl w:val="0"/>
          <w:numId w:val="164"/>
        </w:numPr>
        <w:spacing w:after="0"/>
        <w:jc w:val="both"/>
        <w:rPr>
          <w:rFonts w:ascii="Times New Roman" w:hAnsi="Times New Roman" w:cs="Times New Roman"/>
        </w:rPr>
      </w:pPr>
      <w:r w:rsidRPr="00C51AE9">
        <w:rPr>
          <w:rFonts w:ascii="Times New Roman" w:hAnsi="Times New Roman" w:cs="Times New Roman"/>
        </w:rPr>
        <w:t xml:space="preserve">Përputhshmëria me kërkesat për trashësinë e qeseve plastike verifikohet me pajisje matëse të kalibruara ose nëpërmjet analizave të kryera nga laboratorë të akredituar. </w:t>
      </w:r>
    </w:p>
    <w:p w14:paraId="3FCD14B9" w14:textId="77777777" w:rsidR="00767CD0" w:rsidRPr="00C51AE9" w:rsidRDefault="00C51AE9" w:rsidP="00F635BF">
      <w:pPr>
        <w:numPr>
          <w:ilvl w:val="0"/>
          <w:numId w:val="164"/>
        </w:numPr>
        <w:contextualSpacing/>
        <w:jc w:val="both"/>
        <w:rPr>
          <w:rFonts w:ascii="Times New Roman" w:hAnsi="Times New Roman" w:cs="Times New Roman"/>
          <w:b/>
          <w:bCs/>
          <w:w w:val="90"/>
        </w:rPr>
      </w:pPr>
      <w:r w:rsidRPr="00C51AE9">
        <w:rPr>
          <w:rFonts w:ascii="Times New Roman" w:hAnsi="Times New Roman" w:cs="Times New Roman"/>
        </w:rPr>
        <w:t>Kontrolli i zbatimit të këtij neni kryhet nga autoritetet përgjegjëse për mbikëqyrjen e tregut, kontrollin doganor dhe inspektimin mjedisor, sipas përgjegjësive të përcaktuara në këtë vendim.</w:t>
      </w:r>
    </w:p>
    <w:p w14:paraId="39A0D28D"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Neni 5</w:t>
      </w:r>
    </w:p>
    <w:p w14:paraId="69BA40CA"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Kërkesat minimale për ambalazhet</w:t>
      </w:r>
    </w:p>
    <w:p w14:paraId="29546FDC" w14:textId="77777777" w:rsidR="00767CD0" w:rsidRPr="00C51AE9" w:rsidRDefault="00C51AE9" w:rsidP="00F635BF">
      <w:pPr>
        <w:numPr>
          <w:ilvl w:val="0"/>
          <w:numId w:val="75"/>
        </w:numPr>
        <w:spacing w:after="0"/>
        <w:ind w:left="810" w:hanging="270"/>
        <w:jc w:val="both"/>
        <w:rPr>
          <w:rFonts w:ascii="Times New Roman" w:hAnsi="Times New Roman" w:cs="Times New Roman"/>
        </w:rPr>
      </w:pPr>
      <w:r w:rsidRPr="00C51AE9">
        <w:rPr>
          <w:rFonts w:ascii="Times New Roman" w:hAnsi="Times New Roman" w:cs="Times New Roman"/>
        </w:rPr>
        <w:t xml:space="preserve">Ambalazhet që vendosen në treg përmbushin kërkesat minimale mbi përbërjen e tyre, duke respektuar kufizimet </w:t>
      </w:r>
      <w:proofErr w:type="spellStart"/>
      <w:r w:rsidRPr="00C51AE9">
        <w:rPr>
          <w:rFonts w:ascii="Times New Roman" w:hAnsi="Times New Roman" w:cs="Times New Roman"/>
        </w:rPr>
        <w:t>strikte</w:t>
      </w:r>
      <w:proofErr w:type="spellEnd"/>
      <w:r w:rsidRPr="00C51AE9">
        <w:rPr>
          <w:rFonts w:ascii="Times New Roman" w:hAnsi="Times New Roman" w:cs="Times New Roman"/>
        </w:rPr>
        <w:t xml:space="preserve"> për metalet e rënda, duke  respektuar vlerat kufi sipas përcaktimit në nenin 11 në përdorimin e substancave të dëmshme </w:t>
      </w:r>
      <w:proofErr w:type="spellStart"/>
      <w:r w:rsidRPr="00C51AE9">
        <w:rPr>
          <w:rFonts w:ascii="Times New Roman" w:hAnsi="Times New Roman" w:cs="Times New Roman"/>
        </w:rPr>
        <w:t>alkine</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perfluoriruara</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polifluoruara</w:t>
      </w:r>
      <w:proofErr w:type="spellEnd"/>
      <w:r w:rsidRPr="00C51AE9">
        <w:rPr>
          <w:rFonts w:ascii="Times New Roman" w:hAnsi="Times New Roman" w:cs="Times New Roman"/>
        </w:rPr>
        <w:t xml:space="preserve">  në ambalazhet që vijnë në kontakt me ushqimin. </w:t>
      </w:r>
    </w:p>
    <w:p w14:paraId="275402AC" w14:textId="77777777" w:rsidR="00767CD0" w:rsidRPr="00C51AE9" w:rsidRDefault="00C51AE9" w:rsidP="00F635BF">
      <w:pPr>
        <w:numPr>
          <w:ilvl w:val="0"/>
          <w:numId w:val="75"/>
        </w:numPr>
        <w:spacing w:after="0"/>
        <w:ind w:left="810" w:hanging="270"/>
        <w:jc w:val="both"/>
        <w:rPr>
          <w:rFonts w:ascii="Times New Roman" w:hAnsi="Times New Roman" w:cs="Times New Roman"/>
        </w:rPr>
      </w:pPr>
      <w:r w:rsidRPr="00C51AE9">
        <w:rPr>
          <w:rFonts w:ascii="Times New Roman" w:hAnsi="Times New Roman" w:cs="Times New Roman"/>
        </w:rPr>
        <w:t xml:space="preserve">Operatorët ekonomikë garantojnë </w:t>
      </w:r>
      <w:proofErr w:type="spellStart"/>
      <w:r w:rsidRPr="00C51AE9">
        <w:rPr>
          <w:rFonts w:ascii="Times New Roman" w:hAnsi="Times New Roman" w:cs="Times New Roman"/>
        </w:rPr>
        <w:t>gjurmueshmërinë</w:t>
      </w:r>
      <w:proofErr w:type="spellEnd"/>
      <w:r w:rsidRPr="00C51AE9">
        <w:rPr>
          <w:rFonts w:ascii="Times New Roman" w:hAnsi="Times New Roman" w:cs="Times New Roman"/>
        </w:rPr>
        <w:t xml:space="preserve"> e plotë të ambalazheve përmes dokumentacionit teknik të vlerësimit të përputhshmërisë dhe sistemeve të harmonizuara të etiketimit përfshirë përdorimin e kodeve QR ose </w:t>
      </w:r>
      <w:proofErr w:type="spellStart"/>
      <w:r w:rsidRPr="00C51AE9">
        <w:rPr>
          <w:rFonts w:ascii="Times New Roman" w:hAnsi="Times New Roman" w:cs="Times New Roman"/>
        </w:rPr>
        <w:t>barkodeve</w:t>
      </w:r>
      <w:proofErr w:type="spellEnd"/>
      <w:r w:rsidRPr="00C51AE9">
        <w:rPr>
          <w:rFonts w:ascii="Times New Roman" w:hAnsi="Times New Roman" w:cs="Times New Roman"/>
        </w:rPr>
        <w:t xml:space="preserve"> digjitale, me qëllim identifikimin e qartë të materialit dhe të origjinës së tij në çdo hap të zinxhirit të furnizimit. </w:t>
      </w:r>
    </w:p>
    <w:p w14:paraId="5CF7395A" w14:textId="77777777" w:rsidR="00767CD0" w:rsidRPr="00C51AE9" w:rsidRDefault="00C51AE9" w:rsidP="00F635BF">
      <w:pPr>
        <w:numPr>
          <w:ilvl w:val="0"/>
          <w:numId w:val="75"/>
        </w:numPr>
        <w:spacing w:after="0"/>
        <w:ind w:left="810" w:hanging="270"/>
        <w:jc w:val="both"/>
        <w:rPr>
          <w:rFonts w:ascii="Times New Roman" w:hAnsi="Times New Roman" w:cs="Times New Roman"/>
        </w:rPr>
      </w:pPr>
      <w:r w:rsidRPr="00C51AE9">
        <w:rPr>
          <w:rFonts w:ascii="Times New Roman" w:hAnsi="Times New Roman" w:cs="Times New Roman"/>
        </w:rPr>
        <w:t xml:space="preserve">Cilësia e ambalazheve sigurohet përmes zbatimit të kritereve të projektimit për riciklim  dhe zvogëlim të peshës e vëllimit të tyre, duke eliminuar hapësirat e zbrazëta të panevojshme, sipas nenit 30 të këtij vendimi, dhe duke garantuar që ambalazhi të jetë teknikisht i </w:t>
      </w:r>
      <w:proofErr w:type="spellStart"/>
      <w:r w:rsidRPr="00C51AE9">
        <w:rPr>
          <w:rFonts w:ascii="Times New Roman" w:hAnsi="Times New Roman" w:cs="Times New Roman"/>
        </w:rPr>
        <w:t>riciklueshëm</w:t>
      </w:r>
      <w:proofErr w:type="spellEnd"/>
      <w:r w:rsidRPr="00C51AE9">
        <w:rPr>
          <w:rFonts w:ascii="Times New Roman" w:hAnsi="Times New Roman" w:cs="Times New Roman"/>
        </w:rPr>
        <w:t xml:space="preserve"> ose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w:t>
      </w:r>
    </w:p>
    <w:p w14:paraId="13602CBB" w14:textId="77777777" w:rsidR="00767CD0" w:rsidRPr="00C51AE9" w:rsidRDefault="00C51AE9" w:rsidP="00F635BF">
      <w:pPr>
        <w:numPr>
          <w:ilvl w:val="0"/>
          <w:numId w:val="75"/>
        </w:numPr>
        <w:spacing w:after="0"/>
        <w:ind w:left="810" w:hanging="270"/>
        <w:jc w:val="both"/>
        <w:rPr>
          <w:rFonts w:ascii="Times New Roman" w:hAnsi="Times New Roman" w:cs="Times New Roman"/>
        </w:rPr>
      </w:pPr>
      <w:r w:rsidRPr="00C51AE9">
        <w:rPr>
          <w:rFonts w:ascii="Times New Roman" w:hAnsi="Times New Roman" w:cs="Times New Roman"/>
        </w:rPr>
        <w:t>Ambalazhet projektohen në mënyrë të tillë që të garantojnë sigurinë maksimale mjedisore dhe sanitare, mbrojtjen e shëndetit publik dhe të higjienës së produktit të ambalazhuar, pa shkaktuar ndotje fizike apo migrim të lëndëve kimike të rrezikshme të produktit.</w:t>
      </w:r>
    </w:p>
    <w:p w14:paraId="6BA0BF26" w14:textId="77777777" w:rsidR="00767CD0" w:rsidRPr="00C51AE9" w:rsidRDefault="00767CD0">
      <w:pPr>
        <w:ind w:left="540"/>
        <w:contextualSpacing/>
        <w:jc w:val="both"/>
        <w:rPr>
          <w:rFonts w:ascii="Times New Roman" w:hAnsi="Times New Roman" w:cs="Times New Roman"/>
        </w:rPr>
      </w:pPr>
    </w:p>
    <w:p w14:paraId="10D1FE02"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Neni 6</w:t>
      </w:r>
    </w:p>
    <w:p w14:paraId="630A471A"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Masat për parandalimin e krijimit të mbetjeve nga ambalazhet</w:t>
      </w:r>
    </w:p>
    <w:p w14:paraId="1C568903" w14:textId="77777777" w:rsidR="00767CD0" w:rsidRPr="00C51AE9" w:rsidRDefault="00C51AE9">
      <w:pPr>
        <w:numPr>
          <w:ilvl w:val="0"/>
          <w:numId w:val="27"/>
        </w:numPr>
        <w:contextualSpacing/>
        <w:jc w:val="both"/>
        <w:rPr>
          <w:rFonts w:ascii="Times New Roman" w:hAnsi="Times New Roman" w:cs="Times New Roman"/>
        </w:rPr>
      </w:pPr>
      <w:r w:rsidRPr="00C51AE9">
        <w:rPr>
          <w:rFonts w:ascii="Times New Roman" w:hAnsi="Times New Roman" w:cs="Times New Roman"/>
        </w:rPr>
        <w:lastRenderedPageBreak/>
        <w:t>Masat për parandalimin e mbetjeve të ambalazheve synojnë reduktimin në burim të sasisë së ambalazheve dhe mbetjeve të tyre, në përputhje me kërkesat e këtij vendimi dhe të legjislacionit në fuqi.</w:t>
      </w:r>
    </w:p>
    <w:p w14:paraId="3ED30664" w14:textId="77777777" w:rsidR="00767CD0" w:rsidRPr="00C51AE9" w:rsidRDefault="00C51AE9">
      <w:pPr>
        <w:numPr>
          <w:ilvl w:val="0"/>
          <w:numId w:val="27"/>
        </w:numPr>
        <w:contextualSpacing/>
        <w:jc w:val="both"/>
        <w:rPr>
          <w:rFonts w:ascii="Times New Roman" w:hAnsi="Times New Roman" w:cs="Times New Roman"/>
        </w:rPr>
      </w:pPr>
      <w:r w:rsidRPr="00C51AE9">
        <w:rPr>
          <w:rFonts w:ascii="Times New Roman" w:hAnsi="Times New Roman" w:cs="Times New Roman"/>
        </w:rPr>
        <w:t>Këto masa përfshijnë:</w:t>
      </w:r>
    </w:p>
    <w:p w14:paraId="40A8FD0D" w14:textId="77777777" w:rsidR="00767CD0" w:rsidRPr="00C51AE9" w:rsidRDefault="00C51AE9" w:rsidP="00F635BF">
      <w:pPr>
        <w:numPr>
          <w:ilvl w:val="1"/>
          <w:numId w:val="69"/>
        </w:numPr>
        <w:ind w:left="1260" w:hanging="180"/>
        <w:contextualSpacing/>
        <w:jc w:val="both"/>
        <w:rPr>
          <w:rFonts w:ascii="Times New Roman" w:hAnsi="Times New Roman" w:cs="Times New Roman"/>
        </w:rPr>
      </w:pPr>
      <w:r w:rsidRPr="00C51AE9">
        <w:rPr>
          <w:rFonts w:ascii="Times New Roman" w:hAnsi="Times New Roman" w:cs="Times New Roman"/>
        </w:rPr>
        <w:t xml:space="preserve"> reduktimin e përdorimit të ambalazheve të panevojshme dhe </w:t>
      </w:r>
      <w:proofErr w:type="spellStart"/>
      <w:r w:rsidRPr="00C51AE9">
        <w:rPr>
          <w:rFonts w:ascii="Times New Roman" w:hAnsi="Times New Roman" w:cs="Times New Roman"/>
        </w:rPr>
        <w:t>optimizimin</w:t>
      </w:r>
      <w:proofErr w:type="spellEnd"/>
      <w:r w:rsidRPr="00C51AE9">
        <w:rPr>
          <w:rFonts w:ascii="Times New Roman" w:hAnsi="Times New Roman" w:cs="Times New Roman"/>
        </w:rPr>
        <w:t xml:space="preserve"> e peshës dhe volumit të tyre;</w:t>
      </w:r>
    </w:p>
    <w:p w14:paraId="2E00A395" w14:textId="77777777" w:rsidR="00767CD0" w:rsidRPr="00C51AE9" w:rsidRDefault="00C51AE9" w:rsidP="00F635BF">
      <w:pPr>
        <w:numPr>
          <w:ilvl w:val="1"/>
          <w:numId w:val="69"/>
        </w:numPr>
        <w:ind w:left="1260" w:hanging="180"/>
        <w:contextualSpacing/>
        <w:jc w:val="both"/>
        <w:rPr>
          <w:rFonts w:ascii="Times New Roman" w:hAnsi="Times New Roman" w:cs="Times New Roman"/>
        </w:rPr>
      </w:pPr>
      <w:r w:rsidRPr="00C51AE9">
        <w:rPr>
          <w:rFonts w:ascii="Times New Roman" w:hAnsi="Times New Roman" w:cs="Times New Roman"/>
        </w:rPr>
        <w:t xml:space="preserve"> nxitjen e përdorimit të ambalazheve të ri përdorshme dhe të qëndrueshme;</w:t>
      </w:r>
    </w:p>
    <w:p w14:paraId="69904605" w14:textId="77777777" w:rsidR="00767CD0" w:rsidRPr="00C51AE9" w:rsidRDefault="00C51AE9" w:rsidP="00F635BF">
      <w:pPr>
        <w:numPr>
          <w:ilvl w:val="1"/>
          <w:numId w:val="69"/>
        </w:numPr>
        <w:spacing w:after="0"/>
        <w:ind w:left="1260" w:hanging="180"/>
        <w:contextualSpacing/>
        <w:jc w:val="both"/>
        <w:rPr>
          <w:rFonts w:ascii="Times New Roman" w:hAnsi="Times New Roman" w:cs="Times New Roman"/>
        </w:rPr>
      </w:pPr>
      <w:r w:rsidRPr="00C51AE9">
        <w:rPr>
          <w:rFonts w:ascii="Times New Roman" w:hAnsi="Times New Roman" w:cs="Times New Roman"/>
        </w:rPr>
        <w:t xml:space="preserve"> promovimin e modeleve të prodhimit dhe konsumit që reduktojnë krijimin e mbetjeve;</w:t>
      </w:r>
    </w:p>
    <w:p w14:paraId="5EDB252D" w14:textId="77777777" w:rsidR="00767CD0" w:rsidRPr="00C51AE9" w:rsidRDefault="00C51AE9">
      <w:pPr>
        <w:spacing w:after="0"/>
        <w:ind w:left="1260" w:hanging="180"/>
        <w:jc w:val="both"/>
        <w:rPr>
          <w:rFonts w:ascii="Times New Roman" w:hAnsi="Times New Roman" w:cs="Times New Roman"/>
        </w:rPr>
      </w:pPr>
      <w:r w:rsidRPr="00C51AE9">
        <w:rPr>
          <w:rFonts w:ascii="Times New Roman" w:hAnsi="Times New Roman" w:cs="Times New Roman"/>
        </w:rPr>
        <w:t>ç. ndërgjegjësimin e konsumatorëve për parandalimin e mbetjeve të ambalazheve.</w:t>
      </w:r>
    </w:p>
    <w:p w14:paraId="182E16C0" w14:textId="77777777" w:rsidR="00767CD0" w:rsidRPr="00C51AE9" w:rsidRDefault="00C51AE9">
      <w:pPr>
        <w:spacing w:after="0"/>
        <w:ind w:left="540" w:hanging="240"/>
        <w:jc w:val="both"/>
        <w:rPr>
          <w:rFonts w:ascii="Times New Roman" w:hAnsi="Times New Roman" w:cs="Times New Roman"/>
        </w:rPr>
      </w:pPr>
      <w:r w:rsidRPr="00C51AE9">
        <w:rPr>
          <w:rFonts w:ascii="Times New Roman" w:hAnsi="Times New Roman" w:cs="Times New Roman"/>
        </w:rPr>
        <w:t>3. Prodhuesit dhe operatorët ekonomikë integrojnë parimet e parandalimit në projektimin dhe përdorimin e ambalazheve përmes këtyre masave teknike:</w:t>
      </w:r>
    </w:p>
    <w:p w14:paraId="3B2B90B4" w14:textId="77777777" w:rsidR="00767CD0" w:rsidRPr="00C51AE9" w:rsidRDefault="00C51AE9" w:rsidP="00F635BF">
      <w:pPr>
        <w:numPr>
          <w:ilvl w:val="0"/>
          <w:numId w:val="149"/>
        </w:numPr>
        <w:spacing w:after="0"/>
        <w:contextualSpacing/>
        <w:jc w:val="both"/>
        <w:rPr>
          <w:rFonts w:ascii="Times New Roman" w:hAnsi="Times New Roman" w:cs="Times New Roman"/>
        </w:rPr>
      </w:pPr>
      <w:r w:rsidRPr="00C51AE9">
        <w:rPr>
          <w:rFonts w:ascii="Times New Roman" w:hAnsi="Times New Roman" w:cs="Times New Roman"/>
        </w:rPr>
        <w:t>gjatë procesit të projektimit: duke zvogëluar në maksimum trashësinë, peshën dhe vëllimin e ambalazhit pa cenuar sigurinë e produktit, si dhe duke përdorur materiale të thjeshta (mono materialë) që riciklohen lehtësisht.</w:t>
      </w:r>
    </w:p>
    <w:p w14:paraId="115B11C6" w14:textId="77777777" w:rsidR="00767CD0" w:rsidRPr="00C51AE9" w:rsidRDefault="00C51AE9" w:rsidP="00F635BF">
      <w:pPr>
        <w:numPr>
          <w:ilvl w:val="0"/>
          <w:numId w:val="149"/>
        </w:numPr>
        <w:spacing w:after="0"/>
        <w:contextualSpacing/>
        <w:jc w:val="both"/>
        <w:rPr>
          <w:rFonts w:ascii="Times New Roman" w:hAnsi="Times New Roman" w:cs="Times New Roman"/>
        </w:rPr>
      </w:pPr>
      <w:r w:rsidRPr="00C51AE9">
        <w:rPr>
          <w:rFonts w:ascii="Times New Roman" w:hAnsi="Times New Roman" w:cs="Times New Roman"/>
        </w:rPr>
        <w:t>gjatë prodhimit: duke eliminuar shtresat e tepërta ose ambalazhimet e dyfishta që shërbejnë vetëm për qëllime estetike apo marketingu.</w:t>
      </w:r>
    </w:p>
    <w:p w14:paraId="6DC59E3C" w14:textId="77777777" w:rsidR="00767CD0" w:rsidRPr="00C51AE9" w:rsidRDefault="00C51AE9" w:rsidP="00F635BF">
      <w:pPr>
        <w:numPr>
          <w:ilvl w:val="0"/>
          <w:numId w:val="149"/>
        </w:numPr>
        <w:spacing w:after="0"/>
        <w:contextualSpacing/>
        <w:jc w:val="both"/>
        <w:rPr>
          <w:rFonts w:ascii="Times New Roman" w:hAnsi="Times New Roman" w:cs="Times New Roman"/>
        </w:rPr>
      </w:pPr>
      <w:r w:rsidRPr="00C51AE9">
        <w:rPr>
          <w:rFonts w:ascii="Times New Roman" w:hAnsi="Times New Roman" w:cs="Times New Roman"/>
        </w:rPr>
        <w:t xml:space="preserve">gjatë përdorimit dhe tregtimit: përmes përdorimit të kutive, arkave ose paletave të kthyeshme dhe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për transportin e mallrave midis bizneseve, duke shmangur ambalazhimet </w:t>
      </w:r>
      <w:proofErr w:type="spellStart"/>
      <w:r w:rsidRPr="00C51AE9">
        <w:rPr>
          <w:rFonts w:ascii="Times New Roman" w:hAnsi="Times New Roman" w:cs="Times New Roman"/>
        </w:rPr>
        <w:t>njëpërdorimshe</w:t>
      </w:r>
      <w:proofErr w:type="spellEnd"/>
      <w:r w:rsidRPr="00C51AE9">
        <w:rPr>
          <w:rFonts w:ascii="Times New Roman" w:hAnsi="Times New Roman" w:cs="Times New Roman"/>
        </w:rPr>
        <w:t>.</w:t>
      </w:r>
    </w:p>
    <w:p w14:paraId="515464AC" w14:textId="77777777" w:rsidR="00767CD0" w:rsidRPr="00C51AE9" w:rsidRDefault="00767CD0">
      <w:pPr>
        <w:ind w:firstLine="720"/>
        <w:jc w:val="center"/>
        <w:rPr>
          <w:rFonts w:ascii="Times New Roman" w:hAnsi="Times New Roman" w:cs="Times New Roman"/>
        </w:rPr>
      </w:pPr>
    </w:p>
    <w:p w14:paraId="2DA70482"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Neni 7</w:t>
      </w:r>
    </w:p>
    <w:p w14:paraId="7B64C9E3"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Sistemet për ripërdorimin dhe rikuperimin e ambalazheve</w:t>
      </w:r>
    </w:p>
    <w:p w14:paraId="64A2016C" w14:textId="77777777" w:rsidR="00767CD0" w:rsidRPr="00C51AE9" w:rsidRDefault="00C51AE9" w:rsidP="00F635BF">
      <w:pPr>
        <w:numPr>
          <w:ilvl w:val="0"/>
          <w:numId w:val="76"/>
        </w:numPr>
        <w:contextualSpacing/>
        <w:jc w:val="both"/>
        <w:rPr>
          <w:rFonts w:ascii="Times New Roman" w:hAnsi="Times New Roman" w:cs="Times New Roman"/>
        </w:rPr>
      </w:pPr>
      <w:r w:rsidRPr="00C51AE9">
        <w:rPr>
          <w:rFonts w:ascii="Times New Roman" w:hAnsi="Times New Roman" w:cs="Times New Roman"/>
        </w:rPr>
        <w:t xml:space="preserve">Subjektet prodhuese janë të detyruar të ngrenë, individualisht ose përmes Shoqërive të Përgjegjësisë së Zgjeruar të Subjekteve Prodhuese, sisteme funksionale për kthimin, grumbullimin e veçuar dhe rikuperimin e mbetjeve të ambalazheve të hedhura prej tyre në treg </w:t>
      </w:r>
    </w:p>
    <w:p w14:paraId="361D8518" w14:textId="77777777" w:rsidR="00767CD0" w:rsidRPr="00C51AE9" w:rsidRDefault="00C51AE9" w:rsidP="00F635BF">
      <w:pPr>
        <w:numPr>
          <w:ilvl w:val="0"/>
          <w:numId w:val="76"/>
        </w:numPr>
        <w:contextualSpacing/>
        <w:jc w:val="both"/>
        <w:rPr>
          <w:rFonts w:ascii="Times New Roman" w:hAnsi="Times New Roman" w:cs="Times New Roman"/>
        </w:rPr>
      </w:pPr>
      <w:r w:rsidRPr="00C51AE9">
        <w:rPr>
          <w:rFonts w:ascii="Times New Roman" w:hAnsi="Times New Roman" w:cs="Times New Roman"/>
        </w:rPr>
        <w:t>Me qëllim arritjen e objektivave të riciklimit, këto sisteme garantojnë infrastrukturën e nevojshme pikat e grumbullimit, koshat e veçuar sipas materialeve dhe logjistikën e transportit për të siguruar mbledhjen e ndarë të mbetjeve të ambalazheve në burim.</w:t>
      </w:r>
    </w:p>
    <w:p w14:paraId="2587C309" w14:textId="77777777" w:rsidR="00767CD0" w:rsidRPr="00C51AE9" w:rsidRDefault="00C51AE9" w:rsidP="00F635BF">
      <w:pPr>
        <w:numPr>
          <w:ilvl w:val="0"/>
          <w:numId w:val="76"/>
        </w:numPr>
        <w:contextualSpacing/>
        <w:jc w:val="both"/>
        <w:rPr>
          <w:rFonts w:ascii="Times New Roman" w:hAnsi="Times New Roman" w:cs="Times New Roman"/>
        </w:rPr>
      </w:pPr>
      <w:r w:rsidRPr="00C51AE9">
        <w:rPr>
          <w:rFonts w:ascii="Times New Roman" w:hAnsi="Times New Roman" w:cs="Times New Roman"/>
        </w:rPr>
        <w:t xml:space="preserve">Për ambalazhet e pijeve </w:t>
      </w:r>
      <w:proofErr w:type="spellStart"/>
      <w:r w:rsidRPr="00C51AE9">
        <w:rPr>
          <w:rFonts w:ascii="Times New Roman" w:hAnsi="Times New Roman" w:cs="Times New Roman"/>
        </w:rPr>
        <w:t>njëpërdorimshe</w:t>
      </w:r>
      <w:proofErr w:type="spellEnd"/>
      <w:r w:rsidRPr="00C51AE9">
        <w:rPr>
          <w:rFonts w:ascii="Times New Roman" w:hAnsi="Times New Roman" w:cs="Times New Roman"/>
        </w:rPr>
        <w:t xml:space="preserve"> ngrihet Sistemi i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ku konsumatori paguan një tarifë depozite në blerje e cila i </w:t>
      </w:r>
      <w:proofErr w:type="spellStart"/>
      <w:r w:rsidRPr="00C51AE9">
        <w:rPr>
          <w:rFonts w:ascii="Times New Roman" w:hAnsi="Times New Roman" w:cs="Times New Roman"/>
        </w:rPr>
        <w:t>rimbursohet</w:t>
      </w:r>
      <w:proofErr w:type="spellEnd"/>
      <w:r w:rsidRPr="00C51AE9">
        <w:rPr>
          <w:rFonts w:ascii="Times New Roman" w:hAnsi="Times New Roman" w:cs="Times New Roman"/>
        </w:rPr>
        <w:t xml:space="preserve"> atij plotësisht pas kthimit të ambalazhit bosh në pikat e autorizuara të shitjes.</w:t>
      </w:r>
    </w:p>
    <w:p w14:paraId="6451F786" w14:textId="77777777" w:rsidR="00767CD0" w:rsidRPr="00C51AE9" w:rsidRDefault="00C51AE9" w:rsidP="00F635BF">
      <w:pPr>
        <w:numPr>
          <w:ilvl w:val="0"/>
          <w:numId w:val="76"/>
        </w:numPr>
        <w:contextualSpacing/>
        <w:jc w:val="both"/>
        <w:rPr>
          <w:rFonts w:ascii="Times New Roman" w:hAnsi="Times New Roman" w:cs="Times New Roman"/>
        </w:rPr>
      </w:pPr>
      <w:r w:rsidRPr="00C51AE9">
        <w:rPr>
          <w:rFonts w:ascii="Times New Roman" w:hAnsi="Times New Roman" w:cs="Times New Roman"/>
        </w:rPr>
        <w:t>Operatorët ekonomikë financojnë tërësisht kostot e mbledhjes, transportit, klasifikimit dhe trajtimit të mbetjeve të ambalazheve, në përputhje me parimin "ndotësi paguan" dhe hierarkinë e menaxhimit të mbetjeve.</w:t>
      </w:r>
    </w:p>
    <w:p w14:paraId="3791C5EB" w14:textId="77777777" w:rsidR="00767CD0" w:rsidRPr="00C51AE9" w:rsidRDefault="00767CD0">
      <w:pPr>
        <w:spacing w:after="0"/>
        <w:ind w:left="720"/>
        <w:contextualSpacing/>
        <w:jc w:val="both"/>
        <w:rPr>
          <w:rFonts w:ascii="Times New Roman" w:hAnsi="Times New Roman" w:cs="Times New Roman"/>
          <w:w w:val="90"/>
        </w:rPr>
      </w:pPr>
    </w:p>
    <w:p w14:paraId="6E6293F9"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 xml:space="preserve"> </w:t>
      </w:r>
    </w:p>
    <w:p w14:paraId="56D39BDC"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Neni 8</w:t>
      </w:r>
    </w:p>
    <w:p w14:paraId="0F0F300D" w14:textId="77777777" w:rsidR="00767CD0" w:rsidRPr="00C51AE9" w:rsidRDefault="00C51AE9">
      <w:pPr>
        <w:ind w:left="360" w:firstLine="360"/>
        <w:jc w:val="both"/>
        <w:rPr>
          <w:rFonts w:ascii="Times New Roman" w:hAnsi="Times New Roman" w:cs="Times New Roman"/>
          <w:b/>
          <w:bCs/>
        </w:rPr>
      </w:pPr>
      <w:r w:rsidRPr="00C51AE9">
        <w:rPr>
          <w:rFonts w:ascii="Times New Roman" w:hAnsi="Times New Roman" w:cs="Times New Roman"/>
          <w:b/>
          <w:bCs/>
        </w:rPr>
        <w:t>Masat për zvogëlimin, riciklimin dhe raportimin e mbetjeve nga ambalazhet</w:t>
      </w:r>
    </w:p>
    <w:p w14:paraId="54B31021"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lastRenderedPageBreak/>
        <w:t>Personat juridikë dhe fizikë që hedhin në treg ambalazhe zbatojnë  masa për programe për parandalimin dhe zvogëlimin e sasisë së mbetjeve, përmes ripërdorimit, rikuperimit dhe riciklimit të tyre.</w:t>
      </w:r>
    </w:p>
    <w:p w14:paraId="747E9EAC"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t>Prodhuesit, njësitë e vetëqeverisjes vendore dhe operatorët e menaxhimit të mbetjeve përmbushin detyrimet për riciklimin dhe rikuperimin e mbetjeve të ambalazheve, brenda afateve të përcaktuara në këtë vendim.</w:t>
      </w:r>
    </w:p>
    <w:p w14:paraId="389A20C6"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t xml:space="preserve">Njësitë e vetëqeverisjes vendore, në bashkëpunim me operatorët ekonomikë, organizojnë dhe vënë në </w:t>
      </w:r>
      <w:proofErr w:type="spellStart"/>
      <w:r w:rsidRPr="00C51AE9">
        <w:rPr>
          <w:rFonts w:ascii="Times New Roman" w:hAnsi="Times New Roman" w:cs="Times New Roman"/>
        </w:rPr>
        <w:t>në</w:t>
      </w:r>
      <w:proofErr w:type="spellEnd"/>
      <w:r w:rsidRPr="00C51AE9">
        <w:rPr>
          <w:rFonts w:ascii="Times New Roman" w:hAnsi="Times New Roman" w:cs="Times New Roman"/>
        </w:rPr>
        <w:t xml:space="preserve"> funksionim të sistemeve efektive për grumbullimin e diferencuar të mbetjeve të ambalazheve nga konsumatorët.</w:t>
      </w:r>
    </w:p>
    <w:p w14:paraId="0BE8222D"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t xml:space="preserve">Konsumatorët e fundit, institucionalë dhe familjarë, ndajnë në  </w:t>
      </w:r>
      <w:proofErr w:type="spellStart"/>
      <w:r w:rsidRPr="00C51AE9">
        <w:rPr>
          <w:rFonts w:ascii="Times New Roman" w:hAnsi="Times New Roman" w:cs="Times New Roman"/>
        </w:rPr>
        <w:t>në</w:t>
      </w:r>
      <w:proofErr w:type="spellEnd"/>
      <w:r w:rsidRPr="00C51AE9">
        <w:rPr>
          <w:rFonts w:ascii="Times New Roman" w:hAnsi="Times New Roman" w:cs="Times New Roman"/>
        </w:rPr>
        <w:t xml:space="preserve"> burim të mbetjet e  ambalazheve sipas llojit të materialit (plastikë, letër/karton, qelq, metal) dhe dorëzimin e tyre në pikat e përcaktuara të grumbullimit.</w:t>
      </w:r>
    </w:p>
    <w:p w14:paraId="6373CE72"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t xml:space="preserve">Personat juridikë, dhe fizikë që hedhin në treg ambalazhe deklarojnë dhe raportojmë të dhënat për ambalazhet e hedhura në treg dhe për mbetjet e ambalazheve të grumbulluara, të ricikluara dhe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në mënyrë elektronike dhe në përputhje me kërkesat e këtij vendimi..</w:t>
      </w:r>
      <w:r w:rsidRPr="00C51AE9">
        <w:t xml:space="preserve"> </w:t>
      </w:r>
    </w:p>
    <w:p w14:paraId="6CC3CACC" w14:textId="77777777" w:rsidR="00767CD0" w:rsidRPr="00C51AE9" w:rsidRDefault="00C51AE9" w:rsidP="00F635BF">
      <w:pPr>
        <w:numPr>
          <w:ilvl w:val="0"/>
          <w:numId w:val="82"/>
        </w:numPr>
        <w:spacing w:after="0"/>
        <w:jc w:val="both"/>
        <w:rPr>
          <w:rFonts w:ascii="Times New Roman" w:hAnsi="Times New Roman" w:cs="Times New Roman"/>
        </w:rPr>
      </w:pPr>
      <w:r w:rsidRPr="00C51AE9">
        <w:rPr>
          <w:rFonts w:ascii="Times New Roman" w:hAnsi="Times New Roman" w:cs="Times New Roman"/>
        </w:rPr>
        <w:t>Agjencia Kombëtare e Mjedisit administron dhe monitoron të dhënat e regjistruara dhe të raportuara nga subjektet dhe verifikon përmbushjen e objektivave për riciklimin dhe rikuperimin e mbetjeve të ambalazheve, në përputhje me kompetencat e përcaktuara në legjislacionin në fuqi.</w:t>
      </w:r>
      <w:r w:rsidRPr="00C51AE9">
        <w:t xml:space="preserve"> </w:t>
      </w:r>
    </w:p>
    <w:p w14:paraId="2E47D6B7" w14:textId="77777777" w:rsidR="00767CD0" w:rsidRPr="00C51AE9" w:rsidRDefault="00767CD0">
      <w:pPr>
        <w:jc w:val="both"/>
        <w:rPr>
          <w:rFonts w:ascii="Times New Roman" w:hAnsi="Times New Roman" w:cs="Times New Roman"/>
        </w:rPr>
      </w:pPr>
    </w:p>
    <w:p w14:paraId="150505D2"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 xml:space="preserve"> Neni 9</w:t>
      </w:r>
    </w:p>
    <w:p w14:paraId="7CBD0CDF" w14:textId="77777777" w:rsidR="00767CD0" w:rsidRPr="00C51AE9" w:rsidRDefault="00C51AE9">
      <w:pPr>
        <w:ind w:left="1440" w:firstLine="720"/>
        <w:jc w:val="both"/>
        <w:rPr>
          <w:rFonts w:ascii="Times New Roman" w:hAnsi="Times New Roman" w:cs="Times New Roman"/>
          <w:b/>
          <w:bCs/>
        </w:rPr>
      </w:pPr>
      <w:r w:rsidRPr="00C51AE9">
        <w:rPr>
          <w:rFonts w:ascii="Times New Roman" w:hAnsi="Times New Roman" w:cs="Times New Roman"/>
          <w:b/>
          <w:bCs/>
        </w:rPr>
        <w:t>Baza e të dhënave dhe monitorimi i ambalazheve</w:t>
      </w:r>
    </w:p>
    <w:p w14:paraId="7BA3C111" w14:textId="77777777" w:rsidR="00767CD0" w:rsidRPr="00C51AE9" w:rsidRDefault="00C51AE9" w:rsidP="00F635BF">
      <w:pPr>
        <w:numPr>
          <w:ilvl w:val="0"/>
          <w:numId w:val="83"/>
        </w:numPr>
        <w:spacing w:after="0"/>
        <w:jc w:val="both"/>
        <w:rPr>
          <w:rFonts w:ascii="Times New Roman" w:hAnsi="Times New Roman" w:cs="Times New Roman"/>
        </w:rPr>
      </w:pPr>
      <w:r w:rsidRPr="00C51AE9">
        <w:rPr>
          <w:rFonts w:ascii="Times New Roman" w:hAnsi="Times New Roman" w:cs="Times New Roman"/>
        </w:rPr>
        <w:t>Subjektet prodhuese të ambalazheve regjistrohen dhe pajisen me numër unik regjistrimi përpara vënies së ambalazheve në treg. Subjektet prodhuese, shoqëritë e përgjegjësisë së zgjeruar të subjekteve prodhuese dhe operatorët e menaxhimit të mbetjeve të ambalazheve raportojnë të dhënat mbi ambalazhet e hedhura në treg dhe mbetjet e tyre në Sistemin e Integruar Mjedisor (SIM), në mënyrë elektronike dhe brenda afateve të përcaktuara në këtë vendim. Subjektet raportojnë të dhënat për peshën, llojin e materialit dhe treguesit e qëndrueshmërisë, sipas kërkesave të këtij vendimi.</w:t>
      </w:r>
    </w:p>
    <w:p w14:paraId="5432A555" w14:textId="77777777" w:rsidR="00767CD0" w:rsidRPr="00C51AE9" w:rsidRDefault="00767CD0" w:rsidP="00C51AE9">
      <w:pPr>
        <w:spacing w:after="0"/>
        <w:jc w:val="both"/>
        <w:rPr>
          <w:rFonts w:ascii="Times New Roman" w:hAnsi="Times New Roman" w:cs="Times New Roman"/>
        </w:rPr>
      </w:pPr>
    </w:p>
    <w:p w14:paraId="35FD86F8" w14:textId="77777777" w:rsidR="00767CD0" w:rsidRPr="00C51AE9" w:rsidRDefault="00C51AE9" w:rsidP="00F635BF">
      <w:pPr>
        <w:numPr>
          <w:ilvl w:val="0"/>
          <w:numId w:val="83"/>
        </w:numPr>
        <w:spacing w:after="0"/>
        <w:jc w:val="both"/>
        <w:rPr>
          <w:rFonts w:ascii="Times New Roman" w:hAnsi="Times New Roman" w:cs="Times New Roman"/>
        </w:rPr>
      </w:pPr>
      <w:r w:rsidRPr="00C51AE9">
        <w:rPr>
          <w:rFonts w:ascii="Times New Roman" w:hAnsi="Times New Roman" w:cs="Times New Roman"/>
        </w:rPr>
        <w:t>Agjencia Kombëtare e Mjedisit përpunon dhe verifikon të dhënat  raportuara në Sistemin e Integruar Mjedisor, me qëllim monitorimin e përmbushjes së objektivave vjetore të riciklimit dhe rikuperimit të ambalazheve,</w:t>
      </w:r>
      <w:r w:rsidRPr="00C51AE9">
        <w:t xml:space="preserve"> </w:t>
      </w:r>
      <w:r w:rsidRPr="00C51AE9">
        <w:rPr>
          <w:rFonts w:ascii="Times New Roman" w:hAnsi="Times New Roman" w:cs="Times New Roman"/>
        </w:rPr>
        <w:t xml:space="preserve">nëpërmjet kryqëzimit elektronik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me  autoritetet doganore e tatimore, verifikimit të raporteve përmes </w:t>
      </w:r>
      <w:proofErr w:type="spellStart"/>
      <w:r w:rsidRPr="00C51AE9">
        <w:rPr>
          <w:rFonts w:ascii="Times New Roman" w:hAnsi="Times New Roman" w:cs="Times New Roman"/>
        </w:rPr>
        <w:t>auditimeve</w:t>
      </w:r>
      <w:proofErr w:type="spellEnd"/>
      <w:r w:rsidRPr="00C51AE9">
        <w:rPr>
          <w:rFonts w:ascii="Times New Roman" w:hAnsi="Times New Roman" w:cs="Times New Roman"/>
        </w:rPr>
        <w:t xml:space="preserve"> teknike dhe kontrollit të statusit të subjekteve të regjistruara.</w:t>
      </w:r>
    </w:p>
    <w:p w14:paraId="5A2FB0CF" w14:textId="77777777" w:rsidR="00767CD0" w:rsidRPr="00C51AE9" w:rsidRDefault="00C51AE9" w:rsidP="00F635BF">
      <w:pPr>
        <w:pStyle w:val="ListParagraph"/>
        <w:numPr>
          <w:ilvl w:val="0"/>
          <w:numId w:val="83"/>
        </w:numPr>
        <w:jc w:val="both"/>
        <w:rPr>
          <w:rFonts w:ascii="Times New Roman" w:hAnsi="Times New Roman" w:cs="Times New Roman"/>
          <w:bCs/>
          <w:w w:val="90"/>
        </w:rPr>
      </w:pPr>
      <w:r w:rsidRPr="00C51AE9">
        <w:rPr>
          <w:rFonts w:ascii="Times New Roman" w:hAnsi="Times New Roman" w:cs="Times New Roman"/>
        </w:rPr>
        <w:t xml:space="preserve">Agjencia Kombëtare e Mjedisit  </w:t>
      </w:r>
      <w:proofErr w:type="spellStart"/>
      <w:r w:rsidRPr="00C51AE9">
        <w:rPr>
          <w:rFonts w:ascii="Times New Roman" w:hAnsi="Times New Roman" w:cs="Times New Roman"/>
        </w:rPr>
        <w:t>gjeneron</w:t>
      </w:r>
      <w:proofErr w:type="spellEnd"/>
      <w:r w:rsidRPr="00C51AE9">
        <w:rPr>
          <w:rFonts w:ascii="Times New Roman" w:hAnsi="Times New Roman" w:cs="Times New Roman"/>
        </w:rPr>
        <w:t xml:space="preserve"> e raporteve periodike nga Sistemi i Integruar Mjedisor, për t’ia vënë ato në dispozicion ministrisë  përgjegjëse për mjedisin me qëllim hartimin e politikave kombëtare</w:t>
      </w:r>
      <w:r w:rsidRPr="00C51AE9">
        <w:t xml:space="preserve"> </w:t>
      </w:r>
      <w:r w:rsidRPr="00C51AE9">
        <w:rPr>
          <w:rFonts w:ascii="Times New Roman" w:hAnsi="Times New Roman" w:cs="Times New Roman"/>
        </w:rPr>
        <w:t xml:space="preserve">Të dhënat </w:t>
      </w:r>
      <w:proofErr w:type="spellStart"/>
      <w:r w:rsidRPr="00C51AE9">
        <w:rPr>
          <w:rFonts w:ascii="Times New Roman" w:hAnsi="Times New Roman" w:cs="Times New Roman"/>
        </w:rPr>
        <w:t>strukturohen</w:t>
      </w:r>
      <w:proofErr w:type="spellEnd"/>
      <w:r w:rsidRPr="00C51AE9">
        <w:rPr>
          <w:rFonts w:ascii="Times New Roman" w:hAnsi="Times New Roman" w:cs="Times New Roman"/>
        </w:rPr>
        <w:t xml:space="preserve"> sipas kritereve të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së riciklimit dhe përdoren për prodhimin e treguesve statistikorë mbi konsumin e ambalazheve dhe qeseve plastike.</w:t>
      </w:r>
    </w:p>
    <w:p w14:paraId="729ED16F" w14:textId="77777777" w:rsidR="00767CD0" w:rsidRPr="00C51AE9" w:rsidRDefault="00C51AE9">
      <w:pPr>
        <w:keepNext/>
        <w:keepLines/>
        <w:spacing w:before="160" w:after="80"/>
        <w:ind w:firstLine="36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 xml:space="preserve">Neni 10 </w:t>
      </w:r>
    </w:p>
    <w:p w14:paraId="51D5802A" w14:textId="77777777" w:rsidR="00767CD0" w:rsidRPr="00C51AE9" w:rsidRDefault="00C51AE9">
      <w:pPr>
        <w:keepNext/>
        <w:keepLines/>
        <w:spacing w:before="160" w:after="80"/>
        <w:ind w:firstLine="360"/>
        <w:jc w:val="center"/>
        <w:outlineLvl w:val="1"/>
        <w:rPr>
          <w:rFonts w:ascii="Times New Roman" w:eastAsiaTheme="majorEastAsia" w:hAnsi="Times New Roman" w:cs="Times New Roman"/>
          <w:b/>
        </w:rPr>
      </w:pPr>
      <w:bookmarkStart w:id="8" w:name="_Toc227317601"/>
      <w:r w:rsidRPr="00C51AE9">
        <w:rPr>
          <w:rFonts w:ascii="Times New Roman" w:eastAsiaTheme="majorEastAsia" w:hAnsi="Times New Roman" w:cs="Times New Roman"/>
          <w:b/>
        </w:rPr>
        <w:t>Lëvizja e lirë</w:t>
      </w:r>
      <w:bookmarkEnd w:id="8"/>
      <w:r w:rsidRPr="00C51AE9">
        <w:rPr>
          <w:rFonts w:ascii="Times New Roman" w:eastAsiaTheme="majorEastAsia" w:hAnsi="Times New Roman" w:cs="Times New Roman"/>
          <w:b/>
        </w:rPr>
        <w:t xml:space="preserve"> e ambalazheve</w:t>
      </w:r>
    </w:p>
    <w:p w14:paraId="06A2BA61" w14:textId="77777777" w:rsidR="00767CD0" w:rsidRPr="00C51AE9" w:rsidRDefault="00C51AE9" w:rsidP="00F635BF">
      <w:pPr>
        <w:numPr>
          <w:ilvl w:val="0"/>
          <w:numId w:val="7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Ambalazhet vendosen në treg vetëm nëse janë në përputhje me kërkesat e përcaktuara në këtë vendim. </w:t>
      </w:r>
    </w:p>
    <w:p w14:paraId="2BD4DD07" w14:textId="77777777" w:rsidR="00767CD0" w:rsidRPr="00C51AE9" w:rsidRDefault="00C51AE9" w:rsidP="00F635BF">
      <w:pPr>
        <w:numPr>
          <w:ilvl w:val="0"/>
          <w:numId w:val="7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Vendosja në treg në Republikën e Shqipërisë e ambalazheve që përmbushin kërkesat e qëndrueshmërisë, etiketimit dhe informacionit, të përcaktuara në këtë vendim dhe në aktet e nxjerra në zbatim të tij, nuk ndalohet, kufizohet ose pengohet për arsye që lidhen me kërkesat e mbuluara nga ky vendim.</w:t>
      </w:r>
    </w:p>
    <w:p w14:paraId="20301B74" w14:textId="77777777" w:rsidR="00767CD0" w:rsidRPr="00C51AE9" w:rsidRDefault="00C51AE9" w:rsidP="00F635BF">
      <w:pPr>
        <w:numPr>
          <w:ilvl w:val="0"/>
          <w:numId w:val="7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Ambalazhet që nuk përputhen me kërkesat e këtij vendimi mund të ekspozohen në panaire tregtare, ekspozita ose aktivitete të ngjashme, me kusht që të vendoset një shenjë e dukshme dhe qartësisht e lexueshme, që tregon se:</w:t>
      </w:r>
    </w:p>
    <w:p w14:paraId="7099F6AC" w14:textId="77777777" w:rsidR="00767CD0" w:rsidRPr="00C51AE9" w:rsidRDefault="00C51AE9" w:rsidP="00F635BF">
      <w:pPr>
        <w:numPr>
          <w:ilvl w:val="0"/>
          <w:numId w:val="78"/>
        </w:numPr>
        <w:spacing w:after="0"/>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ambalazhi nuk është në përputhje me këtë vendim dhe</w:t>
      </w:r>
    </w:p>
    <w:p w14:paraId="5D9913E7" w14:textId="77777777" w:rsidR="00767CD0" w:rsidRPr="00C51AE9" w:rsidRDefault="00C51AE9" w:rsidP="00F635BF">
      <w:pPr>
        <w:numPr>
          <w:ilvl w:val="0"/>
          <w:numId w:val="78"/>
        </w:numPr>
        <w:spacing w:after="0"/>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ambalazhi nuk mund të vendoset në treg derisa të sillet në përputhje me kërkesat e këtij vendimi. </w:t>
      </w:r>
    </w:p>
    <w:p w14:paraId="549D62A7" w14:textId="77777777" w:rsidR="00767CD0" w:rsidRPr="00C51AE9" w:rsidRDefault="00C51AE9" w:rsidP="00F635BF">
      <w:pPr>
        <w:numPr>
          <w:ilvl w:val="0"/>
          <w:numId w:val="77"/>
        </w:numPr>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Ekspozimi i ambalazheve sipas pikës 3 të këtij neni nuk  lejohet të krijojë konfuzion për konsumatorin ose përdoruesin përfundimtar lidhur me përputhshmërinë e tyre me kërkesat e këtij vendimi.</w:t>
      </w:r>
    </w:p>
    <w:p w14:paraId="34DE836D"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5. Kërkesat kombëtare për qëndrueshmërinë ose kërkesat shtesë për informacion, të përcaktuara në legjislacionin në fuqi, nuk bien ndesh me kërkesat e këtij vendimi dhe nuk përdoren për të ndaluar, kufizuar ose penguar vendosjen në treg të ambalazhit që përmbush kërkesat e këtij vendimi.</w:t>
      </w:r>
    </w:p>
    <w:p w14:paraId="5764AF82" w14:textId="77777777" w:rsidR="00C51AE9" w:rsidRDefault="00C51AE9">
      <w:pPr>
        <w:jc w:val="center"/>
        <w:rPr>
          <w:rFonts w:ascii="Times New Roman" w:hAnsi="Times New Roman" w:cs="Times New Roman"/>
          <w:b/>
          <w:bCs/>
        </w:rPr>
      </w:pPr>
    </w:p>
    <w:p w14:paraId="4CADEFEF" w14:textId="77777777" w:rsidR="00767CD0" w:rsidRPr="00C51AE9" w:rsidRDefault="00C51AE9">
      <w:pPr>
        <w:jc w:val="center"/>
        <w:rPr>
          <w:rFonts w:ascii="Times New Roman" w:hAnsi="Times New Roman" w:cs="Times New Roman"/>
          <w:bCs/>
        </w:rPr>
      </w:pPr>
      <w:r w:rsidRPr="00C51AE9">
        <w:rPr>
          <w:rFonts w:ascii="Times New Roman" w:hAnsi="Times New Roman" w:cs="Times New Roman"/>
          <w:b/>
          <w:bCs/>
        </w:rPr>
        <w:t>KREU II</w:t>
      </w:r>
    </w:p>
    <w:p w14:paraId="47DA7845" w14:textId="77777777" w:rsidR="00767CD0" w:rsidRPr="00C51AE9" w:rsidRDefault="00C51AE9">
      <w:pPr>
        <w:keepNext/>
        <w:keepLines/>
        <w:spacing w:before="160" w:after="80"/>
        <w:jc w:val="center"/>
        <w:outlineLvl w:val="1"/>
        <w:rPr>
          <w:rFonts w:ascii="Times New Roman" w:eastAsiaTheme="majorEastAsia" w:hAnsi="Times New Roman" w:cs="Times New Roman"/>
          <w:b/>
          <w:bCs/>
        </w:rPr>
      </w:pPr>
      <w:bookmarkStart w:id="9" w:name="_Toc227317602"/>
      <w:r w:rsidRPr="00C51AE9">
        <w:rPr>
          <w:rFonts w:ascii="Times New Roman" w:eastAsiaTheme="majorEastAsia" w:hAnsi="Times New Roman" w:cs="Times New Roman"/>
          <w:b/>
          <w:bCs/>
        </w:rPr>
        <w:t>KËRKESAT PËR PRODHIMIN DHE HEDHJEN NË TREG TË AMBALAZHEVE</w:t>
      </w:r>
      <w:bookmarkEnd w:id="9"/>
    </w:p>
    <w:p w14:paraId="2344BDBE" w14:textId="77777777" w:rsidR="00C51AE9" w:rsidRPr="00C51AE9" w:rsidRDefault="00C51AE9" w:rsidP="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11</w:t>
      </w:r>
    </w:p>
    <w:p w14:paraId="1F2FF13A" w14:textId="77777777" w:rsidR="00C51AE9" w:rsidRPr="00C51AE9" w:rsidRDefault="00C51AE9" w:rsidP="00C51AE9">
      <w:pPr>
        <w:keepNext/>
        <w:keepLines/>
        <w:spacing w:before="160" w:after="80"/>
        <w:jc w:val="center"/>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
          <w:bCs/>
          <w:lang w:val="en-US"/>
        </w:rPr>
        <w:t>Kërkesat</w:t>
      </w:r>
      <w:proofErr w:type="spellEnd"/>
      <w:r w:rsidRPr="00C51AE9">
        <w:rPr>
          <w:rFonts w:ascii="Times New Roman" w:eastAsiaTheme="majorEastAsia" w:hAnsi="Times New Roman" w:cs="Times New Roman"/>
          <w:b/>
          <w:bCs/>
          <w:lang w:val="en-US"/>
        </w:rPr>
        <w:t xml:space="preserve"> </w:t>
      </w:r>
      <w:proofErr w:type="spellStart"/>
      <w:r w:rsidRPr="00C51AE9">
        <w:rPr>
          <w:rFonts w:ascii="Times New Roman" w:eastAsiaTheme="majorEastAsia" w:hAnsi="Times New Roman" w:cs="Times New Roman"/>
          <w:b/>
          <w:bCs/>
          <w:lang w:val="en-US"/>
        </w:rPr>
        <w:t>për</w:t>
      </w:r>
      <w:proofErr w:type="spellEnd"/>
      <w:r w:rsidRPr="00C51AE9">
        <w:rPr>
          <w:rFonts w:ascii="Times New Roman" w:eastAsiaTheme="majorEastAsia" w:hAnsi="Times New Roman" w:cs="Times New Roman"/>
          <w:b/>
          <w:bCs/>
          <w:lang w:val="en-US"/>
        </w:rPr>
        <w:t xml:space="preserve"> </w:t>
      </w:r>
      <w:proofErr w:type="spellStart"/>
      <w:r w:rsidRPr="00C51AE9">
        <w:rPr>
          <w:rFonts w:ascii="Times New Roman" w:eastAsiaTheme="majorEastAsia" w:hAnsi="Times New Roman" w:cs="Times New Roman"/>
          <w:b/>
          <w:bCs/>
          <w:lang w:val="en-US"/>
        </w:rPr>
        <w:t>substancat</w:t>
      </w:r>
      <w:proofErr w:type="spellEnd"/>
      <w:r w:rsidRPr="00C51AE9">
        <w:rPr>
          <w:rFonts w:ascii="Times New Roman" w:eastAsiaTheme="majorEastAsia" w:hAnsi="Times New Roman" w:cs="Times New Roman"/>
          <w:b/>
          <w:bCs/>
          <w:lang w:val="en-US"/>
        </w:rPr>
        <w:t xml:space="preserve"> </w:t>
      </w:r>
      <w:proofErr w:type="spellStart"/>
      <w:r w:rsidRPr="00C51AE9">
        <w:rPr>
          <w:rFonts w:ascii="Times New Roman" w:eastAsiaTheme="majorEastAsia" w:hAnsi="Times New Roman" w:cs="Times New Roman"/>
          <w:b/>
          <w:bCs/>
          <w:lang w:val="en-US"/>
        </w:rPr>
        <w:t>përbërëse</w:t>
      </w:r>
      <w:proofErr w:type="spellEnd"/>
      <w:r w:rsidRPr="00C51AE9">
        <w:rPr>
          <w:rFonts w:ascii="Times New Roman" w:eastAsiaTheme="majorEastAsia" w:hAnsi="Times New Roman" w:cs="Times New Roman"/>
          <w:b/>
          <w:bCs/>
          <w:lang w:val="en-US"/>
        </w:rPr>
        <w:t xml:space="preserve"> </w:t>
      </w:r>
      <w:proofErr w:type="spellStart"/>
      <w:r w:rsidRPr="00C51AE9">
        <w:rPr>
          <w:rFonts w:ascii="Times New Roman" w:eastAsiaTheme="majorEastAsia" w:hAnsi="Times New Roman" w:cs="Times New Roman"/>
          <w:b/>
          <w:bCs/>
          <w:lang w:val="en-US"/>
        </w:rPr>
        <w:t>të</w:t>
      </w:r>
      <w:proofErr w:type="spellEnd"/>
      <w:r w:rsidRPr="00C51AE9">
        <w:rPr>
          <w:rFonts w:ascii="Times New Roman" w:eastAsiaTheme="majorEastAsia" w:hAnsi="Times New Roman" w:cs="Times New Roman"/>
          <w:b/>
          <w:bCs/>
          <w:lang w:val="en-US"/>
        </w:rPr>
        <w:t xml:space="preserve"> </w:t>
      </w:r>
      <w:proofErr w:type="spellStart"/>
      <w:r w:rsidRPr="00C51AE9">
        <w:rPr>
          <w:rFonts w:ascii="Times New Roman" w:eastAsiaTheme="majorEastAsia" w:hAnsi="Times New Roman" w:cs="Times New Roman"/>
          <w:b/>
          <w:bCs/>
          <w:lang w:val="en-US"/>
        </w:rPr>
        <w:t>ambalazheve</w:t>
      </w:r>
      <w:proofErr w:type="spellEnd"/>
    </w:p>
    <w:p w14:paraId="0D45F153" w14:textId="77777777" w:rsidR="00C51AE9" w:rsidRPr="00C51AE9" w:rsidRDefault="00C51AE9" w:rsidP="00F635BF">
      <w:pPr>
        <w:keepNext/>
        <w:keepLines/>
        <w:numPr>
          <w:ilvl w:val="0"/>
          <w:numId w:val="182"/>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Ambalazhi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hidhet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projektohet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mënyrë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minimizohet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prania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përqendrimi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shqetësuese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rrezikshme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ambalazhimit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përbërësit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tyre</w:t>
      </w:r>
      <w:proofErr w:type="spellEnd"/>
      <w:r w:rsidRPr="00C51AE9">
        <w:rPr>
          <w:rFonts w:ascii="Times New Roman" w:eastAsiaTheme="majorEastAsia" w:hAnsi="Times New Roman" w:cs="Times New Roman"/>
          <w:bCs/>
          <w:lang w:val="en-US"/>
        </w:rPr>
        <w:t>.</w:t>
      </w:r>
    </w:p>
    <w:p w14:paraId="4F47B9EB" w14:textId="77777777" w:rsidR="00C51AE9" w:rsidRPr="00C51AE9" w:rsidRDefault="00C51AE9" w:rsidP="00F635BF">
      <w:pPr>
        <w:keepNext/>
        <w:keepLines/>
        <w:numPr>
          <w:ilvl w:val="0"/>
          <w:numId w:val="182"/>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Zvogëlimi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pranisë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përqendrimit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përcaktuara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pikën</w:t>
      </w:r>
      <w:proofErr w:type="spellEnd"/>
      <w:r w:rsidRPr="00C51AE9">
        <w:rPr>
          <w:rFonts w:ascii="Times New Roman" w:eastAsiaTheme="majorEastAsia" w:hAnsi="Times New Roman" w:cs="Times New Roman"/>
          <w:bCs/>
          <w:lang w:val="en-US"/>
        </w:rPr>
        <w:t xml:space="preserve"> 1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synon</w:t>
      </w:r>
      <w:proofErr w:type="spellEnd"/>
      <w:r w:rsidRPr="00C51AE9">
        <w:rPr>
          <w:rFonts w:ascii="Times New Roman" w:eastAsiaTheme="majorEastAsia" w:hAnsi="Times New Roman" w:cs="Times New Roman"/>
          <w:bCs/>
          <w:lang w:val="en-US"/>
        </w:rPr>
        <w:t>:</w:t>
      </w:r>
    </w:p>
    <w:p w14:paraId="0DB45221" w14:textId="77777777" w:rsidR="00C51AE9" w:rsidRPr="00C51AE9" w:rsidRDefault="00C51AE9" w:rsidP="00C51AE9">
      <w:pPr>
        <w:keepNext/>
        <w:keepLines/>
        <w:spacing w:before="160" w:after="80"/>
        <w:ind w:left="36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a. </w:t>
      </w:r>
      <w:proofErr w:type="spellStart"/>
      <w:r w:rsidRPr="00C51AE9">
        <w:rPr>
          <w:rFonts w:ascii="Times New Roman" w:eastAsiaTheme="majorEastAsia" w:hAnsi="Times New Roman" w:cs="Times New Roman"/>
          <w:bCs/>
          <w:lang w:val="en-US"/>
        </w:rPr>
        <w:t>reduktimin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pranisë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tyre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emetime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produktet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rezultojnë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operacionet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menaxhimit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mbetjeve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përfshirë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lëndët</w:t>
      </w:r>
      <w:proofErr w:type="spellEnd"/>
      <w:r w:rsidRPr="00C51AE9">
        <w:rPr>
          <w:rFonts w:ascii="Times New Roman" w:eastAsiaTheme="majorEastAsia" w:hAnsi="Times New Roman" w:cs="Times New Roman"/>
          <w:bCs/>
          <w:lang w:val="en-US"/>
        </w:rPr>
        <w:t xml:space="preserve"> e para </w:t>
      </w:r>
      <w:proofErr w:type="spellStart"/>
      <w:r w:rsidRPr="00C51AE9">
        <w:rPr>
          <w:rFonts w:ascii="Times New Roman" w:eastAsiaTheme="majorEastAsia" w:hAnsi="Times New Roman" w:cs="Times New Roman"/>
          <w:bCs/>
          <w:lang w:val="en-US"/>
        </w:rPr>
        <w:t>dytësore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hirin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destinuara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depozitim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përfundimtar</w:t>
      </w:r>
      <w:proofErr w:type="spellEnd"/>
      <w:r w:rsidRPr="00C51AE9">
        <w:rPr>
          <w:rFonts w:ascii="Times New Roman" w:eastAsiaTheme="majorEastAsia" w:hAnsi="Times New Roman" w:cs="Times New Roman"/>
          <w:bCs/>
          <w:lang w:val="en-US"/>
        </w:rPr>
        <w:t>;</w:t>
      </w:r>
    </w:p>
    <w:p w14:paraId="59BF62BA" w14:textId="77777777" w:rsidR="00C51AE9" w:rsidRPr="00C51AE9" w:rsidRDefault="00C51AE9" w:rsidP="00C51AE9">
      <w:pPr>
        <w:keepNext/>
        <w:keepLines/>
        <w:spacing w:before="160" w:after="80"/>
        <w:ind w:firstLine="36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b. </w:t>
      </w:r>
      <w:proofErr w:type="spellStart"/>
      <w:r w:rsidRPr="00C51AE9">
        <w:rPr>
          <w:rFonts w:ascii="Times New Roman" w:eastAsiaTheme="majorEastAsia" w:hAnsi="Times New Roman" w:cs="Times New Roman"/>
          <w:bCs/>
          <w:lang w:val="en-US"/>
        </w:rPr>
        <w:t>parandalimin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ndikimeve</w:t>
      </w:r>
      <w:proofErr w:type="spellEnd"/>
      <w:r w:rsidRPr="00C51AE9">
        <w:rPr>
          <w:rFonts w:ascii="Times New Roman" w:eastAsiaTheme="majorEastAsia" w:hAnsi="Times New Roman" w:cs="Times New Roman"/>
          <w:bCs/>
          <w:lang w:val="en-US"/>
        </w:rPr>
        <w:t xml:space="preserve"> negative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shkaktuara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mikroplastikat</w:t>
      </w:r>
      <w:proofErr w:type="spellEnd"/>
      <w:r w:rsidRPr="00C51AE9">
        <w:rPr>
          <w:rFonts w:ascii="Times New Roman" w:eastAsiaTheme="majorEastAsia" w:hAnsi="Times New Roman" w:cs="Times New Roman"/>
          <w:bCs/>
          <w:lang w:val="en-US"/>
        </w:rPr>
        <w:t>.</w:t>
      </w:r>
    </w:p>
    <w:p w14:paraId="09193936" w14:textId="77777777" w:rsidR="006B7650" w:rsidRPr="006B7650" w:rsidRDefault="006B7650" w:rsidP="006B7650">
      <w:pPr>
        <w:rPr>
          <w:rFonts w:ascii="Times New Roman" w:hAnsi="Times New Roman" w:cs="Times New Roman"/>
        </w:rPr>
      </w:pPr>
    </w:p>
    <w:p w14:paraId="64749AE5" w14:textId="77777777" w:rsidR="00767CD0" w:rsidRPr="00C51AE9" w:rsidRDefault="00C51AE9" w:rsidP="00F635BF">
      <w:pPr>
        <w:keepNext/>
        <w:keepLines/>
        <w:numPr>
          <w:ilvl w:val="0"/>
          <w:numId w:val="183"/>
        </w:numPr>
        <w:tabs>
          <w:tab w:val="left" w:pos="720"/>
        </w:tabs>
        <w:spacing w:before="160" w:after="8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lastRenderedPageBreak/>
        <w:t xml:space="preserve">Kur </w:t>
      </w:r>
      <w:proofErr w:type="spellStart"/>
      <w:r w:rsidRPr="00C51AE9">
        <w:rPr>
          <w:rFonts w:ascii="Times New Roman" w:eastAsiaTheme="majorEastAsia" w:hAnsi="Times New Roman" w:cs="Times New Roman"/>
          <w:bCs/>
          <w:lang w:val="en-US"/>
        </w:rPr>
        <w:t>prania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substance </w:t>
      </w:r>
      <w:proofErr w:type="spellStart"/>
      <w:r w:rsidRPr="00C51AE9">
        <w:rPr>
          <w:rFonts w:ascii="Times New Roman" w:eastAsiaTheme="majorEastAsia" w:hAnsi="Times New Roman" w:cs="Times New Roman"/>
          <w:bCs/>
          <w:lang w:val="en-US"/>
        </w:rPr>
        <w:t>shqetësuese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ndikon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negativisht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ripërdorimin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materialeve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arsye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nuk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lidhen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kryesisht</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sigurinë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kimike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saj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ministria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harton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raport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përmban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identitetin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përdorimet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substancës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përshkrimin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mënyrës</w:t>
      </w:r>
      <w:proofErr w:type="spellEnd"/>
      <w:r w:rsidRPr="00C51AE9">
        <w:rPr>
          <w:rFonts w:ascii="Times New Roman" w:eastAsiaTheme="majorEastAsia" w:hAnsi="Times New Roman" w:cs="Times New Roman"/>
          <w:bCs/>
          <w:lang w:val="en-US"/>
        </w:rPr>
        <w:t xml:space="preserve"> se </w:t>
      </w:r>
      <w:proofErr w:type="spellStart"/>
      <w:r w:rsidRPr="00C51AE9">
        <w:rPr>
          <w:rFonts w:ascii="Times New Roman" w:eastAsiaTheme="majorEastAsia" w:hAnsi="Times New Roman" w:cs="Times New Roman"/>
          <w:bCs/>
          <w:lang w:val="en-US"/>
        </w:rPr>
        <w:t>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prania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saj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pengon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ripërdorimin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materialeve</w:t>
      </w:r>
      <w:proofErr w:type="spellEnd"/>
      <w:r w:rsidRPr="00C51AE9">
        <w:rPr>
          <w:rFonts w:ascii="Times New Roman" w:eastAsiaTheme="majorEastAsia" w:hAnsi="Times New Roman" w:cs="Times New Roman"/>
          <w:bCs/>
          <w:lang w:val="en-US"/>
        </w:rPr>
        <w:t>.</w:t>
      </w:r>
    </w:p>
    <w:p w14:paraId="68671E74" w14:textId="77777777" w:rsidR="00767CD0" w:rsidRPr="00C51AE9" w:rsidRDefault="00C51AE9" w:rsidP="00F635BF">
      <w:pPr>
        <w:keepNext/>
        <w:keepLines/>
        <w:numPr>
          <w:ilvl w:val="0"/>
          <w:numId w:val="183"/>
        </w:numPr>
        <w:tabs>
          <w:tab w:val="left" w:pos="720"/>
        </w:tabs>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Bazuar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raportin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përcaktuar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pikën</w:t>
      </w:r>
      <w:proofErr w:type="spellEnd"/>
      <w:r w:rsidRPr="00C51AE9">
        <w:rPr>
          <w:rFonts w:ascii="Times New Roman" w:eastAsiaTheme="majorEastAsia" w:hAnsi="Times New Roman" w:cs="Times New Roman"/>
          <w:bCs/>
          <w:lang w:val="en-US"/>
        </w:rPr>
        <w:t xml:space="preserve"> 3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ministri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përcakton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kufizimin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përdorimit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kriteret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projektimit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miratuara</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udhëzim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nenit</w:t>
      </w:r>
      <w:proofErr w:type="spellEnd"/>
      <w:r w:rsidRPr="00C51AE9">
        <w:rPr>
          <w:rFonts w:ascii="Times New Roman" w:eastAsiaTheme="majorEastAsia" w:hAnsi="Times New Roman" w:cs="Times New Roman"/>
          <w:bCs/>
          <w:lang w:val="en-US"/>
        </w:rPr>
        <w:t xml:space="preserve"> 12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vendimi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përputhje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kriteret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miratuara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Bashkimin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Evropian</w:t>
      </w:r>
      <w:proofErr w:type="spellEnd"/>
      <w:r w:rsidRPr="00C51AE9">
        <w:rPr>
          <w:rFonts w:ascii="Times New Roman" w:eastAsiaTheme="majorEastAsia" w:hAnsi="Times New Roman" w:cs="Times New Roman"/>
          <w:bCs/>
          <w:lang w:val="en-US"/>
        </w:rPr>
        <w:t>.</w:t>
      </w:r>
    </w:p>
    <w:p w14:paraId="57082B1F" w14:textId="77777777" w:rsidR="00767CD0" w:rsidRPr="00C51AE9" w:rsidRDefault="00C51AE9" w:rsidP="00F635BF">
      <w:pPr>
        <w:keepNext/>
        <w:keepLines/>
        <w:numPr>
          <w:ilvl w:val="0"/>
          <w:numId w:val="183"/>
        </w:numPr>
        <w:tabs>
          <w:tab w:val="left" w:pos="720"/>
        </w:tabs>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Ndalohet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hedhja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ambalazheve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materialeve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përqendrimi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përgjithshëm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plumbit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kadmiumit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merkurit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kromit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gjashtëvalent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pranishëm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përbërësit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tejkalon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kufirin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prej</w:t>
      </w:r>
      <w:proofErr w:type="spellEnd"/>
      <w:r w:rsidRPr="00C51AE9">
        <w:rPr>
          <w:rFonts w:ascii="Times New Roman" w:eastAsiaTheme="majorEastAsia" w:hAnsi="Times New Roman" w:cs="Times New Roman"/>
          <w:bCs/>
          <w:lang w:val="en-US"/>
        </w:rPr>
        <w:t xml:space="preserve"> 100 ppm (</w:t>
      </w:r>
      <w:proofErr w:type="spellStart"/>
      <w:r w:rsidRPr="00C51AE9">
        <w:rPr>
          <w:rFonts w:ascii="Times New Roman" w:eastAsiaTheme="majorEastAsia" w:hAnsi="Times New Roman" w:cs="Times New Roman"/>
          <w:bCs/>
          <w:lang w:val="en-US"/>
        </w:rPr>
        <w:t>njëqind</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pjesë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milion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peshës</w:t>
      </w:r>
      <w:proofErr w:type="spellEnd"/>
      <w:r w:rsidRPr="00C51AE9">
        <w:rPr>
          <w:rFonts w:ascii="Times New Roman" w:eastAsiaTheme="majorEastAsia" w:hAnsi="Times New Roman" w:cs="Times New Roman"/>
          <w:bCs/>
          <w:lang w:val="en-US"/>
        </w:rPr>
        <w:t>.</w:t>
      </w:r>
    </w:p>
    <w:p w14:paraId="6F6B1C13" w14:textId="77777777" w:rsidR="00767CD0" w:rsidRPr="00C51AE9" w:rsidRDefault="00C51AE9" w:rsidP="00F635BF">
      <w:pPr>
        <w:keepNext/>
        <w:keepLines/>
        <w:numPr>
          <w:ilvl w:val="0"/>
          <w:numId w:val="183"/>
        </w:numPr>
        <w:tabs>
          <w:tab w:val="left" w:pos="720"/>
        </w:tabs>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Ambalazhi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kontakt</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ushqimin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nuk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hidhet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përmban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alkil</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polifluorinuara</w:t>
      </w:r>
      <w:proofErr w:type="spellEnd"/>
      <w:r w:rsidRPr="00C51AE9">
        <w:rPr>
          <w:rFonts w:ascii="Times New Roman" w:eastAsiaTheme="majorEastAsia" w:hAnsi="Times New Roman" w:cs="Times New Roman"/>
          <w:bCs/>
          <w:lang w:val="en-US"/>
        </w:rPr>
        <w:t xml:space="preserve"> (PFAS)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përqendrime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barabarta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larta</w:t>
      </w:r>
      <w:proofErr w:type="spellEnd"/>
      <w:r w:rsidRPr="00C51AE9">
        <w:rPr>
          <w:rFonts w:ascii="Times New Roman" w:eastAsiaTheme="majorEastAsia" w:hAnsi="Times New Roman" w:cs="Times New Roman"/>
          <w:bCs/>
          <w:lang w:val="en-US"/>
        </w:rPr>
        <w:t xml:space="preserve"> se </w:t>
      </w:r>
      <w:proofErr w:type="spellStart"/>
      <w:r w:rsidRPr="00C51AE9">
        <w:rPr>
          <w:rFonts w:ascii="Times New Roman" w:eastAsiaTheme="majorEastAsia" w:hAnsi="Times New Roman" w:cs="Times New Roman"/>
          <w:bCs/>
          <w:lang w:val="en-US"/>
        </w:rPr>
        <w:t>vlerat</w:t>
      </w:r>
      <w:proofErr w:type="spellEnd"/>
      <w:r w:rsidRPr="00C51AE9">
        <w:rPr>
          <w:rFonts w:ascii="Times New Roman" w:eastAsiaTheme="majorEastAsia" w:hAnsi="Times New Roman" w:cs="Times New Roman"/>
          <w:bCs/>
          <w:lang w:val="en-US"/>
        </w:rPr>
        <w:t xml:space="preserve"> kufi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mëposhtme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përveç</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rasteve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kufizimet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rregullohen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akt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tjetër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ligjor</w:t>
      </w:r>
      <w:proofErr w:type="spellEnd"/>
      <w:r w:rsidRPr="00C51AE9">
        <w:rPr>
          <w:rFonts w:ascii="Times New Roman" w:eastAsiaTheme="majorEastAsia" w:hAnsi="Times New Roman" w:cs="Times New Roman"/>
          <w:bCs/>
          <w:lang w:val="en-US"/>
        </w:rPr>
        <w:t>:</w:t>
      </w:r>
    </w:p>
    <w:p w14:paraId="7B21009B" w14:textId="77777777" w:rsidR="00767CD0" w:rsidRPr="00C51AE9" w:rsidRDefault="00C51AE9">
      <w:pPr>
        <w:keepNext/>
        <w:keepLines/>
        <w:spacing w:before="160" w:after="80"/>
        <w:ind w:left="36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a. 25 ppb (</w:t>
      </w:r>
      <w:proofErr w:type="spellStart"/>
      <w:r w:rsidRPr="00C51AE9">
        <w:rPr>
          <w:rFonts w:ascii="Times New Roman" w:eastAsiaTheme="majorEastAsia" w:hAnsi="Times New Roman" w:cs="Times New Roman"/>
          <w:bCs/>
          <w:lang w:val="en-US"/>
        </w:rPr>
        <w:t>pjesë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miliard</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çdo</w:t>
      </w:r>
      <w:proofErr w:type="spellEnd"/>
      <w:r w:rsidRPr="00C51AE9">
        <w:rPr>
          <w:rFonts w:ascii="Times New Roman" w:eastAsiaTheme="majorEastAsia" w:hAnsi="Times New Roman" w:cs="Times New Roman"/>
          <w:bCs/>
          <w:lang w:val="en-US"/>
        </w:rPr>
        <w:t xml:space="preserve"> PFAS individual,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përcaktuar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nëpërmjet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analizës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synuar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ve</w:t>
      </w:r>
      <w:proofErr w:type="spellEnd"/>
      <w:r w:rsidRPr="00C51AE9">
        <w:rPr>
          <w:rFonts w:ascii="Times New Roman" w:eastAsiaTheme="majorEastAsia" w:hAnsi="Times New Roman" w:cs="Times New Roman"/>
          <w:bCs/>
          <w:lang w:val="en-US"/>
        </w:rPr>
        <w:t xml:space="preserve">, duke </w:t>
      </w:r>
      <w:proofErr w:type="spellStart"/>
      <w:r w:rsidRPr="00C51AE9">
        <w:rPr>
          <w:rFonts w:ascii="Times New Roman" w:eastAsiaTheme="majorEastAsia" w:hAnsi="Times New Roman" w:cs="Times New Roman"/>
          <w:bCs/>
          <w:lang w:val="en-US"/>
        </w:rPr>
        <w:t>përjashtuar</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polimerikë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kuantifikimi</w:t>
      </w:r>
      <w:proofErr w:type="spellEnd"/>
      <w:r w:rsidRPr="00C51AE9">
        <w:rPr>
          <w:rFonts w:ascii="Times New Roman" w:eastAsiaTheme="majorEastAsia" w:hAnsi="Times New Roman" w:cs="Times New Roman"/>
          <w:bCs/>
          <w:lang w:val="en-US"/>
        </w:rPr>
        <w:t>;</w:t>
      </w:r>
    </w:p>
    <w:p w14:paraId="3C213651" w14:textId="77777777" w:rsidR="00767CD0" w:rsidRPr="00C51AE9" w:rsidRDefault="00C51AE9">
      <w:pPr>
        <w:keepNext/>
        <w:keepLines/>
        <w:spacing w:before="160" w:after="80"/>
        <w:ind w:left="36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b. 250 ppb (</w:t>
      </w:r>
      <w:proofErr w:type="spellStart"/>
      <w:r w:rsidRPr="00C51AE9">
        <w:rPr>
          <w:rFonts w:ascii="Times New Roman" w:eastAsiaTheme="majorEastAsia" w:hAnsi="Times New Roman" w:cs="Times New Roman"/>
          <w:bCs/>
          <w:lang w:val="en-US"/>
        </w:rPr>
        <w:t>pjesë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miliard</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shumën</w:t>
      </w:r>
      <w:proofErr w:type="spellEnd"/>
      <w:r w:rsidRPr="00C51AE9">
        <w:rPr>
          <w:rFonts w:ascii="Times New Roman" w:eastAsiaTheme="majorEastAsia" w:hAnsi="Times New Roman" w:cs="Times New Roman"/>
          <w:bCs/>
          <w:lang w:val="en-US"/>
        </w:rPr>
        <w:t xml:space="preserve"> e PFAS-</w:t>
      </w:r>
      <w:proofErr w:type="spellStart"/>
      <w:r w:rsidRPr="00C51AE9">
        <w:rPr>
          <w:rFonts w:ascii="Times New Roman" w:eastAsiaTheme="majorEastAsia" w:hAnsi="Times New Roman" w:cs="Times New Roman"/>
          <w:bCs/>
          <w:lang w:val="en-US"/>
        </w:rPr>
        <w:t>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përcaktuar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shuma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rezultateve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analizës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synuar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përfshirë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është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zbatueshme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produktet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degradimit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prekursorëve</w:t>
      </w:r>
      <w:proofErr w:type="spellEnd"/>
      <w:r w:rsidRPr="00C51AE9">
        <w:rPr>
          <w:rFonts w:ascii="Times New Roman" w:eastAsiaTheme="majorEastAsia" w:hAnsi="Times New Roman" w:cs="Times New Roman"/>
          <w:bCs/>
          <w:lang w:val="en-US"/>
        </w:rPr>
        <w:t xml:space="preserve">, duke </w:t>
      </w:r>
      <w:proofErr w:type="spellStart"/>
      <w:r w:rsidRPr="00C51AE9">
        <w:rPr>
          <w:rFonts w:ascii="Times New Roman" w:eastAsiaTheme="majorEastAsia" w:hAnsi="Times New Roman" w:cs="Times New Roman"/>
          <w:bCs/>
          <w:lang w:val="en-US"/>
        </w:rPr>
        <w:t>përjashtuar</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polimerikë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kuantifikimi</w:t>
      </w:r>
      <w:proofErr w:type="spellEnd"/>
      <w:r w:rsidRPr="00C51AE9">
        <w:rPr>
          <w:rFonts w:ascii="Times New Roman" w:eastAsiaTheme="majorEastAsia" w:hAnsi="Times New Roman" w:cs="Times New Roman"/>
          <w:bCs/>
          <w:lang w:val="en-US"/>
        </w:rPr>
        <w:t>;</w:t>
      </w:r>
    </w:p>
    <w:p w14:paraId="612D8C94" w14:textId="77777777" w:rsidR="00767CD0" w:rsidRPr="00C51AE9" w:rsidRDefault="00C51AE9">
      <w:pPr>
        <w:keepNext/>
        <w:keepLines/>
        <w:spacing w:before="160" w:after="80"/>
        <w:ind w:left="36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c. 50 ppm (</w:t>
      </w:r>
      <w:proofErr w:type="spellStart"/>
      <w:r w:rsidRPr="00C51AE9">
        <w:rPr>
          <w:rFonts w:ascii="Times New Roman" w:eastAsiaTheme="majorEastAsia" w:hAnsi="Times New Roman" w:cs="Times New Roman"/>
          <w:bCs/>
          <w:lang w:val="en-US"/>
        </w:rPr>
        <w:t>pjesë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milion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fluorin</w:t>
      </w:r>
      <w:proofErr w:type="spellEnd"/>
      <w:r w:rsidRPr="00C51AE9">
        <w:rPr>
          <w:rFonts w:ascii="Times New Roman" w:eastAsiaTheme="majorEastAsia" w:hAnsi="Times New Roman" w:cs="Times New Roman"/>
          <w:bCs/>
          <w:lang w:val="en-US"/>
        </w:rPr>
        <w:t xml:space="preserve"> total, duke </w:t>
      </w:r>
      <w:proofErr w:type="spellStart"/>
      <w:r w:rsidRPr="00C51AE9">
        <w:rPr>
          <w:rFonts w:ascii="Times New Roman" w:eastAsiaTheme="majorEastAsia" w:hAnsi="Times New Roman" w:cs="Times New Roman"/>
          <w:bCs/>
          <w:lang w:val="en-US"/>
        </w:rPr>
        <w:t>përfshirë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fluorin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vjen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polimerikë</w:t>
      </w:r>
      <w:proofErr w:type="spellEnd"/>
      <w:r w:rsidRPr="00C51AE9">
        <w:rPr>
          <w:rFonts w:ascii="Times New Roman" w:eastAsiaTheme="majorEastAsia" w:hAnsi="Times New Roman" w:cs="Times New Roman"/>
          <w:bCs/>
          <w:lang w:val="en-US"/>
        </w:rPr>
        <w:t>.</w:t>
      </w:r>
    </w:p>
    <w:p w14:paraId="2B76EAB9" w14:textId="77777777" w:rsidR="00767CD0" w:rsidRPr="00C51AE9" w:rsidRDefault="00C51AE9" w:rsidP="00F635BF">
      <w:pPr>
        <w:keepNext/>
        <w:keepLines/>
        <w:numPr>
          <w:ilvl w:val="0"/>
          <w:numId w:val="184"/>
        </w:numPr>
        <w:tabs>
          <w:tab w:val="clear" w:pos="720"/>
          <w:tab w:val="num" w:pos="360"/>
        </w:tabs>
        <w:spacing w:before="160" w:after="80"/>
        <w:ind w:left="45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Kur </w:t>
      </w:r>
      <w:proofErr w:type="spellStart"/>
      <w:r w:rsidRPr="00C51AE9">
        <w:rPr>
          <w:rFonts w:ascii="Times New Roman" w:eastAsiaTheme="majorEastAsia" w:hAnsi="Times New Roman" w:cs="Times New Roman"/>
          <w:bCs/>
          <w:lang w:val="en-US"/>
        </w:rPr>
        <w:t>përmbajtja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fluorit</w:t>
      </w:r>
      <w:proofErr w:type="spellEnd"/>
      <w:r w:rsidRPr="00C51AE9">
        <w:rPr>
          <w:rFonts w:ascii="Times New Roman" w:eastAsiaTheme="majorEastAsia" w:hAnsi="Times New Roman" w:cs="Times New Roman"/>
          <w:bCs/>
          <w:lang w:val="en-US"/>
        </w:rPr>
        <w:t xml:space="preserve"> total </w:t>
      </w:r>
      <w:proofErr w:type="spellStart"/>
      <w:r w:rsidRPr="00C51AE9">
        <w:rPr>
          <w:rFonts w:ascii="Times New Roman" w:eastAsiaTheme="majorEastAsia" w:hAnsi="Times New Roman" w:cs="Times New Roman"/>
          <w:bCs/>
          <w:lang w:val="en-US"/>
        </w:rPr>
        <w:t>tejkalon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vlerën</w:t>
      </w:r>
      <w:proofErr w:type="spellEnd"/>
      <w:r w:rsidRPr="00C51AE9">
        <w:rPr>
          <w:rFonts w:ascii="Times New Roman" w:eastAsiaTheme="majorEastAsia" w:hAnsi="Times New Roman" w:cs="Times New Roman"/>
          <w:bCs/>
          <w:lang w:val="en-US"/>
        </w:rPr>
        <w:t xml:space="preserve"> 50 mg/kg, </w:t>
      </w:r>
      <w:proofErr w:type="spellStart"/>
      <w:r w:rsidRPr="00C51AE9">
        <w:rPr>
          <w:rFonts w:ascii="Times New Roman" w:eastAsiaTheme="majorEastAsia" w:hAnsi="Times New Roman" w:cs="Times New Roman"/>
          <w:bCs/>
          <w:lang w:val="en-US"/>
        </w:rPr>
        <w:t>prodhuesi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importuesi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përdoruesi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rrjedhën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poshtme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kërkesë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autoriteteve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kompetente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subjekteve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përcaktuara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nenin</w:t>
      </w:r>
      <w:proofErr w:type="spellEnd"/>
      <w:r w:rsidRPr="00C51AE9">
        <w:rPr>
          <w:rFonts w:ascii="Times New Roman" w:eastAsiaTheme="majorEastAsia" w:hAnsi="Times New Roman" w:cs="Times New Roman"/>
          <w:bCs/>
          <w:lang w:val="en-US"/>
        </w:rPr>
        <w:t xml:space="preserve"> 3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vendimi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paraqet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prova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sasinë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fluorit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vjen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PFAS-</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jopolimerikë</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qëllim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hartimin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dokumentacionit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teknik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parashikuar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Shtojcën</w:t>
      </w:r>
      <w:proofErr w:type="spellEnd"/>
      <w:r w:rsidRPr="00C51AE9">
        <w:rPr>
          <w:rFonts w:ascii="Times New Roman" w:eastAsiaTheme="majorEastAsia" w:hAnsi="Times New Roman" w:cs="Times New Roman"/>
          <w:bCs/>
          <w:lang w:val="en-US"/>
        </w:rPr>
        <w:t xml:space="preserve"> VII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vendimi</w:t>
      </w:r>
      <w:proofErr w:type="spellEnd"/>
      <w:r w:rsidRPr="00C51AE9">
        <w:rPr>
          <w:rFonts w:ascii="Times New Roman" w:eastAsiaTheme="majorEastAsia" w:hAnsi="Times New Roman" w:cs="Times New Roman"/>
          <w:bCs/>
          <w:lang w:val="en-US"/>
        </w:rPr>
        <w:t>.</w:t>
      </w:r>
    </w:p>
    <w:p w14:paraId="0C1796B3" w14:textId="77777777" w:rsidR="00767CD0" w:rsidRPr="00C51AE9" w:rsidRDefault="00C51AE9" w:rsidP="00F635BF">
      <w:pPr>
        <w:keepNext/>
        <w:keepLines/>
        <w:numPr>
          <w:ilvl w:val="0"/>
          <w:numId w:val="184"/>
        </w:numPr>
        <w:tabs>
          <w:tab w:val="clear" w:pos="720"/>
          <w:tab w:val="num" w:pos="360"/>
        </w:tabs>
        <w:spacing w:before="160" w:after="80"/>
        <w:ind w:left="360" w:hanging="27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Përputhshmëria</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përcaktuara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pikat</w:t>
      </w:r>
      <w:proofErr w:type="spellEnd"/>
      <w:r w:rsidRPr="00C51AE9">
        <w:rPr>
          <w:rFonts w:ascii="Times New Roman" w:eastAsiaTheme="majorEastAsia" w:hAnsi="Times New Roman" w:cs="Times New Roman"/>
          <w:bCs/>
          <w:lang w:val="en-US"/>
        </w:rPr>
        <w:t xml:space="preserve"> 1, 5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6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dokumentohet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dokumentacionin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teknik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hartuar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përputhje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Shtojcën</w:t>
      </w:r>
      <w:proofErr w:type="spellEnd"/>
      <w:r w:rsidRPr="00C51AE9">
        <w:rPr>
          <w:rFonts w:ascii="Times New Roman" w:eastAsiaTheme="majorEastAsia" w:hAnsi="Times New Roman" w:cs="Times New Roman"/>
          <w:bCs/>
          <w:lang w:val="en-US"/>
        </w:rPr>
        <w:t xml:space="preserve"> VII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vendimi</w:t>
      </w:r>
      <w:proofErr w:type="spellEnd"/>
      <w:r w:rsidRPr="00C51AE9">
        <w:rPr>
          <w:rFonts w:ascii="Times New Roman" w:eastAsiaTheme="majorEastAsia" w:hAnsi="Times New Roman" w:cs="Times New Roman"/>
          <w:bCs/>
          <w:lang w:val="en-US"/>
        </w:rPr>
        <w:t>.</w:t>
      </w:r>
    </w:p>
    <w:p w14:paraId="7FFCFC2F" w14:textId="77777777" w:rsidR="00767CD0" w:rsidRPr="00C51AE9" w:rsidRDefault="00C51AE9" w:rsidP="00F635BF">
      <w:pPr>
        <w:keepNext/>
        <w:keepLines/>
        <w:numPr>
          <w:ilvl w:val="0"/>
          <w:numId w:val="184"/>
        </w:numPr>
        <w:tabs>
          <w:tab w:val="clear" w:pos="720"/>
          <w:tab w:val="num" w:pos="450"/>
        </w:tabs>
        <w:spacing w:before="160" w:after="80"/>
        <w:ind w:left="45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Subjektet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hedhin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dëshmojnë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përputhshmërinë</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pikave</w:t>
      </w:r>
      <w:proofErr w:type="spellEnd"/>
      <w:r w:rsidRPr="00C51AE9">
        <w:rPr>
          <w:rFonts w:ascii="Times New Roman" w:eastAsiaTheme="majorEastAsia" w:hAnsi="Times New Roman" w:cs="Times New Roman"/>
          <w:bCs/>
          <w:lang w:val="en-US"/>
        </w:rPr>
        <w:t xml:space="preserve"> 5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6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nëpërmjet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deklaratës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konformitetit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mbështetur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raport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testimi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lëshuar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laborator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akredituar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kërkesave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legjislacionit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fuqi</w:t>
      </w:r>
      <w:proofErr w:type="spellEnd"/>
      <w:r w:rsidRPr="00C51AE9">
        <w:rPr>
          <w:rFonts w:ascii="Times New Roman" w:eastAsiaTheme="majorEastAsia" w:hAnsi="Times New Roman" w:cs="Times New Roman"/>
          <w:bCs/>
          <w:lang w:val="en-US"/>
        </w:rPr>
        <w:t>.</w:t>
      </w:r>
    </w:p>
    <w:p w14:paraId="276388E4" w14:textId="77777777" w:rsidR="00767CD0" w:rsidRPr="00C51AE9" w:rsidRDefault="00C51AE9" w:rsidP="00F635BF">
      <w:pPr>
        <w:keepNext/>
        <w:keepLines/>
        <w:numPr>
          <w:ilvl w:val="0"/>
          <w:numId w:val="184"/>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lastRenderedPageBreak/>
        <w:t>Prodhuesit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ambalazheve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përjashtohen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detyrimi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hartimin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deklaratës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konformitetit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prodhohet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material </w:t>
      </w:r>
      <w:proofErr w:type="spellStart"/>
      <w:r w:rsidRPr="00C51AE9">
        <w:rPr>
          <w:rFonts w:ascii="Times New Roman" w:eastAsiaTheme="majorEastAsia" w:hAnsi="Times New Roman" w:cs="Times New Roman"/>
          <w:bCs/>
          <w:lang w:val="en-US"/>
        </w:rPr>
        <w:t>ambalazhimi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cilin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prodhuesi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materiali</w:t>
      </w:r>
      <w:proofErr w:type="spellEnd"/>
      <w:r w:rsidRPr="00C51AE9">
        <w:rPr>
          <w:rFonts w:ascii="Times New Roman" w:eastAsiaTheme="majorEastAsia" w:hAnsi="Times New Roman" w:cs="Times New Roman"/>
          <w:bCs/>
          <w:lang w:val="en-US"/>
        </w:rPr>
        <w:t xml:space="preserve"> ka </w:t>
      </w:r>
      <w:proofErr w:type="spellStart"/>
      <w:r w:rsidRPr="00C51AE9">
        <w:rPr>
          <w:rFonts w:ascii="Times New Roman" w:eastAsiaTheme="majorEastAsia" w:hAnsi="Times New Roman" w:cs="Times New Roman"/>
          <w:bCs/>
          <w:lang w:val="en-US"/>
        </w:rPr>
        <w:t>hartuar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paraprakisht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deklaratën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kusht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gjatë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procesit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mos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shtohen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tjera</w:t>
      </w:r>
      <w:proofErr w:type="spellEnd"/>
      <w:r w:rsidRPr="00C51AE9">
        <w:rPr>
          <w:rFonts w:ascii="Times New Roman" w:eastAsiaTheme="majorEastAsia" w:hAnsi="Times New Roman" w:cs="Times New Roman"/>
          <w:bCs/>
          <w:lang w:val="en-US"/>
        </w:rPr>
        <w:t>.</w:t>
      </w:r>
    </w:p>
    <w:p w14:paraId="3087695F" w14:textId="77777777" w:rsidR="00767CD0" w:rsidRPr="00C51AE9" w:rsidRDefault="00C51AE9" w:rsidP="00F635BF">
      <w:pPr>
        <w:keepNext/>
        <w:keepLines/>
        <w:numPr>
          <w:ilvl w:val="0"/>
          <w:numId w:val="184"/>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Subjektet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hedhin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mallra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tregtojnë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vetëm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mallra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përmbushin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qëllim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ato</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sigurojnë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kopje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deklaratës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konformitetit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lëshuar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pikës</w:t>
      </w:r>
      <w:proofErr w:type="spellEnd"/>
      <w:r w:rsidRPr="00C51AE9">
        <w:rPr>
          <w:rFonts w:ascii="Times New Roman" w:eastAsiaTheme="majorEastAsia" w:hAnsi="Times New Roman" w:cs="Times New Roman"/>
          <w:bCs/>
          <w:lang w:val="en-US"/>
        </w:rPr>
        <w:t xml:space="preserve"> 9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subjekti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ka </w:t>
      </w:r>
      <w:proofErr w:type="spellStart"/>
      <w:r w:rsidRPr="00C51AE9">
        <w:rPr>
          <w:rFonts w:ascii="Times New Roman" w:eastAsiaTheme="majorEastAsia" w:hAnsi="Times New Roman" w:cs="Times New Roman"/>
          <w:bCs/>
          <w:lang w:val="en-US"/>
        </w:rPr>
        <w:t>hedhur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treg</w:t>
      </w:r>
      <w:proofErr w:type="spellEnd"/>
      <w:r w:rsidRPr="00C51AE9">
        <w:rPr>
          <w:rFonts w:ascii="Times New Roman" w:eastAsiaTheme="majorEastAsia" w:hAnsi="Times New Roman" w:cs="Times New Roman"/>
          <w:bCs/>
          <w:lang w:val="en-US"/>
        </w:rPr>
        <w:t>:</w:t>
      </w:r>
    </w:p>
    <w:p w14:paraId="55E2337B" w14:textId="77777777" w:rsidR="00767CD0" w:rsidRPr="00C51AE9" w:rsidRDefault="00C51AE9" w:rsidP="00C51AE9">
      <w:pPr>
        <w:keepNext/>
        <w:keepLines/>
        <w:spacing w:before="160" w:after="80"/>
        <w:ind w:left="90" w:firstLine="63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a. </w:t>
      </w:r>
      <w:proofErr w:type="spellStart"/>
      <w:r w:rsidRPr="00C51AE9">
        <w:rPr>
          <w:rFonts w:ascii="Times New Roman" w:eastAsiaTheme="majorEastAsia" w:hAnsi="Times New Roman" w:cs="Times New Roman"/>
          <w:bCs/>
          <w:lang w:val="en-US"/>
        </w:rPr>
        <w:t>ambalazhin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p>
    <w:p w14:paraId="61DDEAF2" w14:textId="77777777" w:rsidR="00767CD0" w:rsidRPr="00C51AE9" w:rsidRDefault="00C51AE9" w:rsidP="00C51AE9">
      <w:pPr>
        <w:keepNext/>
        <w:keepLines/>
        <w:spacing w:before="160" w:after="80"/>
        <w:ind w:left="72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b. </w:t>
      </w:r>
      <w:proofErr w:type="spellStart"/>
      <w:r w:rsidRPr="00C51AE9">
        <w:rPr>
          <w:rFonts w:ascii="Times New Roman" w:eastAsiaTheme="majorEastAsia" w:hAnsi="Times New Roman" w:cs="Times New Roman"/>
          <w:bCs/>
          <w:lang w:val="en-US"/>
        </w:rPr>
        <w:t>materialin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ambalazhimit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gjatë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prodhimit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nuk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janë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shtuar</w:t>
      </w:r>
      <w:proofErr w:type="spellEnd"/>
      <w:r w:rsidRPr="00C51AE9">
        <w:rPr>
          <w:rFonts w:ascii="Times New Roman" w:eastAsiaTheme="majorEastAsia" w:hAnsi="Times New Roman" w:cs="Times New Roman"/>
          <w:bCs/>
          <w:lang w:val="en-US"/>
        </w:rPr>
        <w:t xml:space="preserve"> </w:t>
      </w:r>
      <w:r>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tjera</w:t>
      </w:r>
      <w:proofErr w:type="spellEnd"/>
      <w:r w:rsidRPr="00C51AE9">
        <w:rPr>
          <w:rFonts w:ascii="Times New Roman" w:eastAsiaTheme="majorEastAsia" w:hAnsi="Times New Roman" w:cs="Times New Roman"/>
          <w:bCs/>
          <w:lang w:val="en-US"/>
        </w:rPr>
        <w:t>.</w:t>
      </w:r>
    </w:p>
    <w:p w14:paraId="198B2A05" w14:textId="77777777" w:rsidR="00767CD0" w:rsidRPr="00C51AE9" w:rsidRDefault="00C51AE9" w:rsidP="00F635BF">
      <w:pPr>
        <w:keepNext/>
        <w:keepLines/>
        <w:numPr>
          <w:ilvl w:val="0"/>
          <w:numId w:val="185"/>
        </w:numPr>
        <w:tabs>
          <w:tab w:val="clear" w:pos="720"/>
        </w:tabs>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Deklarata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konformitetit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kopja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saj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ruhet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subjektet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përcaktuara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pikat</w:t>
      </w:r>
      <w:proofErr w:type="spellEnd"/>
      <w:r w:rsidRPr="00C51AE9">
        <w:rPr>
          <w:rFonts w:ascii="Times New Roman" w:eastAsiaTheme="majorEastAsia" w:hAnsi="Times New Roman" w:cs="Times New Roman"/>
          <w:bCs/>
          <w:lang w:val="en-US"/>
        </w:rPr>
        <w:t xml:space="preserve"> 9, 10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11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periudhë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prej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pesë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vjetësh</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data e </w:t>
      </w:r>
      <w:proofErr w:type="spellStart"/>
      <w:r w:rsidRPr="00C51AE9">
        <w:rPr>
          <w:rFonts w:ascii="Times New Roman" w:eastAsiaTheme="majorEastAsia" w:hAnsi="Times New Roman" w:cs="Times New Roman"/>
          <w:bCs/>
          <w:lang w:val="en-US"/>
        </w:rPr>
        <w:t>lëshimit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vihet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dispozicion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autoriteteve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kontrollit</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kërkesën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tyre</w:t>
      </w:r>
      <w:proofErr w:type="spellEnd"/>
      <w:r w:rsidRPr="00C51AE9">
        <w:rPr>
          <w:rFonts w:ascii="Times New Roman" w:eastAsiaTheme="majorEastAsia" w:hAnsi="Times New Roman" w:cs="Times New Roman"/>
          <w:bCs/>
          <w:lang w:val="en-US"/>
        </w:rPr>
        <w:t>.</w:t>
      </w:r>
    </w:p>
    <w:p w14:paraId="0AD7CF12" w14:textId="77777777" w:rsidR="00767CD0" w:rsidRPr="00C51AE9" w:rsidRDefault="00C51AE9" w:rsidP="00F635BF">
      <w:pPr>
        <w:keepNext/>
        <w:keepLines/>
        <w:numPr>
          <w:ilvl w:val="0"/>
          <w:numId w:val="185"/>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pikës</w:t>
      </w:r>
      <w:proofErr w:type="spellEnd"/>
      <w:r w:rsidRPr="00C51AE9">
        <w:rPr>
          <w:rFonts w:ascii="Times New Roman" w:eastAsiaTheme="majorEastAsia" w:hAnsi="Times New Roman" w:cs="Times New Roman"/>
          <w:bCs/>
          <w:lang w:val="en-US"/>
        </w:rPr>
        <w:t xml:space="preserve"> 5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nuk</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zbatohen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w:t>
      </w:r>
    </w:p>
    <w:p w14:paraId="142FA36F" w14:textId="77777777" w:rsidR="00767CD0" w:rsidRPr="00C51AE9" w:rsidRDefault="00C51AE9" w:rsidP="00C51AE9">
      <w:pPr>
        <w:keepNext/>
        <w:keepLines/>
        <w:spacing w:before="160" w:after="80"/>
        <w:ind w:left="72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a. </w:t>
      </w:r>
      <w:proofErr w:type="spellStart"/>
      <w:r w:rsidRPr="00C51AE9">
        <w:rPr>
          <w:rFonts w:ascii="Times New Roman" w:eastAsiaTheme="majorEastAsia" w:hAnsi="Times New Roman" w:cs="Times New Roman"/>
          <w:bCs/>
          <w:lang w:val="en-US"/>
        </w:rPr>
        <w:t>ambalazhet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përbëra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tërësisht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prej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qelqi</w:t>
      </w:r>
      <w:proofErr w:type="spellEnd"/>
      <w:r w:rsidRPr="00C51AE9">
        <w:rPr>
          <w:rFonts w:ascii="Times New Roman" w:eastAsiaTheme="majorEastAsia" w:hAnsi="Times New Roman" w:cs="Times New Roman"/>
          <w:bCs/>
          <w:lang w:val="en-US"/>
        </w:rPr>
        <w:t xml:space="preserve"> me plumb;</w:t>
      </w:r>
    </w:p>
    <w:p w14:paraId="029D8E27" w14:textId="77777777" w:rsidR="00767CD0" w:rsidRPr="00C51AE9" w:rsidRDefault="00C51AE9" w:rsidP="00C51AE9">
      <w:pPr>
        <w:keepNext/>
        <w:keepLines/>
        <w:spacing w:before="160" w:after="80"/>
        <w:ind w:left="72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b. </w:t>
      </w:r>
      <w:proofErr w:type="spellStart"/>
      <w:r w:rsidRPr="00C51AE9">
        <w:rPr>
          <w:rFonts w:ascii="Times New Roman" w:eastAsiaTheme="majorEastAsia" w:hAnsi="Times New Roman" w:cs="Times New Roman"/>
          <w:bCs/>
          <w:lang w:val="en-US"/>
        </w:rPr>
        <w:t>paletat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arkat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plastike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sisteme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mbyllura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kontrolluara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shpërndarje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përsëritur</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kusht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w:t>
      </w:r>
    </w:p>
    <w:p w14:paraId="716323D0" w14:textId="77777777" w:rsidR="00767CD0" w:rsidRPr="00C51AE9" w:rsidRDefault="00C51AE9" w:rsidP="00C51AE9">
      <w:pPr>
        <w:keepNext/>
        <w:keepLines/>
        <w:spacing w:before="160" w:after="80"/>
        <w:ind w:left="72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jenë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shënuara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mënyrë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qëndrueshme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dukshme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p>
    <w:p w14:paraId="0361E4DF" w14:textId="77777777" w:rsidR="00767CD0" w:rsidRPr="00C51AE9" w:rsidRDefault="00C51AE9" w:rsidP="00C51AE9">
      <w:pPr>
        <w:keepNext/>
        <w:keepLines/>
        <w:spacing w:before="160" w:after="80"/>
        <w:ind w:left="72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ii. </w:t>
      </w:r>
      <w:proofErr w:type="spellStart"/>
      <w:r w:rsidRPr="00C51AE9">
        <w:rPr>
          <w:rFonts w:ascii="Times New Roman" w:eastAsiaTheme="majorEastAsia" w:hAnsi="Times New Roman" w:cs="Times New Roman"/>
          <w:bCs/>
          <w:lang w:val="en-US"/>
        </w:rPr>
        <w:t>prania</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metaleve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rënda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vijë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vetëm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përdorimi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ricikluara</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origjinë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nga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arka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paleta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tjera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plastike</w:t>
      </w:r>
      <w:proofErr w:type="spellEnd"/>
      <w:r w:rsidRPr="00C51AE9">
        <w:rPr>
          <w:rFonts w:ascii="Times New Roman" w:eastAsiaTheme="majorEastAsia" w:hAnsi="Times New Roman" w:cs="Times New Roman"/>
          <w:bCs/>
          <w:lang w:val="en-US"/>
        </w:rPr>
        <w:t>.</w:t>
      </w:r>
    </w:p>
    <w:p w14:paraId="5D95DE41" w14:textId="77777777" w:rsidR="00767CD0" w:rsidRPr="00C51AE9" w:rsidRDefault="00C51AE9" w:rsidP="00F635BF">
      <w:pPr>
        <w:keepNext/>
        <w:keepLines/>
        <w:numPr>
          <w:ilvl w:val="0"/>
          <w:numId w:val="186"/>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Ambalazhet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prodhuara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përputhje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standardet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shqiptare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që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zbatojnë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standardet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harmonizuara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evropiane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prezumohen</w:t>
      </w:r>
      <w:proofErr w:type="spellEnd"/>
      <w:r w:rsidRPr="00C51AE9">
        <w:rPr>
          <w:rFonts w:ascii="Times New Roman" w:eastAsiaTheme="majorEastAsia" w:hAnsi="Times New Roman" w:cs="Times New Roman"/>
          <w:bCs/>
          <w:lang w:val="en-US"/>
        </w:rPr>
        <w:t xml:space="preserve"> se </w:t>
      </w:r>
      <w:proofErr w:type="spellStart"/>
      <w:r w:rsidRPr="00C51AE9">
        <w:rPr>
          <w:rFonts w:ascii="Times New Roman" w:eastAsiaTheme="majorEastAsia" w:hAnsi="Times New Roman" w:cs="Times New Roman"/>
          <w:bCs/>
          <w:lang w:val="en-US"/>
        </w:rPr>
        <w:t>përmbushin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pikës</w:t>
      </w:r>
      <w:proofErr w:type="spellEnd"/>
      <w:r w:rsidRPr="00C51AE9">
        <w:rPr>
          <w:rFonts w:ascii="Times New Roman" w:eastAsiaTheme="majorEastAsia" w:hAnsi="Times New Roman" w:cs="Times New Roman"/>
          <w:bCs/>
          <w:lang w:val="en-US"/>
        </w:rPr>
        <w:t xml:space="preserve"> 5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aq</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standardet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mbulojnë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këto</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kërkesa</w:t>
      </w:r>
      <w:proofErr w:type="spellEnd"/>
      <w:r w:rsidRPr="00C51AE9">
        <w:rPr>
          <w:rFonts w:ascii="Times New Roman" w:eastAsiaTheme="majorEastAsia" w:hAnsi="Times New Roman" w:cs="Times New Roman"/>
          <w:bCs/>
          <w:lang w:val="en-US"/>
        </w:rPr>
        <w:t>.</w:t>
      </w:r>
    </w:p>
    <w:p w14:paraId="597C5A00" w14:textId="77777777" w:rsidR="00767CD0" w:rsidRPr="00C51AE9" w:rsidRDefault="00C51AE9" w:rsidP="00F635BF">
      <w:pPr>
        <w:keepNext/>
        <w:keepLines/>
        <w:numPr>
          <w:ilvl w:val="0"/>
          <w:numId w:val="186"/>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Kufijtë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përqendrimit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plumbit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kadmiumit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merkurit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kromit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gjashtëvalent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përbërësit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tyre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rishikohen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rastit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ulen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përputhje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zhvillimet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shkencore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teknike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ndryshimet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legjislacionit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Bashkimit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Evropian</w:t>
      </w:r>
      <w:proofErr w:type="spellEnd"/>
      <w:r w:rsidRPr="00C51AE9">
        <w:rPr>
          <w:rFonts w:ascii="Times New Roman" w:eastAsiaTheme="majorEastAsia" w:hAnsi="Times New Roman" w:cs="Times New Roman"/>
          <w:bCs/>
          <w:lang w:val="en-US"/>
        </w:rPr>
        <w:t>.</w:t>
      </w:r>
    </w:p>
    <w:p w14:paraId="12958B8B" w14:textId="77777777" w:rsidR="00767CD0" w:rsidRPr="00C51AE9" w:rsidRDefault="00C51AE9" w:rsidP="00F635BF">
      <w:pPr>
        <w:keepNext/>
        <w:keepLines/>
        <w:numPr>
          <w:ilvl w:val="0"/>
          <w:numId w:val="186"/>
        </w:numPr>
        <w:spacing w:before="160" w:after="80"/>
        <w:jc w:val="both"/>
        <w:outlineLvl w:val="1"/>
        <w:rPr>
          <w:rFonts w:ascii="Times New Roman" w:eastAsiaTheme="majorEastAsia" w:hAnsi="Times New Roman" w:cs="Times New Roman"/>
          <w:bCs/>
          <w:lang w:val="en-US"/>
        </w:rPr>
      </w:pPr>
      <w:proofErr w:type="spellStart"/>
      <w:r w:rsidRPr="00C51AE9">
        <w:rPr>
          <w:rFonts w:ascii="Times New Roman" w:eastAsiaTheme="majorEastAsia" w:hAnsi="Times New Roman" w:cs="Times New Roman"/>
          <w:bCs/>
          <w:lang w:val="en-US"/>
        </w:rPr>
        <w:t>Ministria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bashkëpunim</w:t>
      </w:r>
      <w:proofErr w:type="spellEnd"/>
      <w:r w:rsidRPr="00C51AE9">
        <w:rPr>
          <w:rFonts w:ascii="Times New Roman" w:eastAsiaTheme="majorEastAsia" w:hAnsi="Times New Roman" w:cs="Times New Roman"/>
          <w:bCs/>
          <w:lang w:val="en-US"/>
        </w:rPr>
        <w:t xml:space="preserve"> me </w:t>
      </w:r>
      <w:proofErr w:type="spellStart"/>
      <w:r w:rsidRPr="00C51AE9">
        <w:rPr>
          <w:rFonts w:ascii="Times New Roman" w:eastAsiaTheme="majorEastAsia" w:hAnsi="Times New Roman" w:cs="Times New Roman"/>
          <w:bCs/>
          <w:lang w:val="en-US"/>
        </w:rPr>
        <w:t>strukturat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kimikatet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monitoron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praninë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substancave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shqetësuese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përbërësit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tyre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është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nevojshme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propozon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masat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w:t>
      </w:r>
    </w:p>
    <w:p w14:paraId="0E17094C" w14:textId="77777777" w:rsidR="00767CD0" w:rsidRPr="00C51AE9" w:rsidRDefault="00C51AE9" w:rsidP="00F635BF">
      <w:pPr>
        <w:keepNext/>
        <w:keepLines/>
        <w:numPr>
          <w:ilvl w:val="0"/>
          <w:numId w:val="186"/>
        </w:numPr>
        <w:spacing w:before="160" w:after="8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t xml:space="preserve">Kur </w:t>
      </w:r>
      <w:proofErr w:type="spellStart"/>
      <w:r w:rsidRPr="00C51AE9">
        <w:rPr>
          <w:rFonts w:ascii="Times New Roman" w:eastAsiaTheme="majorEastAsia" w:hAnsi="Times New Roman" w:cs="Times New Roman"/>
          <w:bCs/>
          <w:lang w:val="en-US"/>
        </w:rPr>
        <w:t>ministria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vlerëson</w:t>
      </w:r>
      <w:proofErr w:type="spellEnd"/>
      <w:r w:rsidRPr="00C51AE9">
        <w:rPr>
          <w:rFonts w:ascii="Times New Roman" w:eastAsiaTheme="majorEastAsia" w:hAnsi="Times New Roman" w:cs="Times New Roman"/>
          <w:bCs/>
          <w:lang w:val="en-US"/>
        </w:rPr>
        <w:t xml:space="preserve"> se </w:t>
      </w:r>
      <w:proofErr w:type="spellStart"/>
      <w:r w:rsidRPr="00C51AE9">
        <w:rPr>
          <w:rFonts w:ascii="Times New Roman" w:eastAsiaTheme="majorEastAsia" w:hAnsi="Times New Roman" w:cs="Times New Roman"/>
          <w:bCs/>
          <w:lang w:val="en-US"/>
        </w:rPr>
        <w:t>një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ndikon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negativisht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ripërdorimin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materialeve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ambalazhit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cilin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është</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pranishme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përcjell</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informacion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Komisionit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Evropian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Agjencisë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Evropiane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Kimikateve, duke </w:t>
      </w:r>
      <w:proofErr w:type="spellStart"/>
      <w:r w:rsidRPr="00C51AE9">
        <w:rPr>
          <w:rFonts w:ascii="Times New Roman" w:eastAsiaTheme="majorEastAsia" w:hAnsi="Times New Roman" w:cs="Times New Roman"/>
          <w:bCs/>
          <w:lang w:val="en-US"/>
        </w:rPr>
        <w:t>iu</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referuar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kur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janë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disponueshme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vlerësimeve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riskut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ose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dhënave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tjera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përkatëse</w:t>
      </w:r>
      <w:proofErr w:type="spellEnd"/>
      <w:r w:rsidRPr="00C51AE9">
        <w:rPr>
          <w:rFonts w:ascii="Times New Roman" w:eastAsiaTheme="majorEastAsia" w:hAnsi="Times New Roman" w:cs="Times New Roman"/>
          <w:bCs/>
          <w:lang w:val="en-US"/>
        </w:rPr>
        <w:t>.</w:t>
      </w:r>
    </w:p>
    <w:p w14:paraId="24CC6C1F" w14:textId="77777777" w:rsidR="00767CD0" w:rsidRPr="00C51AE9" w:rsidRDefault="00C51AE9" w:rsidP="00F635BF">
      <w:pPr>
        <w:keepNext/>
        <w:keepLines/>
        <w:numPr>
          <w:ilvl w:val="0"/>
          <w:numId w:val="186"/>
        </w:numPr>
        <w:spacing w:before="160" w:after="80"/>
        <w:jc w:val="both"/>
        <w:outlineLvl w:val="1"/>
        <w:rPr>
          <w:rFonts w:ascii="Times New Roman" w:eastAsiaTheme="majorEastAsia" w:hAnsi="Times New Roman" w:cs="Times New Roman"/>
          <w:bCs/>
          <w:lang w:val="en-US"/>
        </w:rPr>
      </w:pPr>
      <w:r w:rsidRPr="00C51AE9">
        <w:rPr>
          <w:rFonts w:ascii="Times New Roman" w:eastAsiaTheme="majorEastAsia" w:hAnsi="Times New Roman" w:cs="Times New Roman"/>
          <w:bCs/>
          <w:lang w:val="en-US"/>
        </w:rPr>
        <w:lastRenderedPageBreak/>
        <w:t xml:space="preserve">Deri </w:t>
      </w:r>
      <w:proofErr w:type="spellStart"/>
      <w:r w:rsidRPr="00C51AE9">
        <w:rPr>
          <w:rFonts w:ascii="Times New Roman" w:eastAsiaTheme="majorEastAsia" w:hAnsi="Times New Roman" w:cs="Times New Roman"/>
          <w:bCs/>
          <w:lang w:val="en-US"/>
        </w:rPr>
        <w:t>më</w:t>
      </w:r>
      <w:proofErr w:type="spellEnd"/>
      <w:r w:rsidRPr="00C51AE9">
        <w:rPr>
          <w:rFonts w:ascii="Times New Roman" w:eastAsiaTheme="majorEastAsia" w:hAnsi="Times New Roman" w:cs="Times New Roman"/>
          <w:bCs/>
          <w:lang w:val="en-US"/>
        </w:rPr>
        <w:t xml:space="preserve"> 12 </w:t>
      </w:r>
      <w:proofErr w:type="spellStart"/>
      <w:r w:rsidRPr="00C51AE9">
        <w:rPr>
          <w:rFonts w:ascii="Times New Roman" w:eastAsiaTheme="majorEastAsia" w:hAnsi="Times New Roman" w:cs="Times New Roman"/>
          <w:bCs/>
          <w:lang w:val="en-US"/>
        </w:rPr>
        <w:t>gusht</w:t>
      </w:r>
      <w:proofErr w:type="spellEnd"/>
      <w:r w:rsidRPr="00C51AE9">
        <w:rPr>
          <w:rFonts w:ascii="Times New Roman" w:eastAsiaTheme="majorEastAsia" w:hAnsi="Times New Roman" w:cs="Times New Roman"/>
          <w:bCs/>
          <w:lang w:val="en-US"/>
        </w:rPr>
        <w:t xml:space="preserve"> 2033, </w:t>
      </w:r>
      <w:proofErr w:type="spellStart"/>
      <w:r w:rsidRPr="00C51AE9">
        <w:rPr>
          <w:rFonts w:ascii="Times New Roman" w:eastAsiaTheme="majorEastAsia" w:hAnsi="Times New Roman" w:cs="Times New Roman"/>
          <w:bCs/>
          <w:lang w:val="en-US"/>
        </w:rPr>
        <w:t>ministria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përgjegjëse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mjedisin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vlerëson</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kërkesat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kriteret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projektimit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riciklim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miratuara</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sipas</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nenit</w:t>
      </w:r>
      <w:proofErr w:type="spellEnd"/>
      <w:r w:rsidRPr="00C51AE9">
        <w:rPr>
          <w:rFonts w:ascii="Times New Roman" w:eastAsiaTheme="majorEastAsia" w:hAnsi="Times New Roman" w:cs="Times New Roman"/>
          <w:bCs/>
          <w:lang w:val="en-US"/>
        </w:rPr>
        <w:t xml:space="preserve"> 12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këtij</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vendimi</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kanë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kontribuar</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mjaftueshëm</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minimizimin</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pranisë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dhe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përqendrimit</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të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substancave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shqetësuese</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në</w:t>
      </w:r>
      <w:proofErr w:type="spellEnd"/>
      <w:r w:rsidRPr="00C51AE9">
        <w:rPr>
          <w:rFonts w:ascii="Times New Roman" w:eastAsiaTheme="majorEastAsia" w:hAnsi="Times New Roman" w:cs="Times New Roman"/>
          <w:bCs/>
          <w:lang w:val="en-US"/>
        </w:rPr>
        <w:t xml:space="preserve"> </w:t>
      </w:r>
      <w:proofErr w:type="spellStart"/>
      <w:r w:rsidRPr="00C51AE9">
        <w:rPr>
          <w:rFonts w:ascii="Times New Roman" w:eastAsiaTheme="majorEastAsia" w:hAnsi="Times New Roman" w:cs="Times New Roman"/>
          <w:bCs/>
          <w:lang w:val="en-US"/>
        </w:rPr>
        <w:t>materialet</w:t>
      </w:r>
      <w:proofErr w:type="spellEnd"/>
      <w:r w:rsidRPr="00C51AE9">
        <w:rPr>
          <w:rFonts w:ascii="Times New Roman" w:eastAsiaTheme="majorEastAsia" w:hAnsi="Times New Roman" w:cs="Times New Roman"/>
          <w:bCs/>
          <w:lang w:val="en-US"/>
        </w:rPr>
        <w:t xml:space="preserve"> e </w:t>
      </w:r>
      <w:proofErr w:type="spellStart"/>
      <w:r w:rsidRPr="00C51AE9">
        <w:rPr>
          <w:rFonts w:ascii="Times New Roman" w:eastAsiaTheme="majorEastAsia" w:hAnsi="Times New Roman" w:cs="Times New Roman"/>
          <w:bCs/>
          <w:lang w:val="en-US"/>
        </w:rPr>
        <w:t>ambalazheve</w:t>
      </w:r>
      <w:proofErr w:type="spellEnd"/>
      <w:r w:rsidRPr="00C51AE9">
        <w:rPr>
          <w:rFonts w:ascii="Times New Roman" w:eastAsiaTheme="majorEastAsia" w:hAnsi="Times New Roman" w:cs="Times New Roman"/>
          <w:bCs/>
          <w:lang w:val="en-US"/>
        </w:rPr>
        <w:t>.</w:t>
      </w:r>
    </w:p>
    <w:p w14:paraId="515CADFD" w14:textId="77777777" w:rsidR="00767CD0" w:rsidRPr="00C51AE9" w:rsidRDefault="00767CD0">
      <w:pPr>
        <w:keepNext/>
        <w:keepLines/>
        <w:spacing w:before="160" w:after="80"/>
        <w:jc w:val="center"/>
        <w:outlineLvl w:val="1"/>
        <w:rPr>
          <w:rFonts w:ascii="Times New Roman" w:eastAsiaTheme="majorEastAsia" w:hAnsi="Times New Roman" w:cs="Times New Roman"/>
          <w:bCs/>
        </w:rPr>
      </w:pPr>
    </w:p>
    <w:p w14:paraId="6B8B9CBF" w14:textId="77777777" w:rsidR="00767CD0" w:rsidRPr="00C51AE9" w:rsidRDefault="00767CD0" w:rsidP="006B7650">
      <w:pPr>
        <w:ind w:left="270"/>
        <w:contextualSpacing/>
        <w:rPr>
          <w:rFonts w:ascii="Times New Roman" w:eastAsia="Times New Roman" w:hAnsi="Times New Roman" w:cs="Times New Roman"/>
          <w:kern w:val="0"/>
          <w14:ligatures w14:val="none"/>
        </w:rPr>
      </w:pPr>
      <w:bookmarkStart w:id="10" w:name="_Toc227317603"/>
      <w:bookmarkStart w:id="11" w:name="_Ref202451316"/>
      <w:bookmarkEnd w:id="10"/>
      <w:bookmarkEnd w:id="11"/>
    </w:p>
    <w:p w14:paraId="6609436B" w14:textId="77777777" w:rsidR="00767CD0" w:rsidRPr="00C51AE9" w:rsidRDefault="00C51AE9">
      <w:pPr>
        <w:tabs>
          <w:tab w:val="left" w:pos="360"/>
        </w:tabs>
        <w:ind w:left="450" w:hanging="180"/>
        <w:jc w:val="center"/>
        <w:rPr>
          <w:rFonts w:ascii="Times New Roman" w:hAnsi="Times New Roman" w:cs="Times New Roman"/>
        </w:rPr>
      </w:pPr>
      <w:r w:rsidRPr="00C51AE9">
        <w:rPr>
          <w:rFonts w:ascii="Times New Roman" w:hAnsi="Times New Roman" w:cs="Times New Roman"/>
        </w:rPr>
        <w:t xml:space="preserve">Neni 12 </w:t>
      </w:r>
    </w:p>
    <w:p w14:paraId="0C6C5FC7" w14:textId="77777777" w:rsidR="00767CD0" w:rsidRPr="00C51AE9" w:rsidRDefault="00C51AE9">
      <w:pPr>
        <w:tabs>
          <w:tab w:val="left" w:pos="360"/>
        </w:tabs>
        <w:ind w:left="450" w:hanging="180"/>
        <w:jc w:val="center"/>
        <w:rPr>
          <w:rFonts w:ascii="Times New Roman" w:hAnsi="Times New Roman" w:cs="Times New Roman"/>
          <w:b/>
          <w:bCs/>
        </w:rPr>
      </w:pPr>
      <w:bookmarkStart w:id="12" w:name="_Toc227317604"/>
      <w:r w:rsidRPr="00C51AE9">
        <w:rPr>
          <w:rFonts w:ascii="Times New Roman" w:hAnsi="Times New Roman" w:cs="Times New Roman"/>
          <w:b/>
          <w:bCs/>
        </w:rPr>
        <w:t xml:space="preserve">Kërkesat për </w:t>
      </w:r>
      <w:proofErr w:type="spellStart"/>
      <w:r w:rsidRPr="00C51AE9">
        <w:rPr>
          <w:rFonts w:ascii="Times New Roman" w:hAnsi="Times New Roman" w:cs="Times New Roman"/>
          <w:b/>
          <w:bCs/>
        </w:rPr>
        <w:t>riciklueshmërinë</w:t>
      </w:r>
      <w:proofErr w:type="spellEnd"/>
      <w:r w:rsidRPr="00C51AE9">
        <w:rPr>
          <w:rFonts w:ascii="Times New Roman" w:hAnsi="Times New Roman" w:cs="Times New Roman"/>
          <w:b/>
          <w:bCs/>
        </w:rPr>
        <w:t xml:space="preserve"> e ambalazheve</w:t>
      </w:r>
      <w:bookmarkEnd w:id="12"/>
    </w:p>
    <w:p w14:paraId="34A30B18" w14:textId="77777777" w:rsidR="00767CD0" w:rsidRPr="00C51AE9" w:rsidRDefault="00C51AE9" w:rsidP="00F635BF">
      <w:pPr>
        <w:numPr>
          <w:ilvl w:val="0"/>
          <w:numId w:val="28"/>
        </w:numPr>
        <w:tabs>
          <w:tab w:val="left" w:pos="360"/>
        </w:tabs>
        <w:ind w:left="450" w:hanging="180"/>
        <w:contextualSpacing/>
        <w:jc w:val="both"/>
        <w:rPr>
          <w:rFonts w:ascii="Times New Roman" w:hAnsi="Times New Roman" w:cs="Times New Roman"/>
        </w:rPr>
      </w:pPr>
      <w:r w:rsidRPr="00C51AE9">
        <w:rPr>
          <w:rFonts w:ascii="Times New Roman" w:hAnsi="Times New Roman" w:cs="Times New Roman"/>
        </w:rPr>
        <w:t xml:space="preserve">Të gjitha ambalazhet e vendosura në treg duhet të jenë të </w:t>
      </w:r>
      <w:proofErr w:type="spellStart"/>
      <w:r w:rsidRPr="00C51AE9">
        <w:rPr>
          <w:rFonts w:ascii="Times New Roman" w:hAnsi="Times New Roman" w:cs="Times New Roman"/>
        </w:rPr>
        <w:t>riciklueshme</w:t>
      </w:r>
      <w:proofErr w:type="spellEnd"/>
      <w:r w:rsidRPr="00C51AE9">
        <w:rPr>
          <w:rFonts w:ascii="Times New Roman" w:hAnsi="Times New Roman" w:cs="Times New Roman"/>
        </w:rPr>
        <w:t>.</w:t>
      </w:r>
    </w:p>
    <w:p w14:paraId="6DED5B3A" w14:textId="77777777" w:rsidR="00767CD0" w:rsidRPr="00C51AE9" w:rsidRDefault="00C51AE9" w:rsidP="00F635BF">
      <w:pPr>
        <w:numPr>
          <w:ilvl w:val="0"/>
          <w:numId w:val="28"/>
        </w:numPr>
        <w:tabs>
          <w:tab w:val="left" w:pos="360"/>
        </w:tabs>
        <w:ind w:left="450" w:hanging="180"/>
        <w:contextualSpacing/>
        <w:jc w:val="both"/>
        <w:rPr>
          <w:rFonts w:ascii="Times New Roman" w:hAnsi="Times New Roman" w:cs="Times New Roman"/>
        </w:rPr>
      </w:pPr>
      <w:r w:rsidRPr="00C51AE9">
        <w:rPr>
          <w:rFonts w:ascii="Times New Roman" w:hAnsi="Times New Roman" w:cs="Times New Roman"/>
        </w:rPr>
        <w:t xml:space="preserve"> Ambalazhi konsiderohet i </w:t>
      </w:r>
      <w:proofErr w:type="spellStart"/>
      <w:r w:rsidRPr="00C51AE9">
        <w:rPr>
          <w:rFonts w:ascii="Times New Roman" w:hAnsi="Times New Roman" w:cs="Times New Roman"/>
        </w:rPr>
        <w:t>riciklueshëm</w:t>
      </w:r>
      <w:proofErr w:type="spellEnd"/>
      <w:r w:rsidRPr="00C51AE9">
        <w:rPr>
          <w:rFonts w:ascii="Times New Roman" w:hAnsi="Times New Roman" w:cs="Times New Roman"/>
        </w:rPr>
        <w:t xml:space="preserve"> nëse përmbush kushtet e mëposhtme:</w:t>
      </w:r>
    </w:p>
    <w:p w14:paraId="45D1B329" w14:textId="77777777" w:rsidR="00767CD0" w:rsidRPr="00C51AE9" w:rsidRDefault="00C51AE9" w:rsidP="00F635BF">
      <w:pPr>
        <w:numPr>
          <w:ilvl w:val="1"/>
          <w:numId w:val="28"/>
        </w:numPr>
        <w:tabs>
          <w:tab w:val="left" w:pos="630"/>
          <w:tab w:val="left" w:pos="720"/>
        </w:tabs>
        <w:ind w:left="630" w:hanging="90"/>
        <w:contextualSpacing/>
        <w:jc w:val="both"/>
        <w:rPr>
          <w:rFonts w:ascii="Times New Roman" w:hAnsi="Times New Roman" w:cs="Times New Roman"/>
        </w:rPr>
      </w:pPr>
      <w:r w:rsidRPr="00C51AE9">
        <w:rPr>
          <w:rFonts w:ascii="Times New Roman" w:hAnsi="Times New Roman" w:cs="Times New Roman"/>
        </w:rPr>
        <w:t>është projektuar për riciklim material, gjë që mundëson që lëndët e para dytësore të përfituara të jenë të një cilësie të mjaftueshme në krahasim me materialin origjinal, me qëllim zëvendësimin e lëndëve të para parësore, në përputhje me pikën 4 të këtij neni; dhe</w:t>
      </w:r>
    </w:p>
    <w:p w14:paraId="18D305BC" w14:textId="77777777" w:rsidR="00767CD0" w:rsidRPr="00C51AE9" w:rsidRDefault="00C51AE9" w:rsidP="00F635BF">
      <w:pPr>
        <w:numPr>
          <w:ilvl w:val="1"/>
          <w:numId w:val="28"/>
        </w:numPr>
        <w:tabs>
          <w:tab w:val="left" w:pos="630"/>
        </w:tabs>
        <w:ind w:left="630" w:hanging="90"/>
        <w:contextualSpacing/>
        <w:jc w:val="both"/>
        <w:rPr>
          <w:rFonts w:ascii="Times New Roman" w:hAnsi="Times New Roman" w:cs="Times New Roman"/>
        </w:rPr>
      </w:pPr>
      <w:r w:rsidRPr="00C51AE9">
        <w:rPr>
          <w:rFonts w:ascii="Times New Roman" w:hAnsi="Times New Roman" w:cs="Times New Roman"/>
        </w:rPr>
        <w:t xml:space="preserve">pas kalimit në statusin mbetje, grumbullohet në burim, klasifikohet në rryma specifike mbetjesh pa ndikuar negativisht në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mbetjeve të tjera, bazuar në metodologjinë e parashikuar në pikën 5 të këtij neni, me qëllim riciklimin e tij në shkallë të gjerë industriale.</w:t>
      </w:r>
    </w:p>
    <w:p w14:paraId="728FCEF7" w14:textId="77777777" w:rsidR="00767CD0" w:rsidRPr="00C51AE9" w:rsidRDefault="00C51AE9" w:rsidP="00F635BF">
      <w:pPr>
        <w:numPr>
          <w:ilvl w:val="0"/>
          <w:numId w:val="28"/>
        </w:numPr>
        <w:tabs>
          <w:tab w:val="left" w:pos="360"/>
        </w:tabs>
        <w:spacing w:after="0" w:line="240" w:lineRule="auto"/>
        <w:ind w:left="45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Nga 1 janari 2030, kriteret e projektimit për riciklim, klasat e </w:t>
      </w:r>
      <w:proofErr w:type="spellStart"/>
      <w:r w:rsidRPr="00C51AE9">
        <w:rPr>
          <w:rFonts w:ascii="Times New Roman" w:eastAsia="Times New Roman" w:hAnsi="Times New Roman" w:cs="Times New Roman"/>
          <w:kern w:val="0"/>
          <w14:ligatures w14:val="none"/>
        </w:rPr>
        <w:t>performancës</w:t>
      </w:r>
      <w:proofErr w:type="spellEnd"/>
      <w:r w:rsidRPr="00C51AE9">
        <w:rPr>
          <w:rFonts w:ascii="Times New Roman" w:eastAsia="Times New Roman" w:hAnsi="Times New Roman" w:cs="Times New Roman"/>
          <w:kern w:val="0"/>
          <w14:ligatures w14:val="none"/>
        </w:rPr>
        <w:t xml:space="preserve"> së </w:t>
      </w:r>
      <w:proofErr w:type="spellStart"/>
      <w:r w:rsidRPr="00C51AE9">
        <w:rPr>
          <w:rFonts w:ascii="Times New Roman" w:eastAsia="Times New Roman" w:hAnsi="Times New Roman" w:cs="Times New Roman"/>
          <w:kern w:val="0"/>
          <w14:ligatures w14:val="none"/>
        </w:rPr>
        <w:t>riciklueshmërisë</w:t>
      </w:r>
      <w:proofErr w:type="spellEnd"/>
      <w:r w:rsidRPr="00C51AE9">
        <w:rPr>
          <w:rFonts w:ascii="Times New Roman" w:eastAsia="Times New Roman" w:hAnsi="Times New Roman" w:cs="Times New Roman"/>
          <w:kern w:val="0"/>
          <w14:ligatures w14:val="none"/>
        </w:rPr>
        <w:t>, si dhe kufizimet mbi praninë e substancave të rrezikshme në ambalazhe, përcaktohen në Tabelat 1, 3 dhe 4, të Shtojcës II, që i bashkëlidhet këtij vendimi. Gjatë projektimit dhe vlerësimit të ambalazhit sipas këtyre kritereve, merren parasysh edhe:</w:t>
      </w:r>
    </w:p>
    <w:p w14:paraId="1203D97D" w14:textId="77777777" w:rsidR="00767CD0" w:rsidRPr="00C51AE9" w:rsidRDefault="00C51AE9" w:rsidP="00F635BF">
      <w:pPr>
        <w:numPr>
          <w:ilvl w:val="1"/>
          <w:numId w:val="173"/>
        </w:numPr>
        <w:spacing w:after="0" w:line="240" w:lineRule="auto"/>
        <w:ind w:left="81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aftësia e mbetjeve të ambalazheve për t'u ndarë në rryma të ndryshme materialesh për klasifikim dhe riciklim, në mënyrë që lëndët e para dytësore të përfituara të jenë të një cilësie të mjaftueshme krahasuar me materialin origjinal dhe të përdoren për zëvendësimin e lëndëve të para parësore për ambalazhe ose aplikime të tjera, kur teknikisht është e realizueshme;</w:t>
      </w:r>
    </w:p>
    <w:p w14:paraId="38BB3859" w14:textId="77777777" w:rsidR="00767CD0" w:rsidRPr="00C51AE9" w:rsidRDefault="00C51AE9" w:rsidP="00F635BF">
      <w:pPr>
        <w:numPr>
          <w:ilvl w:val="1"/>
          <w:numId w:val="173"/>
        </w:numPr>
        <w:spacing w:after="0" w:line="240" w:lineRule="auto"/>
        <w:ind w:left="81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proceset e grumbullimit dhe të ndarjes, të provuara në kushte operative, duke mbuluar të gjithë përbërësit e ambalazhit;</w:t>
      </w:r>
    </w:p>
    <w:p w14:paraId="016D810F" w14:textId="77777777" w:rsidR="00767CD0" w:rsidRPr="00C51AE9" w:rsidRDefault="00C51AE9" w:rsidP="00F635BF">
      <w:pPr>
        <w:numPr>
          <w:ilvl w:val="1"/>
          <w:numId w:val="173"/>
        </w:numPr>
        <w:spacing w:after="0" w:line="240" w:lineRule="auto"/>
        <w:ind w:left="81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teknologjitë e </w:t>
      </w:r>
      <w:proofErr w:type="spellStart"/>
      <w:r w:rsidRPr="00C51AE9">
        <w:rPr>
          <w:rFonts w:ascii="Times New Roman" w:eastAsia="Times New Roman" w:hAnsi="Times New Roman" w:cs="Times New Roman"/>
          <w:kern w:val="0"/>
          <w14:ligatures w14:val="none"/>
        </w:rPr>
        <w:t>disponueshme</w:t>
      </w:r>
      <w:proofErr w:type="spellEnd"/>
      <w:r w:rsidRPr="00C51AE9">
        <w:rPr>
          <w:rFonts w:ascii="Times New Roman" w:eastAsia="Times New Roman" w:hAnsi="Times New Roman" w:cs="Times New Roman"/>
          <w:kern w:val="0"/>
          <w14:ligatures w14:val="none"/>
        </w:rPr>
        <w:t xml:space="preserve"> të riciklimit, </w:t>
      </w:r>
      <w:proofErr w:type="spellStart"/>
      <w:r w:rsidRPr="00C51AE9">
        <w:rPr>
          <w:rFonts w:ascii="Times New Roman" w:eastAsia="Times New Roman" w:hAnsi="Times New Roman" w:cs="Times New Roman"/>
          <w:kern w:val="0"/>
          <w14:ligatures w14:val="none"/>
        </w:rPr>
        <w:t>performanca</w:t>
      </w:r>
      <w:proofErr w:type="spellEnd"/>
      <w:r w:rsidRPr="00C51AE9">
        <w:rPr>
          <w:rFonts w:ascii="Times New Roman" w:eastAsia="Times New Roman" w:hAnsi="Times New Roman" w:cs="Times New Roman"/>
          <w:kern w:val="0"/>
          <w14:ligatures w14:val="none"/>
        </w:rPr>
        <w:t xml:space="preserve"> e tyre ekonomike dhe mjedisore, përfshirë cilësinë e produktit përfundimtar, </w:t>
      </w:r>
      <w:proofErr w:type="spellStart"/>
      <w:r w:rsidRPr="00C51AE9">
        <w:rPr>
          <w:rFonts w:ascii="Times New Roman" w:eastAsia="Times New Roman" w:hAnsi="Times New Roman" w:cs="Times New Roman"/>
          <w:kern w:val="0"/>
          <w14:ligatures w14:val="none"/>
        </w:rPr>
        <w:t>disponueshmërinë</w:t>
      </w:r>
      <w:proofErr w:type="spellEnd"/>
      <w:r w:rsidRPr="00C51AE9">
        <w:rPr>
          <w:rFonts w:ascii="Times New Roman" w:eastAsia="Times New Roman" w:hAnsi="Times New Roman" w:cs="Times New Roman"/>
          <w:kern w:val="0"/>
          <w14:ligatures w14:val="none"/>
        </w:rPr>
        <w:t xml:space="preserve"> e mbetjeve, energjinë e nevojshme dhe emetimet e gazeve serrë;</w:t>
      </w:r>
    </w:p>
    <w:p w14:paraId="60FCBDF1" w14:textId="77777777" w:rsidR="00767CD0" w:rsidRPr="00C51AE9" w:rsidRDefault="00C51AE9" w:rsidP="00F635BF">
      <w:pPr>
        <w:numPr>
          <w:ilvl w:val="1"/>
          <w:numId w:val="173"/>
        </w:numPr>
        <w:spacing w:after="0" w:line="240" w:lineRule="auto"/>
        <w:ind w:left="81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identifikimi i substancave që paraqesin rrezik dhe që ndikojnë negativisht në ripërdorimin dhe riciklimin e materialeve në ambalazhin ku ato janë të pranishme;</w:t>
      </w:r>
    </w:p>
    <w:p w14:paraId="5B0FA7CF" w14:textId="77777777" w:rsidR="00767CD0" w:rsidRPr="00C51AE9" w:rsidRDefault="00C51AE9" w:rsidP="00F635BF">
      <w:pPr>
        <w:numPr>
          <w:ilvl w:val="1"/>
          <w:numId w:val="173"/>
        </w:numPr>
        <w:spacing w:after="0" w:line="240" w:lineRule="auto"/>
        <w:ind w:left="81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kufizimet dhe masat specifike për materialet në kontakt me ushqimin, me qëllim zvogëlimin e rreziqeve ndaj shëndetit të njeriut ose mjedisit.</w:t>
      </w:r>
    </w:p>
    <w:p w14:paraId="02A58CAA" w14:textId="77777777" w:rsidR="00767CD0" w:rsidRPr="00C51AE9" w:rsidRDefault="00C51AE9" w:rsidP="00F635BF">
      <w:pPr>
        <w:numPr>
          <w:ilvl w:val="0"/>
          <w:numId w:val="28"/>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Ministri përgjegjës për mjedisin, miraton me udhëzim metodologjinë:</w:t>
      </w:r>
    </w:p>
    <w:p w14:paraId="24120EC8" w14:textId="77777777" w:rsidR="00767CD0" w:rsidRPr="00C51AE9" w:rsidRDefault="00C51AE9" w:rsidP="00F635BF">
      <w:pPr>
        <w:numPr>
          <w:ilvl w:val="0"/>
          <w:numId w:val="174"/>
        </w:numPr>
        <w:tabs>
          <w:tab w:val="left" w:pos="720"/>
          <w:tab w:val="left" w:pos="900"/>
        </w:tabs>
        <w:spacing w:after="0" w:line="240" w:lineRule="auto"/>
        <w:ind w:firstLine="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për vlerësimin e </w:t>
      </w:r>
      <w:proofErr w:type="spellStart"/>
      <w:r w:rsidRPr="00C51AE9">
        <w:rPr>
          <w:rFonts w:ascii="Times New Roman" w:eastAsia="Times New Roman" w:hAnsi="Times New Roman" w:cs="Times New Roman"/>
          <w:kern w:val="0"/>
          <w14:ligatures w14:val="none"/>
        </w:rPr>
        <w:t>performancës</w:t>
      </w:r>
      <w:proofErr w:type="spellEnd"/>
      <w:r w:rsidRPr="00C51AE9">
        <w:rPr>
          <w:rFonts w:ascii="Times New Roman" w:eastAsia="Times New Roman" w:hAnsi="Times New Roman" w:cs="Times New Roman"/>
          <w:kern w:val="0"/>
          <w14:ligatures w14:val="none"/>
        </w:rPr>
        <w:t xml:space="preserve"> së </w:t>
      </w:r>
      <w:proofErr w:type="spellStart"/>
      <w:r w:rsidRPr="00C51AE9">
        <w:rPr>
          <w:rFonts w:ascii="Times New Roman" w:eastAsia="Times New Roman" w:hAnsi="Times New Roman" w:cs="Times New Roman"/>
          <w:kern w:val="0"/>
          <w14:ligatures w14:val="none"/>
        </w:rPr>
        <w:t>riciklueshmërisë</w:t>
      </w:r>
      <w:proofErr w:type="spellEnd"/>
      <w:r w:rsidRPr="00C51AE9">
        <w:rPr>
          <w:rFonts w:ascii="Times New Roman" w:eastAsia="Times New Roman" w:hAnsi="Times New Roman" w:cs="Times New Roman"/>
          <w:kern w:val="0"/>
          <w14:ligatures w14:val="none"/>
        </w:rPr>
        <w:t xml:space="preserve"> </w:t>
      </w:r>
    </w:p>
    <w:p w14:paraId="63CDCAE6" w14:textId="77777777" w:rsidR="00767CD0" w:rsidRPr="00C51AE9" w:rsidRDefault="00C51AE9" w:rsidP="00F635BF">
      <w:pPr>
        <w:numPr>
          <w:ilvl w:val="0"/>
          <w:numId w:val="174"/>
        </w:numPr>
        <w:tabs>
          <w:tab w:val="left" w:pos="720"/>
          <w:tab w:val="left" w:pos="900"/>
        </w:tabs>
        <w:spacing w:after="0" w:line="240" w:lineRule="auto"/>
        <w:ind w:firstLine="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procedurat e detajuara të llogaritjes së rezultatit të saj në shkallë </w:t>
      </w:r>
      <w:proofErr w:type="spellStart"/>
      <w:r w:rsidRPr="00C51AE9">
        <w:rPr>
          <w:rFonts w:ascii="Times New Roman" w:eastAsia="Times New Roman" w:hAnsi="Times New Roman" w:cs="Times New Roman"/>
          <w:kern w:val="0"/>
          <w14:ligatures w14:val="none"/>
        </w:rPr>
        <w:t>performance</w:t>
      </w:r>
      <w:proofErr w:type="spellEnd"/>
      <w:r w:rsidRPr="00C51AE9">
        <w:rPr>
          <w:rFonts w:ascii="Times New Roman" w:eastAsia="Times New Roman" w:hAnsi="Times New Roman" w:cs="Times New Roman"/>
          <w:kern w:val="0"/>
          <w14:ligatures w14:val="none"/>
        </w:rPr>
        <w:t xml:space="preserve"> për  njësi ambalazhi sipas peshës, </w:t>
      </w:r>
    </w:p>
    <w:p w14:paraId="68EDCBE5" w14:textId="77777777" w:rsidR="00767CD0" w:rsidRPr="00C51AE9" w:rsidRDefault="00C51AE9" w:rsidP="00F635BF">
      <w:pPr>
        <w:numPr>
          <w:ilvl w:val="0"/>
          <w:numId w:val="174"/>
        </w:numPr>
        <w:tabs>
          <w:tab w:val="left" w:pos="720"/>
          <w:tab w:val="left" w:pos="900"/>
        </w:tabs>
        <w:spacing w:after="0" w:line="240" w:lineRule="auto"/>
        <w:ind w:firstLine="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përshkrimin e kushteve për riciklimin në shkallë të gjerë, në përputhje me kriteret e përcaktuara në pikën 3 të këtij neni.</w:t>
      </w:r>
    </w:p>
    <w:p w14:paraId="05B3F114" w14:textId="77777777" w:rsidR="00767CD0" w:rsidRPr="00C51AE9" w:rsidRDefault="00C51AE9" w:rsidP="00F635BF">
      <w:pPr>
        <w:numPr>
          <w:ilvl w:val="0"/>
          <w:numId w:val="28"/>
        </w:numPr>
        <w:contextualSpacing/>
        <w:jc w:val="both"/>
        <w:rPr>
          <w:rFonts w:ascii="Times New Roman" w:hAnsi="Times New Roman" w:cs="Times New Roman"/>
        </w:rPr>
      </w:pPr>
      <w:r w:rsidRPr="00C51AE9">
        <w:rPr>
          <w:rFonts w:ascii="Times New Roman" w:hAnsi="Times New Roman" w:cs="Times New Roman"/>
        </w:rPr>
        <w:t xml:space="preserve">Prodhuesi vlerëson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ambalazhit në bazë të akteve nënligjore të miratuara në zbatim të pikës 3 të këtij neni. Rezultati i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xml:space="preserve"> së ambalazhit shprehet në klasat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A, B ose C, sipas përcaktimeve të tabelës 3 të Shtojcës II të këtij vendimi.</w:t>
      </w:r>
    </w:p>
    <w:p w14:paraId="63343A6B" w14:textId="77777777" w:rsidR="00767CD0" w:rsidRPr="00C51AE9" w:rsidRDefault="00C51AE9" w:rsidP="00F635BF">
      <w:pPr>
        <w:numPr>
          <w:ilvl w:val="0"/>
          <w:numId w:val="28"/>
        </w:numPr>
        <w:contextualSpacing/>
        <w:jc w:val="both"/>
        <w:rPr>
          <w:rFonts w:ascii="Times New Roman" w:hAnsi="Times New Roman" w:cs="Times New Roman"/>
        </w:rPr>
      </w:pPr>
      <w:r w:rsidRPr="00C51AE9">
        <w:rPr>
          <w:rFonts w:ascii="Times New Roman" w:hAnsi="Times New Roman" w:cs="Times New Roman"/>
        </w:rPr>
        <w:lastRenderedPageBreak/>
        <w:t xml:space="preserve">Ministria përgjegjëse për mjedisin vlerëson shkallën e </w:t>
      </w:r>
      <w:proofErr w:type="spellStart"/>
      <w:r w:rsidRPr="00C51AE9">
        <w:rPr>
          <w:rFonts w:ascii="Times New Roman" w:hAnsi="Times New Roman" w:cs="Times New Roman"/>
        </w:rPr>
        <w:t>detajimit</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që raportohen për qëllime të metodologjisë së vlerësimit të riciklimit në shkallë të gjerë. Kur është e nevojshme, ministri përgjegjës për mjedisin i propozon Këshillit të Ministrave ndryshimin e tabelës 2 të shtojcës II dhe të tabelës 3 të shtojcës X të këtij vendimi, me qëllim përshtatjen e tyre me zhvillimet teknike e shkencore dhe me aktet përkatëse të Bashkimit Evropian.</w:t>
      </w:r>
    </w:p>
    <w:p w14:paraId="65B216E0" w14:textId="77777777" w:rsidR="00767CD0" w:rsidRPr="00C51AE9" w:rsidRDefault="00C51AE9" w:rsidP="00F635BF">
      <w:pPr>
        <w:numPr>
          <w:ilvl w:val="0"/>
          <w:numId w:val="28"/>
        </w:numPr>
        <w:contextualSpacing/>
        <w:jc w:val="both"/>
        <w:rPr>
          <w:rFonts w:ascii="Times New Roman" w:hAnsi="Times New Roman" w:cs="Times New Roman"/>
        </w:rPr>
      </w:pPr>
      <w:r w:rsidRPr="00C51AE9">
        <w:rPr>
          <w:rFonts w:ascii="Times New Roman" w:hAnsi="Times New Roman" w:cs="Times New Roman"/>
        </w:rPr>
        <w:t>Deri në vitin 2035, ministria përgjegjëse për mjedisin, në bazë të zhvillimeve në teknologjitë e ndarjes dhe të riciklimit, mund të rishikojë pragjet minimale që ambalazhi të konsiderohet i ricikluar në shkallë të gjerë dhe, kur është e nevojshme, i propozon Këshillit të Ministrave ndryshimin e tyre.</w:t>
      </w:r>
    </w:p>
    <w:p w14:paraId="7C2480D0" w14:textId="77777777" w:rsidR="00767CD0" w:rsidRPr="00C51AE9" w:rsidRDefault="00C51AE9" w:rsidP="00F635BF">
      <w:pPr>
        <w:numPr>
          <w:ilvl w:val="0"/>
          <w:numId w:val="28"/>
        </w:numPr>
        <w:contextualSpacing/>
        <w:jc w:val="both"/>
        <w:rPr>
          <w:rFonts w:ascii="Times New Roman" w:hAnsi="Times New Roman" w:cs="Times New Roman"/>
        </w:rPr>
      </w:pPr>
      <w:r w:rsidRPr="00C51AE9">
        <w:rPr>
          <w:rFonts w:ascii="Times New Roman" w:hAnsi="Times New Roman" w:cs="Times New Roman"/>
        </w:rPr>
        <w:t>Përputhshmëria me kërkesat e përcaktuara në pikat 2 dhe 3 të këtij neni dëshmohet në dokumentacionin teknik të ambalazhit, sipas përcaktimeve të Shtojcës VII të këtij vendimi.</w:t>
      </w:r>
    </w:p>
    <w:p w14:paraId="1F6EABEB" w14:textId="77777777" w:rsidR="00767CD0" w:rsidRPr="00C51AE9" w:rsidRDefault="00C51AE9" w:rsidP="00F635BF">
      <w:pPr>
        <w:numPr>
          <w:ilvl w:val="0"/>
          <w:numId w:val="28"/>
        </w:numPr>
        <w:contextualSpacing/>
        <w:jc w:val="both"/>
        <w:rPr>
          <w:rFonts w:ascii="Times New Roman" w:hAnsi="Times New Roman" w:cs="Times New Roman"/>
        </w:rPr>
      </w:pPr>
      <w:r w:rsidRPr="00C51AE9">
        <w:rPr>
          <w:rFonts w:ascii="Times New Roman" w:hAnsi="Times New Roman" w:cs="Times New Roman"/>
        </w:rPr>
        <w:t>Nëse një njësi ambalazh përfshin komponentë të integruar, vlerësimi i përputhshmërisë me kriteret e projektimit për riciklim duhet  përfshin të gjithë komponentët e integruar. Një vlerësim i veçantë kryhet për komponentët e integruar që mund të ndahen nga njëri-tjetri si rezultat i proceseve mekanike gjatë transportit ose klasifikimit.</w:t>
      </w:r>
    </w:p>
    <w:p w14:paraId="73C60FB0" w14:textId="77777777" w:rsidR="00767CD0" w:rsidRPr="00C51AE9" w:rsidRDefault="00C51AE9" w:rsidP="00F635BF">
      <w:pPr>
        <w:numPr>
          <w:ilvl w:val="0"/>
          <w:numId w:val="28"/>
        </w:numPr>
        <w:tabs>
          <w:tab w:val="left" w:pos="540"/>
        </w:tabs>
        <w:ind w:left="360" w:hanging="180"/>
        <w:contextualSpacing/>
        <w:jc w:val="both"/>
        <w:rPr>
          <w:rFonts w:ascii="Times New Roman" w:hAnsi="Times New Roman" w:cs="Times New Roman"/>
        </w:rPr>
      </w:pPr>
      <w:r w:rsidRPr="00C51AE9">
        <w:rPr>
          <w:rFonts w:ascii="Times New Roman" w:hAnsi="Times New Roman" w:cs="Times New Roman"/>
        </w:rPr>
        <w:t xml:space="preserve">Të gjithë komponentët e një njësie ambalazhi duhet të jenë të përputhshëm me proceset e grumbullimit, renditjes dhe riciklimit, të provuara në mjedis </w:t>
      </w:r>
      <w:proofErr w:type="spellStart"/>
      <w:r w:rsidRPr="00C51AE9">
        <w:rPr>
          <w:rFonts w:ascii="Times New Roman" w:hAnsi="Times New Roman" w:cs="Times New Roman"/>
        </w:rPr>
        <w:t>operacional</w:t>
      </w:r>
      <w:proofErr w:type="spellEnd"/>
      <w:r w:rsidRPr="00C51AE9">
        <w:rPr>
          <w:rFonts w:ascii="Times New Roman" w:hAnsi="Times New Roman" w:cs="Times New Roman"/>
        </w:rPr>
        <w:t xml:space="preserve">, dhe nuk duhet të pengojnë apo të cenojnë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trupit kryesor të njësisë së ambalazhit.</w:t>
      </w:r>
    </w:p>
    <w:p w14:paraId="1054D16B" w14:textId="77777777" w:rsidR="00767CD0" w:rsidRPr="00C51AE9" w:rsidRDefault="00C51AE9" w:rsidP="006575A2">
      <w:pPr>
        <w:ind w:left="360" w:hanging="180"/>
        <w:jc w:val="both"/>
        <w:rPr>
          <w:rFonts w:ascii="Times New Roman" w:hAnsi="Times New Roman" w:cs="Times New Roman"/>
        </w:rPr>
      </w:pPr>
      <w:r w:rsidRPr="00C51AE9">
        <w:rPr>
          <w:rFonts w:ascii="Times New Roman" w:hAnsi="Times New Roman" w:cs="Times New Roman"/>
        </w:rPr>
        <w:t xml:space="preserve">11. Kontributet financiare që paguajnë subjektet prodhuese për përmbushjen e detyrimeve të përgjegjësisë së zgjeruar të prodhuesit, sipas nenit 48 të këtij vendimi, modulohen në përputhje me klasat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së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brenda 18 muajve nga hyrja në fuqi e udhëzimeve të ministrit përgjegjës për mjedisin për kriteret e projektimit për riciklim dhe për metodologjinë e vlerësimit të riciklimit në shkallë të gjerë, të parashikuara në këtë nen.</w:t>
      </w:r>
    </w:p>
    <w:p w14:paraId="20F2C0BA" w14:textId="77777777" w:rsidR="00767CD0" w:rsidRPr="00C51AE9" w:rsidRDefault="00C51AE9" w:rsidP="006575A2">
      <w:pPr>
        <w:ind w:left="360" w:hanging="180"/>
        <w:jc w:val="both"/>
        <w:rPr>
          <w:rFonts w:ascii="Times New Roman" w:hAnsi="Times New Roman" w:cs="Times New Roman"/>
        </w:rPr>
      </w:pPr>
      <w:r w:rsidRPr="00C51AE9">
        <w:rPr>
          <w:rFonts w:ascii="Times New Roman" w:hAnsi="Times New Roman" w:cs="Times New Roman"/>
        </w:rPr>
        <w:t xml:space="preserve">12. Për ambalazhet e shitjes prej druri të lehtë, tape, tekstili, gome, qeramike, porcelani ose dylli, në përcaktimin e kontributeve financiare merren parasysh </w:t>
      </w:r>
      <w:proofErr w:type="spellStart"/>
      <w:r w:rsidRPr="00C51AE9">
        <w:rPr>
          <w:rFonts w:ascii="Times New Roman" w:hAnsi="Times New Roman" w:cs="Times New Roman"/>
        </w:rPr>
        <w:t>fizibiliteti</w:t>
      </w:r>
      <w:proofErr w:type="spellEnd"/>
      <w:r w:rsidRPr="00C51AE9">
        <w:rPr>
          <w:rFonts w:ascii="Times New Roman" w:hAnsi="Times New Roman" w:cs="Times New Roman"/>
        </w:rPr>
        <w:t xml:space="preserve"> teknik dhe qëndrueshmëria ekonomike e riciklimit të këtyre ambalazheve.</w:t>
      </w:r>
    </w:p>
    <w:p w14:paraId="1BD864A8" w14:textId="77777777" w:rsidR="00767CD0" w:rsidRPr="00C51AE9" w:rsidRDefault="00C51AE9" w:rsidP="006575A2">
      <w:pPr>
        <w:ind w:left="360" w:hanging="180"/>
        <w:jc w:val="both"/>
        <w:rPr>
          <w:rFonts w:ascii="Times New Roman" w:hAnsi="Times New Roman" w:cs="Times New Roman"/>
        </w:rPr>
      </w:pPr>
      <w:r w:rsidRPr="00C51AE9">
        <w:rPr>
          <w:rFonts w:ascii="Times New Roman" w:hAnsi="Times New Roman" w:cs="Times New Roman"/>
        </w:rPr>
        <w:t xml:space="preserve">13. Me përjashtim nga pikat 2 dhe 3 të këtij neni, nga data 1 janar 2030, ambalazhi </w:t>
      </w:r>
      <w:proofErr w:type="spellStart"/>
      <w:r w:rsidRPr="00C51AE9">
        <w:rPr>
          <w:rFonts w:ascii="Times New Roman" w:hAnsi="Times New Roman" w:cs="Times New Roman"/>
        </w:rPr>
        <w:t>inovativ</w:t>
      </w:r>
      <w:proofErr w:type="spellEnd"/>
      <w:r w:rsidRPr="00C51AE9">
        <w:rPr>
          <w:rFonts w:ascii="Times New Roman" w:hAnsi="Times New Roman" w:cs="Times New Roman"/>
        </w:rPr>
        <w:t xml:space="preserve"> që nuk përmbush kërkesat e pikës 2 bëhet i </w:t>
      </w:r>
      <w:proofErr w:type="spellStart"/>
      <w:r w:rsidRPr="00C51AE9">
        <w:rPr>
          <w:rFonts w:ascii="Times New Roman" w:hAnsi="Times New Roman" w:cs="Times New Roman"/>
        </w:rPr>
        <w:t>disponueshëm</w:t>
      </w:r>
      <w:proofErr w:type="spellEnd"/>
      <w:r w:rsidRPr="00C51AE9">
        <w:rPr>
          <w:rFonts w:ascii="Times New Roman" w:hAnsi="Times New Roman" w:cs="Times New Roman"/>
        </w:rPr>
        <w:t xml:space="preserve"> në treg për një periudhë deri në 5 vjet nga fundi i vitit kalendarik në të cilin është vendosur në treg.</w:t>
      </w:r>
    </w:p>
    <w:p w14:paraId="579A46A3" w14:textId="77777777" w:rsidR="00767CD0" w:rsidRPr="00C51AE9" w:rsidRDefault="00C51AE9" w:rsidP="006575A2">
      <w:pPr>
        <w:ind w:left="360" w:hanging="180"/>
        <w:jc w:val="both"/>
        <w:rPr>
          <w:rFonts w:ascii="Times New Roman" w:hAnsi="Times New Roman" w:cs="Times New Roman"/>
        </w:rPr>
      </w:pPr>
      <w:r w:rsidRPr="00C51AE9">
        <w:rPr>
          <w:rFonts w:ascii="Times New Roman" w:hAnsi="Times New Roman" w:cs="Times New Roman"/>
        </w:rPr>
        <w:t xml:space="preserve">14. Operatori ekonomik që përdor përjashtimin e pikës 13 të këtij neni njofton Agjencinë Kombëtare të Mjedisit përpara vendosjes në treg të ambalazhit </w:t>
      </w:r>
      <w:proofErr w:type="spellStart"/>
      <w:r w:rsidRPr="00C51AE9">
        <w:rPr>
          <w:rFonts w:ascii="Times New Roman" w:hAnsi="Times New Roman" w:cs="Times New Roman"/>
        </w:rPr>
        <w:t>inovativ</w:t>
      </w:r>
      <w:proofErr w:type="spellEnd"/>
      <w:r w:rsidRPr="00C51AE9">
        <w:rPr>
          <w:rFonts w:ascii="Times New Roman" w:hAnsi="Times New Roman" w:cs="Times New Roman"/>
        </w:rPr>
        <w:t>. Njoftimi përmban:</w:t>
      </w:r>
    </w:p>
    <w:p w14:paraId="5494D19A" w14:textId="77777777" w:rsidR="00767CD0" w:rsidRPr="00C51AE9" w:rsidRDefault="00C51AE9" w:rsidP="006575A2">
      <w:pPr>
        <w:ind w:left="450" w:hanging="90"/>
        <w:jc w:val="both"/>
        <w:rPr>
          <w:rFonts w:ascii="Times New Roman" w:hAnsi="Times New Roman" w:cs="Times New Roman"/>
        </w:rPr>
      </w:pPr>
      <w:r w:rsidRPr="00C51AE9">
        <w:rPr>
          <w:rFonts w:ascii="Times New Roman" w:hAnsi="Times New Roman" w:cs="Times New Roman"/>
        </w:rPr>
        <w:t xml:space="preserve">a. të gjitha të dhënat teknike që vërtetojnë se ambalazhi është ambalazh </w:t>
      </w:r>
      <w:proofErr w:type="spellStart"/>
      <w:r w:rsidRPr="00C51AE9">
        <w:rPr>
          <w:rFonts w:ascii="Times New Roman" w:hAnsi="Times New Roman" w:cs="Times New Roman"/>
        </w:rPr>
        <w:t>inovativ</w:t>
      </w:r>
      <w:proofErr w:type="spellEnd"/>
      <w:r w:rsidRPr="00C51AE9">
        <w:rPr>
          <w:rFonts w:ascii="Times New Roman" w:hAnsi="Times New Roman" w:cs="Times New Roman"/>
        </w:rPr>
        <w:t>;</w:t>
      </w:r>
    </w:p>
    <w:p w14:paraId="6C39DA7B" w14:textId="77777777" w:rsidR="00767CD0" w:rsidRPr="00C51AE9" w:rsidRDefault="00C51AE9" w:rsidP="006575A2">
      <w:pPr>
        <w:ind w:left="450" w:hanging="90"/>
        <w:jc w:val="both"/>
        <w:rPr>
          <w:rFonts w:ascii="Times New Roman" w:hAnsi="Times New Roman" w:cs="Times New Roman"/>
        </w:rPr>
      </w:pPr>
      <w:r w:rsidRPr="00C51AE9">
        <w:rPr>
          <w:rFonts w:ascii="Times New Roman" w:hAnsi="Times New Roman" w:cs="Times New Roman"/>
        </w:rPr>
        <w:t xml:space="preserve">b. afatin kohor për përmbushjen e kërkesave të riciklimit në shkallë të gjerë, për sa i përket grumbullimit dhe riciklimit të ambalazhit </w:t>
      </w:r>
      <w:proofErr w:type="spellStart"/>
      <w:r w:rsidRPr="00C51AE9">
        <w:rPr>
          <w:rFonts w:ascii="Times New Roman" w:hAnsi="Times New Roman" w:cs="Times New Roman"/>
        </w:rPr>
        <w:t>inovativ</w:t>
      </w:r>
      <w:proofErr w:type="spellEnd"/>
      <w:r w:rsidRPr="00C51AE9">
        <w:rPr>
          <w:rFonts w:ascii="Times New Roman" w:hAnsi="Times New Roman" w:cs="Times New Roman"/>
        </w:rPr>
        <w:t>.</w:t>
      </w:r>
    </w:p>
    <w:p w14:paraId="027FA336" w14:textId="77777777" w:rsidR="00767CD0" w:rsidRPr="00C51AE9" w:rsidRDefault="00C51AE9">
      <w:pPr>
        <w:ind w:left="180" w:hanging="90"/>
        <w:jc w:val="both"/>
        <w:rPr>
          <w:rFonts w:ascii="Times New Roman" w:hAnsi="Times New Roman" w:cs="Times New Roman"/>
        </w:rPr>
      </w:pPr>
      <w:r w:rsidRPr="00C51AE9">
        <w:rPr>
          <w:rFonts w:ascii="Times New Roman" w:hAnsi="Times New Roman" w:cs="Times New Roman"/>
        </w:rPr>
        <w:t>15. Agjencia Kombëtare e Mjedisit ia vë në dispozicion informacionin e njoftimit strukturës përgjegjëse për mbikëqyrjen e tregut.</w:t>
      </w:r>
    </w:p>
    <w:p w14:paraId="75A51246" w14:textId="77777777" w:rsidR="00767CD0" w:rsidRPr="00C51AE9" w:rsidRDefault="00C51AE9">
      <w:pPr>
        <w:ind w:left="180" w:hanging="90"/>
        <w:jc w:val="both"/>
        <w:rPr>
          <w:rFonts w:ascii="Times New Roman" w:hAnsi="Times New Roman" w:cs="Times New Roman"/>
        </w:rPr>
      </w:pPr>
      <w:r w:rsidRPr="00C51AE9">
        <w:rPr>
          <w:rFonts w:ascii="Times New Roman" w:hAnsi="Times New Roman" w:cs="Times New Roman"/>
        </w:rPr>
        <w:lastRenderedPageBreak/>
        <w:t xml:space="preserve">16. Kur Agjencia Kombëtare e Mjedisit vlerëson se ambalazhi nuk është ambalazh </w:t>
      </w:r>
      <w:proofErr w:type="spellStart"/>
      <w:r w:rsidRPr="00C51AE9">
        <w:rPr>
          <w:rFonts w:ascii="Times New Roman" w:hAnsi="Times New Roman" w:cs="Times New Roman"/>
        </w:rPr>
        <w:t>inovativ</w:t>
      </w:r>
      <w:proofErr w:type="spellEnd"/>
      <w:r w:rsidRPr="00C51AE9">
        <w:rPr>
          <w:rFonts w:ascii="Times New Roman" w:hAnsi="Times New Roman" w:cs="Times New Roman"/>
        </w:rPr>
        <w:t>, operatori ekonomik përmbush kriteret në fuqi të projektimit për riciklim.</w:t>
      </w:r>
    </w:p>
    <w:p w14:paraId="58BB0875" w14:textId="77777777" w:rsidR="00767CD0" w:rsidRPr="00C51AE9" w:rsidRDefault="00C51AE9">
      <w:pPr>
        <w:ind w:left="180" w:hanging="90"/>
        <w:jc w:val="both"/>
        <w:rPr>
          <w:rFonts w:ascii="Times New Roman" w:hAnsi="Times New Roman" w:cs="Times New Roman"/>
        </w:rPr>
      </w:pPr>
      <w:r w:rsidRPr="00C51AE9">
        <w:rPr>
          <w:rFonts w:ascii="Times New Roman" w:hAnsi="Times New Roman" w:cs="Times New Roman"/>
        </w:rPr>
        <w:t xml:space="preserve">17. Kur Agjencia Kombëtare e Mjedisit vlerëson se ambalazhi është ambalazh </w:t>
      </w:r>
      <w:proofErr w:type="spellStart"/>
      <w:r w:rsidRPr="00C51AE9">
        <w:rPr>
          <w:rFonts w:ascii="Times New Roman" w:hAnsi="Times New Roman" w:cs="Times New Roman"/>
        </w:rPr>
        <w:t>inovativ</w:t>
      </w:r>
      <w:proofErr w:type="spellEnd"/>
      <w:r w:rsidRPr="00C51AE9">
        <w:rPr>
          <w:rFonts w:ascii="Times New Roman" w:hAnsi="Times New Roman" w:cs="Times New Roman"/>
        </w:rPr>
        <w:t>, ajo njofton ministrinë përgjegjëse për mjedisin, e cila, kur është e nevojshme, përditëson udhëzimin për kriteret e projektimit për riciklim, të parashikuar në këtë nen.</w:t>
      </w:r>
    </w:p>
    <w:p w14:paraId="1A40592E" w14:textId="77777777" w:rsidR="00767CD0" w:rsidRPr="00C51AE9" w:rsidRDefault="00C51AE9">
      <w:pPr>
        <w:ind w:left="180" w:hanging="90"/>
        <w:jc w:val="both"/>
        <w:rPr>
          <w:rFonts w:ascii="Times New Roman" w:hAnsi="Times New Roman" w:cs="Times New Roman"/>
        </w:rPr>
      </w:pPr>
      <w:r w:rsidRPr="00C51AE9">
        <w:rPr>
          <w:rFonts w:ascii="Times New Roman" w:hAnsi="Times New Roman" w:cs="Times New Roman"/>
        </w:rPr>
        <w:t>18. Ky nen nuk zbatohet për:</w:t>
      </w:r>
    </w:p>
    <w:p w14:paraId="31AA0A09" w14:textId="77777777" w:rsidR="00767CD0" w:rsidRPr="00C51AE9" w:rsidRDefault="00C51AE9" w:rsidP="006575A2">
      <w:pPr>
        <w:ind w:left="360"/>
        <w:jc w:val="both"/>
        <w:rPr>
          <w:rFonts w:ascii="Times New Roman" w:hAnsi="Times New Roman" w:cs="Times New Roman"/>
        </w:rPr>
      </w:pPr>
      <w:r w:rsidRPr="00C51AE9">
        <w:rPr>
          <w:rFonts w:ascii="Times New Roman" w:hAnsi="Times New Roman" w:cs="Times New Roman"/>
        </w:rPr>
        <w:t xml:space="preserve">a. ambalazhin e menjëhershëm të produkteve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xml:space="preserve"> për përdorim njerëzor dhe veterinar, sipas legjislacionit në fuqi për barnat dhe për produktet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xml:space="preserve"> veterinare;</w:t>
      </w:r>
    </w:p>
    <w:p w14:paraId="634FCA51" w14:textId="77777777" w:rsidR="00767CD0" w:rsidRPr="00C51AE9" w:rsidRDefault="00C51AE9" w:rsidP="006575A2">
      <w:pPr>
        <w:ind w:left="360"/>
        <w:jc w:val="both"/>
        <w:rPr>
          <w:rFonts w:ascii="Times New Roman" w:hAnsi="Times New Roman" w:cs="Times New Roman"/>
        </w:rPr>
      </w:pPr>
      <w:r w:rsidRPr="00C51AE9">
        <w:rPr>
          <w:rFonts w:ascii="Times New Roman" w:hAnsi="Times New Roman" w:cs="Times New Roman"/>
        </w:rPr>
        <w:t>b. ambalazhin e ndjeshëm ndaj kontaktit të pajisjeve mjekësore, sipas legjislacionit në fuqi për pajisjet mjekësore;</w:t>
      </w:r>
    </w:p>
    <w:p w14:paraId="07117778" w14:textId="77777777" w:rsidR="00767CD0" w:rsidRPr="00C51AE9" w:rsidRDefault="00C51AE9" w:rsidP="006575A2">
      <w:pPr>
        <w:ind w:left="450" w:hanging="90"/>
        <w:jc w:val="both"/>
        <w:rPr>
          <w:rFonts w:ascii="Times New Roman" w:hAnsi="Times New Roman" w:cs="Times New Roman"/>
        </w:rPr>
      </w:pPr>
      <w:r w:rsidRPr="00C51AE9">
        <w:rPr>
          <w:rFonts w:ascii="Times New Roman" w:hAnsi="Times New Roman" w:cs="Times New Roman"/>
        </w:rPr>
        <w:t xml:space="preserve">c. ambalazhin e ndjeshëm ndaj kontaktit të pajisjeve mjekësore diagnostikuese in </w:t>
      </w:r>
      <w:r w:rsidR="006575A2">
        <w:rPr>
          <w:rFonts w:ascii="Times New Roman" w:hAnsi="Times New Roman" w:cs="Times New Roman"/>
        </w:rPr>
        <w:t xml:space="preserve"> </w:t>
      </w:r>
      <w:proofErr w:type="spellStart"/>
      <w:r w:rsidRPr="00C51AE9">
        <w:rPr>
          <w:rFonts w:ascii="Times New Roman" w:hAnsi="Times New Roman" w:cs="Times New Roman"/>
        </w:rPr>
        <w:t>vitro</w:t>
      </w:r>
      <w:proofErr w:type="spellEnd"/>
      <w:r w:rsidRPr="00C51AE9">
        <w:rPr>
          <w:rFonts w:ascii="Times New Roman" w:hAnsi="Times New Roman" w:cs="Times New Roman"/>
        </w:rPr>
        <w:t>, sipas legjislacionit në fuqi për pajisjet mjekësore;</w:t>
      </w:r>
    </w:p>
    <w:p w14:paraId="4420FB9A" w14:textId="77777777" w:rsidR="00767CD0" w:rsidRPr="00C51AE9" w:rsidRDefault="00C51AE9" w:rsidP="006575A2">
      <w:pPr>
        <w:tabs>
          <w:tab w:val="left" w:pos="720"/>
        </w:tabs>
        <w:ind w:left="360"/>
        <w:jc w:val="both"/>
        <w:rPr>
          <w:rFonts w:ascii="Times New Roman" w:hAnsi="Times New Roman" w:cs="Times New Roman"/>
        </w:rPr>
      </w:pPr>
      <w:r w:rsidRPr="00C51AE9">
        <w:rPr>
          <w:rFonts w:ascii="Times New Roman" w:hAnsi="Times New Roman" w:cs="Times New Roman"/>
        </w:rPr>
        <w:t xml:space="preserve">ç. ambalazhin e jashtëm të produkteve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xml:space="preserve"> për përdorim njerëzor dhe veterinar, kur ky ambalazh është i nevojshëm për përmbushjen e kërkesave specifike për ruajtjen e cilësisë së produktit </w:t>
      </w:r>
      <w:proofErr w:type="spellStart"/>
      <w:r w:rsidRPr="00C51AE9">
        <w:rPr>
          <w:rFonts w:ascii="Times New Roman" w:hAnsi="Times New Roman" w:cs="Times New Roman"/>
        </w:rPr>
        <w:t>medicinal</w:t>
      </w:r>
      <w:proofErr w:type="spellEnd"/>
      <w:r w:rsidRPr="00C51AE9">
        <w:rPr>
          <w:rFonts w:ascii="Times New Roman" w:hAnsi="Times New Roman" w:cs="Times New Roman"/>
        </w:rPr>
        <w:t>;</w:t>
      </w:r>
    </w:p>
    <w:p w14:paraId="406127F3" w14:textId="77777777" w:rsidR="00767CD0" w:rsidRPr="00C51AE9" w:rsidRDefault="00C51AE9" w:rsidP="006575A2">
      <w:pPr>
        <w:tabs>
          <w:tab w:val="left" w:pos="270"/>
          <w:tab w:val="left" w:pos="720"/>
        </w:tabs>
        <w:ind w:left="360"/>
        <w:jc w:val="both"/>
        <w:rPr>
          <w:rFonts w:ascii="Times New Roman" w:hAnsi="Times New Roman" w:cs="Times New Roman"/>
        </w:rPr>
      </w:pPr>
      <w:r w:rsidRPr="00C51AE9">
        <w:rPr>
          <w:rFonts w:ascii="Times New Roman" w:hAnsi="Times New Roman" w:cs="Times New Roman"/>
        </w:rPr>
        <w:t>d. ambalazhin e ndjeshëm ndaj kontaktit për formulat për foshnja dhe formulat vijuese, ushqimin me bazë drithërash të përpunuara dhe ushqimin për fëmijë, si dhe ushqimin për qëllime të veçanta mjekësore, sipas legjislacionit në fuqi për ushqimin;</w:t>
      </w:r>
    </w:p>
    <w:p w14:paraId="6A46696B" w14:textId="77777777" w:rsidR="00767CD0" w:rsidRPr="00C51AE9" w:rsidRDefault="006575A2" w:rsidP="006575A2">
      <w:pPr>
        <w:tabs>
          <w:tab w:val="left" w:pos="720"/>
        </w:tabs>
        <w:ind w:left="360" w:hanging="90"/>
        <w:jc w:val="both"/>
        <w:rPr>
          <w:rFonts w:ascii="Times New Roman" w:hAnsi="Times New Roman" w:cs="Times New Roman"/>
        </w:rPr>
      </w:pPr>
      <w:r>
        <w:rPr>
          <w:rFonts w:ascii="Times New Roman" w:hAnsi="Times New Roman" w:cs="Times New Roman"/>
        </w:rPr>
        <w:t xml:space="preserve"> </w:t>
      </w:r>
      <w:r w:rsidR="00C51AE9" w:rsidRPr="00C51AE9">
        <w:rPr>
          <w:rFonts w:ascii="Times New Roman" w:hAnsi="Times New Roman" w:cs="Times New Roman"/>
        </w:rPr>
        <w:t>dh. ambalazhin e përdorur për transportin e mallrave të rrezikshme, sipas legjislacionit në fuqi për transportin e mallrave të rrezikshme;</w:t>
      </w:r>
    </w:p>
    <w:p w14:paraId="2A472D67" w14:textId="77777777" w:rsidR="00767CD0" w:rsidRPr="00C51AE9" w:rsidRDefault="00C51AE9" w:rsidP="006575A2">
      <w:pPr>
        <w:tabs>
          <w:tab w:val="left" w:pos="720"/>
        </w:tabs>
        <w:ind w:left="360"/>
        <w:jc w:val="both"/>
        <w:rPr>
          <w:rFonts w:ascii="Times New Roman" w:hAnsi="Times New Roman" w:cs="Times New Roman"/>
        </w:rPr>
      </w:pPr>
      <w:r w:rsidRPr="00C51AE9">
        <w:rPr>
          <w:rFonts w:ascii="Times New Roman" w:hAnsi="Times New Roman" w:cs="Times New Roman"/>
        </w:rPr>
        <w:t>e. ambalazhin e shitjes prej druri të lehtë, tape, tekstili, gome, qeramike, porcelani ose dylli, për të cilin zbatohet vetëm pika 12 e këtij neni.</w:t>
      </w:r>
    </w:p>
    <w:p w14:paraId="07A581BE" w14:textId="77777777" w:rsidR="00767CD0" w:rsidRPr="00C51AE9" w:rsidRDefault="00C51AE9" w:rsidP="006575A2">
      <w:pPr>
        <w:tabs>
          <w:tab w:val="left" w:pos="360"/>
        </w:tabs>
        <w:ind w:left="360" w:hanging="180"/>
        <w:jc w:val="both"/>
        <w:rPr>
          <w:rFonts w:ascii="Times New Roman" w:hAnsi="Times New Roman" w:cs="Times New Roman"/>
        </w:rPr>
      </w:pPr>
      <w:r w:rsidRPr="00C51AE9">
        <w:rPr>
          <w:rFonts w:ascii="Times New Roman" w:hAnsi="Times New Roman" w:cs="Times New Roman"/>
        </w:rPr>
        <w:t>19. Deri më 1 janar 2035, ministria përgjegjëse për mjedisin rishikon përjashtimet e parashikuara në këtë nen, duke marrë parasysh të paktën zhvillimin e teknologjive të ndarjes dhe të riciklimit dhe përvojën praktike të operatorëve ekonomikë, dhe, kur është e nevojshme, i propozon Këshillit të Ministrave ndryshimin e tyre.</w:t>
      </w:r>
    </w:p>
    <w:p w14:paraId="736F07C6" w14:textId="77777777" w:rsidR="00767CD0" w:rsidRPr="00C51AE9" w:rsidRDefault="00767CD0">
      <w:pPr>
        <w:tabs>
          <w:tab w:val="left" w:pos="720"/>
        </w:tabs>
        <w:ind w:left="360" w:firstLine="360"/>
        <w:jc w:val="both"/>
        <w:rPr>
          <w:rFonts w:ascii="Times New Roman" w:hAnsi="Times New Roman" w:cs="Times New Roman"/>
          <w:w w:val="90"/>
        </w:rPr>
      </w:pPr>
    </w:p>
    <w:p w14:paraId="058A2826" w14:textId="77777777" w:rsidR="00767CD0" w:rsidRPr="00C51AE9" w:rsidRDefault="00C51AE9">
      <w:pPr>
        <w:keepNext/>
        <w:keepLines/>
        <w:tabs>
          <w:tab w:val="left" w:pos="720"/>
        </w:tabs>
        <w:spacing w:before="160" w:after="80"/>
        <w:ind w:left="360" w:firstLine="36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13 </w:t>
      </w:r>
    </w:p>
    <w:p w14:paraId="2032FEF7" w14:textId="77777777" w:rsidR="00767CD0" w:rsidRPr="00C51AE9" w:rsidRDefault="00C51AE9">
      <w:pPr>
        <w:keepNext/>
        <w:keepLines/>
        <w:tabs>
          <w:tab w:val="left" w:pos="720"/>
        </w:tabs>
        <w:spacing w:before="160" w:after="80"/>
        <w:ind w:left="360" w:firstLine="360"/>
        <w:jc w:val="center"/>
        <w:outlineLvl w:val="1"/>
        <w:rPr>
          <w:rFonts w:ascii="Times New Roman" w:eastAsiaTheme="majorEastAsia" w:hAnsi="Times New Roman" w:cs="Times New Roman"/>
          <w:b/>
        </w:rPr>
      </w:pPr>
      <w:bookmarkStart w:id="13" w:name="_Toc227317605"/>
      <w:r w:rsidRPr="00C51AE9">
        <w:rPr>
          <w:rFonts w:ascii="Times New Roman" w:eastAsiaTheme="majorEastAsia" w:hAnsi="Times New Roman" w:cs="Times New Roman"/>
          <w:b/>
        </w:rPr>
        <w:t>Përmbajtja minimale e materialit të ricikluar në ambalazhet plastike</w:t>
      </w:r>
      <w:bookmarkEnd w:id="13"/>
    </w:p>
    <w:p w14:paraId="5F6C164E" w14:textId="77777777" w:rsidR="00767CD0" w:rsidRPr="00C51AE9" w:rsidRDefault="00C51AE9" w:rsidP="006575A2">
      <w:pPr>
        <w:tabs>
          <w:tab w:val="left" w:pos="720"/>
        </w:tabs>
        <w:spacing w:after="0"/>
        <w:ind w:left="360"/>
        <w:contextualSpacing/>
        <w:jc w:val="both"/>
        <w:rPr>
          <w:rFonts w:ascii="Times New Roman" w:hAnsi="Times New Roman" w:cs="Times New Roman"/>
        </w:rPr>
      </w:pPr>
      <w:r w:rsidRPr="00C51AE9">
        <w:rPr>
          <w:rFonts w:ascii="Times New Roman" w:hAnsi="Times New Roman" w:cs="Times New Roman"/>
        </w:rPr>
        <w:t xml:space="preserve">1. Duke filluar nga data </w:t>
      </w:r>
      <w:r w:rsidRPr="00C51AE9">
        <w:rPr>
          <w:rFonts w:ascii="Times New Roman" w:hAnsi="Times New Roman" w:cs="Times New Roman"/>
          <w:bCs/>
        </w:rPr>
        <w:t>1 janari 2030</w:t>
      </w:r>
      <w:r w:rsidRPr="00C51AE9">
        <w:rPr>
          <w:rFonts w:ascii="Times New Roman" w:hAnsi="Times New Roman" w:cs="Times New Roman"/>
        </w:rPr>
        <w:t>, ose pas kalimit të 3 viteve</w:t>
      </w:r>
      <w:r w:rsidRPr="00C51AE9">
        <w:rPr>
          <w:rFonts w:ascii="Times New Roman" w:hAnsi="Times New Roman" w:cs="Times New Roman"/>
          <w:bCs/>
        </w:rPr>
        <w:t xml:space="preserve"> nga data e hyrjes në fuqi të udhëzimit të parashikuar në pikën 6 të këtij neni, cilado datë të jetë më e vonshme, </w:t>
      </w:r>
      <w:r w:rsidRPr="00C51AE9">
        <w:rPr>
          <w:rFonts w:ascii="Times New Roman" w:hAnsi="Times New Roman" w:cs="Times New Roman"/>
        </w:rPr>
        <w:t>çdo pjesë plastike e ambalazhit të hedhur në treg duhet të përmbajë përqindjen minimale të mëposhtme të materialit të ricikluar, të rikuperuar nga mbetjet plastike pas konsumit, sipas llojit dhe formatit të ambalazhit, në përputhje me përqindjet e përcaktuara në Tabelën 1 të Shtojcës II të këtij vendimi, e llogaritur si mesatare për impiant prodhimi dhe për vit kalendarik:</w:t>
      </w:r>
    </w:p>
    <w:p w14:paraId="50A0A09A" w14:textId="77777777" w:rsidR="00767CD0" w:rsidRPr="00C51AE9" w:rsidRDefault="00C51AE9">
      <w:pPr>
        <w:tabs>
          <w:tab w:val="left" w:pos="720"/>
        </w:tabs>
        <w:spacing w:after="0"/>
        <w:ind w:left="360" w:firstLine="360"/>
        <w:contextualSpacing/>
        <w:jc w:val="both"/>
        <w:rPr>
          <w:rFonts w:ascii="Times New Roman" w:hAnsi="Times New Roman" w:cs="Times New Roman"/>
        </w:rPr>
      </w:pPr>
      <w:r w:rsidRPr="00C51AE9">
        <w:rPr>
          <w:rFonts w:ascii="Times New Roman" w:hAnsi="Times New Roman" w:cs="Times New Roman"/>
        </w:rPr>
        <w:lastRenderedPageBreak/>
        <w:t xml:space="preserve">a. 30 % për ambalazhet e destinuara për produkte të ndjeshme ndaj kontaktit, në të cilat polietilen </w:t>
      </w:r>
      <w:proofErr w:type="spellStart"/>
      <w:r w:rsidRPr="00C51AE9">
        <w:rPr>
          <w:rFonts w:ascii="Times New Roman" w:hAnsi="Times New Roman" w:cs="Times New Roman"/>
        </w:rPr>
        <w:t>tereftalati</w:t>
      </w:r>
      <w:proofErr w:type="spellEnd"/>
      <w:r w:rsidRPr="00C51AE9">
        <w:rPr>
          <w:rFonts w:ascii="Times New Roman" w:hAnsi="Times New Roman" w:cs="Times New Roman"/>
        </w:rPr>
        <w:t xml:space="preserve"> përbën përbërësin kryesor, me përjashtim të shisheve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3D3E0DDC" w14:textId="77777777" w:rsidR="00767CD0" w:rsidRPr="00C51AE9" w:rsidRDefault="00C51AE9">
      <w:pPr>
        <w:tabs>
          <w:tab w:val="left" w:pos="720"/>
        </w:tabs>
        <w:spacing w:after="0"/>
        <w:ind w:left="360" w:firstLine="360"/>
        <w:contextualSpacing/>
        <w:jc w:val="both"/>
        <w:rPr>
          <w:rFonts w:ascii="Times New Roman" w:hAnsi="Times New Roman" w:cs="Times New Roman"/>
        </w:rPr>
      </w:pPr>
      <w:r w:rsidRPr="00C51AE9">
        <w:rPr>
          <w:rFonts w:ascii="Times New Roman" w:hAnsi="Times New Roman" w:cs="Times New Roman"/>
        </w:rPr>
        <w:t xml:space="preserve">b. 10 % për ambalazhet e destinuara për produkte të ndjeshme ndaj kontaktit, të prodhuara nga materiale plastike të ndryshme nga PET-i, me përjashtim të shisheve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10A68991" w14:textId="77777777" w:rsidR="00767CD0" w:rsidRPr="00C51AE9" w:rsidRDefault="00C51AE9">
      <w:pPr>
        <w:tabs>
          <w:tab w:val="left" w:pos="720"/>
        </w:tabs>
        <w:spacing w:after="0"/>
        <w:ind w:left="360" w:firstLine="360"/>
        <w:contextualSpacing/>
        <w:jc w:val="both"/>
        <w:rPr>
          <w:rFonts w:ascii="Times New Roman" w:hAnsi="Times New Roman" w:cs="Times New Roman"/>
        </w:rPr>
      </w:pPr>
      <w:r w:rsidRPr="00C51AE9">
        <w:rPr>
          <w:rFonts w:ascii="Times New Roman" w:hAnsi="Times New Roman" w:cs="Times New Roman"/>
        </w:rPr>
        <w:t xml:space="preserve">c. 30 % për shishet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5FF82E94" w14:textId="77777777" w:rsidR="00767CD0" w:rsidRPr="00C51AE9" w:rsidRDefault="00C51AE9">
      <w:pPr>
        <w:tabs>
          <w:tab w:val="left" w:pos="720"/>
        </w:tabs>
        <w:ind w:left="360" w:firstLine="360"/>
        <w:contextualSpacing/>
        <w:jc w:val="both"/>
        <w:rPr>
          <w:rFonts w:ascii="Times New Roman" w:hAnsi="Times New Roman" w:cs="Times New Roman"/>
        </w:rPr>
      </w:pPr>
      <w:r w:rsidRPr="00C51AE9">
        <w:rPr>
          <w:rFonts w:ascii="Times New Roman" w:hAnsi="Times New Roman" w:cs="Times New Roman"/>
        </w:rPr>
        <w:t>ç. 35 % për ambalazhet plastike të ndryshme nga ato të përcaktuara në shkronjat “a”, “b” dhe “c” të kësaj pike..</w:t>
      </w:r>
    </w:p>
    <w:p w14:paraId="4F1FD8BA" w14:textId="77777777" w:rsidR="00767CD0" w:rsidRPr="00C51AE9" w:rsidRDefault="00C51AE9" w:rsidP="00F635BF">
      <w:pPr>
        <w:numPr>
          <w:ilvl w:val="0"/>
          <w:numId w:val="173"/>
        </w:numPr>
        <w:tabs>
          <w:tab w:val="left" w:pos="720"/>
        </w:tabs>
        <w:ind w:left="360" w:firstLine="360"/>
        <w:contextualSpacing/>
        <w:jc w:val="both"/>
        <w:rPr>
          <w:rFonts w:ascii="Times New Roman" w:hAnsi="Times New Roman" w:cs="Times New Roman"/>
        </w:rPr>
      </w:pPr>
      <w:r w:rsidRPr="00C51AE9">
        <w:rPr>
          <w:rFonts w:ascii="Times New Roman" w:hAnsi="Times New Roman" w:cs="Times New Roman"/>
        </w:rPr>
        <w:t>Për qëllimet e këtij neni, përmbajtja e materialit të ricikluar duhet të përftohet nga riciklimi i mbetjeve plastike pas konsumit, të cilat plotësojnë kushtet e mëposhtme:</w:t>
      </w:r>
    </w:p>
    <w:p w14:paraId="13CA462B" w14:textId="77777777" w:rsidR="00767CD0" w:rsidRPr="00C51AE9" w:rsidRDefault="00C51AE9" w:rsidP="00F635BF">
      <w:pPr>
        <w:numPr>
          <w:ilvl w:val="1"/>
          <w:numId w:val="179"/>
        </w:numPr>
        <w:tabs>
          <w:tab w:val="left" w:pos="720"/>
        </w:tabs>
        <w:ind w:left="360" w:firstLine="360"/>
        <w:contextualSpacing/>
        <w:jc w:val="both"/>
        <w:rPr>
          <w:rFonts w:ascii="Times New Roman" w:hAnsi="Times New Roman" w:cs="Times New Roman"/>
        </w:rPr>
      </w:pPr>
      <w:r w:rsidRPr="00C51AE9">
        <w:rPr>
          <w:rFonts w:ascii="Times New Roman" w:hAnsi="Times New Roman" w:cs="Times New Roman"/>
        </w:rPr>
        <w:t>janë grumbulluar brenda territorit të Republikës së Shqipërisë, ose janë grumbulluar në një vend të tretë në përputhje me standardet e grumbullimit të veçuar, për të nxitur një riciklim me cilësi të lartë, të barasvlershëm me kërkesat e këtij vendimi;</w:t>
      </w:r>
    </w:p>
    <w:p w14:paraId="51F296FE" w14:textId="77777777" w:rsidR="00767CD0" w:rsidRPr="00C51AE9" w:rsidRDefault="00C51AE9" w:rsidP="00F635BF">
      <w:pPr>
        <w:numPr>
          <w:ilvl w:val="1"/>
          <w:numId w:val="179"/>
        </w:numPr>
        <w:tabs>
          <w:tab w:val="left" w:pos="720"/>
        </w:tabs>
        <w:ind w:left="360" w:firstLine="360"/>
        <w:contextualSpacing/>
        <w:jc w:val="both"/>
        <w:rPr>
          <w:rFonts w:ascii="Times New Roman" w:hAnsi="Times New Roman" w:cs="Times New Roman"/>
        </w:rPr>
      </w:pPr>
      <w:r w:rsidRPr="00C51AE9">
        <w:rPr>
          <w:rFonts w:ascii="Times New Roman" w:hAnsi="Times New Roman" w:cs="Times New Roman"/>
        </w:rPr>
        <w:t xml:space="preserve">janë ricikluar në një impiant të vendosur në Republikën e Shqipërisë, në një vend anëtar të Bashkimit Evropian, ose në një vend të tretë ku zbatohen rregulla për parandalimin dhe reduktimin e emetimeve në ajër, ujë dhe tokë që lidhen me operacionet e riciklimit, të cilat janë ekuivalente me kufijtë e emetimeve dhe nivelet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mjedisore të përcaktuara në Shqipëri.</w:t>
      </w:r>
    </w:p>
    <w:p w14:paraId="62977107" w14:textId="77777777" w:rsidR="00767CD0" w:rsidRPr="00C51AE9" w:rsidRDefault="00C51AE9" w:rsidP="00F635BF">
      <w:pPr>
        <w:numPr>
          <w:ilvl w:val="0"/>
          <w:numId w:val="173"/>
        </w:numPr>
        <w:contextualSpacing/>
        <w:jc w:val="both"/>
        <w:rPr>
          <w:rFonts w:ascii="Times New Roman" w:hAnsi="Times New Roman" w:cs="Times New Roman"/>
        </w:rPr>
      </w:pPr>
      <w:r w:rsidRPr="00C51AE9">
        <w:rPr>
          <w:rFonts w:ascii="Times New Roman" w:hAnsi="Times New Roman" w:cs="Times New Roman"/>
        </w:rPr>
        <w:t>Kërkesat e pikës 1 të këtij neni nuk zbatohen për:</w:t>
      </w:r>
    </w:p>
    <w:p w14:paraId="66D802D1" w14:textId="77777777" w:rsidR="00767CD0" w:rsidRPr="00C51AE9" w:rsidRDefault="00C51AE9" w:rsidP="00F635BF">
      <w:pPr>
        <w:numPr>
          <w:ilvl w:val="1"/>
          <w:numId w:val="162"/>
        </w:numPr>
        <w:ind w:left="1080" w:hanging="270"/>
        <w:contextualSpacing/>
        <w:jc w:val="both"/>
        <w:rPr>
          <w:rFonts w:ascii="Times New Roman" w:hAnsi="Times New Roman" w:cs="Times New Roman"/>
        </w:rPr>
      </w:pPr>
      <w:r w:rsidRPr="00C51AE9">
        <w:rPr>
          <w:rFonts w:ascii="Times New Roman" w:hAnsi="Times New Roman" w:cs="Times New Roman"/>
        </w:rPr>
        <w:t>ambalazhet plastike të destinuara për kontakt me ushqimin, kur përmbajtja e ricikluar paraqet rrezik për shëndetin e njeriut dhe sjell mospërputhje me legjislacionin në fuqi për materialet në kontakt me ushqimin dhe etiketimin e ushqimit dhe informimin e konsumatorit;</w:t>
      </w:r>
    </w:p>
    <w:p w14:paraId="07F0EDA3" w14:textId="77777777" w:rsidR="00767CD0" w:rsidRPr="00C51AE9" w:rsidRDefault="00C51AE9" w:rsidP="00F635BF">
      <w:pPr>
        <w:numPr>
          <w:ilvl w:val="1"/>
          <w:numId w:val="162"/>
        </w:numPr>
        <w:ind w:left="1080" w:hanging="270"/>
        <w:contextualSpacing/>
        <w:jc w:val="both"/>
        <w:rPr>
          <w:rFonts w:ascii="Times New Roman" w:hAnsi="Times New Roman" w:cs="Times New Roman"/>
        </w:rPr>
      </w:pPr>
      <w:r w:rsidRPr="00C51AE9">
        <w:rPr>
          <w:rFonts w:ascii="Times New Roman" w:hAnsi="Times New Roman" w:cs="Times New Roman"/>
        </w:rPr>
        <w:t>pjesët plastike që përbëjnë më pak se 5% të peshës totale të njësisë së ambalazhit;</w:t>
      </w:r>
    </w:p>
    <w:p w14:paraId="40D9344C" w14:textId="77777777" w:rsidR="00767CD0" w:rsidRPr="00C51AE9" w:rsidRDefault="00C51AE9" w:rsidP="00F635BF">
      <w:pPr>
        <w:numPr>
          <w:ilvl w:val="1"/>
          <w:numId w:val="162"/>
        </w:numPr>
        <w:ind w:left="1080" w:hanging="270"/>
        <w:contextualSpacing/>
        <w:jc w:val="both"/>
        <w:rPr>
          <w:rFonts w:ascii="Times New Roman" w:hAnsi="Times New Roman" w:cs="Times New Roman"/>
        </w:rPr>
      </w:pPr>
      <w:r w:rsidRPr="00C51AE9">
        <w:rPr>
          <w:rFonts w:ascii="Times New Roman" w:hAnsi="Times New Roman" w:cs="Times New Roman"/>
        </w:rPr>
        <w:t xml:space="preserve">ambalazhimin në kontakt të drejtpërdrejtë me, produktet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xml:space="preserve"> për njerëz dhe kafshë, sipas përcaktimeve të legjislacionit në fuqi për shërbimin veterinar;</w:t>
      </w:r>
    </w:p>
    <w:p w14:paraId="67B81648" w14:textId="77777777" w:rsidR="00767CD0" w:rsidRPr="00C51AE9" w:rsidRDefault="00C51AE9" w:rsidP="006575A2">
      <w:pPr>
        <w:ind w:left="1080" w:hanging="270"/>
        <w:jc w:val="both"/>
        <w:rPr>
          <w:rFonts w:ascii="Times New Roman" w:hAnsi="Times New Roman" w:cs="Times New Roman"/>
        </w:rPr>
      </w:pPr>
      <w:r w:rsidRPr="00C51AE9">
        <w:rPr>
          <w:rFonts w:ascii="Times New Roman" w:hAnsi="Times New Roman" w:cs="Times New Roman"/>
        </w:rPr>
        <w:t>ç.  ambalazhet e destinuara për produkte të ndjeshme ndaj kontaktit t në pajisjet mjekësore,  pajisjeve të destinuara ekskluzivisht për përdorim kërkimor dhe pajisjeve hetimore, sipas legjislacionit në fuqi për pajisjet mjekësore;</w:t>
      </w:r>
    </w:p>
    <w:p w14:paraId="1C3BBDB9" w14:textId="77777777" w:rsidR="00767CD0" w:rsidRPr="00C51AE9" w:rsidRDefault="00C51AE9" w:rsidP="00F635BF">
      <w:pPr>
        <w:numPr>
          <w:ilvl w:val="1"/>
          <w:numId w:val="162"/>
        </w:numPr>
        <w:ind w:left="1080" w:hanging="270"/>
        <w:contextualSpacing/>
        <w:jc w:val="both"/>
        <w:rPr>
          <w:rFonts w:ascii="Times New Roman" w:hAnsi="Times New Roman" w:cs="Times New Roman"/>
        </w:rPr>
      </w:pPr>
      <w:r w:rsidRPr="00C51AE9">
        <w:rPr>
          <w:rFonts w:ascii="Times New Roman" w:hAnsi="Times New Roman" w:cs="Times New Roman"/>
        </w:rPr>
        <w:t xml:space="preserve">ambalazhet e destinuara për produkte të ndjeshme ndaj kontaktit në pajisjet mjekësore diagnostikuese in </w:t>
      </w:r>
      <w:proofErr w:type="spellStart"/>
      <w:r w:rsidRPr="00C51AE9">
        <w:rPr>
          <w:rFonts w:ascii="Times New Roman" w:hAnsi="Times New Roman" w:cs="Times New Roman"/>
        </w:rPr>
        <w:t>vitro</w:t>
      </w:r>
      <w:proofErr w:type="spellEnd"/>
      <w:r w:rsidRPr="00C51AE9">
        <w:rPr>
          <w:rFonts w:ascii="Times New Roman" w:hAnsi="Times New Roman" w:cs="Times New Roman"/>
        </w:rPr>
        <w:t>, sipas legjislacionit në fuqi për pajisjet mjekësore;</w:t>
      </w:r>
    </w:p>
    <w:p w14:paraId="3AEA1575" w14:textId="77777777" w:rsidR="00767CD0" w:rsidRPr="00C51AE9" w:rsidRDefault="00C51AE9" w:rsidP="006575A2">
      <w:pPr>
        <w:ind w:left="1080" w:hanging="270"/>
        <w:jc w:val="both"/>
        <w:rPr>
          <w:rFonts w:ascii="Times New Roman" w:hAnsi="Times New Roman" w:cs="Times New Roman"/>
        </w:rPr>
      </w:pPr>
      <w:r w:rsidRPr="00C51AE9">
        <w:rPr>
          <w:rFonts w:ascii="Times New Roman" w:hAnsi="Times New Roman" w:cs="Times New Roman"/>
        </w:rPr>
        <w:t xml:space="preserve">dh. ambalazhimin e jashtëm të produkteve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kur një ambalazh i tillë është i nevojshëm për përmbushjen e kërkesave specifike për ruajtjen e cilësisë së produktit;</w:t>
      </w:r>
    </w:p>
    <w:p w14:paraId="41460CA2" w14:textId="77777777" w:rsidR="00767CD0" w:rsidRPr="00C51AE9" w:rsidRDefault="00C51AE9" w:rsidP="00F635BF">
      <w:pPr>
        <w:numPr>
          <w:ilvl w:val="1"/>
          <w:numId w:val="162"/>
        </w:numPr>
        <w:ind w:left="1080" w:hanging="270"/>
        <w:contextualSpacing/>
        <w:jc w:val="both"/>
        <w:rPr>
          <w:rFonts w:ascii="Times New Roman" w:hAnsi="Times New Roman" w:cs="Times New Roman"/>
        </w:rPr>
      </w:pPr>
      <w:r w:rsidRPr="00C51AE9">
        <w:rPr>
          <w:rFonts w:ascii="Times New Roman" w:hAnsi="Times New Roman" w:cs="Times New Roman"/>
        </w:rPr>
        <w:t xml:space="preserve">ambalazhet plastike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w:t>
      </w:r>
    </w:p>
    <w:p w14:paraId="375F889B" w14:textId="77777777" w:rsidR="00767CD0" w:rsidRPr="00C51AE9" w:rsidRDefault="00C51AE9">
      <w:pPr>
        <w:ind w:left="1230"/>
        <w:jc w:val="both"/>
        <w:rPr>
          <w:rFonts w:ascii="Times New Roman" w:hAnsi="Times New Roman" w:cs="Times New Roman"/>
        </w:rPr>
      </w:pPr>
      <w:r w:rsidRPr="00C51AE9">
        <w:rPr>
          <w:rFonts w:ascii="Times New Roman" w:hAnsi="Times New Roman" w:cs="Times New Roman"/>
        </w:rPr>
        <w:t>ë. ambalazhet e përdorura për transportin e mallrave të rrezikshme, sipas    legjislacionit në fuqi;</w:t>
      </w:r>
    </w:p>
    <w:p w14:paraId="67086F68" w14:textId="77777777" w:rsidR="00767CD0" w:rsidRPr="00C51AE9" w:rsidRDefault="00C51AE9" w:rsidP="00F635BF">
      <w:pPr>
        <w:numPr>
          <w:ilvl w:val="1"/>
          <w:numId w:val="162"/>
        </w:numPr>
        <w:ind w:left="1350" w:hanging="450"/>
        <w:contextualSpacing/>
        <w:jc w:val="both"/>
        <w:rPr>
          <w:rFonts w:ascii="Times New Roman" w:hAnsi="Times New Roman" w:cs="Times New Roman"/>
        </w:rPr>
      </w:pPr>
      <w:r w:rsidRPr="00C51AE9">
        <w:rPr>
          <w:rFonts w:ascii="Times New Roman" w:hAnsi="Times New Roman" w:cs="Times New Roman"/>
        </w:rPr>
        <w:lastRenderedPageBreak/>
        <w:t>ambalazhimin plastik të ndjeshëm ndaj kontaktit për ushqimet e destinuara për foshnja dhe fëmijë të vegjël, si dhe për ushqimet për qëllime të veçanta mjekësore;</w:t>
      </w:r>
    </w:p>
    <w:p w14:paraId="49A6E576" w14:textId="77777777" w:rsidR="00767CD0" w:rsidRPr="00C51AE9" w:rsidRDefault="00C51AE9" w:rsidP="00F635BF">
      <w:pPr>
        <w:numPr>
          <w:ilvl w:val="1"/>
          <w:numId w:val="162"/>
        </w:numPr>
        <w:spacing w:after="0"/>
        <w:ind w:left="1350" w:hanging="450"/>
        <w:contextualSpacing/>
        <w:jc w:val="both"/>
        <w:rPr>
          <w:rFonts w:ascii="Times New Roman" w:hAnsi="Times New Roman" w:cs="Times New Roman"/>
        </w:rPr>
      </w:pPr>
      <w:r w:rsidRPr="00C51AE9">
        <w:rPr>
          <w:rFonts w:ascii="Times New Roman" w:hAnsi="Times New Roman" w:cs="Times New Roman"/>
        </w:rPr>
        <w:t xml:space="preserve">ambalazhimin e furnizimeve, komponentëve dhe përbërësve të ambalazhimit të menjëhershëm për prodhimin e produkteve </w:t>
      </w:r>
      <w:proofErr w:type="spellStart"/>
      <w:r w:rsidRPr="00C51AE9">
        <w:rPr>
          <w:rFonts w:ascii="Times New Roman" w:hAnsi="Times New Roman" w:cs="Times New Roman"/>
        </w:rPr>
        <w:t>medicinale</w:t>
      </w:r>
      <w:proofErr w:type="spellEnd"/>
      <w:r w:rsidRPr="00C51AE9">
        <w:rPr>
          <w:rFonts w:ascii="Times New Roman" w:hAnsi="Times New Roman" w:cs="Times New Roman"/>
        </w:rPr>
        <w:t xml:space="preserve"> për njerëz ose kafshë, kur ky ambalazh është i nevojshëm për përmbushjen e standardeve të cilësisë.</w:t>
      </w:r>
    </w:p>
    <w:p w14:paraId="22BDC34D" w14:textId="77777777" w:rsidR="00767CD0" w:rsidRPr="00C51AE9" w:rsidRDefault="00C51AE9">
      <w:pPr>
        <w:spacing w:after="0"/>
        <w:ind w:left="720" w:hanging="270"/>
        <w:jc w:val="both"/>
        <w:rPr>
          <w:rFonts w:ascii="Times New Roman" w:hAnsi="Times New Roman" w:cs="Times New Roman"/>
        </w:rPr>
      </w:pPr>
      <w:r w:rsidRPr="00C51AE9">
        <w:rPr>
          <w:rFonts w:ascii="Times New Roman" w:hAnsi="Times New Roman" w:cs="Times New Roman"/>
        </w:rPr>
        <w:t>4. Përputhshmëria me kërkesat e përcaktuara në pikën 1 vërtetohet nga prodhuesit ose importuesit nëpërmjet dokumentacionit teknik që shoqëron ambalazhin, sipas përcaktimeve të Shtojcës VII të këtij vendimi.</w:t>
      </w:r>
    </w:p>
    <w:p w14:paraId="64FA15DF" w14:textId="77777777" w:rsidR="00767CD0" w:rsidRPr="00C51AE9" w:rsidRDefault="00C51AE9">
      <w:pPr>
        <w:spacing w:after="0"/>
        <w:ind w:left="720" w:hanging="270"/>
        <w:jc w:val="both"/>
        <w:rPr>
          <w:rFonts w:ascii="Times New Roman" w:hAnsi="Times New Roman" w:cs="Times New Roman"/>
        </w:rPr>
      </w:pPr>
      <w:r w:rsidRPr="00C51AE9">
        <w:rPr>
          <w:rFonts w:ascii="Times New Roman" w:hAnsi="Times New Roman" w:cs="Times New Roman"/>
        </w:rPr>
        <w:t>5. Kontributet financiare të paguara nga prodhuesit për përmbushjen e detyrimeve të tyre të Përgjegjësisë së Zgjeruar të Prodhuesit, modulohen bazuar në përqindjen e përmbajtjes së ricikluar të përdorur në ambalazh. Ky modulim merr parasysh kriteret e qëndrueshmërisë të teknologjive të riciklimit dhe kostot mjedisore.</w:t>
      </w:r>
    </w:p>
    <w:p w14:paraId="6925EEFD" w14:textId="77777777" w:rsidR="00767CD0" w:rsidRPr="00C51AE9" w:rsidRDefault="00C51AE9">
      <w:pPr>
        <w:spacing w:after="0"/>
        <w:ind w:left="720" w:hanging="270"/>
        <w:jc w:val="both"/>
        <w:rPr>
          <w:rFonts w:ascii="Times New Roman" w:hAnsi="Times New Roman" w:cs="Times New Roman"/>
        </w:rPr>
      </w:pPr>
      <w:r w:rsidRPr="00C51AE9">
        <w:rPr>
          <w:rFonts w:ascii="Times New Roman" w:hAnsi="Times New Roman" w:cs="Times New Roman"/>
        </w:rPr>
        <w:t>6</w:t>
      </w:r>
      <w:r w:rsidRPr="00C51AE9">
        <w:rPr>
          <w:rFonts w:ascii="Arial" w:eastAsia="Times New Roman" w:hAnsi="Arial" w:cs="Arial"/>
          <w:kern w:val="0"/>
          <w14:ligatures w14:val="none"/>
        </w:rPr>
        <w:t xml:space="preserve"> </w:t>
      </w:r>
      <w:r w:rsidRPr="00C51AE9">
        <w:rPr>
          <w:rFonts w:ascii="Times New Roman" w:hAnsi="Times New Roman" w:cs="Times New Roman"/>
        </w:rPr>
        <w:t xml:space="preserve"> Ministria përgjegjëse për mjedisin miraton me udhëzim metodologjinë për llogaritjen dhe verifikimin e përqindjes së përmbajtjes së ricikluar të rikuperuar nga mbetjet plastike pas konsumit, si dhe formatin e dokumentacionit teknik të parashikuar në Shtojcën VII të këtij vendimi. Metodologjia bazohet në llogaritjen e përmbajtjes së ricikluar si mesatare për impiant prodhimi dhe për vit kalendarik, në kushtet për origjinën e mbetjeve plastike pas konsumit të përcaktuara në këtë nen dhe në aktet përkatëse zbatuese të Bashkimit Evropian.</w:t>
      </w:r>
    </w:p>
    <w:p w14:paraId="6F4E5E16" w14:textId="77777777" w:rsidR="00767CD0" w:rsidRPr="00C51AE9" w:rsidRDefault="00C51AE9" w:rsidP="00F635BF">
      <w:pPr>
        <w:numPr>
          <w:ilvl w:val="0"/>
          <w:numId w:val="82"/>
        </w:numPr>
        <w:spacing w:after="0"/>
        <w:contextualSpacing/>
        <w:jc w:val="both"/>
        <w:rPr>
          <w:rFonts w:ascii="Times New Roman" w:hAnsi="Times New Roman" w:cs="Times New Roman"/>
        </w:rPr>
      </w:pPr>
      <w:r w:rsidRPr="00C51AE9">
        <w:rPr>
          <w:rFonts w:ascii="Times New Roman" w:hAnsi="Times New Roman" w:cs="Times New Roman"/>
        </w:rPr>
        <w:t>Kriteret e qëndrueshmërisë për teknologjitë e riciklimit të plastikës rishikohen dhe, sipas rastit, përditësohen në përputhje me zhvillimet e legjislacionit dhe standardeve përkatëse në fushën e riciklimit të plastikës.</w:t>
      </w:r>
    </w:p>
    <w:p w14:paraId="2C7C6DB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8. Nga data 1 janar 2040, çdo pjesë plastike e ambalazhit të vendosur në treg përmban përqindjen minimale të mëposhtme të përmbajtjes së ricikluar të rikuperuar nga mbetjet plastike pas konsumit, sipas llojit dhe formatit të ambalazhit të përcaktuar në tabelën 1 të shtojcës II të këtij vendimi, të llogaritur si mesatare për impiant prodhimi dhe për vit:</w:t>
      </w:r>
    </w:p>
    <w:p w14:paraId="3C8941AC"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 xml:space="preserve">a. 50 % për ambalazhin e ndjeshëm ndaj kontaktit të prodhuar nga polietilen </w:t>
      </w:r>
      <w:proofErr w:type="spellStart"/>
      <w:r w:rsidRPr="00C51AE9">
        <w:rPr>
          <w:rFonts w:ascii="Times New Roman" w:hAnsi="Times New Roman" w:cs="Times New Roman"/>
        </w:rPr>
        <w:t>tereftalati</w:t>
      </w:r>
      <w:proofErr w:type="spellEnd"/>
      <w:r w:rsidRPr="00C51AE9">
        <w:rPr>
          <w:rFonts w:ascii="Times New Roman" w:hAnsi="Times New Roman" w:cs="Times New Roman"/>
        </w:rPr>
        <w:t xml:space="preserve"> (PET) si përbërës kryesor, me përjashtim të shisheve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78A92E8F"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 xml:space="preserve">b. 25 % për ambalazhin e ndjeshëm ndaj kontaktit të prodhuar nga materiale plastike të ndryshme nga PET, me përjashtim të shisheve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0D6C244E"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 xml:space="preserve">c. 65 % për shishet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pije;</w:t>
      </w:r>
    </w:p>
    <w:p w14:paraId="08B97DA9"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ç. 65 % për ambalazhet plastike të ndryshme nga ato të përmendura në shkronjat “a”, “b” dhe “c” të kësaj pike.</w:t>
      </w:r>
    </w:p>
    <w:p w14:paraId="4F166E25"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9. Ministri përgjegjës për mjedisin miraton me udhëzim metodologjinë për vlerësimin, verifikimin dhe certifikimin, përfshirë </w:t>
      </w:r>
      <w:proofErr w:type="spellStart"/>
      <w:r w:rsidRPr="00C51AE9">
        <w:rPr>
          <w:rFonts w:ascii="Times New Roman" w:hAnsi="Times New Roman" w:cs="Times New Roman"/>
        </w:rPr>
        <w:t>auditimin</w:t>
      </w:r>
      <w:proofErr w:type="spellEnd"/>
      <w:r w:rsidRPr="00C51AE9">
        <w:rPr>
          <w:rFonts w:ascii="Times New Roman" w:hAnsi="Times New Roman" w:cs="Times New Roman"/>
        </w:rPr>
        <w:t xml:space="preserve"> nga palë të treta, të </w:t>
      </w:r>
      <w:proofErr w:type="spellStart"/>
      <w:r w:rsidRPr="00C51AE9">
        <w:rPr>
          <w:rFonts w:ascii="Times New Roman" w:hAnsi="Times New Roman" w:cs="Times New Roman"/>
        </w:rPr>
        <w:t>barasvlershmërisë</w:t>
      </w:r>
      <w:proofErr w:type="spellEnd"/>
      <w:r w:rsidRPr="00C51AE9">
        <w:rPr>
          <w:rFonts w:ascii="Times New Roman" w:hAnsi="Times New Roman" w:cs="Times New Roman"/>
        </w:rPr>
        <w:t xml:space="preserve"> së rregullave të zbatuara kur përmbajtja e ricikluar e rikuperuar nga mbetjet plastike pas konsumit riciklohet ose grumbullohet jashtë territorit të Republikës së Shqipërisë, në përputhje me aktet zbatuese përkatëse të Komisionit </w:t>
      </w:r>
      <w:proofErr w:type="spellStart"/>
      <w:r w:rsidRPr="00C51AE9">
        <w:rPr>
          <w:rFonts w:ascii="Times New Roman" w:hAnsi="Times New Roman" w:cs="Times New Roman"/>
        </w:rPr>
        <w:lastRenderedPageBreak/>
        <w:t>Evropian.Vlerësimi</w:t>
      </w:r>
      <w:proofErr w:type="spellEnd"/>
      <w:r w:rsidRPr="00C51AE9">
        <w:rPr>
          <w:rFonts w:ascii="Times New Roman" w:hAnsi="Times New Roman" w:cs="Times New Roman"/>
        </w:rPr>
        <w:t xml:space="preserve"> merr në konsideratë standardet e mbrojtjes së mjedisit dhe të shëndetit të njeriut, përfshirë standardet që sigurojnë kryerjen e riciklimit në mënyrë të qëndrueshme për mjedisin, si dhe standardet për riciklimin me cilësi të lartë.</w:t>
      </w:r>
    </w:p>
    <w:p w14:paraId="2A8C72A9"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10. Nga data 1 janar 2029 ose 24 muaj nga hyrja në fuqi e udhëzimit të ministrit përgjegjës për mjedisin për metodologjinë e llogaritjes dhe të verifikimit të përmbajtjes së ricikluar, cilado datë të jetë më e vonë, llogaritja dhe verifikimi i përqindjes së përmbajtjes së ricikluar në ambalazh kryhen në përputhje me rregullat e përcaktuara në atë udhëzim.</w:t>
      </w:r>
    </w:p>
    <w:p w14:paraId="6917827A"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11. Ministria përgjegjëse për mjedisin vlerëson nevojën për përjashtime nga përqindjet minimale të përmbajtjes së ricikluar për ambalazhe specifike plastike, ose për rishikimin e listës së përjashtimeve të parashikuara në këtë nen.</w:t>
      </w:r>
    </w:p>
    <w:p w14:paraId="45F56E4B"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12. Kur teknologjitë e përshtatshme për riciklimin e ambalazheve plastike nuk janë të autorizuara ose nuk janë mjaftueshëm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praktikë, në përputhje me kërkesat e sigurisë, veçanërisht për ambalazhet plastike të ndjeshme ndaj kontaktit, ministri përgjegjës për mjedisin i propozon Këshillit të Ministrave, në përputhje me aktet përkatëse të Bashkimit Evropian:</w:t>
      </w:r>
    </w:p>
    <w:p w14:paraId="73950344"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përjashtime nga fusha e zbatimit, afatet ose niveli i përqindjeve minimale për ambalazhe specifike plastike;</w:t>
      </w:r>
    </w:p>
    <w:p w14:paraId="36AB479B"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ndryshimin e listës së përjashtimeve të parashikuara në këtë nen.</w:t>
      </w:r>
    </w:p>
    <w:p w14:paraId="63E6E18B"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13. Kur mungesa e </w:t>
      </w:r>
      <w:proofErr w:type="spellStart"/>
      <w:r w:rsidRPr="00C51AE9">
        <w:rPr>
          <w:rFonts w:ascii="Times New Roman" w:hAnsi="Times New Roman" w:cs="Times New Roman"/>
        </w:rPr>
        <w:t>disponueshmërisë</w:t>
      </w:r>
      <w:proofErr w:type="spellEnd"/>
      <w:r w:rsidRPr="00C51AE9">
        <w:rPr>
          <w:rFonts w:ascii="Times New Roman" w:hAnsi="Times New Roman" w:cs="Times New Roman"/>
        </w:rPr>
        <w:t xml:space="preserve"> ose çmimet e tepërta të </w:t>
      </w:r>
      <w:proofErr w:type="spellStart"/>
      <w:r w:rsidRPr="00C51AE9">
        <w:rPr>
          <w:rFonts w:ascii="Times New Roman" w:hAnsi="Times New Roman" w:cs="Times New Roman"/>
        </w:rPr>
        <w:t>plastikave</w:t>
      </w:r>
      <w:proofErr w:type="spellEnd"/>
      <w:r w:rsidRPr="00C51AE9">
        <w:rPr>
          <w:rFonts w:ascii="Times New Roman" w:hAnsi="Times New Roman" w:cs="Times New Roman"/>
        </w:rPr>
        <w:t xml:space="preserve"> specifike të ricikluara e bëjnë tepër të vështirë përmbushjen e përqindjeve minimale të përmbajtjes së ricikluar, të përcaktuara në këtë nen, ministri përgjegjës për mjedisin i propozon Këshillit të Ministrave përshtatjen e këtyre përqindjeve, në përputhje me aktet përkatëse të Bashkimit Evropian. Përshtatja propozohet vetëm në raste të jashtëzakonshme, kur përmbushja e përqindjeve do të kishte efekte të rënda negative për shëndetin e njeriut ose të kafshëve, për sigurinë e furnizimit me ushqim ose për mjedisin.</w:t>
      </w:r>
    </w:p>
    <w:p w14:paraId="2B678257"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14. Deri më 12 shkurt 2032, ministria përgjegjëse për mjedisin, duke marrë në konsideratë zhvillimin e teknologjisë dhe përvojën praktike të operatorëve ekonomikë, rishikon zbatimin e përqindjeve minimale të fazës së parë, vlerëson </w:t>
      </w:r>
      <w:proofErr w:type="spellStart"/>
      <w:r w:rsidRPr="00C51AE9">
        <w:rPr>
          <w:rFonts w:ascii="Times New Roman" w:hAnsi="Times New Roman" w:cs="Times New Roman"/>
        </w:rPr>
        <w:t>fizibilitetin</w:t>
      </w:r>
      <w:proofErr w:type="spellEnd"/>
      <w:r w:rsidRPr="00C51AE9">
        <w:rPr>
          <w:rFonts w:ascii="Times New Roman" w:hAnsi="Times New Roman" w:cs="Times New Roman"/>
        </w:rPr>
        <w:t xml:space="preserve"> e arritjes së përqindjeve minimale të fazës së dytë dhe rëndësinë e ruajtjes së përjashtimeve të parashikuara në këtë nen dhe, kur është e nevojshme, i propozon Këshillit të Ministrave ndryshimin e këtij neni.</w:t>
      </w:r>
    </w:p>
    <w:p w14:paraId="3D000C36"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15. Deri më 12 shkurt 2032, ministria përgjegjëse për mjedisin vlerëson përdorimin e materialeve të ricikluara në ambalazhet e ndryshme nga plastika dhe, kur është e nevojshme, i propozon Këshillit të Ministrave masa ose objektiva për rritjen e përmbajtjes së ricikluar në këto ambalazhe.</w:t>
      </w:r>
    </w:p>
    <w:p w14:paraId="45E14DD5" w14:textId="77777777" w:rsidR="00767CD0" w:rsidRPr="00C51AE9" w:rsidRDefault="00C51AE9">
      <w:pPr>
        <w:keepNext/>
        <w:keepLines/>
        <w:spacing w:before="160" w:after="80"/>
        <w:jc w:val="center"/>
        <w:outlineLvl w:val="1"/>
        <w:rPr>
          <w:rFonts w:ascii="Times New Roman" w:eastAsiaTheme="majorEastAsia" w:hAnsi="Times New Roman" w:cs="Times New Roman"/>
          <w:b/>
          <w:bCs/>
          <w:sz w:val="22"/>
          <w:szCs w:val="32"/>
        </w:rPr>
      </w:pPr>
      <w:r w:rsidRPr="00C51AE9">
        <w:rPr>
          <w:rFonts w:ascii="Times New Roman" w:eastAsiaTheme="majorEastAsia" w:hAnsi="Times New Roman" w:cs="Times New Roman"/>
          <w:bCs/>
        </w:rPr>
        <w:lastRenderedPageBreak/>
        <w:t>Neni 14</w:t>
      </w:r>
    </w:p>
    <w:p w14:paraId="6F73B287" w14:textId="77777777" w:rsidR="00767CD0" w:rsidRPr="00C51AE9" w:rsidRDefault="00C51AE9">
      <w:pPr>
        <w:keepNext/>
        <w:keepLines/>
        <w:spacing w:before="160" w:after="80"/>
        <w:jc w:val="center"/>
        <w:outlineLvl w:val="1"/>
        <w:rPr>
          <w:rFonts w:ascii="Times New Roman" w:eastAsiaTheme="majorEastAsia" w:hAnsi="Times New Roman" w:cs="Times New Roman"/>
          <w:b/>
          <w:sz w:val="22"/>
          <w:szCs w:val="32"/>
        </w:rPr>
      </w:pPr>
      <w:r w:rsidRPr="00C51AE9">
        <w:rPr>
          <w:rFonts w:ascii="Times New Roman" w:eastAsiaTheme="majorEastAsia" w:hAnsi="Times New Roman" w:cs="Times New Roman"/>
          <w:b/>
        </w:rPr>
        <w:t>Lënda e parë me bazë biologjike në ambalazhet plastike</w:t>
      </w:r>
    </w:p>
    <w:p w14:paraId="4494D031" w14:textId="77777777" w:rsidR="00767CD0" w:rsidRPr="00C51AE9" w:rsidRDefault="00C51AE9" w:rsidP="00F635BF">
      <w:pPr>
        <w:widowControl w:val="0"/>
        <w:numPr>
          <w:ilvl w:val="3"/>
          <w:numId w:val="173"/>
        </w:numPr>
        <w:tabs>
          <w:tab w:val="left" w:pos="540"/>
        </w:tabs>
        <w:spacing w:after="0"/>
        <w:ind w:left="450"/>
        <w:contextualSpacing/>
        <w:jc w:val="both"/>
        <w:rPr>
          <w:rFonts w:ascii="Times New Roman" w:hAnsi="Times New Roman" w:cs="Times New Roman"/>
        </w:rPr>
      </w:pPr>
      <w:r w:rsidRPr="00C51AE9">
        <w:rPr>
          <w:rFonts w:ascii="Times New Roman" w:hAnsi="Times New Roman" w:cs="Times New Roman"/>
        </w:rPr>
        <w:t xml:space="preserve">Ministria përgjegjëse për mjedisin, brenda 12 muajve nga publikimi i rishikimit nga Komisioni </w:t>
      </w:r>
      <w:proofErr w:type="spellStart"/>
      <w:r w:rsidRPr="00C51AE9">
        <w:rPr>
          <w:rFonts w:ascii="Times New Roman" w:hAnsi="Times New Roman" w:cs="Times New Roman"/>
        </w:rPr>
        <w:t>Europian</w:t>
      </w:r>
      <w:proofErr w:type="spellEnd"/>
      <w:r w:rsidRPr="00C51AE9">
        <w:rPr>
          <w:rFonts w:ascii="Times New Roman" w:hAnsi="Times New Roman" w:cs="Times New Roman"/>
        </w:rPr>
        <w:t xml:space="preserve"> për ambalazhet plastike me bazë biologjike, rishikon nivelin e zhvillimit teknologjik dhe </w:t>
      </w:r>
      <w:proofErr w:type="spellStart"/>
      <w:r w:rsidRPr="00C51AE9">
        <w:rPr>
          <w:rFonts w:ascii="Times New Roman" w:hAnsi="Times New Roman" w:cs="Times New Roman"/>
        </w:rPr>
        <w:t>performancën</w:t>
      </w:r>
      <w:proofErr w:type="spellEnd"/>
      <w:r w:rsidRPr="00C51AE9">
        <w:rPr>
          <w:rFonts w:ascii="Times New Roman" w:hAnsi="Times New Roman" w:cs="Times New Roman"/>
        </w:rPr>
        <w:t xml:space="preserve"> mjedisore të këtyre ambalazheve , duke marrë në konsideratë kriteret e qëndrueshmërisë të përcaktuara në legjislacionin në fuqi për </w:t>
      </w:r>
      <w:proofErr w:type="spellStart"/>
      <w:r w:rsidRPr="00C51AE9">
        <w:rPr>
          <w:rFonts w:ascii="Times New Roman" w:hAnsi="Times New Roman" w:cs="Times New Roman"/>
        </w:rPr>
        <w:t>biokarburantet</w:t>
      </w:r>
      <w:proofErr w:type="spellEnd"/>
      <w:r w:rsidRPr="00C51AE9">
        <w:rPr>
          <w:rFonts w:ascii="Times New Roman" w:hAnsi="Times New Roman" w:cs="Times New Roman"/>
        </w:rPr>
        <w:t xml:space="preserve">, </w:t>
      </w:r>
      <w:proofErr w:type="spellStart"/>
      <w:r w:rsidRPr="00C51AE9">
        <w:rPr>
          <w:rFonts w:ascii="Times New Roman" w:hAnsi="Times New Roman" w:cs="Times New Roman"/>
        </w:rPr>
        <w:t>biolëngjet</w:t>
      </w:r>
      <w:proofErr w:type="spellEnd"/>
      <w:r w:rsidRPr="00C51AE9">
        <w:rPr>
          <w:rFonts w:ascii="Times New Roman" w:hAnsi="Times New Roman" w:cs="Times New Roman"/>
        </w:rPr>
        <w:t xml:space="preserve"> dhe lëndët djegëse nga biomasa.</w:t>
      </w:r>
    </w:p>
    <w:p w14:paraId="1C03B80D" w14:textId="77777777" w:rsidR="00767CD0" w:rsidRPr="00C51AE9" w:rsidRDefault="00C51AE9">
      <w:pPr>
        <w:widowControl w:val="0"/>
        <w:spacing w:after="0"/>
        <w:ind w:left="450"/>
        <w:jc w:val="both"/>
        <w:rPr>
          <w:rFonts w:ascii="Times New Roman" w:hAnsi="Times New Roman" w:cs="Times New Roman"/>
        </w:rPr>
      </w:pPr>
      <w:r w:rsidRPr="00C51AE9">
        <w:rPr>
          <w:rFonts w:ascii="Times New Roman" w:hAnsi="Times New Roman" w:cs="Times New Roman"/>
        </w:rPr>
        <w:t>2. Në bazë të rishikimit të përmendur në pikën 1 të këtij neni, ministria përgjegjëse për mjedisin, kur është e nevojshme, harton dhe propozon ndryshimet përkatëse në legjislacion për të:</w:t>
      </w:r>
    </w:p>
    <w:p w14:paraId="55B892CD" w14:textId="77777777" w:rsidR="00767CD0" w:rsidRPr="00C51AE9" w:rsidRDefault="00C51AE9">
      <w:pPr>
        <w:widowControl w:val="0"/>
        <w:spacing w:after="0"/>
        <w:ind w:left="720"/>
        <w:jc w:val="both"/>
        <w:rPr>
          <w:rFonts w:ascii="Times New Roman" w:hAnsi="Times New Roman" w:cs="Times New Roman"/>
        </w:rPr>
      </w:pPr>
      <w:r w:rsidRPr="00C51AE9">
        <w:rPr>
          <w:rFonts w:ascii="Times New Roman" w:hAnsi="Times New Roman" w:cs="Times New Roman"/>
        </w:rPr>
        <w:t>a. përcaktuar kërkesat e qëndrueshmërisë për lëndën e parë me bazë biologjike të përdorur në ambalazhet plastike;</w:t>
      </w:r>
    </w:p>
    <w:p w14:paraId="24E4B8A3" w14:textId="77777777" w:rsidR="00767CD0" w:rsidRPr="00C51AE9" w:rsidRDefault="00C51AE9">
      <w:pPr>
        <w:widowControl w:val="0"/>
        <w:spacing w:after="0"/>
        <w:ind w:left="720"/>
        <w:jc w:val="both"/>
        <w:rPr>
          <w:rFonts w:ascii="Times New Roman" w:hAnsi="Times New Roman" w:cs="Times New Roman"/>
        </w:rPr>
      </w:pPr>
      <w:r w:rsidRPr="00C51AE9">
        <w:rPr>
          <w:rFonts w:ascii="Times New Roman" w:hAnsi="Times New Roman" w:cs="Times New Roman"/>
        </w:rPr>
        <w:t>b. përcaktuar objektiva për rritjen e përdorimit të lëndës së parë me bazë biologjike në ambalazhet plastike;</w:t>
      </w:r>
    </w:p>
    <w:p w14:paraId="758C09D9" w14:textId="77777777" w:rsidR="00767CD0" w:rsidRPr="00C51AE9" w:rsidRDefault="00C51AE9">
      <w:pPr>
        <w:widowControl w:val="0"/>
        <w:spacing w:after="0"/>
        <w:ind w:left="720"/>
        <w:jc w:val="both"/>
        <w:rPr>
          <w:rFonts w:ascii="Times New Roman" w:hAnsi="Times New Roman" w:cs="Times New Roman"/>
        </w:rPr>
      </w:pPr>
      <w:r w:rsidRPr="00C51AE9">
        <w:rPr>
          <w:rFonts w:ascii="Times New Roman" w:hAnsi="Times New Roman" w:cs="Times New Roman"/>
        </w:rPr>
        <w:t xml:space="preserve">c. parashikuar mundësinë e përmbushjes së objektivave të përcaktuara në këtë vendimi, nëpërmjet përdorimit të lëndës së parë plastike me bazë biologjike, në vend të përmbajtjes së ricikluar të përftuar nga mbetjet plastike pas konsumit, në rast se nuk janë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teknologji të përshtatshme riciklimi për ambalazhet në kontakt me ushqimin që përmbushin kërkesat e përcaktuara në legjislacionin për ushqimin.</w:t>
      </w:r>
      <w:bookmarkStart w:id="14" w:name="_Toc227317607"/>
    </w:p>
    <w:p w14:paraId="1862B25C"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ç. ndryshuar, kur është e nevojshme, përkufizimin e plastikës me bazë biologjike, të përcaktuar në nenin 3 të këtij vendimi.</w:t>
      </w:r>
    </w:p>
    <w:p w14:paraId="1D6135E3"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15</w:t>
      </w:r>
    </w:p>
    <w:p w14:paraId="355CFD5D"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Ambalazh i </w:t>
      </w:r>
      <w:proofErr w:type="spellStart"/>
      <w:r w:rsidRPr="00C51AE9">
        <w:rPr>
          <w:rFonts w:ascii="Times New Roman" w:eastAsiaTheme="majorEastAsia" w:hAnsi="Times New Roman" w:cs="Times New Roman"/>
          <w:b/>
        </w:rPr>
        <w:t>kompostueshëm</w:t>
      </w:r>
      <w:bookmarkEnd w:id="14"/>
      <w:proofErr w:type="spellEnd"/>
    </w:p>
    <w:p w14:paraId="4B709F98" w14:textId="77777777" w:rsidR="00767CD0" w:rsidRPr="00C51AE9" w:rsidRDefault="00C51AE9" w:rsidP="00F635BF">
      <w:pPr>
        <w:numPr>
          <w:ilvl w:val="1"/>
          <w:numId w:val="29"/>
        </w:numPr>
        <w:tabs>
          <w:tab w:val="left" w:pos="270"/>
          <w:tab w:val="left" w:pos="900"/>
          <w:tab w:val="left" w:pos="1260"/>
        </w:tabs>
        <w:ind w:left="900" w:hanging="270"/>
        <w:contextualSpacing/>
        <w:jc w:val="both"/>
        <w:rPr>
          <w:rFonts w:ascii="Times New Roman" w:hAnsi="Times New Roman" w:cs="Times New Roman"/>
        </w:rPr>
      </w:pPr>
      <w:r w:rsidRPr="00C51AE9">
        <w:rPr>
          <w:rFonts w:ascii="Times New Roman" w:hAnsi="Times New Roman" w:cs="Times New Roman"/>
        </w:rPr>
        <w:t xml:space="preserve">Me përjashtim të rasteve të parashikuara në këtë vendim, qeset e depërtueshme të çajit, kafesë ose pijeve të tjera dhe njësitë e buta me porcion të vetëm që përmbajnë çaj, kafe ose pije të tjera, të cilat përdoren dhe hidhen së bashku me produktin, si dhe etiketat ngjitëse të vendosura mbi frutat dhe perimet, kur hidhen në treg, duhet të jenë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xml:space="preserve">. Këto ambalazhe dhe etiketa ngjitëse përmbushin standardet për kompostim në kushte të kontrolluara industriale në objektet e trajtimit të </w:t>
      </w:r>
      <w:proofErr w:type="spellStart"/>
      <w:r w:rsidRPr="00C51AE9">
        <w:rPr>
          <w:rFonts w:ascii="Times New Roman" w:hAnsi="Times New Roman" w:cs="Times New Roman"/>
        </w:rPr>
        <w:t>bio</w:t>
      </w:r>
      <w:proofErr w:type="spellEnd"/>
      <w:r w:rsidRPr="00C51AE9">
        <w:rPr>
          <w:rFonts w:ascii="Times New Roman" w:hAnsi="Times New Roman" w:cs="Times New Roman"/>
        </w:rPr>
        <w:t xml:space="preserve">-mbetjeve. Ministri përgjegjës për mjedisin përcakton, me udhëzim, rastet kur ato përmbushin edhe standardet e kompostimit në shtëpi. Rastet përcaktohen duke marrë parasysh kushtet e Shtojcës III të këtij vendimi, </w:t>
      </w:r>
      <w:proofErr w:type="spellStart"/>
      <w:r w:rsidRPr="00C51AE9">
        <w:rPr>
          <w:rFonts w:ascii="Times New Roman" w:hAnsi="Times New Roman" w:cs="Times New Roman"/>
        </w:rPr>
        <w:t>disponueshmërinë</w:t>
      </w:r>
      <w:proofErr w:type="spellEnd"/>
      <w:r w:rsidRPr="00C51AE9">
        <w:rPr>
          <w:rFonts w:ascii="Times New Roman" w:hAnsi="Times New Roman" w:cs="Times New Roman"/>
        </w:rPr>
        <w:t xml:space="preserve"> e skemave të grumbullimit të </w:t>
      </w:r>
      <w:proofErr w:type="spellStart"/>
      <w:r w:rsidRPr="00C51AE9">
        <w:rPr>
          <w:rFonts w:ascii="Times New Roman" w:hAnsi="Times New Roman" w:cs="Times New Roman"/>
        </w:rPr>
        <w:t>bio</w:t>
      </w:r>
      <w:proofErr w:type="spellEnd"/>
      <w:r w:rsidRPr="00C51AE9">
        <w:rPr>
          <w:rFonts w:ascii="Times New Roman" w:hAnsi="Times New Roman" w:cs="Times New Roman"/>
        </w:rPr>
        <w:t xml:space="preserve">-mbetjeve dhe standardet për </w:t>
      </w:r>
      <w:proofErr w:type="spellStart"/>
      <w:r w:rsidRPr="00C51AE9">
        <w:rPr>
          <w:rFonts w:ascii="Times New Roman" w:hAnsi="Times New Roman" w:cs="Times New Roman"/>
        </w:rPr>
        <w:t>kompostueshmërinë</w:t>
      </w:r>
      <w:proofErr w:type="spellEnd"/>
      <w:r w:rsidRPr="00C51AE9">
        <w:rPr>
          <w:rFonts w:ascii="Times New Roman" w:hAnsi="Times New Roman" w:cs="Times New Roman"/>
        </w:rPr>
        <w:t xml:space="preserve"> në shtëpi të miratuara nga Drejtoria e Përgjithshme e Standardizimit.</w:t>
      </w:r>
    </w:p>
    <w:p w14:paraId="3AA756A5" w14:textId="77777777" w:rsidR="00767CD0" w:rsidRPr="00C51AE9" w:rsidRDefault="00C51AE9" w:rsidP="00F635BF">
      <w:pPr>
        <w:numPr>
          <w:ilvl w:val="1"/>
          <w:numId w:val="29"/>
        </w:numPr>
        <w:tabs>
          <w:tab w:val="left" w:pos="270"/>
          <w:tab w:val="left" w:pos="900"/>
          <w:tab w:val="left" w:pos="1260"/>
        </w:tabs>
        <w:ind w:left="900" w:hanging="270"/>
        <w:contextualSpacing/>
        <w:jc w:val="both"/>
        <w:rPr>
          <w:rFonts w:ascii="Times New Roman" w:hAnsi="Times New Roman" w:cs="Times New Roman"/>
        </w:rPr>
      </w:pPr>
      <w:r w:rsidRPr="00C51AE9">
        <w:rPr>
          <w:rFonts w:ascii="Times New Roman" w:hAnsi="Times New Roman" w:cs="Times New Roman"/>
        </w:rPr>
        <w:t xml:space="preserve">Të gjitha ambalazhet e tjera, përveç atyre të përmendura në pikën 1 të këtij neni, duke përfshirë edhe ambalazhet e bërë prej </w:t>
      </w:r>
      <w:proofErr w:type="spellStart"/>
      <w:r w:rsidRPr="00C51AE9">
        <w:rPr>
          <w:rFonts w:ascii="Times New Roman" w:hAnsi="Times New Roman" w:cs="Times New Roman"/>
        </w:rPr>
        <w:t>polimeresh</w:t>
      </w:r>
      <w:proofErr w:type="spellEnd"/>
      <w:r w:rsidRPr="00C51AE9">
        <w:rPr>
          <w:rFonts w:ascii="Times New Roman" w:hAnsi="Times New Roman" w:cs="Times New Roman"/>
        </w:rPr>
        <w:t xml:space="preserve"> plastike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ose materialeve të tjera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duhet të projektohen si material riciklim në përputhje me kërkesat e këtij vendimi, pa ndikuar negativisht në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rrjedhave të tjera të mbetjeve.</w:t>
      </w:r>
    </w:p>
    <w:p w14:paraId="40B3DC45" w14:textId="77777777" w:rsidR="00767CD0" w:rsidRPr="00C51AE9" w:rsidRDefault="00C51AE9" w:rsidP="00F635BF">
      <w:pPr>
        <w:numPr>
          <w:ilvl w:val="1"/>
          <w:numId w:val="29"/>
        </w:numPr>
        <w:tabs>
          <w:tab w:val="left" w:pos="270"/>
        </w:tabs>
        <w:ind w:left="900" w:hanging="270"/>
        <w:contextualSpacing/>
        <w:jc w:val="both"/>
        <w:rPr>
          <w:rFonts w:ascii="Times New Roman" w:hAnsi="Times New Roman" w:cs="Times New Roman"/>
        </w:rPr>
      </w:pPr>
      <w:r w:rsidRPr="00C51AE9">
        <w:rPr>
          <w:rFonts w:ascii="Times New Roman" w:hAnsi="Times New Roman" w:cs="Times New Roman"/>
        </w:rPr>
        <w:t>Përputhshmëria me kërkesat e përcaktuara në pikat 1 dhe 2 të këtij neni, dëshmohet nëpërmjet dokumentacionit teknik që shoqëron ambalazhin, sipas përcaktimeve të Shtojcës VII të këtij vendimi.</w:t>
      </w:r>
    </w:p>
    <w:p w14:paraId="4F162539" w14:textId="77777777" w:rsidR="00767CD0" w:rsidRPr="00C51AE9" w:rsidRDefault="00C51AE9" w:rsidP="00F635BF">
      <w:pPr>
        <w:numPr>
          <w:ilvl w:val="1"/>
          <w:numId w:val="29"/>
        </w:numPr>
        <w:ind w:left="900" w:hanging="270"/>
        <w:contextualSpacing/>
        <w:jc w:val="both"/>
        <w:rPr>
          <w:rFonts w:ascii="Times New Roman" w:hAnsi="Times New Roman" w:cs="Times New Roman"/>
        </w:rPr>
      </w:pPr>
      <w:r w:rsidRPr="00C51AE9">
        <w:rPr>
          <w:rFonts w:ascii="Times New Roman" w:hAnsi="Times New Roman" w:cs="Times New Roman"/>
        </w:rPr>
        <w:lastRenderedPageBreak/>
        <w:t xml:space="preserve">Kur mbetjet me veti </w:t>
      </w:r>
      <w:proofErr w:type="spellStart"/>
      <w:r w:rsidRPr="00C51AE9">
        <w:rPr>
          <w:rFonts w:ascii="Times New Roman" w:hAnsi="Times New Roman" w:cs="Times New Roman"/>
        </w:rPr>
        <w:t>biodegradueshmërie</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kompostueshmërie</w:t>
      </w:r>
      <w:proofErr w:type="spellEnd"/>
      <w:r w:rsidRPr="00C51AE9">
        <w:rPr>
          <w:rFonts w:ascii="Times New Roman" w:hAnsi="Times New Roman" w:cs="Times New Roman"/>
        </w:rPr>
        <w:t xml:space="preserve"> të ngjashme me </w:t>
      </w:r>
      <w:proofErr w:type="spellStart"/>
      <w:r w:rsidRPr="00C51AE9">
        <w:rPr>
          <w:rFonts w:ascii="Times New Roman" w:hAnsi="Times New Roman" w:cs="Times New Roman"/>
        </w:rPr>
        <w:t>bio</w:t>
      </w:r>
      <w:proofErr w:type="spellEnd"/>
      <w:r w:rsidRPr="00C51AE9">
        <w:rPr>
          <w:rFonts w:ascii="Times New Roman" w:hAnsi="Times New Roman" w:cs="Times New Roman"/>
        </w:rPr>
        <w:t xml:space="preserve">-mbetjet grumbullohen së bashku me mbetjet </w:t>
      </w:r>
      <w:proofErr w:type="spellStart"/>
      <w:r w:rsidRPr="00C51AE9">
        <w:rPr>
          <w:rFonts w:ascii="Times New Roman" w:hAnsi="Times New Roman" w:cs="Times New Roman"/>
        </w:rPr>
        <w:t>bio</w:t>
      </w:r>
      <w:proofErr w:type="spellEnd"/>
      <w:r w:rsidRPr="00C51AE9">
        <w:rPr>
          <w:rFonts w:ascii="Times New Roman" w:hAnsi="Times New Roman" w:cs="Times New Roman"/>
        </w:rPr>
        <w:t xml:space="preserve"> dhe funksionojnë skemat e grumbullimit dhe infrastruktura e trajtimit që sigurojnë hyrjen e ambalazhit të </w:t>
      </w:r>
      <w:proofErr w:type="spellStart"/>
      <w:r w:rsidRPr="00C51AE9">
        <w:rPr>
          <w:rFonts w:ascii="Times New Roman" w:hAnsi="Times New Roman" w:cs="Times New Roman"/>
        </w:rPr>
        <w:t>kompostueshëm</w:t>
      </w:r>
      <w:proofErr w:type="spellEnd"/>
      <w:r w:rsidRPr="00C51AE9">
        <w:rPr>
          <w:rFonts w:ascii="Times New Roman" w:hAnsi="Times New Roman" w:cs="Times New Roman"/>
        </w:rPr>
        <w:t xml:space="preserve"> në rrjedhën e menaxhimit të mbetjeve </w:t>
      </w:r>
      <w:proofErr w:type="spellStart"/>
      <w:r w:rsidRPr="00C51AE9">
        <w:rPr>
          <w:rFonts w:ascii="Times New Roman" w:hAnsi="Times New Roman" w:cs="Times New Roman"/>
        </w:rPr>
        <w:t>bio</w:t>
      </w:r>
      <w:proofErr w:type="spellEnd"/>
      <w:r w:rsidRPr="00C51AE9">
        <w:rPr>
          <w:rFonts w:ascii="Times New Roman" w:hAnsi="Times New Roman" w:cs="Times New Roman"/>
        </w:rPr>
        <w:t xml:space="preserve">, ambalazhet e mëposhtme vihen në dispozicion për herë të parë në tregun e Republikës së Shqipërisë vetëm nëse janë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w:t>
      </w:r>
    </w:p>
    <w:p w14:paraId="1F9ED39A" w14:textId="77777777" w:rsidR="00767CD0" w:rsidRPr="00C51AE9" w:rsidRDefault="00C51AE9">
      <w:pPr>
        <w:ind w:left="900"/>
        <w:contextualSpacing/>
        <w:jc w:val="both"/>
        <w:rPr>
          <w:rFonts w:ascii="Times New Roman" w:hAnsi="Times New Roman" w:cs="Times New Roman"/>
        </w:rPr>
      </w:pPr>
      <w:r w:rsidRPr="00C51AE9">
        <w:rPr>
          <w:rFonts w:ascii="Times New Roman" w:hAnsi="Times New Roman" w:cs="Times New Roman"/>
        </w:rPr>
        <w:t>a. njësitë me porcion të vetëm për sistemet e kafesë, çajit ose pijeve të tjera, të përbëra nga material i ndryshëm nga metali;</w:t>
      </w:r>
    </w:p>
    <w:p w14:paraId="2B2870E5"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                b. qeset  mbajtëse plastike shumë të lehta.</w:t>
      </w:r>
    </w:p>
    <w:p w14:paraId="497FD2A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5. Ministria përgjegjëse për mjedisin mund të vlerësojë nëse ambalazhe të tjera duhet t’u nënshtrohen kërkesave të këtij neni, kur kjo justifikohet nga zhvillimet teknologjike dhe </w:t>
      </w:r>
      <w:proofErr w:type="spellStart"/>
      <w:r w:rsidRPr="00C51AE9">
        <w:rPr>
          <w:rFonts w:ascii="Times New Roman" w:hAnsi="Times New Roman" w:cs="Times New Roman"/>
        </w:rPr>
        <w:t>rregullatore</w:t>
      </w:r>
      <w:proofErr w:type="spellEnd"/>
      <w:r w:rsidRPr="00C51AE9">
        <w:rPr>
          <w:rFonts w:ascii="Times New Roman" w:hAnsi="Times New Roman" w:cs="Times New Roman"/>
        </w:rPr>
        <w:t xml:space="preserve"> që ndikojnë në trajtimin e ambalazheve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xml:space="preserve"> dhe nga kushtet e shtojcës III të këtij vendimi, dhe, kur është e nevojshme, i propozon Këshillit të Ministrave ndryshimin e këtij neni.</w:t>
      </w:r>
    </w:p>
    <w:p w14:paraId="47C0A210"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6. Drejtoria e Përgjithshme e Standardizimit miraton si standarde shqiptare standardet e harmonizuara evropiane që përcaktojnë specifikimet teknike të kërkesave për ambalazhet e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xml:space="preserve">, përfshirë kërkesat për </w:t>
      </w:r>
      <w:proofErr w:type="spellStart"/>
      <w:r w:rsidRPr="00C51AE9">
        <w:rPr>
          <w:rFonts w:ascii="Times New Roman" w:hAnsi="Times New Roman" w:cs="Times New Roman"/>
        </w:rPr>
        <w:t>kompostueshmërinë</w:t>
      </w:r>
      <w:proofErr w:type="spellEnd"/>
      <w:r w:rsidRPr="00C51AE9">
        <w:rPr>
          <w:rFonts w:ascii="Times New Roman" w:hAnsi="Times New Roman" w:cs="Times New Roman"/>
        </w:rPr>
        <w:t xml:space="preserve"> në shtëpi.</w:t>
      </w:r>
    </w:p>
    <w:p w14:paraId="44161A6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16 </w:t>
      </w:r>
    </w:p>
    <w:p w14:paraId="1EFFAC0D" w14:textId="77777777" w:rsidR="00767CD0" w:rsidRPr="00C51AE9" w:rsidRDefault="00C51AE9">
      <w:pPr>
        <w:keepNext/>
        <w:keepLines/>
        <w:tabs>
          <w:tab w:val="left" w:pos="180"/>
        </w:tabs>
        <w:spacing w:before="160" w:after="80"/>
        <w:jc w:val="center"/>
        <w:outlineLvl w:val="1"/>
        <w:rPr>
          <w:rFonts w:ascii="Times New Roman" w:hAnsi="Times New Roman" w:cs="Times New Roman"/>
          <w:b/>
          <w:bCs/>
        </w:rPr>
      </w:pPr>
      <w:bookmarkStart w:id="15" w:name="_Toc227317608"/>
      <w:r w:rsidRPr="00C51AE9">
        <w:rPr>
          <w:rFonts w:ascii="Times New Roman" w:hAnsi="Times New Roman" w:cs="Times New Roman"/>
          <w:b/>
          <w:bCs/>
        </w:rPr>
        <w:t>Minimizimi i ambalazhimit</w:t>
      </w:r>
      <w:bookmarkEnd w:id="15"/>
    </w:p>
    <w:p w14:paraId="51781EE7" w14:textId="77777777" w:rsidR="00767CD0" w:rsidRPr="00C51AE9" w:rsidRDefault="00C51AE9" w:rsidP="00F635BF">
      <w:pPr>
        <w:numPr>
          <w:ilvl w:val="0"/>
          <w:numId w:val="30"/>
        </w:numPr>
        <w:tabs>
          <w:tab w:val="left" w:pos="180"/>
          <w:tab w:val="left" w:pos="270"/>
          <w:tab w:val="left" w:pos="810"/>
        </w:tabs>
        <w:ind w:left="900" w:hanging="450"/>
        <w:contextualSpacing/>
        <w:jc w:val="both"/>
        <w:rPr>
          <w:rFonts w:ascii="Times New Roman" w:hAnsi="Times New Roman" w:cs="Times New Roman"/>
        </w:rPr>
      </w:pPr>
      <w:r w:rsidRPr="00C51AE9">
        <w:rPr>
          <w:rFonts w:ascii="Times New Roman" w:hAnsi="Times New Roman" w:cs="Times New Roman"/>
        </w:rPr>
        <w:t xml:space="preserve">Prodhuesi ose importuesi siguron që ambalazhi i hedhur në treg të projektohet dhe të prodhohet në mënyrë që pesha dhe vëllimi i tij të reduktohen në minimumin e nevojshëm për të garantuar funksionalitetin, sigurinë dhe </w:t>
      </w:r>
      <w:proofErr w:type="spellStart"/>
      <w:r w:rsidRPr="00C51AE9">
        <w:rPr>
          <w:rFonts w:ascii="Times New Roman" w:hAnsi="Times New Roman" w:cs="Times New Roman"/>
        </w:rPr>
        <w:t>pranueshmërinë</w:t>
      </w:r>
      <w:proofErr w:type="spellEnd"/>
      <w:r w:rsidRPr="00C51AE9">
        <w:rPr>
          <w:rFonts w:ascii="Times New Roman" w:hAnsi="Times New Roman" w:cs="Times New Roman"/>
        </w:rPr>
        <w:t xml:space="preserve"> e produktit, duke marrë parasysh formën dhe materialin e ambalazhit.</w:t>
      </w:r>
    </w:p>
    <w:p w14:paraId="084655E5" w14:textId="77777777" w:rsidR="00767CD0" w:rsidRPr="00C51AE9" w:rsidRDefault="00C51AE9" w:rsidP="00F635BF">
      <w:pPr>
        <w:numPr>
          <w:ilvl w:val="0"/>
          <w:numId w:val="30"/>
        </w:numPr>
        <w:tabs>
          <w:tab w:val="left" w:pos="180"/>
          <w:tab w:val="left" w:pos="270"/>
          <w:tab w:val="left" w:pos="810"/>
        </w:tabs>
        <w:ind w:left="900" w:hanging="450"/>
        <w:contextualSpacing/>
        <w:jc w:val="both"/>
        <w:rPr>
          <w:rFonts w:ascii="Times New Roman" w:hAnsi="Times New Roman" w:cs="Times New Roman"/>
        </w:rPr>
      </w:pPr>
      <w:r w:rsidRPr="00C51AE9">
        <w:rPr>
          <w:rFonts w:ascii="Times New Roman" w:hAnsi="Times New Roman" w:cs="Times New Roman"/>
        </w:rPr>
        <w:t>Ndalohet hedhja në treg e ambalazheve që nuk përputhen me kërkesat e Shtojcës IV të këtij vendimi, si dhe e ambalazheve me karakteristika që synojnë vetëm rritjen e vëllimit të perceptuar të produktit (përfshirë muret e dyfishta, fundet e rreme dhe shtresat e panevojshme), me përjashtim të rasteve kur:</w:t>
      </w:r>
    </w:p>
    <w:p w14:paraId="0D59DABB" w14:textId="77777777" w:rsidR="00767CD0" w:rsidRPr="00C51AE9" w:rsidRDefault="00C51AE9" w:rsidP="00F635BF">
      <w:pPr>
        <w:numPr>
          <w:ilvl w:val="0"/>
          <w:numId w:val="85"/>
        </w:numPr>
        <w:tabs>
          <w:tab w:val="left" w:pos="180"/>
          <w:tab w:val="left" w:pos="270"/>
          <w:tab w:val="left" w:pos="900"/>
        </w:tabs>
        <w:ind w:left="1350" w:hanging="270"/>
        <w:contextualSpacing/>
        <w:jc w:val="both"/>
        <w:rPr>
          <w:rFonts w:ascii="Times New Roman" w:hAnsi="Times New Roman" w:cs="Times New Roman"/>
        </w:rPr>
      </w:pPr>
      <w:r w:rsidRPr="00C51AE9">
        <w:rPr>
          <w:rFonts w:ascii="Times New Roman" w:hAnsi="Times New Roman" w:cs="Times New Roman"/>
        </w:rPr>
        <w:t xml:space="preserve">Kërkesat për minimizimin e peshës dhe vëllimit të ambalazhit nuk zbatohen për ato ambalazhe që përpara hyrjes në fuqi të këtij vendimi gëzojnë mbrojtje si </w:t>
      </w:r>
      <w:proofErr w:type="spellStart"/>
      <w:r w:rsidRPr="00C51AE9">
        <w:rPr>
          <w:rFonts w:ascii="Times New Roman" w:hAnsi="Times New Roman" w:cs="Times New Roman"/>
        </w:rPr>
        <w:t>dizenjo</w:t>
      </w:r>
      <w:proofErr w:type="spellEnd"/>
      <w:r w:rsidRPr="00C51AE9">
        <w:rPr>
          <w:rFonts w:ascii="Times New Roman" w:hAnsi="Times New Roman" w:cs="Times New Roman"/>
        </w:rPr>
        <w:t xml:space="preserve"> industriale, markë tregtare ose model përdorimi, sipas dispozitave të sipas legjislacionit për pronësinë industriale. Ky përjashtim vlen vetëm në rastet kur zbatimi i këtyre kërkesave do të ndryshonte risinë apo karakterin individual të dizajnit, ose do të cenonte aftësinë dalluese të markës; ose</w:t>
      </w:r>
    </w:p>
    <w:p w14:paraId="4B28F5AD" w14:textId="77777777" w:rsidR="00767CD0" w:rsidRPr="00C51AE9" w:rsidRDefault="00C51AE9" w:rsidP="00F635BF">
      <w:pPr>
        <w:numPr>
          <w:ilvl w:val="0"/>
          <w:numId w:val="85"/>
        </w:numPr>
        <w:tabs>
          <w:tab w:val="left" w:pos="180"/>
          <w:tab w:val="left" w:pos="270"/>
          <w:tab w:val="left" w:pos="990"/>
        </w:tabs>
        <w:ind w:left="1260" w:hanging="270"/>
        <w:contextualSpacing/>
        <w:jc w:val="both"/>
        <w:rPr>
          <w:rFonts w:ascii="Times New Roman" w:hAnsi="Times New Roman" w:cs="Times New Roman"/>
        </w:rPr>
      </w:pPr>
      <w:r w:rsidRPr="00C51AE9">
        <w:rPr>
          <w:rFonts w:ascii="Times New Roman" w:hAnsi="Times New Roman" w:cs="Times New Roman"/>
        </w:rPr>
        <w:t xml:space="preserve">produkti ose pija e ambalazhuar gëzon mbrojtje nga një tregues gjeografik, sipas dispozitave të legjislacionit në fuqi për pronësinë industriale. </w:t>
      </w:r>
    </w:p>
    <w:p w14:paraId="7D65BB18" w14:textId="77777777" w:rsidR="00767CD0" w:rsidRPr="00C51AE9" w:rsidRDefault="00C51AE9" w:rsidP="00F635BF">
      <w:pPr>
        <w:numPr>
          <w:ilvl w:val="0"/>
          <w:numId w:val="30"/>
        </w:numPr>
        <w:tabs>
          <w:tab w:val="left" w:pos="180"/>
        </w:tabs>
        <w:spacing w:after="0"/>
        <w:ind w:left="810"/>
        <w:contextualSpacing/>
        <w:jc w:val="both"/>
        <w:rPr>
          <w:rFonts w:ascii="Times New Roman" w:hAnsi="Times New Roman" w:cs="Times New Roman"/>
        </w:rPr>
      </w:pPr>
      <w:r w:rsidRPr="00C51AE9">
        <w:rPr>
          <w:rFonts w:ascii="Times New Roman" w:hAnsi="Times New Roman" w:cs="Times New Roman"/>
        </w:rPr>
        <w:t>Përputhshmëria me kërkesat e përcaktuara në pikat 1 dhe 2 të këtij neni dëshmohet në  dokumentacionin teknik të parashikuar në Shtojcën VII të këtij vendimi, i cili duhet të përmbajë:</w:t>
      </w:r>
    </w:p>
    <w:p w14:paraId="42C79256" w14:textId="77777777" w:rsidR="00767CD0" w:rsidRPr="00C51AE9" w:rsidRDefault="00C51AE9" w:rsidP="00F635BF">
      <w:pPr>
        <w:numPr>
          <w:ilvl w:val="1"/>
          <w:numId w:val="163"/>
        </w:numPr>
        <w:tabs>
          <w:tab w:val="left" w:pos="180"/>
          <w:tab w:val="left" w:pos="810"/>
          <w:tab w:val="left" w:pos="900"/>
        </w:tabs>
        <w:spacing w:after="0"/>
        <w:ind w:left="810" w:hanging="270"/>
        <w:contextualSpacing/>
        <w:jc w:val="both"/>
        <w:rPr>
          <w:rFonts w:ascii="Times New Roman" w:hAnsi="Times New Roman" w:cs="Times New Roman"/>
        </w:rPr>
      </w:pPr>
      <w:r w:rsidRPr="00C51AE9">
        <w:rPr>
          <w:rFonts w:ascii="Times New Roman" w:hAnsi="Times New Roman" w:cs="Times New Roman"/>
        </w:rPr>
        <w:lastRenderedPageBreak/>
        <w:t xml:space="preserve">shpjegimin e specifikimeve teknike, standardeve dhe kushteve të përdorura për të vlerësuar ambalazhin kundrejt kritereve të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dhe metodologjisë së përcaktuar në Shtojcën IV të këtij vendimi;</w:t>
      </w:r>
    </w:p>
    <w:p w14:paraId="7D45C894" w14:textId="77777777" w:rsidR="00767CD0" w:rsidRPr="00C51AE9" w:rsidRDefault="00C51AE9" w:rsidP="00F635BF">
      <w:pPr>
        <w:numPr>
          <w:ilvl w:val="1"/>
          <w:numId w:val="163"/>
        </w:numPr>
        <w:tabs>
          <w:tab w:val="left" w:pos="270"/>
          <w:tab w:val="left" w:pos="810"/>
          <w:tab w:val="left" w:pos="900"/>
        </w:tabs>
        <w:spacing w:after="0"/>
        <w:ind w:left="900"/>
        <w:contextualSpacing/>
        <w:jc w:val="both"/>
        <w:rPr>
          <w:rFonts w:ascii="Times New Roman" w:hAnsi="Times New Roman" w:cs="Times New Roman"/>
        </w:rPr>
      </w:pPr>
      <w:r w:rsidRPr="00C51AE9">
        <w:rPr>
          <w:rFonts w:ascii="Times New Roman" w:hAnsi="Times New Roman" w:cs="Times New Roman"/>
        </w:rPr>
        <w:t xml:space="preserve">identifikimin e kërkesave specifike të projektimit për secilin kriter </w:t>
      </w:r>
      <w:proofErr w:type="spellStart"/>
      <w:r w:rsidRPr="00C51AE9">
        <w:rPr>
          <w:rFonts w:ascii="Times New Roman" w:hAnsi="Times New Roman" w:cs="Times New Roman"/>
        </w:rPr>
        <w:t>performance</w:t>
      </w:r>
      <w:proofErr w:type="spellEnd"/>
      <w:r w:rsidRPr="00C51AE9">
        <w:rPr>
          <w:rFonts w:ascii="Times New Roman" w:hAnsi="Times New Roman" w:cs="Times New Roman"/>
        </w:rPr>
        <w:t xml:space="preserve"> që pengojnë uljen e mëtejshme të peshës ose vëllimit të ambalazhit;</w:t>
      </w:r>
    </w:p>
    <w:p w14:paraId="792CBFB6" w14:textId="77777777" w:rsidR="00767CD0" w:rsidRPr="00C51AE9" w:rsidRDefault="00C51AE9" w:rsidP="00F635BF">
      <w:pPr>
        <w:numPr>
          <w:ilvl w:val="1"/>
          <w:numId w:val="163"/>
        </w:numPr>
        <w:tabs>
          <w:tab w:val="left" w:pos="180"/>
          <w:tab w:val="left" w:pos="810"/>
          <w:tab w:val="left" w:pos="900"/>
        </w:tabs>
        <w:spacing w:after="0"/>
        <w:ind w:left="900"/>
        <w:contextualSpacing/>
        <w:jc w:val="both"/>
        <w:rPr>
          <w:rFonts w:ascii="Times New Roman" w:hAnsi="Times New Roman" w:cs="Times New Roman"/>
        </w:rPr>
      </w:pPr>
      <w:r w:rsidRPr="00C51AE9">
        <w:rPr>
          <w:rFonts w:ascii="Times New Roman" w:hAnsi="Times New Roman" w:cs="Times New Roman"/>
        </w:rPr>
        <w:t>rezultatet e testeve, studimeve ose simulimeve të përdorura për të vlerësuar vëllimin apo peshën minimale të nevojshme të ambalazhit.</w:t>
      </w:r>
    </w:p>
    <w:p w14:paraId="44C3A353" w14:textId="77777777" w:rsidR="00767CD0" w:rsidRPr="00C51AE9" w:rsidRDefault="00C51AE9">
      <w:pPr>
        <w:tabs>
          <w:tab w:val="left" w:pos="180"/>
        </w:tabs>
        <w:ind w:left="720" w:hanging="360"/>
        <w:jc w:val="both"/>
        <w:rPr>
          <w:rFonts w:ascii="Times New Roman" w:hAnsi="Times New Roman" w:cs="Times New Roman"/>
          <w:w w:val="90"/>
        </w:rPr>
      </w:pPr>
      <w:r w:rsidRPr="00C51AE9">
        <w:rPr>
          <w:rFonts w:ascii="Times New Roman" w:hAnsi="Times New Roman" w:cs="Times New Roman"/>
          <w:w w:val="90"/>
        </w:rPr>
        <w:t xml:space="preserve">4. </w:t>
      </w:r>
      <w:r w:rsidRPr="00C51AE9">
        <w:rPr>
          <w:rFonts w:ascii="Times New Roman" w:hAnsi="Times New Roman" w:cs="Times New Roman"/>
          <w:w w:val="90"/>
        </w:rPr>
        <w:tab/>
        <w:t xml:space="preserve"> </w:t>
      </w:r>
      <w:r w:rsidRPr="00C51AE9">
        <w:rPr>
          <w:rFonts w:ascii="Times New Roman" w:hAnsi="Times New Roman" w:cs="Times New Roman"/>
        </w:rPr>
        <w:t xml:space="preserve">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vlerësimi i përputhshmërisë me kërkesat e pikës 1 të këtij neni kryhet duke marrë parasysh karakteristikat e veçanta të ripërdorimit, në përputhje me kërkesat e përcaktuara në këtë vendim.</w:t>
      </w:r>
    </w:p>
    <w:p w14:paraId="205D8AE2" w14:textId="77777777" w:rsidR="00767CD0" w:rsidRPr="00C51AE9" w:rsidRDefault="00C51AE9">
      <w:pPr>
        <w:tabs>
          <w:tab w:val="left" w:pos="180"/>
        </w:tabs>
        <w:ind w:left="720" w:hanging="360"/>
        <w:jc w:val="both"/>
        <w:rPr>
          <w:rFonts w:ascii="Times New Roman" w:hAnsi="Times New Roman" w:cs="Times New Roman"/>
        </w:rPr>
      </w:pPr>
      <w:r w:rsidRPr="00C51AE9">
        <w:rPr>
          <w:rFonts w:ascii="Times New Roman" w:hAnsi="Times New Roman" w:cs="Times New Roman"/>
        </w:rPr>
        <w:t xml:space="preserve">5. </w:t>
      </w:r>
      <w:r w:rsidRPr="006575A2">
        <w:rPr>
          <w:rFonts w:ascii="Times New Roman" w:hAnsi="Times New Roman" w:cs="Times New Roman"/>
        </w:rPr>
        <w:t>Për vlerësimin e përputhshmërisë me kërkesat e këtij neni</w:t>
      </w:r>
      <w:r w:rsidRPr="006575A2">
        <w:rPr>
          <w:rFonts w:ascii="Times New Roman" w:hAnsi="Times New Roman" w:cs="Times New Roman"/>
          <w:iCs/>
        </w:rPr>
        <w:t xml:space="preserve"> zbatohen standardet e harmonizuara ose standardet shqiptare të miratuara në përputhje me legjislacionin në fuqi në fushën e standardizimit</w:t>
      </w:r>
      <w:r w:rsidRPr="00C51AE9">
        <w:rPr>
          <w:rFonts w:ascii="Times New Roman" w:hAnsi="Times New Roman" w:cs="Times New Roman"/>
          <w:i/>
          <w:iCs/>
        </w:rPr>
        <w:t>.</w:t>
      </w:r>
    </w:p>
    <w:p w14:paraId="3FA5D0E0" w14:textId="77777777" w:rsidR="00767CD0" w:rsidRPr="00C51AE9" w:rsidRDefault="00767CD0">
      <w:pPr>
        <w:tabs>
          <w:tab w:val="left" w:pos="180"/>
        </w:tabs>
        <w:ind w:left="720" w:hanging="360"/>
        <w:jc w:val="both"/>
        <w:rPr>
          <w:rFonts w:ascii="Times New Roman" w:hAnsi="Times New Roman" w:cs="Times New Roman"/>
        </w:rPr>
      </w:pPr>
    </w:p>
    <w:p w14:paraId="574AF3DF"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bookmarkStart w:id="16" w:name="_Toc227317609"/>
      <w:r w:rsidRPr="00C51AE9">
        <w:rPr>
          <w:rFonts w:ascii="Times New Roman" w:eastAsiaTheme="majorEastAsia" w:hAnsi="Times New Roman" w:cs="Times New Roman"/>
          <w:bCs/>
        </w:rPr>
        <w:t>Neni 17</w:t>
      </w:r>
    </w:p>
    <w:p w14:paraId="717A8B53"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 Ambalazh i </w:t>
      </w:r>
      <w:proofErr w:type="spellStart"/>
      <w:r w:rsidRPr="00C51AE9">
        <w:rPr>
          <w:rFonts w:ascii="Times New Roman" w:eastAsiaTheme="majorEastAsia" w:hAnsi="Times New Roman" w:cs="Times New Roman"/>
          <w:b/>
        </w:rPr>
        <w:t>ripërdorshëm</w:t>
      </w:r>
      <w:bookmarkEnd w:id="16"/>
      <w:proofErr w:type="spellEnd"/>
    </w:p>
    <w:p w14:paraId="053FDCC7" w14:textId="77777777" w:rsidR="00767CD0" w:rsidRPr="00C51AE9" w:rsidRDefault="00C51AE9" w:rsidP="00F635BF">
      <w:pPr>
        <w:numPr>
          <w:ilvl w:val="0"/>
          <w:numId w:val="155"/>
        </w:numPr>
        <w:tabs>
          <w:tab w:val="left" w:pos="720"/>
          <w:tab w:val="left" w:pos="810"/>
        </w:tabs>
        <w:spacing w:after="0"/>
        <w:ind w:left="360"/>
        <w:contextualSpacing/>
        <w:jc w:val="both"/>
        <w:rPr>
          <w:rFonts w:ascii="Times New Roman" w:hAnsi="Times New Roman" w:cs="Times New Roman"/>
        </w:rPr>
      </w:pPr>
      <w:r w:rsidRPr="00C51AE9">
        <w:rPr>
          <w:rFonts w:ascii="Times New Roman" w:hAnsi="Times New Roman" w:cs="Times New Roman"/>
        </w:rPr>
        <w:t xml:space="preserve">Ambalazhi i hedhur në treg konsiderohet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kur plotëson kërkesat e mëposhtme:</w:t>
      </w:r>
    </w:p>
    <w:p w14:paraId="7E0567E0" w14:textId="77777777" w:rsidR="00767CD0" w:rsidRPr="00C51AE9" w:rsidRDefault="00C51AE9" w:rsidP="00F635BF">
      <w:pPr>
        <w:numPr>
          <w:ilvl w:val="0"/>
          <w:numId w:val="156"/>
        </w:numPr>
        <w:tabs>
          <w:tab w:val="left" w:pos="720"/>
        </w:tabs>
        <w:spacing w:after="0"/>
        <w:contextualSpacing/>
        <w:jc w:val="both"/>
        <w:rPr>
          <w:rFonts w:ascii="Times New Roman" w:hAnsi="Times New Roman" w:cs="Times New Roman"/>
        </w:rPr>
      </w:pPr>
      <w:r w:rsidRPr="00C51AE9">
        <w:rPr>
          <w:rFonts w:ascii="Times New Roman" w:hAnsi="Times New Roman" w:cs="Times New Roman"/>
        </w:rPr>
        <w:t>është konceptuar, projektuar dhe vendosur në treg me qëllim që të ripërdoret disa herë;;</w:t>
      </w:r>
    </w:p>
    <w:p w14:paraId="306EF550" w14:textId="77777777" w:rsidR="00767CD0" w:rsidRPr="00C51AE9" w:rsidRDefault="00C51AE9">
      <w:pPr>
        <w:tabs>
          <w:tab w:val="left" w:pos="450"/>
          <w:tab w:val="left" w:pos="720"/>
        </w:tabs>
        <w:spacing w:after="0"/>
        <w:ind w:left="720" w:hanging="270"/>
        <w:jc w:val="both"/>
        <w:rPr>
          <w:rFonts w:ascii="Times New Roman" w:hAnsi="Times New Roman" w:cs="Times New Roman"/>
        </w:rPr>
      </w:pPr>
      <w:r w:rsidRPr="00C51AE9">
        <w:rPr>
          <w:rFonts w:ascii="Times New Roman" w:hAnsi="Times New Roman" w:cs="Times New Roman"/>
        </w:rPr>
        <w:t>b. është projektuar për të garantuar sa më shumë cikle ripërdorimi, në kushte normale përdorimi;</w:t>
      </w:r>
    </w:p>
    <w:p w14:paraId="2BC5B822" w14:textId="77777777" w:rsidR="00767CD0" w:rsidRPr="00C51AE9" w:rsidRDefault="00C51AE9">
      <w:pPr>
        <w:tabs>
          <w:tab w:val="left" w:pos="720"/>
        </w:tabs>
        <w:spacing w:after="0"/>
        <w:ind w:left="720" w:hanging="270"/>
        <w:jc w:val="both"/>
        <w:rPr>
          <w:rFonts w:ascii="Times New Roman" w:hAnsi="Times New Roman" w:cs="Times New Roman"/>
        </w:rPr>
      </w:pPr>
      <w:r w:rsidRPr="00C51AE9">
        <w:rPr>
          <w:rFonts w:ascii="Times New Roman" w:hAnsi="Times New Roman" w:cs="Times New Roman"/>
        </w:rPr>
        <w:t>c. përmbush kërkesat ligjore në fuqi lidhur me shëndetin, sigurinë dhe higjienën e konsumatorit;</w:t>
      </w:r>
    </w:p>
    <w:p w14:paraId="5B35C16C" w14:textId="77777777" w:rsidR="00767CD0" w:rsidRPr="00C51AE9" w:rsidRDefault="00C51AE9">
      <w:pPr>
        <w:tabs>
          <w:tab w:val="left" w:pos="720"/>
        </w:tabs>
        <w:spacing w:after="0"/>
        <w:ind w:left="720" w:hanging="270"/>
        <w:jc w:val="both"/>
        <w:rPr>
          <w:rFonts w:ascii="Times New Roman" w:hAnsi="Times New Roman" w:cs="Times New Roman"/>
        </w:rPr>
      </w:pPr>
      <w:r w:rsidRPr="00C51AE9">
        <w:rPr>
          <w:rFonts w:ascii="Times New Roman" w:hAnsi="Times New Roman" w:cs="Times New Roman"/>
        </w:rPr>
        <w:t>ç. mund të zbrazet ose të shkarkohet pa u dëmtuar, në një mënyrë që nuk pengon funksionin e tij të mëtejshëm dhe ripërdorimin;</w:t>
      </w:r>
    </w:p>
    <w:p w14:paraId="384A3A9B" w14:textId="77777777" w:rsidR="00767CD0" w:rsidRPr="00C51AE9" w:rsidRDefault="00C51AE9">
      <w:pPr>
        <w:spacing w:after="0"/>
        <w:ind w:left="720" w:hanging="270"/>
        <w:jc w:val="both"/>
        <w:rPr>
          <w:rFonts w:ascii="Times New Roman" w:hAnsi="Times New Roman" w:cs="Times New Roman"/>
        </w:rPr>
      </w:pPr>
      <w:r w:rsidRPr="00C51AE9">
        <w:rPr>
          <w:rFonts w:ascii="Times New Roman" w:hAnsi="Times New Roman" w:cs="Times New Roman"/>
        </w:rPr>
        <w:t>d. është në gjendje të zbrazet, shkarkohet, rimbushet ose ringarkohet duke ruajtur cilësinë dhe sigurinë e produktit të ambalazhuar, si dhe duke garantuar përputhshmërinë me kërkesat e sigurisë ushqimore dhe higjienës;</w:t>
      </w:r>
    </w:p>
    <w:p w14:paraId="12B71524" w14:textId="77777777" w:rsidR="00767CD0" w:rsidRPr="00C51AE9" w:rsidRDefault="00C51AE9">
      <w:pPr>
        <w:spacing w:after="0"/>
        <w:ind w:left="810" w:hanging="360"/>
        <w:jc w:val="both"/>
        <w:rPr>
          <w:rFonts w:ascii="Times New Roman" w:hAnsi="Times New Roman" w:cs="Times New Roman"/>
        </w:rPr>
      </w:pPr>
      <w:r w:rsidRPr="00C51AE9">
        <w:rPr>
          <w:rFonts w:ascii="Times New Roman" w:hAnsi="Times New Roman" w:cs="Times New Roman"/>
        </w:rPr>
        <w:t xml:space="preserve">dh. është në gjendje të </w:t>
      </w:r>
      <w:proofErr w:type="spellStart"/>
      <w:r w:rsidRPr="00C51AE9">
        <w:rPr>
          <w:rFonts w:ascii="Times New Roman" w:hAnsi="Times New Roman" w:cs="Times New Roman"/>
        </w:rPr>
        <w:t>rifunksionalizohet</w:t>
      </w:r>
      <w:proofErr w:type="spellEnd"/>
      <w:r w:rsidRPr="00C51AE9">
        <w:rPr>
          <w:rFonts w:ascii="Times New Roman" w:hAnsi="Times New Roman" w:cs="Times New Roman"/>
        </w:rPr>
        <w:t xml:space="preserve"> në përputhje me Pjesën B të Shtojcës VI të këtij vendimi, duke ruajtur aftësinë për të kryer funksionin e synuar;</w:t>
      </w:r>
    </w:p>
    <w:p w14:paraId="14B2CED6" w14:textId="77777777" w:rsidR="00767CD0" w:rsidRPr="00C51AE9" w:rsidRDefault="00C51AE9">
      <w:pPr>
        <w:tabs>
          <w:tab w:val="left" w:pos="450"/>
        </w:tabs>
        <w:spacing w:after="0"/>
        <w:ind w:left="720" w:hanging="270"/>
        <w:jc w:val="both"/>
        <w:rPr>
          <w:rFonts w:ascii="Times New Roman" w:hAnsi="Times New Roman" w:cs="Times New Roman"/>
        </w:rPr>
      </w:pPr>
      <w:r w:rsidRPr="00C51AE9">
        <w:rPr>
          <w:rFonts w:ascii="Times New Roman" w:hAnsi="Times New Roman" w:cs="Times New Roman"/>
        </w:rPr>
        <w:t xml:space="preserve">e. lejon vendosjen e etiketave dhe dhënien e informacionit mbi vetitë e produktit dhe mbi vetë ambalazhin përfshirë udhëzimet për sigurinë, përdorimin e duhur, </w:t>
      </w:r>
      <w:proofErr w:type="spellStart"/>
      <w:r w:rsidRPr="00C51AE9">
        <w:rPr>
          <w:rFonts w:ascii="Times New Roman" w:hAnsi="Times New Roman" w:cs="Times New Roman"/>
        </w:rPr>
        <w:t>gjurmueshmërinë</w:t>
      </w:r>
      <w:proofErr w:type="spellEnd"/>
      <w:r w:rsidRPr="00C51AE9">
        <w:rPr>
          <w:rFonts w:ascii="Times New Roman" w:hAnsi="Times New Roman" w:cs="Times New Roman"/>
        </w:rPr>
        <w:t xml:space="preserve"> dhe afatin e ruajtjes;</w:t>
      </w:r>
    </w:p>
    <w:p w14:paraId="2AB5A988" w14:textId="77777777" w:rsidR="00767CD0" w:rsidRPr="00C51AE9" w:rsidRDefault="00C51AE9">
      <w:pPr>
        <w:tabs>
          <w:tab w:val="left" w:pos="540"/>
        </w:tabs>
        <w:spacing w:after="0"/>
        <w:ind w:left="720" w:hanging="270"/>
        <w:jc w:val="both"/>
        <w:rPr>
          <w:rFonts w:ascii="Times New Roman" w:hAnsi="Times New Roman" w:cs="Times New Roman"/>
        </w:rPr>
      </w:pPr>
      <w:r w:rsidRPr="00C51AE9">
        <w:rPr>
          <w:rFonts w:ascii="Times New Roman" w:hAnsi="Times New Roman" w:cs="Times New Roman"/>
        </w:rPr>
        <w:t>ë. mund të zbrazet, shkarkohet, rimbushet ose ringarkohet pa risk për shëndetin dhe sigurinë e personave përgjegjës për kryerjen e këtyre proceseve;</w:t>
      </w:r>
    </w:p>
    <w:p w14:paraId="16358C51" w14:textId="77777777" w:rsidR="00767CD0" w:rsidRPr="00C51AE9" w:rsidRDefault="00C51AE9">
      <w:pPr>
        <w:tabs>
          <w:tab w:val="left" w:pos="720"/>
        </w:tabs>
        <w:spacing w:after="0"/>
        <w:ind w:left="720" w:hanging="270"/>
        <w:jc w:val="both"/>
        <w:rPr>
          <w:rFonts w:ascii="Times New Roman" w:hAnsi="Times New Roman" w:cs="Times New Roman"/>
        </w:rPr>
      </w:pPr>
      <w:r w:rsidRPr="00C51AE9">
        <w:rPr>
          <w:rFonts w:ascii="Times New Roman" w:hAnsi="Times New Roman" w:cs="Times New Roman"/>
        </w:rPr>
        <w:t xml:space="preserve">f. përmbush kërkesat specifike për ambalazhet e </w:t>
      </w:r>
      <w:proofErr w:type="spellStart"/>
      <w:r w:rsidRPr="00C51AE9">
        <w:rPr>
          <w:rFonts w:ascii="Times New Roman" w:hAnsi="Times New Roman" w:cs="Times New Roman"/>
        </w:rPr>
        <w:t>riciklueshme</w:t>
      </w:r>
      <w:proofErr w:type="spellEnd"/>
      <w:r w:rsidRPr="00C51AE9">
        <w:rPr>
          <w:rFonts w:ascii="Times New Roman" w:hAnsi="Times New Roman" w:cs="Times New Roman"/>
        </w:rPr>
        <w:t xml:space="preserve"> të përcaktuara në nenin 12 të këtij vendimi, me qëllim që të riciklohet kur të kthehet në mbetje.</w:t>
      </w:r>
    </w:p>
    <w:p w14:paraId="1F54C4F6" w14:textId="77777777" w:rsidR="00767CD0" w:rsidRPr="00C51AE9" w:rsidRDefault="00C51AE9" w:rsidP="00F635BF">
      <w:pPr>
        <w:numPr>
          <w:ilvl w:val="0"/>
          <w:numId w:val="155"/>
        </w:numPr>
        <w:spacing w:after="0"/>
        <w:ind w:left="360"/>
        <w:contextualSpacing/>
        <w:jc w:val="both"/>
        <w:rPr>
          <w:rFonts w:ascii="Times New Roman" w:hAnsi="Times New Roman" w:cs="Times New Roman"/>
        </w:rPr>
      </w:pPr>
      <w:r w:rsidRPr="00C51AE9">
        <w:rPr>
          <w:rFonts w:ascii="Times New Roman" w:hAnsi="Times New Roman" w:cs="Times New Roman"/>
        </w:rPr>
        <w:t>Për qëllimet e shkronjës "a" të pikës 1 të këtij neni, numri minimal i cikleve të përdorimit për formatet e ambalazheve që përdoren më shpesh në skemat e ripërdorimit, përcaktohet me udhëzim të ministrit përgjegjës për mjedisin, duke marrë në konsideratë kërkesat e higjienës dhe të sigurisë ushqimore, kërkesat logjistike, kërkesat e Shtojcës VI të këtij vendimi dhe aktet përkatëse të Bashkimit Evropian.</w:t>
      </w:r>
    </w:p>
    <w:p w14:paraId="1214DA6D" w14:textId="77777777" w:rsidR="00767CD0" w:rsidRPr="00C51AE9" w:rsidRDefault="00C51AE9" w:rsidP="00F635BF">
      <w:pPr>
        <w:numPr>
          <w:ilvl w:val="0"/>
          <w:numId w:val="155"/>
        </w:numPr>
        <w:spacing w:after="0"/>
        <w:ind w:left="360"/>
        <w:contextualSpacing/>
        <w:jc w:val="both"/>
        <w:rPr>
          <w:rFonts w:ascii="Times New Roman" w:hAnsi="Times New Roman" w:cs="Times New Roman"/>
        </w:rPr>
      </w:pPr>
      <w:r w:rsidRPr="00C51AE9">
        <w:rPr>
          <w:rFonts w:ascii="Times New Roman" w:hAnsi="Times New Roman" w:cs="Times New Roman"/>
        </w:rPr>
        <w:lastRenderedPageBreak/>
        <w:t>Përputhshmëria me kërkesat e përcaktuara në pikën 1 të këtij neni dokumentohet nëpërmjet dokumentacionit teknik që shoqëron ambalazhin, sipas përcaktimeve të Shtojcës VII të këtij vendimi.</w:t>
      </w:r>
      <w:bookmarkStart w:id="17" w:name="_Toc227317610"/>
    </w:p>
    <w:p w14:paraId="450C3EE5" w14:textId="77777777" w:rsidR="00767CD0" w:rsidRPr="00C51AE9" w:rsidRDefault="00767CD0">
      <w:pPr>
        <w:jc w:val="center"/>
        <w:rPr>
          <w:rFonts w:ascii="Times New Roman" w:hAnsi="Times New Roman" w:cs="Times New Roman"/>
          <w:b/>
          <w:bCs/>
          <w:w w:val="90"/>
        </w:rPr>
      </w:pPr>
    </w:p>
    <w:p w14:paraId="01D5B2FC"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KREU III</w:t>
      </w:r>
    </w:p>
    <w:p w14:paraId="7E400E36"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 xml:space="preserve">ETIKETIMI, MARKIMI, INFORMACIONI DHE KËRKESAT PËR </w:t>
      </w:r>
      <w:bookmarkEnd w:id="17"/>
      <w:r w:rsidRPr="00C51AE9">
        <w:rPr>
          <w:rFonts w:ascii="Times New Roman" w:hAnsi="Times New Roman" w:cs="Times New Roman"/>
          <w:b/>
          <w:bCs/>
        </w:rPr>
        <w:t>GJURMUESHMËRI,</w:t>
      </w:r>
      <w:bookmarkStart w:id="18" w:name="_Toc227317611"/>
    </w:p>
    <w:p w14:paraId="7A6E3550"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18</w:t>
      </w:r>
      <w:bookmarkEnd w:id="18"/>
    </w:p>
    <w:p w14:paraId="71002D07"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Kërkesat për etiketimin e ambalazheve</w:t>
      </w:r>
    </w:p>
    <w:p w14:paraId="2ECC6632"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Ambalazhi i hedhur në treg shënohet me një etiketë të harmonizuar, e cila duhet të përmbajë informacion mbi përbërjen materiale të tij, me qëllim lehtësimin e ndarjes së mbetjeve nga konsumatori. Etiketa bazohet në </w:t>
      </w:r>
      <w:proofErr w:type="spellStart"/>
      <w:r w:rsidRPr="00C51AE9">
        <w:rPr>
          <w:rFonts w:ascii="Times New Roman" w:hAnsi="Times New Roman" w:cs="Times New Roman"/>
        </w:rPr>
        <w:t>piktograma</w:t>
      </w:r>
      <w:proofErr w:type="spellEnd"/>
      <w:r w:rsidRPr="00C51AE9">
        <w:rPr>
          <w:rFonts w:ascii="Times New Roman" w:hAnsi="Times New Roman" w:cs="Times New Roman"/>
        </w:rPr>
        <w:t xml:space="preserve"> dhe duhet të jetë lehtësisht e kuptueshme, përfshirë edhe personat me aftësi të kufizuara.</w:t>
      </w:r>
    </w:p>
    <w:p w14:paraId="7279615B"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Për ambalazhet e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etiketa specifikon qartë se:</w:t>
      </w:r>
    </w:p>
    <w:p w14:paraId="3598CE0E" w14:textId="77777777" w:rsidR="00767CD0" w:rsidRPr="00C51AE9" w:rsidRDefault="00C51AE9" w:rsidP="00F635BF">
      <w:pPr>
        <w:numPr>
          <w:ilvl w:val="1"/>
          <w:numId w:val="175"/>
        </w:numPr>
        <w:spacing w:after="0"/>
        <w:contextualSpacing/>
        <w:jc w:val="both"/>
        <w:rPr>
          <w:rFonts w:ascii="Times New Roman" w:hAnsi="Times New Roman" w:cs="Times New Roman"/>
        </w:rPr>
      </w:pPr>
      <w:r w:rsidRPr="00C51AE9">
        <w:rPr>
          <w:rFonts w:ascii="Times New Roman" w:hAnsi="Times New Roman" w:cs="Times New Roman"/>
        </w:rPr>
        <w:t xml:space="preserve">materiali është i </w:t>
      </w:r>
      <w:proofErr w:type="spellStart"/>
      <w:r w:rsidRPr="00C51AE9">
        <w:rPr>
          <w:rFonts w:ascii="Times New Roman" w:hAnsi="Times New Roman" w:cs="Times New Roman"/>
        </w:rPr>
        <w:t>kompostueshëm</w:t>
      </w:r>
      <w:proofErr w:type="spellEnd"/>
      <w:r w:rsidRPr="00C51AE9">
        <w:rPr>
          <w:rFonts w:ascii="Times New Roman" w:hAnsi="Times New Roman" w:cs="Times New Roman"/>
        </w:rPr>
        <w:t>;</w:t>
      </w:r>
    </w:p>
    <w:p w14:paraId="4225BB70" w14:textId="77777777" w:rsidR="00767CD0" w:rsidRPr="00C51AE9" w:rsidRDefault="00C51AE9" w:rsidP="00F635BF">
      <w:pPr>
        <w:numPr>
          <w:ilvl w:val="1"/>
          <w:numId w:val="175"/>
        </w:numPr>
        <w:spacing w:after="0"/>
        <w:contextualSpacing/>
        <w:jc w:val="both"/>
        <w:rPr>
          <w:rFonts w:ascii="Times New Roman" w:hAnsi="Times New Roman" w:cs="Times New Roman"/>
        </w:rPr>
      </w:pPr>
      <w:r w:rsidRPr="00C51AE9">
        <w:rPr>
          <w:rFonts w:ascii="Times New Roman" w:hAnsi="Times New Roman" w:cs="Times New Roman"/>
        </w:rPr>
        <w:t>nuk është i përshtatshëm për kompostim në shtëpi;</w:t>
      </w:r>
    </w:p>
    <w:p w14:paraId="3C94950C" w14:textId="77777777" w:rsidR="00767CD0" w:rsidRPr="00C51AE9" w:rsidRDefault="00C51AE9" w:rsidP="00F635BF">
      <w:pPr>
        <w:numPr>
          <w:ilvl w:val="1"/>
          <w:numId w:val="175"/>
        </w:numPr>
        <w:spacing w:after="0"/>
        <w:contextualSpacing/>
        <w:jc w:val="both"/>
        <w:rPr>
          <w:rFonts w:ascii="Times New Roman" w:hAnsi="Times New Roman" w:cs="Times New Roman"/>
        </w:rPr>
      </w:pPr>
      <w:r w:rsidRPr="00C51AE9">
        <w:rPr>
          <w:rFonts w:ascii="Times New Roman" w:hAnsi="Times New Roman" w:cs="Times New Roman"/>
        </w:rPr>
        <w:t>ndalohet hedhja e ambalazhit në natyrë.</w:t>
      </w:r>
    </w:p>
    <w:p w14:paraId="2B26D3A3"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Detyrimet e pikave 1 dhe 2 nuk zbatohen për ambalazhet e transportit (me përjashtim të ambalazheve të tregtisë elektronike) ose për ambalazhet që u nënshtrohen sistemeve të Sistemit të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w:t>
      </w:r>
    </w:p>
    <w:p w14:paraId="0B91EBBC"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Ministria përgjegjëse për mjedisin miraton me udhëzim metodologjinë për identifikimin e përbërjes materiale të ambalazhit, nëpërmjet teknologjive të standardizuara dhe të hapura të identifikimit digjital. Kjo metodologji përfshin ambalazhet e përbëra (kompozite), si dhe komponentët e integruar ose të veçuar të tyre. Metodologjia siguron që informacioni të jetë i lexueshëm me pajisje të zakonshme, pa pagesë për përdoruesin fundor, dhe të jetë në përputhje me aktet përkatëse zbatuese të Bashkimit Evropian.</w:t>
      </w:r>
    </w:p>
    <w:p w14:paraId="780D44C4"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Ambalazhi i hedhur në treg që përmban substanca shqetësuese, shënohet nëpërmjet teknologjive të standardizuara dhe të hapura të identifikim digjital. Shënjimi përfshin të paktën emrin dhe përqendrimin e substancës shqetësuese të pranishme në secilin material të njësisë së ambalazhit.</w:t>
      </w:r>
    </w:p>
    <w:p w14:paraId="3013F942"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Përveç etiketës së harmonizuar, operatorët ekonomikë mund të vendosin një kod QR ose një lloj tjetër mbajtësi të standardizuar e të hapur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digjitale, i cili jep informacion mbi </w:t>
      </w:r>
      <w:proofErr w:type="spellStart"/>
      <w:r w:rsidRPr="00C51AE9">
        <w:rPr>
          <w:rFonts w:ascii="Times New Roman" w:hAnsi="Times New Roman" w:cs="Times New Roman"/>
        </w:rPr>
        <w:t>destinacionin</w:t>
      </w:r>
      <w:proofErr w:type="spellEnd"/>
      <w:r w:rsidRPr="00C51AE9">
        <w:rPr>
          <w:rFonts w:ascii="Times New Roman" w:hAnsi="Times New Roman" w:cs="Times New Roman"/>
        </w:rPr>
        <w:t xml:space="preserve"> e secilit komponent të veçantë të ambalazhit, për të lehtësuar ndarjen nga konsumatori.</w:t>
      </w:r>
    </w:p>
    <w:p w14:paraId="094E1BBE"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Ambalazhi që i nënshtrohet sistemeve të depozitimit dhe kthimit shënohet me një etiketë të qartë, të dukshme dhe të </w:t>
      </w:r>
      <w:proofErr w:type="spellStart"/>
      <w:r w:rsidRPr="00C51AE9">
        <w:rPr>
          <w:rFonts w:ascii="Times New Roman" w:hAnsi="Times New Roman" w:cs="Times New Roman"/>
        </w:rPr>
        <w:t>pangatërrueshme</w:t>
      </w:r>
      <w:proofErr w:type="spellEnd"/>
      <w:r w:rsidRPr="00C51AE9">
        <w:rPr>
          <w:rFonts w:ascii="Times New Roman" w:hAnsi="Times New Roman" w:cs="Times New Roman"/>
        </w:rPr>
        <w:t>, e cila specifikon përfshirjen në këtë skemë.</w:t>
      </w:r>
    </w:p>
    <w:p w14:paraId="148AF56F"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Ambalazhi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i hedhur në treg duhet të mbajë një etiketë që informon përdoruesit për </w:t>
      </w:r>
      <w:proofErr w:type="spellStart"/>
      <w:r w:rsidRPr="00C51AE9">
        <w:rPr>
          <w:rFonts w:ascii="Times New Roman" w:hAnsi="Times New Roman" w:cs="Times New Roman"/>
        </w:rPr>
        <w:t>ripërdorshmërinë</w:t>
      </w:r>
      <w:proofErr w:type="spellEnd"/>
      <w:r w:rsidRPr="00C51AE9">
        <w:rPr>
          <w:rFonts w:ascii="Times New Roman" w:hAnsi="Times New Roman" w:cs="Times New Roman"/>
        </w:rPr>
        <w:t xml:space="preserve"> e tij. Informacione të mëtejshme mbi </w:t>
      </w:r>
      <w:proofErr w:type="spellStart"/>
      <w:r w:rsidRPr="00C51AE9">
        <w:rPr>
          <w:rFonts w:ascii="Times New Roman" w:hAnsi="Times New Roman" w:cs="Times New Roman"/>
        </w:rPr>
        <w:t>disponueshmërinë</w:t>
      </w:r>
      <w:proofErr w:type="spellEnd"/>
      <w:r w:rsidRPr="00C51AE9">
        <w:rPr>
          <w:rFonts w:ascii="Times New Roman" w:hAnsi="Times New Roman" w:cs="Times New Roman"/>
        </w:rPr>
        <w:t xml:space="preserve"> e skemës së ripërdorimit në shkallë kombëtare, pikat e grumbullimit dhe </w:t>
      </w:r>
      <w:proofErr w:type="spellStart"/>
      <w:r w:rsidRPr="00C51AE9">
        <w:rPr>
          <w:rFonts w:ascii="Times New Roman" w:hAnsi="Times New Roman" w:cs="Times New Roman"/>
        </w:rPr>
        <w:t>gjurmueshmërinë</w:t>
      </w:r>
      <w:proofErr w:type="spellEnd"/>
      <w:r w:rsidRPr="00C51AE9">
        <w:rPr>
          <w:rFonts w:ascii="Times New Roman" w:hAnsi="Times New Roman" w:cs="Times New Roman"/>
        </w:rPr>
        <w:t xml:space="preserve"> (cikleve të përdorimit dhe riciklimit), vihen në dispozicion përmes një kodi QR ose bartësi tjetër digjital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Ambalazhi </w:t>
      </w:r>
      <w:r w:rsidRPr="00C51AE9">
        <w:rPr>
          <w:rFonts w:ascii="Times New Roman" w:hAnsi="Times New Roman" w:cs="Times New Roman"/>
        </w:rPr>
        <w:lastRenderedPageBreak/>
        <w:t xml:space="preserve">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i shitjes duhet të dallohet qartë nga ambalazhi një përdorimesh në pikën e tregtimit.</w:t>
      </w:r>
    </w:p>
    <w:p w14:paraId="31F659A6"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Qeset plastike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dhe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xml:space="preserve"> vendosen në treg vetëm nëse janë të pajisura me etiketa ose shenja identifikuese që mundësojnë dallimin e qartë të vetive të tyre dhe informimin e saktë të konsumatorëve.</w:t>
      </w:r>
    </w:p>
    <w:p w14:paraId="52DA033B"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Kërkesa për të mbajtur një etiketë dhe kod QR sipas pikës 8 të këtij neni, nuk zbatohet për sistemet e ripërdorimit me qark të hapur të cilat nuk kanë një operator të dedikuar sistemi në përputhje me Shtojcën VI të këtij vendimi.</w:t>
      </w:r>
    </w:p>
    <w:p w14:paraId="10BAC4AE"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Etiketat, kodet QR ose bartësit e tjerë digjitalë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vendosen, shtypen ose gdhenden në mënyrë të dukshme, të lexueshme dhe të qëndrueshme mbi ambalazh. Ky informacion duhet të jetë i </w:t>
      </w:r>
      <w:proofErr w:type="spellStart"/>
      <w:r w:rsidRPr="00C51AE9">
        <w:rPr>
          <w:rFonts w:ascii="Times New Roman" w:hAnsi="Times New Roman" w:cs="Times New Roman"/>
        </w:rPr>
        <w:t>aksesueshëm</w:t>
      </w:r>
      <w:proofErr w:type="spellEnd"/>
      <w:r w:rsidRPr="00C51AE9">
        <w:rPr>
          <w:rFonts w:ascii="Times New Roman" w:hAnsi="Times New Roman" w:cs="Times New Roman"/>
        </w:rPr>
        <w:t xml:space="preserve"> për përdoruesin fundor përpara blerjes edhe gjatë shitjeve </w:t>
      </w:r>
      <w:proofErr w:type="spellStart"/>
      <w:r w:rsidRPr="00C51AE9">
        <w:rPr>
          <w:rFonts w:ascii="Times New Roman" w:hAnsi="Times New Roman" w:cs="Times New Roman"/>
        </w:rPr>
        <w:t>online</w:t>
      </w:r>
      <w:proofErr w:type="spellEnd"/>
      <w:r w:rsidRPr="00C51AE9">
        <w:rPr>
          <w:rFonts w:ascii="Times New Roman" w:hAnsi="Times New Roman" w:cs="Times New Roman"/>
        </w:rPr>
        <w:t xml:space="preserve"> dhe ofrohet detyrimisht në gjuhën shqipe.</w:t>
      </w:r>
    </w:p>
    <w:p w14:paraId="6817FD4F"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Kur vendosja e etiketës direkt mbi ambalazh është e pamundur për shkak të natyrës apo madhësisë së tij, ajo vendoset mbi ambalazhin e grupuar. Për grupet </w:t>
      </w:r>
      <w:proofErr w:type="spellStart"/>
      <w:r w:rsidRPr="00C51AE9">
        <w:rPr>
          <w:rFonts w:ascii="Times New Roman" w:hAnsi="Times New Roman" w:cs="Times New Roman"/>
        </w:rPr>
        <w:t>vulnerabël</w:t>
      </w:r>
      <w:proofErr w:type="spellEnd"/>
      <w:r w:rsidRPr="00C51AE9">
        <w:rPr>
          <w:rFonts w:ascii="Times New Roman" w:hAnsi="Times New Roman" w:cs="Times New Roman"/>
        </w:rPr>
        <w:t xml:space="preserve">, veçanërisht personat me dëmtim të shikimit, informacioni jepet nëpërmjet një kodi të lexueshëm </w:t>
      </w:r>
      <w:proofErr w:type="spellStart"/>
      <w:r w:rsidRPr="00C51AE9">
        <w:rPr>
          <w:rFonts w:ascii="Times New Roman" w:hAnsi="Times New Roman" w:cs="Times New Roman"/>
        </w:rPr>
        <w:t>elektronikisht</w:t>
      </w:r>
      <w:proofErr w:type="spellEnd"/>
      <w:r w:rsidRPr="00C51AE9">
        <w:rPr>
          <w:rFonts w:ascii="Times New Roman" w:hAnsi="Times New Roman" w:cs="Times New Roman"/>
        </w:rPr>
        <w:t xml:space="preserve"> i cili duhet të jetë i rrethuar nga një kornizë në reliev ose i shoqëruar me shkrim </w:t>
      </w:r>
      <w:proofErr w:type="spellStart"/>
      <w:r w:rsidRPr="00C51AE9">
        <w:rPr>
          <w:rFonts w:ascii="Times New Roman" w:hAnsi="Times New Roman" w:cs="Times New Roman"/>
          <w:i/>
          <w:iCs/>
        </w:rPr>
        <w:t>Braille</w:t>
      </w:r>
      <w:proofErr w:type="spellEnd"/>
      <w:r w:rsidRPr="00C51AE9">
        <w:rPr>
          <w:rFonts w:ascii="Times New Roman" w:hAnsi="Times New Roman" w:cs="Times New Roman"/>
        </w:rPr>
        <w:t xml:space="preserve"> për gjetjen e tij me prekje, ose me mjete të tjera audio-vizuale.</w:t>
      </w:r>
    </w:p>
    <w:p w14:paraId="7B5D9F14"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Kur informacioni jepet me mjete elektronike (kod QR/shënjim digjital), zbatohen kushtet e mëposhtme:</w:t>
      </w:r>
    </w:p>
    <w:p w14:paraId="51ACCB3C" w14:textId="77777777" w:rsidR="00767CD0" w:rsidRPr="00C51AE9" w:rsidRDefault="00C51AE9">
      <w:pPr>
        <w:spacing w:after="0"/>
        <w:ind w:left="810" w:hanging="90"/>
        <w:jc w:val="both"/>
        <w:rPr>
          <w:rFonts w:ascii="Times New Roman" w:hAnsi="Times New Roman" w:cs="Times New Roman"/>
        </w:rPr>
      </w:pPr>
      <w:r w:rsidRPr="00C51AE9">
        <w:rPr>
          <w:rFonts w:ascii="Times New Roman" w:hAnsi="Times New Roman" w:cs="Times New Roman"/>
        </w:rPr>
        <w:t xml:space="preserve">a. mblidhen vetëm të dhëna personale që janë të mjaftueshme dhe të domosdoshme për t'i siguruar përdoruesit </w:t>
      </w:r>
      <w:proofErr w:type="spellStart"/>
      <w:r w:rsidRPr="00C51AE9">
        <w:rPr>
          <w:rFonts w:ascii="Times New Roman" w:hAnsi="Times New Roman" w:cs="Times New Roman"/>
        </w:rPr>
        <w:t>akses</w:t>
      </w:r>
      <w:proofErr w:type="spellEnd"/>
      <w:r w:rsidRPr="00C51AE9">
        <w:rPr>
          <w:rFonts w:ascii="Times New Roman" w:hAnsi="Times New Roman" w:cs="Times New Roman"/>
        </w:rPr>
        <w:t xml:space="preserve"> në informacionin e përputhshmërisë;</w:t>
      </w:r>
    </w:p>
    <w:p w14:paraId="6CFD9822" w14:textId="77777777" w:rsidR="00767CD0" w:rsidRPr="00C51AE9" w:rsidRDefault="00C51AE9">
      <w:pPr>
        <w:spacing w:after="0"/>
        <w:ind w:left="810" w:hanging="90"/>
        <w:jc w:val="both"/>
        <w:rPr>
          <w:rFonts w:ascii="Times New Roman" w:hAnsi="Times New Roman" w:cs="Times New Roman"/>
        </w:rPr>
      </w:pPr>
      <w:r w:rsidRPr="00C51AE9">
        <w:rPr>
          <w:rFonts w:ascii="Times New Roman" w:hAnsi="Times New Roman" w:cs="Times New Roman"/>
        </w:rPr>
        <w:t>b. informacioni i detyrueshëm ligjor nuk duhet të shfaqet apo të bashkëngjitet me informacione të destinuara për qëllime shitjeje, reklame ose marketingu.</w:t>
      </w:r>
    </w:p>
    <w:p w14:paraId="57C23A4D" w14:textId="77777777" w:rsidR="00767CD0" w:rsidRPr="00C51AE9" w:rsidRDefault="00C51AE9" w:rsidP="00F635BF">
      <w:pPr>
        <w:numPr>
          <w:ilvl w:val="0"/>
          <w:numId w:val="175"/>
        </w:numPr>
        <w:spacing w:after="0"/>
        <w:contextualSpacing/>
        <w:rPr>
          <w:rFonts w:ascii="Times New Roman" w:hAnsi="Times New Roman" w:cs="Times New Roman"/>
        </w:rPr>
      </w:pPr>
      <w:r w:rsidRPr="00C51AE9">
        <w:rPr>
          <w:rFonts w:ascii="Times New Roman" w:hAnsi="Times New Roman" w:cs="Times New Roman"/>
        </w:rPr>
        <w:t>Në rastet kur informacioni mbi produktin dhe ai mbi ambalazhin kërkohet të jepen në rrugë elektronike, përdoret një kod i vetëm digjital i përbashkët (kod QR), brenda të cilit të dyja llojet e informacioneve ndahen dhe dallohen lehtësisht nga njëra-tjetra.</w:t>
      </w:r>
    </w:p>
    <w:p w14:paraId="51436FD1"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Ministria përgjegjëse për mjedisin përcakton me udhëzimin specifikimet teknike të harmonizuara, formatet e etiketimit dhe kërkesat e afisheve digjitale për zbatimin e këtij neni. Udhëzimi bazohet në kërkesat e pikave 1 deri në 14 të këtij neni dhe në specifikimet e etiketës së harmonizuar të miratuara në nivel të Bashkimit Evropian, duke siguruar që etiketa të jetë e kuptueshme lehtësisht, përfshirë për personat me aftësi të kufizuara.</w:t>
      </w:r>
    </w:p>
    <w:p w14:paraId="23258895"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Ndalohet shfaqja e etiketave, simboleve apo shenjave që imitojnë etiketat e harmonizuara zyrtare të miratuara në këtë vendim. Çdo pretendim vullnetar mjedisor për qëndrueshmërinë me bazë biologjike, i </w:t>
      </w:r>
      <w:proofErr w:type="spellStart"/>
      <w:r w:rsidRPr="00C51AE9">
        <w:rPr>
          <w:rFonts w:ascii="Times New Roman" w:hAnsi="Times New Roman" w:cs="Times New Roman"/>
        </w:rPr>
        <w:t>biodegradueshëm</w:t>
      </w:r>
      <w:proofErr w:type="spellEnd"/>
      <w:r w:rsidRPr="00C51AE9">
        <w:rPr>
          <w:rFonts w:ascii="Times New Roman" w:hAnsi="Times New Roman" w:cs="Times New Roman"/>
        </w:rPr>
        <w:t xml:space="preserve"> duhet të bazohet në prova shkencore dhe të certifikohet sipas standardeve të harmonizuara.</w:t>
      </w:r>
    </w:p>
    <w:p w14:paraId="71F585EE"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Ambalazhet e përfshira në skemën e Përgjegjësisë së Zgjeruar të Prodhuesit identifikohen në të gjithë territorin e Republikës së Shqipërisë nëpërmjet një simboli përkatës të integruar në kodin QR ose në teknologjinë e identifikimit digjital, i cili vërteton se prodhuesi përmbush detyrimet mjedisore. Ky simbol nuk duhet të çorientojë konsumatorin mbi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ambalazhit.</w:t>
      </w:r>
    </w:p>
    <w:p w14:paraId="731FF870"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Ambalazhet e mbuluara nga Sistemi i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 i ndryshëm nga ai i parashikuar në rrjetet kombëtare, identifikohen me një simbol unik në të gjithë territorin e Shqipërisë. Për qëllime të qarkullimit tregtar, lejohet edhe vendosja e </w:t>
      </w:r>
      <w:r w:rsidRPr="00C51AE9">
        <w:rPr>
          <w:rFonts w:ascii="Times New Roman" w:hAnsi="Times New Roman" w:cs="Times New Roman"/>
        </w:rPr>
        <w:lastRenderedPageBreak/>
        <w:t>etiketave apo simboleve që lidhen me sistemet e depozitës dhe kthimit në fuqi në shtetet anëtare të Bashkimit Evropian.</w:t>
      </w:r>
    </w:p>
    <w:p w14:paraId="2C8ADFFE"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 xml:space="preserve">Kërkesat e këtij neni nuk zbatohen për ambalazhin parësor dhe të jashtëm të barnave për përdorim human ose të barnave veterinare, sipas përcaktimeve të legjislacionit në fuqi për tregtimin e barnave, ndryshimet në autorizimin për tregtim dhe </w:t>
      </w:r>
      <w:proofErr w:type="spellStart"/>
      <w:r w:rsidRPr="00C51AE9">
        <w:rPr>
          <w:rFonts w:ascii="Times New Roman" w:hAnsi="Times New Roman" w:cs="Times New Roman"/>
        </w:rPr>
        <w:t>farmako</w:t>
      </w:r>
      <w:proofErr w:type="spellEnd"/>
      <w:r w:rsidRPr="00C51AE9">
        <w:rPr>
          <w:rFonts w:ascii="Times New Roman" w:hAnsi="Times New Roman" w:cs="Times New Roman"/>
        </w:rPr>
        <w:t xml:space="preserve">- vigjilencën”, dhe legjislacionit në fuqi për shërbimin veterinar, nëse hapësira në ambalazh është e pamjaftueshme për shkak të kërkesave </w:t>
      </w:r>
      <w:proofErr w:type="spellStart"/>
      <w:r w:rsidRPr="00C51AE9">
        <w:rPr>
          <w:rFonts w:ascii="Times New Roman" w:hAnsi="Times New Roman" w:cs="Times New Roman"/>
        </w:rPr>
        <w:t>prioritare</w:t>
      </w:r>
      <w:proofErr w:type="spellEnd"/>
      <w:r w:rsidRPr="00C51AE9">
        <w:rPr>
          <w:rFonts w:ascii="Times New Roman" w:hAnsi="Times New Roman" w:cs="Times New Roman"/>
        </w:rPr>
        <w:t xml:space="preserve"> të sigurisë farmaceutike, ose nëse ky etiketim rrezikon përdorimin e sigurt të barit.</w:t>
      </w:r>
    </w:p>
    <w:p w14:paraId="66BFDE20" w14:textId="77777777" w:rsidR="00767CD0" w:rsidRPr="00C51AE9" w:rsidRDefault="00C51AE9" w:rsidP="00F635BF">
      <w:pPr>
        <w:numPr>
          <w:ilvl w:val="0"/>
          <w:numId w:val="175"/>
        </w:numPr>
        <w:spacing w:after="0"/>
        <w:contextualSpacing/>
        <w:jc w:val="both"/>
        <w:rPr>
          <w:rFonts w:ascii="Times New Roman" w:hAnsi="Times New Roman" w:cs="Times New Roman"/>
        </w:rPr>
      </w:pPr>
      <w:r w:rsidRPr="00C51AE9">
        <w:rPr>
          <w:rFonts w:ascii="Times New Roman" w:hAnsi="Times New Roman" w:cs="Times New Roman"/>
        </w:rPr>
        <w:t>Ambalazhet që prodhohen në Republikën e Shqipërisë ose importohen përpara datës së zbatimit të kërkesave të këtij neni, dhe që nuk përputhen me kriteret e etiketimit të përcaktuara në këtë vendim, mund të hidhen dhe të lihen në dispozicion në treg për një periudhë kalimtare deri në 3 (tre) vjet nga data e hyrjes në fuqi të kërkesës përkatëse të etiketimit.</w:t>
      </w:r>
    </w:p>
    <w:p w14:paraId="69B95D12" w14:textId="77777777" w:rsidR="00767CD0" w:rsidRPr="00C51AE9" w:rsidRDefault="00C51AE9" w:rsidP="00F635BF">
      <w:pPr>
        <w:numPr>
          <w:ilvl w:val="0"/>
          <w:numId w:val="175"/>
        </w:numPr>
        <w:contextualSpacing/>
        <w:jc w:val="both"/>
        <w:rPr>
          <w:rFonts w:ascii="Times New Roman" w:hAnsi="Times New Roman" w:cs="Times New Roman"/>
        </w:rPr>
      </w:pPr>
      <w:r w:rsidRPr="00C51AE9">
        <w:rPr>
          <w:rFonts w:ascii="Times New Roman" w:hAnsi="Times New Roman" w:cs="Times New Roman"/>
        </w:rPr>
        <w:t xml:space="preserve">Etiketa që përmban informacion për pjesën e përmbajtjes së ricikluar në ambalazhin për të cilin zbatohet neni 13 i këtij vendimi, si dhe kodi QR ose bartësi tjetër </w:t>
      </w:r>
      <w:proofErr w:type="spellStart"/>
      <w:r w:rsidRPr="00C51AE9">
        <w:rPr>
          <w:rFonts w:ascii="Times New Roman" w:hAnsi="Times New Roman" w:cs="Times New Roman"/>
        </w:rPr>
        <w:t>dixhital</w:t>
      </w:r>
      <w:proofErr w:type="spellEnd"/>
      <w:r w:rsidRPr="00C51AE9">
        <w:rPr>
          <w:rFonts w:ascii="Times New Roman" w:hAnsi="Times New Roman" w:cs="Times New Roman"/>
        </w:rPr>
        <w:t xml:space="preserve"> i të dhënave, kur përdoret, hartohen sipas specifikimeve të përcaktuara në udhëzimin e ministrit përgjegjës për mjedisin për etiketimin, të parashikuar në këtë nen. Informacioni për përmbajtjen e ricikluar bazohet në metodologjinë e llogaritjes dhe të verifikimit të miratuar sipas nenit 13 të këtij vendimi.</w:t>
      </w:r>
    </w:p>
    <w:p w14:paraId="07346784" w14:textId="77777777" w:rsidR="00767CD0" w:rsidRPr="00C51AE9" w:rsidRDefault="00C51AE9" w:rsidP="00F635BF">
      <w:pPr>
        <w:numPr>
          <w:ilvl w:val="0"/>
          <w:numId w:val="175"/>
        </w:numPr>
        <w:contextualSpacing/>
        <w:jc w:val="both"/>
        <w:rPr>
          <w:rFonts w:ascii="Times New Roman" w:hAnsi="Times New Roman" w:cs="Times New Roman"/>
        </w:rPr>
      </w:pPr>
      <w:r w:rsidRPr="00C51AE9">
        <w:rPr>
          <w:rFonts w:ascii="Times New Roman" w:hAnsi="Times New Roman" w:cs="Times New Roman"/>
        </w:rPr>
        <w:t>Kur ambalazhi shënohet me një etiketë që përmban informacion për pjesën e përmbajtjes së plastikës me bazë biologjike, kjo etiketë është në përputhje me specifikimet e përcaktuara në të njëjtin udhëzim.</w:t>
      </w:r>
    </w:p>
    <w:p w14:paraId="0073DC9E" w14:textId="77777777" w:rsidR="00767CD0" w:rsidRPr="00C51AE9" w:rsidRDefault="00767CD0">
      <w:pPr>
        <w:tabs>
          <w:tab w:val="left" w:pos="0"/>
        </w:tabs>
        <w:jc w:val="both"/>
        <w:rPr>
          <w:rFonts w:ascii="Times New Roman" w:hAnsi="Times New Roman" w:cs="Times New Roman"/>
          <w:w w:val="90"/>
        </w:rPr>
      </w:pPr>
    </w:p>
    <w:p w14:paraId="77E34C92"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Neni 19</w:t>
      </w:r>
    </w:p>
    <w:p w14:paraId="65FD7F90" w14:textId="77777777" w:rsidR="00767CD0" w:rsidRPr="00C51AE9" w:rsidRDefault="00C51AE9">
      <w:pPr>
        <w:jc w:val="center"/>
        <w:rPr>
          <w:rFonts w:ascii="Times New Roman" w:hAnsi="Times New Roman" w:cs="Times New Roman"/>
          <w:b/>
          <w:bCs/>
          <w:w w:val="90"/>
        </w:rPr>
      </w:pPr>
      <w:r w:rsidRPr="00C51AE9">
        <w:rPr>
          <w:rFonts w:ascii="Times New Roman" w:hAnsi="Times New Roman" w:cs="Times New Roman"/>
          <w:b/>
          <w:bCs/>
        </w:rPr>
        <w:t>Etiketimi i kontejnerëve për grumbullimin e mbetjeve të ambalazheve</w:t>
      </w:r>
    </w:p>
    <w:p w14:paraId="4913ACBA"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1. Ministria përgjegjëse për mjedisin, miraton me udhëzim etiketat e harmonizuara, specifikimet teknike dhe formatet e etiketimit të kontejnerëve dhe enëve të destinuara për grumbullimin e veçuar të çdo fraksioni specifik të mbetjeve të ambalazheve, sipas llojit të materialit.</w:t>
      </w:r>
    </w:p>
    <w:p w14:paraId="12D62740" w14:textId="77777777" w:rsidR="00767CD0" w:rsidRPr="00C51AE9" w:rsidRDefault="00C51AE9">
      <w:pPr>
        <w:tabs>
          <w:tab w:val="left" w:pos="990"/>
        </w:tabs>
        <w:spacing w:after="0"/>
        <w:jc w:val="both"/>
        <w:rPr>
          <w:rFonts w:ascii="Times New Roman" w:hAnsi="Times New Roman" w:cs="Times New Roman"/>
        </w:rPr>
      </w:pPr>
      <w:r w:rsidRPr="00C51AE9">
        <w:rPr>
          <w:rFonts w:ascii="Times New Roman" w:hAnsi="Times New Roman" w:cs="Times New Roman"/>
        </w:rPr>
        <w:t>a. Etiketimi i kontejnerëve dhe enëve të mbetjeve duhet të korrespondojë (të përputhet plotësisht) me etiketën e harmonizuar të vendosur mbi vetë ambalazhin, sipas përcaktimeve të këtij vendimi. Ky detyrim nuk zbatohet për kontejnerët ose enët që janë pjesë e sistemeve të Sistemit të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w:t>
      </w:r>
    </w:p>
    <w:p w14:paraId="3CAC8742"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b. Kontejnerët dhe enët për grumbullimin e veçuar të mbetjeve të ambalazheve duhet të pajisen me etiketat e harmonizuara brenda 30 (tridhjetë) muajve nga data e hyrjes në fuqi të vendimit të Këshillit të Ministrave, të përmendur në pikën 1 të këtij neni.</w:t>
      </w:r>
    </w:p>
    <w:p w14:paraId="41CDD3FB" w14:textId="77777777" w:rsidR="00767CD0" w:rsidRPr="00C51AE9" w:rsidRDefault="00C51AE9">
      <w:pPr>
        <w:tabs>
          <w:tab w:val="left" w:pos="270"/>
        </w:tabs>
        <w:spacing w:after="0"/>
        <w:jc w:val="both"/>
        <w:rPr>
          <w:rFonts w:ascii="Times New Roman" w:hAnsi="Times New Roman" w:cs="Times New Roman"/>
        </w:rPr>
      </w:pPr>
      <w:r w:rsidRPr="00C51AE9">
        <w:rPr>
          <w:rFonts w:ascii="Times New Roman" w:hAnsi="Times New Roman" w:cs="Times New Roman"/>
        </w:rPr>
        <w:t>2. Etiketat vendosen, shtypen ose gdhenden në mënyrë të dukshme, të lexueshme dhe të pashlyeshme në të gjitha enët dhe kontejnerët e mbetjeve të ambalazheve. Lejohet që një kontejner ose enë mbetjesh të mbajë më shumë se një etiketë të harmonizuar, nëse ai shërben për grumbullimin e më shumë se një fraksioni materialesh.</w:t>
      </w:r>
    </w:p>
    <w:p w14:paraId="104A1855" w14:textId="77777777" w:rsidR="00767CD0" w:rsidRPr="00C51AE9" w:rsidRDefault="00767CD0">
      <w:pPr>
        <w:jc w:val="both"/>
        <w:rPr>
          <w:rFonts w:ascii="Times New Roman" w:hAnsi="Times New Roman" w:cs="Times New Roman"/>
          <w:w w:val="90"/>
        </w:rPr>
      </w:pPr>
    </w:p>
    <w:p w14:paraId="059427AF"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Neni 20</w:t>
      </w:r>
    </w:p>
    <w:p w14:paraId="1FC31DE6"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Pretendimet mjedisore</w:t>
      </w:r>
    </w:p>
    <w:p w14:paraId="1B5EB24F"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lastRenderedPageBreak/>
        <w:t>1.Pretendimet mjedisore për karakteristikat e ambalazheve, të përcaktuara sipas legjislacionit në fuqi për mbrojtjen e konsumatorit dhe kërkesave të këtij vendimi, lejohen të vendosen në treg vetëm nëse plotësojnë kushtet e mëposhtme:</w:t>
      </w:r>
    </w:p>
    <w:p w14:paraId="1AEB4B8E"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a) pretendimet bëhen vetëm në lidhje me karakteristikat e ambalazhit që tejkalojnë kërkesat minimale të zbatueshme, të përcaktuara në këtë vendim, në përputhje me kriteret, metodologjitë dhe rregullat e llogaritjes të përcaktuara në të; dhe</w:t>
      </w:r>
    </w:p>
    <w:p w14:paraId="4FBE4BAB"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b) në pretendime përcaktohet nëse ato lidhen me njësinë e ambalazhit, me një pjesë të njësisë së ambalazhit ose me të gjitha ambalazhet e vendosura në treg nga operatori ekonomik.</w:t>
      </w:r>
    </w:p>
    <w:p w14:paraId="5269CB18"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2. Përmbushja e kërkesave të përcaktuara në këtë nen provohet në dokumentacionin teknik të ambalazhit, sipas përcaktimeve të aneksit VII të këtij vendimi.</w:t>
      </w:r>
    </w:p>
    <w:p w14:paraId="3FA127BE" w14:textId="77777777" w:rsidR="00767CD0" w:rsidRPr="00C51AE9" w:rsidRDefault="00767CD0">
      <w:pPr>
        <w:spacing w:after="0"/>
        <w:jc w:val="both"/>
        <w:rPr>
          <w:rFonts w:ascii="Times New Roman" w:hAnsi="Times New Roman" w:cs="Times New Roman"/>
        </w:rPr>
      </w:pPr>
    </w:p>
    <w:p w14:paraId="247E7D91" w14:textId="77777777" w:rsidR="00767CD0" w:rsidRPr="00C51AE9" w:rsidRDefault="00C51AE9">
      <w:pPr>
        <w:keepNext/>
        <w:keepLines/>
        <w:spacing w:before="360" w:after="80"/>
        <w:jc w:val="center"/>
        <w:outlineLvl w:val="0"/>
        <w:rPr>
          <w:rFonts w:ascii="Times New Roman" w:eastAsiaTheme="majorEastAsia" w:hAnsi="Times New Roman" w:cs="Times New Roman"/>
          <w:b/>
        </w:rPr>
      </w:pPr>
      <w:bookmarkStart w:id="19" w:name="_Toc227317614"/>
      <w:r w:rsidRPr="00C51AE9">
        <w:rPr>
          <w:rFonts w:ascii="Times New Roman" w:eastAsiaTheme="majorEastAsia" w:hAnsi="Times New Roman" w:cs="Times New Roman"/>
          <w:b/>
        </w:rPr>
        <w:t xml:space="preserve">KREU IV </w:t>
      </w:r>
      <w:bookmarkEnd w:id="19"/>
    </w:p>
    <w:p w14:paraId="23A3D97A"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DETYRIME TË PËRGJITHSHME PËR VËNIEN NË TREG TË AMBALAZHEVE</w:t>
      </w:r>
    </w:p>
    <w:p w14:paraId="5FDAE0D4"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21 </w:t>
      </w:r>
    </w:p>
    <w:p w14:paraId="6AF0181A" w14:textId="77777777" w:rsidR="00767CD0" w:rsidRPr="00C51AE9" w:rsidRDefault="00C51AE9">
      <w:pPr>
        <w:keepNext/>
        <w:keepLines/>
        <w:spacing w:before="160" w:after="80"/>
        <w:jc w:val="center"/>
        <w:outlineLvl w:val="1"/>
        <w:rPr>
          <w:rFonts w:ascii="Times New Roman" w:hAnsi="Times New Roman" w:cs="Times New Roman"/>
          <w:b/>
          <w:bCs/>
        </w:rPr>
      </w:pPr>
      <w:bookmarkStart w:id="20" w:name="_Toc227317615"/>
      <w:r w:rsidRPr="00C51AE9">
        <w:rPr>
          <w:rFonts w:ascii="Times New Roman" w:hAnsi="Times New Roman" w:cs="Times New Roman"/>
          <w:b/>
          <w:bCs/>
        </w:rPr>
        <w:t>Detyrimet e prodhuesve</w:t>
      </w:r>
      <w:bookmarkEnd w:id="20"/>
    </w:p>
    <w:p w14:paraId="17D99DA7"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Prodhuesit hedh në treg në territorin e Republikës së Shqipërisë vetëm ambalazhe që janë në përputhje me kërkesat e përcaktuara në nenet 11deri në18 të këtij vendimi.</w:t>
      </w:r>
    </w:p>
    <w:p w14:paraId="1281BB0E"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Përpara hedhjes në treg të ambalazhit, prodhuesi siguron kryerjen e procedurës së vlerësimit të përputhshmërisë, sipas nenit 43 të këtij Vendimi, si dhe hartimin e dokumentacionit teknik të përcaktuar në Shtojcën VII të këtij vendimi.</w:t>
      </w:r>
    </w:p>
    <w:p w14:paraId="15F1C215"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Prodhuesi detyrohet të hartojë Deklaratën e Përputhshmërisë sipas përcaktimeve të nenit 44, vetëm pasi ka përfunduar me sukses procedura e vlerësimit të përputhshmërisë sipas nenit  43 dhe raporti zyrtar i testimit vërteton se ambalazhi plotëson të gjitha kërkesat e këtij vendimi.</w:t>
      </w:r>
    </w:p>
    <w:p w14:paraId="76AF69BB"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Prodhuesit mbajnë dokumentacionin teknik të parashikuar në Shtojcën VII të këtij vendimi dhe Deklaratën e Përputhshmërisë në dispozicion për periudhat e mëposhtme:</w:t>
      </w:r>
    </w:p>
    <w:p w14:paraId="42781D6D" w14:textId="77777777" w:rsidR="00767CD0" w:rsidRPr="00C51AE9" w:rsidRDefault="00C51AE9" w:rsidP="00F635BF">
      <w:pPr>
        <w:numPr>
          <w:ilvl w:val="0"/>
          <w:numId w:val="113"/>
        </w:numPr>
        <w:spacing w:after="0"/>
        <w:ind w:left="1080"/>
        <w:contextualSpacing/>
        <w:jc w:val="both"/>
        <w:rPr>
          <w:rFonts w:ascii="Times New Roman" w:hAnsi="Times New Roman" w:cs="Times New Roman"/>
        </w:rPr>
      </w:pPr>
      <w:r w:rsidRPr="00C51AE9">
        <w:rPr>
          <w:rFonts w:ascii="Times New Roman" w:hAnsi="Times New Roman" w:cs="Times New Roman"/>
        </w:rPr>
        <w:t xml:space="preserve">për ambalazhet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për një periudhë prej 5 vjetësh nga data e hedhjes së ambalazhit në treg;</w:t>
      </w:r>
    </w:p>
    <w:p w14:paraId="150DA70E" w14:textId="77777777" w:rsidR="00767CD0" w:rsidRPr="00C51AE9" w:rsidRDefault="00C51AE9" w:rsidP="00F635BF">
      <w:pPr>
        <w:numPr>
          <w:ilvl w:val="0"/>
          <w:numId w:val="113"/>
        </w:numPr>
        <w:spacing w:after="0"/>
        <w:ind w:left="1080"/>
        <w:contextualSpacing/>
        <w:jc w:val="both"/>
        <w:rPr>
          <w:rFonts w:ascii="Times New Roman" w:hAnsi="Times New Roman" w:cs="Times New Roman"/>
        </w:rPr>
      </w:pPr>
      <w:r w:rsidRPr="00C51AE9">
        <w:rPr>
          <w:rFonts w:ascii="Times New Roman" w:hAnsi="Times New Roman" w:cs="Times New Roman"/>
        </w:rPr>
        <w:t xml:space="preserve">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për një periudhë prej 10 vjetësh nga data e hedhjes së ambalazhit në treg.</w:t>
      </w:r>
    </w:p>
    <w:p w14:paraId="47CE905D"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Prodhuesit sigurojnë që të jenë në fuqi procedurat e nevojshme për prodhimin në seri të ambalazheve, me qëllim që produktet të mbeten në përputhje me këtë Vendim. Ata marrin në konsideratë ndryshimet në projektimin dhe në karakteristikat e ambalazhit, si dhe ndryshimet në standardet e harmonizuara ose specifikimet teknike. Nëse konstatohet se përputhshmëria e ambalazhit mund të ndikohet nga këto ndryshime, prodhuesit kryejnë një rivlerësim të ri sipas kërkesave të nenit 43 të këtij vendimi.</w:t>
      </w:r>
    </w:p>
    <w:p w14:paraId="5A85162D" w14:textId="77777777" w:rsidR="00767CD0" w:rsidRPr="00C51AE9" w:rsidRDefault="00C51AE9" w:rsidP="00F635BF">
      <w:pPr>
        <w:numPr>
          <w:ilvl w:val="0"/>
          <w:numId w:val="31"/>
        </w:numPr>
        <w:spacing w:after="0"/>
        <w:ind w:left="630" w:hanging="270"/>
        <w:contextualSpacing/>
        <w:jc w:val="both"/>
        <w:rPr>
          <w:rFonts w:ascii="Times New Roman" w:hAnsi="Times New Roman" w:cs="Times New Roman"/>
        </w:rPr>
      </w:pPr>
      <w:r w:rsidRPr="00C51AE9">
        <w:rPr>
          <w:rFonts w:ascii="Times New Roman" w:hAnsi="Times New Roman" w:cs="Times New Roman"/>
        </w:rPr>
        <w:t xml:space="preserve">Prodhuesit sigurojnë që ambalazhi të mbajë një numër tipi, serie, </w:t>
      </w:r>
      <w:proofErr w:type="spellStart"/>
      <w:r w:rsidRPr="00C51AE9">
        <w:rPr>
          <w:rFonts w:ascii="Times New Roman" w:hAnsi="Times New Roman" w:cs="Times New Roman"/>
        </w:rPr>
        <w:t>seriali</w:t>
      </w:r>
      <w:proofErr w:type="spellEnd"/>
      <w:r w:rsidRPr="00C51AE9">
        <w:rPr>
          <w:rFonts w:ascii="Times New Roman" w:hAnsi="Times New Roman" w:cs="Times New Roman"/>
        </w:rPr>
        <w:t xml:space="preserve"> apo element tjetër që lejon identifikimin e tij. Kur madhësia ose natyra e ambalazhit </w:t>
      </w:r>
      <w:r w:rsidRPr="00C51AE9">
        <w:rPr>
          <w:rFonts w:ascii="Times New Roman" w:hAnsi="Times New Roman" w:cs="Times New Roman"/>
        </w:rPr>
        <w:lastRenderedPageBreak/>
        <w:t>nuk e lejon këtë, informacioni i kërkuar jepet në dokumentacionin shoqërues të produktit të ambalazhuar.</w:t>
      </w:r>
    </w:p>
    <w:p w14:paraId="3EB0A6BF"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Prodhuesit tregojnë në ambalazh, në kodin QR ose në një bartës tjetër digjital të dhënash, emrin e tyre, emrin tregtar ose markën tregtare të regjistruar, si dhe adresën postare e mjetet elektronike të komunikimit ku mund të kontaktohen. Adresa postare tregon një pikë të vetme kontakti. Kur kjo është e pamundur, ky informacion jepet si pjesë e të dhënave të kodit QR të përmendur në nenin 18, ose në dokumentin shoqërues.</w:t>
      </w:r>
    </w:p>
    <w:p w14:paraId="19F9C488"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Prodhuesit sigurojnë që informacioni i dhënë në përputhje me pikat 6 dhe 7 të këtij neni të jetë i qartë, i kuptueshëm dhe i lexueshëm. Ky informacion nuk duhet të zëvendësojë, të errësojë apo të ngatërrohet me informacionin e kërkuar nga akte të tjera ligjore për etiketimin e produktit.</w:t>
      </w:r>
    </w:p>
    <w:p w14:paraId="1DF55266"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Prodhuesit që kanë arsye të besojnë se ambalazhi i hedhur prej tyre në treg nuk është në përputhje me këtë Vendim, marrin menjëherë masat e nevojshme korrigjuese për ta sjellë atë në përputhje, për ta tërhequr nga tregu ose për ta rikthyer, sipas rastit. Prodhuesit informojnë menjëherë Agjencinë Kombëtare të Mjedisit dhe Inspektoratin Shtetëror të Mbikëqyrjes së Tregut  për mospërputhjen e konstatuar dhe për masat e ndërmarra.</w:t>
      </w:r>
    </w:p>
    <w:p w14:paraId="6766E759"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 xml:space="preserve">Detyrimi për të sjellë në përputhje, për të tërhequr ose për të kthyer ambalazhet sipas pikës 9 të këtij neni, nuk zbatohet 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të cilat janë hedhur në treg përpara datës së hyrjes në fuqi të këtij vendimi.</w:t>
      </w:r>
    </w:p>
    <w:p w14:paraId="71C6286E"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 xml:space="preserve">Prodhuesit detyrohen që, me kërkesë të arsyetuar nga Ministria përgjegjëse për mjedisin, Agjencinë Kombëtare të Mjedisit ose Inspektoratin Shtetëror të Mbikëqyrjes së Tregut, të vënë në dispozicion të gjithë informacionin dhe dokumentacionin e nevojshëm (përfshirë dokumentacionin teknik) për të dëshmuar përputhshmërinë e ambalazhit. Dokumentacioni dorëzohet në gjuhën shqipe ose në një gjuhë tjetër të pranuar nga autoriteti, në formë elektronike ose letre, brenda 10 ditëve nga data e marrjes së kërkesës. Prodhuesit bashkëpunojnë me autoritetet për çdo veprim të ndërmarrë për eliminimin e </w:t>
      </w:r>
      <w:proofErr w:type="spellStart"/>
      <w:r w:rsidRPr="00C51AE9">
        <w:rPr>
          <w:rFonts w:ascii="Times New Roman" w:hAnsi="Times New Roman" w:cs="Times New Roman"/>
        </w:rPr>
        <w:t>mospërmbushjes</w:t>
      </w:r>
      <w:proofErr w:type="spellEnd"/>
      <w:r w:rsidRPr="00C51AE9">
        <w:rPr>
          <w:rFonts w:ascii="Times New Roman" w:hAnsi="Times New Roman" w:cs="Times New Roman"/>
        </w:rPr>
        <w:t xml:space="preserve"> së kërkesave të përcaktuara në nenet 11-18 të këtij vendimi.</w:t>
      </w:r>
    </w:p>
    <w:p w14:paraId="5A0A01C4"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 xml:space="preserve">Detyrimet e përcaktuara në pikat 2, 3 dhe 4 të këtij neni nuk zbatohen për ambalazhet e transportit të bëra me porosi specifike për pajisjet mjekësore të </w:t>
      </w:r>
      <w:proofErr w:type="spellStart"/>
      <w:r w:rsidRPr="00C51AE9">
        <w:rPr>
          <w:rFonts w:ascii="Times New Roman" w:hAnsi="Times New Roman" w:cs="Times New Roman"/>
        </w:rPr>
        <w:t>konfigurueshme</w:t>
      </w:r>
      <w:proofErr w:type="spellEnd"/>
      <w:r w:rsidRPr="00C51AE9">
        <w:rPr>
          <w:rFonts w:ascii="Times New Roman" w:hAnsi="Times New Roman" w:cs="Times New Roman"/>
        </w:rPr>
        <w:t xml:space="preserve"> dhe sistemet mjekësore që përdoren ekskluzivisht në mjedise industriale dhe të kujdesit shëndetësor.</w:t>
      </w:r>
    </w:p>
    <w:p w14:paraId="4CF29524" w14:textId="77777777" w:rsidR="00767CD0" w:rsidRPr="00C51AE9" w:rsidRDefault="00C51AE9" w:rsidP="00F635BF">
      <w:pPr>
        <w:numPr>
          <w:ilvl w:val="0"/>
          <w:numId w:val="31"/>
        </w:numPr>
        <w:spacing w:after="0"/>
        <w:ind w:left="720"/>
        <w:contextualSpacing/>
        <w:jc w:val="both"/>
        <w:rPr>
          <w:rFonts w:ascii="Times New Roman" w:hAnsi="Times New Roman" w:cs="Times New Roman"/>
        </w:rPr>
      </w:pPr>
      <w:r w:rsidRPr="00C51AE9">
        <w:rPr>
          <w:rFonts w:ascii="Times New Roman" w:hAnsi="Times New Roman" w:cs="Times New Roman"/>
        </w:rPr>
        <w:t xml:space="preserve">Kur një </w:t>
      </w:r>
      <w:proofErr w:type="spellStart"/>
      <w:r w:rsidRPr="00C51AE9">
        <w:rPr>
          <w:rFonts w:ascii="Times New Roman" w:hAnsi="Times New Roman" w:cs="Times New Roman"/>
        </w:rPr>
        <w:t>mikrondërmarrje</w:t>
      </w:r>
      <w:proofErr w:type="spellEnd"/>
      <w:r w:rsidRPr="00C51AE9">
        <w:rPr>
          <w:rFonts w:ascii="Times New Roman" w:hAnsi="Times New Roman" w:cs="Times New Roman"/>
        </w:rPr>
        <w:t xml:space="preserve"> projekton ose prodhon ambalazhin me emrin apo markën e saj tregtare, por furnizuesi i këtij ambalazhi ndodhet në territorin e Republikës së Shqipërisë ose importohet nga një vend anëtar i Bashkimit Evropian, ky furnizues apo importues konsiderohet prodhuesi përgjegjës për qëllimet e këtij neni.</w:t>
      </w:r>
    </w:p>
    <w:p w14:paraId="11507739" w14:textId="77777777" w:rsidR="00767CD0" w:rsidRPr="00C51AE9" w:rsidRDefault="00767CD0">
      <w:pPr>
        <w:rPr>
          <w:rFonts w:ascii="Times New Roman" w:hAnsi="Times New Roman" w:cs="Times New Roman"/>
        </w:rPr>
      </w:pPr>
    </w:p>
    <w:p w14:paraId="56FA83D2" w14:textId="77777777" w:rsidR="00767CD0" w:rsidRPr="00C51AE9" w:rsidRDefault="00C51AE9">
      <w:pPr>
        <w:contextualSpacing/>
        <w:jc w:val="center"/>
        <w:rPr>
          <w:rFonts w:ascii="Times New Roman" w:hAnsi="Times New Roman" w:cs="Times New Roman"/>
        </w:rPr>
      </w:pPr>
      <w:r w:rsidRPr="00C51AE9">
        <w:rPr>
          <w:rFonts w:ascii="Times New Roman" w:hAnsi="Times New Roman" w:cs="Times New Roman"/>
        </w:rPr>
        <w:t>Neni 22</w:t>
      </w:r>
    </w:p>
    <w:p w14:paraId="639FFF61" w14:textId="77777777" w:rsidR="00767CD0" w:rsidRPr="00C51AE9" w:rsidRDefault="00C51AE9">
      <w:pPr>
        <w:contextualSpacing/>
        <w:jc w:val="center"/>
        <w:rPr>
          <w:rFonts w:ascii="Times New Roman" w:hAnsi="Times New Roman" w:cs="Times New Roman"/>
          <w:b/>
          <w:bCs/>
        </w:rPr>
      </w:pPr>
      <w:bookmarkStart w:id="21" w:name="_Toc227317616"/>
      <w:r w:rsidRPr="00C51AE9">
        <w:rPr>
          <w:rFonts w:ascii="Times New Roman" w:hAnsi="Times New Roman" w:cs="Times New Roman"/>
          <w:b/>
          <w:bCs/>
        </w:rPr>
        <w:t>Detyrimet për informacion të furnizuesve të ambalazheve  ose materialeve të ambalazhimit</w:t>
      </w:r>
      <w:bookmarkEnd w:id="21"/>
    </w:p>
    <w:p w14:paraId="0C152241" w14:textId="77777777" w:rsidR="00767CD0" w:rsidRPr="00C51AE9" w:rsidRDefault="00767CD0">
      <w:pPr>
        <w:ind w:left="720"/>
        <w:contextualSpacing/>
        <w:jc w:val="center"/>
        <w:rPr>
          <w:rFonts w:ascii="Times New Roman" w:hAnsi="Times New Roman" w:cs="Times New Roman"/>
        </w:rPr>
      </w:pPr>
    </w:p>
    <w:p w14:paraId="21CFCE50" w14:textId="77777777" w:rsidR="00767CD0" w:rsidRPr="00C51AE9" w:rsidRDefault="00C51AE9" w:rsidP="00F635BF">
      <w:pPr>
        <w:numPr>
          <w:ilvl w:val="0"/>
          <w:numId w:val="32"/>
        </w:numPr>
        <w:ind w:left="540" w:hanging="180"/>
        <w:contextualSpacing/>
        <w:jc w:val="both"/>
        <w:rPr>
          <w:rFonts w:ascii="Times New Roman" w:hAnsi="Times New Roman" w:cs="Times New Roman"/>
        </w:rPr>
      </w:pPr>
      <w:r w:rsidRPr="00C51AE9">
        <w:rPr>
          <w:rFonts w:ascii="Times New Roman" w:hAnsi="Times New Roman" w:cs="Times New Roman"/>
        </w:rPr>
        <w:lastRenderedPageBreak/>
        <w:t xml:space="preserve"> Furnizuesi i vë në dispozicion prodhuesit të gjithë informacionin dhe dokumentacionin e nevojshëm që prodhuesi të demonstrojë përputhshmërinë e ambalazhimit dhe të materialeve të ambalazhimit duke përfshirë dokumentacionin teknik në një ose më shumë gjuhë që mund të kuptohen lehtësisht nga prodhuesi në mbështetje të neneve 11 deri në 17 dhe Shtojcës VII të këtij vendimi. </w:t>
      </w:r>
    </w:p>
    <w:p w14:paraId="3C2A9D78" w14:textId="77777777" w:rsidR="00767CD0" w:rsidRPr="00C51AE9" w:rsidRDefault="00C51AE9" w:rsidP="00F635BF">
      <w:pPr>
        <w:numPr>
          <w:ilvl w:val="0"/>
          <w:numId w:val="32"/>
        </w:numPr>
        <w:ind w:left="540" w:hanging="180"/>
        <w:contextualSpacing/>
        <w:jc w:val="both"/>
        <w:rPr>
          <w:rFonts w:ascii="Times New Roman" w:hAnsi="Times New Roman" w:cs="Times New Roman"/>
        </w:rPr>
      </w:pPr>
      <w:r w:rsidRPr="00C51AE9">
        <w:rPr>
          <w:rFonts w:ascii="Times New Roman" w:hAnsi="Times New Roman" w:cs="Times New Roman"/>
        </w:rPr>
        <w:t xml:space="preserve"> Ky informacion dhe ky dokumentacion vihen në dispozicion ose në formë shkresore ose elektronike.</w:t>
      </w:r>
    </w:p>
    <w:p w14:paraId="49E7C63B" w14:textId="77777777" w:rsidR="00767CD0" w:rsidRPr="00C51AE9" w:rsidRDefault="00C51AE9" w:rsidP="00F635BF">
      <w:pPr>
        <w:numPr>
          <w:ilvl w:val="0"/>
          <w:numId w:val="32"/>
        </w:numPr>
        <w:ind w:left="540" w:hanging="180"/>
        <w:contextualSpacing/>
        <w:jc w:val="both"/>
        <w:rPr>
          <w:rFonts w:ascii="Times New Roman" w:hAnsi="Times New Roman" w:cs="Times New Roman"/>
        </w:rPr>
      </w:pPr>
      <w:r w:rsidRPr="00C51AE9">
        <w:rPr>
          <w:rFonts w:ascii="Times New Roman" w:hAnsi="Times New Roman" w:cs="Times New Roman"/>
        </w:rPr>
        <w:t xml:space="preserve"> Kur është e përshtatshme, dokumentacioni dhe informacioni i kërkuar sipas akteve të tjera ligjore të zbatueshme për ambalazhet e destinuara për produkte të ndjeshme ndaj kontaktit duhet të jenë pjesë e informacionit dhe dokumentacionit që i jepet prodhuesit në mbështetje të paragrafit 1.</w:t>
      </w:r>
    </w:p>
    <w:p w14:paraId="5BACA3C4" w14:textId="77777777" w:rsidR="00767CD0" w:rsidRPr="00C51AE9" w:rsidRDefault="00767CD0">
      <w:pPr>
        <w:rPr>
          <w:rFonts w:ascii="Times New Roman" w:hAnsi="Times New Roman" w:cs="Times New Roman"/>
        </w:rPr>
      </w:pPr>
    </w:p>
    <w:p w14:paraId="09138A58"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23</w:t>
      </w:r>
    </w:p>
    <w:p w14:paraId="4DAF1A46"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Përfaqësues të autorizuar </w:t>
      </w:r>
    </w:p>
    <w:p w14:paraId="518FD422" w14:textId="77777777" w:rsidR="00767CD0" w:rsidRPr="00C51AE9" w:rsidRDefault="00C51AE9" w:rsidP="00F635BF">
      <w:pPr>
        <w:numPr>
          <w:ilvl w:val="0"/>
          <w:numId w:val="33"/>
        </w:numPr>
        <w:ind w:left="-270" w:firstLine="720"/>
        <w:contextualSpacing/>
        <w:jc w:val="both"/>
        <w:rPr>
          <w:rFonts w:ascii="Times New Roman" w:hAnsi="Times New Roman" w:cs="Times New Roman"/>
        </w:rPr>
      </w:pPr>
      <w:r w:rsidRPr="00C51AE9">
        <w:rPr>
          <w:rFonts w:ascii="Times New Roman" w:hAnsi="Times New Roman" w:cs="Times New Roman"/>
        </w:rPr>
        <w:t xml:space="preserve">Prodhuesi i vendosur jashtë territorit të Republikës së Shqipërisë, me anë të një </w:t>
      </w:r>
      <w:proofErr w:type="spellStart"/>
      <w:r w:rsidRPr="00C51AE9">
        <w:rPr>
          <w:rFonts w:ascii="Times New Roman" w:hAnsi="Times New Roman" w:cs="Times New Roman"/>
        </w:rPr>
        <w:t>autorizmimi</w:t>
      </w:r>
      <w:proofErr w:type="spellEnd"/>
      <w:r w:rsidRPr="00C51AE9">
        <w:rPr>
          <w:rFonts w:ascii="Times New Roman" w:hAnsi="Times New Roman" w:cs="Times New Roman"/>
        </w:rPr>
        <w:t xml:space="preserve"> me shkrim, emëron një përfaqësues të autorizuar në Shqipëri.</w:t>
      </w:r>
    </w:p>
    <w:p w14:paraId="15C9FAFD" w14:textId="77777777" w:rsidR="00767CD0" w:rsidRPr="00C51AE9" w:rsidRDefault="00C51AE9" w:rsidP="00F635BF">
      <w:pPr>
        <w:numPr>
          <w:ilvl w:val="0"/>
          <w:numId w:val="33"/>
        </w:numPr>
        <w:ind w:left="-270" w:firstLine="720"/>
        <w:contextualSpacing/>
        <w:jc w:val="both"/>
        <w:rPr>
          <w:rFonts w:ascii="Times New Roman" w:hAnsi="Times New Roman" w:cs="Times New Roman"/>
        </w:rPr>
      </w:pPr>
      <w:r w:rsidRPr="00C51AE9">
        <w:rPr>
          <w:rFonts w:ascii="Times New Roman" w:hAnsi="Times New Roman" w:cs="Times New Roman"/>
        </w:rPr>
        <w:t xml:space="preserve">Përfaqësuesi i autorizuar kryen detyrat e përcaktuara në mandatin e marrë nga prodhuesi.  </w:t>
      </w:r>
    </w:p>
    <w:p w14:paraId="00AE7F33" w14:textId="77777777" w:rsidR="00767CD0" w:rsidRPr="00C51AE9" w:rsidRDefault="00C51AE9" w:rsidP="00F635BF">
      <w:pPr>
        <w:numPr>
          <w:ilvl w:val="0"/>
          <w:numId w:val="33"/>
        </w:numPr>
        <w:ind w:left="-270" w:firstLine="720"/>
        <w:contextualSpacing/>
        <w:jc w:val="both"/>
        <w:rPr>
          <w:rFonts w:ascii="Times New Roman" w:hAnsi="Times New Roman" w:cs="Times New Roman"/>
        </w:rPr>
      </w:pPr>
      <w:r w:rsidRPr="00C51AE9">
        <w:rPr>
          <w:rFonts w:ascii="Times New Roman" w:hAnsi="Times New Roman" w:cs="Times New Roman"/>
        </w:rPr>
        <w:t>Mandati i jep të drejtë përfaqësuesit të autorizuar të kryejë këto veprime:</w:t>
      </w:r>
    </w:p>
    <w:p w14:paraId="41527F59" w14:textId="77777777" w:rsidR="00767CD0" w:rsidRPr="00C51AE9" w:rsidRDefault="00C51AE9" w:rsidP="00F635BF">
      <w:pPr>
        <w:numPr>
          <w:ilvl w:val="0"/>
          <w:numId w:val="114"/>
        </w:numPr>
        <w:tabs>
          <w:tab w:val="clear" w:pos="0"/>
          <w:tab w:val="num" w:pos="450"/>
          <w:tab w:val="left" w:pos="810"/>
        </w:tabs>
        <w:ind w:left="810" w:firstLine="0"/>
        <w:contextualSpacing/>
        <w:jc w:val="both"/>
        <w:rPr>
          <w:rFonts w:ascii="Times New Roman" w:hAnsi="Times New Roman" w:cs="Times New Roman"/>
        </w:rPr>
      </w:pPr>
      <w:r w:rsidRPr="00C51AE9">
        <w:rPr>
          <w:rFonts w:ascii="Times New Roman" w:hAnsi="Times New Roman" w:cs="Times New Roman"/>
        </w:rPr>
        <w:t xml:space="preserve">Të mbajë deklaratën e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dhe dokumentacionin teknik në dispozicion </w:t>
      </w:r>
      <w:r w:rsidR="006575A2">
        <w:rPr>
          <w:rFonts w:ascii="Times New Roman" w:hAnsi="Times New Roman" w:cs="Times New Roman"/>
        </w:rPr>
        <w:t xml:space="preserve">   </w:t>
      </w:r>
      <w:r w:rsidRPr="00C51AE9">
        <w:rPr>
          <w:rFonts w:ascii="Times New Roman" w:hAnsi="Times New Roman" w:cs="Times New Roman"/>
        </w:rPr>
        <w:t>të autoriteteve kombëtare të mbikëqyrjes së tregut, sipas afateve të mëposhtme:</w:t>
      </w:r>
    </w:p>
    <w:p w14:paraId="14EC5F8A" w14:textId="77777777" w:rsidR="00767CD0" w:rsidRPr="00C51AE9" w:rsidRDefault="00C51AE9" w:rsidP="00F635BF">
      <w:pPr>
        <w:numPr>
          <w:ilvl w:val="0"/>
          <w:numId w:val="115"/>
        </w:numPr>
        <w:tabs>
          <w:tab w:val="left" w:pos="1260"/>
          <w:tab w:val="left" w:pos="1350"/>
        </w:tabs>
        <w:ind w:left="990" w:firstLine="0"/>
        <w:contextualSpacing/>
        <w:jc w:val="both"/>
        <w:rPr>
          <w:rFonts w:ascii="Times New Roman" w:hAnsi="Times New Roman" w:cs="Times New Roman"/>
        </w:rPr>
      </w:pPr>
      <w:r w:rsidRPr="00C51AE9">
        <w:rPr>
          <w:rFonts w:ascii="Times New Roman" w:hAnsi="Times New Roman" w:cs="Times New Roman"/>
        </w:rPr>
        <w:t xml:space="preserve">për ambalazhet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5 vjet nga data e vendosjes së ambalazhit në treg;</w:t>
      </w:r>
    </w:p>
    <w:p w14:paraId="4B19E6C8" w14:textId="77777777" w:rsidR="00767CD0" w:rsidRPr="00C51AE9" w:rsidRDefault="00C51AE9" w:rsidP="00F635BF">
      <w:pPr>
        <w:numPr>
          <w:ilvl w:val="0"/>
          <w:numId w:val="115"/>
        </w:numPr>
        <w:tabs>
          <w:tab w:val="left" w:pos="180"/>
          <w:tab w:val="left" w:pos="810"/>
        </w:tabs>
        <w:ind w:left="1080" w:firstLine="0"/>
        <w:contextualSpacing/>
        <w:jc w:val="both"/>
        <w:rPr>
          <w:rFonts w:ascii="Times New Roman" w:hAnsi="Times New Roman" w:cs="Times New Roman"/>
        </w:rPr>
      </w:pPr>
      <w:r w:rsidRPr="00C51AE9">
        <w:rPr>
          <w:rFonts w:ascii="Times New Roman" w:hAnsi="Times New Roman" w:cs="Times New Roman"/>
        </w:rPr>
        <w:t xml:space="preserve">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10 vjet nga data e vendosjes së ambalazhit </w:t>
      </w:r>
      <w:r w:rsidR="006575A2">
        <w:rPr>
          <w:rFonts w:ascii="Times New Roman" w:hAnsi="Times New Roman" w:cs="Times New Roman"/>
        </w:rPr>
        <w:t xml:space="preserve"> </w:t>
      </w:r>
      <w:r w:rsidRPr="00C51AE9">
        <w:rPr>
          <w:rFonts w:ascii="Times New Roman" w:hAnsi="Times New Roman" w:cs="Times New Roman"/>
        </w:rPr>
        <w:t>në treg;</w:t>
      </w:r>
    </w:p>
    <w:p w14:paraId="3BB76298" w14:textId="77777777" w:rsidR="00767CD0" w:rsidRPr="00C51AE9" w:rsidRDefault="00C51AE9" w:rsidP="00F635BF">
      <w:pPr>
        <w:numPr>
          <w:ilvl w:val="0"/>
          <w:numId w:val="114"/>
        </w:numPr>
        <w:tabs>
          <w:tab w:val="left" w:pos="810"/>
        </w:tabs>
        <w:ind w:left="990" w:hanging="270"/>
        <w:contextualSpacing/>
        <w:jc w:val="both"/>
        <w:rPr>
          <w:rFonts w:ascii="Times New Roman" w:hAnsi="Times New Roman" w:cs="Times New Roman"/>
        </w:rPr>
      </w:pPr>
      <w:r w:rsidRPr="00C51AE9">
        <w:rPr>
          <w:rFonts w:ascii="Times New Roman" w:hAnsi="Times New Roman" w:cs="Times New Roman"/>
        </w:rPr>
        <w:t>Të bashkëpunojë me autoritetet kombëtare kompetente, me kërkesë të këtyre të fundit, për çdo masë të marrë në lidhje me rastet e mospërputhshmërisë së ambalazhit që mbrohet nga mandati i tij;</w:t>
      </w:r>
    </w:p>
    <w:p w14:paraId="054E3631" w14:textId="77777777" w:rsidR="00767CD0" w:rsidRPr="00C51AE9" w:rsidRDefault="00C51AE9" w:rsidP="00F635BF">
      <w:pPr>
        <w:numPr>
          <w:ilvl w:val="0"/>
          <w:numId w:val="114"/>
        </w:numPr>
        <w:tabs>
          <w:tab w:val="left" w:pos="810"/>
        </w:tabs>
        <w:ind w:left="630" w:firstLine="90"/>
        <w:contextualSpacing/>
        <w:jc w:val="both"/>
        <w:rPr>
          <w:rFonts w:ascii="Times New Roman" w:hAnsi="Times New Roman" w:cs="Times New Roman"/>
        </w:rPr>
      </w:pPr>
      <w:r w:rsidRPr="00C51AE9">
        <w:rPr>
          <w:rFonts w:ascii="Times New Roman" w:hAnsi="Times New Roman" w:cs="Times New Roman"/>
        </w:rPr>
        <w:t>Mbi bazën e një kërkese të arsyetuar nga autoriteti kombëtar kompetent, t’i sigurojë atij të gjithë informacionin dhe dokumentacionin e nevojshëm teknik për të vërtetuar përputhshmërinë e ambalazhit, në gjuhën shqipe ose të përkthyer zyrtarisht në të;</w:t>
      </w:r>
    </w:p>
    <w:p w14:paraId="2481A887" w14:textId="77777777" w:rsidR="00767CD0" w:rsidRPr="00C51AE9" w:rsidRDefault="00C51AE9" w:rsidP="00121712">
      <w:pPr>
        <w:ind w:left="540"/>
        <w:contextualSpacing/>
        <w:jc w:val="both"/>
        <w:rPr>
          <w:rFonts w:ascii="Times New Roman" w:hAnsi="Times New Roman" w:cs="Times New Roman"/>
        </w:rPr>
      </w:pPr>
      <w:r w:rsidRPr="00C51AE9">
        <w:rPr>
          <w:rFonts w:ascii="Times New Roman" w:hAnsi="Times New Roman" w:cs="Times New Roman"/>
        </w:rPr>
        <w:t>ç. Të vërë në dispozicion dokumentet përkatëse të kërkuara nga autoriteti kompetent kombëtar, brenda 10 ditëve nga data e marrjes së kërkesës;</w:t>
      </w:r>
    </w:p>
    <w:p w14:paraId="1D2B1BC3" w14:textId="77777777" w:rsidR="00767CD0" w:rsidRPr="00C51AE9" w:rsidRDefault="00C51AE9" w:rsidP="00121712">
      <w:pPr>
        <w:tabs>
          <w:tab w:val="left" w:pos="450"/>
        </w:tabs>
        <w:ind w:left="540"/>
        <w:contextualSpacing/>
        <w:jc w:val="both"/>
        <w:rPr>
          <w:rFonts w:ascii="Times New Roman" w:hAnsi="Times New Roman" w:cs="Times New Roman"/>
        </w:rPr>
      </w:pPr>
      <w:r w:rsidRPr="00C51AE9">
        <w:rPr>
          <w:rFonts w:ascii="Times New Roman" w:hAnsi="Times New Roman" w:cs="Times New Roman"/>
        </w:rPr>
        <w:t>d. Të zgjidhë apo të përfundojë mandatin nëse prodhuesi vepron në kundërshtim me detyrimet e tij sipas dispozitave të këtij Vendimi.</w:t>
      </w:r>
    </w:p>
    <w:p w14:paraId="19D4BDB7" w14:textId="77777777" w:rsidR="00767CD0" w:rsidRPr="00C51AE9" w:rsidRDefault="00C51AE9" w:rsidP="00F635BF">
      <w:pPr>
        <w:numPr>
          <w:ilvl w:val="0"/>
          <w:numId w:val="33"/>
        </w:numPr>
        <w:ind w:left="-270" w:firstLine="270"/>
        <w:contextualSpacing/>
        <w:jc w:val="both"/>
        <w:rPr>
          <w:rFonts w:ascii="Times New Roman" w:hAnsi="Times New Roman" w:cs="Times New Roman"/>
        </w:rPr>
      </w:pPr>
      <w:r w:rsidRPr="00C51AE9">
        <w:rPr>
          <w:rFonts w:ascii="Times New Roman" w:hAnsi="Times New Roman" w:cs="Times New Roman"/>
        </w:rPr>
        <w:t>Detyrimet e përcaktuara në nenin 21 pika 1 të këtij vendimi si dhe detyrimi për të hartuar dokumentacionin teknik të përmendur në Shtojcën VII të këtij vendimi në përputhje me nenet 11-18 të këtij vendimi nuk bëjnë pjesë në mandatin e përfaqësuesit të autorizuar.</w:t>
      </w:r>
    </w:p>
    <w:p w14:paraId="117EDFF6" w14:textId="77777777" w:rsidR="00767CD0" w:rsidRPr="00C51AE9" w:rsidRDefault="00767CD0">
      <w:pPr>
        <w:ind w:left="-270" w:firstLine="270"/>
        <w:rPr>
          <w:rFonts w:ascii="Times New Roman" w:hAnsi="Times New Roman" w:cs="Times New Roman"/>
          <w:bCs/>
        </w:rPr>
      </w:pPr>
    </w:p>
    <w:p w14:paraId="4B62A8F9" w14:textId="77777777" w:rsidR="00767CD0" w:rsidRPr="00C51AE9" w:rsidRDefault="00C51AE9">
      <w:pPr>
        <w:keepNext/>
        <w:keepLines/>
        <w:spacing w:before="160" w:after="80"/>
        <w:ind w:left="-270" w:firstLine="270"/>
        <w:jc w:val="center"/>
        <w:outlineLvl w:val="1"/>
        <w:rPr>
          <w:rFonts w:ascii="Times New Roman" w:eastAsiaTheme="majorEastAsia" w:hAnsi="Times New Roman" w:cs="Times New Roman"/>
          <w:bCs/>
        </w:rPr>
      </w:pPr>
      <w:bookmarkStart w:id="22" w:name="_Toc227317617"/>
      <w:bookmarkEnd w:id="22"/>
      <w:r w:rsidRPr="00C51AE9">
        <w:rPr>
          <w:rFonts w:ascii="Times New Roman" w:eastAsiaTheme="majorEastAsia" w:hAnsi="Times New Roman" w:cs="Times New Roman"/>
          <w:bCs/>
        </w:rPr>
        <w:lastRenderedPageBreak/>
        <w:t>Neni 24</w:t>
      </w:r>
    </w:p>
    <w:p w14:paraId="22F932AC" w14:textId="77777777" w:rsidR="00767CD0" w:rsidRPr="00C51AE9" w:rsidRDefault="00C51AE9">
      <w:pPr>
        <w:keepNext/>
        <w:keepLines/>
        <w:spacing w:before="160" w:after="80"/>
        <w:ind w:left="-270" w:firstLine="270"/>
        <w:jc w:val="center"/>
        <w:outlineLvl w:val="1"/>
        <w:rPr>
          <w:rFonts w:ascii="Times New Roman" w:eastAsiaTheme="majorEastAsia" w:hAnsi="Times New Roman" w:cs="Times New Roman"/>
          <w:b/>
        </w:rPr>
      </w:pPr>
      <w:bookmarkStart w:id="23" w:name="_Toc227317618"/>
      <w:r w:rsidRPr="00C51AE9">
        <w:rPr>
          <w:rFonts w:ascii="Times New Roman" w:eastAsiaTheme="majorEastAsia" w:hAnsi="Times New Roman" w:cs="Times New Roman"/>
          <w:b/>
        </w:rPr>
        <w:t>Detyrimet e importuesve</w:t>
      </w:r>
      <w:bookmarkEnd w:id="23"/>
    </w:p>
    <w:p w14:paraId="4D19BEA2" w14:textId="77777777" w:rsidR="00767CD0" w:rsidRPr="00C51AE9" w:rsidRDefault="00C51AE9" w:rsidP="00F635BF">
      <w:pPr>
        <w:numPr>
          <w:ilvl w:val="0"/>
          <w:numId w:val="34"/>
        </w:numPr>
        <w:spacing w:after="0"/>
        <w:ind w:left="-270" w:firstLine="270"/>
        <w:contextualSpacing/>
        <w:jc w:val="both"/>
        <w:rPr>
          <w:rFonts w:ascii="Times New Roman" w:hAnsi="Times New Roman" w:cs="Times New Roman"/>
        </w:rPr>
      </w:pPr>
      <w:r w:rsidRPr="00C51AE9">
        <w:rPr>
          <w:rFonts w:ascii="Times New Roman" w:hAnsi="Times New Roman" w:cs="Times New Roman"/>
        </w:rPr>
        <w:t>Importuesit duhet të vendosin në treg vetëm ambalazhe që janë në përputhje me kërkesat e përcaktuara në ose në zbatim të neneve 11-18 të këtij vendimi.</w:t>
      </w:r>
    </w:p>
    <w:p w14:paraId="6FB337FF" w14:textId="77777777" w:rsidR="00767CD0" w:rsidRPr="00C51AE9" w:rsidRDefault="00C51AE9" w:rsidP="00F635BF">
      <w:pPr>
        <w:numPr>
          <w:ilvl w:val="0"/>
          <w:numId w:val="34"/>
        </w:numPr>
        <w:spacing w:after="0"/>
        <w:ind w:left="-270" w:firstLine="270"/>
        <w:contextualSpacing/>
        <w:jc w:val="both"/>
        <w:rPr>
          <w:rFonts w:ascii="Times New Roman" w:hAnsi="Times New Roman" w:cs="Times New Roman"/>
        </w:rPr>
      </w:pPr>
      <w:r w:rsidRPr="00C51AE9">
        <w:rPr>
          <w:rFonts w:ascii="Times New Roman" w:hAnsi="Times New Roman" w:cs="Times New Roman"/>
        </w:rPr>
        <w:t xml:space="preserve">Përpara vendosjes së </w:t>
      </w:r>
      <w:r w:rsidRPr="00C51AE9">
        <w:rPr>
          <w:rFonts w:ascii="Times New Roman" w:eastAsia="Times New Roman" w:hAnsi="Times New Roman" w:cs="Times New Roman"/>
          <w:kern w:val="0"/>
          <w14:ligatures w14:val="none"/>
        </w:rPr>
        <w:t>ambalazhit</w:t>
      </w:r>
      <w:r w:rsidRPr="00C51AE9">
        <w:rPr>
          <w:rFonts w:ascii="Times New Roman" w:hAnsi="Times New Roman" w:cs="Times New Roman"/>
        </w:rPr>
        <w:t xml:space="preserve"> në treg, importuesit sigurojnë që</w:t>
      </w:r>
      <w:r w:rsidRPr="00C51AE9">
        <w:rPr>
          <w:rFonts w:ascii="Times New Roman" w:hAnsi="Times New Roman" w:cs="Times New Roman"/>
          <w:w w:val="90"/>
        </w:rPr>
        <w:t>:</w:t>
      </w:r>
    </w:p>
    <w:p w14:paraId="49782819" w14:textId="77777777" w:rsidR="00767CD0" w:rsidRPr="00C51AE9" w:rsidRDefault="00C51AE9">
      <w:pPr>
        <w:spacing w:after="0"/>
        <w:ind w:left="-270" w:firstLine="270"/>
        <w:jc w:val="both"/>
        <w:rPr>
          <w:rFonts w:ascii="Times New Roman" w:hAnsi="Times New Roman" w:cs="Times New Roman"/>
        </w:rPr>
      </w:pPr>
      <w:r w:rsidRPr="00C51AE9">
        <w:rPr>
          <w:rFonts w:ascii="Times New Roman" w:hAnsi="Times New Roman" w:cs="Times New Roman"/>
        </w:rPr>
        <w:t>a. procedura e vlerësimit të përputhshmërisë e përmendur në nenin 43 është kryer nga prodhuesi dhe se prodhuesi ka hartuar dokumentacionin teknik të përmendur në Shtojcën VII të këtij vendimi dhe të kërkuar sipas ose në mbështetje të neneve 11 deri në 17;</w:t>
      </w:r>
    </w:p>
    <w:p w14:paraId="21A727AB" w14:textId="77777777" w:rsidR="00767CD0" w:rsidRPr="00C51AE9" w:rsidRDefault="00C51AE9">
      <w:pPr>
        <w:spacing w:after="0"/>
        <w:ind w:left="-270" w:firstLine="270"/>
        <w:jc w:val="both"/>
        <w:rPr>
          <w:rFonts w:ascii="Times New Roman" w:hAnsi="Times New Roman" w:cs="Times New Roman"/>
        </w:rPr>
      </w:pPr>
      <w:r w:rsidRPr="00C51AE9">
        <w:rPr>
          <w:rFonts w:ascii="Times New Roman" w:hAnsi="Times New Roman" w:cs="Times New Roman"/>
        </w:rPr>
        <w:t>b. ambalazhi është etiketuar në përputhje me nenin 18;</w:t>
      </w:r>
    </w:p>
    <w:p w14:paraId="24A983C5" w14:textId="77777777" w:rsidR="00767CD0" w:rsidRPr="00C51AE9" w:rsidRDefault="00C51AE9">
      <w:pPr>
        <w:spacing w:after="0"/>
        <w:ind w:left="-270" w:firstLine="270"/>
        <w:jc w:val="both"/>
        <w:rPr>
          <w:rFonts w:ascii="Times New Roman" w:hAnsi="Times New Roman" w:cs="Times New Roman"/>
        </w:rPr>
      </w:pPr>
      <w:r w:rsidRPr="00C51AE9">
        <w:rPr>
          <w:rFonts w:ascii="Times New Roman" w:hAnsi="Times New Roman" w:cs="Times New Roman"/>
        </w:rPr>
        <w:t>c. ambalazhimi shoqërohet nga dokumentet e kërkuara; dhe</w:t>
      </w:r>
    </w:p>
    <w:p w14:paraId="1630DC55" w14:textId="77777777" w:rsidR="00767CD0" w:rsidRPr="00C51AE9" w:rsidRDefault="00C51AE9">
      <w:pPr>
        <w:spacing w:after="0"/>
        <w:ind w:left="-270" w:firstLine="270"/>
        <w:contextualSpacing/>
        <w:jc w:val="both"/>
        <w:rPr>
          <w:rFonts w:ascii="Times New Roman" w:hAnsi="Times New Roman" w:cs="Times New Roman"/>
        </w:rPr>
      </w:pPr>
      <w:r w:rsidRPr="00C51AE9">
        <w:rPr>
          <w:rFonts w:ascii="Times New Roman" w:hAnsi="Times New Roman" w:cs="Times New Roman"/>
        </w:rPr>
        <w:t>ç. prodhuesi ka përmbushur kërkesat e përcaktuara në pikat 6 dhe 7 të nenit 21.</w:t>
      </w:r>
    </w:p>
    <w:p w14:paraId="6B817275" w14:textId="77777777" w:rsidR="00767CD0" w:rsidRPr="00C51AE9" w:rsidRDefault="00C51AE9">
      <w:pPr>
        <w:spacing w:after="0"/>
        <w:ind w:left="-270" w:firstLine="270"/>
        <w:contextualSpacing/>
        <w:jc w:val="both"/>
        <w:rPr>
          <w:rFonts w:ascii="Times New Roman" w:hAnsi="Times New Roman" w:cs="Times New Roman"/>
        </w:rPr>
      </w:pPr>
      <w:r w:rsidRPr="00C51AE9">
        <w:rPr>
          <w:rFonts w:ascii="Times New Roman" w:hAnsi="Times New Roman" w:cs="Times New Roman"/>
        </w:rPr>
        <w:t>3.  Kur një importues konsideron ose ka arsye të besojë se ambalazhimi nuk është në përputhje me kërkesat e zbatueshme të përcaktuara në ose në zbatim të neneve 11 deri në 18, importuesi nuk e vendos ambalazhimin në treg derisa ai të jetë sjellë në përputhje.</w:t>
      </w:r>
    </w:p>
    <w:p w14:paraId="6010DA94" w14:textId="77777777" w:rsidR="00767CD0" w:rsidRPr="00C51AE9" w:rsidRDefault="00C51AE9" w:rsidP="00F635BF">
      <w:pPr>
        <w:numPr>
          <w:ilvl w:val="0"/>
          <w:numId w:val="34"/>
        </w:numPr>
        <w:tabs>
          <w:tab w:val="left" w:pos="0"/>
        </w:tabs>
        <w:spacing w:after="0"/>
        <w:ind w:left="-90" w:firstLine="180"/>
        <w:contextualSpacing/>
        <w:jc w:val="both"/>
        <w:rPr>
          <w:rFonts w:ascii="Times New Roman" w:hAnsi="Times New Roman" w:cs="Times New Roman"/>
        </w:rPr>
      </w:pPr>
      <w:r w:rsidRPr="00C51AE9">
        <w:rPr>
          <w:rFonts w:ascii="Times New Roman" w:hAnsi="Times New Roman" w:cs="Times New Roman"/>
        </w:rPr>
        <w:t xml:space="preserve">Importuesit duhet të tregojnë në ambalazh emrin e tyre dhe emrin e tyre tregtar të regjistruar ose markën tregtare të regjistruar, si dhe adresën postare në të cilën dhe, kur është e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mjetet elektronike të komunikimit me anë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cilave ata mund të kontaktohen. Kur nuk është e mundur të tregohet ky informacion në ambalazh, ai duhet të jepet nëpërmjet një bartësi të standardizuar, të hapur, digjital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siç përmendet në nenin 18 ose në një dokument që shoqëron produktin e ambalazhuar.</w:t>
      </w:r>
    </w:p>
    <w:p w14:paraId="019E4526"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Importuesi siguron që informacioni i dhënë në përputhje me pikën 3 te këtij neni të jetë i qartë, i kuptueshëm dhe i lexueshëm, dhe të mos zëvendësojë ose errësojë, as të mos mund të ngatërrohet me informacionin e kërkuar nga akte të tjera ligjore për etiketimin e produktit të ambalazhuar.</w:t>
      </w:r>
    </w:p>
    <w:p w14:paraId="2FCF6D11"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Importuesi siguron që ndërsa ambalazhimi është nën përgjegjësinë e tij, qoftë bosh ose me një produkt, kushtet e magazinimit ose të transportit të mos vënë në rrezik përputhshmërinë e tij me kërkesat e zbatueshme të përcaktuara në ose në mbështetje të neneve 11 deri në 18 të këtij vendimi.</w:t>
      </w:r>
    </w:p>
    <w:p w14:paraId="4397E9BD"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Importuesi që konsideron ose ka arsye të besojë se ambalazhimin të cilin e kanë vendosur në treg nuk është në përputhje me kërkesat e zbatueshme të përcaktuara në përputhje të neneve 11 deri në 18, duhet të marrë menjëherë masat korrigjuese të nevojshme për ta sjellë atë ambalazhim në përputhje, për ta tërhequr atë ose për ta rikthyer atë. Importuesit duhet të informojnë menjëherë Agjencinë Kombëtare të Mjedisit, Inspektoratin Shtetëror për Mbikëqyrjen e Tregut dhe Inspektoratin Teknik Qendror për mospërputhjen e dyshuar dhe për masat korrigjuese të marra.</w:t>
      </w:r>
    </w:p>
    <w:p w14:paraId="35EEBE5B"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 xml:space="preserve">Importuesit mbajnë një kopje të deklaratës së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në dispozicion të autoriteteve të mbikëqyrjes së tregut dhe sigurojnë që dokumentacioni teknik i referuar në Shtojcën VII të këtij vendimi dhe i kërkuar në mbështetje të neneve 11 deri në 17 të jetë i </w:t>
      </w:r>
      <w:proofErr w:type="spellStart"/>
      <w:r w:rsidRPr="00C51AE9">
        <w:rPr>
          <w:rFonts w:ascii="Times New Roman" w:hAnsi="Times New Roman" w:cs="Times New Roman"/>
        </w:rPr>
        <w:t>disponueshëm</w:t>
      </w:r>
      <w:proofErr w:type="spellEnd"/>
      <w:r w:rsidRPr="00C51AE9">
        <w:rPr>
          <w:rFonts w:ascii="Times New Roman" w:hAnsi="Times New Roman" w:cs="Times New Roman"/>
        </w:rPr>
        <w:t>:</w:t>
      </w:r>
    </w:p>
    <w:p w14:paraId="23097E2E" w14:textId="77777777" w:rsidR="00767CD0" w:rsidRPr="00C51AE9" w:rsidRDefault="00C51AE9" w:rsidP="00F635BF">
      <w:pPr>
        <w:numPr>
          <w:ilvl w:val="0"/>
          <w:numId w:val="35"/>
        </w:numPr>
        <w:spacing w:after="0"/>
        <w:ind w:left="1080"/>
        <w:contextualSpacing/>
        <w:jc w:val="both"/>
        <w:rPr>
          <w:rFonts w:ascii="Times New Roman" w:hAnsi="Times New Roman" w:cs="Times New Roman"/>
        </w:rPr>
      </w:pPr>
      <w:r w:rsidRPr="00C51AE9">
        <w:rPr>
          <w:rFonts w:ascii="Times New Roman" w:hAnsi="Times New Roman" w:cs="Times New Roman"/>
        </w:rPr>
        <w:t xml:space="preserve">për ambalazhet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për 5 vjet nga data kur ambalazhimi u vendos në treg; dhe</w:t>
      </w:r>
    </w:p>
    <w:p w14:paraId="3E3A6B60" w14:textId="77777777" w:rsidR="00767CD0" w:rsidRPr="00C51AE9" w:rsidRDefault="00C51AE9" w:rsidP="00F635BF">
      <w:pPr>
        <w:numPr>
          <w:ilvl w:val="0"/>
          <w:numId w:val="35"/>
        </w:numPr>
        <w:spacing w:after="0"/>
        <w:ind w:left="1080"/>
        <w:contextualSpacing/>
        <w:jc w:val="both"/>
        <w:rPr>
          <w:rFonts w:ascii="Times New Roman" w:hAnsi="Times New Roman" w:cs="Times New Roman"/>
        </w:rPr>
      </w:pPr>
      <w:r w:rsidRPr="00C51AE9">
        <w:rPr>
          <w:rFonts w:ascii="Times New Roman" w:hAnsi="Times New Roman" w:cs="Times New Roman"/>
        </w:rPr>
        <w:t xml:space="preserve">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për 10 vjet nga data kur ambalazhimi u vendos në treg.</w:t>
      </w:r>
    </w:p>
    <w:p w14:paraId="62361259"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 xml:space="preserve">Importuesi, pas një kërkese të arsyetuar nga një autoritet kombëtar, i jep atij autoriteti të gjithë informacionin dhe dokumentacionin e nevojshëm për të </w:t>
      </w:r>
      <w:r w:rsidRPr="00C51AE9">
        <w:rPr>
          <w:rFonts w:ascii="Times New Roman" w:hAnsi="Times New Roman" w:cs="Times New Roman"/>
        </w:rPr>
        <w:lastRenderedPageBreak/>
        <w:t>demonstruar përputhshmërinë e</w:t>
      </w:r>
      <w:r w:rsidRPr="00C51AE9">
        <w:rPr>
          <w:rFonts w:ascii="Times New Roman" w:eastAsia="Times New Roman" w:hAnsi="Times New Roman" w:cs="Times New Roman"/>
          <w:kern w:val="0"/>
          <w14:ligatures w14:val="none"/>
        </w:rPr>
        <w:t xml:space="preserve"> ambalazhimit</w:t>
      </w:r>
      <w:r w:rsidRPr="00C51AE9">
        <w:rPr>
          <w:rFonts w:ascii="Times New Roman" w:hAnsi="Times New Roman" w:cs="Times New Roman"/>
        </w:rPr>
        <w:t>, duke përfshirë dokumentacionin teknik, me kërkesat e zbatueshme të përcaktuara në ose në zbatim të neneve 11 deri në 18, në një ose më shumë gjuhë të kuptueshme nga autoriteti kompetent. Informacioni dhe dokumentacioni jepen në formë elektronike dhe, me kërkesë, në formë shkresore. Dokumentet përkatëse vihen në dispozicion brenda 10 ditëve nga marrja e kërkesës nga autoriteti kombëtar.</w:t>
      </w:r>
    </w:p>
    <w:p w14:paraId="4F6ABD51" w14:textId="77777777" w:rsidR="00767CD0" w:rsidRPr="00C51AE9" w:rsidRDefault="00C51AE9" w:rsidP="00F635BF">
      <w:pPr>
        <w:numPr>
          <w:ilvl w:val="0"/>
          <w:numId w:val="34"/>
        </w:numPr>
        <w:spacing w:after="0"/>
        <w:contextualSpacing/>
        <w:jc w:val="both"/>
        <w:rPr>
          <w:rFonts w:ascii="Times New Roman" w:hAnsi="Times New Roman" w:cs="Times New Roman"/>
        </w:rPr>
      </w:pPr>
      <w:r w:rsidRPr="00C51AE9">
        <w:rPr>
          <w:rFonts w:ascii="Times New Roman" w:hAnsi="Times New Roman" w:cs="Times New Roman"/>
        </w:rPr>
        <w:t>Importuesi bashkëpunon me autoritetet kombëtare kompetente për çdo veprim të ndërmarrë për të korrigjuar çdo rast mospërputhjeje me kërkesat e përcaktuara në ose në përputhje me nenet 11 deri në 18.</w:t>
      </w:r>
    </w:p>
    <w:p w14:paraId="4CEDB639" w14:textId="77777777" w:rsidR="00767CD0" w:rsidRPr="00C51AE9" w:rsidRDefault="00767CD0">
      <w:pPr>
        <w:jc w:val="both"/>
        <w:rPr>
          <w:rFonts w:ascii="Times New Roman" w:hAnsi="Times New Roman" w:cs="Times New Roman"/>
          <w:w w:val="90"/>
        </w:rPr>
      </w:pPr>
    </w:p>
    <w:p w14:paraId="567494D4"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25</w:t>
      </w:r>
    </w:p>
    <w:p w14:paraId="517E66FA"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24" w:name="_Toc227317619"/>
      <w:r w:rsidRPr="00C51AE9">
        <w:rPr>
          <w:rFonts w:ascii="Times New Roman" w:eastAsiaTheme="majorEastAsia" w:hAnsi="Times New Roman" w:cs="Times New Roman"/>
          <w:b/>
        </w:rPr>
        <w:t>Detyrimet e shpërndarësve</w:t>
      </w:r>
      <w:bookmarkEnd w:id="24"/>
    </w:p>
    <w:p w14:paraId="7941561D"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Gjatë tregtimit ose vënies në dispozicion të ambalazhit në treg, shpërndarësi duhet të veprojnë me kujdesin e duhur profesional në lidhje me zbatimin e kërkesave të këtij vendimi.</w:t>
      </w:r>
    </w:p>
    <w:p w14:paraId="5A9199CF"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Përpara se ta bëjnë ambalazhin të </w:t>
      </w:r>
      <w:proofErr w:type="spellStart"/>
      <w:r w:rsidRPr="00C51AE9">
        <w:rPr>
          <w:rFonts w:ascii="Times New Roman" w:eastAsia="Times New Roman" w:hAnsi="Times New Roman" w:cs="Times New Roman"/>
          <w:kern w:val="0"/>
          <w14:ligatures w14:val="none"/>
        </w:rPr>
        <w:t>disponueshëm</w:t>
      </w:r>
      <w:proofErr w:type="spellEnd"/>
      <w:r w:rsidRPr="00C51AE9">
        <w:rPr>
          <w:rFonts w:ascii="Times New Roman" w:eastAsia="Times New Roman" w:hAnsi="Times New Roman" w:cs="Times New Roman"/>
          <w:kern w:val="0"/>
          <w14:ligatures w14:val="none"/>
        </w:rPr>
        <w:t xml:space="preserve"> në treg, shpërndarësi detyrohen të verifikojnë nëse:</w:t>
      </w:r>
    </w:p>
    <w:p w14:paraId="1EC67D08" w14:textId="77777777" w:rsidR="00767CD0" w:rsidRPr="00C51AE9" w:rsidRDefault="00C51AE9" w:rsidP="00F635BF">
      <w:pPr>
        <w:numPr>
          <w:ilvl w:val="0"/>
          <w:numId w:val="150"/>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prodhuesi që i nënshtrohet detyrimeve të Përgjegjësisë së Zgjeruar të Prodhuesit është i regjistruar rregullisht në regjistrin kombëtar të prodhuesve sipas përcaktimeve të nenit 47 të këtij vendimi ;</w:t>
      </w:r>
    </w:p>
    <w:p w14:paraId="3FB765C9" w14:textId="77777777" w:rsidR="00767CD0" w:rsidRPr="00C51AE9" w:rsidRDefault="00C51AE9" w:rsidP="00F635BF">
      <w:pPr>
        <w:numPr>
          <w:ilvl w:val="0"/>
          <w:numId w:val="150"/>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ambalazhi është i etiketuar në përputhje me kërkesat e nenit 18 të këtij vendimi;</w:t>
      </w:r>
    </w:p>
    <w:p w14:paraId="79C8AD9A" w14:textId="77777777" w:rsidR="00767CD0" w:rsidRPr="00C51AE9" w:rsidRDefault="00C51AE9" w:rsidP="00F635BF">
      <w:pPr>
        <w:numPr>
          <w:ilvl w:val="0"/>
          <w:numId w:val="150"/>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prodhuesi dhe importuesi kanë respektuar kërkesat e identifikimit dhe të dhënat e kontaktit të parashikuara në nenin 21 pikat 5 dhe 6 dhe nenin 24 të këtij vendimi.</w:t>
      </w:r>
    </w:p>
    <w:p w14:paraId="22B8E821"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Kur një shpërndarës ka arsye të besojë se ambalazhi nuk është në përputhje me kërkesat e për caktuara në nenet 11-18 të këtij vendimi, ai ndalohet ta bëjë atë të </w:t>
      </w:r>
      <w:proofErr w:type="spellStart"/>
      <w:r w:rsidRPr="00C51AE9">
        <w:rPr>
          <w:rFonts w:ascii="Times New Roman" w:eastAsia="Times New Roman" w:hAnsi="Times New Roman" w:cs="Times New Roman"/>
          <w:kern w:val="0"/>
          <w14:ligatures w14:val="none"/>
        </w:rPr>
        <w:t>disponueshëm</w:t>
      </w:r>
      <w:proofErr w:type="spellEnd"/>
      <w:r w:rsidRPr="00C51AE9">
        <w:rPr>
          <w:rFonts w:ascii="Times New Roman" w:eastAsia="Times New Roman" w:hAnsi="Times New Roman" w:cs="Times New Roman"/>
          <w:kern w:val="0"/>
          <w14:ligatures w14:val="none"/>
        </w:rPr>
        <w:t xml:space="preserve"> në treg derisa ambalazhi të jetë sjellë në përputhje të plotë, ose derisa prodhuesi ose importuesi të ketë përmbushur detyrimet përkatëse.</w:t>
      </w:r>
    </w:p>
    <w:p w14:paraId="2AAE0525"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Shpërndarësi siguron që, ndërsa ambalazhi qoftë i zbrazët ose i mbushur me produkt ndodhet nën përgjegjësinë e tyre, kushtet e magazinimit ose të transportit të mos rrezikojnë përputhshmërinë e tij me kërkesat e neneve 11-18 të këtij vendimi.</w:t>
      </w:r>
    </w:p>
    <w:p w14:paraId="71081708"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Ndalohet keqpërdorimi për qëllime tregtare ose përdorimi për çdo qëllim tjetër nga ana e shpërndarësit, i të gjitha informacioneve dhe të dhënave të vëna në dispozicion nga prodhuesi, përveç rasteve të verifikimit të përputhshmërisë me kërkesat e neneve 11-18 të këtij vendimi.</w:t>
      </w:r>
    </w:p>
    <w:p w14:paraId="5E688FC1"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Shpërndarësi që ka arsye të besojë se ambalazhi që kanë bërë të </w:t>
      </w:r>
      <w:proofErr w:type="spellStart"/>
      <w:r w:rsidRPr="00C51AE9">
        <w:rPr>
          <w:rFonts w:ascii="Times New Roman" w:eastAsia="Times New Roman" w:hAnsi="Times New Roman" w:cs="Times New Roman"/>
          <w:kern w:val="0"/>
          <w14:ligatures w14:val="none"/>
        </w:rPr>
        <w:t>disponueshëm</w:t>
      </w:r>
      <w:proofErr w:type="spellEnd"/>
      <w:r w:rsidRPr="00C51AE9">
        <w:rPr>
          <w:rFonts w:ascii="Times New Roman" w:eastAsia="Times New Roman" w:hAnsi="Times New Roman" w:cs="Times New Roman"/>
          <w:kern w:val="0"/>
          <w14:ligatures w14:val="none"/>
        </w:rPr>
        <w:t xml:space="preserve"> në treg nuk është në përputhje me nenet 11-18 këtë këtij vendimi, siguron që sipas rastit të ndërmerren menjëherë masat e nevojshme korrigjuese, për tërheqjen nga tregu ose për kthimin e produktit. </w:t>
      </w:r>
    </w:p>
    <w:p w14:paraId="6C5FD712"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Shpërndarësi informon menjëherë Agjencinë Kombëtare të Mjedisit dhe Inspektoratin Shtetëror të Mbikëqyrjes së Tregut  për mospërputhjen e dyshuar dhe për masat e marra korrigjuese.</w:t>
      </w:r>
    </w:p>
    <w:p w14:paraId="33CAC653" w14:textId="77777777" w:rsidR="00767CD0" w:rsidRPr="00C51AE9" w:rsidRDefault="00C51AE9">
      <w:pPr>
        <w:numPr>
          <w:ilvl w:val="0"/>
          <w:numId w:val="13"/>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 xml:space="preserve">Shpërndarësi detyrohet që, me kërkesë të arsyetuar nga Ministria përgjegjëse për mjedisin, </w:t>
      </w:r>
      <w:r w:rsidRPr="00C51AE9">
        <w:rPr>
          <w:rFonts w:ascii="Times New Roman" w:hAnsi="Times New Roman" w:cs="Times New Roman"/>
        </w:rPr>
        <w:t>Agjencinë Kombëtare të Mjedisit</w:t>
      </w:r>
      <w:r w:rsidRPr="00C51AE9">
        <w:rPr>
          <w:rFonts w:ascii="Times New Roman" w:eastAsia="Times New Roman" w:hAnsi="Times New Roman" w:cs="Times New Roman"/>
          <w:kern w:val="0"/>
          <w14:ligatures w14:val="none"/>
        </w:rPr>
        <w:t xml:space="preserve"> ose Inspektoratin Shtetëror të Mbikëqyrjes së Tregut, t'u japin këtyre autoriteteve të gjithë informacionin dhe dokumentacionin në të cilin ata kanë </w:t>
      </w:r>
      <w:proofErr w:type="spellStart"/>
      <w:r w:rsidRPr="00C51AE9">
        <w:rPr>
          <w:rFonts w:ascii="Times New Roman" w:eastAsia="Times New Roman" w:hAnsi="Times New Roman" w:cs="Times New Roman"/>
          <w:kern w:val="0"/>
          <w14:ligatures w14:val="none"/>
        </w:rPr>
        <w:t>akses</w:t>
      </w:r>
      <w:proofErr w:type="spellEnd"/>
      <w:r w:rsidRPr="00C51AE9">
        <w:rPr>
          <w:rFonts w:ascii="Times New Roman" w:eastAsia="Times New Roman" w:hAnsi="Times New Roman" w:cs="Times New Roman"/>
          <w:kern w:val="0"/>
          <w14:ligatures w14:val="none"/>
        </w:rPr>
        <w:t xml:space="preserve"> dhe që vërteton përputhshmërinë e ambalazhit. Ky informacion jepet në gjuhën shqipe dhe në formë elektronike ose, me kërkesë, në format shkresor.</w:t>
      </w:r>
    </w:p>
    <w:p w14:paraId="05273081" w14:textId="77777777" w:rsidR="00767CD0" w:rsidRPr="00C51AE9" w:rsidRDefault="00C51AE9">
      <w:pPr>
        <w:numPr>
          <w:ilvl w:val="0"/>
          <w:numId w:val="13"/>
        </w:numPr>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Shpërndarësi bashkëpuno plotësisht me autoritetet kombëtare kompetente për çdo veprim të ndërmarrë me qëllim korrigjimin ose eliminimin e rasteve të mospërputhjes së ambalazheve me kërkesat e neneve 11-18 të këtij vendimi.</w:t>
      </w:r>
    </w:p>
    <w:p w14:paraId="4B7C69E1" w14:textId="77777777" w:rsidR="00767CD0" w:rsidRPr="00C51AE9" w:rsidRDefault="00767CD0">
      <w:pPr>
        <w:ind w:left="720"/>
        <w:contextualSpacing/>
        <w:jc w:val="both"/>
        <w:rPr>
          <w:rFonts w:ascii="Times New Roman" w:hAnsi="Times New Roman" w:cs="Times New Roman"/>
        </w:rPr>
      </w:pPr>
    </w:p>
    <w:p w14:paraId="7EF6AC3C"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bookmarkStart w:id="25" w:name="_Toc227317620"/>
      <w:r w:rsidRPr="00C51AE9">
        <w:rPr>
          <w:rFonts w:ascii="Times New Roman" w:eastAsiaTheme="majorEastAsia" w:hAnsi="Times New Roman" w:cs="Times New Roman"/>
          <w:bCs/>
        </w:rPr>
        <w:t>Neni 26</w:t>
      </w:r>
    </w:p>
    <w:p w14:paraId="583A6F49"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 Detyrimet e ofruesve të shërbimeve të përmbushjes</w:t>
      </w:r>
      <w:bookmarkEnd w:id="25"/>
    </w:p>
    <w:p w14:paraId="54CC162A" w14:textId="77777777" w:rsidR="00767CD0" w:rsidRPr="00C51AE9" w:rsidRDefault="00C51AE9">
      <w:pPr>
        <w:ind w:left="360"/>
        <w:contextualSpacing/>
        <w:jc w:val="both"/>
        <w:rPr>
          <w:rFonts w:ascii="Times New Roman" w:hAnsi="Times New Roman" w:cs="Times New Roman"/>
        </w:rPr>
      </w:pPr>
      <w:r w:rsidRPr="00C51AE9">
        <w:rPr>
          <w:rFonts w:ascii="Times New Roman" w:hAnsi="Times New Roman" w:cs="Times New Roman"/>
        </w:rPr>
        <w:t>Ofruesit e shërbimeve të përmbushjes duhet të sigurojnë që për ambalazhimin, qoftë bosh ose me një produkt, që ata trajtojnë, kushtet gjatë magazinimit, trajtimit dhe</w:t>
      </w:r>
      <w:r w:rsidRPr="00C51AE9">
        <w:rPr>
          <w:rFonts w:ascii="Times New Roman" w:eastAsia="Times New Roman" w:hAnsi="Times New Roman" w:cs="Times New Roman"/>
          <w:kern w:val="0"/>
          <w14:ligatures w14:val="none"/>
        </w:rPr>
        <w:t xml:space="preserve"> ambalazhimit</w:t>
      </w:r>
      <w:r w:rsidRPr="00C51AE9">
        <w:rPr>
          <w:rFonts w:ascii="Times New Roman" w:hAnsi="Times New Roman" w:cs="Times New Roman"/>
        </w:rPr>
        <w:t>, adresimit ose dërgimit të mos vënë në rrezik përputhshmërinë e ambalazhimit me kërkesat e përcaktuara në ose në zbatim të neneve 11 deri në 18 të këtij vendimi.</w:t>
      </w:r>
    </w:p>
    <w:p w14:paraId="347B3083" w14:textId="77777777" w:rsidR="00767CD0" w:rsidRPr="00C51AE9" w:rsidRDefault="00767CD0">
      <w:pPr>
        <w:jc w:val="both"/>
        <w:rPr>
          <w:rFonts w:ascii="Times New Roman" w:hAnsi="Times New Roman" w:cs="Times New Roman"/>
          <w:bCs/>
          <w:w w:val="90"/>
        </w:rPr>
      </w:pPr>
    </w:p>
    <w:p w14:paraId="7500D09A"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121712">
        <w:rPr>
          <w:rFonts w:ascii="Times New Roman" w:eastAsiaTheme="majorEastAsia" w:hAnsi="Times New Roman" w:cs="Times New Roman"/>
          <w:bCs/>
        </w:rPr>
        <w:t>Neni 27</w:t>
      </w:r>
      <w:r w:rsidRPr="00C51AE9">
        <w:rPr>
          <w:rFonts w:ascii="Times New Roman" w:eastAsiaTheme="majorEastAsia" w:hAnsi="Times New Roman" w:cs="Times New Roman"/>
          <w:bCs/>
        </w:rPr>
        <w:t xml:space="preserve"> </w:t>
      </w:r>
    </w:p>
    <w:p w14:paraId="3B4F9AEF" w14:textId="77777777" w:rsidR="00767CD0" w:rsidRPr="00C51AE9" w:rsidRDefault="00C51AE9">
      <w:pPr>
        <w:keepNext/>
        <w:keepLines/>
        <w:spacing w:before="160" w:after="80"/>
        <w:ind w:firstLine="360"/>
        <w:jc w:val="center"/>
        <w:outlineLvl w:val="1"/>
        <w:rPr>
          <w:rFonts w:ascii="Times New Roman" w:eastAsiaTheme="majorEastAsia" w:hAnsi="Times New Roman" w:cs="Times New Roman"/>
          <w:b/>
        </w:rPr>
      </w:pPr>
      <w:bookmarkStart w:id="26" w:name="_Toc227317621"/>
      <w:r w:rsidRPr="00C51AE9">
        <w:rPr>
          <w:rFonts w:ascii="Times New Roman" w:eastAsiaTheme="majorEastAsia" w:hAnsi="Times New Roman" w:cs="Times New Roman"/>
          <w:b/>
        </w:rPr>
        <w:t>Rastet kur detyrimet e prodhuesve zbatohen për importuesit dhe shpërndarësit</w:t>
      </w:r>
      <w:bookmarkEnd w:id="26"/>
    </w:p>
    <w:p w14:paraId="77F78761" w14:textId="77777777" w:rsidR="00767CD0" w:rsidRPr="00C51AE9" w:rsidRDefault="00C51AE9" w:rsidP="00F635BF">
      <w:pPr>
        <w:numPr>
          <w:ilvl w:val="0"/>
          <w:numId w:val="36"/>
        </w:numPr>
        <w:contextualSpacing/>
        <w:jc w:val="both"/>
        <w:rPr>
          <w:rFonts w:ascii="Times New Roman" w:hAnsi="Times New Roman" w:cs="Times New Roman"/>
        </w:rPr>
      </w:pPr>
      <w:r w:rsidRPr="00C51AE9">
        <w:rPr>
          <w:rFonts w:ascii="Times New Roman" w:hAnsi="Times New Roman" w:cs="Times New Roman"/>
        </w:rPr>
        <w:t>Kur një importues ose një shpërndarës e hedh ambalazhin në treg nën emrin ose markën e vet tregtare, ose modifikon ambalazhin e hedhur tashmë në treg në një mënyrë që mund të ndikojë në përputhshmërinë me kërkesat e këtij vendimi, ky importues ose shpërndarës konsiderohet si prodhuesi përgjegjës dhe u nënshtrohet të gjitha detyrimeve të përcaktuara për prodhuesit në nenin 21 të këtij vendimi.</w:t>
      </w:r>
    </w:p>
    <w:p w14:paraId="6E119C28" w14:textId="77777777" w:rsidR="00767CD0" w:rsidRPr="00C51AE9" w:rsidRDefault="00C51AE9" w:rsidP="00F635BF">
      <w:pPr>
        <w:numPr>
          <w:ilvl w:val="0"/>
          <w:numId w:val="36"/>
        </w:numPr>
        <w:contextualSpacing/>
        <w:jc w:val="both"/>
        <w:rPr>
          <w:rFonts w:ascii="Times New Roman" w:hAnsi="Times New Roman" w:cs="Times New Roman"/>
        </w:rPr>
      </w:pPr>
      <w:r w:rsidRPr="00C51AE9">
        <w:rPr>
          <w:rFonts w:ascii="Times New Roman" w:hAnsi="Times New Roman" w:cs="Times New Roman"/>
        </w:rPr>
        <w:t xml:space="preserve">Kur importuesi ose shpërndarësi i përmendur në pikën 1 të këtij neni është </w:t>
      </w:r>
      <w:proofErr w:type="spellStart"/>
      <w:r w:rsidRPr="00C51AE9">
        <w:rPr>
          <w:rFonts w:ascii="Times New Roman" w:hAnsi="Times New Roman" w:cs="Times New Roman"/>
        </w:rPr>
        <w:t>mikrondërmarrje</w:t>
      </w:r>
      <w:proofErr w:type="spellEnd"/>
      <w:r w:rsidRPr="00C51AE9">
        <w:rPr>
          <w:rFonts w:ascii="Times New Roman" w:hAnsi="Times New Roman" w:cs="Times New Roman"/>
        </w:rPr>
        <w:t xml:space="preserve"> dhe furnizohet me ambalazhe nga një person fizik ose juridik i vendosur në territorin e Republikës së Shqipërisë, detyrimet e prodhuesit sipas këtij vendimi përmbushen nga furnizuesi i ambalazhit.</w:t>
      </w:r>
    </w:p>
    <w:p w14:paraId="34A0978E"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121712">
        <w:rPr>
          <w:rFonts w:ascii="Times New Roman" w:eastAsiaTheme="majorEastAsia" w:hAnsi="Times New Roman" w:cs="Times New Roman"/>
          <w:bCs/>
        </w:rPr>
        <w:t>Neni 28</w:t>
      </w:r>
      <w:r w:rsidRPr="00C51AE9">
        <w:rPr>
          <w:rFonts w:ascii="Times New Roman" w:eastAsiaTheme="majorEastAsia" w:hAnsi="Times New Roman" w:cs="Times New Roman"/>
          <w:bCs/>
        </w:rPr>
        <w:t xml:space="preserve"> </w:t>
      </w:r>
    </w:p>
    <w:p w14:paraId="0FE2E128"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27" w:name="_Toc227317622"/>
      <w:r w:rsidRPr="00C51AE9">
        <w:rPr>
          <w:rFonts w:ascii="Times New Roman" w:eastAsiaTheme="majorEastAsia" w:hAnsi="Times New Roman" w:cs="Times New Roman"/>
          <w:b/>
        </w:rPr>
        <w:t>Identifikimi i operatorëve ekonomikë</w:t>
      </w:r>
      <w:bookmarkEnd w:id="27"/>
    </w:p>
    <w:p w14:paraId="0DE46259" w14:textId="77777777" w:rsidR="00767CD0" w:rsidRPr="00C51AE9" w:rsidRDefault="00C51AE9" w:rsidP="00F635BF">
      <w:pPr>
        <w:numPr>
          <w:ilvl w:val="0"/>
          <w:numId w:val="37"/>
        </w:numPr>
        <w:spacing w:after="0"/>
        <w:contextualSpacing/>
        <w:jc w:val="both"/>
        <w:rPr>
          <w:rFonts w:ascii="Times New Roman" w:hAnsi="Times New Roman" w:cs="Times New Roman"/>
        </w:rPr>
      </w:pPr>
      <w:r w:rsidRPr="00C51AE9">
        <w:rPr>
          <w:rFonts w:ascii="Times New Roman" w:hAnsi="Times New Roman" w:cs="Times New Roman"/>
        </w:rPr>
        <w:t>Operatorët ekonomikë, me kërkesë, u vënë në dispozicion autoriteteve të mbikëqyrjes së tregut informacionin e mëposhtëm:</w:t>
      </w:r>
    </w:p>
    <w:p w14:paraId="0D9DA742" w14:textId="77777777" w:rsidR="00767CD0" w:rsidRPr="00C51AE9" w:rsidRDefault="00C51AE9" w:rsidP="00F635BF">
      <w:pPr>
        <w:numPr>
          <w:ilvl w:val="0"/>
          <w:numId w:val="67"/>
        </w:numPr>
        <w:spacing w:after="0"/>
        <w:ind w:left="1080"/>
        <w:contextualSpacing/>
        <w:jc w:val="both"/>
        <w:rPr>
          <w:rFonts w:ascii="Times New Roman" w:hAnsi="Times New Roman" w:cs="Times New Roman"/>
        </w:rPr>
      </w:pPr>
      <w:r w:rsidRPr="00C51AE9">
        <w:rPr>
          <w:rFonts w:ascii="Times New Roman" w:hAnsi="Times New Roman" w:cs="Times New Roman"/>
        </w:rPr>
        <w:t>identitetin e çdo operatori ekonomik që i ka furnizuar ata me ambalazhe ose me produkte të ambalazhuara;</w:t>
      </w:r>
    </w:p>
    <w:p w14:paraId="742647EB" w14:textId="77777777" w:rsidR="00767CD0" w:rsidRPr="00C51AE9" w:rsidRDefault="00C51AE9" w:rsidP="00F635BF">
      <w:pPr>
        <w:numPr>
          <w:ilvl w:val="0"/>
          <w:numId w:val="67"/>
        </w:numPr>
        <w:tabs>
          <w:tab w:val="left" w:pos="450"/>
        </w:tabs>
        <w:spacing w:after="0"/>
        <w:ind w:left="1080"/>
        <w:contextualSpacing/>
        <w:jc w:val="both"/>
        <w:rPr>
          <w:rFonts w:ascii="Times New Roman" w:hAnsi="Times New Roman" w:cs="Times New Roman"/>
        </w:rPr>
      </w:pPr>
      <w:r w:rsidRPr="00C51AE9">
        <w:rPr>
          <w:rFonts w:ascii="Times New Roman" w:hAnsi="Times New Roman" w:cs="Times New Roman"/>
        </w:rPr>
        <w:t>identitetin e çdo operatori ekonomik të cilit ata i kanë furnizuar ambalazhe ose produkte të ambalazhuara.</w:t>
      </w:r>
    </w:p>
    <w:p w14:paraId="7BA2045E" w14:textId="77777777" w:rsidR="00767CD0" w:rsidRPr="00C51AE9" w:rsidRDefault="00C51AE9">
      <w:pPr>
        <w:spacing w:after="0"/>
        <w:ind w:left="630" w:hanging="270"/>
        <w:jc w:val="both"/>
        <w:rPr>
          <w:rFonts w:ascii="Times New Roman" w:hAnsi="Times New Roman" w:cs="Times New Roman"/>
        </w:rPr>
      </w:pPr>
      <w:r w:rsidRPr="00C51AE9">
        <w:rPr>
          <w:rFonts w:ascii="Times New Roman" w:hAnsi="Times New Roman" w:cs="Times New Roman"/>
        </w:rPr>
        <w:t>2. Operatorët ekonomikë mbajnë dhe vënë në dispozicion informacionin e përmendur në pikën 1 të këtij neni, për periudhat e mëposhtme kalendarike:</w:t>
      </w:r>
    </w:p>
    <w:p w14:paraId="118E900C" w14:textId="77777777" w:rsidR="00767CD0" w:rsidRPr="00C51AE9" w:rsidRDefault="00C51AE9" w:rsidP="00F635BF">
      <w:pPr>
        <w:numPr>
          <w:ilvl w:val="1"/>
          <w:numId w:val="68"/>
        </w:numPr>
        <w:spacing w:after="0"/>
        <w:ind w:left="1080" w:hanging="270"/>
        <w:contextualSpacing/>
        <w:jc w:val="both"/>
        <w:rPr>
          <w:rFonts w:ascii="Times New Roman" w:hAnsi="Times New Roman" w:cs="Times New Roman"/>
        </w:rPr>
      </w:pPr>
      <w:r w:rsidRPr="00C51AE9">
        <w:rPr>
          <w:rFonts w:ascii="Times New Roman" w:hAnsi="Times New Roman" w:cs="Times New Roman"/>
        </w:rPr>
        <w:t xml:space="preserve">për ambalazhet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për një periudhë prej 5 vjetësh nga data e furnizimit ose e marrjes së furnizimit;</w:t>
      </w:r>
    </w:p>
    <w:p w14:paraId="2538E69E" w14:textId="77777777" w:rsidR="00767CD0" w:rsidRPr="00C51AE9" w:rsidRDefault="00C51AE9" w:rsidP="00F635BF">
      <w:pPr>
        <w:numPr>
          <w:ilvl w:val="1"/>
          <w:numId w:val="68"/>
        </w:numPr>
        <w:spacing w:after="0"/>
        <w:ind w:left="1080" w:hanging="270"/>
        <w:contextualSpacing/>
        <w:jc w:val="both"/>
        <w:rPr>
          <w:rFonts w:ascii="Times New Roman" w:hAnsi="Times New Roman" w:cs="Times New Roman"/>
        </w:rPr>
      </w:pPr>
      <w:r w:rsidRPr="00C51AE9">
        <w:rPr>
          <w:rFonts w:ascii="Times New Roman" w:hAnsi="Times New Roman" w:cs="Times New Roman"/>
        </w:rPr>
        <w:t xml:space="preserve">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për një periudhë prej 10 vjetësh nga data e furnizimit ose e marrjes së furnizimit.</w:t>
      </w:r>
    </w:p>
    <w:p w14:paraId="12F3EF1A" w14:textId="77777777" w:rsidR="00767CD0" w:rsidRPr="00C51AE9" w:rsidRDefault="00C51AE9" w:rsidP="00F635BF">
      <w:pPr>
        <w:pStyle w:val="ListParagraph"/>
        <w:numPr>
          <w:ilvl w:val="0"/>
          <w:numId w:val="36"/>
        </w:numPr>
        <w:jc w:val="both"/>
        <w:rPr>
          <w:rFonts w:ascii="Times New Roman" w:hAnsi="Times New Roman" w:cs="Times New Roman"/>
        </w:rPr>
      </w:pPr>
      <w:r w:rsidRPr="00C51AE9">
        <w:rPr>
          <w:rFonts w:ascii="Times New Roman" w:hAnsi="Times New Roman" w:cs="Times New Roman"/>
        </w:rPr>
        <w:lastRenderedPageBreak/>
        <w:t>Kur organizimi i menaxhimit të mbetjeve të ambalazheve është përgjegjësi e autoriteteve publike, operatorët e menaxhimit të mbetjeve të ambalazheve u vënë në dispozicion këtyre autoriteteve, çdo vit, të gjithë informacionin e nevojshëm për përmbushjen e detyrimeve të raportimit sipas nenit 29 të këtij vendimi dhe tabelës 3 të Shtojcës X, ose i japin mjete të tjera për plotësimin e regjistrit elektronik, sipas legjislacionit në fuqi për menaxhimin e integruar të mbetjeve.</w:t>
      </w:r>
    </w:p>
    <w:p w14:paraId="332878A9"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29 </w:t>
      </w:r>
    </w:p>
    <w:p w14:paraId="32A9B86C" w14:textId="77777777" w:rsidR="00767CD0" w:rsidRPr="00C51AE9" w:rsidRDefault="00C51AE9">
      <w:pPr>
        <w:keepNext/>
        <w:keepLines/>
        <w:spacing w:before="160" w:after="80"/>
        <w:ind w:firstLine="360"/>
        <w:jc w:val="center"/>
        <w:outlineLvl w:val="1"/>
        <w:rPr>
          <w:rFonts w:ascii="Times New Roman" w:eastAsiaTheme="majorEastAsia" w:hAnsi="Times New Roman" w:cs="Times New Roman"/>
          <w:b/>
        </w:rPr>
      </w:pPr>
      <w:bookmarkStart w:id="28" w:name="_Toc227317623"/>
      <w:r w:rsidRPr="00C51AE9">
        <w:rPr>
          <w:rFonts w:ascii="Times New Roman" w:eastAsiaTheme="majorEastAsia" w:hAnsi="Times New Roman" w:cs="Times New Roman"/>
          <w:b/>
        </w:rPr>
        <w:t>Detyrimet për informacion të operatorëve të menaxhimit të mbetjeve të ambalazhimit</w:t>
      </w:r>
      <w:bookmarkEnd w:id="28"/>
    </w:p>
    <w:p w14:paraId="3414D696" w14:textId="77777777" w:rsidR="00767CD0" w:rsidRPr="00C51AE9" w:rsidRDefault="00C51AE9" w:rsidP="00F635BF">
      <w:pPr>
        <w:numPr>
          <w:ilvl w:val="0"/>
          <w:numId w:val="38"/>
        </w:numPr>
        <w:ind w:left="540" w:hanging="180"/>
        <w:contextualSpacing/>
        <w:jc w:val="both"/>
        <w:rPr>
          <w:rFonts w:ascii="Times New Roman" w:hAnsi="Times New Roman" w:cs="Times New Roman"/>
        </w:rPr>
      </w:pPr>
      <w:r w:rsidRPr="00C51AE9">
        <w:rPr>
          <w:rFonts w:ascii="Times New Roman" w:hAnsi="Times New Roman" w:cs="Times New Roman"/>
        </w:rPr>
        <w:t>Operatorët e menaxhimit të mbetjeve të ambalazheve detyrohen që, jo më vonë se data 31 janar e çdo viti, të dorëzojnë pranë Agjencisë Kombëtare të Mjedisit të dhënat dhe informacionin e plotë mbi mbetjet e ambalazheve, të përcaktuara në Tabelën 3 të Shtojcës X të këtij vendimi, për vitin kalendarik paraardhës.</w:t>
      </w:r>
    </w:p>
    <w:p w14:paraId="1E78F9AF"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2. Operatorët e menaxhimit të mbetjeve të ambalazheve u vënë në dispozicion, çdo vit,   prodhuesve, në rastin e përmbushjes individuale të detyrimeve të përgjegjësisë së zgjeruar të prodhuesit, ose shoqërisë së përgjegjësisë së zgjeruar të prodhuesve, së cilës i është besuar përmbushja e këtyre detyrimeve, në rastin e përmbushjes kolektive të detyrimeve të përgjegjësisë së zgjeruar të prodhuesit, të gjithë informacionin e nevojshëm për përmbushjen e detyrimeve të informimit të përcaktuara në nenin 65 të këtij vendimi.</w:t>
      </w:r>
    </w:p>
    <w:p w14:paraId="220F631A" w14:textId="77777777" w:rsidR="00767CD0" w:rsidRPr="00C51AE9" w:rsidRDefault="00767CD0">
      <w:pPr>
        <w:jc w:val="both"/>
        <w:rPr>
          <w:rFonts w:ascii="Times New Roman" w:hAnsi="Times New Roman" w:cs="Times New Roman"/>
          <w:w w:val="90"/>
        </w:rPr>
      </w:pPr>
    </w:p>
    <w:p w14:paraId="43599C96" w14:textId="77777777" w:rsidR="00767CD0" w:rsidRPr="00C51AE9" w:rsidRDefault="00C51AE9">
      <w:pPr>
        <w:keepNext/>
        <w:keepLines/>
        <w:spacing w:before="360" w:after="80"/>
        <w:jc w:val="center"/>
        <w:outlineLvl w:val="0"/>
        <w:rPr>
          <w:rFonts w:ascii="Times New Roman" w:hAnsi="Times New Roman" w:cs="Times New Roman"/>
          <w:b/>
          <w:bCs/>
        </w:rPr>
      </w:pPr>
      <w:r w:rsidRPr="00C51AE9">
        <w:rPr>
          <w:rFonts w:ascii="Times New Roman" w:hAnsi="Times New Roman" w:cs="Times New Roman"/>
          <w:b/>
          <w:bCs/>
        </w:rPr>
        <w:t>KREU V</w:t>
      </w:r>
    </w:p>
    <w:p w14:paraId="5FD8EC8C" w14:textId="77777777" w:rsidR="00767CD0" w:rsidRPr="00C51AE9" w:rsidRDefault="00C51AE9">
      <w:pPr>
        <w:keepNext/>
        <w:keepLines/>
        <w:spacing w:before="360" w:after="80"/>
        <w:jc w:val="center"/>
        <w:outlineLvl w:val="0"/>
        <w:rPr>
          <w:rFonts w:ascii="Times New Roman" w:hAnsi="Times New Roman" w:cs="Times New Roman"/>
          <w:b/>
          <w:bCs/>
        </w:rPr>
      </w:pPr>
      <w:bookmarkStart w:id="29" w:name="_Toc227317624"/>
      <w:r w:rsidRPr="00C51AE9">
        <w:rPr>
          <w:rFonts w:ascii="Times New Roman" w:hAnsi="Times New Roman" w:cs="Times New Roman"/>
          <w:b/>
          <w:bCs/>
        </w:rPr>
        <w:t>DETYRIMET E OPERATORËVE EKONOMIKË PËR TË REDUKTUAR AMBALAZHIMIN DHE MBETJET NGA AMBALAZHIMI</w:t>
      </w:r>
      <w:bookmarkEnd w:id="29"/>
    </w:p>
    <w:p w14:paraId="1FF7B0B2" w14:textId="77777777" w:rsidR="00767CD0" w:rsidRPr="00C51AE9" w:rsidRDefault="00C51AE9">
      <w:pPr>
        <w:keepNext/>
        <w:keepLines/>
        <w:spacing w:before="160" w:after="80"/>
        <w:jc w:val="center"/>
        <w:outlineLvl w:val="1"/>
        <w:rPr>
          <w:rFonts w:ascii="Times New Roman" w:eastAsiaTheme="majorEastAsia" w:hAnsi="Times New Roman" w:cs="Times New Roman"/>
        </w:rPr>
      </w:pPr>
      <w:r w:rsidRPr="00C51AE9">
        <w:rPr>
          <w:rFonts w:ascii="Times New Roman" w:eastAsiaTheme="majorEastAsia" w:hAnsi="Times New Roman" w:cs="Times New Roman"/>
        </w:rPr>
        <w:t>Neni 30</w:t>
      </w:r>
    </w:p>
    <w:p w14:paraId="7C425D79" w14:textId="77777777" w:rsidR="00767CD0" w:rsidRPr="00C51AE9" w:rsidRDefault="00C51AE9">
      <w:pPr>
        <w:jc w:val="center"/>
        <w:rPr>
          <w:rFonts w:ascii="Times New Roman" w:hAnsi="Times New Roman" w:cs="Times New Roman"/>
          <w:b/>
          <w:bCs/>
        </w:rPr>
      </w:pPr>
      <w:bookmarkStart w:id="30" w:name="_Toc227317625"/>
      <w:r w:rsidRPr="00C51AE9">
        <w:rPr>
          <w:rFonts w:ascii="Times New Roman" w:hAnsi="Times New Roman" w:cs="Times New Roman"/>
          <w:b/>
          <w:bCs/>
        </w:rPr>
        <w:t>Detyrimi për shmangien e ambalazhimit të tepërt</w:t>
      </w:r>
      <w:bookmarkEnd w:id="30"/>
    </w:p>
    <w:p w14:paraId="1908EFBC" w14:textId="77777777" w:rsidR="00767CD0" w:rsidRPr="00C51AE9" w:rsidRDefault="00C51AE9">
      <w:pPr>
        <w:numPr>
          <w:ilvl w:val="0"/>
          <w:numId w:val="14"/>
        </w:numPr>
        <w:spacing w:after="0"/>
        <w:contextualSpacing/>
        <w:jc w:val="both"/>
        <w:rPr>
          <w:rFonts w:ascii="Times New Roman" w:hAnsi="Times New Roman" w:cs="Times New Roman"/>
        </w:rPr>
      </w:pPr>
      <w:r w:rsidRPr="00C51AE9">
        <w:rPr>
          <w:rFonts w:ascii="Times New Roman" w:hAnsi="Times New Roman" w:cs="Times New Roman"/>
        </w:rPr>
        <w:t>Operatorët ekonomikë që mbushin ambalazhet e grupuara, ambalazhet e transportit ose ambalazhet e tregtisë elektronike, sigurojnë që raporti maksimal i hapësirës bosh të mos kalojë kufirin prej 50% (pesëdhjetë për qind) të vëllimit total të ambalazhit.</w:t>
      </w:r>
    </w:p>
    <w:p w14:paraId="06E1ADAE" w14:textId="77777777" w:rsidR="00767CD0" w:rsidRPr="00C51AE9" w:rsidRDefault="00C51AE9">
      <w:pPr>
        <w:numPr>
          <w:ilvl w:val="0"/>
          <w:numId w:val="14"/>
        </w:numPr>
        <w:spacing w:after="0"/>
        <w:contextualSpacing/>
        <w:jc w:val="both"/>
        <w:rPr>
          <w:rFonts w:ascii="Times New Roman" w:hAnsi="Times New Roman" w:cs="Times New Roman"/>
        </w:rPr>
      </w:pPr>
      <w:r w:rsidRPr="00C51AE9">
        <w:rPr>
          <w:rFonts w:ascii="Times New Roman" w:hAnsi="Times New Roman" w:cs="Times New Roman"/>
        </w:rPr>
        <w:t>Ministria përgjegjëse për mjedisin miraton me udhëzim metodologjinë për llogaritjen e raportit të hapësirës së zbrazët. Kjo metodologji merr në konsideratë karakteristikat e veçanta të ambalazheve për:</w:t>
      </w:r>
    </w:p>
    <w:p w14:paraId="1AD0B066" w14:textId="77777777" w:rsidR="00767CD0" w:rsidRPr="00C51AE9" w:rsidRDefault="00C51AE9" w:rsidP="00F635BF">
      <w:pPr>
        <w:numPr>
          <w:ilvl w:val="1"/>
          <w:numId w:val="86"/>
        </w:numPr>
        <w:tabs>
          <w:tab w:val="left" w:pos="540"/>
        </w:tabs>
        <w:spacing w:after="0"/>
        <w:ind w:left="1170"/>
        <w:contextualSpacing/>
        <w:jc w:val="both"/>
        <w:rPr>
          <w:rFonts w:ascii="Times New Roman" w:hAnsi="Times New Roman" w:cs="Times New Roman"/>
        </w:rPr>
      </w:pPr>
      <w:r w:rsidRPr="00C51AE9">
        <w:rPr>
          <w:rFonts w:ascii="Times New Roman" w:hAnsi="Times New Roman" w:cs="Times New Roman"/>
        </w:rPr>
        <w:t>produktet me formë të parregullt gjeometrike;</w:t>
      </w:r>
    </w:p>
    <w:p w14:paraId="530BF7C5" w14:textId="77777777" w:rsidR="00767CD0" w:rsidRPr="00C51AE9" w:rsidRDefault="00C51AE9" w:rsidP="00F635BF">
      <w:pPr>
        <w:numPr>
          <w:ilvl w:val="1"/>
          <w:numId w:val="86"/>
        </w:numPr>
        <w:tabs>
          <w:tab w:val="left" w:pos="540"/>
        </w:tabs>
        <w:spacing w:after="0"/>
        <w:ind w:left="1170"/>
        <w:contextualSpacing/>
        <w:jc w:val="both"/>
        <w:rPr>
          <w:rFonts w:ascii="Times New Roman" w:hAnsi="Times New Roman" w:cs="Times New Roman"/>
        </w:rPr>
      </w:pPr>
      <w:r w:rsidRPr="00C51AE9">
        <w:rPr>
          <w:rFonts w:ascii="Times New Roman" w:hAnsi="Times New Roman" w:cs="Times New Roman"/>
        </w:rPr>
        <w:t>ambalazhet që përmbajnë më shumë se një ambalazh shitjeje ose produkt;</w:t>
      </w:r>
    </w:p>
    <w:p w14:paraId="0D2D1BAF" w14:textId="77777777" w:rsidR="00767CD0" w:rsidRPr="00C51AE9" w:rsidRDefault="00C51AE9" w:rsidP="00F635BF">
      <w:pPr>
        <w:numPr>
          <w:ilvl w:val="1"/>
          <w:numId w:val="86"/>
        </w:numPr>
        <w:tabs>
          <w:tab w:val="left" w:pos="540"/>
          <w:tab w:val="left" w:pos="810"/>
        </w:tabs>
        <w:spacing w:after="0"/>
        <w:ind w:left="1170"/>
        <w:contextualSpacing/>
        <w:jc w:val="both"/>
        <w:rPr>
          <w:rFonts w:ascii="Times New Roman" w:hAnsi="Times New Roman" w:cs="Times New Roman"/>
        </w:rPr>
      </w:pPr>
      <w:r w:rsidRPr="00C51AE9">
        <w:rPr>
          <w:rFonts w:ascii="Times New Roman" w:hAnsi="Times New Roman" w:cs="Times New Roman"/>
        </w:rPr>
        <w:t>ambalazhet që përmbajnë produkte të lëngshme ose produkte përmbajtja e të cilave dëmtohet lehtësisht;</w:t>
      </w:r>
    </w:p>
    <w:p w14:paraId="168BB742" w14:textId="77777777" w:rsidR="00767CD0" w:rsidRPr="00C51AE9" w:rsidRDefault="00C51AE9">
      <w:pPr>
        <w:tabs>
          <w:tab w:val="left" w:pos="540"/>
        </w:tabs>
        <w:spacing w:after="0"/>
        <w:ind w:left="810"/>
        <w:jc w:val="both"/>
        <w:rPr>
          <w:rFonts w:ascii="Times New Roman" w:hAnsi="Times New Roman" w:cs="Times New Roman"/>
        </w:rPr>
      </w:pPr>
      <w:r w:rsidRPr="00C51AE9">
        <w:rPr>
          <w:rFonts w:ascii="Times New Roman" w:hAnsi="Times New Roman" w:cs="Times New Roman"/>
        </w:rPr>
        <w:t>ç.   produktet e përmasave të vogla që rrezikohen nga produktet më të mëdha;</w:t>
      </w:r>
    </w:p>
    <w:p w14:paraId="090218AD" w14:textId="77777777" w:rsidR="00767CD0" w:rsidRPr="00C51AE9" w:rsidRDefault="00C51AE9" w:rsidP="00F635BF">
      <w:pPr>
        <w:numPr>
          <w:ilvl w:val="1"/>
          <w:numId w:val="86"/>
        </w:numPr>
        <w:tabs>
          <w:tab w:val="left" w:pos="540"/>
        </w:tabs>
        <w:spacing w:after="0"/>
        <w:ind w:left="1170"/>
        <w:contextualSpacing/>
        <w:jc w:val="both"/>
        <w:rPr>
          <w:rFonts w:ascii="Times New Roman" w:hAnsi="Times New Roman" w:cs="Times New Roman"/>
        </w:rPr>
      </w:pPr>
      <w:r w:rsidRPr="00C51AE9">
        <w:rPr>
          <w:rFonts w:ascii="Times New Roman" w:hAnsi="Times New Roman" w:cs="Times New Roman"/>
        </w:rPr>
        <w:t>hapësirën minimale të nevojshme në ambalazhet e transportit për vendosjen e etiketave të dërgesës.</w:t>
      </w:r>
    </w:p>
    <w:p w14:paraId="30795314" w14:textId="77777777" w:rsidR="00767CD0" w:rsidRPr="00C51AE9" w:rsidRDefault="00C51AE9">
      <w:pPr>
        <w:tabs>
          <w:tab w:val="left" w:pos="540"/>
        </w:tabs>
        <w:spacing w:after="0"/>
        <w:ind w:left="540" w:hanging="270"/>
        <w:jc w:val="both"/>
        <w:rPr>
          <w:rFonts w:ascii="Times New Roman" w:hAnsi="Times New Roman" w:cs="Times New Roman"/>
        </w:rPr>
      </w:pPr>
      <w:r w:rsidRPr="00C51AE9">
        <w:rPr>
          <w:rFonts w:ascii="Times New Roman" w:hAnsi="Times New Roman" w:cs="Times New Roman"/>
        </w:rPr>
        <w:lastRenderedPageBreak/>
        <w:t xml:space="preserve">3. </w:t>
      </w:r>
      <w:r w:rsidRPr="00C51AE9">
        <w:rPr>
          <w:rFonts w:ascii="Times New Roman" w:hAnsi="Times New Roman" w:cs="Times New Roman"/>
        </w:rPr>
        <w:tab/>
        <w:t>Për qëllimet e llogaritjes së raportit sipas pikës 1 të këtij neni, zbatohen përkufizimet e mëposhtme:</w:t>
      </w:r>
    </w:p>
    <w:p w14:paraId="397502E1" w14:textId="77777777" w:rsidR="00767CD0" w:rsidRPr="00C51AE9" w:rsidRDefault="00C51AE9" w:rsidP="00F635BF">
      <w:pPr>
        <w:numPr>
          <w:ilvl w:val="1"/>
          <w:numId w:val="87"/>
        </w:numPr>
        <w:spacing w:after="0"/>
        <w:ind w:left="1170"/>
        <w:contextualSpacing/>
        <w:jc w:val="both"/>
        <w:rPr>
          <w:rFonts w:ascii="Times New Roman" w:hAnsi="Times New Roman" w:cs="Times New Roman"/>
        </w:rPr>
      </w:pPr>
      <w:r w:rsidRPr="00C51AE9">
        <w:rPr>
          <w:rFonts w:ascii="Times New Roman" w:hAnsi="Times New Roman" w:cs="Times New Roman"/>
        </w:rPr>
        <w:t>“hapësirë boshe”, nënkupton  diferencën ndërmjet vëllimit total të ambalazhit të grupuar, të transportit ose të tregtisë elektronike dhe vëllimit të ambalazhit të shitjes të përmbajtur në të;</w:t>
      </w:r>
    </w:p>
    <w:p w14:paraId="58FC38B2" w14:textId="77777777" w:rsidR="00767CD0" w:rsidRPr="00C51AE9" w:rsidRDefault="00C51AE9" w:rsidP="00F635BF">
      <w:pPr>
        <w:numPr>
          <w:ilvl w:val="1"/>
          <w:numId w:val="87"/>
        </w:numPr>
        <w:spacing w:after="0"/>
        <w:ind w:left="1170"/>
        <w:contextualSpacing/>
        <w:jc w:val="both"/>
        <w:rPr>
          <w:rFonts w:ascii="Times New Roman" w:hAnsi="Times New Roman" w:cs="Times New Roman"/>
        </w:rPr>
      </w:pPr>
      <w:r w:rsidRPr="00C51AE9">
        <w:rPr>
          <w:rFonts w:ascii="Times New Roman" w:hAnsi="Times New Roman" w:cs="Times New Roman"/>
        </w:rPr>
        <w:t>“raporti i hapësirës boshe”, nën kupton për pjesëtimin ndërmjet hapësirës boshe (sipas shkronjës "a") dhe vëllimit total të ambalazhit të grupuar, të transportit ose të tregtisë elektronike;</w:t>
      </w:r>
    </w:p>
    <w:p w14:paraId="5F17DF07" w14:textId="77777777" w:rsidR="00767CD0" w:rsidRPr="00C51AE9" w:rsidRDefault="00C51AE9" w:rsidP="00F635BF">
      <w:pPr>
        <w:numPr>
          <w:ilvl w:val="1"/>
          <w:numId w:val="87"/>
        </w:numPr>
        <w:spacing w:after="0"/>
        <w:ind w:left="1170"/>
        <w:contextualSpacing/>
        <w:jc w:val="both"/>
        <w:rPr>
          <w:rFonts w:ascii="Times New Roman" w:hAnsi="Times New Roman" w:cs="Times New Roman"/>
        </w:rPr>
      </w:pPr>
      <w:r w:rsidRPr="00C51AE9">
        <w:rPr>
          <w:rFonts w:ascii="Times New Roman" w:hAnsi="Times New Roman" w:cs="Times New Roman"/>
        </w:rPr>
        <w:t xml:space="preserve">hapësira e mbushur me materiale mbushëse (si prerje letre, jastëkë ajri, mbështjellës me flluska, mbushës sfungjeri, shkumë, lesh druri, </w:t>
      </w:r>
      <w:proofErr w:type="spellStart"/>
      <w:r w:rsidRPr="00C51AE9">
        <w:rPr>
          <w:rFonts w:ascii="Times New Roman" w:hAnsi="Times New Roman" w:cs="Times New Roman"/>
        </w:rPr>
        <w:t>polistiren</w:t>
      </w:r>
      <w:proofErr w:type="spellEnd"/>
      <w:r w:rsidRPr="00C51AE9">
        <w:rPr>
          <w:rFonts w:ascii="Times New Roman" w:hAnsi="Times New Roman" w:cs="Times New Roman"/>
        </w:rPr>
        <w:t xml:space="preserve"> ose copa </w:t>
      </w:r>
      <w:proofErr w:type="spellStart"/>
      <w:r w:rsidRPr="00C51AE9">
        <w:rPr>
          <w:rFonts w:ascii="Times New Roman" w:hAnsi="Times New Roman" w:cs="Times New Roman"/>
        </w:rPr>
        <w:t>stiropori</w:t>
      </w:r>
      <w:proofErr w:type="spellEnd"/>
      <w:r w:rsidRPr="00C51AE9">
        <w:rPr>
          <w:rFonts w:ascii="Times New Roman" w:hAnsi="Times New Roman" w:cs="Times New Roman"/>
        </w:rPr>
        <w:t xml:space="preserve"> konsiderohet si hapësirë boshe.</w:t>
      </w:r>
    </w:p>
    <w:p w14:paraId="31D3EBA2" w14:textId="77777777" w:rsidR="00767CD0" w:rsidRPr="00C51AE9" w:rsidRDefault="00C51AE9">
      <w:pPr>
        <w:spacing w:after="0"/>
        <w:ind w:left="540" w:hanging="270"/>
        <w:jc w:val="both"/>
        <w:rPr>
          <w:rFonts w:ascii="Times New Roman" w:hAnsi="Times New Roman" w:cs="Times New Roman"/>
        </w:rPr>
      </w:pPr>
      <w:r w:rsidRPr="00C51AE9">
        <w:rPr>
          <w:rFonts w:ascii="Times New Roman" w:hAnsi="Times New Roman" w:cs="Times New Roman"/>
        </w:rPr>
        <w:t xml:space="preserve">4. </w:t>
      </w:r>
      <w:r w:rsidRPr="00C51AE9">
        <w:rPr>
          <w:rFonts w:ascii="Times New Roman" w:hAnsi="Times New Roman" w:cs="Times New Roman"/>
        </w:rPr>
        <w:tab/>
        <w:t>Operatorët ekonomikë që mbushin ambalazhe shitjeje (ambalazhe parësore) sigurojnë që hapësira bosh të reduktohet në minimumin e nevojshëm për të garantuar funksionalitetin dhe mbrojtjen e produktit. Raporti i hapësirës bosh për ambalazhet e shitjes përfaqëson diferencën midis vëllimit të përgjithshëm të brendshëm të ambalazhit dhe vëllimit të vetë produktit të ambalazhuar.</w:t>
      </w:r>
    </w:p>
    <w:p w14:paraId="2A036265" w14:textId="77777777" w:rsidR="00767CD0" w:rsidRPr="00C51AE9" w:rsidRDefault="00C51AE9">
      <w:pPr>
        <w:spacing w:after="0"/>
        <w:ind w:left="540" w:hanging="270"/>
        <w:jc w:val="both"/>
        <w:rPr>
          <w:rFonts w:ascii="Times New Roman" w:hAnsi="Times New Roman" w:cs="Times New Roman"/>
        </w:rPr>
      </w:pPr>
      <w:r w:rsidRPr="00C51AE9">
        <w:rPr>
          <w:rFonts w:ascii="Times New Roman" w:hAnsi="Times New Roman" w:cs="Times New Roman"/>
        </w:rPr>
        <w:t>5.  Për qëllime të vlerësimit të përputhshmërisë me pikën 4 të këtij neni, hapësira e zënë nga materialet mbushëse të përmendura në shkronjën "c" të pikës 3, konsiderohet si hapësirë boshe.</w:t>
      </w:r>
    </w:p>
    <w:p w14:paraId="5EE28D8A" w14:textId="77777777" w:rsidR="00767CD0" w:rsidRPr="00C51AE9" w:rsidRDefault="00C51AE9">
      <w:pPr>
        <w:spacing w:after="0"/>
        <w:ind w:left="540" w:hanging="270"/>
        <w:jc w:val="both"/>
        <w:rPr>
          <w:rFonts w:ascii="Times New Roman" w:hAnsi="Times New Roman" w:cs="Times New Roman"/>
        </w:rPr>
      </w:pPr>
      <w:r w:rsidRPr="00C51AE9">
        <w:rPr>
          <w:rFonts w:ascii="Times New Roman" w:hAnsi="Times New Roman" w:cs="Times New Roman"/>
        </w:rPr>
        <w:t>6. Për ambalazhet e shitjes së produkteve që i nënshtrohen ngjeshjes rënies së vëllimit gjatë transportit, ose ku kërkohet hapësirë e lirë për mbrojtjen e produktit ushqimor apo artikujve të tjerë me karakteristika të ngjashme, zbatohen rregullat e mëposhtme:</w:t>
      </w:r>
    </w:p>
    <w:p w14:paraId="345CC099" w14:textId="77777777" w:rsidR="00767CD0" w:rsidRPr="00C51AE9" w:rsidRDefault="00C51AE9" w:rsidP="00F635BF">
      <w:pPr>
        <w:numPr>
          <w:ilvl w:val="0"/>
          <w:numId w:val="88"/>
        </w:numPr>
        <w:spacing w:after="0"/>
        <w:ind w:left="1080"/>
        <w:contextualSpacing/>
        <w:jc w:val="both"/>
        <w:rPr>
          <w:rFonts w:ascii="Times New Roman" w:hAnsi="Times New Roman" w:cs="Times New Roman"/>
        </w:rPr>
      </w:pPr>
      <w:r w:rsidRPr="00C51AE9">
        <w:rPr>
          <w:rFonts w:ascii="Times New Roman" w:hAnsi="Times New Roman" w:cs="Times New Roman"/>
        </w:rPr>
        <w:t>Përputhshmëria me pikën 4 vlerësohet sipas nivelit të mbushjes së ambalazhit në kohën e procesit të mbushjes;</w:t>
      </w:r>
    </w:p>
    <w:p w14:paraId="655582C6" w14:textId="77777777" w:rsidR="00767CD0" w:rsidRPr="00C51AE9" w:rsidRDefault="00C51AE9" w:rsidP="00F635BF">
      <w:pPr>
        <w:numPr>
          <w:ilvl w:val="0"/>
          <w:numId w:val="88"/>
        </w:numPr>
        <w:spacing w:after="0"/>
        <w:ind w:left="1080"/>
        <w:contextualSpacing/>
        <w:jc w:val="both"/>
        <w:rPr>
          <w:rFonts w:ascii="Times New Roman" w:hAnsi="Times New Roman" w:cs="Times New Roman"/>
        </w:rPr>
      </w:pPr>
      <w:r w:rsidRPr="00C51AE9">
        <w:rPr>
          <w:rFonts w:ascii="Times New Roman" w:hAnsi="Times New Roman" w:cs="Times New Roman"/>
        </w:rPr>
        <w:t>Ajri i ndodhur ndërmjet apo brenda produkteve ushqimore të ambalazhuara, si dhe gazrat mbrojtës (atmosfera e modifikuar), nuk konsiderohen si hapësirë boshe.</w:t>
      </w:r>
    </w:p>
    <w:p w14:paraId="1C86D3ED" w14:textId="77777777" w:rsidR="00767CD0" w:rsidRPr="00C51AE9" w:rsidRDefault="00C51AE9">
      <w:pPr>
        <w:spacing w:after="0"/>
        <w:ind w:left="270"/>
        <w:jc w:val="both"/>
        <w:rPr>
          <w:rFonts w:ascii="Times New Roman" w:hAnsi="Times New Roman" w:cs="Times New Roman"/>
        </w:rPr>
      </w:pPr>
      <w:r w:rsidRPr="00C51AE9">
        <w:rPr>
          <w:rFonts w:ascii="Times New Roman" w:hAnsi="Times New Roman" w:cs="Times New Roman"/>
        </w:rPr>
        <w:t xml:space="preserve"> 7. </w:t>
      </w:r>
      <w:r w:rsidRPr="00C51AE9">
        <w:rPr>
          <w:rFonts w:ascii="Times New Roman" w:hAnsi="Times New Roman" w:cs="Times New Roman"/>
        </w:rPr>
        <w:tab/>
        <w:t>Përjashtohen nga detyrimi i përcaktuar në pikën 1 të këtij neni:</w:t>
      </w:r>
    </w:p>
    <w:p w14:paraId="7B7CF772" w14:textId="77777777" w:rsidR="00767CD0" w:rsidRPr="00C51AE9" w:rsidRDefault="00C51AE9" w:rsidP="00F635BF">
      <w:pPr>
        <w:numPr>
          <w:ilvl w:val="0"/>
          <w:numId w:val="89"/>
        </w:numPr>
        <w:spacing w:after="0"/>
        <w:ind w:left="1080"/>
        <w:contextualSpacing/>
        <w:jc w:val="both"/>
        <w:rPr>
          <w:rFonts w:ascii="Times New Roman" w:hAnsi="Times New Roman" w:cs="Times New Roman"/>
        </w:rPr>
      </w:pPr>
      <w:r w:rsidRPr="00C51AE9">
        <w:rPr>
          <w:rFonts w:ascii="Times New Roman" w:hAnsi="Times New Roman" w:cs="Times New Roman"/>
        </w:rPr>
        <w:t>Operatorët ekonomikë që përdorin ambalazhin e shitjes direkt si ambalazh për tregtinë elektronike dhe;</w:t>
      </w:r>
    </w:p>
    <w:p w14:paraId="042DD424" w14:textId="77777777" w:rsidR="00767CD0" w:rsidRPr="00C51AE9" w:rsidRDefault="00C51AE9" w:rsidP="00F635BF">
      <w:pPr>
        <w:numPr>
          <w:ilvl w:val="0"/>
          <w:numId w:val="89"/>
        </w:numPr>
        <w:spacing w:after="0"/>
        <w:ind w:left="1080"/>
        <w:contextualSpacing/>
        <w:jc w:val="both"/>
        <w:rPr>
          <w:rFonts w:ascii="Times New Roman" w:hAnsi="Times New Roman" w:cs="Times New Roman"/>
        </w:rPr>
      </w:pPr>
      <w:r w:rsidRPr="00C51AE9">
        <w:rPr>
          <w:rFonts w:ascii="Times New Roman" w:hAnsi="Times New Roman" w:cs="Times New Roman"/>
        </w:rPr>
        <w:t xml:space="preserve">Operatorët që përdorin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w:t>
      </w:r>
    </w:p>
    <w:p w14:paraId="6D302924" w14:textId="77777777" w:rsidR="00767CD0" w:rsidRPr="00C51AE9" w:rsidRDefault="00C51AE9" w:rsidP="00F635BF">
      <w:pPr>
        <w:numPr>
          <w:ilvl w:val="0"/>
          <w:numId w:val="82"/>
        </w:numPr>
        <w:spacing w:after="0"/>
        <w:contextualSpacing/>
        <w:jc w:val="both"/>
        <w:rPr>
          <w:rFonts w:ascii="Times New Roman" w:hAnsi="Times New Roman" w:cs="Times New Roman"/>
        </w:rPr>
      </w:pPr>
      <w:r w:rsidRPr="00C51AE9">
        <w:rPr>
          <w:rFonts w:ascii="Times New Roman" w:hAnsi="Times New Roman" w:cs="Times New Roman"/>
        </w:rPr>
        <w:t>Operatorët ekonomikë të përmendur në shkronjën “a” të kësaj pike sigurojnë që ambalazhi i shitjes të përmbushë kërkesat e përcaktuara në nenin 16 të këtij vendimi.</w:t>
      </w:r>
    </w:p>
    <w:p w14:paraId="6BA72F87"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9. Deri më 12 shkurt 2032, ministria përgjegjëse për mjedisin rishikon raportin maksimal të hapësirës boshe, të përcaktuar në pikën 1 të këtij neni, si dhe përjashtimet e parashikuara në pikën 7 të këtij neni, dhe vlerëson mundësinë e përcaktimit të raporteve të hapësirës boshe për ambalazhet e shitjes, veçanërisht për lodrat, produktet kozmetike, kompletet “bëje vetë” dhe produktet elektronike. Kur është e nevojshme, ministri përgjegjës për mjedisin i propozon Këshillit të Ministrave ndryshimin e këtij neni.</w:t>
      </w:r>
    </w:p>
    <w:p w14:paraId="07D74C2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Neni 31</w:t>
      </w:r>
    </w:p>
    <w:p w14:paraId="69911C41" w14:textId="77777777" w:rsidR="00767CD0" w:rsidRPr="00C51AE9" w:rsidRDefault="00C51AE9">
      <w:pPr>
        <w:keepNext/>
        <w:keepLines/>
        <w:spacing w:before="160" w:after="80"/>
        <w:jc w:val="center"/>
        <w:outlineLvl w:val="1"/>
        <w:rPr>
          <w:rFonts w:ascii="Times New Roman" w:eastAsia="Times New Roman" w:hAnsi="Times New Roman" w:cs="Times New Roman"/>
          <w:b/>
          <w:kern w:val="0"/>
          <w14:ligatures w14:val="none"/>
        </w:rPr>
      </w:pPr>
      <w:bookmarkStart w:id="31" w:name="_Toc227317626"/>
      <w:r w:rsidRPr="00C51AE9">
        <w:rPr>
          <w:rFonts w:ascii="Times New Roman" w:eastAsiaTheme="majorEastAsia" w:hAnsi="Times New Roman" w:cs="Times New Roman"/>
          <w:b/>
        </w:rPr>
        <w:t xml:space="preserve">Kufizimet për përdorimin e formateve të caktuara të </w:t>
      </w:r>
      <w:bookmarkEnd w:id="31"/>
      <w:r w:rsidRPr="00C51AE9">
        <w:rPr>
          <w:rFonts w:ascii="Times New Roman" w:eastAsia="Times New Roman" w:hAnsi="Times New Roman" w:cs="Times New Roman"/>
          <w:b/>
          <w:kern w:val="0"/>
          <w14:ligatures w14:val="none"/>
        </w:rPr>
        <w:t>ambalazhimit</w:t>
      </w:r>
    </w:p>
    <w:p w14:paraId="7EF5CA44" w14:textId="77777777" w:rsidR="00767CD0" w:rsidRPr="00C51AE9" w:rsidRDefault="00C51AE9">
      <w:pPr>
        <w:numPr>
          <w:ilvl w:val="0"/>
          <w:numId w:val="15"/>
        </w:numPr>
        <w:spacing w:after="0"/>
        <w:contextualSpacing/>
        <w:jc w:val="both"/>
        <w:rPr>
          <w:rFonts w:ascii="Times New Roman" w:hAnsi="Times New Roman" w:cs="Times New Roman"/>
        </w:rPr>
      </w:pPr>
      <w:r w:rsidRPr="00C51AE9">
        <w:rPr>
          <w:rFonts w:ascii="Times New Roman" w:hAnsi="Times New Roman" w:cs="Times New Roman"/>
        </w:rPr>
        <w:t>Nga 1 janari 2030, operatorët ekonomikë ndalohen të hedhin në treg ambalazhe në formatet dhe për qëllimet e përdorimit të listuar në Shtojcën V të këtij vendimi.</w:t>
      </w:r>
    </w:p>
    <w:p w14:paraId="365D9F0B" w14:textId="77777777" w:rsidR="00767CD0" w:rsidRPr="00C51AE9" w:rsidRDefault="00C51AE9">
      <w:pPr>
        <w:numPr>
          <w:ilvl w:val="0"/>
          <w:numId w:val="15"/>
        </w:numPr>
        <w:spacing w:after="0"/>
        <w:contextualSpacing/>
        <w:jc w:val="both"/>
        <w:rPr>
          <w:rFonts w:ascii="Times New Roman" w:hAnsi="Times New Roman" w:cs="Times New Roman"/>
        </w:rPr>
      </w:pPr>
      <w:r w:rsidRPr="00C51AE9">
        <w:rPr>
          <w:rFonts w:ascii="Times New Roman" w:hAnsi="Times New Roman" w:cs="Times New Roman"/>
        </w:rPr>
        <w:t xml:space="preserve">Kufizimet e përcaktuara në pikën 1 të këtij neni, nuk zbatohen për </w:t>
      </w:r>
      <w:proofErr w:type="spellStart"/>
      <w:r w:rsidRPr="00C51AE9">
        <w:rPr>
          <w:rFonts w:ascii="Times New Roman" w:hAnsi="Times New Roman" w:cs="Times New Roman"/>
        </w:rPr>
        <w:t>mikrondërmarrjet</w:t>
      </w:r>
      <w:proofErr w:type="spellEnd"/>
      <w:r w:rsidRPr="00C51AE9">
        <w:rPr>
          <w:rFonts w:ascii="Times New Roman" w:hAnsi="Times New Roman" w:cs="Times New Roman"/>
        </w:rPr>
        <w:t xml:space="preserve"> që përdorin formatet e ambalazheve të listuar në pikën 3 të Shtojcës V të këtij vendimi, kur vërtetohet zyrtarisht se:</w:t>
      </w:r>
    </w:p>
    <w:p w14:paraId="40AB4B14" w14:textId="77777777" w:rsidR="00767CD0" w:rsidRPr="00C51AE9" w:rsidRDefault="00C51AE9" w:rsidP="00F635BF">
      <w:pPr>
        <w:numPr>
          <w:ilvl w:val="1"/>
          <w:numId w:val="90"/>
        </w:numPr>
        <w:spacing w:after="0"/>
        <w:ind w:left="1080" w:hanging="270"/>
        <w:contextualSpacing/>
        <w:jc w:val="both"/>
        <w:rPr>
          <w:rFonts w:ascii="Times New Roman" w:hAnsi="Times New Roman" w:cs="Times New Roman"/>
        </w:rPr>
      </w:pPr>
      <w:r w:rsidRPr="00C51AE9">
        <w:rPr>
          <w:rFonts w:ascii="Times New Roman" w:hAnsi="Times New Roman" w:cs="Times New Roman"/>
        </w:rPr>
        <w:t>nuk është teknikisht e realizueshme të shmanget përdorimi i atij ambalazhi; ose</w:t>
      </w:r>
    </w:p>
    <w:p w14:paraId="066C0F31" w14:textId="77777777" w:rsidR="00767CD0" w:rsidRPr="00C51AE9" w:rsidRDefault="00C51AE9" w:rsidP="00F635BF">
      <w:pPr>
        <w:numPr>
          <w:ilvl w:val="1"/>
          <w:numId w:val="90"/>
        </w:numPr>
        <w:spacing w:after="0"/>
        <w:ind w:left="1080" w:hanging="270"/>
        <w:contextualSpacing/>
        <w:jc w:val="both"/>
        <w:rPr>
          <w:rFonts w:ascii="Times New Roman" w:hAnsi="Times New Roman" w:cs="Times New Roman"/>
        </w:rPr>
      </w:pPr>
      <w:r w:rsidRPr="00C51AE9">
        <w:rPr>
          <w:rFonts w:ascii="Times New Roman" w:hAnsi="Times New Roman" w:cs="Times New Roman"/>
        </w:rPr>
        <w:t xml:space="preserve">mungon </w:t>
      </w:r>
      <w:proofErr w:type="spellStart"/>
      <w:r w:rsidRPr="00C51AE9">
        <w:rPr>
          <w:rFonts w:ascii="Times New Roman" w:hAnsi="Times New Roman" w:cs="Times New Roman"/>
        </w:rPr>
        <w:t>aksesi</w:t>
      </w:r>
      <w:proofErr w:type="spellEnd"/>
      <w:r w:rsidRPr="00C51AE9">
        <w:rPr>
          <w:rFonts w:ascii="Times New Roman" w:hAnsi="Times New Roman" w:cs="Times New Roman"/>
        </w:rPr>
        <w:t xml:space="preserve"> në infrastrukturën e nevojshme për funksionimin e një skeme apo  sistemi ripërdorimi.</w:t>
      </w:r>
    </w:p>
    <w:p w14:paraId="7A8F84DE" w14:textId="77777777" w:rsidR="00767CD0" w:rsidRPr="00C51AE9" w:rsidRDefault="00C51AE9">
      <w:pPr>
        <w:tabs>
          <w:tab w:val="left" w:pos="720"/>
        </w:tabs>
        <w:spacing w:after="0"/>
        <w:ind w:left="720" w:hanging="360"/>
        <w:jc w:val="both"/>
        <w:rPr>
          <w:rFonts w:ascii="Times New Roman" w:hAnsi="Times New Roman" w:cs="Times New Roman"/>
        </w:rPr>
      </w:pPr>
      <w:r w:rsidRPr="00C51AE9">
        <w:rPr>
          <w:rFonts w:ascii="Times New Roman" w:hAnsi="Times New Roman" w:cs="Times New Roman"/>
        </w:rPr>
        <w:t xml:space="preserve">3. Ministria përgjegjëse për mjedisin miraton me udhëzim të veçantë aspektet teknike sqaruese për zbatimin e Shtojcës V të këtij vendimi. </w:t>
      </w:r>
    </w:p>
    <w:p w14:paraId="6EE93015" w14:textId="77777777" w:rsidR="00767CD0" w:rsidRPr="00C51AE9" w:rsidRDefault="00C51AE9">
      <w:pPr>
        <w:tabs>
          <w:tab w:val="left" w:pos="720"/>
        </w:tabs>
        <w:spacing w:after="0"/>
        <w:ind w:left="720" w:hanging="360"/>
        <w:jc w:val="both"/>
        <w:rPr>
          <w:rFonts w:ascii="Times New Roman" w:hAnsi="Times New Roman" w:cs="Times New Roman"/>
        </w:rPr>
      </w:pPr>
      <w:r w:rsidRPr="00C51AE9">
        <w:rPr>
          <w:rFonts w:ascii="Times New Roman" w:hAnsi="Times New Roman" w:cs="Times New Roman"/>
        </w:rPr>
        <w:t>4.  Ky udhëzim përcakton:</w:t>
      </w:r>
    </w:p>
    <w:p w14:paraId="02E68427" w14:textId="77777777" w:rsidR="00767CD0" w:rsidRPr="00C51AE9" w:rsidRDefault="00C51AE9" w:rsidP="00F635BF">
      <w:pPr>
        <w:numPr>
          <w:ilvl w:val="1"/>
          <w:numId w:val="91"/>
        </w:numPr>
        <w:spacing w:after="0"/>
        <w:ind w:left="1080" w:hanging="270"/>
        <w:contextualSpacing/>
        <w:jc w:val="both"/>
        <w:rPr>
          <w:rFonts w:ascii="Times New Roman" w:hAnsi="Times New Roman" w:cs="Times New Roman"/>
        </w:rPr>
      </w:pPr>
      <w:r w:rsidRPr="00C51AE9">
        <w:rPr>
          <w:rFonts w:ascii="Times New Roman" w:hAnsi="Times New Roman" w:cs="Times New Roman"/>
        </w:rPr>
        <w:t>shembujt konkretë të formateve të ambalazheve që përfshihen në fushën e veprimit të ndalimit;</w:t>
      </w:r>
    </w:p>
    <w:p w14:paraId="60687CA5" w14:textId="77777777" w:rsidR="00767CD0" w:rsidRPr="00C51AE9" w:rsidRDefault="00C51AE9" w:rsidP="00F635BF">
      <w:pPr>
        <w:numPr>
          <w:ilvl w:val="1"/>
          <w:numId w:val="91"/>
        </w:numPr>
        <w:spacing w:after="0"/>
        <w:ind w:left="1080" w:hanging="270"/>
        <w:contextualSpacing/>
        <w:jc w:val="both"/>
        <w:rPr>
          <w:rFonts w:ascii="Times New Roman" w:hAnsi="Times New Roman" w:cs="Times New Roman"/>
        </w:rPr>
      </w:pPr>
      <w:r w:rsidRPr="00C51AE9">
        <w:rPr>
          <w:rFonts w:ascii="Times New Roman" w:hAnsi="Times New Roman" w:cs="Times New Roman"/>
        </w:rPr>
        <w:t>përjashtimet specifike nga kufizimet për arsye teknike apo higjienike;</w:t>
      </w:r>
    </w:p>
    <w:p w14:paraId="2382B3CA" w14:textId="77777777" w:rsidR="00767CD0" w:rsidRPr="00C51AE9" w:rsidRDefault="00C51AE9" w:rsidP="00F635BF">
      <w:pPr>
        <w:numPr>
          <w:ilvl w:val="1"/>
          <w:numId w:val="91"/>
        </w:numPr>
        <w:spacing w:after="0"/>
        <w:ind w:left="1080" w:hanging="270"/>
        <w:contextualSpacing/>
        <w:jc w:val="both"/>
        <w:rPr>
          <w:rFonts w:ascii="Times New Roman" w:hAnsi="Times New Roman" w:cs="Times New Roman"/>
        </w:rPr>
      </w:pPr>
      <w:r w:rsidRPr="00C51AE9">
        <w:rPr>
          <w:rFonts w:ascii="Times New Roman" w:hAnsi="Times New Roman" w:cs="Times New Roman"/>
        </w:rPr>
        <w:t>listën jo shteruese të frutave dhe perimeve të freskëta që përjashtohen nga ndalimi i ambalazhimit njëpërdorimshëm nën 1.5 kg.</w:t>
      </w:r>
    </w:p>
    <w:p w14:paraId="683821CD"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5. Kufizimet e miratuara përpara datës 1 janar 2026 për vendosjen në treg të ambalazheve në formatet dhe për përdorimet e renditura në shtojcën V të këtij vendimi, por të prodhuara nga materiale që nuk renditen në atë shtojcë, mbeten në fuqi.</w:t>
      </w:r>
    </w:p>
    <w:p w14:paraId="4C759202"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6. Kufizimet e këtij neni zbatohen pa cenuar kërkesat për ambalazhet e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të përcaktuara në nenin 15 të këtij vendimi.</w:t>
      </w:r>
    </w:p>
    <w:p w14:paraId="556F3D14" w14:textId="77777777" w:rsidR="00767CD0" w:rsidRPr="00C51AE9" w:rsidRDefault="00C51AE9">
      <w:pPr>
        <w:ind w:left="720" w:hanging="360"/>
        <w:jc w:val="both"/>
      </w:pPr>
      <w:r w:rsidRPr="00C51AE9">
        <w:rPr>
          <w:rFonts w:ascii="Times New Roman" w:hAnsi="Times New Roman" w:cs="Times New Roman"/>
        </w:rPr>
        <w:t xml:space="preserve">7. Deri më 12 shkurt 2032, ministria përgjegjëse për mjedisin vlerëson ndikimin mjedisor të kufizimeve, </w:t>
      </w:r>
      <w:proofErr w:type="spellStart"/>
      <w:r w:rsidRPr="00C51AE9">
        <w:rPr>
          <w:rFonts w:ascii="Times New Roman" w:hAnsi="Times New Roman" w:cs="Times New Roman"/>
        </w:rPr>
        <w:t>derogimeve</w:t>
      </w:r>
      <w:proofErr w:type="spellEnd"/>
      <w:r w:rsidRPr="00C51AE9">
        <w:rPr>
          <w:rFonts w:ascii="Times New Roman" w:hAnsi="Times New Roman" w:cs="Times New Roman"/>
        </w:rPr>
        <w:t xml:space="preserve"> dhe përjashtimeve të përcaktuara në këtë vendim, si dhe </w:t>
      </w:r>
      <w:proofErr w:type="spellStart"/>
      <w:r w:rsidRPr="00C51AE9">
        <w:rPr>
          <w:rFonts w:ascii="Times New Roman" w:hAnsi="Times New Roman" w:cs="Times New Roman"/>
        </w:rPr>
        <w:t>disponueshmërinë</w:t>
      </w:r>
      <w:proofErr w:type="spellEnd"/>
      <w:r w:rsidRPr="00C51AE9">
        <w:rPr>
          <w:rFonts w:ascii="Times New Roman" w:hAnsi="Times New Roman" w:cs="Times New Roman"/>
        </w:rPr>
        <w:t xml:space="preserve"> e alternativave të ambalazhimit që përmbushin kërkesat e sigurisë dhe higjienës për ambalazhet në kontakt me produktet.</w:t>
      </w:r>
    </w:p>
    <w:p w14:paraId="278706C1" w14:textId="77777777" w:rsidR="00767CD0" w:rsidRPr="00C51AE9" w:rsidRDefault="00C51AE9">
      <w:pPr>
        <w:ind w:left="720" w:hanging="360"/>
        <w:jc w:val="both"/>
      </w:pPr>
      <w:r w:rsidRPr="00C51AE9">
        <w:rPr>
          <w:rFonts w:ascii="Times New Roman" w:hAnsi="Times New Roman" w:cs="Times New Roman"/>
        </w:rPr>
        <w:t>8. Bazuar në vlerësimin e kryer sipas pikës 7 të këtij neni, ministria përgjegjëse për mjedisin rishikon kufizimet e përcaktuara në këtë vendim dhe Shtojcën V, duke marrë parasysh progresin teknik dhe shkencor dhe me synim reduktimin e mbetjeve të ambalazheve.</w:t>
      </w:r>
    </w:p>
    <w:p w14:paraId="021ACF77" w14:textId="77777777" w:rsidR="00767CD0" w:rsidRPr="00C51AE9" w:rsidRDefault="00C51AE9">
      <w:pPr>
        <w:ind w:left="720" w:hanging="360"/>
        <w:jc w:val="both"/>
      </w:pPr>
      <w:r w:rsidRPr="00C51AE9">
        <w:rPr>
          <w:rFonts w:ascii="Times New Roman" w:hAnsi="Times New Roman" w:cs="Times New Roman"/>
        </w:rPr>
        <w:t xml:space="preserve">9. Në kuadër të rishikimit, ministria përgjegjëse për mjedisin vlerëson nevojën për vendosjen e kufizimeve të reja për përdorimin e formateve specifike të ambalazheve dhe vazhdimësinë e </w:t>
      </w:r>
      <w:proofErr w:type="spellStart"/>
      <w:r w:rsidRPr="00C51AE9">
        <w:rPr>
          <w:rFonts w:ascii="Times New Roman" w:hAnsi="Times New Roman" w:cs="Times New Roman"/>
        </w:rPr>
        <w:t>derogimeve</w:t>
      </w:r>
      <w:proofErr w:type="spellEnd"/>
      <w:r w:rsidRPr="00C51AE9">
        <w:rPr>
          <w:rFonts w:ascii="Times New Roman" w:hAnsi="Times New Roman" w:cs="Times New Roman"/>
        </w:rPr>
        <w:t xml:space="preserve"> dhe përjashtimeve të përcaktuara në këtë vendim.</w:t>
      </w:r>
    </w:p>
    <w:p w14:paraId="5995C84B" w14:textId="77777777" w:rsidR="00767CD0" w:rsidRPr="00C51AE9" w:rsidRDefault="00767CD0">
      <w:pPr>
        <w:tabs>
          <w:tab w:val="left" w:pos="810"/>
        </w:tabs>
        <w:jc w:val="center"/>
        <w:rPr>
          <w:rFonts w:ascii="Times New Roman" w:hAnsi="Times New Roman" w:cs="Times New Roman"/>
          <w:w w:val="90"/>
        </w:rPr>
      </w:pPr>
    </w:p>
    <w:p w14:paraId="6231CAB3"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Neni 32</w:t>
      </w:r>
    </w:p>
    <w:p w14:paraId="2B3A23A0"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2" w:name="_Toc227317627"/>
      <w:r w:rsidRPr="00C51AE9">
        <w:rPr>
          <w:rFonts w:ascii="Times New Roman" w:eastAsiaTheme="majorEastAsia" w:hAnsi="Times New Roman" w:cs="Times New Roman"/>
          <w:b/>
        </w:rPr>
        <w:t xml:space="preserve">Detyrimet në lidhje me ambalazhimin e </w:t>
      </w:r>
      <w:proofErr w:type="spellStart"/>
      <w:r w:rsidRPr="00C51AE9">
        <w:rPr>
          <w:rFonts w:ascii="Times New Roman" w:eastAsiaTheme="majorEastAsia" w:hAnsi="Times New Roman" w:cs="Times New Roman"/>
          <w:b/>
        </w:rPr>
        <w:t>ripërdorshëm</w:t>
      </w:r>
      <w:bookmarkEnd w:id="32"/>
      <w:proofErr w:type="spellEnd"/>
    </w:p>
    <w:p w14:paraId="7075687F" w14:textId="77777777" w:rsidR="00767CD0" w:rsidRPr="00C51AE9" w:rsidRDefault="00C51AE9" w:rsidP="00F635BF">
      <w:pPr>
        <w:numPr>
          <w:ilvl w:val="0"/>
          <w:numId w:val="116"/>
        </w:numPr>
        <w:ind w:left="360"/>
        <w:contextualSpacing/>
        <w:jc w:val="both"/>
        <w:rPr>
          <w:rFonts w:ascii="Times New Roman" w:hAnsi="Times New Roman" w:cs="Times New Roman"/>
        </w:rPr>
      </w:pPr>
      <w:r w:rsidRPr="00C51AE9">
        <w:rPr>
          <w:rFonts w:ascii="Times New Roman" w:hAnsi="Times New Roman" w:cs="Times New Roman"/>
        </w:rPr>
        <w:t xml:space="preserve">Operatorët ekonomikë që hedhin për herë të parë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në treg në territorin e Republikës së Shqipërisë, detyrohen të sigurojnë që për ato ambalazhe është ngritur një sistem ripërdorimi. Ky sistem duhet të përfshijë një stimul për të garantuar grumbullimin e ambalazheve dhe duhet të përmbushë kërkesat e përcaktuara në Shtojcën VI të këtij vendimi.</w:t>
      </w:r>
    </w:p>
    <w:p w14:paraId="6336B2E4" w14:textId="77777777" w:rsidR="00767CD0" w:rsidRPr="00C51AE9" w:rsidRDefault="00C51AE9" w:rsidP="00F635BF">
      <w:pPr>
        <w:numPr>
          <w:ilvl w:val="0"/>
          <w:numId w:val="116"/>
        </w:numPr>
        <w:ind w:left="360"/>
        <w:contextualSpacing/>
        <w:jc w:val="both"/>
        <w:rPr>
          <w:rFonts w:ascii="Times New Roman" w:hAnsi="Times New Roman" w:cs="Times New Roman"/>
        </w:rPr>
      </w:pPr>
      <w:r w:rsidRPr="00C51AE9">
        <w:rPr>
          <w:rFonts w:ascii="Times New Roman" w:hAnsi="Times New Roman" w:cs="Times New Roman"/>
        </w:rPr>
        <w:t xml:space="preserve">Përshkrimi i përputhshmërisë së sistemit me kërkesat e pikës 1 të këtij neni, hartohet si pjesë e dokumentacionit teknik 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në përputhje me kërkesat e pikës 3 të nenit 17. Për këtë qëllim, prodhuesi ose importuesi detyrohet të sigurojë konfirmimet përkatëse me shkrim nga operatorët pjesëmarrës në këtë sistem, sipas përcaktimeve të Shtojcës VI </w:t>
      </w:r>
      <w:r w:rsidRPr="00C51AE9">
        <w:rPr>
          <w:rFonts w:ascii="Times New Roman" w:eastAsia="Times New Roman" w:hAnsi="Times New Roman" w:cs="Times New Roman"/>
          <w:kern w:val="0"/>
          <w14:ligatures w14:val="none"/>
        </w:rPr>
        <w:t>të këtij vendimi</w:t>
      </w:r>
      <w:r w:rsidRPr="00C51AE9">
        <w:rPr>
          <w:rFonts w:ascii="Times New Roman" w:hAnsi="Times New Roman" w:cs="Times New Roman"/>
        </w:rPr>
        <w:t>.</w:t>
      </w:r>
    </w:p>
    <w:p w14:paraId="4479BE41" w14:textId="77777777" w:rsidR="00767CD0" w:rsidRPr="00C51AE9" w:rsidRDefault="00767CD0">
      <w:pPr>
        <w:jc w:val="both"/>
        <w:rPr>
          <w:rFonts w:ascii="Times New Roman" w:hAnsi="Times New Roman" w:cs="Times New Roman"/>
          <w:w w:val="90"/>
        </w:rPr>
      </w:pPr>
    </w:p>
    <w:p w14:paraId="0D848CE6" w14:textId="77777777" w:rsidR="00767CD0" w:rsidRPr="00C51AE9" w:rsidRDefault="00C51AE9">
      <w:pPr>
        <w:keepNext/>
        <w:keepLines/>
        <w:spacing w:before="160" w:after="80"/>
        <w:ind w:left="3600" w:firstLine="720"/>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33 </w:t>
      </w:r>
    </w:p>
    <w:p w14:paraId="311DF965"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3" w:name="_Toc227317628"/>
      <w:r w:rsidRPr="00C51AE9">
        <w:rPr>
          <w:rFonts w:ascii="Times New Roman" w:eastAsiaTheme="majorEastAsia" w:hAnsi="Times New Roman" w:cs="Times New Roman"/>
          <w:b/>
        </w:rPr>
        <w:t>Detyrimi lidhur me sistemet e ripërdorimit</w:t>
      </w:r>
      <w:bookmarkStart w:id="34" w:name="_Toc227317629"/>
      <w:bookmarkEnd w:id="33"/>
    </w:p>
    <w:p w14:paraId="65F5671D" w14:textId="77777777" w:rsidR="00767CD0" w:rsidRPr="00C51AE9" w:rsidRDefault="00C51AE9" w:rsidP="00F635BF">
      <w:pPr>
        <w:numPr>
          <w:ilvl w:val="0"/>
          <w:numId w:val="117"/>
        </w:numPr>
        <w:spacing w:after="0"/>
        <w:ind w:left="36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përdorin ambalazhe të </w:t>
      </w:r>
      <w:proofErr w:type="spellStart"/>
      <w:r w:rsidRPr="00C51AE9">
        <w:rPr>
          <w:rFonts w:ascii="Times New Roman" w:eastAsia="Times New Roman" w:hAnsi="Times New Roman" w:cs="Times New Roman"/>
          <w:kern w:val="0"/>
          <w14:ligatures w14:val="none"/>
        </w:rPr>
        <w:t>ripërdorshme</w:t>
      </w:r>
      <w:proofErr w:type="spellEnd"/>
      <w:r w:rsidRPr="00C51AE9">
        <w:rPr>
          <w:rFonts w:ascii="Times New Roman" w:eastAsia="Times New Roman" w:hAnsi="Times New Roman" w:cs="Times New Roman"/>
          <w:kern w:val="0"/>
          <w14:ligatures w14:val="none"/>
        </w:rPr>
        <w:t xml:space="preserve"> detyrohen të marrin pjesë në një ose më shumë sisteme ripërdorimi, të cilat plotësojnë kërkesat e përcaktuara në Pjesën A të Shtojcës VI të këtij vendimi.</w:t>
      </w:r>
    </w:p>
    <w:p w14:paraId="1281B20F" w14:textId="77777777" w:rsidR="00767CD0" w:rsidRPr="00C51AE9" w:rsidRDefault="00C51AE9" w:rsidP="00F635BF">
      <w:pPr>
        <w:numPr>
          <w:ilvl w:val="0"/>
          <w:numId w:val="117"/>
        </w:numPr>
        <w:spacing w:after="0"/>
        <w:ind w:left="36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përdorin ambalazhe të </w:t>
      </w:r>
      <w:proofErr w:type="spellStart"/>
      <w:r w:rsidRPr="00C51AE9">
        <w:rPr>
          <w:rFonts w:ascii="Times New Roman" w:eastAsia="Times New Roman" w:hAnsi="Times New Roman" w:cs="Times New Roman"/>
          <w:kern w:val="0"/>
          <w14:ligatures w14:val="none"/>
        </w:rPr>
        <w:t>ripërdorshme</w:t>
      </w:r>
      <w:proofErr w:type="spellEnd"/>
      <w:r w:rsidRPr="00C51AE9">
        <w:rPr>
          <w:rFonts w:ascii="Times New Roman" w:eastAsia="Times New Roman" w:hAnsi="Times New Roman" w:cs="Times New Roman"/>
          <w:kern w:val="0"/>
          <w14:ligatures w14:val="none"/>
        </w:rPr>
        <w:t xml:space="preserve"> sigurojnë që këto ambalazhe të ripërpunohen në përputhje me Pjesën B të Shtojcës VI të këtij vendimi, përpara se t’u ofrohen përsëri për përdorim përdoruesve fundorë.</w:t>
      </w:r>
    </w:p>
    <w:p w14:paraId="149899DB" w14:textId="77777777" w:rsidR="00767CD0" w:rsidRPr="00C51AE9" w:rsidRDefault="00C51AE9" w:rsidP="00F635BF">
      <w:pPr>
        <w:numPr>
          <w:ilvl w:val="0"/>
          <w:numId w:val="117"/>
        </w:numPr>
        <w:spacing w:after="0"/>
        <w:ind w:left="36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përdorin ambalazhe të </w:t>
      </w:r>
      <w:proofErr w:type="spellStart"/>
      <w:r w:rsidRPr="00C51AE9">
        <w:rPr>
          <w:rFonts w:ascii="Times New Roman" w:eastAsia="Times New Roman" w:hAnsi="Times New Roman" w:cs="Times New Roman"/>
          <w:kern w:val="0"/>
          <w14:ligatures w14:val="none"/>
        </w:rPr>
        <w:t>ripërdorshme</w:t>
      </w:r>
      <w:proofErr w:type="spellEnd"/>
      <w:r w:rsidRPr="00C51AE9">
        <w:rPr>
          <w:rFonts w:ascii="Times New Roman" w:eastAsia="Times New Roman" w:hAnsi="Times New Roman" w:cs="Times New Roman"/>
          <w:kern w:val="0"/>
          <w14:ligatures w14:val="none"/>
        </w:rPr>
        <w:t xml:space="preserve"> mund të caktojnë, me marrëveshje, një palë të tretë si përgjegjëse për administrimin e një ose më shumë sistemeve të përbashkëta të ripërdorimit. Në këtë rast, detyrimet e përcaktuara në këtë nen përmbushen nga kjo palë e tretë në emër të tyre.</w:t>
      </w:r>
    </w:p>
    <w:p w14:paraId="3D532713" w14:textId="77777777" w:rsidR="00767CD0" w:rsidRPr="00C51AE9" w:rsidRDefault="00C51AE9" w:rsidP="00F635BF">
      <w:pPr>
        <w:numPr>
          <w:ilvl w:val="0"/>
          <w:numId w:val="117"/>
        </w:numPr>
        <w:spacing w:after="0"/>
        <w:ind w:left="36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përdorin ambalazhe të </w:t>
      </w:r>
      <w:proofErr w:type="spellStart"/>
      <w:r w:rsidRPr="00C51AE9">
        <w:rPr>
          <w:rFonts w:ascii="Times New Roman" w:eastAsia="Times New Roman" w:hAnsi="Times New Roman" w:cs="Times New Roman"/>
          <w:kern w:val="0"/>
          <w14:ligatures w14:val="none"/>
        </w:rPr>
        <w:t>ripërdorshme</w:t>
      </w:r>
      <w:proofErr w:type="spellEnd"/>
      <w:r w:rsidRPr="00C51AE9">
        <w:rPr>
          <w:rFonts w:ascii="Times New Roman" w:eastAsia="Times New Roman" w:hAnsi="Times New Roman" w:cs="Times New Roman"/>
          <w:kern w:val="0"/>
          <w14:ligatures w14:val="none"/>
        </w:rPr>
        <w:t xml:space="preserve"> në sisteme me qark të mbyllur, detyrohen t’i kthejnë ato në pikat e grumbullimit të përcaktuara nga pjesëmarrësit dhe të miratuara nga operatori i sistemit, në përputhje me Shtojcën VI të këtij vendimi.</w:t>
      </w:r>
    </w:p>
    <w:p w14:paraId="3A0EC670" w14:textId="77777777" w:rsidR="00767CD0" w:rsidRPr="00C51AE9" w:rsidRDefault="00767CD0">
      <w:pPr>
        <w:rPr>
          <w:rFonts w:ascii="Times New Roman" w:eastAsia="Times New Roman" w:hAnsi="Times New Roman" w:cs="Times New Roman"/>
          <w:bCs/>
          <w:kern w:val="0"/>
          <w14:ligatures w14:val="none"/>
        </w:rPr>
      </w:pPr>
    </w:p>
    <w:p w14:paraId="63DF9BEA"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34</w:t>
      </w:r>
    </w:p>
    <w:p w14:paraId="146D490F"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Detyrime lidhur me rimbushjen</w:t>
      </w:r>
      <w:bookmarkEnd w:id="34"/>
    </w:p>
    <w:p w14:paraId="3F989140" w14:textId="77777777" w:rsidR="00767CD0" w:rsidRPr="00C51AE9" w:rsidRDefault="00C51AE9">
      <w:pPr>
        <w:numPr>
          <w:ilvl w:val="0"/>
          <w:numId w:val="8"/>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ofrojnë mundësinë për të blerë produkte përmes rimbushjes duhet të informojnë përdoruesit fundorë për sa vijon: </w:t>
      </w:r>
    </w:p>
    <w:p w14:paraId="5B09250E" w14:textId="77777777" w:rsidR="00767CD0" w:rsidRPr="00C51AE9" w:rsidRDefault="00C51AE9" w:rsidP="00F635BF">
      <w:pPr>
        <w:numPr>
          <w:ilvl w:val="0"/>
          <w:numId w:val="92"/>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llojet e kontejnerëve që mund të përdoren për të blerë produktet e ofruara përmes rimbushjes;</w:t>
      </w:r>
    </w:p>
    <w:p w14:paraId="08DF7E01" w14:textId="77777777" w:rsidR="00767CD0" w:rsidRPr="00C51AE9" w:rsidRDefault="00C51AE9" w:rsidP="00F635BF">
      <w:pPr>
        <w:numPr>
          <w:ilvl w:val="0"/>
          <w:numId w:val="92"/>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standardet e higjienës për rimbushje;</w:t>
      </w:r>
    </w:p>
    <w:p w14:paraId="00F19FC5" w14:textId="77777777" w:rsidR="00767CD0" w:rsidRPr="00C51AE9" w:rsidRDefault="00C51AE9" w:rsidP="00F635BF">
      <w:pPr>
        <w:numPr>
          <w:ilvl w:val="0"/>
          <w:numId w:val="92"/>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përgjegjësia e përdoruesit përfundimtar në lidhje me shëndetin dhe sigurinë në lidhje me përdorimin e </w:t>
      </w:r>
      <w:proofErr w:type="spellStart"/>
      <w:r w:rsidRPr="00C51AE9">
        <w:rPr>
          <w:rFonts w:ascii="Times New Roman" w:eastAsia="Times New Roman" w:hAnsi="Times New Roman" w:cs="Times New Roman"/>
          <w:kern w:val="0"/>
          <w14:ligatures w14:val="none"/>
        </w:rPr>
        <w:t>konteinerëve</w:t>
      </w:r>
      <w:proofErr w:type="spellEnd"/>
      <w:r w:rsidRPr="00C51AE9">
        <w:rPr>
          <w:rFonts w:ascii="Times New Roman" w:eastAsia="Times New Roman" w:hAnsi="Times New Roman" w:cs="Times New Roman"/>
          <w:kern w:val="0"/>
          <w14:ligatures w14:val="none"/>
        </w:rPr>
        <w:t xml:space="preserve"> të përmendur në pikën (a).</w:t>
      </w:r>
    </w:p>
    <w:p w14:paraId="508AECE8" w14:textId="77777777" w:rsidR="00767CD0" w:rsidRPr="00C51AE9" w:rsidRDefault="00C51AE9">
      <w:pPr>
        <w:numPr>
          <w:ilvl w:val="0"/>
          <w:numId w:val="8"/>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Rregullat për rimbushjen përditësohen rregullisht dhe afishohen qartë në mjediset e përkatëse ose do t'u vihen në dispozicion përdoruesve fundorë përmes mjeteve të tjera të përshtatshme.</w:t>
      </w:r>
    </w:p>
    <w:p w14:paraId="7CAF5DCA" w14:textId="77777777" w:rsidR="00767CD0" w:rsidRPr="00C51AE9" w:rsidRDefault="00C51AE9">
      <w:pPr>
        <w:numPr>
          <w:ilvl w:val="0"/>
          <w:numId w:val="8"/>
        </w:numPr>
        <w:contextualSpacing/>
        <w:jc w:val="both"/>
        <w:rPr>
          <w:rFonts w:ascii="Times New Roman" w:hAnsi="Times New Roman" w:cs="Times New Roman"/>
        </w:rPr>
      </w:pPr>
      <w:r w:rsidRPr="00C51AE9">
        <w:rPr>
          <w:rFonts w:ascii="Times New Roman" w:hAnsi="Times New Roman" w:cs="Times New Roman"/>
        </w:rPr>
        <w:lastRenderedPageBreak/>
        <w:t>Operatorët ekonomikë që ofrojnë mundësinë për të blerë produkte nëpërmjet rimbushjes sigurojnë që stacionet e rimbushjes të përputhen me kërkesat e përcaktuara në Pjesën C të Shtojcës VI të këtij vendimi dhe me çdo kërkesë të përcaktuar në akte të tjera ligjore për shitjen e produkteve nëpërmjet rimbushjes.</w:t>
      </w:r>
    </w:p>
    <w:p w14:paraId="6EAE0E0F" w14:textId="77777777" w:rsidR="00767CD0" w:rsidRPr="00C51AE9" w:rsidRDefault="00C51AE9">
      <w:pPr>
        <w:numPr>
          <w:ilvl w:val="0"/>
          <w:numId w:val="8"/>
        </w:numPr>
        <w:contextualSpacing/>
        <w:jc w:val="both"/>
        <w:rPr>
          <w:rFonts w:ascii="Times New Roman" w:hAnsi="Times New Roman" w:cs="Times New Roman"/>
        </w:rPr>
      </w:pPr>
      <w:r w:rsidRPr="00C51AE9">
        <w:rPr>
          <w:rFonts w:ascii="Times New Roman" w:hAnsi="Times New Roman" w:cs="Times New Roman"/>
        </w:rPr>
        <w:t>Operatorët ekonomikë që ofrojnë mundësinë për të blerë produkte përmes rimbushjes  sigurojnë që, nëse ambalazhet ose kontejnerët u ofrohen përdoruesve fundorë në stacionet e rimbushjes, ai ambalazh dhe ata kontejnerë të mos ofrohen pa pagesë nëse nuk plotësojnë kërkesat e përcaktuara në Shtojcën VI të këtij vendimi ose ofrohen si pjesë e një sistemi depozite dhe kthimi.</w:t>
      </w:r>
    </w:p>
    <w:p w14:paraId="265E4312" w14:textId="77777777" w:rsidR="00767CD0" w:rsidRPr="00C51AE9" w:rsidRDefault="00C51AE9">
      <w:pPr>
        <w:numPr>
          <w:ilvl w:val="0"/>
          <w:numId w:val="8"/>
        </w:numPr>
        <w:contextualSpacing/>
        <w:jc w:val="both"/>
        <w:rPr>
          <w:rFonts w:ascii="Times New Roman" w:hAnsi="Times New Roman" w:cs="Times New Roman"/>
        </w:rPr>
      </w:pPr>
      <w:r w:rsidRPr="00C51AE9">
        <w:rPr>
          <w:rFonts w:ascii="Times New Roman" w:hAnsi="Times New Roman" w:cs="Times New Roman"/>
        </w:rPr>
        <w:t xml:space="preserve">Operatorët ekonomikë mund të refuzojnë të rimbushin një enë të ofruar nga përdoruesi fundor nëse ajo nuk përputhet me rregullat për rimbushje të komunikuara nga operatori ekonomik në përputhje me pikën e 1 të këtij neni </w:t>
      </w:r>
      <w:proofErr w:type="spellStart"/>
      <w:r w:rsidRPr="00C51AE9">
        <w:rPr>
          <w:rFonts w:ascii="Times New Roman" w:hAnsi="Times New Roman" w:cs="Times New Roman"/>
        </w:rPr>
        <w:t>veçandërisht</w:t>
      </w:r>
      <w:proofErr w:type="spellEnd"/>
      <w:r w:rsidRPr="00C51AE9">
        <w:rPr>
          <w:rFonts w:ascii="Times New Roman" w:hAnsi="Times New Roman" w:cs="Times New Roman"/>
        </w:rPr>
        <w:t xml:space="preserve"> nëse operatorët ekonomikë e konsiderojnë enën si johigjienike ose të papërshtatshme për shitjen e ushqimit ose pijeve. Operatorët ekonomikë nuk mbajnë asnjë përgjegjësi për çështje të higjienës ose sigurisë ushqimore që lindin nga përdorimi i enëve të ofruara nga vetë përdoruesi fundor.</w:t>
      </w:r>
    </w:p>
    <w:p w14:paraId="093FD97E" w14:textId="77777777" w:rsidR="00767CD0" w:rsidRPr="00C51AE9" w:rsidRDefault="00C51AE9">
      <w:pPr>
        <w:numPr>
          <w:ilvl w:val="0"/>
          <w:numId w:val="8"/>
        </w:numPr>
        <w:contextualSpacing/>
        <w:jc w:val="both"/>
        <w:rPr>
          <w:rFonts w:ascii="Times New Roman" w:hAnsi="Times New Roman" w:cs="Times New Roman"/>
        </w:rPr>
      </w:pPr>
      <w:bookmarkStart w:id="35" w:name="_Ref202460205"/>
      <w:r w:rsidRPr="00C51AE9">
        <w:rPr>
          <w:rFonts w:ascii="Times New Roman" w:hAnsi="Times New Roman" w:cs="Times New Roman"/>
        </w:rPr>
        <w:t xml:space="preserve">Nga 1 janari 2032, shpërndarësit përfundimtarë me një sipërfaqe shitjeje prej më shumë se 400 m2  synojnë t’i kushtojnë 10 % të asaj sipërfaqeje shitjeje stacioneve të rimbushjes si për produktet ushqimore ashtu edhe për produktet </w:t>
      </w:r>
      <w:proofErr w:type="spellStart"/>
      <w:r w:rsidRPr="00C51AE9">
        <w:rPr>
          <w:rFonts w:ascii="Times New Roman" w:hAnsi="Times New Roman" w:cs="Times New Roman"/>
        </w:rPr>
        <w:t>joushqimore</w:t>
      </w:r>
      <w:proofErr w:type="spellEnd"/>
      <w:r w:rsidRPr="00C51AE9">
        <w:rPr>
          <w:rFonts w:ascii="Times New Roman" w:hAnsi="Times New Roman" w:cs="Times New Roman"/>
        </w:rPr>
        <w:t>.</w:t>
      </w:r>
      <w:bookmarkEnd w:id="35"/>
    </w:p>
    <w:p w14:paraId="718762FA" w14:textId="77777777" w:rsidR="00767CD0" w:rsidRPr="00C51AE9" w:rsidRDefault="00767CD0">
      <w:pPr>
        <w:jc w:val="both"/>
        <w:rPr>
          <w:rFonts w:ascii="Times New Roman" w:hAnsi="Times New Roman" w:cs="Times New Roman"/>
          <w:w w:val="90"/>
        </w:rPr>
      </w:pPr>
    </w:p>
    <w:p w14:paraId="71ED177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121712">
        <w:rPr>
          <w:rFonts w:ascii="Times New Roman" w:eastAsiaTheme="majorEastAsia" w:hAnsi="Times New Roman" w:cs="Times New Roman"/>
          <w:bCs/>
        </w:rPr>
        <w:t>Neni 35</w:t>
      </w:r>
    </w:p>
    <w:p w14:paraId="2FAA19CE"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6" w:name="_Toc227317630"/>
      <w:r w:rsidRPr="00C51AE9">
        <w:rPr>
          <w:rFonts w:ascii="Times New Roman" w:eastAsiaTheme="majorEastAsia" w:hAnsi="Times New Roman" w:cs="Times New Roman"/>
          <w:b/>
        </w:rPr>
        <w:t>Objektivat e ripërdorimit</w:t>
      </w:r>
      <w:bookmarkEnd w:id="36"/>
    </w:p>
    <w:p w14:paraId="2BACCB21"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Operatorët ekonomikë që përdorin ambalazhe transporti, ose ambalazhe shitjeje për transportimin e produkteve përfshirë ato të tregtisë elektronike në formën e paletave, kutive plastike të palosshme, kutive, tabakave, arkave plastike, kontejnerëve të ndërmjetëm me shumicë IBC, kovave, fuçive dhe bidonëve të çdo madhësie ose materiali, përfshirë formatet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mbështjellëset e paletave ose rripat stabilizues, sigurojnë që të paktën 40% dyzet për qind e këtyre ambalazheve në total të jenë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Nga data 1 janar 2040, këta operatorë ekonomikë synojnë të përdorin të paktën 70 % të këtyre ambalazheve në format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brenda një sistemi ripërdorimi.</w:t>
      </w:r>
    </w:p>
    <w:p w14:paraId="1EF97BEB"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Pavarësisht përcaktimeve të pikës 1 të këtij neni, operatorët ekonomikë sigurojnë që ambalazhet e transportit ose ambalazhet e shitjes të përdorura për transport, në formatet e </w:t>
      </w:r>
      <w:proofErr w:type="spellStart"/>
      <w:r w:rsidRPr="00C51AE9">
        <w:rPr>
          <w:rFonts w:ascii="Times New Roman" w:hAnsi="Times New Roman" w:cs="Times New Roman"/>
        </w:rPr>
        <w:t>listuara</w:t>
      </w:r>
      <w:proofErr w:type="spellEnd"/>
      <w:r w:rsidRPr="00C51AE9">
        <w:rPr>
          <w:rFonts w:ascii="Times New Roman" w:hAnsi="Times New Roman" w:cs="Times New Roman"/>
        </w:rPr>
        <w:t xml:space="preserve"> në pikën 1, të jenë 100%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kur ato përdoren për transportin e produkteve:</w:t>
      </w:r>
    </w:p>
    <w:p w14:paraId="6413B26C" w14:textId="77777777" w:rsidR="00767CD0" w:rsidRPr="00C51AE9" w:rsidRDefault="00C51AE9" w:rsidP="00F635BF">
      <w:pPr>
        <w:numPr>
          <w:ilvl w:val="0"/>
          <w:numId w:val="118"/>
        </w:numPr>
        <w:spacing w:after="0"/>
        <w:ind w:left="900"/>
        <w:contextualSpacing/>
        <w:jc w:val="both"/>
        <w:rPr>
          <w:rFonts w:ascii="Times New Roman" w:hAnsi="Times New Roman" w:cs="Times New Roman"/>
        </w:rPr>
      </w:pPr>
      <w:r w:rsidRPr="00C51AE9">
        <w:rPr>
          <w:rFonts w:ascii="Times New Roman" w:hAnsi="Times New Roman" w:cs="Times New Roman"/>
        </w:rPr>
        <w:t>ndërmjet vendeve apo strukturave të ndryshme ku i njëjti operator ushtron veprimtarinë e tij ose</w:t>
      </w:r>
    </w:p>
    <w:p w14:paraId="62B0C115" w14:textId="77777777" w:rsidR="00767CD0" w:rsidRPr="00C51AE9" w:rsidRDefault="00C51AE9" w:rsidP="00F635BF">
      <w:pPr>
        <w:numPr>
          <w:ilvl w:val="0"/>
          <w:numId w:val="118"/>
        </w:numPr>
        <w:spacing w:after="0"/>
        <w:ind w:left="900"/>
        <w:contextualSpacing/>
        <w:jc w:val="both"/>
        <w:rPr>
          <w:rFonts w:ascii="Times New Roman" w:hAnsi="Times New Roman" w:cs="Times New Roman"/>
        </w:rPr>
      </w:pPr>
      <w:r w:rsidRPr="00C51AE9">
        <w:rPr>
          <w:rFonts w:ascii="Times New Roman" w:hAnsi="Times New Roman" w:cs="Times New Roman"/>
        </w:rPr>
        <w:t>ndërmjet vendeve ku operatori ushtron veprimtarinë dhe strukturave të çdo ndërmarrjeje tjetër të lidhur apo partnere me të.</w:t>
      </w:r>
    </w:p>
    <w:p w14:paraId="31EC3964"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Pavarësisht përcaktimeve të pikës 1 të këtij neni, operatorët ekonomikë sigurojnë që ambalazhet e transportit ose ambalazhet e shitjes të përdorura për transport (përfshirë tregtinë elektronike), në formatet e </w:t>
      </w:r>
      <w:proofErr w:type="spellStart"/>
      <w:r w:rsidRPr="00C51AE9">
        <w:rPr>
          <w:rFonts w:ascii="Times New Roman" w:hAnsi="Times New Roman" w:cs="Times New Roman"/>
        </w:rPr>
        <w:t>listuara</w:t>
      </w:r>
      <w:proofErr w:type="spellEnd"/>
      <w:r w:rsidRPr="00C51AE9">
        <w:rPr>
          <w:rFonts w:ascii="Times New Roman" w:hAnsi="Times New Roman" w:cs="Times New Roman"/>
        </w:rPr>
        <w:t xml:space="preserve"> në pikën 1, të jenë 100%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kur ato përdoren për dorëzimin e produkteve të një operatori tjetër ekonomik brenda territorit të Republikës së Shqipërisë.</w:t>
      </w:r>
    </w:p>
    <w:p w14:paraId="4E628758"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lastRenderedPageBreak/>
        <w:t>Detyrimet e përcaktuara në pikat 1, 2 dhe 3 të këtij neni, nuk zbatohen për ambalazhet e transportit ose ambalazhet e shitjes që përdoren për:</w:t>
      </w:r>
    </w:p>
    <w:p w14:paraId="34EF28E4" w14:textId="77777777" w:rsidR="00767CD0" w:rsidRPr="00C51AE9" w:rsidRDefault="00C51AE9" w:rsidP="00F635BF">
      <w:pPr>
        <w:numPr>
          <w:ilvl w:val="1"/>
          <w:numId w:val="93"/>
        </w:numPr>
        <w:tabs>
          <w:tab w:val="left" w:pos="900"/>
        </w:tabs>
        <w:spacing w:after="0"/>
        <w:ind w:left="900"/>
        <w:contextualSpacing/>
        <w:jc w:val="both"/>
        <w:rPr>
          <w:rFonts w:ascii="Times New Roman" w:hAnsi="Times New Roman" w:cs="Times New Roman"/>
        </w:rPr>
      </w:pPr>
      <w:r w:rsidRPr="00C51AE9">
        <w:rPr>
          <w:rFonts w:ascii="Times New Roman" w:hAnsi="Times New Roman" w:cs="Times New Roman"/>
        </w:rPr>
        <w:t>transportin e mallrave të rrezikshme, në përputhje me dispozitat e legjislacionit në fuqi për transportin e mallrave të rrezikshme;</w:t>
      </w:r>
    </w:p>
    <w:p w14:paraId="56007836" w14:textId="77777777" w:rsidR="00767CD0" w:rsidRPr="00C51AE9" w:rsidRDefault="00C51AE9" w:rsidP="00F635BF">
      <w:pPr>
        <w:numPr>
          <w:ilvl w:val="1"/>
          <w:numId w:val="93"/>
        </w:numPr>
        <w:tabs>
          <w:tab w:val="left" w:pos="900"/>
        </w:tabs>
        <w:spacing w:after="0"/>
        <w:ind w:left="900"/>
        <w:contextualSpacing/>
        <w:jc w:val="both"/>
        <w:rPr>
          <w:rFonts w:ascii="Times New Roman" w:hAnsi="Times New Roman" w:cs="Times New Roman"/>
        </w:rPr>
      </w:pPr>
      <w:r w:rsidRPr="00C51AE9">
        <w:rPr>
          <w:rFonts w:ascii="Times New Roman" w:hAnsi="Times New Roman" w:cs="Times New Roman"/>
        </w:rPr>
        <w:t>transportin e makinerive, pajisjeve dhe mallrave në shkallë të gjerë, për të cilat ambalazhi është projektuar posaçërisht sipas kërkesave individuale të operatorit ekonomik porositës;</w:t>
      </w:r>
    </w:p>
    <w:p w14:paraId="6B109119" w14:textId="77777777" w:rsidR="00767CD0" w:rsidRPr="00C51AE9" w:rsidRDefault="00C51AE9" w:rsidP="00F635BF">
      <w:pPr>
        <w:numPr>
          <w:ilvl w:val="1"/>
          <w:numId w:val="93"/>
        </w:numPr>
        <w:tabs>
          <w:tab w:val="left" w:pos="900"/>
        </w:tabs>
        <w:spacing w:after="0"/>
        <w:ind w:left="900"/>
        <w:contextualSpacing/>
        <w:jc w:val="both"/>
        <w:rPr>
          <w:rFonts w:ascii="Times New Roman" w:hAnsi="Times New Roman" w:cs="Times New Roman"/>
        </w:rPr>
      </w:pPr>
      <w:r w:rsidRPr="00C51AE9">
        <w:rPr>
          <w:rFonts w:ascii="Times New Roman" w:hAnsi="Times New Roman" w:cs="Times New Roman"/>
        </w:rPr>
        <w:t xml:space="preserve">formatet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që janë në kontakt të drejtpërdrejtë me ushqimin e destinuar për konsum njerëzor ose nga kafshët, sipas përcaktimeve të legjislacionit në fuqi për ushqimin;</w:t>
      </w:r>
    </w:p>
    <w:p w14:paraId="759B51FB" w14:textId="77777777" w:rsidR="00767CD0" w:rsidRPr="00C51AE9" w:rsidRDefault="00C51AE9">
      <w:pPr>
        <w:tabs>
          <w:tab w:val="left" w:pos="900"/>
        </w:tabs>
        <w:spacing w:after="0"/>
        <w:ind w:left="540"/>
        <w:jc w:val="both"/>
        <w:rPr>
          <w:rFonts w:ascii="Times New Roman" w:hAnsi="Times New Roman" w:cs="Times New Roman"/>
        </w:rPr>
      </w:pPr>
      <w:r w:rsidRPr="00C51AE9">
        <w:rPr>
          <w:rFonts w:ascii="Times New Roman" w:hAnsi="Times New Roman" w:cs="Times New Roman"/>
        </w:rPr>
        <w:t>ç.  ambalazhet e bëra tërësisht prej kutish kartoni.</w:t>
      </w:r>
    </w:p>
    <w:p w14:paraId="62A50B95"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Operatorët ekonomikë që përdorin ambalazhe të grupuara në formën e kutive (duke përjashtuar ato prej kartoni), jashtë ambalazhit të shitjes, për të grupuar një numër të caktuar produktesh me qëllim krijimin e një njësie magazinimi ose shpërndarjeje, sigurojnë që të paktën 10% (dhjetë për qind) e këtyre ambalazheve të jenë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Nga data 1 janar 2040, këta operatorë ekonomikë synojnë të përdorin të paktën 25 % të këtyre ambalazheve në format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brenda një sistemi ripërdorimi.</w:t>
      </w:r>
    </w:p>
    <w:p w14:paraId="70BA47A4"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Shpërndarësit përfundimtarë që bëjnë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për konsumatorët në territorin e Republikës së Shqipërisë pije alkoolike dhe joalkoolike në ambalazhe shitjeje, sigurojnë që të paktën 10% dhjetë për qind e këtyre produkteve të tregtohen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Nga data 1 janar 2040, shpërndarësit përfundimtarë synojnë që të paktën 40 % e këtyre produkteve të tregtohen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Shpërndarësit përfundimtarë sigurojnë që produktet e ambalazhuara nën markën e tyre tregtare private të kontribuojnë në mënyrë të drejtë dhe proporcionale në arritjen e këtij objektivi.</w:t>
      </w:r>
    </w:p>
    <w:p w14:paraId="355B49BA"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Objektivat e përcaktuara në pikën 6 të këtij neni, nuk zbatohen për:</w:t>
      </w:r>
    </w:p>
    <w:p w14:paraId="0A2834D2" w14:textId="77777777" w:rsidR="00767CD0" w:rsidRPr="00C51AE9" w:rsidRDefault="00C51AE9" w:rsidP="00F635BF">
      <w:pPr>
        <w:numPr>
          <w:ilvl w:val="0"/>
          <w:numId w:val="119"/>
        </w:numPr>
        <w:spacing w:after="0"/>
        <w:ind w:left="900"/>
        <w:contextualSpacing/>
        <w:jc w:val="both"/>
        <w:rPr>
          <w:rFonts w:ascii="Times New Roman" w:hAnsi="Times New Roman" w:cs="Times New Roman"/>
        </w:rPr>
      </w:pPr>
      <w:r w:rsidRPr="00C51AE9">
        <w:rPr>
          <w:rFonts w:ascii="Times New Roman" w:hAnsi="Times New Roman" w:cs="Times New Roman"/>
        </w:rPr>
        <w:t>pijet që prishen shumë shpejt në kuptim të legjislacionit në fuqi për mbrojtjen e konsumatorit, si dhe qumështin e produktet e tij të përcaktuara sipas legjislacionit në fuqi për prodhimin, grumbullimin, përpunimin dhe tregtimin e qumështit dhe produkteve me bazë qumështi;</w:t>
      </w:r>
    </w:p>
    <w:p w14:paraId="437F245F" w14:textId="77777777" w:rsidR="00767CD0" w:rsidRPr="00C51AE9" w:rsidRDefault="00C51AE9" w:rsidP="00F635BF">
      <w:pPr>
        <w:numPr>
          <w:ilvl w:val="0"/>
          <w:numId w:val="119"/>
        </w:numPr>
        <w:spacing w:after="0"/>
        <w:ind w:left="900"/>
        <w:contextualSpacing/>
        <w:jc w:val="both"/>
        <w:rPr>
          <w:rFonts w:ascii="Times New Roman" w:hAnsi="Times New Roman" w:cs="Times New Roman"/>
        </w:rPr>
      </w:pPr>
      <w:r w:rsidRPr="00C51AE9">
        <w:rPr>
          <w:rFonts w:ascii="Times New Roman" w:hAnsi="Times New Roman" w:cs="Times New Roman"/>
        </w:rPr>
        <w:t xml:space="preserve">kategoritë e produkteve të hardhisë dhe të verës së </w:t>
      </w:r>
      <w:proofErr w:type="spellStart"/>
      <w:r w:rsidRPr="00C51AE9">
        <w:rPr>
          <w:rFonts w:ascii="Times New Roman" w:hAnsi="Times New Roman" w:cs="Times New Roman"/>
        </w:rPr>
        <w:t>aromatizuar</w:t>
      </w:r>
      <w:proofErr w:type="spellEnd"/>
      <w:r w:rsidRPr="00C51AE9">
        <w:rPr>
          <w:rFonts w:ascii="Times New Roman" w:hAnsi="Times New Roman" w:cs="Times New Roman"/>
        </w:rPr>
        <w:t>, sipas përcaktimeve të legjislacionit në fuqi për vreshtarinë dhe verën;</w:t>
      </w:r>
    </w:p>
    <w:p w14:paraId="7FA3204F" w14:textId="77777777" w:rsidR="00767CD0" w:rsidRPr="00C51AE9" w:rsidRDefault="00C51AE9" w:rsidP="00F635BF">
      <w:pPr>
        <w:numPr>
          <w:ilvl w:val="0"/>
          <w:numId w:val="119"/>
        </w:numPr>
        <w:spacing w:after="0"/>
        <w:ind w:left="900"/>
        <w:contextualSpacing/>
        <w:jc w:val="both"/>
        <w:rPr>
          <w:rFonts w:ascii="Times New Roman" w:hAnsi="Times New Roman" w:cs="Times New Roman"/>
        </w:rPr>
      </w:pPr>
      <w:r w:rsidRPr="00C51AE9">
        <w:rPr>
          <w:rFonts w:ascii="Times New Roman" w:hAnsi="Times New Roman" w:cs="Times New Roman"/>
        </w:rPr>
        <w:t xml:space="preserve">produktet e ngjashme me verën e </w:t>
      </w:r>
      <w:proofErr w:type="spellStart"/>
      <w:r w:rsidRPr="00C51AE9">
        <w:rPr>
          <w:rFonts w:ascii="Times New Roman" w:hAnsi="Times New Roman" w:cs="Times New Roman"/>
        </w:rPr>
        <w:t>aromatizuar</w:t>
      </w:r>
      <w:proofErr w:type="spellEnd"/>
      <w:r w:rsidRPr="00C51AE9">
        <w:rPr>
          <w:rFonts w:ascii="Times New Roman" w:hAnsi="Times New Roman" w:cs="Times New Roman"/>
        </w:rPr>
        <w:t xml:space="preserve"> që përftohen nga fruta të ndryshme nga rrushi ose perime, dhe pijet e tjera të fermentuara që përfshihen në kodin CN 2206 00;</w:t>
      </w:r>
    </w:p>
    <w:p w14:paraId="301B61B3" w14:textId="77777777" w:rsidR="00767CD0" w:rsidRPr="00C51AE9" w:rsidRDefault="00C51AE9">
      <w:pPr>
        <w:tabs>
          <w:tab w:val="left" w:pos="1260"/>
        </w:tabs>
        <w:spacing w:after="0"/>
        <w:ind w:left="900" w:hanging="270"/>
        <w:jc w:val="both"/>
        <w:rPr>
          <w:rFonts w:ascii="Times New Roman" w:hAnsi="Times New Roman" w:cs="Times New Roman"/>
        </w:rPr>
      </w:pPr>
      <w:r w:rsidRPr="00C51AE9">
        <w:rPr>
          <w:rFonts w:ascii="Times New Roman" w:hAnsi="Times New Roman" w:cs="Times New Roman"/>
        </w:rPr>
        <w:t>ç. pijet alkoolike që korrespondojnë me Shtojcën CN 2208 të Nomenklaturës së Kombinuar të Mallrave.</w:t>
      </w:r>
    </w:p>
    <w:p w14:paraId="257FD231"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Ministria përgjegjëse për mjedisin miraton me udhëzim listën e detajuar të llojeve të produkteve që përfshihen ose përjashtohen nga fushëveprimi i pikave 6 dhe 7 të këtij neni. Lista hartohet mbi bazën e kodeve të Nomenklaturës së Kombinuar dhe të kategorive të përjashtuara sipas pikës 7 të këtij neni.</w:t>
      </w:r>
    </w:p>
    <w:p w14:paraId="33AF6430"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Shpërndarësit përfundimtarë të përmendur në pikën 6 të këtij neni, detyrohen të pranojnë kthimin në pikën e shitjes, pa asnjë pagesë shtesë, të gjitha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njëjtit lloj, forme dhe madhësie me ato që kanë hedhur në treg. Ata </w:t>
      </w:r>
      <w:r w:rsidRPr="00C51AE9">
        <w:rPr>
          <w:rFonts w:ascii="Times New Roman" w:hAnsi="Times New Roman" w:cs="Times New Roman"/>
        </w:rPr>
        <w:lastRenderedPageBreak/>
        <w:t xml:space="preserve">sigurojnë rikuperimin dhe kthimin e këtyre ambalazheve përgjatë zinxhirit të shpërndarjes, duke u garantuar përdoruesve fundorë kthimin e ambalazhit në vendin e dorëzimit faktik ose në afërsi të tij. Shpërndarësi përfundimtar </w:t>
      </w:r>
      <w:proofErr w:type="spellStart"/>
      <w:r w:rsidRPr="00C51AE9">
        <w:rPr>
          <w:rFonts w:ascii="Times New Roman" w:hAnsi="Times New Roman" w:cs="Times New Roman"/>
        </w:rPr>
        <w:t>rimburson</w:t>
      </w:r>
      <w:proofErr w:type="spellEnd"/>
      <w:r w:rsidRPr="00C51AE9">
        <w:rPr>
          <w:rFonts w:ascii="Times New Roman" w:hAnsi="Times New Roman" w:cs="Times New Roman"/>
        </w:rPr>
        <w:t xml:space="preserve"> plotësisht vlerën e depozitës financiare ose regjistron kthimin sipas rregullave të administrimit të sistemit specifik.</w:t>
      </w:r>
    </w:p>
    <w:p w14:paraId="6AA35CBA"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Përjashtohen nga detyrimi i përmbushjes së objektivave të pikës 6 të këtij neni, për atë vit kalendarik, shpërndarësit përfundimtarë që kanë një sipërfaqe shitjeje më të vogël se 100 m² (njëqind metra katrorë).</w:t>
      </w:r>
    </w:p>
    <w:p w14:paraId="18293CDD"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Shpërndarësit përfundimtarë përjashtohen nga detyrimi i pikës 6 nëse sipërfaqja e tyre e tregtimit ndodhet në një bashki me një dendësi popullsie më të vogël se 54 banorë/km². Ky përjashtim nuk zbatohet nëse sipërfaqja e shitjes ndodhet brenda zonave apo qendrave të banuara me më shumë se 5 000 (pesë mijë) banorë.</w:t>
      </w:r>
    </w:p>
    <w:p w14:paraId="0110B657"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Nëse një shpërndarës përfundimtar, i cili është përjashtuar nga detyrimi sipas pikave 10 dhe 11, zgjedh vullnetarisht të shesë pijet e përmendura në pikën 6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ai është i detyruar të organizojë marrjen mbrapsht të tyre dhe </w:t>
      </w:r>
      <w:proofErr w:type="spellStart"/>
      <w:r w:rsidRPr="00C51AE9">
        <w:rPr>
          <w:rFonts w:ascii="Times New Roman" w:hAnsi="Times New Roman" w:cs="Times New Roman"/>
        </w:rPr>
        <w:t>rimbursimin</w:t>
      </w:r>
      <w:proofErr w:type="spellEnd"/>
      <w:r w:rsidRPr="00C51AE9">
        <w:rPr>
          <w:rFonts w:ascii="Times New Roman" w:hAnsi="Times New Roman" w:cs="Times New Roman"/>
        </w:rPr>
        <w:t xml:space="preserve"> e depozitës në përputhje me rregullat e pikës 9 të këtij neni. Nëse një shpërndarës ka disa pika shitjeje dhe vetëm disa prej tyre ndodhen në bashkitë e përjashtuara, sasia e pijeve të tregtuara në këto pika të përjashtuara nuk llogaritet në vlerësimin total të përmbushjes së objektivave kombëtare të pikës 6.</w:t>
      </w:r>
    </w:p>
    <w:p w14:paraId="792FE917"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Shpërndarësit përfundimtarë mund të formojnë grupe përbashkëta përmes një marrëveshjeje me shkrim me qëllim përmbushjen e përbashkët të objektivave të pikës 6, me kusht që secili grup:</w:t>
      </w:r>
    </w:p>
    <w:p w14:paraId="3E0E0E1E" w14:textId="77777777" w:rsidR="00767CD0" w:rsidRPr="00C51AE9" w:rsidRDefault="00C51AE9" w:rsidP="00F635BF">
      <w:pPr>
        <w:numPr>
          <w:ilvl w:val="0"/>
          <w:numId w:val="120"/>
        </w:numPr>
        <w:spacing w:after="0"/>
        <w:ind w:left="900"/>
        <w:contextualSpacing/>
        <w:rPr>
          <w:rFonts w:ascii="Times New Roman" w:hAnsi="Times New Roman" w:cs="Times New Roman"/>
        </w:rPr>
      </w:pPr>
      <w:r w:rsidRPr="00C51AE9">
        <w:rPr>
          <w:rFonts w:ascii="Times New Roman" w:hAnsi="Times New Roman" w:cs="Times New Roman"/>
        </w:rPr>
        <w:t>të mos tejkalojë 40% (dyzet për qind) të pjesës së tregut për kategorinë përkatëse të pijes;</w:t>
      </w:r>
    </w:p>
    <w:p w14:paraId="3C407688" w14:textId="77777777" w:rsidR="00767CD0" w:rsidRPr="00C51AE9" w:rsidRDefault="00C51AE9" w:rsidP="00F635BF">
      <w:pPr>
        <w:numPr>
          <w:ilvl w:val="0"/>
          <w:numId w:val="120"/>
        </w:numPr>
        <w:spacing w:after="0"/>
        <w:ind w:left="900"/>
        <w:contextualSpacing/>
        <w:rPr>
          <w:rFonts w:ascii="Times New Roman" w:hAnsi="Times New Roman" w:cs="Times New Roman"/>
        </w:rPr>
      </w:pPr>
      <w:r w:rsidRPr="00C51AE9">
        <w:rPr>
          <w:rFonts w:ascii="Times New Roman" w:hAnsi="Times New Roman" w:cs="Times New Roman"/>
        </w:rPr>
        <w:t>të mos përbëhet nga më shumë se 5 pesë shpërndarës përfundimtarë që operojnë nën marka të ndryshme tregtare;</w:t>
      </w:r>
    </w:p>
    <w:p w14:paraId="10100CE3" w14:textId="77777777" w:rsidR="00767CD0" w:rsidRPr="00C51AE9" w:rsidRDefault="00C51AE9" w:rsidP="00F635BF">
      <w:pPr>
        <w:numPr>
          <w:ilvl w:val="0"/>
          <w:numId w:val="120"/>
        </w:numPr>
        <w:spacing w:after="0"/>
        <w:ind w:left="900"/>
        <w:contextualSpacing/>
        <w:rPr>
          <w:rFonts w:ascii="Times New Roman" w:hAnsi="Times New Roman" w:cs="Times New Roman"/>
        </w:rPr>
      </w:pPr>
      <w:r w:rsidRPr="00C51AE9">
        <w:rPr>
          <w:rFonts w:ascii="Times New Roman" w:hAnsi="Times New Roman" w:cs="Times New Roman"/>
        </w:rPr>
        <w:t xml:space="preserve">të mbulojë vetëm kategoritë e pijeve të bëra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tregun shqiptar nga të gjithë anëtarët e atij grupi.</w:t>
      </w:r>
    </w:p>
    <w:p w14:paraId="52CB0CE6"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Personi juridik që përfaqëson grupin e krijuar sipas pikës 13 të këtij neni, i paraqet Agjencisë Kombëtare të Mjedisit të paktën informacionin e mëposhtëm:</w:t>
      </w:r>
    </w:p>
    <w:p w14:paraId="52BAA261" w14:textId="77777777" w:rsidR="00767CD0" w:rsidRPr="00C51AE9" w:rsidRDefault="00C51AE9" w:rsidP="00F635BF">
      <w:pPr>
        <w:numPr>
          <w:ilvl w:val="0"/>
          <w:numId w:val="121"/>
        </w:numPr>
        <w:spacing w:after="0"/>
        <w:ind w:left="900"/>
        <w:contextualSpacing/>
        <w:jc w:val="both"/>
        <w:rPr>
          <w:rFonts w:ascii="Times New Roman" w:hAnsi="Times New Roman" w:cs="Times New Roman"/>
        </w:rPr>
      </w:pPr>
      <w:r w:rsidRPr="00C51AE9">
        <w:rPr>
          <w:rFonts w:ascii="Times New Roman" w:hAnsi="Times New Roman" w:cs="Times New Roman"/>
        </w:rPr>
        <w:t>listën e shpërndarësve përfundimtarë të përfshirë në grup;</w:t>
      </w:r>
    </w:p>
    <w:p w14:paraId="5CF4405F" w14:textId="77777777" w:rsidR="00767CD0" w:rsidRPr="00C51AE9" w:rsidRDefault="00C51AE9" w:rsidP="00F635BF">
      <w:pPr>
        <w:numPr>
          <w:ilvl w:val="0"/>
          <w:numId w:val="121"/>
        </w:numPr>
        <w:spacing w:after="0"/>
        <w:ind w:left="900"/>
        <w:contextualSpacing/>
        <w:jc w:val="both"/>
        <w:rPr>
          <w:rFonts w:ascii="Times New Roman" w:hAnsi="Times New Roman" w:cs="Times New Roman"/>
        </w:rPr>
      </w:pPr>
      <w:r w:rsidRPr="00C51AE9">
        <w:rPr>
          <w:rFonts w:ascii="Times New Roman" w:hAnsi="Times New Roman" w:cs="Times New Roman"/>
        </w:rPr>
        <w:t>emrin e shpërndarësit përfundimtar të emëruar si administrator i grupit dhe pikë zyrtare kontakti.</w:t>
      </w:r>
    </w:p>
    <w:p w14:paraId="21567440"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Agjencia Kombëtare të Mjedisit mund të kërkojë informacion ose dokumentacion të mëtejshëm plotësues nga administratori i grupit, sipas nevojave për monitorimin e zbatimit të detyrimeve të këtij neni.</w:t>
      </w:r>
    </w:p>
    <w:p w14:paraId="0CB678C5"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t xml:space="preserve">Shpërndarësit përfundimtarë sigurojnë që marrëveshjet e tyre të bashkimit në grup të jenë në përputhje me legjislacionin në fuqi për mbrojtjen e konkurrencës. Anëtarët e grupit sigurojnë në mënyrë të veçantë që as ndarja e të dhënave dhe as shkëmbimi i informacioneve (përfshirë të dhënat mbi shitjet e ardhshme) të mos ndodhin jashtë qëllimit të menaxhimit teknik të ambalazheve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w:t>
      </w:r>
    </w:p>
    <w:p w14:paraId="4F43D5E9" w14:textId="77777777" w:rsidR="00767CD0" w:rsidRPr="00121712" w:rsidRDefault="00C51AE9" w:rsidP="00F635BF">
      <w:pPr>
        <w:numPr>
          <w:ilvl w:val="0"/>
          <w:numId w:val="39"/>
        </w:numPr>
        <w:spacing w:after="0"/>
        <w:contextualSpacing/>
        <w:jc w:val="both"/>
        <w:rPr>
          <w:rFonts w:ascii="Times New Roman" w:hAnsi="Times New Roman" w:cs="Times New Roman"/>
        </w:rPr>
      </w:pPr>
      <w:r w:rsidRPr="00121712">
        <w:rPr>
          <w:rFonts w:ascii="Times New Roman" w:hAnsi="Times New Roman" w:cs="Times New Roman"/>
        </w:rPr>
        <w:t>Kushtet e detajuara, rregullat e funksionimit dhe kërkesat e raportimit që zbatohen për marrëveshjet e bashkimit në grup, përcaktohen me udhëzim të ministrit përgjegjës për mjedisin, duke marrë në konsideratë llojin dhe sasinë e ambalazheve që çdo anëtar vendos në treg gjatë çdo viti kalendarik, si dhe shpërndarjen e tyre gjeografike.</w:t>
      </w:r>
    </w:p>
    <w:p w14:paraId="78723C42" w14:textId="77777777" w:rsidR="00767CD0" w:rsidRPr="00C51AE9" w:rsidRDefault="00C51AE9" w:rsidP="00F635BF">
      <w:pPr>
        <w:numPr>
          <w:ilvl w:val="0"/>
          <w:numId w:val="39"/>
        </w:numPr>
        <w:spacing w:after="0"/>
        <w:contextualSpacing/>
        <w:jc w:val="both"/>
        <w:rPr>
          <w:rFonts w:ascii="Times New Roman" w:hAnsi="Times New Roman" w:cs="Times New Roman"/>
        </w:rPr>
      </w:pPr>
      <w:r w:rsidRPr="00C51AE9">
        <w:rPr>
          <w:rFonts w:ascii="Times New Roman" w:hAnsi="Times New Roman" w:cs="Times New Roman"/>
        </w:rPr>
        <w:lastRenderedPageBreak/>
        <w:t>Operatorët e skemave të ripërdorimit dhe operatorët e Sistemit të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detyrohen të bashkëpunojnë me Agjencinë Kombëtare të Mjedisit dhe Inspektoratin e Tregut për </w:t>
      </w:r>
      <w:proofErr w:type="spellStart"/>
      <w:r w:rsidRPr="00C51AE9">
        <w:rPr>
          <w:rFonts w:ascii="Times New Roman" w:hAnsi="Times New Roman" w:cs="Times New Roman"/>
        </w:rPr>
        <w:t>auditimin</w:t>
      </w:r>
      <w:proofErr w:type="spellEnd"/>
      <w:r w:rsidRPr="00C51AE9">
        <w:rPr>
          <w:rFonts w:ascii="Times New Roman" w:hAnsi="Times New Roman" w:cs="Times New Roman"/>
        </w:rPr>
        <w:t xml:space="preserve"> dhe verifikimin e të dhënave të raportuara sipas këtij neni.</w:t>
      </w:r>
    </w:p>
    <w:p w14:paraId="517EB067"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19. Operatorët ekonomikë përjashtohen nga detyrimi për përmbushjen e objektivave të përcaktuar në këtë nen për një vit kalendarik, nëse gjatë atij viti:</w:t>
      </w:r>
    </w:p>
    <w:p w14:paraId="04424626"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kanë vënë në dispozicion në tregun e Republikës së Shqipërisë jo më shumë se 1 000 kg ambalazhe; dhe</w:t>
      </w:r>
    </w:p>
    <w:p w14:paraId="7D89D467"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 xml:space="preserve">b. janë </w:t>
      </w:r>
      <w:proofErr w:type="spellStart"/>
      <w:r w:rsidRPr="00C51AE9">
        <w:rPr>
          <w:rFonts w:ascii="Times New Roman" w:hAnsi="Times New Roman" w:cs="Times New Roman"/>
        </w:rPr>
        <w:t>mikrondërmarrje</w:t>
      </w:r>
      <w:proofErr w:type="spellEnd"/>
      <w:r w:rsidRPr="00C51AE9">
        <w:rPr>
          <w:rFonts w:ascii="Times New Roman" w:hAnsi="Times New Roman" w:cs="Times New Roman"/>
        </w:rPr>
        <w:t xml:space="preserve">, sipas përcaktimit të legjislacionit në fuqi për ndërmarrjet </w:t>
      </w:r>
      <w:proofErr w:type="spellStart"/>
      <w:r w:rsidRPr="00C51AE9">
        <w:rPr>
          <w:rFonts w:ascii="Times New Roman" w:hAnsi="Times New Roman" w:cs="Times New Roman"/>
        </w:rPr>
        <w:t>mikro</w:t>
      </w:r>
      <w:proofErr w:type="spellEnd"/>
      <w:r w:rsidRPr="00C51AE9">
        <w:rPr>
          <w:rFonts w:ascii="Times New Roman" w:hAnsi="Times New Roman" w:cs="Times New Roman"/>
        </w:rPr>
        <w:t>, të vogla dhe të mesme.</w:t>
      </w:r>
    </w:p>
    <w:p w14:paraId="2BA660E4" w14:textId="77777777" w:rsidR="00767CD0" w:rsidRPr="00C51AE9" w:rsidRDefault="00C51AE9" w:rsidP="00F635BF">
      <w:pPr>
        <w:numPr>
          <w:ilvl w:val="0"/>
          <w:numId w:val="180"/>
        </w:numPr>
        <w:spacing w:beforeAutospacing="1"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Përjashtimi i parashikuar në këtë pikë ka karakter kombëtar. Operatorët ekonomikë që kanë dorëzuar në Agjencinë Kombëtare të Mjedisit planin sipas shkronjës "c" përjashtohen nga detyrimet e këtij neni për një periudhë 5-vjeçare, kur plotësohen njëkohësisht kushtet e mëposhtme:</w:t>
      </w:r>
    </w:p>
    <w:p w14:paraId="28DFCCD7" w14:textId="77777777" w:rsidR="00767CD0" w:rsidRPr="00C51AE9" w:rsidRDefault="00C51AE9">
      <w:pPr>
        <w:spacing w:beforeAutospacing="1" w:afterAutospacing="1" w:line="240" w:lineRule="auto"/>
        <w:ind w:left="72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 objektivat e riciklimit të mbetjeve të ambalazheve për çdo material, të përcaktuar në nenin 62 të këtij vendimi, janë tejkaluar me të paktën 5 pikë përqindjeje;</w:t>
      </w:r>
    </w:p>
    <w:p w14:paraId="2CC22EEC" w14:textId="77777777" w:rsidR="00767CD0" w:rsidRPr="00C51AE9" w:rsidRDefault="00C51AE9">
      <w:pPr>
        <w:spacing w:beforeAutospacing="1" w:afterAutospacing="1" w:line="240" w:lineRule="auto"/>
        <w:ind w:left="72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 mbetjet e ambalazheve të </w:t>
      </w:r>
      <w:proofErr w:type="spellStart"/>
      <w:r w:rsidRPr="00C51AE9">
        <w:rPr>
          <w:rFonts w:ascii="Times New Roman" w:eastAsia="Times New Roman" w:hAnsi="Times New Roman" w:cs="Times New Roman"/>
          <w:kern w:val="0"/>
          <w14:ligatures w14:val="none"/>
        </w:rPr>
        <w:t>gjeneruara</w:t>
      </w:r>
      <w:proofErr w:type="spellEnd"/>
      <w:r w:rsidRPr="00C51AE9">
        <w:rPr>
          <w:rFonts w:ascii="Times New Roman" w:eastAsia="Times New Roman" w:hAnsi="Times New Roman" w:cs="Times New Roman"/>
          <w:kern w:val="0"/>
          <w14:ligatures w14:val="none"/>
        </w:rPr>
        <w:t xml:space="preserve"> për frymë janë ulur me të paktën 3 %, krahasuar me vitin bazë të përcaktuar në nenin 46 të këtij vendimi;</w:t>
      </w:r>
    </w:p>
    <w:p w14:paraId="308ECCE8" w14:textId="77777777" w:rsidR="00767CD0" w:rsidRPr="00C51AE9" w:rsidRDefault="00C51AE9">
      <w:pPr>
        <w:spacing w:beforeAutospacing="1" w:afterAutospacing="1" w:line="240" w:lineRule="auto"/>
        <w:ind w:left="36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c. operatori ekonomik ka miratuar një plan për parandalimin dhe riciklimin e mbetjeve, që kontribuon në arritjen e objektivave të neneve 46 dhe 62 të këtij vendimi.</w:t>
      </w:r>
      <w:r w:rsidRPr="00C51AE9">
        <w:rPr>
          <w:rFonts w:ascii="Times New Roman" w:eastAsia="Times New Roman" w:hAnsi="Times New Roman" w:cs="Times New Roman"/>
          <w:kern w:val="0"/>
          <w14:ligatures w14:val="none"/>
        </w:rPr>
        <w:br/>
      </w:r>
      <w:r w:rsidRPr="00C51AE9">
        <w:rPr>
          <w:rFonts w:ascii="Times New Roman" w:eastAsia="Times New Roman" w:hAnsi="Times New Roman" w:cs="Times New Roman"/>
          <w:kern w:val="0"/>
          <w14:ligatures w14:val="none"/>
        </w:rPr>
        <w:br/>
      </w:r>
      <w:r w:rsidRPr="00C51AE9">
        <w:rPr>
          <w:rFonts w:ascii="Times New Roman" w:eastAsia="Times New Roman" w:hAnsi="Times New Roman" w:cs="Times New Roman"/>
          <w:kern w:val="0"/>
          <w14:ligatures w14:val="none"/>
        </w:rPr>
        <w:br/>
      </w:r>
    </w:p>
    <w:p w14:paraId="7157AA75" w14:textId="77777777" w:rsidR="00767CD0" w:rsidRPr="00C51AE9" w:rsidRDefault="00C51AE9" w:rsidP="00F635BF">
      <w:pPr>
        <w:numPr>
          <w:ilvl w:val="0"/>
          <w:numId w:val="180"/>
        </w:numPr>
        <w:spacing w:beforeAutospacing="1"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Plotësimi i kushteve të shkronjave "a" dhe "b" të pikës 20 konstatohet nga Agjencia Kombëtare e Mjedisit në raportin vjetor të parashikuar në nenin 66 të këtij vendimi. Periudha 5-vjeçare fillon më 1 janar të vitit pasues të publikimit të raportit dhe përsëritet kur kushtet vazhdojnë të plotësohen.</w:t>
      </w:r>
    </w:p>
    <w:p w14:paraId="4B3343F6"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22. Ministria përgjegjëse për mjedisin vlerëson nevojën për rishikimin e objektivave dhe përjashtimeve të parashikuara në këtë nen, në përputhje me zhvillimet e legjislacionit të Bashkimit Evropian dhe legjislacionin në fuqi, dhe propozon ndryshimet përkatëse sipas rastit, përfshirë përjashtime shtesë nga objektivat e këtij neni:</w:t>
      </w:r>
    </w:p>
    <w:p w14:paraId="08C31F25"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për operatorë ekonomikë, për shkak të kufizimeve të veçanta ekonomike në një sektor specifik;</w:t>
      </w:r>
    </w:p>
    <w:p w14:paraId="408E7BB3"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për formate specifike ambalazhesh, kur çështjet e higjienës dhe të sigurisë ushqimore pengojnë arritjen e objektivave;</w:t>
      </w:r>
    </w:p>
    <w:p w14:paraId="352C50C7"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c. për formate specifike ambalazhesh, kur çështjet mjedisore pengojnë arritjen e objektivave.</w:t>
      </w:r>
    </w:p>
    <w:p w14:paraId="0023B877"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lastRenderedPageBreak/>
        <w:t xml:space="preserve">23. Deri më 1 janar 2034, ministria përgjegjëse për mjedisin rishikon zbatimin e objektivave të fazës së parë, vlerëson </w:t>
      </w:r>
      <w:proofErr w:type="spellStart"/>
      <w:r w:rsidRPr="00C51AE9">
        <w:rPr>
          <w:rFonts w:ascii="Times New Roman" w:hAnsi="Times New Roman" w:cs="Times New Roman"/>
        </w:rPr>
        <w:t>fizibilitetin</w:t>
      </w:r>
      <w:proofErr w:type="spellEnd"/>
      <w:r w:rsidRPr="00C51AE9">
        <w:rPr>
          <w:rFonts w:ascii="Times New Roman" w:hAnsi="Times New Roman" w:cs="Times New Roman"/>
        </w:rPr>
        <w:t xml:space="preserve"> e arritjes së synimeve të fazës së dytë dhe rëndësinë e ruajtjes së përjashtimeve të këtij neni dhe, kur është e nevojshme, i propozon Këshillit të Ministrave ndryshimin e tij.</w:t>
      </w:r>
    </w:p>
    <w:p w14:paraId="75685C5C" w14:textId="77777777" w:rsidR="00767CD0" w:rsidRPr="00C51AE9" w:rsidRDefault="00767CD0">
      <w:pPr>
        <w:jc w:val="both"/>
        <w:rPr>
          <w:rFonts w:ascii="Times New Roman" w:hAnsi="Times New Roman" w:cs="Times New Roman"/>
          <w:w w:val="90"/>
        </w:rPr>
      </w:pPr>
    </w:p>
    <w:p w14:paraId="3FAC18EE"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36 </w:t>
      </w:r>
    </w:p>
    <w:p w14:paraId="48452CB7"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7" w:name="_Toc227317631"/>
      <w:r w:rsidRPr="00C51AE9">
        <w:rPr>
          <w:rFonts w:ascii="Times New Roman" w:eastAsiaTheme="majorEastAsia" w:hAnsi="Times New Roman" w:cs="Times New Roman"/>
          <w:b/>
        </w:rPr>
        <w:t>Rregullat për llogaritjen e arritjes së objektivave të ripërdorimit</w:t>
      </w:r>
      <w:bookmarkEnd w:id="37"/>
    </w:p>
    <w:p w14:paraId="20D1428C" w14:textId="77777777" w:rsidR="00767CD0" w:rsidRPr="00C51AE9" w:rsidRDefault="00C51AE9" w:rsidP="00F635BF">
      <w:pPr>
        <w:numPr>
          <w:ilvl w:val="0"/>
          <w:numId w:val="40"/>
        </w:numPr>
        <w:tabs>
          <w:tab w:val="clear" w:pos="720"/>
          <w:tab w:val="left" w:pos="450"/>
          <w:tab w:val="left" w:pos="540"/>
        </w:tabs>
        <w:contextualSpacing/>
        <w:jc w:val="both"/>
        <w:rPr>
          <w:rFonts w:ascii="Times New Roman" w:hAnsi="Times New Roman" w:cs="Times New Roman"/>
        </w:rPr>
      </w:pPr>
      <w:r w:rsidRPr="00C51AE9">
        <w:rPr>
          <w:rFonts w:ascii="Times New Roman" w:hAnsi="Times New Roman" w:cs="Times New Roman"/>
        </w:rPr>
        <w:t xml:space="preserve"> Me qëllim dëshmimin e arritjes së objektivave të ripërdorimit për ambalazhet e transportit dhe të grupuara të parashikuara në këtë vendim, operatori ekonomik që përdor ambalazhet llogarit për secilin objektiv veçmas:</w:t>
      </w:r>
    </w:p>
    <w:p w14:paraId="16F2B513" w14:textId="77777777" w:rsidR="00767CD0" w:rsidRPr="00C51AE9" w:rsidRDefault="00C51AE9" w:rsidP="00F635BF">
      <w:pPr>
        <w:numPr>
          <w:ilvl w:val="0"/>
          <w:numId w:val="122"/>
        </w:numPr>
        <w:tabs>
          <w:tab w:val="left" w:pos="450"/>
        </w:tabs>
        <w:contextualSpacing/>
        <w:jc w:val="both"/>
        <w:rPr>
          <w:rFonts w:ascii="Times New Roman" w:hAnsi="Times New Roman" w:cs="Times New Roman"/>
        </w:rPr>
      </w:pPr>
      <w:r w:rsidRPr="00C51AE9">
        <w:rPr>
          <w:rFonts w:ascii="Times New Roman" w:hAnsi="Times New Roman" w:cs="Times New Roman"/>
        </w:rPr>
        <w:t xml:space="preserve">numrin e njësive ekuivalente të formateve të ambalazhit të përdorur, që përbëjnë ambalazh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brenda një sistemi ripërdorimi gjatë një viti kalendarik;</w:t>
      </w:r>
    </w:p>
    <w:p w14:paraId="781966ED" w14:textId="77777777" w:rsidR="00767CD0" w:rsidRPr="00C51AE9" w:rsidRDefault="00C51AE9" w:rsidP="00F635BF">
      <w:pPr>
        <w:numPr>
          <w:ilvl w:val="0"/>
          <w:numId w:val="122"/>
        </w:numPr>
        <w:tabs>
          <w:tab w:val="left" w:pos="450"/>
        </w:tabs>
        <w:contextualSpacing/>
        <w:jc w:val="both"/>
        <w:rPr>
          <w:rFonts w:ascii="Times New Roman" w:hAnsi="Times New Roman" w:cs="Times New Roman"/>
        </w:rPr>
      </w:pPr>
      <w:r w:rsidRPr="00C51AE9">
        <w:rPr>
          <w:rFonts w:ascii="Times New Roman" w:hAnsi="Times New Roman" w:cs="Times New Roman"/>
        </w:rPr>
        <w:t xml:space="preserve">numrin e përgjithshëm të njësive ekuivalente të formateve të ambalazhit të përdorur gjatë të njëjtit vit kalendarik, të cilat nuk janë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w:t>
      </w:r>
    </w:p>
    <w:p w14:paraId="018E87D0" w14:textId="77777777" w:rsidR="00767CD0" w:rsidRPr="00C51AE9" w:rsidRDefault="00C51AE9" w:rsidP="00F635BF">
      <w:pPr>
        <w:numPr>
          <w:ilvl w:val="0"/>
          <w:numId w:val="40"/>
        </w:numPr>
        <w:tabs>
          <w:tab w:val="clear" w:pos="720"/>
          <w:tab w:val="left" w:pos="540"/>
        </w:tabs>
        <w:ind w:hanging="270"/>
        <w:contextualSpacing/>
        <w:jc w:val="both"/>
        <w:rPr>
          <w:rFonts w:ascii="Times New Roman" w:hAnsi="Times New Roman" w:cs="Times New Roman"/>
        </w:rPr>
      </w:pPr>
      <w:r w:rsidRPr="00C51AE9">
        <w:rPr>
          <w:rFonts w:ascii="Times New Roman" w:hAnsi="Times New Roman" w:cs="Times New Roman"/>
        </w:rPr>
        <w:t>Ministria përgjegjëse për mjedisin miraton me udhëzim metodologjinë e detajuar për llogaritjen e objektivave të ripërdorimit të përcaktuara në këtë vendim. Metodologjia bazohet në rregullat e llogaritjes të përcaktuara në pikat 1 dhe 4 të këtij neni, përfshirë llogaritjen në njësi ekuivalente, dhe në aktet përkatëse zbatuese të Bashkimit Evropian.</w:t>
      </w:r>
    </w:p>
    <w:p w14:paraId="53FCF7D3" w14:textId="77777777" w:rsidR="00767CD0" w:rsidRPr="00C51AE9" w:rsidRDefault="00C51AE9">
      <w:pPr>
        <w:numPr>
          <w:ilvl w:val="0"/>
          <w:numId w:val="15"/>
        </w:numPr>
        <w:tabs>
          <w:tab w:val="clear" w:pos="720"/>
          <w:tab w:val="left" w:pos="540"/>
        </w:tabs>
        <w:ind w:left="630" w:hanging="180"/>
        <w:contextualSpacing/>
        <w:jc w:val="both"/>
        <w:rPr>
          <w:rFonts w:ascii="Times New Roman" w:hAnsi="Times New Roman" w:cs="Times New Roman"/>
        </w:rPr>
      </w:pPr>
      <w:r w:rsidRPr="00C51AE9">
        <w:rPr>
          <w:rFonts w:ascii="Times New Roman" w:hAnsi="Times New Roman" w:cs="Times New Roman"/>
        </w:rPr>
        <w:t xml:space="preserve">  Detyrimi për të dëshmuar arritjen e objektivave të ripërdorimit hyn në fuqi 18 tetëmbëdhjetë muaj pas datës së miratimit të metodologjisë së përmendur në pikën 2 të këtij neni.</w:t>
      </w:r>
    </w:p>
    <w:p w14:paraId="2ABC3B8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4. Me qëllim dëshmimin e arritjes së objektivave të përcaktuar në pikën 6 të nenit 35 dhe në nenin 38 të këtij vendimi, shpërndarësi përfundimtar që u vë në dispozicion konsumatorëve këto produkte në tregun e Republikës së Shqipërisë llogarit, për secilin objektiv:</w:t>
      </w:r>
    </w:p>
    <w:p w14:paraId="1243D813" w14:textId="77777777" w:rsidR="00767CD0" w:rsidRPr="00C51AE9" w:rsidRDefault="00C51AE9">
      <w:pPr>
        <w:ind w:left="990" w:hanging="360"/>
        <w:jc w:val="both"/>
        <w:rPr>
          <w:rFonts w:ascii="Times New Roman" w:hAnsi="Times New Roman" w:cs="Times New Roman"/>
        </w:rPr>
      </w:pPr>
      <w:r w:rsidRPr="00C51AE9">
        <w:rPr>
          <w:rFonts w:ascii="Times New Roman" w:hAnsi="Times New Roman" w:cs="Times New Roman"/>
        </w:rPr>
        <w:t xml:space="preserve">a. numrin total të njësive të shitjes ose vëllimin total të pijeve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 të vëna në dispozicion në tregun e Republikës së Shqipërisë në një vit kalendarik;</w:t>
      </w:r>
    </w:p>
    <w:p w14:paraId="4FC50F51"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numrin total të njësive të shitjes ose vëllimin total të pijeve të vëna në dispozicion në tregun e Republikës së Shqipërisë në ambalazhe të ndryshme nga ato të përmendura në shkronjën “a” të kësaj pike, në një vit kalendarik.</w:t>
      </w:r>
    </w:p>
    <w:p w14:paraId="55E97C0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121712">
        <w:rPr>
          <w:rFonts w:ascii="Times New Roman" w:eastAsiaTheme="majorEastAsia" w:hAnsi="Times New Roman" w:cs="Times New Roman"/>
          <w:bCs/>
        </w:rPr>
        <w:t>Neni 37</w:t>
      </w:r>
      <w:r w:rsidRPr="00C51AE9">
        <w:rPr>
          <w:rFonts w:ascii="Times New Roman" w:eastAsiaTheme="majorEastAsia" w:hAnsi="Times New Roman" w:cs="Times New Roman"/>
          <w:bCs/>
        </w:rPr>
        <w:t xml:space="preserve"> </w:t>
      </w:r>
    </w:p>
    <w:p w14:paraId="7947FE11"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38" w:name="_Toc227317632"/>
      <w:r w:rsidRPr="00C51AE9">
        <w:rPr>
          <w:rFonts w:ascii="Times New Roman" w:eastAsiaTheme="majorEastAsia" w:hAnsi="Times New Roman" w:cs="Times New Roman"/>
          <w:b/>
        </w:rPr>
        <w:t>Raportimi mbi objektivat e ripërdorimit</w:t>
      </w:r>
      <w:bookmarkEnd w:id="38"/>
    </w:p>
    <w:p w14:paraId="59EAD719" w14:textId="77777777" w:rsidR="00767CD0" w:rsidRPr="00C51AE9" w:rsidRDefault="00C51AE9">
      <w:pPr>
        <w:numPr>
          <w:ilvl w:val="0"/>
          <w:numId w:val="1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Operatorët ekonomikë të përcaktuar në këtë vendim detyrohen t'i paraqesin Agjencisë Kombëtare të Mjedisit një raport vjetor që përmban të dhënat zyrtare në lidhje me arritjen e objektivave të detyrueshme të ripërdorimit për çdo vit kalendarik.</w:t>
      </w:r>
    </w:p>
    <w:p w14:paraId="214ABCEA" w14:textId="77777777" w:rsidR="00767CD0" w:rsidRPr="00C51AE9" w:rsidRDefault="00C51AE9">
      <w:pPr>
        <w:numPr>
          <w:ilvl w:val="0"/>
          <w:numId w:val="1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Raporti i përmendur në pikën 1 të këtij neni, dorëzohet në rrugë elektronike brenda 6 gjashtë muajve nga data e përfundimit të vitit kalendarik raportues.</w:t>
      </w:r>
    </w:p>
    <w:p w14:paraId="4B3E26E3" w14:textId="77777777" w:rsidR="00767CD0" w:rsidRPr="00C51AE9" w:rsidRDefault="00C51AE9">
      <w:pPr>
        <w:numPr>
          <w:ilvl w:val="0"/>
          <w:numId w:val="1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 xml:space="preserve">Viti i parë i detyrueshëm i raportimit të </w:t>
      </w:r>
      <w:proofErr w:type="spellStart"/>
      <w:r w:rsidRPr="00C51AE9">
        <w:rPr>
          <w:rFonts w:ascii="Times New Roman" w:eastAsia="Times New Roman" w:hAnsi="Times New Roman" w:cs="Times New Roman"/>
          <w:kern w:val="0"/>
          <w14:ligatures w14:val="none"/>
        </w:rPr>
        <w:t>të</w:t>
      </w:r>
      <w:proofErr w:type="spellEnd"/>
      <w:r w:rsidRPr="00C51AE9">
        <w:rPr>
          <w:rFonts w:ascii="Times New Roman" w:eastAsia="Times New Roman" w:hAnsi="Times New Roman" w:cs="Times New Roman"/>
          <w:kern w:val="0"/>
          <w14:ligatures w14:val="none"/>
        </w:rPr>
        <w:t xml:space="preserve"> dhënave sipas këtij neni, është viti kalendarik 2030.</w:t>
      </w:r>
    </w:p>
    <w:p w14:paraId="2A66B00D" w14:textId="77777777" w:rsidR="00767CD0" w:rsidRPr="00C51AE9" w:rsidRDefault="00C51AE9">
      <w:pPr>
        <w:numPr>
          <w:ilvl w:val="0"/>
          <w:numId w:val="1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Agjencia Kombëtare e Mjedisit administron sistemin SIM nëpërmjet të cilit operatorët ekonomikë deklarojnë të dhënat e tyre.</w:t>
      </w:r>
    </w:p>
    <w:p w14:paraId="407CB78B" w14:textId="77777777" w:rsidR="00767CD0" w:rsidRPr="00C51AE9" w:rsidRDefault="00C51AE9">
      <w:pPr>
        <w:numPr>
          <w:ilvl w:val="0"/>
          <w:numId w:val="1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Agjencia Kombëtare e Mjedisit mund t'u kërkojë operatorëve ekonomikë të dorëzojnë çdo informacion ose dokumentacion shtesë plotësues, që konsiderohet i nevojshëm për të verifikuar saktësinë dhe besueshmërinë e të dhënave të deklaruara.</w:t>
      </w:r>
    </w:p>
    <w:p w14:paraId="0B9A1AA7" w14:textId="77777777" w:rsidR="00767CD0" w:rsidRPr="00C51AE9" w:rsidRDefault="00C51AE9">
      <w:pPr>
        <w:keepNext/>
        <w:keepLines/>
        <w:numPr>
          <w:ilvl w:val="0"/>
          <w:numId w:val="16"/>
        </w:numPr>
        <w:spacing w:after="0"/>
        <w:jc w:val="both"/>
        <w:outlineLvl w:val="1"/>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Raportet e përmendura në pikën 1 të këtij neni janë publike dhe aspekte të përgjithshme të tyre afishohen në faqen zyrtare të Agjencisë Kombëtare të Mjedisit, duke respektuar legjislacionin në fuqi për mbrojtjen e sekreteve tregtare.</w:t>
      </w:r>
    </w:p>
    <w:p w14:paraId="31FD334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7. Agjencia Kombëtare e Mjedisit monitoron zbatimin e masave për ripërdorimin, të përcaktuara në këtë vendim, mbledh të dhëna për praktikat e ripërdorimit dhe bashkëpunon me observatorin evropian për ripërdorimin.</w:t>
      </w:r>
    </w:p>
    <w:p w14:paraId="59A46CD3" w14:textId="77777777" w:rsidR="00767CD0" w:rsidRPr="00C51AE9" w:rsidRDefault="00767CD0">
      <w:pPr>
        <w:jc w:val="both"/>
        <w:rPr>
          <w:rFonts w:ascii="Times New Roman" w:hAnsi="Times New Roman" w:cs="Times New Roman"/>
          <w:strike/>
        </w:rPr>
      </w:pPr>
      <w:bookmarkStart w:id="39" w:name="_Toc227317633"/>
      <w:bookmarkEnd w:id="39"/>
    </w:p>
    <w:p w14:paraId="13EFD28A"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Neni 38</w:t>
      </w:r>
    </w:p>
    <w:p w14:paraId="726CC395"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 xml:space="preserve">Detyrimi për rimbushje dhe përdorimin e enëve të </w:t>
      </w:r>
      <w:proofErr w:type="spellStart"/>
      <w:r w:rsidRPr="00C51AE9">
        <w:rPr>
          <w:rFonts w:ascii="Times New Roman" w:hAnsi="Times New Roman" w:cs="Times New Roman"/>
          <w:b/>
          <w:bCs/>
        </w:rPr>
        <w:t>ripërdorshme</w:t>
      </w:r>
      <w:proofErr w:type="spellEnd"/>
      <w:r w:rsidRPr="00C51AE9">
        <w:rPr>
          <w:rFonts w:ascii="Times New Roman" w:hAnsi="Times New Roman" w:cs="Times New Roman"/>
          <w:b/>
          <w:bCs/>
        </w:rPr>
        <w:t xml:space="preserve"> për shërbimin me marrje me vete</w:t>
      </w:r>
    </w:p>
    <w:p w14:paraId="519827F5" w14:textId="77777777" w:rsidR="00767CD0" w:rsidRPr="00C51AE9" w:rsidRDefault="00C51AE9" w:rsidP="00F635BF">
      <w:pPr>
        <w:numPr>
          <w:ilvl w:val="2"/>
          <w:numId w:val="40"/>
        </w:numPr>
        <w:ind w:left="720" w:hanging="270"/>
        <w:contextualSpacing/>
        <w:jc w:val="both"/>
        <w:rPr>
          <w:rFonts w:ascii="Times New Roman" w:hAnsi="Times New Roman" w:cs="Times New Roman"/>
        </w:rPr>
      </w:pPr>
      <w:r w:rsidRPr="00C51AE9">
        <w:rPr>
          <w:rFonts w:ascii="Times New Roman" w:hAnsi="Times New Roman" w:cs="Times New Roman"/>
        </w:rPr>
        <w:t>Nga data 12 shkurt 2029, shpërndarësi përfundimtar që ushtron veprimtarinë e tij në sektorin e shërbimeve të hotelerisë, restoranteve dhe kafeneve (</w:t>
      </w:r>
      <w:proofErr w:type="spellStart"/>
      <w:r w:rsidRPr="00C51AE9">
        <w:rPr>
          <w:rFonts w:ascii="Times New Roman" w:hAnsi="Times New Roman" w:cs="Times New Roman"/>
        </w:rPr>
        <w:t>HoReCa</w:t>
      </w:r>
      <w:proofErr w:type="spellEnd"/>
      <w:r w:rsidRPr="00C51AE9">
        <w:rPr>
          <w:rFonts w:ascii="Times New Roman" w:hAnsi="Times New Roman" w:cs="Times New Roman"/>
        </w:rPr>
        <w:t xml:space="preserve">), dhe që ofrojnë në tregun shqiptar pije të nxehta ose të ftohta, si dhe ushqime të gatshme për konsum të menjëhershëm nëpërmjet shërbimit për marrje me vete, detyrohen të mundësojnë dhe të pranojnë rimbushjen e enëve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të siguruara nga vetë konsumatori.</w:t>
      </w:r>
    </w:p>
    <w:p w14:paraId="5541D385"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2. </w:t>
      </w:r>
      <w:r w:rsidRPr="00C51AE9">
        <w:rPr>
          <w:rFonts w:ascii="Times New Roman" w:hAnsi="Times New Roman" w:cs="Times New Roman"/>
        </w:rPr>
        <w:tab/>
        <w:t xml:space="preserve">Në rast se konsumatori sjell enën e tij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për rimbushje, shpërndarësi përfundimtar detyrohet ta ofrojë produktin me një çmim jo më të lartë dhe në kushte jo më pak të favorshme se sa në rastin kur produkti shitet i ambalazhuar në ambalazh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të siguruar nga vetë operatori ekonomik.</w:t>
      </w:r>
    </w:p>
    <w:p w14:paraId="595C7646"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3. </w:t>
      </w:r>
      <w:r w:rsidRPr="00C51AE9">
        <w:rPr>
          <w:rFonts w:ascii="Times New Roman" w:hAnsi="Times New Roman" w:cs="Times New Roman"/>
        </w:rPr>
        <w:tab/>
        <w:t xml:space="preserve">Shpërndarësi përfundimtar mund të ofrojë çmime të reduktuara, </w:t>
      </w:r>
      <w:proofErr w:type="spellStart"/>
      <w:r w:rsidRPr="00C51AE9">
        <w:rPr>
          <w:rFonts w:ascii="Times New Roman" w:hAnsi="Times New Roman" w:cs="Times New Roman"/>
        </w:rPr>
        <w:t>bonuse</w:t>
      </w:r>
      <w:proofErr w:type="spellEnd"/>
      <w:r w:rsidRPr="00C51AE9">
        <w:rPr>
          <w:rFonts w:ascii="Times New Roman" w:hAnsi="Times New Roman" w:cs="Times New Roman"/>
        </w:rPr>
        <w:t xml:space="preserve"> ose stimuj të tjerë financiarë për konsumatorët që përdorin enë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ose të </w:t>
      </w:r>
      <w:proofErr w:type="spellStart"/>
      <w:r w:rsidRPr="00C51AE9">
        <w:rPr>
          <w:rFonts w:ascii="Times New Roman" w:hAnsi="Times New Roman" w:cs="Times New Roman"/>
        </w:rPr>
        <w:t>rimbushshme</w:t>
      </w:r>
      <w:proofErr w:type="spellEnd"/>
      <w:r w:rsidRPr="00C51AE9">
        <w:rPr>
          <w:rFonts w:ascii="Times New Roman" w:hAnsi="Times New Roman" w:cs="Times New Roman"/>
        </w:rPr>
        <w:t>.</w:t>
      </w:r>
    </w:p>
    <w:p w14:paraId="4B3236EB" w14:textId="77777777" w:rsidR="00767CD0" w:rsidRPr="00C51AE9" w:rsidRDefault="00C51AE9">
      <w:pPr>
        <w:tabs>
          <w:tab w:val="left" w:pos="720"/>
        </w:tabs>
        <w:ind w:left="360"/>
        <w:jc w:val="both"/>
        <w:rPr>
          <w:rFonts w:ascii="Times New Roman" w:hAnsi="Times New Roman" w:cs="Times New Roman"/>
        </w:rPr>
      </w:pPr>
      <w:r w:rsidRPr="00C51AE9">
        <w:rPr>
          <w:rFonts w:ascii="Times New Roman" w:hAnsi="Times New Roman" w:cs="Times New Roman"/>
        </w:rPr>
        <w:t>4.   Shpërndarësi përfundimtar ka të drejtë të refuzojë rimbushjen e enës së siguruar nga  konsumatori, kur ajo është dukshëm e papastër ose paraqet rrezik për sigurinë ushqimore apo higjienën, në përputhje me legjislacionin në fuqi për sigurinë ushqimore.</w:t>
      </w:r>
    </w:p>
    <w:p w14:paraId="6071A6E4"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 xml:space="preserve">5. Shpërndarësit përfundimtarë detyrohen të informojnë qartë konsumatorët në pikat e  shitjes, nëpërmjet tabelave, afisheve, njoftimeve vizuale ose shenjave të tjera informuese qartësisht të dukshme dhe të lexueshme, për mundësinë e marrjes së pijeve ose ushqimeve në enë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të siguruara nga vetë konsumatori.</w:t>
      </w:r>
    </w:p>
    <w:p w14:paraId="031C6AA6"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6. Nga data 12 shkurt 2028, shpërndarësit përfundimtarë që ushtrojnë veprimtarinë e tyre në sektorin e shërbimeve të hotelerisë, restoranteve dhe kafeneve (</w:t>
      </w:r>
      <w:proofErr w:type="spellStart"/>
      <w:r w:rsidRPr="00C51AE9">
        <w:rPr>
          <w:rFonts w:ascii="Times New Roman" w:hAnsi="Times New Roman" w:cs="Times New Roman"/>
        </w:rPr>
        <w:t>HoReCa</w:t>
      </w:r>
      <w:proofErr w:type="spellEnd"/>
      <w:r w:rsidRPr="00C51AE9">
        <w:rPr>
          <w:rFonts w:ascii="Times New Roman" w:hAnsi="Times New Roman" w:cs="Times New Roman"/>
        </w:rPr>
        <w:t xml:space="preserve">) dhe që vënë në dispozicion në tregun e Republikës së Shqipërisë pije të nxehta ose </w:t>
      </w:r>
      <w:r w:rsidRPr="00C51AE9">
        <w:rPr>
          <w:rFonts w:ascii="Times New Roman" w:hAnsi="Times New Roman" w:cs="Times New Roman"/>
        </w:rPr>
        <w:lastRenderedPageBreak/>
        <w:t xml:space="preserve">të ftohta ose ushqime të gatshme në ambalazhe për marrje me vete u japin konsumatorëve mundësinë e marrjes së produkteve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w:t>
      </w:r>
    </w:p>
    <w:p w14:paraId="74341268"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7. Shpërndarësit përfundimtarë i informojnë konsumatorët në pikën e shitjes, nëpërmjet tabelave ose shenjave informuese qartësisht të dukshme dhe të lexueshme, për mundësinë e marrjes së produkteve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w:t>
      </w:r>
    </w:p>
    <w:p w14:paraId="0CB31127"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8. Shpërndarësit përfundimtarë i ofrojnë produktet e mbushura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me kosto jo më të lartë dhe në kushte jo më pak të favorshme se njësia e shitjes që përbëhet nga i njëjti produkt dhe ambalazhi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w:t>
      </w:r>
    </w:p>
    <w:p w14:paraId="4CA5C8D4"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9. Pikat 6 deri në 8 të këtij neni nuk zbatohen për shpërndarësit përfundimtarë që janë </w:t>
      </w:r>
      <w:proofErr w:type="spellStart"/>
      <w:r w:rsidRPr="00C51AE9">
        <w:rPr>
          <w:rFonts w:ascii="Times New Roman" w:hAnsi="Times New Roman" w:cs="Times New Roman"/>
        </w:rPr>
        <w:t>mikrondërmarrje</w:t>
      </w:r>
      <w:proofErr w:type="spellEnd"/>
      <w:r w:rsidRPr="00C51AE9">
        <w:rPr>
          <w:rFonts w:ascii="Times New Roman" w:hAnsi="Times New Roman" w:cs="Times New Roman"/>
        </w:rPr>
        <w:t xml:space="preserve">, sipas përcaktimit të legjislacionit në fuqi për ndërmarrjet </w:t>
      </w:r>
      <w:proofErr w:type="spellStart"/>
      <w:r w:rsidRPr="00C51AE9">
        <w:rPr>
          <w:rFonts w:ascii="Times New Roman" w:hAnsi="Times New Roman" w:cs="Times New Roman"/>
        </w:rPr>
        <w:t>mikro</w:t>
      </w:r>
      <w:proofErr w:type="spellEnd"/>
      <w:r w:rsidRPr="00C51AE9">
        <w:rPr>
          <w:rFonts w:ascii="Times New Roman" w:hAnsi="Times New Roman" w:cs="Times New Roman"/>
        </w:rPr>
        <w:t>, të vogla dhe të mesme.</w:t>
      </w:r>
    </w:p>
    <w:p w14:paraId="0F1647AF"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10. Nga data 1 janar 2030, shpërndarësit përfundimtarë të përmendur në pikën 6 të këtij neni synojnë të ofrojnë të paktën 10 % të produkteve për marrje me vete në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brenda një sistemi ripërdorimi.</w:t>
      </w:r>
    </w:p>
    <w:p w14:paraId="64C8AFCE" w14:textId="77777777" w:rsidR="00767CD0" w:rsidRPr="00C51AE9" w:rsidRDefault="00767CD0">
      <w:pPr>
        <w:keepNext/>
        <w:keepLines/>
        <w:spacing w:after="120"/>
        <w:jc w:val="center"/>
        <w:outlineLvl w:val="0"/>
        <w:rPr>
          <w:rFonts w:ascii="Times New Roman" w:hAnsi="Times New Roman" w:cs="Times New Roman"/>
        </w:rPr>
      </w:pPr>
    </w:p>
    <w:p w14:paraId="020D6AA0" w14:textId="77777777" w:rsidR="00767CD0" w:rsidRPr="00C51AE9" w:rsidRDefault="00C51AE9">
      <w:pPr>
        <w:keepNext/>
        <w:keepLines/>
        <w:spacing w:after="120"/>
        <w:jc w:val="center"/>
        <w:outlineLvl w:val="0"/>
        <w:rPr>
          <w:rFonts w:ascii="Times New Roman" w:hAnsi="Times New Roman" w:cs="Times New Roman"/>
          <w:b/>
          <w:bCs/>
        </w:rPr>
      </w:pPr>
      <w:r w:rsidRPr="00C51AE9">
        <w:rPr>
          <w:rFonts w:ascii="Times New Roman" w:hAnsi="Times New Roman" w:cs="Times New Roman"/>
          <w:b/>
          <w:bCs/>
        </w:rPr>
        <w:t xml:space="preserve">KREU VI </w:t>
      </w:r>
    </w:p>
    <w:p w14:paraId="57C0281B" w14:textId="77777777" w:rsidR="00767CD0" w:rsidRPr="00C51AE9" w:rsidRDefault="00C51AE9">
      <w:pPr>
        <w:keepNext/>
        <w:keepLines/>
        <w:spacing w:after="120"/>
        <w:jc w:val="center"/>
        <w:outlineLvl w:val="0"/>
        <w:rPr>
          <w:rFonts w:ascii="Times New Roman" w:hAnsi="Times New Roman" w:cs="Times New Roman"/>
          <w:b/>
          <w:bCs/>
        </w:rPr>
      </w:pPr>
      <w:bookmarkStart w:id="40" w:name="_Toc227317635"/>
      <w:bookmarkEnd w:id="40"/>
      <w:r w:rsidRPr="00C51AE9">
        <w:rPr>
          <w:rFonts w:ascii="Times New Roman" w:hAnsi="Times New Roman" w:cs="Times New Roman"/>
          <w:b/>
          <w:bCs/>
        </w:rPr>
        <w:t>QESEVE  MBAJTËSE PLASTIKE TË LEHTA, SI DHE QESEVET  MBAJTËSE PLASTIKE TË OXO-DEGRADUESHME</w:t>
      </w:r>
    </w:p>
    <w:p w14:paraId="01CF858E" w14:textId="77777777" w:rsidR="00767CD0" w:rsidRPr="00C51AE9" w:rsidRDefault="00C51AE9">
      <w:pPr>
        <w:keepNext/>
        <w:keepLines/>
        <w:spacing w:after="120"/>
        <w:ind w:left="3600"/>
        <w:outlineLvl w:val="0"/>
        <w:rPr>
          <w:rFonts w:ascii="Times New Roman" w:hAnsi="Times New Roman" w:cs="Times New Roman"/>
        </w:rPr>
      </w:pPr>
      <w:r w:rsidRPr="00C51AE9">
        <w:rPr>
          <w:rFonts w:ascii="Times New Roman" w:hAnsi="Times New Roman" w:cs="Times New Roman"/>
        </w:rPr>
        <w:t xml:space="preserve">      Neni 39</w:t>
      </w:r>
    </w:p>
    <w:p w14:paraId="114358BA" w14:textId="77777777" w:rsidR="00767CD0" w:rsidRPr="00C51AE9" w:rsidRDefault="00C51AE9">
      <w:pPr>
        <w:keepNext/>
        <w:keepLines/>
        <w:spacing w:after="120"/>
        <w:jc w:val="center"/>
        <w:outlineLvl w:val="0"/>
        <w:rPr>
          <w:rFonts w:ascii="Times New Roman" w:hAnsi="Times New Roman" w:cs="Times New Roman"/>
          <w:b/>
          <w:bCs/>
        </w:rPr>
      </w:pPr>
      <w:bookmarkStart w:id="41" w:name="_Toc227317636"/>
      <w:r w:rsidRPr="00C51AE9">
        <w:rPr>
          <w:rFonts w:ascii="Times New Roman" w:hAnsi="Times New Roman" w:cs="Times New Roman"/>
          <w:b/>
          <w:bCs/>
        </w:rPr>
        <w:t>Qeset plastike të transportit</w:t>
      </w:r>
      <w:bookmarkEnd w:id="41"/>
    </w:p>
    <w:p w14:paraId="5FAF9DA1" w14:textId="77777777" w:rsidR="00767CD0" w:rsidRPr="00C51AE9" w:rsidRDefault="00C51AE9">
      <w:pPr>
        <w:numPr>
          <w:ilvl w:val="0"/>
          <w:numId w:val="17"/>
        </w:numPr>
        <w:tabs>
          <w:tab w:val="left" w:pos="450"/>
        </w:tabs>
        <w:spacing w:after="0"/>
        <w:ind w:left="450"/>
        <w:jc w:val="both"/>
        <w:rPr>
          <w:rFonts w:ascii="Times New Roman" w:hAnsi="Times New Roman" w:cs="Times New Roman"/>
        </w:rPr>
      </w:pPr>
      <w:r w:rsidRPr="00C51AE9">
        <w:rPr>
          <w:rFonts w:ascii="Times New Roman" w:hAnsi="Times New Roman" w:cs="Times New Roman"/>
        </w:rPr>
        <w:t>Ndalohet prodhimi, importi, përdorimi dhe hedhja në treg në territorin e Republikës së Shqipërisë e qeseve plastike të lehta për transport, në përputhje me dispozitat e ligjit nr.57/2025 "Për menaxhimin e integruar të mbetjeve".</w:t>
      </w:r>
    </w:p>
    <w:p w14:paraId="6F3F13F5" w14:textId="77777777" w:rsidR="00767CD0" w:rsidRPr="00C51AE9" w:rsidRDefault="00C51AE9">
      <w:pPr>
        <w:numPr>
          <w:ilvl w:val="0"/>
          <w:numId w:val="17"/>
        </w:numPr>
        <w:spacing w:after="0" w:line="300" w:lineRule="atLeast"/>
        <w:contextualSpacing/>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Ndalimi i parashikuar në pikën 1 të këtij neni nuk zbatohet për qeset  mbajtëse plastike shumë të lehta që përdoren për qëllime higjienike ose si ambalazh parësor për ushqime të shitura pa ambalazh, kur përdorimi i tyre kontribuon në parandalimin e shpërdorimit të ushqimi</w:t>
      </w:r>
    </w:p>
    <w:p w14:paraId="61EDA27A" w14:textId="77777777" w:rsidR="00767CD0" w:rsidRPr="00C51AE9" w:rsidRDefault="00767CD0">
      <w:pPr>
        <w:tabs>
          <w:tab w:val="left" w:pos="450"/>
        </w:tabs>
        <w:spacing w:after="0"/>
        <w:jc w:val="both"/>
        <w:rPr>
          <w:rFonts w:ascii="Times New Roman" w:hAnsi="Times New Roman" w:cs="Times New Roman"/>
        </w:rPr>
      </w:pPr>
    </w:p>
    <w:p w14:paraId="747F018D" w14:textId="77777777" w:rsidR="00767CD0" w:rsidRPr="00C51AE9" w:rsidRDefault="00C51AE9">
      <w:pPr>
        <w:numPr>
          <w:ilvl w:val="0"/>
          <w:numId w:val="17"/>
        </w:numPr>
        <w:tabs>
          <w:tab w:val="left" w:pos="450"/>
        </w:tabs>
        <w:spacing w:after="0"/>
        <w:ind w:left="450"/>
        <w:jc w:val="both"/>
        <w:rPr>
          <w:rFonts w:ascii="Times New Roman" w:hAnsi="Times New Roman" w:cs="Times New Roman"/>
        </w:rPr>
      </w:pPr>
      <w:r w:rsidRPr="00C51AE9">
        <w:rPr>
          <w:rFonts w:ascii="Times New Roman" w:hAnsi="Times New Roman" w:cs="Times New Roman"/>
        </w:rPr>
        <w:t>Drejtoria e Përgjithshme e Doganave është autoriteti përgjegjës për kontrollin e importit të qeseve plastike të lehta për transport në pikat e kalimit kufitar.</w:t>
      </w:r>
    </w:p>
    <w:p w14:paraId="476B7941" w14:textId="77777777" w:rsidR="00767CD0" w:rsidRPr="00C51AE9" w:rsidRDefault="00C51AE9">
      <w:pPr>
        <w:numPr>
          <w:ilvl w:val="0"/>
          <w:numId w:val="17"/>
        </w:numPr>
        <w:tabs>
          <w:tab w:val="left" w:pos="450"/>
        </w:tabs>
        <w:spacing w:after="0"/>
        <w:ind w:left="450"/>
        <w:jc w:val="both"/>
        <w:rPr>
          <w:rFonts w:ascii="Times New Roman" w:hAnsi="Times New Roman" w:cs="Times New Roman"/>
        </w:rPr>
      </w:pPr>
      <w:r w:rsidRPr="00C51AE9">
        <w:rPr>
          <w:rFonts w:ascii="Times New Roman" w:hAnsi="Times New Roman" w:cs="Times New Roman"/>
        </w:rPr>
        <w:t xml:space="preserve">Inspektorati Shtetëror i Mbikëqyrjes së Tregut, në bashkëpunim me inspektoratin përgjegjës për mjedisin, kontrollon dhe monitoron ndalimin e hedhjes dhe bërjes së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treg të qeseve plastike të lehta për transport.</w:t>
      </w:r>
    </w:p>
    <w:p w14:paraId="01179659" w14:textId="77777777" w:rsidR="00767CD0" w:rsidRPr="00C51AE9" w:rsidRDefault="00C51AE9">
      <w:pPr>
        <w:numPr>
          <w:ilvl w:val="0"/>
          <w:numId w:val="17"/>
        </w:numPr>
        <w:tabs>
          <w:tab w:val="left" w:pos="450"/>
        </w:tabs>
        <w:spacing w:after="0"/>
        <w:ind w:left="450"/>
        <w:jc w:val="both"/>
        <w:rPr>
          <w:rFonts w:ascii="Times New Roman" w:hAnsi="Times New Roman" w:cs="Times New Roman"/>
        </w:rPr>
      </w:pPr>
      <w:r w:rsidRPr="00C51AE9">
        <w:rPr>
          <w:rFonts w:ascii="Times New Roman" w:hAnsi="Times New Roman" w:cs="Times New Roman"/>
        </w:rPr>
        <w:t>Objektivi i uljes së qëndrueshme të konsumit të qeseve plastike konsiderohet i arritur nëse konsumi vjetor nuk tejkalon 40 (dyzet) qese plastike të lehta transporti për frymë, për vit kalendarik.</w:t>
      </w:r>
    </w:p>
    <w:p w14:paraId="00EF7EBF" w14:textId="77777777" w:rsidR="00767CD0" w:rsidRPr="00C51AE9" w:rsidRDefault="00C51AE9">
      <w:pPr>
        <w:numPr>
          <w:ilvl w:val="0"/>
          <w:numId w:val="17"/>
        </w:numPr>
        <w:spacing w:after="0"/>
        <w:jc w:val="both"/>
        <w:rPr>
          <w:rFonts w:ascii="Times New Roman" w:hAnsi="Times New Roman" w:cs="Times New Roman"/>
        </w:rPr>
      </w:pPr>
      <w:r w:rsidRPr="00C51AE9">
        <w:rPr>
          <w:rFonts w:ascii="Times New Roman" w:hAnsi="Times New Roman" w:cs="Times New Roman"/>
        </w:rPr>
        <w:t xml:space="preserve">Jo më vonë se data 31 mars e çdo viti, Agjencia Kombëtare e Mjedisit publikon në faqen e saj zyrtare të dhënat mbi sasitë e qeseve plastike të transportit të hedhura në treg gjatë vitit paraardhës kalendarik. </w:t>
      </w:r>
    </w:p>
    <w:p w14:paraId="7EDE1184" w14:textId="77777777" w:rsidR="00767CD0" w:rsidRPr="00C51AE9" w:rsidRDefault="00C51AE9">
      <w:pPr>
        <w:numPr>
          <w:ilvl w:val="0"/>
          <w:numId w:val="17"/>
        </w:numPr>
        <w:spacing w:after="0"/>
        <w:jc w:val="both"/>
        <w:rPr>
          <w:rFonts w:ascii="Times New Roman" w:hAnsi="Times New Roman" w:cs="Times New Roman"/>
        </w:rPr>
      </w:pPr>
      <w:r w:rsidRPr="00C51AE9">
        <w:rPr>
          <w:rFonts w:ascii="Times New Roman" w:hAnsi="Times New Roman" w:cs="Times New Roman"/>
        </w:rPr>
        <w:lastRenderedPageBreak/>
        <w:t>Çdo person fizik ose juridik që hedh qese plastike transporti në treg detyrohet të kërkojë regjistrimin në regjistrin publik që mbahet nga Agjencia Kombëtare e Mjedisit, duke paraqitur të paktën të dhënat e mëposhtme:</w:t>
      </w:r>
    </w:p>
    <w:p w14:paraId="28530022" w14:textId="77777777" w:rsidR="00767CD0" w:rsidRPr="00C51AE9" w:rsidRDefault="00C51AE9" w:rsidP="00F635BF">
      <w:pPr>
        <w:numPr>
          <w:ilvl w:val="0"/>
          <w:numId w:val="123"/>
        </w:numPr>
        <w:spacing w:after="0"/>
        <w:contextualSpacing/>
        <w:jc w:val="both"/>
        <w:rPr>
          <w:rFonts w:ascii="Times New Roman" w:hAnsi="Times New Roman" w:cs="Times New Roman"/>
        </w:rPr>
      </w:pPr>
      <w:r w:rsidRPr="00C51AE9">
        <w:rPr>
          <w:rFonts w:ascii="Times New Roman" w:hAnsi="Times New Roman" w:cs="Times New Roman"/>
        </w:rPr>
        <w:t>emrin e subjektit dhe Numrin e Identifikimit të Personit të Tatueshëm (NIPT);</w:t>
      </w:r>
    </w:p>
    <w:p w14:paraId="1338D75F" w14:textId="77777777" w:rsidR="00767CD0" w:rsidRPr="00C51AE9" w:rsidRDefault="00C51AE9" w:rsidP="00F635BF">
      <w:pPr>
        <w:numPr>
          <w:ilvl w:val="0"/>
          <w:numId w:val="123"/>
        </w:numPr>
        <w:spacing w:after="0"/>
        <w:contextualSpacing/>
        <w:jc w:val="both"/>
        <w:rPr>
          <w:rFonts w:ascii="Times New Roman" w:hAnsi="Times New Roman" w:cs="Times New Roman"/>
        </w:rPr>
      </w:pPr>
      <w:r w:rsidRPr="00C51AE9">
        <w:rPr>
          <w:rFonts w:ascii="Times New Roman" w:hAnsi="Times New Roman" w:cs="Times New Roman"/>
        </w:rPr>
        <w:t>adresën e korrespondencës zyrtare kodin postar, qytetin, rrugën, numrin e ndërtesës dhe adresën e faqes së internetit nëse ka;</w:t>
      </w:r>
    </w:p>
    <w:p w14:paraId="06AB01C6" w14:textId="77777777" w:rsidR="00767CD0" w:rsidRPr="00C51AE9" w:rsidRDefault="00C51AE9" w:rsidP="00F635BF">
      <w:pPr>
        <w:numPr>
          <w:ilvl w:val="0"/>
          <w:numId w:val="123"/>
        </w:numPr>
        <w:spacing w:after="0"/>
        <w:contextualSpacing/>
        <w:jc w:val="both"/>
        <w:rPr>
          <w:rFonts w:ascii="Times New Roman" w:hAnsi="Times New Roman" w:cs="Times New Roman"/>
        </w:rPr>
      </w:pPr>
      <w:r w:rsidRPr="00C51AE9">
        <w:rPr>
          <w:rFonts w:ascii="Times New Roman" w:hAnsi="Times New Roman" w:cs="Times New Roman"/>
        </w:rPr>
        <w:t>emrin e personit të kontaktit, numrin e telefonit dhe adresën e postës elektronike (e-</w:t>
      </w:r>
      <w:proofErr w:type="spellStart"/>
      <w:r w:rsidRPr="00C51AE9">
        <w:rPr>
          <w:rFonts w:ascii="Times New Roman" w:hAnsi="Times New Roman" w:cs="Times New Roman"/>
        </w:rPr>
        <w:t>mail</w:t>
      </w:r>
      <w:proofErr w:type="spellEnd"/>
      <w:r w:rsidRPr="00C51AE9">
        <w:rPr>
          <w:rFonts w:ascii="Times New Roman" w:hAnsi="Times New Roman" w:cs="Times New Roman"/>
        </w:rPr>
        <w:t>).</w:t>
      </w:r>
    </w:p>
    <w:p w14:paraId="696FCD7D" w14:textId="77777777" w:rsidR="00767CD0" w:rsidRPr="00C51AE9" w:rsidRDefault="00C51AE9">
      <w:pPr>
        <w:numPr>
          <w:ilvl w:val="0"/>
          <w:numId w:val="17"/>
        </w:numPr>
        <w:spacing w:after="0"/>
        <w:jc w:val="both"/>
        <w:rPr>
          <w:rFonts w:ascii="Times New Roman" w:hAnsi="Times New Roman" w:cs="Times New Roman"/>
        </w:rPr>
      </w:pPr>
      <w:r w:rsidRPr="00C51AE9">
        <w:rPr>
          <w:rFonts w:ascii="Times New Roman" w:hAnsi="Times New Roman" w:cs="Times New Roman"/>
        </w:rPr>
        <w:t xml:space="preserve">Brenda 10 (dhjetë) ditëve pune nga data e paraqitjes së informacionit të plotë sipas pikës 8 të këtij neni, Agjencia Kombëtare e Mjedisit pajis </w:t>
      </w:r>
      <w:proofErr w:type="spellStart"/>
      <w:r w:rsidRPr="00C51AE9">
        <w:rPr>
          <w:rFonts w:ascii="Times New Roman" w:hAnsi="Times New Roman" w:cs="Times New Roman"/>
        </w:rPr>
        <w:t>aplikantin</w:t>
      </w:r>
      <w:proofErr w:type="spellEnd"/>
      <w:r w:rsidRPr="00C51AE9">
        <w:rPr>
          <w:rFonts w:ascii="Times New Roman" w:hAnsi="Times New Roman" w:cs="Times New Roman"/>
        </w:rPr>
        <w:t xml:space="preserve"> me numrin unik të regjistrimit, përmes sistemit elektronik ose në një formë tjetër zyrtare të shkruar.</w:t>
      </w:r>
    </w:p>
    <w:p w14:paraId="012B15F9" w14:textId="77777777" w:rsidR="00767CD0" w:rsidRPr="00C51AE9" w:rsidRDefault="00C51AE9">
      <w:pPr>
        <w:numPr>
          <w:ilvl w:val="0"/>
          <w:numId w:val="1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Në rast ndryshimi të ndonjë prej të dhënave të deklaruara sipas pikës 8 të këtij neni, personi që hedh qese plastike transporti në treg detyrohet të deklarojë të dhënat e ndryshuara, përmes sistemit elektronik të Agjencisë Kombëtare të Mjedisit, brenda 1 një muaji nga data e ndodhjes së ndryshimit.</w:t>
      </w:r>
    </w:p>
    <w:p w14:paraId="6CF69199" w14:textId="77777777" w:rsidR="00767CD0" w:rsidRPr="00C51AE9" w:rsidRDefault="00C51AE9">
      <w:pPr>
        <w:numPr>
          <w:ilvl w:val="0"/>
          <w:numId w:val="1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Kur personi që hedh qese plastike transporti në treg pushon së ushtruari veprimtarinë e tij, ai detyrohet të kërkojë çregjistrimin zyrtar nga regjistri publik, brenda 1 një muaji nga data e ndërprerjes së aktivitetit.</w:t>
      </w:r>
    </w:p>
    <w:p w14:paraId="4A3C97DD" w14:textId="77777777" w:rsidR="00767CD0" w:rsidRPr="00C51AE9" w:rsidRDefault="00C51AE9">
      <w:pPr>
        <w:numPr>
          <w:ilvl w:val="0"/>
          <w:numId w:val="17"/>
        </w:numPr>
        <w:spacing w:after="0" w:line="300" w:lineRule="atLeast"/>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Agjencia Kombëtare e Mjedisit llogarit konsumin vjetor për frymë të qeseve  mbajtëse plastike të lehta, bazuar në të dhënat e raportuara nga prodhuesit, importuesit dhe subjektet e tjera të detyruara sipas këtij vendimi, dhe publikon rezultatet në faqen e saj zyrtare.</w:t>
      </w:r>
    </w:p>
    <w:p w14:paraId="119AD347" w14:textId="77777777" w:rsidR="00767CD0" w:rsidRPr="00C51AE9" w:rsidRDefault="00C51AE9">
      <w:pPr>
        <w:ind w:left="360" w:hanging="360"/>
        <w:jc w:val="both"/>
        <w:rPr>
          <w:rFonts w:ascii="Times New Roman" w:hAnsi="Times New Roman" w:cs="Times New Roman"/>
        </w:rPr>
      </w:pPr>
      <w:r w:rsidRPr="00C51AE9">
        <w:rPr>
          <w:rFonts w:ascii="Times New Roman" w:hAnsi="Times New Roman" w:cs="Times New Roman"/>
        </w:rPr>
        <w:t>12. Deri më 12 shkurt 2032, ministria përgjegjëse për mjedisin vlerëson materialet e ambalazheve, të ndryshme nga qeset mbajtëse plastike, që mund të kenë ndikim më të dëmshëm në mjedis se qeset mbajtëse plastike të lehta dhe, kur është e nevojshme, propozon ndryshimin përkatës të këtij vendimi, për përcaktimin e objektivave të reduktimit dhe të masave për arritjen e tyre.</w:t>
      </w:r>
    </w:p>
    <w:p w14:paraId="7BA80409" w14:textId="77777777" w:rsidR="00767CD0" w:rsidRPr="00C51AE9" w:rsidRDefault="00767CD0">
      <w:pPr>
        <w:spacing w:after="0"/>
        <w:ind w:left="1260"/>
        <w:contextualSpacing/>
        <w:jc w:val="both"/>
        <w:rPr>
          <w:rFonts w:ascii="Times New Roman" w:eastAsia="Times New Roman" w:hAnsi="Times New Roman" w:cs="Times New Roman"/>
          <w:kern w:val="0"/>
          <w14:ligatures w14:val="none"/>
        </w:rPr>
      </w:pPr>
    </w:p>
    <w:p w14:paraId="77AFC4C7"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KREU VII </w:t>
      </w:r>
    </w:p>
    <w:p w14:paraId="2D1CFBB5"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2" w:name="_Toc227317637"/>
      <w:r w:rsidRPr="00C51AE9">
        <w:rPr>
          <w:rFonts w:ascii="Times New Roman" w:eastAsiaTheme="majorEastAsia" w:hAnsi="Times New Roman" w:cs="Times New Roman"/>
          <w:b/>
        </w:rPr>
        <w:t>PËRPUTHSHMËRIA E AMBALAZHIMIT</w:t>
      </w:r>
      <w:bookmarkEnd w:id="42"/>
    </w:p>
    <w:p w14:paraId="4BF11A82"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40</w:t>
      </w:r>
    </w:p>
    <w:p w14:paraId="7B92B933"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3" w:name="_Toc227317638"/>
      <w:r w:rsidRPr="00C51AE9">
        <w:rPr>
          <w:rFonts w:ascii="Times New Roman" w:eastAsiaTheme="majorEastAsia" w:hAnsi="Times New Roman" w:cs="Times New Roman"/>
          <w:b/>
        </w:rPr>
        <w:t>Metodat e testimit, matjes dhe llogaritjes</w:t>
      </w:r>
      <w:bookmarkEnd w:id="43"/>
    </w:p>
    <w:p w14:paraId="46D7E0C6" w14:textId="77777777" w:rsidR="00767CD0" w:rsidRPr="00C51AE9" w:rsidRDefault="00C51AE9" w:rsidP="00F635BF">
      <w:pPr>
        <w:numPr>
          <w:ilvl w:val="0"/>
          <w:numId w:val="41"/>
        </w:numPr>
        <w:contextualSpacing/>
        <w:jc w:val="both"/>
        <w:rPr>
          <w:rFonts w:ascii="Times New Roman" w:hAnsi="Times New Roman" w:cs="Times New Roman"/>
        </w:rPr>
      </w:pPr>
      <w:r w:rsidRPr="00C51AE9">
        <w:rPr>
          <w:rFonts w:ascii="Times New Roman" w:hAnsi="Times New Roman" w:cs="Times New Roman"/>
        </w:rPr>
        <w:t>Për qëllimet e vlerësimit dhe të verifikimit të përputhshmërisë së ambalazhit me kërkesat e përcaktuara  në zbatim të neneve 11 deri në 19, nenit 30 dhe nenit 32 të këtij vendimi, testet, matjet dhe llogaritjet kryhen nëpërmjet metodave të besueshme, të sakta dhe të riprodhueshme.</w:t>
      </w:r>
    </w:p>
    <w:p w14:paraId="62D6E086" w14:textId="77777777" w:rsidR="00767CD0" w:rsidRPr="00C51AE9" w:rsidRDefault="00C51AE9" w:rsidP="00F635BF">
      <w:pPr>
        <w:numPr>
          <w:ilvl w:val="0"/>
          <w:numId w:val="41"/>
        </w:numPr>
        <w:contextualSpacing/>
        <w:jc w:val="both"/>
        <w:rPr>
          <w:rFonts w:ascii="Times New Roman" w:hAnsi="Times New Roman" w:cs="Times New Roman"/>
        </w:rPr>
      </w:pPr>
      <w:r w:rsidRPr="00C51AE9">
        <w:rPr>
          <w:rFonts w:ascii="Times New Roman" w:hAnsi="Times New Roman" w:cs="Times New Roman"/>
        </w:rPr>
        <w:t>Metodat e përdorura sipas pikës 1 të këtij neni, duhet të bazohen në arritjet më të fundit shkencore e teknologjike dhe të garantojnë rezultate me një shkallë të ulët pasigurie.</w:t>
      </w:r>
    </w:p>
    <w:p w14:paraId="6870514A" w14:textId="77777777" w:rsidR="00767CD0" w:rsidRPr="00C51AE9" w:rsidRDefault="00767CD0">
      <w:pPr>
        <w:ind w:left="720"/>
        <w:contextualSpacing/>
        <w:jc w:val="both"/>
        <w:rPr>
          <w:rFonts w:ascii="Times New Roman" w:hAnsi="Times New Roman" w:cs="Times New Roman"/>
          <w:bCs/>
          <w:w w:val="90"/>
        </w:rPr>
      </w:pPr>
    </w:p>
    <w:p w14:paraId="37EB7134"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Neni 41</w:t>
      </w:r>
    </w:p>
    <w:p w14:paraId="5E62B241"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4" w:name="_Toc227317639"/>
      <w:proofErr w:type="spellStart"/>
      <w:r w:rsidRPr="00C51AE9">
        <w:rPr>
          <w:rFonts w:ascii="Times New Roman" w:eastAsiaTheme="majorEastAsia" w:hAnsi="Times New Roman" w:cs="Times New Roman"/>
          <w:b/>
        </w:rPr>
        <w:t>Prezumimi</w:t>
      </w:r>
      <w:proofErr w:type="spellEnd"/>
      <w:r w:rsidRPr="00C51AE9">
        <w:rPr>
          <w:rFonts w:ascii="Times New Roman" w:eastAsiaTheme="majorEastAsia" w:hAnsi="Times New Roman" w:cs="Times New Roman"/>
          <w:b/>
        </w:rPr>
        <w:t xml:space="preserve"> i përputhshmërisë</w:t>
      </w:r>
      <w:bookmarkEnd w:id="44"/>
    </w:p>
    <w:p w14:paraId="0B5D43B4" w14:textId="77777777" w:rsidR="00767CD0" w:rsidRPr="00C51AE9" w:rsidRDefault="00C51AE9" w:rsidP="00F635BF">
      <w:pPr>
        <w:numPr>
          <w:ilvl w:val="0"/>
          <w:numId w:val="42"/>
        </w:numPr>
        <w:tabs>
          <w:tab w:val="left" w:pos="630"/>
        </w:tabs>
        <w:ind w:left="630" w:hanging="270"/>
        <w:contextualSpacing/>
        <w:jc w:val="both"/>
        <w:rPr>
          <w:rFonts w:ascii="Times New Roman" w:hAnsi="Times New Roman" w:cs="Times New Roman"/>
        </w:rPr>
      </w:pPr>
      <w:r w:rsidRPr="00C51AE9">
        <w:rPr>
          <w:rFonts w:ascii="Times New Roman" w:hAnsi="Times New Roman" w:cs="Times New Roman"/>
        </w:rPr>
        <w:t>Metodat e testimit, matjes ose llogaritjes të përmendura në nenin 40 të këtij vendimi, të cilat janë në përputhje me standardet e publikuara nga Drejtoria e Përgjithshme e Standardizimit që janë ekuivalente me standardet e harmonizuara evropiane ose me pjesë të tyre, njihen si në përputhje me kërkesat e mbuluara nga ato standarde ose pjesë të tyre të përcaktuara në atë nen.</w:t>
      </w:r>
    </w:p>
    <w:p w14:paraId="13FB0CF0" w14:textId="77777777" w:rsidR="00767CD0" w:rsidRPr="00C51AE9" w:rsidRDefault="00C51AE9" w:rsidP="00F635BF">
      <w:pPr>
        <w:numPr>
          <w:ilvl w:val="0"/>
          <w:numId w:val="42"/>
        </w:numPr>
        <w:tabs>
          <w:tab w:val="left" w:pos="630"/>
        </w:tabs>
        <w:ind w:left="630" w:hanging="270"/>
        <w:contextualSpacing/>
        <w:jc w:val="both"/>
        <w:rPr>
          <w:rFonts w:ascii="Times New Roman" w:hAnsi="Times New Roman" w:cs="Times New Roman"/>
        </w:rPr>
      </w:pPr>
      <w:r w:rsidRPr="00C51AE9">
        <w:rPr>
          <w:rFonts w:ascii="Times New Roman" w:hAnsi="Times New Roman" w:cs="Times New Roman"/>
        </w:rPr>
        <w:t xml:space="preserve"> Kur metodat e provës, matjes ose llogaritjes që përmenden në pikën 1 të këtij neni,   kryhen nga organe për vlerësimin e përputhshmërisë për akreditim sipas legjislacionit në fuqi të akreditimit të organeve të vlerësimit të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dhe legjislacionit në fuqi për tregtimin dhe monitorimin e produkteve jo ushqimore,  duhet të jenë në përputhje me kërkesat sipas pikës 1 të këtij neni.</w:t>
      </w:r>
    </w:p>
    <w:p w14:paraId="212BFDAD" w14:textId="77777777" w:rsidR="00767CD0" w:rsidRPr="00C51AE9" w:rsidRDefault="00C51AE9" w:rsidP="00F635BF">
      <w:pPr>
        <w:numPr>
          <w:ilvl w:val="0"/>
          <w:numId w:val="42"/>
        </w:numPr>
        <w:tabs>
          <w:tab w:val="left" w:pos="180"/>
        </w:tabs>
        <w:ind w:left="630" w:hanging="270"/>
        <w:contextualSpacing/>
        <w:jc w:val="both"/>
        <w:rPr>
          <w:rFonts w:ascii="Times New Roman" w:hAnsi="Times New Roman" w:cs="Times New Roman"/>
        </w:rPr>
      </w:pPr>
      <w:r w:rsidRPr="00C51AE9">
        <w:rPr>
          <w:rFonts w:ascii="Times New Roman" w:hAnsi="Times New Roman" w:cs="Times New Roman"/>
        </w:rPr>
        <w:t>Ambalazhi që është në përputhje me standardet e harmonizuara evropiane ose pjesë të tyre, njihet si në përputhje me kërkesat e përcaktuara në ose në mbështetje të neneve 11 deri në 19, 30 dhe 32 të mbuluara nga ato standarde ose pjesë të tyre.</w:t>
      </w:r>
    </w:p>
    <w:p w14:paraId="2FAF88F3" w14:textId="77777777" w:rsidR="00767CD0" w:rsidRPr="00C51AE9" w:rsidRDefault="00767CD0">
      <w:pPr>
        <w:tabs>
          <w:tab w:val="left" w:pos="180"/>
        </w:tabs>
        <w:ind w:left="630"/>
        <w:contextualSpacing/>
        <w:jc w:val="both"/>
        <w:rPr>
          <w:rFonts w:ascii="Times New Roman" w:hAnsi="Times New Roman" w:cs="Times New Roman"/>
        </w:rPr>
      </w:pPr>
    </w:p>
    <w:p w14:paraId="7C25A778"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42</w:t>
      </w:r>
    </w:p>
    <w:p w14:paraId="4B969497"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5" w:name="_Toc227317640"/>
      <w:r w:rsidRPr="00C51AE9">
        <w:rPr>
          <w:rFonts w:ascii="Times New Roman" w:eastAsiaTheme="majorEastAsia" w:hAnsi="Times New Roman" w:cs="Times New Roman"/>
          <w:b/>
        </w:rPr>
        <w:t>Specifikime të përbashkëta</w:t>
      </w:r>
      <w:bookmarkEnd w:id="45"/>
    </w:p>
    <w:p w14:paraId="6ACF3135" w14:textId="77777777" w:rsidR="00767CD0" w:rsidRPr="00C51AE9" w:rsidRDefault="00C51AE9" w:rsidP="00F635BF">
      <w:pPr>
        <w:numPr>
          <w:ilvl w:val="0"/>
          <w:numId w:val="43"/>
        </w:numPr>
        <w:contextualSpacing/>
        <w:jc w:val="both"/>
        <w:rPr>
          <w:rFonts w:ascii="Times New Roman" w:hAnsi="Times New Roman" w:cs="Times New Roman"/>
        </w:rPr>
      </w:pPr>
      <w:r w:rsidRPr="00C51AE9">
        <w:rPr>
          <w:rFonts w:ascii="Times New Roman" w:hAnsi="Times New Roman" w:cs="Times New Roman"/>
        </w:rPr>
        <w:t>Ministria përgjegjëse për mjedisin përcakton me udhëzim specifikime të përbashkëta teknike për kërkesat e parashtruara në neneve 11 deri në 19, nenin 30 dhe nenin 32 të këtij vendimi, kur plotësohet njëri prej kushteve të mëposhtme:</w:t>
      </w:r>
    </w:p>
    <w:p w14:paraId="299F9B9E" w14:textId="77777777" w:rsidR="00767CD0" w:rsidRPr="00C51AE9" w:rsidRDefault="00C51AE9" w:rsidP="00F635BF">
      <w:pPr>
        <w:numPr>
          <w:ilvl w:val="0"/>
          <w:numId w:val="44"/>
        </w:numPr>
        <w:ind w:left="1080" w:hanging="270"/>
        <w:contextualSpacing/>
        <w:jc w:val="both"/>
        <w:rPr>
          <w:rFonts w:ascii="Times New Roman" w:hAnsi="Times New Roman" w:cs="Times New Roman"/>
        </w:rPr>
      </w:pPr>
      <w:r w:rsidRPr="00C51AE9">
        <w:rPr>
          <w:rFonts w:ascii="Times New Roman" w:hAnsi="Times New Roman" w:cs="Times New Roman"/>
        </w:rPr>
        <w:t>nuk ka standarde të publikuara nga Drejtoria e Përgjithshme e Standardizimit që mbulojnë kërkesat përkatëse të përcaktuara në ose në përputhje me nenet 11 deri në 19, nenin 30 dhe nenin 32 të këtij vendimi; ose</w:t>
      </w:r>
    </w:p>
    <w:p w14:paraId="6B21BC76" w14:textId="77777777" w:rsidR="00767CD0" w:rsidRPr="00C51AE9" w:rsidRDefault="00C51AE9" w:rsidP="00F635BF">
      <w:pPr>
        <w:numPr>
          <w:ilvl w:val="0"/>
          <w:numId w:val="44"/>
        </w:numPr>
        <w:ind w:left="1080" w:hanging="270"/>
        <w:contextualSpacing/>
        <w:jc w:val="both"/>
        <w:rPr>
          <w:rFonts w:ascii="Times New Roman" w:hAnsi="Times New Roman" w:cs="Times New Roman"/>
        </w:rPr>
      </w:pPr>
      <w:r w:rsidRPr="00C51AE9">
        <w:rPr>
          <w:rFonts w:ascii="Times New Roman" w:hAnsi="Times New Roman" w:cs="Times New Roman"/>
        </w:rPr>
        <w:t>standardet ekzistuese të adoptuara paraqesin mangësi ose nuk i plotësojnë kërkesat teknike që synohet të mbulohen.</w:t>
      </w:r>
    </w:p>
    <w:p w14:paraId="0847E053" w14:textId="77777777" w:rsidR="00767CD0" w:rsidRPr="00C51AE9" w:rsidRDefault="00C51AE9" w:rsidP="00F635BF">
      <w:pPr>
        <w:numPr>
          <w:ilvl w:val="0"/>
          <w:numId w:val="43"/>
        </w:numPr>
        <w:contextualSpacing/>
        <w:jc w:val="both"/>
        <w:rPr>
          <w:rFonts w:ascii="Times New Roman" w:hAnsi="Times New Roman" w:cs="Times New Roman"/>
        </w:rPr>
      </w:pPr>
      <w:r w:rsidRPr="00C51AE9">
        <w:rPr>
          <w:rFonts w:ascii="Times New Roman" w:hAnsi="Times New Roman" w:cs="Times New Roman"/>
        </w:rPr>
        <w:t>Ambalazhi që është në përputhje me specifikimet e përbashkëta të përmendura në pikën 1 të këtij neni, konsiderohet në përputhje me nenet 11 deri në 19, nenin 30 dhe nenin 32, në masën që këto kërkesa mbulohen nga ato specifikime të përbashkëta ose pjesë të tyre.</w:t>
      </w:r>
    </w:p>
    <w:p w14:paraId="48758188"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3. Kur Drejtoria e Përgjithshme e Standardizimit miraton standardin shqiptar që adopton standardin e harmonizuar evropian për të njëjtat kërkesa, ministri përgjegjës për mjedisin shfuqizon udhëzimin që përcakton specifikimet e përbashkëta përkatëse, ose pjesët e tij që mbulojnë ato kërkesa.</w:t>
      </w:r>
    </w:p>
    <w:p w14:paraId="5EF70CC8" w14:textId="77777777" w:rsidR="00767CD0" w:rsidRPr="00C51AE9" w:rsidRDefault="00767CD0">
      <w:pPr>
        <w:ind w:left="360"/>
        <w:contextualSpacing/>
        <w:jc w:val="both"/>
        <w:rPr>
          <w:rFonts w:ascii="Times New Roman" w:hAnsi="Times New Roman" w:cs="Times New Roman"/>
        </w:rPr>
      </w:pPr>
    </w:p>
    <w:p w14:paraId="46B22E58" w14:textId="77777777" w:rsidR="00767CD0" w:rsidRPr="00C51AE9" w:rsidRDefault="00C51AE9">
      <w:pPr>
        <w:keepNext/>
        <w:keepLines/>
        <w:spacing w:before="160" w:after="80"/>
        <w:jc w:val="center"/>
        <w:outlineLvl w:val="1"/>
        <w:rPr>
          <w:rFonts w:ascii="Times New Roman" w:eastAsiaTheme="majorEastAsia" w:hAnsi="Times New Roman" w:cs="Times New Roman"/>
        </w:rPr>
      </w:pPr>
      <w:r w:rsidRPr="00C51AE9">
        <w:rPr>
          <w:rFonts w:ascii="Times New Roman" w:eastAsiaTheme="majorEastAsia" w:hAnsi="Times New Roman" w:cs="Times New Roman"/>
        </w:rPr>
        <w:t>Neni 43</w:t>
      </w:r>
    </w:p>
    <w:p w14:paraId="3CA8D011"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6" w:name="_Toc227317641"/>
      <w:r w:rsidRPr="00C51AE9">
        <w:rPr>
          <w:rFonts w:ascii="Times New Roman" w:eastAsiaTheme="majorEastAsia" w:hAnsi="Times New Roman" w:cs="Times New Roman"/>
          <w:b/>
        </w:rPr>
        <w:t>Procedura e vlerësimit të përputhshmërisë</w:t>
      </w:r>
      <w:bookmarkEnd w:id="46"/>
    </w:p>
    <w:p w14:paraId="3342FDCF"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Vlerësimi i përputhshmërisë së ambalazhimit për sa u përket kërkesave të përcaktuara në ose në mbështetje të neneve 11 deri në 19 kryhet në përputhje me procedurën e përcaktuar në Shtojcën VII të këtij vendimi.</w:t>
      </w:r>
    </w:p>
    <w:p w14:paraId="2C0FBBAD" w14:textId="77777777" w:rsidR="00767CD0" w:rsidRPr="00C51AE9" w:rsidRDefault="00767CD0">
      <w:pPr>
        <w:jc w:val="both"/>
        <w:rPr>
          <w:rFonts w:ascii="Times New Roman" w:hAnsi="Times New Roman" w:cs="Times New Roman"/>
          <w:w w:val="90"/>
        </w:rPr>
      </w:pPr>
    </w:p>
    <w:p w14:paraId="729FAEA4"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 xml:space="preserve">Neni 44 </w:t>
      </w:r>
    </w:p>
    <w:p w14:paraId="72FBBEC3"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47" w:name="_Toc227317642"/>
      <w:r w:rsidRPr="00C51AE9">
        <w:rPr>
          <w:rFonts w:ascii="Times New Roman" w:eastAsiaTheme="majorEastAsia" w:hAnsi="Times New Roman" w:cs="Times New Roman"/>
          <w:b/>
        </w:rPr>
        <w:t xml:space="preserve">Deklarata e </w:t>
      </w:r>
      <w:proofErr w:type="spellStart"/>
      <w:r w:rsidRPr="00C51AE9">
        <w:rPr>
          <w:rFonts w:ascii="Times New Roman" w:eastAsiaTheme="majorEastAsia" w:hAnsi="Times New Roman" w:cs="Times New Roman"/>
          <w:b/>
        </w:rPr>
        <w:t>konformitetit</w:t>
      </w:r>
      <w:bookmarkEnd w:id="47"/>
      <w:proofErr w:type="spellEnd"/>
    </w:p>
    <w:p w14:paraId="3ED24257"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 xml:space="preserve">Deklarata e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vërteton përputhshmërinë e ambalazhit me kërkesat e përcaktuara në ose në zbatim të neneve 11 deri në 19 të këtij vendimi.</w:t>
      </w:r>
    </w:p>
    <w:p w14:paraId="2347D50E"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 xml:space="preserve">Deklarata e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duhet të ketë strukturën model të përcaktuar në Shtojcën VIII të këtij vendimi, të përmbajë të gjitha elementet e specifikuara në modulin përkatës të Shtojcës VII të këtij vendimi dhe të përditësohet vazhdimisht nga operatori. Në rast se ambalazhi vendoset në treg në  territorin e  Republikës së Shqipërisë deklarata e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hartohet ose përkthehet në gjuhën shqipe. </w:t>
      </w:r>
    </w:p>
    <w:p w14:paraId="15C53E93"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 xml:space="preserve">Përmes hartimit dhe nënshkrimit të deklaratës së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prodhuesi merr përsipër përgjegjësinë për përputhshmërinë e ambalazhit me kërkesat e këtij vendimi.</w:t>
      </w:r>
    </w:p>
    <w:p w14:paraId="4AFE41A1"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 xml:space="preserve">Inspektorati Shtetëror i Mbikëqyrjes së Tregut, në bashkëpunim me Agjencinë Kombëtare të Mjedisit, kontrollon mbi bazën e vlerësimit të rrezikut, një pjesë të deklaratave të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të paraqitura nga operatorët ekonomikë."</w:t>
      </w:r>
    </w:p>
    <w:p w14:paraId="1728881F"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Autoritetet ndërmarrin të gjitha masat e nevojshme ligjore për trajtimin e mospërputhjeve, duke përfshirë ndalimin e tregtimit dhe tërheqjen e menjëhershme të ambalazheve të parregullta nga tregu.</w:t>
      </w:r>
    </w:p>
    <w:p w14:paraId="08FABD72" w14:textId="77777777" w:rsidR="00767CD0" w:rsidRPr="00C51AE9" w:rsidRDefault="00C51AE9" w:rsidP="00F635BF">
      <w:pPr>
        <w:numPr>
          <w:ilvl w:val="0"/>
          <w:numId w:val="151"/>
        </w:numPr>
        <w:spacing w:after="0"/>
        <w:contextualSpacing/>
        <w:jc w:val="both"/>
        <w:rPr>
          <w:rFonts w:ascii="Times New Roman" w:hAnsi="Times New Roman" w:cs="Times New Roman"/>
        </w:rPr>
      </w:pPr>
      <w:r w:rsidRPr="00C51AE9">
        <w:rPr>
          <w:rFonts w:ascii="Times New Roman" w:hAnsi="Times New Roman" w:cs="Times New Roman"/>
        </w:rPr>
        <w:t xml:space="preserve">Kur ambalazhi ose produkti i ambalazhuar i nënshtrohet më shumë se një akti ligjor që kërkon deklaratë </w:t>
      </w:r>
      <w:proofErr w:type="spellStart"/>
      <w:r w:rsidRPr="00C51AE9">
        <w:rPr>
          <w:rFonts w:ascii="Times New Roman" w:hAnsi="Times New Roman" w:cs="Times New Roman"/>
        </w:rPr>
        <w:t>konformiteti</w:t>
      </w:r>
      <w:proofErr w:type="spellEnd"/>
      <w:r w:rsidRPr="00C51AE9">
        <w:rPr>
          <w:rFonts w:ascii="Times New Roman" w:hAnsi="Times New Roman" w:cs="Times New Roman"/>
        </w:rPr>
        <w:t xml:space="preserve">, prodhuesi harton një deklaratë të vetme </w:t>
      </w:r>
      <w:proofErr w:type="spellStart"/>
      <w:r w:rsidRPr="00C51AE9">
        <w:rPr>
          <w:rFonts w:ascii="Times New Roman" w:hAnsi="Times New Roman" w:cs="Times New Roman"/>
        </w:rPr>
        <w:t>konformiteti</w:t>
      </w:r>
      <w:proofErr w:type="spellEnd"/>
      <w:r w:rsidRPr="00C51AE9">
        <w:rPr>
          <w:rFonts w:ascii="Times New Roman" w:hAnsi="Times New Roman" w:cs="Times New Roman"/>
        </w:rPr>
        <w:t xml:space="preserve"> që mbulon të gjitha këto akte. Deklarata përmban identifikimin e akteve ligjore përkatëse, përfshirë referencat e botimit të tyre, dhe mund të përbëhet nga një dosje që përmban deklaratat individuale përkatëse të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w:t>
      </w:r>
    </w:p>
    <w:p w14:paraId="16426A06" w14:textId="77777777" w:rsidR="00767CD0" w:rsidRPr="00C51AE9" w:rsidRDefault="00767CD0">
      <w:pPr>
        <w:contextualSpacing/>
        <w:jc w:val="both"/>
        <w:rPr>
          <w:rFonts w:ascii="Times New Roman" w:hAnsi="Times New Roman" w:cs="Times New Roman"/>
        </w:rPr>
      </w:pPr>
    </w:p>
    <w:p w14:paraId="0CEA3715" w14:textId="77777777" w:rsidR="00767CD0" w:rsidRPr="00C51AE9" w:rsidRDefault="00767CD0">
      <w:pPr>
        <w:contextualSpacing/>
        <w:jc w:val="both"/>
        <w:rPr>
          <w:rFonts w:ascii="Times New Roman" w:hAnsi="Times New Roman" w:cs="Times New Roman"/>
        </w:rPr>
      </w:pPr>
    </w:p>
    <w:p w14:paraId="104FDE60" w14:textId="77777777" w:rsidR="00767CD0" w:rsidRPr="00C51AE9" w:rsidRDefault="00C51AE9">
      <w:pPr>
        <w:keepNext/>
        <w:keepLines/>
        <w:spacing w:before="360" w:after="80"/>
        <w:ind w:firstLine="720"/>
        <w:jc w:val="center"/>
        <w:outlineLvl w:val="0"/>
        <w:rPr>
          <w:rFonts w:ascii="Times New Roman" w:eastAsiaTheme="majorEastAsia" w:hAnsi="Times New Roman" w:cs="Times New Roman"/>
          <w:b/>
          <w:sz w:val="22"/>
          <w:szCs w:val="40"/>
        </w:rPr>
      </w:pPr>
      <w:r w:rsidRPr="00C51AE9">
        <w:rPr>
          <w:rFonts w:ascii="Times New Roman" w:eastAsiaTheme="majorEastAsia" w:hAnsi="Times New Roman" w:cs="Times New Roman"/>
          <w:b/>
          <w:sz w:val="22"/>
          <w:szCs w:val="40"/>
        </w:rPr>
        <w:t xml:space="preserve">KREU VIII </w:t>
      </w:r>
    </w:p>
    <w:p w14:paraId="6312AFC3" w14:textId="77777777" w:rsidR="00767CD0" w:rsidRPr="00C51AE9" w:rsidRDefault="00C51AE9">
      <w:pPr>
        <w:keepNext/>
        <w:keepLines/>
        <w:spacing w:before="360" w:after="80"/>
        <w:ind w:firstLine="720"/>
        <w:jc w:val="center"/>
        <w:outlineLvl w:val="0"/>
        <w:rPr>
          <w:rFonts w:ascii="Times New Roman" w:eastAsiaTheme="majorEastAsia" w:hAnsi="Times New Roman" w:cs="Times New Roman"/>
          <w:b/>
          <w:sz w:val="22"/>
          <w:szCs w:val="40"/>
        </w:rPr>
      </w:pPr>
      <w:bookmarkStart w:id="48" w:name="_Toc227317643"/>
      <w:r w:rsidRPr="00C51AE9">
        <w:rPr>
          <w:rFonts w:ascii="Times New Roman" w:eastAsiaTheme="majorEastAsia" w:hAnsi="Times New Roman" w:cs="Times New Roman"/>
          <w:b/>
          <w:sz w:val="22"/>
          <w:szCs w:val="40"/>
        </w:rPr>
        <w:t xml:space="preserve">MENAXHIMI I PAKETIMEVE DHE I MBETJEVE TË </w:t>
      </w:r>
      <w:bookmarkEnd w:id="48"/>
      <w:r w:rsidRPr="00C51AE9">
        <w:rPr>
          <w:rFonts w:ascii="Times New Roman" w:eastAsiaTheme="majorEastAsia" w:hAnsi="Times New Roman" w:cs="Times New Roman"/>
          <w:b/>
          <w:sz w:val="22"/>
          <w:szCs w:val="40"/>
        </w:rPr>
        <w:t>AMBALAZHEVE</w:t>
      </w:r>
    </w:p>
    <w:p w14:paraId="5EEDB018" w14:textId="77777777" w:rsidR="00767CD0" w:rsidRPr="00C51AE9" w:rsidRDefault="00767CD0">
      <w:pPr>
        <w:rPr>
          <w:rFonts w:ascii="Times New Roman" w:hAnsi="Times New Roman" w:cs="Times New Roman"/>
          <w:b/>
        </w:rPr>
      </w:pPr>
    </w:p>
    <w:p w14:paraId="5F8963E8" w14:textId="77777777" w:rsidR="00767CD0" w:rsidRPr="00C51AE9" w:rsidRDefault="00C51AE9">
      <w:pPr>
        <w:ind w:left="1440" w:firstLine="720"/>
        <w:rPr>
          <w:rFonts w:ascii="Times New Roman" w:hAnsi="Times New Roman" w:cs="Times New Roman"/>
          <w:b/>
        </w:rPr>
      </w:pPr>
      <w:bookmarkStart w:id="49" w:name="_Toc227317644"/>
      <w:r w:rsidRPr="00C51AE9">
        <w:rPr>
          <w:rFonts w:ascii="Times New Roman" w:hAnsi="Times New Roman" w:cs="Times New Roman"/>
          <w:b/>
        </w:rPr>
        <w:t>SEKSIONI 1 DISPOZITA TË PËRGJITHSHME</w:t>
      </w:r>
      <w:bookmarkEnd w:id="49"/>
    </w:p>
    <w:p w14:paraId="34CA974B" w14:textId="77777777" w:rsidR="00767CD0" w:rsidRPr="00C51AE9" w:rsidRDefault="00C51AE9">
      <w:pPr>
        <w:keepNext/>
        <w:keepLines/>
        <w:spacing w:before="360" w:after="80"/>
        <w:jc w:val="center"/>
        <w:outlineLvl w:val="0"/>
        <w:rPr>
          <w:rFonts w:ascii="Times New Roman" w:hAnsi="Times New Roman" w:cs="Times New Roman"/>
        </w:rPr>
      </w:pPr>
      <w:r w:rsidRPr="00C51AE9">
        <w:rPr>
          <w:rFonts w:ascii="Times New Roman" w:hAnsi="Times New Roman" w:cs="Times New Roman"/>
        </w:rPr>
        <w:t>Neni 45</w:t>
      </w:r>
    </w:p>
    <w:p w14:paraId="5B1AF42F" w14:textId="77777777" w:rsidR="00767CD0" w:rsidRPr="00C51AE9" w:rsidRDefault="00C51AE9">
      <w:pPr>
        <w:ind w:firstLine="720"/>
        <w:rPr>
          <w:rFonts w:ascii="Times New Roman" w:hAnsi="Times New Roman" w:cs="Times New Roman"/>
          <w:b/>
          <w:bCs/>
        </w:rPr>
      </w:pPr>
      <w:r w:rsidRPr="00C51AE9">
        <w:rPr>
          <w:rFonts w:ascii="Times New Roman" w:hAnsi="Times New Roman" w:cs="Times New Roman"/>
          <w:b/>
          <w:bCs/>
        </w:rPr>
        <w:t>Planet e menaxhimit të mbetjeve dhe programet e parandalimit të mbetjeve</w:t>
      </w:r>
    </w:p>
    <w:p w14:paraId="3416840B"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 xml:space="preserve">1. Në Strategjinë Kombëtare dhe Planin e Veprimit për Menaxhimin e Integruar të Mbetjeve përfshihet një kapitull i veçantë për menaxhimin e ambalazheve dhe mbetjeve të ambalazheve. Ky kapitull rishikohet dhe, kur është e nevojshme, përditësohet për të reflektuar masat dhe objektivat e përcaktuara në këtë vendim, përfshirë masat e marra në përputhje me nenet 52, 60 dhe 62 të tij. </w:t>
      </w:r>
    </w:p>
    <w:p w14:paraId="5ED47316"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2.</w:t>
      </w:r>
      <w:r w:rsidRPr="00C51AE9">
        <w:rPr>
          <w:rFonts w:ascii="Times New Roman" w:hAnsi="Times New Roman" w:cs="Times New Roman"/>
        </w:rPr>
        <w:tab/>
        <w:t xml:space="preserve"> Në programin e parandalimit të mbetjeve përfshihet një kapitull i veçantë për parandalimin e gjenerimit të ambalazheve dhe mbetjeve të ambalazheve, duke përfshirë masat e marra në përputhje me nenet 46 dhe 60 të këtij vendimi.</w:t>
      </w:r>
    </w:p>
    <w:p w14:paraId="174FEBB6" w14:textId="77777777" w:rsidR="00767CD0" w:rsidRPr="00C51AE9" w:rsidRDefault="00767CD0">
      <w:pPr>
        <w:jc w:val="both"/>
        <w:rPr>
          <w:rFonts w:ascii="Times New Roman" w:hAnsi="Times New Roman" w:cs="Times New Roman"/>
        </w:rPr>
      </w:pPr>
    </w:p>
    <w:p w14:paraId="70125AFD" w14:textId="77777777" w:rsidR="00767CD0" w:rsidRPr="00C51AE9" w:rsidRDefault="00767CD0">
      <w:pPr>
        <w:jc w:val="both"/>
        <w:rPr>
          <w:rFonts w:ascii="Times New Roman" w:hAnsi="Times New Roman" w:cs="Times New Roman"/>
        </w:rPr>
      </w:pPr>
    </w:p>
    <w:p w14:paraId="0B398CC1" w14:textId="77777777" w:rsidR="00767CD0" w:rsidRPr="00C51AE9" w:rsidRDefault="00C51AE9">
      <w:pPr>
        <w:ind w:left="3600"/>
        <w:rPr>
          <w:rFonts w:ascii="Times New Roman" w:hAnsi="Times New Roman" w:cs="Times New Roman"/>
          <w:b/>
          <w:lang w:val="it-CH"/>
        </w:rPr>
      </w:pPr>
      <w:r w:rsidRPr="00C51AE9">
        <w:rPr>
          <w:rFonts w:ascii="Times New Roman" w:hAnsi="Times New Roman" w:cs="Times New Roman"/>
          <w:b/>
        </w:rPr>
        <w:t xml:space="preserve">      </w:t>
      </w:r>
      <w:r w:rsidRPr="00C51AE9">
        <w:rPr>
          <w:rFonts w:ascii="Times New Roman" w:hAnsi="Times New Roman" w:cs="Times New Roman"/>
          <w:b/>
          <w:lang w:val="it-CH"/>
        </w:rPr>
        <w:t>SEKSIONI 2</w:t>
      </w:r>
    </w:p>
    <w:p w14:paraId="39D990DF" w14:textId="77777777" w:rsidR="00767CD0" w:rsidRPr="00C51AE9" w:rsidRDefault="00C51AE9">
      <w:pPr>
        <w:ind w:left="2160" w:firstLine="720"/>
        <w:rPr>
          <w:rFonts w:ascii="Times New Roman" w:hAnsi="Times New Roman" w:cs="Times New Roman"/>
          <w:b/>
          <w:lang w:val="it-CH"/>
        </w:rPr>
      </w:pPr>
      <w:r w:rsidRPr="00C51AE9">
        <w:rPr>
          <w:rFonts w:ascii="Times New Roman" w:hAnsi="Times New Roman" w:cs="Times New Roman"/>
          <w:b/>
          <w:lang w:val="it-CH"/>
        </w:rPr>
        <w:t xml:space="preserve"> PARANDALIMI I MBETJEVE</w:t>
      </w:r>
    </w:p>
    <w:p w14:paraId="6A977CCC" w14:textId="77777777" w:rsidR="00767CD0" w:rsidRPr="00C51AE9" w:rsidRDefault="00767CD0">
      <w:pPr>
        <w:jc w:val="both"/>
        <w:rPr>
          <w:rFonts w:ascii="Times New Roman" w:hAnsi="Times New Roman" w:cs="Times New Roman"/>
        </w:rPr>
      </w:pPr>
    </w:p>
    <w:p w14:paraId="509B8A61" w14:textId="77777777" w:rsidR="00767CD0" w:rsidRPr="00C51AE9" w:rsidRDefault="00C51AE9">
      <w:pPr>
        <w:keepNext/>
        <w:keepLines/>
        <w:spacing w:before="160" w:after="80"/>
        <w:ind w:left="3600" w:firstLine="720"/>
        <w:jc w:val="both"/>
        <w:outlineLvl w:val="1"/>
        <w:rPr>
          <w:rFonts w:ascii="Times New Roman" w:eastAsiaTheme="majorEastAsia" w:hAnsi="Times New Roman" w:cs="Times New Roman"/>
          <w:bCs/>
        </w:rPr>
      </w:pPr>
      <w:bookmarkStart w:id="50" w:name="_Toc227317646"/>
      <w:bookmarkEnd w:id="50"/>
      <w:r w:rsidRPr="00C51AE9">
        <w:rPr>
          <w:rFonts w:ascii="Times New Roman" w:eastAsiaTheme="majorEastAsia" w:hAnsi="Times New Roman" w:cs="Times New Roman"/>
          <w:bCs/>
        </w:rPr>
        <w:t>Neni 46</w:t>
      </w:r>
    </w:p>
    <w:p w14:paraId="7A189722"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51" w:name="_Toc227317647"/>
      <w:r w:rsidRPr="00C51AE9">
        <w:rPr>
          <w:rFonts w:ascii="Times New Roman" w:eastAsiaTheme="majorEastAsia" w:hAnsi="Times New Roman" w:cs="Times New Roman"/>
          <w:b/>
        </w:rPr>
        <w:t xml:space="preserve">Parandalimi i mbetjeve nga ambalazhet </w:t>
      </w:r>
      <w:bookmarkEnd w:id="51"/>
    </w:p>
    <w:p w14:paraId="1C6AE2C6"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Masat për reduktimin e mbetjeve të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për frymë në Republikën e Shqipërisë përfshihen në programin e parashikuar në nenin 45. Mbetjet e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për frymë në Republikën e Shqipërisë reduktohen, krahasuar me mbetjet e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për frymë në vitin 2027, me të paktën:</w:t>
      </w:r>
    </w:p>
    <w:p w14:paraId="4B8A7D4D" w14:textId="77777777" w:rsidR="00767CD0" w:rsidRPr="00C51AE9" w:rsidRDefault="00C51AE9">
      <w:pPr>
        <w:ind w:left="1080"/>
        <w:contextualSpacing/>
        <w:jc w:val="both"/>
        <w:rPr>
          <w:rFonts w:ascii="Times New Roman" w:hAnsi="Times New Roman" w:cs="Times New Roman"/>
        </w:rPr>
      </w:pPr>
      <w:r w:rsidRPr="00C51AE9">
        <w:rPr>
          <w:rFonts w:ascii="Times New Roman" w:hAnsi="Times New Roman" w:cs="Times New Roman"/>
        </w:rPr>
        <w:t>a. 5 % deri në vitin 2030;</w:t>
      </w:r>
    </w:p>
    <w:p w14:paraId="1AF5D5BB" w14:textId="77777777" w:rsidR="00767CD0" w:rsidRPr="00C51AE9" w:rsidRDefault="00C51AE9">
      <w:pPr>
        <w:ind w:left="1080"/>
        <w:contextualSpacing/>
        <w:jc w:val="both"/>
        <w:rPr>
          <w:rFonts w:ascii="Times New Roman" w:hAnsi="Times New Roman" w:cs="Times New Roman"/>
        </w:rPr>
      </w:pPr>
      <w:r w:rsidRPr="00C51AE9">
        <w:rPr>
          <w:rFonts w:ascii="Times New Roman" w:hAnsi="Times New Roman" w:cs="Times New Roman"/>
        </w:rPr>
        <w:t>b. 10 % deri në vitin 2035;</w:t>
      </w:r>
    </w:p>
    <w:p w14:paraId="641529D8" w14:textId="77777777" w:rsidR="00767CD0" w:rsidRPr="00C51AE9" w:rsidRDefault="00C51AE9">
      <w:pPr>
        <w:ind w:left="1080"/>
        <w:contextualSpacing/>
        <w:jc w:val="both"/>
        <w:rPr>
          <w:rFonts w:ascii="Times New Roman" w:hAnsi="Times New Roman" w:cs="Times New Roman"/>
        </w:rPr>
      </w:pPr>
      <w:r w:rsidRPr="00C51AE9">
        <w:rPr>
          <w:rFonts w:ascii="Times New Roman" w:hAnsi="Times New Roman" w:cs="Times New Roman"/>
        </w:rPr>
        <w:t>c. 15 % deri në vitin 2040.</w:t>
      </w:r>
    </w:p>
    <w:p w14:paraId="1AF3252E"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Ministria përgjegjëse për mjedisin përcakton një faktor korrigjues duke marrë në konsideratë rritjen ose uljen e turizmit deri në vitin 2030, bazuar në normën e gjenerimit të mbetjeve të ambalazheve për turist dhe ndryshimin në numrin e turistëve në raport me vitin 2027. </w:t>
      </w:r>
    </w:p>
    <w:p w14:paraId="7CE603CA"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Masat e përcaktuara në këtë vendim synojnë parandalimin e gjenerimit të mbetjeve të ambalazheve dhe minimizimin e ndikimit të tyre në mjedis.</w:t>
      </w:r>
    </w:p>
    <w:p w14:paraId="1F2C516C"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Për arritjen e objektivit të përcaktuar në pikën 1 të këtij neni, zbatohen instrumente ekonomike dhe masa të tjera që krijojnë stimuj për zbatimin e hierarkisë së mbetjeve.</w:t>
      </w:r>
    </w:p>
    <w:p w14:paraId="023C6B96"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 Masat nxitëse përfshijnë stimuj të ofruar në kuadër të skemave të përgjegjësisë së zgjeruar të prodhuesit, si dhe detyrimin e prodhuesve ose të organizatave të përgjegjësisë së prodhuesit për të hartuar dhe zbatuar plane për parandalimin e gjenerimit të mbetjeve.</w:t>
      </w:r>
    </w:p>
    <w:p w14:paraId="62F81AAE"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Masat e ndërmarra duhet të jenë proporcionale, </w:t>
      </w:r>
      <w:proofErr w:type="spellStart"/>
      <w:r w:rsidRPr="00C51AE9">
        <w:rPr>
          <w:rFonts w:ascii="Times New Roman" w:hAnsi="Times New Roman" w:cs="Times New Roman"/>
        </w:rPr>
        <w:t>jodiskriminuese</w:t>
      </w:r>
      <w:proofErr w:type="spellEnd"/>
      <w:r w:rsidRPr="00C51AE9">
        <w:rPr>
          <w:rFonts w:ascii="Times New Roman" w:hAnsi="Times New Roman" w:cs="Times New Roman"/>
        </w:rPr>
        <w:t xml:space="preserve"> dhe të hartohen në mënyrë të tillë që të shmangin pengesat në tregti dhe shtrembërimet e konkurrencës.</w:t>
      </w:r>
    </w:p>
    <w:p w14:paraId="63246019"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 Zbatimi i masave të parashikuara në këtë nen nuk duhet të çojë në kalimin drejt materialeve më të lehta të ambalazhimit me qëllim arritjen e objektivit të reduktimit të mbetjeve, nëse një kalim i tillë cenon qëndrueshmërinë mjedisore.</w:t>
      </w:r>
    </w:p>
    <w:p w14:paraId="05879C97" w14:textId="77777777" w:rsidR="00767CD0" w:rsidRPr="00C51AE9" w:rsidRDefault="00C51AE9" w:rsidP="00F635BF">
      <w:pPr>
        <w:numPr>
          <w:ilvl w:val="0"/>
          <w:numId w:val="70"/>
        </w:numPr>
        <w:contextualSpacing/>
        <w:jc w:val="both"/>
        <w:rPr>
          <w:rFonts w:ascii="Times New Roman" w:hAnsi="Times New Roman" w:cs="Times New Roman"/>
        </w:rPr>
      </w:pPr>
      <w:r w:rsidRPr="00C51AE9">
        <w:rPr>
          <w:rFonts w:ascii="Times New Roman" w:hAnsi="Times New Roman" w:cs="Times New Roman"/>
        </w:rPr>
        <w:t xml:space="preserve">Për qëllimet e pikës 4 të këtij neni dhe pa cenuar legjislacionin në fuqi për burimet ujore dhe legjislacionit i cili miraton  rregulloren për cilësinë e ujit të pijshëm, restorantet, mensat, baret, kafenetë dhe shërbimet e </w:t>
      </w:r>
      <w:proofErr w:type="spellStart"/>
      <w:r w:rsidRPr="00C51AE9">
        <w:rPr>
          <w:rFonts w:ascii="Times New Roman" w:hAnsi="Times New Roman" w:cs="Times New Roman"/>
        </w:rPr>
        <w:t>kateringut</w:t>
      </w:r>
      <w:proofErr w:type="spellEnd"/>
      <w:r w:rsidRPr="00C51AE9">
        <w:rPr>
          <w:rFonts w:ascii="Times New Roman" w:hAnsi="Times New Roman" w:cs="Times New Roman"/>
        </w:rPr>
        <w:t xml:space="preserve"> aty ku është i </w:t>
      </w:r>
      <w:proofErr w:type="spellStart"/>
      <w:r w:rsidRPr="00C51AE9">
        <w:rPr>
          <w:rFonts w:ascii="Times New Roman" w:hAnsi="Times New Roman" w:cs="Times New Roman"/>
        </w:rPr>
        <w:t>disponueshëm</w:t>
      </w:r>
      <w:proofErr w:type="spellEnd"/>
      <w:r w:rsidRPr="00C51AE9">
        <w:rPr>
          <w:rFonts w:ascii="Times New Roman" w:hAnsi="Times New Roman" w:cs="Times New Roman"/>
        </w:rPr>
        <w:t xml:space="preserve"> nxiten t’u shërbejnë klientëve të tyre ujë çezme pa pagesë ose kundrejt një tarife të ulët shërbimi, në një format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ose të </w:t>
      </w:r>
      <w:proofErr w:type="spellStart"/>
      <w:r w:rsidRPr="00C51AE9">
        <w:rPr>
          <w:rFonts w:ascii="Times New Roman" w:hAnsi="Times New Roman" w:cs="Times New Roman"/>
        </w:rPr>
        <w:t>rimbushshëm</w:t>
      </w:r>
      <w:proofErr w:type="spellEnd"/>
      <w:r w:rsidRPr="00C51AE9">
        <w:rPr>
          <w:rFonts w:ascii="Times New Roman" w:hAnsi="Times New Roman" w:cs="Times New Roman"/>
        </w:rPr>
        <w:t>.</w:t>
      </w:r>
      <w:bookmarkStart w:id="52" w:name="_bookmark141"/>
      <w:bookmarkStart w:id="53" w:name="_Toc227317648"/>
      <w:bookmarkEnd w:id="52"/>
    </w:p>
    <w:p w14:paraId="3E8F09D9"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9. Ministria përgjegjëse për mjedisin, në bashkëpunim me Agjencinë Kombëtare të Mjedisit, harton raporte për progresin drejt arritjes së objektivave të përcaktuar në </w:t>
      </w:r>
      <w:r w:rsidRPr="00C51AE9">
        <w:rPr>
          <w:rFonts w:ascii="Times New Roman" w:hAnsi="Times New Roman" w:cs="Times New Roman"/>
        </w:rPr>
        <w:lastRenderedPageBreak/>
        <w:t>nenet 46 dhe 62 të këtij vendimi, jo më vonë se 3 vjet përpara secilit afat të përcaktuar në ato nene. Raportet përfshijnë vlerësimin e arritjes së objektivave, rreziqet për mosarritjen e tyre brenda afateve dhe masat e nevojshme për korrigjim.</w:t>
      </w:r>
    </w:p>
    <w:p w14:paraId="10799E21"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10. Në arritjen e objektivave të parandalimit, të përcaktuar në këtë nen, merren masa për reduktimin e sasisë së mbetjeve të ambalazheve plastike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24B418BA"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11. Programi i parandalimit të mbetjeve përfshin masa që tejkalojnë objektivat minimalë të përcaktuar në këtë nen.</w:t>
      </w:r>
    </w:p>
    <w:p w14:paraId="2C256F0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12. Kur të dhënat për vitin 2027 nuk janë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ose të krahasueshme, ministri përgjegjës për mjedisin përcakton, në mënyrë të arsyetuar, një vit tjetër bazë për llogaritjen e objektivave të këtij neni.</w:t>
      </w:r>
    </w:p>
    <w:p w14:paraId="33209EF5"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13. Deri më 12 shkurt 2032, ministria përgjegjëse për mjedisin rishikon objektivat e këtij neni dhe vlerëson nevojën për objektiva specifikë për disa materiale ambalazhesh.</w:t>
      </w:r>
    </w:p>
    <w:p w14:paraId="057EE0D1" w14:textId="77777777" w:rsidR="00767CD0" w:rsidRPr="00C51AE9" w:rsidRDefault="00767CD0">
      <w:pPr>
        <w:ind w:left="720"/>
        <w:contextualSpacing/>
        <w:jc w:val="both"/>
        <w:rPr>
          <w:rFonts w:ascii="Times New Roman" w:hAnsi="Times New Roman" w:cs="Times New Roman"/>
        </w:rPr>
      </w:pPr>
    </w:p>
    <w:p w14:paraId="6F837429" w14:textId="77777777" w:rsidR="00767CD0" w:rsidRPr="00C51AE9" w:rsidRDefault="00767CD0">
      <w:pPr>
        <w:jc w:val="both"/>
        <w:rPr>
          <w:rFonts w:ascii="Times New Roman" w:hAnsi="Times New Roman" w:cs="Times New Roman"/>
        </w:rPr>
      </w:pPr>
    </w:p>
    <w:p w14:paraId="210C389D"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 xml:space="preserve">SEKSIONI 3 </w:t>
      </w:r>
    </w:p>
    <w:p w14:paraId="6CE4B247"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REGJISTRI I PRODHUESVE DHE PËRGJEGJËSIA E ZGJERUAR E PRODHUESIT</w:t>
      </w:r>
      <w:bookmarkEnd w:id="53"/>
    </w:p>
    <w:p w14:paraId="1C98466E" w14:textId="77777777" w:rsidR="00767CD0" w:rsidRPr="00C51AE9" w:rsidRDefault="00767CD0">
      <w:pPr>
        <w:keepNext/>
        <w:keepLines/>
        <w:spacing w:before="160" w:after="80"/>
        <w:jc w:val="center"/>
        <w:outlineLvl w:val="1"/>
        <w:rPr>
          <w:rFonts w:ascii="Times New Roman" w:eastAsiaTheme="majorEastAsia" w:hAnsi="Times New Roman" w:cs="Times New Roman"/>
          <w:highlight w:val="yellow"/>
        </w:rPr>
      </w:pPr>
    </w:p>
    <w:p w14:paraId="18D2AE86" w14:textId="77777777" w:rsidR="00767CD0" w:rsidRPr="00C51AE9" w:rsidRDefault="00C51AE9">
      <w:pPr>
        <w:ind w:left="3600"/>
        <w:rPr>
          <w:rFonts w:ascii="Times New Roman" w:hAnsi="Times New Roman" w:cs="Times New Roman"/>
        </w:rPr>
      </w:pPr>
      <w:r w:rsidRPr="00C51AE9">
        <w:rPr>
          <w:rFonts w:ascii="Times New Roman" w:hAnsi="Times New Roman" w:cs="Times New Roman"/>
        </w:rPr>
        <w:t xml:space="preserve">      Neni 47</w:t>
      </w:r>
    </w:p>
    <w:p w14:paraId="657E05DF" w14:textId="77777777" w:rsidR="00767CD0" w:rsidRPr="00C51AE9" w:rsidRDefault="00C51AE9">
      <w:pPr>
        <w:jc w:val="center"/>
        <w:rPr>
          <w:rFonts w:ascii="Times New Roman" w:hAnsi="Times New Roman" w:cs="Times New Roman"/>
          <w:b/>
          <w:bCs/>
        </w:rPr>
      </w:pPr>
      <w:bookmarkStart w:id="54" w:name="_Toc227317649"/>
      <w:r w:rsidRPr="00C51AE9">
        <w:rPr>
          <w:rFonts w:ascii="Times New Roman" w:hAnsi="Times New Roman" w:cs="Times New Roman"/>
          <w:b/>
          <w:bCs/>
        </w:rPr>
        <w:t>Regjistri i prodhuesve</w:t>
      </w:r>
      <w:bookmarkEnd w:id="54"/>
    </w:p>
    <w:p w14:paraId="2EB428E2" w14:textId="77777777" w:rsidR="00767CD0" w:rsidRPr="00C51AE9" w:rsidRDefault="00C51AE9">
      <w:pPr>
        <w:spacing w:after="0"/>
        <w:ind w:left="720"/>
        <w:contextualSpacing/>
        <w:jc w:val="both"/>
        <w:rPr>
          <w:rFonts w:ascii="Times New Roman" w:hAnsi="Times New Roman" w:cs="Times New Roman"/>
        </w:rPr>
      </w:pPr>
      <w:r w:rsidRPr="00C51AE9">
        <w:rPr>
          <w:rFonts w:ascii="Times New Roman" w:hAnsi="Times New Roman" w:cs="Times New Roman"/>
        </w:rPr>
        <w:t xml:space="preserve">Prodhuesit regjistrohen në regjistrin përkatës, sipas procedurave dhe kërkesave të përcaktuara  në bazë të nenit 5 të Ligjit nr.74/2025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w:t>
      </w:r>
    </w:p>
    <w:p w14:paraId="50913D05" w14:textId="77777777" w:rsidR="00767CD0" w:rsidRPr="00C51AE9" w:rsidRDefault="00767CD0">
      <w:pPr>
        <w:spacing w:after="0" w:line="300" w:lineRule="atLeast"/>
        <w:ind w:left="720"/>
        <w:contextualSpacing/>
        <w:jc w:val="both"/>
        <w:rPr>
          <w:rFonts w:ascii="Times New Roman" w:eastAsia="Times New Roman" w:hAnsi="Times New Roman" w:cs="Times New Roman"/>
          <w:kern w:val="0"/>
          <w14:ligatures w14:val="none"/>
        </w:rPr>
      </w:pPr>
    </w:p>
    <w:p w14:paraId="6EDEB744" w14:textId="77777777" w:rsidR="00767CD0" w:rsidRPr="00C51AE9" w:rsidRDefault="00C51AE9">
      <w:pPr>
        <w:widowControl w:val="0"/>
        <w:spacing w:after="0"/>
        <w:jc w:val="center"/>
        <w:rPr>
          <w:rFonts w:ascii="Times New Roman" w:eastAsia="Times New Roman" w:hAnsi="Times New Roman" w:cs="Times New Roman"/>
          <w:kern w:val="0"/>
          <w:lang w:val="pt-BR"/>
          <w14:ligatures w14:val="none"/>
        </w:rPr>
      </w:pPr>
      <w:r w:rsidRPr="00C51AE9">
        <w:rPr>
          <w:rFonts w:ascii="Times New Roman" w:eastAsia="Times New Roman" w:hAnsi="Times New Roman" w:cs="Times New Roman"/>
          <w:kern w:val="0"/>
          <w:lang w:val="pt-BR"/>
          <w14:ligatures w14:val="none"/>
        </w:rPr>
        <w:t>Neni 48</w:t>
      </w:r>
    </w:p>
    <w:p w14:paraId="71298C5C" w14:textId="77777777" w:rsidR="00767CD0" w:rsidRPr="00C51AE9" w:rsidRDefault="00C51AE9">
      <w:pPr>
        <w:widowControl w:val="0"/>
        <w:spacing w:after="0"/>
        <w:ind w:left="2160" w:firstLine="720"/>
        <w:jc w:val="both"/>
        <w:rPr>
          <w:rFonts w:ascii="Times New Roman" w:eastAsia="Times New Roman" w:hAnsi="Times New Roman" w:cs="Times New Roman"/>
          <w:b/>
          <w:bCs/>
          <w:kern w:val="0"/>
          <w:lang w:val="pt-BR"/>
          <w14:ligatures w14:val="none"/>
        </w:rPr>
      </w:pPr>
      <w:r w:rsidRPr="00C51AE9">
        <w:rPr>
          <w:rFonts w:ascii="Times New Roman" w:eastAsia="Times New Roman" w:hAnsi="Times New Roman" w:cs="Times New Roman"/>
          <w:b/>
          <w:bCs/>
          <w:kern w:val="0"/>
          <w:lang w:val="pt-BR"/>
          <w14:ligatures w14:val="none"/>
        </w:rPr>
        <w:t>Përgjegjësia e zgjeruar e prodhuesit</w:t>
      </w:r>
    </w:p>
    <w:p w14:paraId="61FA8B8C" w14:textId="77777777" w:rsidR="00767CD0" w:rsidRPr="00C51AE9" w:rsidRDefault="00767CD0">
      <w:pPr>
        <w:widowControl w:val="0"/>
        <w:spacing w:after="0"/>
        <w:ind w:left="2160" w:firstLine="720"/>
        <w:jc w:val="both"/>
        <w:rPr>
          <w:rFonts w:ascii="Times New Roman" w:eastAsia="Times New Roman" w:hAnsi="Times New Roman" w:cs="Times New Roman"/>
          <w:kern w:val="0"/>
          <w:lang w:val="pt-BR"/>
          <w14:ligatures w14:val="none"/>
        </w:rPr>
      </w:pPr>
    </w:p>
    <w:p w14:paraId="63C869E0" w14:textId="77777777" w:rsidR="00767CD0" w:rsidRPr="00C51AE9" w:rsidRDefault="00C51AE9" w:rsidP="00F635BF">
      <w:pPr>
        <w:numPr>
          <w:ilvl w:val="0"/>
          <w:numId w:val="167"/>
        </w:numPr>
        <w:contextualSpacing/>
        <w:jc w:val="both"/>
        <w:rPr>
          <w:rFonts w:ascii="Times New Roman" w:hAnsi="Times New Roman" w:cs="Times New Roman"/>
        </w:rPr>
      </w:pPr>
      <w:r w:rsidRPr="00C51AE9">
        <w:rPr>
          <w:rFonts w:ascii="Times New Roman" w:hAnsi="Times New Roman" w:cs="Times New Roman"/>
        </w:rPr>
        <w:t xml:space="preserve">Prodhuesit që prodhojnë </w:t>
      </w:r>
      <w:r w:rsidRPr="00C51AE9">
        <w:rPr>
          <w:rFonts w:ascii="Times New Roman" w:eastAsia="Times New Roman" w:hAnsi="Times New Roman" w:cs="Times New Roman"/>
          <w:kern w:val="0"/>
          <w14:ligatures w14:val="none"/>
        </w:rPr>
        <w:t>ambalazhet dhe produktet e ambalazhuara</w:t>
      </w:r>
      <w:r w:rsidRPr="00C51AE9">
        <w:rPr>
          <w:rFonts w:ascii="Times New Roman" w:hAnsi="Times New Roman" w:cs="Times New Roman"/>
        </w:rPr>
        <w:t xml:space="preserve"> apo </w:t>
      </w:r>
      <w:r w:rsidRPr="00C51AE9">
        <w:rPr>
          <w:rFonts w:ascii="Times New Roman" w:eastAsia="Times New Roman" w:hAnsi="Times New Roman" w:cs="Times New Roman"/>
          <w:kern w:val="0"/>
          <w14:ligatures w14:val="none"/>
        </w:rPr>
        <w:t>që vendosin për herë të parë në tregun e Republikës së Shqipërisë</w:t>
      </w:r>
      <w:r w:rsidRPr="00C51AE9">
        <w:rPr>
          <w:rFonts w:ascii="Times New Roman" w:hAnsi="Times New Roman" w:cs="Times New Roman"/>
        </w:rPr>
        <w:t xml:space="preserve"> ambalazhe i </w:t>
      </w:r>
      <w:proofErr w:type="spellStart"/>
      <w:r w:rsidRPr="00C51AE9">
        <w:rPr>
          <w:rFonts w:ascii="Times New Roman" w:hAnsi="Times New Roman" w:cs="Times New Roman"/>
        </w:rPr>
        <w:t>nështrohen</w:t>
      </w:r>
      <w:proofErr w:type="spellEnd"/>
      <w:r w:rsidRPr="00C51AE9">
        <w:rPr>
          <w:rFonts w:ascii="Times New Roman" w:hAnsi="Times New Roman" w:cs="Times New Roman"/>
        </w:rPr>
        <w:t xml:space="preserve"> detyrimeve që rrjedhin nga ligji  </w:t>
      </w:r>
      <w:r w:rsidRPr="00C51AE9">
        <w:rPr>
          <w:rFonts w:ascii="Times New Roman" w:eastAsia="Times New Roman" w:hAnsi="Times New Roman" w:cs="Times New Roman"/>
          <w:kern w:val="0"/>
          <w14:ligatures w14:val="none"/>
        </w:rPr>
        <w:t>nr. 74/2025, “Për përgjegjësinë e zgjeruar të prodhuesit”, dhe ligji nr. 57/2025, “Për menaxhimin e integruar të mbetjeve”</w:t>
      </w:r>
      <w:r w:rsidRPr="00C51AE9">
        <w:rPr>
          <w:rFonts w:ascii="Times New Roman" w:hAnsi="Times New Roman" w:cs="Times New Roman"/>
        </w:rPr>
        <w:t xml:space="preserve">. </w:t>
      </w:r>
      <w:r w:rsidRPr="00C51AE9">
        <w:rPr>
          <w:rFonts w:ascii="Times New Roman" w:eastAsia="Times New Roman" w:hAnsi="Times New Roman" w:cs="Times New Roman"/>
          <w:kern w:val="0"/>
          <w14:ligatures w14:val="none"/>
        </w:rPr>
        <w:t xml:space="preserve"> </w:t>
      </w:r>
    </w:p>
    <w:p w14:paraId="1A92A56C"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Përveç kostove të përcaktuara në nenin 6, pika 6, të ligjit nr. 74/2025, kontributet financiare të prodhuesve mbulojnë edhe:</w:t>
      </w:r>
    </w:p>
    <w:p w14:paraId="06E0DB0F" w14:textId="77777777" w:rsidR="00767CD0" w:rsidRPr="00C51AE9" w:rsidRDefault="00C51AE9" w:rsidP="00F635BF">
      <w:pPr>
        <w:widowControl w:val="0"/>
        <w:numPr>
          <w:ilvl w:val="1"/>
          <w:numId w:val="169"/>
        </w:numPr>
        <w:spacing w:after="0"/>
        <w:ind w:left="1260"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kostot për etiketimin e kontejnerëve dhe pajisjeve të përdorura për grumbullimin e veçuar të mbetjeve të ambalazheve;</w:t>
      </w:r>
    </w:p>
    <w:p w14:paraId="7B40721D" w14:textId="77777777" w:rsidR="00767CD0" w:rsidRPr="00C51AE9" w:rsidRDefault="00C51AE9" w:rsidP="00F635BF">
      <w:pPr>
        <w:widowControl w:val="0"/>
        <w:numPr>
          <w:ilvl w:val="1"/>
          <w:numId w:val="169"/>
        </w:numPr>
        <w:spacing w:after="0"/>
        <w:ind w:left="1260"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kostot për kryerjen e analizave të përbërjes së mbetjeve komunale të përziera.</w:t>
      </w:r>
    </w:p>
    <w:p w14:paraId="7266AE0E"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Kostot e mbuluara sipas pikës 2 të këtij neni përcaktohen në mënyrë transparente, proporcionale, </w:t>
      </w:r>
      <w:proofErr w:type="spellStart"/>
      <w:r w:rsidRPr="00C51AE9">
        <w:rPr>
          <w:rFonts w:ascii="Times New Roman" w:eastAsia="Times New Roman" w:hAnsi="Times New Roman" w:cs="Times New Roman"/>
          <w:kern w:val="0"/>
          <w14:ligatures w14:val="none"/>
        </w:rPr>
        <w:t>jodiskriminuese</w:t>
      </w:r>
      <w:proofErr w:type="spellEnd"/>
      <w:r w:rsidRPr="00C51AE9">
        <w:rPr>
          <w:rFonts w:ascii="Times New Roman" w:eastAsia="Times New Roman" w:hAnsi="Times New Roman" w:cs="Times New Roman"/>
          <w:kern w:val="0"/>
          <w14:ligatures w14:val="none"/>
        </w:rPr>
        <w:t xml:space="preserve"> dhe efektive.</w:t>
      </w:r>
    </w:p>
    <w:p w14:paraId="68304219"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 xml:space="preserve">Ofruesit e platformave </w:t>
      </w:r>
      <w:proofErr w:type="spellStart"/>
      <w:r w:rsidRPr="00C51AE9">
        <w:rPr>
          <w:rFonts w:ascii="Times New Roman" w:eastAsia="Times New Roman" w:hAnsi="Times New Roman" w:cs="Times New Roman"/>
          <w:kern w:val="0"/>
          <w14:ligatures w14:val="none"/>
        </w:rPr>
        <w:t>online</w:t>
      </w:r>
      <w:proofErr w:type="spellEnd"/>
      <w:r w:rsidRPr="00C51AE9">
        <w:rPr>
          <w:rFonts w:ascii="Times New Roman" w:eastAsia="Times New Roman" w:hAnsi="Times New Roman" w:cs="Times New Roman"/>
          <w:kern w:val="0"/>
          <w14:ligatures w14:val="none"/>
        </w:rPr>
        <w:t xml:space="preserve"> që u mundësojnë konsumatorëve lidhjen e kontratave në distancë me prodhuesit, përpara se t'u lejojnë përdorimin e shërbimeve të tyre, sigurojnë marrjen e:</w:t>
      </w:r>
    </w:p>
    <w:p w14:paraId="1E64B265" w14:textId="77777777" w:rsidR="00767CD0" w:rsidRPr="00C51AE9" w:rsidRDefault="00C51AE9" w:rsidP="00F635BF">
      <w:pPr>
        <w:widowControl w:val="0"/>
        <w:numPr>
          <w:ilvl w:val="1"/>
          <w:numId w:val="168"/>
        </w:numPr>
        <w:spacing w:after="0"/>
        <w:ind w:left="1170" w:hanging="9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informacionit mbi regjistrimin e prodhuesit në regjistrin e prodhuesve, përfshirë numrin e regjistrimit;</w:t>
      </w:r>
    </w:p>
    <w:p w14:paraId="181C8318" w14:textId="77777777" w:rsidR="00767CD0" w:rsidRPr="00C51AE9" w:rsidRDefault="00C51AE9" w:rsidP="00F635BF">
      <w:pPr>
        <w:widowControl w:val="0"/>
        <w:numPr>
          <w:ilvl w:val="1"/>
          <w:numId w:val="168"/>
        </w:numPr>
        <w:spacing w:after="0"/>
        <w:ind w:left="126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deklaratës së prodhuesit që konfirmon përmbushjen e detyrimeve që rrjedhin nga përgjegjësia e zgjeruar e prodhuesit sipas këtij vendimi.</w:t>
      </w:r>
    </w:p>
    <w:p w14:paraId="18DDDE40"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Kur produktet tregtohen nëpërmjet një platforme </w:t>
      </w:r>
      <w:proofErr w:type="spellStart"/>
      <w:r w:rsidRPr="00C51AE9">
        <w:rPr>
          <w:rFonts w:ascii="Times New Roman" w:eastAsia="Times New Roman" w:hAnsi="Times New Roman" w:cs="Times New Roman"/>
          <w:kern w:val="0"/>
          <w14:ligatures w14:val="none"/>
        </w:rPr>
        <w:t>online</w:t>
      </w:r>
      <w:proofErr w:type="spellEnd"/>
      <w:r w:rsidRPr="00C51AE9">
        <w:rPr>
          <w:rFonts w:ascii="Times New Roman" w:eastAsia="Times New Roman" w:hAnsi="Times New Roman" w:cs="Times New Roman"/>
          <w:kern w:val="0"/>
          <w14:ligatures w14:val="none"/>
        </w:rPr>
        <w:t xml:space="preserve">, detyrimet e përcaktuara në pikën 4 të këtij neni mund të përmbushen nga ofruesi i platformës </w:t>
      </w:r>
      <w:proofErr w:type="spellStart"/>
      <w:r w:rsidRPr="00C51AE9">
        <w:rPr>
          <w:rFonts w:ascii="Times New Roman" w:eastAsia="Times New Roman" w:hAnsi="Times New Roman" w:cs="Times New Roman"/>
          <w:kern w:val="0"/>
          <w14:ligatures w14:val="none"/>
        </w:rPr>
        <w:t>online</w:t>
      </w:r>
      <w:proofErr w:type="spellEnd"/>
      <w:r w:rsidRPr="00C51AE9">
        <w:rPr>
          <w:rFonts w:ascii="Times New Roman" w:eastAsia="Times New Roman" w:hAnsi="Times New Roman" w:cs="Times New Roman"/>
          <w:kern w:val="0"/>
          <w14:ligatures w14:val="none"/>
        </w:rPr>
        <w:t xml:space="preserve"> në emër të prodhuesit, në bazë të një mandati të shkruar.</w:t>
      </w:r>
    </w:p>
    <w:p w14:paraId="12A40F60"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Kur regjistri i prodhuesve siç përcaktohet në nenin 5 të ligjit nr. 74/2025 “Për përgjegjësitë e zgjeruara të subjekteve prodhuese të produkteve që </w:t>
      </w:r>
      <w:proofErr w:type="spellStart"/>
      <w:r w:rsidRPr="00C51AE9">
        <w:rPr>
          <w:rFonts w:ascii="Times New Roman" w:eastAsia="Times New Roman" w:hAnsi="Times New Roman" w:cs="Times New Roman"/>
          <w:kern w:val="0"/>
          <w14:ligatures w14:val="none"/>
        </w:rPr>
        <w:t>gjenerojnë</w:t>
      </w:r>
      <w:proofErr w:type="spellEnd"/>
      <w:r w:rsidRPr="00C51AE9">
        <w:rPr>
          <w:rFonts w:ascii="Times New Roman" w:eastAsia="Times New Roman" w:hAnsi="Times New Roman" w:cs="Times New Roman"/>
          <w:kern w:val="0"/>
          <w14:ligatures w14:val="none"/>
        </w:rPr>
        <w:t xml:space="preserve"> mbetje” mundëson verifikimin automatik të </w:t>
      </w:r>
      <w:proofErr w:type="spellStart"/>
      <w:r w:rsidRPr="00C51AE9">
        <w:rPr>
          <w:rFonts w:ascii="Times New Roman" w:eastAsia="Times New Roman" w:hAnsi="Times New Roman" w:cs="Times New Roman"/>
          <w:kern w:val="0"/>
          <w14:ligatures w14:val="none"/>
        </w:rPr>
        <w:t>të</w:t>
      </w:r>
      <w:proofErr w:type="spellEnd"/>
      <w:r w:rsidRPr="00C51AE9">
        <w:rPr>
          <w:rFonts w:ascii="Times New Roman" w:eastAsia="Times New Roman" w:hAnsi="Times New Roman" w:cs="Times New Roman"/>
          <w:kern w:val="0"/>
          <w14:ligatures w14:val="none"/>
        </w:rPr>
        <w:t xml:space="preserve"> dhënave, ofruesit e platformave </w:t>
      </w:r>
      <w:proofErr w:type="spellStart"/>
      <w:r w:rsidRPr="00C51AE9">
        <w:rPr>
          <w:rFonts w:ascii="Times New Roman" w:eastAsia="Times New Roman" w:hAnsi="Times New Roman" w:cs="Times New Roman"/>
          <w:kern w:val="0"/>
          <w14:ligatures w14:val="none"/>
        </w:rPr>
        <w:t>online</w:t>
      </w:r>
      <w:proofErr w:type="spellEnd"/>
      <w:r w:rsidRPr="00C51AE9">
        <w:rPr>
          <w:rFonts w:ascii="Times New Roman" w:eastAsia="Times New Roman" w:hAnsi="Times New Roman" w:cs="Times New Roman"/>
          <w:kern w:val="0"/>
          <w14:ligatures w14:val="none"/>
        </w:rPr>
        <w:t xml:space="preserve"> e përdorin atë për verifikimin e informacionit të përcaktuar në pikën 5 të këtij neni.</w:t>
      </w:r>
    </w:p>
    <w:p w14:paraId="3AEE8C59"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Ofruesit e platformave </w:t>
      </w:r>
      <w:proofErr w:type="spellStart"/>
      <w:r w:rsidRPr="00C51AE9">
        <w:rPr>
          <w:rFonts w:ascii="Times New Roman" w:eastAsia="Times New Roman" w:hAnsi="Times New Roman" w:cs="Times New Roman"/>
          <w:kern w:val="0"/>
          <w14:ligatures w14:val="none"/>
        </w:rPr>
        <w:t>online</w:t>
      </w:r>
      <w:proofErr w:type="spellEnd"/>
      <w:r w:rsidRPr="00C51AE9">
        <w:rPr>
          <w:rFonts w:ascii="Times New Roman" w:eastAsia="Times New Roman" w:hAnsi="Times New Roman" w:cs="Times New Roman"/>
          <w:kern w:val="0"/>
          <w14:ligatures w14:val="none"/>
        </w:rPr>
        <w:t xml:space="preserve"> verifikojnë plotësinë dhe besueshmërinë e informacionit të marrë sipas pikës 4 të këtij neni.</w:t>
      </w:r>
    </w:p>
    <w:p w14:paraId="6C8B0E31"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Prodhuesit që ofrojnë ambalazhe ose produkte të ambalazhuara për konsumatorët në territorin e Republikës së Shqipërisë u vënë në dispozicion ofruesve të shërbimeve informacionin e përcaktuar në pikën 4 të këtij neni, </w:t>
      </w:r>
    </w:p>
    <w:p w14:paraId="2DAC622A"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Ofruesit e shërbimeve  verifikojnë plotësinë dhe besueshmërinë e informacionit të paraqitur nga prodhuesit, duke përdorur regjistra publikë, baza zyrtare të </w:t>
      </w:r>
      <w:proofErr w:type="spellStart"/>
      <w:r w:rsidRPr="00C51AE9">
        <w:rPr>
          <w:rFonts w:ascii="Times New Roman" w:eastAsia="Times New Roman" w:hAnsi="Times New Roman" w:cs="Times New Roman"/>
          <w:kern w:val="0"/>
          <w14:ligatures w14:val="none"/>
        </w:rPr>
        <w:t>të</w:t>
      </w:r>
      <w:proofErr w:type="spellEnd"/>
      <w:r w:rsidRPr="00C51AE9">
        <w:rPr>
          <w:rFonts w:ascii="Times New Roman" w:eastAsia="Times New Roman" w:hAnsi="Times New Roman" w:cs="Times New Roman"/>
          <w:kern w:val="0"/>
          <w14:ligatures w14:val="none"/>
        </w:rPr>
        <w:t xml:space="preserve"> dhënave ose dokumentacion mbështetës.</w:t>
      </w:r>
    </w:p>
    <w:p w14:paraId="493EC28B"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Prodhuesit mbajnë përgjegjësi për saktësinë, plotësinë dhe përditësimin e informacionit të paraqitur sipas këtij neni.</w:t>
      </w:r>
    </w:p>
    <w:p w14:paraId="07BA2DCF"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Kur ofruesi i shërbimeve konstaton ose ka arsye të bazuara të besojë se informacioni i paraqitur nga prodhuesi është i pasaktë, i paplotë ose i </w:t>
      </w:r>
      <w:proofErr w:type="spellStart"/>
      <w:r w:rsidRPr="00C51AE9">
        <w:rPr>
          <w:rFonts w:ascii="Times New Roman" w:eastAsia="Times New Roman" w:hAnsi="Times New Roman" w:cs="Times New Roman"/>
          <w:kern w:val="0"/>
          <w14:ligatures w14:val="none"/>
        </w:rPr>
        <w:t>papërditësuar</w:t>
      </w:r>
      <w:proofErr w:type="spellEnd"/>
      <w:r w:rsidRPr="00C51AE9">
        <w:rPr>
          <w:rFonts w:ascii="Times New Roman" w:eastAsia="Times New Roman" w:hAnsi="Times New Roman" w:cs="Times New Roman"/>
          <w:kern w:val="0"/>
          <w14:ligatures w14:val="none"/>
        </w:rPr>
        <w:t>, kërkon korrigjimin ose plotësimin e tij brenda 30 ditëve nga data e njoftimit.</w:t>
      </w:r>
    </w:p>
    <w:p w14:paraId="0C7C137A"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 se prodhuesi nuk përmbush kërkesën e përcaktuar në pikën 11 të këtij neni brenda afatit të caktuar, ofruesi i shërbimeve pezullon ofrimin e shërbimeve përkatëse deri në korrigjimin ose plotësimin e informacionit dhe njofton prodhuesin për arsyet e pezullimit.</w:t>
      </w:r>
    </w:p>
    <w:p w14:paraId="0F03E86B" w14:textId="77777777" w:rsidR="00767CD0" w:rsidRPr="00C51AE9" w:rsidRDefault="00C51AE9" w:rsidP="00F635BF">
      <w:pPr>
        <w:widowControl w:val="0"/>
        <w:numPr>
          <w:ilvl w:val="0"/>
          <w:numId w:val="167"/>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Prodhuesi ka të drejtë të kundërshtojë vendimin e pezullimit në përputhje me legjislacionin në fuqi</w:t>
      </w:r>
    </w:p>
    <w:p w14:paraId="23F81415"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14. Subjekti prodhues që nuk është i vendosur në Republikën e Shqipërisë dhe që vë në dispozicion për herë të parë në tregun e Republikës së Shqipërisë ambalazhe ose produkte të ambalazhuara emëron, me mandat me shkrim, një përfaqësues të autorizuar për përgjegjësinë e zgjeruar të prodhuesit, të vendosur në Republikën e Shqipërisë.</w:t>
      </w:r>
    </w:p>
    <w:p w14:paraId="7F2740D8" w14:textId="77777777" w:rsidR="00767CD0" w:rsidRPr="00C51AE9" w:rsidRDefault="00767CD0">
      <w:pPr>
        <w:widowControl w:val="0"/>
        <w:spacing w:after="0"/>
        <w:ind w:left="2160" w:firstLine="720"/>
        <w:jc w:val="both"/>
        <w:rPr>
          <w:rFonts w:ascii="Times New Roman" w:hAnsi="Times New Roman" w:cs="Times New Roman"/>
          <w:w w:val="90"/>
        </w:rPr>
      </w:pPr>
    </w:p>
    <w:p w14:paraId="1FEF88CB" w14:textId="77777777" w:rsidR="00767CD0" w:rsidRPr="00C51AE9" w:rsidRDefault="00C51AE9">
      <w:pPr>
        <w:spacing w:after="0"/>
        <w:ind w:left="720"/>
        <w:contextualSpacing/>
        <w:jc w:val="center"/>
        <w:rPr>
          <w:rFonts w:ascii="Times New Roman" w:hAnsi="Times New Roman" w:cs="Times New Roman"/>
        </w:rPr>
      </w:pPr>
      <w:r w:rsidRPr="00C51AE9">
        <w:rPr>
          <w:rFonts w:ascii="Times New Roman" w:hAnsi="Times New Roman" w:cs="Times New Roman"/>
        </w:rPr>
        <w:t>Neni 49</w:t>
      </w:r>
    </w:p>
    <w:p w14:paraId="435FA3FF" w14:textId="77777777" w:rsidR="00767CD0" w:rsidRPr="00C51AE9" w:rsidRDefault="00C51AE9">
      <w:pPr>
        <w:keepNext/>
        <w:keepLines/>
        <w:spacing w:before="160" w:after="80"/>
        <w:jc w:val="center"/>
        <w:outlineLvl w:val="1"/>
        <w:rPr>
          <w:rFonts w:ascii="Times New Roman" w:eastAsiaTheme="majorEastAsia" w:hAnsi="Times New Roman" w:cs="Times New Roman"/>
          <w:b/>
          <w:bCs/>
        </w:rPr>
      </w:pPr>
      <w:bookmarkStart w:id="55" w:name="_Toc227317651"/>
      <w:r w:rsidRPr="00C51AE9">
        <w:rPr>
          <w:rFonts w:ascii="Times New Roman" w:eastAsiaTheme="majorEastAsia" w:hAnsi="Times New Roman" w:cs="Times New Roman"/>
          <w:b/>
          <w:bCs/>
        </w:rPr>
        <w:lastRenderedPageBreak/>
        <w:t>Përmbushja e detyrimeve nëpërmjet sistemeve kolektive</w:t>
      </w:r>
      <w:bookmarkEnd w:id="55"/>
    </w:p>
    <w:p w14:paraId="472335B8" w14:textId="77777777" w:rsidR="00767CD0" w:rsidRPr="00C51AE9" w:rsidRDefault="00C51AE9" w:rsidP="00F635BF">
      <w:pPr>
        <w:numPr>
          <w:ilvl w:val="0"/>
          <w:numId w:val="165"/>
        </w:numPr>
        <w:spacing w:beforeAutospacing="1" w:after="0" w:line="300" w:lineRule="atLeast"/>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Operatorët ekonomikë që vendosin mallra të ambalazhuara në treg i përmbushin detyrimet për arritjen e objektivave të riciklimit të mbetjeve të ambalazheve nëpërmjet pjesëmarrjes në një sistem kolektiv të organizuar për rimarrjen, grumbullimin dhe trajtimin e mbetjeve të ambalazheve, në përputhje me pikën 3 të nenit 6 të ligjit nr. 74/2025, “Për përgjegjësitë e zgjeruara të subjekteve prodhuese të produkteve që </w:t>
      </w:r>
      <w:proofErr w:type="spellStart"/>
      <w:r w:rsidRPr="00C51AE9">
        <w:rPr>
          <w:rFonts w:ascii="Times New Roman" w:eastAsia="Times New Roman" w:hAnsi="Times New Roman" w:cs="Times New Roman"/>
          <w:kern w:val="0"/>
          <w14:ligatures w14:val="none"/>
        </w:rPr>
        <w:t>gjenerojnë</w:t>
      </w:r>
      <w:proofErr w:type="spellEnd"/>
      <w:r w:rsidRPr="00C51AE9">
        <w:rPr>
          <w:rFonts w:ascii="Times New Roman" w:eastAsia="Times New Roman" w:hAnsi="Times New Roman" w:cs="Times New Roman"/>
          <w:kern w:val="0"/>
          <w14:ligatures w14:val="none"/>
        </w:rPr>
        <w:t xml:space="preserve"> mbetje”.</w:t>
      </w:r>
    </w:p>
    <w:p w14:paraId="2CD0A3A5" w14:textId="77777777" w:rsidR="00767CD0" w:rsidRPr="00C51AE9" w:rsidRDefault="00C51AE9" w:rsidP="00F635BF">
      <w:pPr>
        <w:numPr>
          <w:ilvl w:val="0"/>
          <w:numId w:val="165"/>
        </w:numPr>
        <w:spacing w:after="0" w:line="300" w:lineRule="atLeast"/>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Pjesëmarrja në sistemin kolektiv sipas pikës 1 të këtij neni realizohet nëpërmjet lidhjes së një kontrate me një shoqëri për përgjegjësinë e zgjeruar të subjektit prodhues për mbetjet e ambalazheve, të autorizuar në përputhje me nenin 11 të ligjit nr. 74/2025, “Për përgjegjësitë e zgjeruara të subjekteve prodhuese të produkteve që </w:t>
      </w:r>
      <w:proofErr w:type="spellStart"/>
      <w:r w:rsidRPr="00C51AE9">
        <w:rPr>
          <w:rFonts w:ascii="Times New Roman" w:eastAsia="Times New Roman" w:hAnsi="Times New Roman" w:cs="Times New Roman"/>
          <w:kern w:val="0"/>
          <w14:ligatures w14:val="none"/>
        </w:rPr>
        <w:t>gjenerojnë</w:t>
      </w:r>
      <w:proofErr w:type="spellEnd"/>
      <w:r w:rsidRPr="00C51AE9">
        <w:rPr>
          <w:rFonts w:ascii="Times New Roman" w:eastAsia="Times New Roman" w:hAnsi="Times New Roman" w:cs="Times New Roman"/>
          <w:kern w:val="0"/>
          <w14:ligatures w14:val="none"/>
        </w:rPr>
        <w:t xml:space="preserve"> mbetje”.</w:t>
      </w:r>
    </w:p>
    <w:p w14:paraId="5B22B593" w14:textId="77777777" w:rsidR="00767CD0" w:rsidRPr="00C51AE9" w:rsidRDefault="00C51AE9" w:rsidP="00F635BF">
      <w:pPr>
        <w:numPr>
          <w:ilvl w:val="0"/>
          <w:numId w:val="165"/>
        </w:numPr>
        <w:contextualSpacing/>
        <w:jc w:val="both"/>
        <w:rPr>
          <w:rFonts w:ascii="Times New Roman" w:hAnsi="Times New Roman" w:cs="Times New Roman"/>
        </w:rPr>
      </w:pPr>
      <w:r w:rsidRPr="00C51AE9">
        <w:rPr>
          <w:rFonts w:ascii="Times New Roman" w:hAnsi="Times New Roman" w:cs="Times New Roman"/>
        </w:rPr>
        <w:t>Operatorët ekonomikë që vendosin mallra të ambalazhuara në treg konsiderohen se përmbushin detyrimet e tyre nëpërmjet një sistemi kolektiv për afatin e kontratës sipas pikës 1 të këtij neni dhe vetëm nëse japin informacion mbi sasitë aktuale të ambalazheve të vendosura në treg prej tyre dhe paguajnë shpërblim në përputhje me kushtet e kontratës.</w:t>
      </w:r>
    </w:p>
    <w:p w14:paraId="5D9CB0ED" w14:textId="77777777" w:rsidR="00767CD0" w:rsidRPr="00C51AE9" w:rsidRDefault="00C51AE9" w:rsidP="00F635BF">
      <w:pPr>
        <w:numPr>
          <w:ilvl w:val="0"/>
          <w:numId w:val="165"/>
        </w:numPr>
        <w:contextualSpacing/>
        <w:jc w:val="both"/>
        <w:rPr>
          <w:rFonts w:ascii="Times New Roman" w:hAnsi="Times New Roman" w:cs="Times New Roman"/>
        </w:rPr>
      </w:pPr>
      <w:r w:rsidRPr="00C51AE9">
        <w:rPr>
          <w:rFonts w:ascii="Times New Roman" w:hAnsi="Times New Roman" w:cs="Times New Roman"/>
        </w:rPr>
        <w:t xml:space="preserve">Kontratat sipas pikës 1 të këtij neni duhet të përmbajnë kërkesa për shqyrtim dhe </w:t>
      </w:r>
      <w:proofErr w:type="spellStart"/>
      <w:r w:rsidRPr="00C51AE9">
        <w:rPr>
          <w:rFonts w:ascii="Times New Roman" w:hAnsi="Times New Roman" w:cs="Times New Roman"/>
        </w:rPr>
        <w:t>auditim</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mbi </w:t>
      </w:r>
      <w:r w:rsidRPr="00C51AE9">
        <w:rPr>
          <w:rFonts w:ascii="Times New Roman" w:eastAsia="Times New Roman" w:hAnsi="Times New Roman" w:cs="Times New Roman"/>
          <w:kern w:val="0"/>
          <w14:ligatures w14:val="none"/>
        </w:rPr>
        <w:t>ambalazhimet</w:t>
      </w:r>
      <w:r w:rsidRPr="00C51AE9">
        <w:rPr>
          <w:rFonts w:ascii="Times New Roman" w:hAnsi="Times New Roman" w:cs="Times New Roman"/>
        </w:rPr>
        <w:t xml:space="preserve"> e vendosura në treg, të raportuara nga personat e detyruar të shoqërisë për përgjegjësinë e zgjeruar të subjektit prodhues.</w:t>
      </w:r>
    </w:p>
    <w:p w14:paraId="5F3C5CD9" w14:textId="77777777" w:rsidR="00767CD0" w:rsidRPr="00C51AE9" w:rsidRDefault="00C51AE9" w:rsidP="00F635BF">
      <w:pPr>
        <w:numPr>
          <w:ilvl w:val="0"/>
          <w:numId w:val="165"/>
        </w:numPr>
        <w:contextualSpacing/>
        <w:jc w:val="both"/>
        <w:rPr>
          <w:rFonts w:ascii="Times New Roman" w:hAnsi="Times New Roman" w:cs="Times New Roman"/>
        </w:rPr>
      </w:pPr>
      <w:r w:rsidRPr="00C51AE9">
        <w:rPr>
          <w:rFonts w:ascii="Times New Roman" w:hAnsi="Times New Roman" w:cs="Times New Roman"/>
        </w:rPr>
        <w:t xml:space="preserve">Operatorët ekonomikë e referuar në pikën 1 të këtij neni nuk mund të kenë nënshkruar kontrata me shoqërinë për përgjegjësinë e zgjeruar të subjektit prodhues të ndryshme për të njëjtin lloj </w:t>
      </w:r>
      <w:r w:rsidRPr="00C51AE9">
        <w:rPr>
          <w:rFonts w:ascii="Times New Roman" w:eastAsia="Times New Roman" w:hAnsi="Times New Roman" w:cs="Times New Roman"/>
          <w:kern w:val="0"/>
          <w14:ligatures w14:val="none"/>
        </w:rPr>
        <w:t xml:space="preserve">ambalazhimi </w:t>
      </w:r>
      <w:r w:rsidRPr="00C51AE9">
        <w:rPr>
          <w:rFonts w:ascii="Times New Roman" w:hAnsi="Times New Roman" w:cs="Times New Roman"/>
        </w:rPr>
        <w:t>dhe në të njëjtën kohë.</w:t>
      </w:r>
    </w:p>
    <w:p w14:paraId="29C2C820" w14:textId="77777777" w:rsidR="00767CD0" w:rsidRPr="00C51AE9" w:rsidRDefault="00C51AE9" w:rsidP="00F635BF">
      <w:pPr>
        <w:numPr>
          <w:ilvl w:val="0"/>
          <w:numId w:val="165"/>
        </w:numPr>
        <w:contextualSpacing/>
        <w:jc w:val="both"/>
        <w:rPr>
          <w:rFonts w:ascii="Times New Roman" w:hAnsi="Times New Roman" w:cs="Times New Roman"/>
        </w:rPr>
      </w:pPr>
      <w:r w:rsidRPr="00C51AE9">
        <w:rPr>
          <w:rFonts w:ascii="Times New Roman" w:hAnsi="Times New Roman" w:cs="Times New Roman"/>
        </w:rPr>
        <w:t xml:space="preserve">Kontratat e nënshkruara nga prodhuesit e detyruar dhe shoqërisë për përgjegjësinë e zgjeruar të subjektit prodhues duhet të përmbushin kërkesat e përcaktuara në nenin 8,  të Ligjit nr.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w:t>
      </w:r>
    </w:p>
    <w:p w14:paraId="30843E8E" w14:textId="77777777" w:rsidR="00767CD0" w:rsidRPr="00C51AE9" w:rsidRDefault="00C51AE9" w:rsidP="00F635BF">
      <w:pPr>
        <w:numPr>
          <w:ilvl w:val="0"/>
          <w:numId w:val="165"/>
        </w:numPr>
        <w:contextualSpacing/>
        <w:jc w:val="both"/>
        <w:rPr>
          <w:rFonts w:ascii="Times New Roman" w:hAnsi="Times New Roman" w:cs="Times New Roman"/>
        </w:rPr>
      </w:pPr>
      <w:r w:rsidRPr="00C51AE9">
        <w:rPr>
          <w:rFonts w:ascii="Times New Roman" w:hAnsi="Times New Roman" w:cs="Times New Roman"/>
        </w:rPr>
        <w:t>Për përmbushjen e detyrimeve të saj për grumbullimin, riciklimin dhe rikuperimin e mbetjeve të ambalazheve, Shoqëritë e Përgjegjësisë së Zgjeruar të Subjekteve Prodhuese përcakton një shpërblim, i cili do t’i paguhet atij nga personat që kanë lidhur një kontratë me të dhe që vendosin mallra të ambalazhuara në treg.</w:t>
      </w:r>
      <w:bookmarkStart w:id="56" w:name="_Toc227317652"/>
    </w:p>
    <w:p w14:paraId="5C6099A3" w14:textId="77777777" w:rsidR="00767CD0" w:rsidRPr="00C51AE9" w:rsidRDefault="00767CD0">
      <w:pPr>
        <w:jc w:val="both"/>
        <w:rPr>
          <w:rFonts w:ascii="Times New Roman" w:hAnsi="Times New Roman" w:cs="Times New Roman"/>
        </w:rPr>
      </w:pPr>
    </w:p>
    <w:p w14:paraId="00F2EA12" w14:textId="77777777" w:rsidR="00767CD0" w:rsidRPr="00C51AE9" w:rsidRDefault="00C51AE9">
      <w:pPr>
        <w:keepNext/>
        <w:keepLines/>
        <w:spacing w:before="160" w:after="80"/>
        <w:jc w:val="center"/>
        <w:outlineLvl w:val="1"/>
        <w:rPr>
          <w:rFonts w:ascii="Times New Roman" w:eastAsiaTheme="majorEastAsia" w:hAnsi="Times New Roman" w:cs="Times New Roman"/>
        </w:rPr>
      </w:pPr>
      <w:r w:rsidRPr="00C51AE9">
        <w:rPr>
          <w:rFonts w:ascii="Times New Roman" w:eastAsiaTheme="majorEastAsia" w:hAnsi="Times New Roman" w:cs="Times New Roman"/>
        </w:rPr>
        <w:t>Neni 50</w:t>
      </w:r>
    </w:p>
    <w:p w14:paraId="020A5E94" w14:textId="77777777" w:rsidR="00767CD0" w:rsidRPr="00C51AE9" w:rsidRDefault="00C51AE9">
      <w:pPr>
        <w:keepNext/>
        <w:keepLines/>
        <w:spacing w:before="160" w:after="80"/>
        <w:jc w:val="center"/>
        <w:outlineLvl w:val="1"/>
        <w:rPr>
          <w:rFonts w:ascii="Times New Roman" w:eastAsiaTheme="majorEastAsia" w:hAnsi="Times New Roman" w:cs="Times New Roman"/>
          <w:b/>
          <w:bCs/>
        </w:rPr>
      </w:pPr>
      <w:r w:rsidRPr="00C51AE9">
        <w:rPr>
          <w:rFonts w:ascii="Times New Roman" w:eastAsiaTheme="majorEastAsia" w:hAnsi="Times New Roman" w:cs="Times New Roman"/>
          <w:b/>
          <w:bCs/>
        </w:rPr>
        <w:t>Shoqëritë e përgjegjësisë së  zgjeruar të prodhuesit</w:t>
      </w:r>
      <w:bookmarkEnd w:id="56"/>
    </w:p>
    <w:p w14:paraId="62DB036B" w14:textId="77777777" w:rsidR="00767CD0" w:rsidRPr="00C51AE9" w:rsidRDefault="00767CD0">
      <w:pPr>
        <w:keepNext/>
        <w:keepLines/>
        <w:spacing w:before="160" w:after="80"/>
        <w:jc w:val="center"/>
        <w:outlineLvl w:val="1"/>
        <w:rPr>
          <w:rFonts w:ascii="Times New Roman" w:eastAsiaTheme="majorEastAsia" w:hAnsi="Times New Roman" w:cs="Times New Roman"/>
          <w:b/>
          <w:bCs/>
        </w:rPr>
      </w:pPr>
    </w:p>
    <w:p w14:paraId="071F194B" w14:textId="77777777" w:rsidR="00767CD0" w:rsidRPr="00C51AE9" w:rsidRDefault="00C51AE9" w:rsidP="00F635BF">
      <w:pPr>
        <w:numPr>
          <w:ilvl w:val="0"/>
          <w:numId w:val="152"/>
        </w:numPr>
        <w:contextualSpacing/>
        <w:jc w:val="both"/>
        <w:rPr>
          <w:rFonts w:ascii="Times New Roman" w:hAnsi="Times New Roman" w:cs="Times New Roman"/>
        </w:rPr>
      </w:pPr>
      <w:r w:rsidRPr="00C51AE9">
        <w:rPr>
          <w:rFonts w:ascii="Times New Roman" w:hAnsi="Times New Roman" w:cs="Times New Roman"/>
        </w:rPr>
        <w:t>Shoqëritë e përgjegjësisë së zgjeruar të subjektit prodhues, të autorizuara për të përmbushur detyrimet e përgjegjësisë së zgjeruar të prodhuesit në emër të prodhuesve, të gjitha së bashku mbulojnë të gjithë territorin e Shqipërisë sa i përket veprimtarive në përputhje me pikën 3 të nenit 52 dhe nenet 53 dhe 57 të këtij vendimi. Agjencia Kombëtare e Mjedisit mbikëqyr kryerjen e detyrimeve të përgjegjësisë së zgjeruar të prodhuesit nga shoqëritë e përgjegjësisë së zgjeruar të subjekteve prodhuese në mënyrë të koordinuar.</w:t>
      </w:r>
    </w:p>
    <w:p w14:paraId="4F1A0F50" w14:textId="77777777" w:rsidR="00767CD0" w:rsidRPr="00C51AE9" w:rsidRDefault="00C51AE9" w:rsidP="00F635BF">
      <w:pPr>
        <w:numPr>
          <w:ilvl w:val="0"/>
          <w:numId w:val="152"/>
        </w:numPr>
        <w:contextualSpacing/>
        <w:jc w:val="both"/>
        <w:rPr>
          <w:rFonts w:ascii="Times New Roman" w:hAnsi="Times New Roman" w:cs="Times New Roman"/>
        </w:rPr>
      </w:pPr>
      <w:r w:rsidRPr="00C51AE9">
        <w:rPr>
          <w:rFonts w:ascii="Times New Roman" w:hAnsi="Times New Roman" w:cs="Times New Roman"/>
        </w:rPr>
        <w:t xml:space="preserve">Shoqëritë e përgjegjësisë së zgjeruar të subjekteve prodhuese duhet të sigurojnë </w:t>
      </w:r>
      <w:proofErr w:type="spellStart"/>
      <w:r w:rsidRPr="00C51AE9">
        <w:rPr>
          <w:rFonts w:ascii="Times New Roman" w:hAnsi="Times New Roman" w:cs="Times New Roman"/>
        </w:rPr>
        <w:t>konfidencialitetin</w:t>
      </w:r>
      <w:proofErr w:type="spellEnd"/>
      <w:r w:rsidRPr="00C51AE9">
        <w:rPr>
          <w:rFonts w:ascii="Times New Roman" w:hAnsi="Times New Roman" w:cs="Times New Roman"/>
        </w:rPr>
        <w:t xml:space="preserve"> e të dhënave në posedim të tyre për sa i përket informacionit </w:t>
      </w:r>
      <w:r w:rsidRPr="00C51AE9">
        <w:rPr>
          <w:rFonts w:ascii="Times New Roman" w:hAnsi="Times New Roman" w:cs="Times New Roman"/>
        </w:rPr>
        <w:lastRenderedPageBreak/>
        <w:t>pronësor ose informacionit që i atribuohet drejtpërdrejt prodhuesve individualë ose përfaqësuesve të tyre të autorizuar.</w:t>
      </w:r>
    </w:p>
    <w:p w14:paraId="35CA4B53" w14:textId="77777777" w:rsidR="00767CD0" w:rsidRPr="00C51AE9" w:rsidRDefault="00C51AE9" w:rsidP="00F635BF">
      <w:pPr>
        <w:numPr>
          <w:ilvl w:val="0"/>
          <w:numId w:val="152"/>
        </w:numPr>
        <w:contextualSpacing/>
        <w:jc w:val="both"/>
        <w:rPr>
          <w:rFonts w:ascii="Times New Roman" w:hAnsi="Times New Roman" w:cs="Times New Roman"/>
        </w:rPr>
      </w:pPr>
      <w:r w:rsidRPr="00C51AE9">
        <w:rPr>
          <w:rFonts w:ascii="Times New Roman" w:hAnsi="Times New Roman" w:cs="Times New Roman"/>
        </w:rPr>
        <w:t xml:space="preserve">Përveç informacionit të përmendur në nenin 7 të Ligjit nr.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shoqëritë e përgjegjësisë së zgjeruar të subjekteve prodhuese publikojnë në faqet e tyre të internetit, të paktën një herë në vit, informacion mbi sasinë e ambalazhit, përfshirë ambalazhin e produkteve të ambalazhuara, të vënë në dispozicion për herë të parë në territorin e Republikës së Shqipërisë, ose të heqjes së ambalazhit nga një prodhues pa qenë përdorues fundor, dhe mbi nivelet e materialeve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xml:space="preserve"> dhe të ricikluara në lidhje me sasinë e ambalazhit për të cilin ato kanë qenë duke përmbushur detyrimet e përgjegjësisë së prodhuesit. </w:t>
      </w:r>
    </w:p>
    <w:p w14:paraId="2CB89222" w14:textId="77777777" w:rsidR="00767CD0" w:rsidRPr="00C51AE9" w:rsidRDefault="00C51AE9" w:rsidP="00F635BF">
      <w:pPr>
        <w:numPr>
          <w:ilvl w:val="0"/>
          <w:numId w:val="152"/>
        </w:numPr>
        <w:contextualSpacing/>
        <w:jc w:val="both"/>
        <w:rPr>
          <w:rFonts w:ascii="Times New Roman" w:hAnsi="Times New Roman" w:cs="Times New Roman"/>
        </w:rPr>
      </w:pPr>
      <w:r w:rsidRPr="00C51AE9">
        <w:rPr>
          <w:rFonts w:ascii="Times New Roman" w:hAnsi="Times New Roman" w:cs="Times New Roman"/>
        </w:rPr>
        <w:t xml:space="preserve">Agjencia Kombëtare e Mjedisit publikon në faqen e saj të internetit, të paktën një herë në vit, informacion mbi nivelet e materialeve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xml:space="preserve"> dhe të ricikluara në lidhje me sasinë e mbetjeve të ambalazhimit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në territorin Republikës së  Shqipërisë.</w:t>
      </w:r>
    </w:p>
    <w:p w14:paraId="3FCAFA2B" w14:textId="77777777" w:rsidR="00767CD0" w:rsidRPr="00C51AE9" w:rsidRDefault="00C51AE9" w:rsidP="00F635BF">
      <w:pPr>
        <w:numPr>
          <w:ilvl w:val="0"/>
          <w:numId w:val="152"/>
        </w:numPr>
        <w:contextualSpacing/>
        <w:jc w:val="both"/>
        <w:rPr>
          <w:rFonts w:ascii="Times New Roman" w:hAnsi="Times New Roman" w:cs="Times New Roman"/>
        </w:rPr>
      </w:pPr>
      <w:r w:rsidRPr="00C51AE9">
        <w:rPr>
          <w:rFonts w:ascii="Times New Roman" w:hAnsi="Times New Roman" w:cs="Times New Roman"/>
        </w:rPr>
        <w:t xml:space="preserve">Shoqëritë e përgjegjësisë së zgjeruar të subjekteve prodhuese duhet të sigurojnë trajtim të barabartë të prodhuesve pavarësisht nga origjina ose madhësia e tyre, pa vendosur një barrë </w:t>
      </w:r>
      <w:proofErr w:type="spellStart"/>
      <w:r w:rsidRPr="00C51AE9">
        <w:rPr>
          <w:rFonts w:ascii="Times New Roman" w:hAnsi="Times New Roman" w:cs="Times New Roman"/>
        </w:rPr>
        <w:t>joproporcionale</w:t>
      </w:r>
      <w:proofErr w:type="spellEnd"/>
      <w:r w:rsidRPr="00C51AE9">
        <w:rPr>
          <w:rFonts w:ascii="Times New Roman" w:hAnsi="Times New Roman" w:cs="Times New Roman"/>
        </w:rPr>
        <w:t xml:space="preserve"> mbi prodhuesit e sasive të vogla të ambalazheve duke përfshirë ambalazhet e produkteve të ambalazhuara, në ndërmarrjet e vogla dhe të mesme.</w:t>
      </w:r>
    </w:p>
    <w:p w14:paraId="68EC18F6" w14:textId="77777777" w:rsidR="00767CD0" w:rsidRPr="00C51AE9" w:rsidRDefault="00767CD0">
      <w:pPr>
        <w:jc w:val="both"/>
        <w:rPr>
          <w:rFonts w:ascii="Times New Roman" w:hAnsi="Times New Roman" w:cs="Times New Roman"/>
          <w:i/>
          <w:w w:val="85"/>
        </w:rPr>
      </w:pPr>
      <w:bookmarkStart w:id="57" w:name="_bookmark145"/>
      <w:bookmarkEnd w:id="57"/>
    </w:p>
    <w:p w14:paraId="4486914C" w14:textId="77777777" w:rsidR="00767CD0" w:rsidRPr="00C51AE9" w:rsidRDefault="00C51AE9">
      <w:pPr>
        <w:keepNext/>
        <w:keepLines/>
        <w:spacing w:before="160" w:after="80"/>
        <w:jc w:val="center"/>
        <w:outlineLvl w:val="1"/>
        <w:rPr>
          <w:rFonts w:ascii="Times New Roman" w:eastAsiaTheme="majorEastAsia" w:hAnsi="Times New Roman" w:cs="Times New Roman"/>
        </w:rPr>
      </w:pPr>
      <w:r w:rsidRPr="00C51AE9">
        <w:rPr>
          <w:rFonts w:ascii="Times New Roman" w:eastAsiaTheme="majorEastAsia" w:hAnsi="Times New Roman" w:cs="Times New Roman"/>
        </w:rPr>
        <w:t>Neni 51</w:t>
      </w:r>
    </w:p>
    <w:p w14:paraId="7980FB14" w14:textId="77777777" w:rsidR="00767CD0" w:rsidRPr="00C51AE9" w:rsidRDefault="00C51AE9">
      <w:pPr>
        <w:jc w:val="center"/>
        <w:rPr>
          <w:rFonts w:ascii="Times New Roman" w:hAnsi="Times New Roman" w:cs="Times New Roman"/>
          <w:b/>
          <w:bCs/>
        </w:rPr>
      </w:pPr>
      <w:bookmarkStart w:id="58" w:name="_Toc227317653"/>
      <w:r w:rsidRPr="00C51AE9">
        <w:rPr>
          <w:rFonts w:ascii="Times New Roman" w:hAnsi="Times New Roman" w:cs="Times New Roman"/>
          <w:b/>
          <w:bCs/>
        </w:rPr>
        <w:t>Regjistrimi mbi përmbushjen e përgjegjësisë së zgjeruar të prodhuesit</w:t>
      </w:r>
      <w:bookmarkEnd w:id="58"/>
    </w:p>
    <w:p w14:paraId="642D32BD" w14:textId="77777777" w:rsidR="00767CD0" w:rsidRPr="00C51AE9" w:rsidRDefault="00C51AE9" w:rsidP="00F635BF">
      <w:pPr>
        <w:numPr>
          <w:ilvl w:val="0"/>
          <w:numId w:val="45"/>
        </w:numPr>
        <w:ind w:left="360" w:hanging="270"/>
        <w:contextualSpacing/>
        <w:jc w:val="both"/>
        <w:rPr>
          <w:rFonts w:ascii="Times New Roman" w:hAnsi="Times New Roman" w:cs="Times New Roman"/>
        </w:rPr>
      </w:pPr>
      <w:r w:rsidRPr="00C51AE9">
        <w:rPr>
          <w:rFonts w:ascii="Times New Roman" w:hAnsi="Times New Roman" w:cs="Times New Roman"/>
        </w:rPr>
        <w:t xml:space="preserve">Prodhuesi, në rastin e përmbushjes individuale të detyrimeve të përgjegjësisë së zgjeruar të prodhuesit, ose shoqërisë së përgjegjësisë së zgjeruar të subjektit prodhues të ngarkuar me kryerjen e këtyre detyrimeve, në rastin e përmbushjes kolektive të detyrimeve të përgjegjësisë së zgjeruar të prodhuesit,  aplikojnë për autorizim sipas parashikimeve të nenit 11, të Ligjit Nr. 74/2025 “Për përgjegjësitë e zgjeruara të prodhuesve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dhe akteve te dale prej tij.</w:t>
      </w:r>
    </w:p>
    <w:p w14:paraId="35005BE5" w14:textId="77777777" w:rsidR="00767CD0" w:rsidRPr="00C51AE9" w:rsidRDefault="00767CD0">
      <w:pPr>
        <w:ind w:left="360"/>
        <w:contextualSpacing/>
        <w:jc w:val="both"/>
        <w:rPr>
          <w:rFonts w:ascii="Times New Roman" w:hAnsi="Times New Roman" w:cs="Times New Roman"/>
        </w:rPr>
      </w:pPr>
    </w:p>
    <w:p w14:paraId="69D234DC" w14:textId="77777777" w:rsidR="00767CD0" w:rsidRPr="00C51AE9" w:rsidRDefault="00767CD0">
      <w:pPr>
        <w:jc w:val="both"/>
        <w:rPr>
          <w:rFonts w:ascii="Times New Roman" w:hAnsi="Times New Roman" w:cs="Times New Roman"/>
          <w:w w:val="90"/>
        </w:rPr>
      </w:pPr>
    </w:p>
    <w:p w14:paraId="4042BF80" w14:textId="77777777" w:rsidR="00767CD0" w:rsidRPr="00C51AE9" w:rsidRDefault="00C51AE9">
      <w:pPr>
        <w:keepNext/>
        <w:keepLines/>
        <w:spacing w:before="360" w:after="80"/>
        <w:jc w:val="center"/>
        <w:outlineLvl w:val="0"/>
        <w:rPr>
          <w:rFonts w:ascii="Times New Roman" w:eastAsiaTheme="majorEastAsia" w:hAnsi="Times New Roman" w:cs="Times New Roman"/>
          <w:b/>
        </w:rPr>
      </w:pPr>
      <w:r w:rsidRPr="00C51AE9">
        <w:rPr>
          <w:rFonts w:ascii="Times New Roman" w:eastAsiaTheme="majorEastAsia" w:hAnsi="Times New Roman" w:cs="Times New Roman"/>
          <w:b/>
        </w:rPr>
        <w:t xml:space="preserve">SEKSIONI 4 </w:t>
      </w:r>
    </w:p>
    <w:p w14:paraId="5BB97AB3" w14:textId="77777777" w:rsidR="00767CD0" w:rsidRPr="00C51AE9" w:rsidRDefault="00C51AE9">
      <w:pPr>
        <w:keepNext/>
        <w:keepLines/>
        <w:spacing w:before="360" w:after="80"/>
        <w:jc w:val="center"/>
        <w:outlineLvl w:val="0"/>
        <w:rPr>
          <w:rFonts w:ascii="Times New Roman" w:eastAsiaTheme="majorEastAsia" w:hAnsi="Times New Roman" w:cs="Times New Roman"/>
          <w:b/>
        </w:rPr>
      </w:pPr>
      <w:bookmarkStart w:id="59" w:name="_Toc227317654"/>
      <w:r w:rsidRPr="00C51AE9">
        <w:rPr>
          <w:rFonts w:ascii="Times New Roman" w:eastAsiaTheme="majorEastAsia" w:hAnsi="Times New Roman" w:cs="Times New Roman"/>
          <w:b/>
        </w:rPr>
        <w:t>KTHIMI, MBLEDHJA, DEPOZITIMI DHE SISTEMET E KTHIMI</w:t>
      </w:r>
      <w:bookmarkEnd w:id="59"/>
      <w:r w:rsidRPr="00C51AE9">
        <w:rPr>
          <w:rFonts w:ascii="Times New Roman" w:eastAsiaTheme="majorEastAsia" w:hAnsi="Times New Roman" w:cs="Times New Roman"/>
          <w:b/>
        </w:rPr>
        <w:t>T</w:t>
      </w:r>
    </w:p>
    <w:p w14:paraId="75A4FFC3"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52</w:t>
      </w:r>
    </w:p>
    <w:p w14:paraId="55F4DAC4"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0" w:name="_Toc227317655"/>
      <w:r w:rsidRPr="00C51AE9">
        <w:rPr>
          <w:rFonts w:ascii="Times New Roman" w:eastAsiaTheme="majorEastAsia" w:hAnsi="Times New Roman" w:cs="Times New Roman"/>
          <w:b/>
        </w:rPr>
        <w:t>Sistemet e kthimit dhe grumbullimit</w:t>
      </w:r>
      <w:bookmarkEnd w:id="60"/>
    </w:p>
    <w:p w14:paraId="2D798605" w14:textId="77777777" w:rsidR="00767CD0" w:rsidRPr="00C51AE9" w:rsidRDefault="00C51AE9">
      <w:pPr>
        <w:numPr>
          <w:ilvl w:val="0"/>
          <w:numId w:val="18"/>
        </w:numPr>
        <w:contextualSpacing/>
        <w:jc w:val="both"/>
        <w:rPr>
          <w:rFonts w:ascii="Times New Roman" w:hAnsi="Times New Roman" w:cs="Times New Roman"/>
        </w:rPr>
      </w:pPr>
      <w:r w:rsidRPr="00C51AE9">
        <w:rPr>
          <w:rFonts w:ascii="Times New Roman" w:hAnsi="Times New Roman" w:cs="Times New Roman"/>
        </w:rPr>
        <w:t xml:space="preserve">Prodhuesit marrin masa për ngritjen e sistemeve dhe infrastrukturës për kthimin dhe grumbullimin e diferencuar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gjitha mbetjeve të </w:t>
      </w:r>
      <w:r w:rsidRPr="00C51AE9">
        <w:rPr>
          <w:rFonts w:ascii="Times New Roman" w:eastAsia="Times New Roman" w:hAnsi="Times New Roman" w:cs="Times New Roman"/>
          <w:kern w:val="0"/>
          <w14:ligatures w14:val="none"/>
        </w:rPr>
        <w:t>ambalazhimit</w:t>
      </w:r>
      <w:r w:rsidRPr="00C51AE9">
        <w:rPr>
          <w:rFonts w:ascii="Times New Roman" w:hAnsi="Times New Roman" w:cs="Times New Roman"/>
        </w:rPr>
        <w:t xml:space="preserve"> nga përdoruesit fundorë, me qëllim që të sigurohet trajtimi i tyre në përputhje me ligjin nr.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dhe të lehtësohet përgatitja e tyre për ripërdorim dhe riciklim me cilësi të lartë.</w:t>
      </w:r>
    </w:p>
    <w:p w14:paraId="2A17281D" w14:textId="77777777" w:rsidR="00767CD0" w:rsidRPr="00C51AE9" w:rsidRDefault="00C51AE9">
      <w:pPr>
        <w:numPr>
          <w:ilvl w:val="0"/>
          <w:numId w:val="18"/>
        </w:numPr>
        <w:spacing w:after="0"/>
        <w:contextualSpacing/>
        <w:jc w:val="both"/>
        <w:rPr>
          <w:rFonts w:ascii="Times New Roman" w:hAnsi="Times New Roman" w:cs="Times New Roman"/>
        </w:rPr>
      </w:pPr>
      <w:r w:rsidRPr="00C51AE9">
        <w:rPr>
          <w:rFonts w:ascii="Times New Roman" w:hAnsi="Times New Roman" w:cs="Times New Roman"/>
        </w:rPr>
        <w:lastRenderedPageBreak/>
        <w:t>Ambalazhi që përputhet me kriteret e projektimit për riciklim, të përcaktuara në përputhje me këtë vendim, mblidhet për riciklim.</w:t>
      </w:r>
    </w:p>
    <w:p w14:paraId="556AA026" w14:textId="77777777" w:rsidR="00767CD0" w:rsidRPr="00C51AE9" w:rsidRDefault="00767CD0">
      <w:pPr>
        <w:spacing w:after="0"/>
        <w:ind w:left="720"/>
        <w:contextualSpacing/>
        <w:jc w:val="both"/>
        <w:rPr>
          <w:rFonts w:ascii="Times New Roman" w:hAnsi="Times New Roman" w:cs="Times New Roman"/>
        </w:rPr>
      </w:pPr>
    </w:p>
    <w:p w14:paraId="768EB3CF" w14:textId="77777777" w:rsidR="00767CD0" w:rsidRPr="00C51AE9" w:rsidRDefault="00C51AE9">
      <w:pPr>
        <w:numPr>
          <w:ilvl w:val="0"/>
          <w:numId w:val="18"/>
        </w:numPr>
        <w:spacing w:after="0"/>
        <w:contextualSpacing/>
        <w:jc w:val="both"/>
        <w:rPr>
          <w:rFonts w:ascii="Times New Roman" w:hAnsi="Times New Roman" w:cs="Times New Roman"/>
        </w:rPr>
      </w:pPr>
      <w:r w:rsidRPr="00C51AE9">
        <w:rPr>
          <w:rFonts w:ascii="Times New Roman" w:hAnsi="Times New Roman" w:cs="Times New Roman"/>
        </w:rPr>
        <w:t xml:space="preserve"> Ndalohet djegia dhe depozitimi në </w:t>
      </w:r>
      <w:proofErr w:type="spellStart"/>
      <w:r w:rsidRPr="00C51AE9">
        <w:rPr>
          <w:rFonts w:ascii="Times New Roman" w:hAnsi="Times New Roman" w:cs="Times New Roman"/>
        </w:rPr>
        <w:t>landfill</w:t>
      </w:r>
      <w:proofErr w:type="spellEnd"/>
      <w:r w:rsidRPr="00C51AE9">
        <w:rPr>
          <w:rFonts w:ascii="Times New Roman" w:hAnsi="Times New Roman" w:cs="Times New Roman"/>
        </w:rPr>
        <w:t xml:space="preserve"> i ambalazheve të përmendura në pikën 2 të këtij neni, me përjashtim të mbetjeve që rezultojnë nga operacionet të </w:t>
      </w:r>
      <w:proofErr w:type="spellStart"/>
      <w:r w:rsidRPr="00C51AE9">
        <w:rPr>
          <w:rFonts w:ascii="Times New Roman" w:hAnsi="Times New Roman" w:cs="Times New Roman"/>
        </w:rPr>
        <w:t>mëjshme</w:t>
      </w:r>
      <w:proofErr w:type="spellEnd"/>
      <w:r w:rsidRPr="00C51AE9">
        <w:rPr>
          <w:rFonts w:ascii="Times New Roman" w:hAnsi="Times New Roman" w:cs="Times New Roman"/>
        </w:rPr>
        <w:t xml:space="preserve">  të trajtimit të mbetjeve të ambalazhit të grumbulluara në mënyrën e diferencuar, për të cilat riciklimi nuk është i realizueshëm ose nuk jep rezultatin më të mirë mjedisor.</w:t>
      </w:r>
    </w:p>
    <w:p w14:paraId="5B94FC84" w14:textId="77777777" w:rsidR="00767CD0" w:rsidRPr="00C51AE9" w:rsidRDefault="00C51AE9">
      <w:pPr>
        <w:numPr>
          <w:ilvl w:val="0"/>
          <w:numId w:val="18"/>
        </w:numPr>
        <w:spacing w:after="0"/>
        <w:jc w:val="both"/>
        <w:rPr>
          <w:rFonts w:ascii="Times New Roman" w:eastAsia="Times New Roman" w:hAnsi="Times New Roman" w:cs="Times New Roman"/>
          <w:kern w:val="0"/>
          <w14:ligatures w14:val="none"/>
        </w:rPr>
      </w:pPr>
      <w:bookmarkStart w:id="61" w:name="_Hlk232079415"/>
      <w:r w:rsidRPr="00C51AE9">
        <w:rPr>
          <w:rFonts w:ascii="Times New Roman" w:eastAsia="Times New Roman" w:hAnsi="Times New Roman" w:cs="Times New Roman"/>
          <w:kern w:val="0"/>
          <w14:ligatures w14:val="none"/>
        </w:rPr>
        <w:t>Shoqëritë e përgjegjësisë së zgjeruar të subjektit prodhuese</w:t>
      </w:r>
      <w:bookmarkEnd w:id="61"/>
      <w:r w:rsidRPr="00C51AE9">
        <w:rPr>
          <w:rFonts w:ascii="Times New Roman" w:eastAsia="Times New Roman" w:hAnsi="Times New Roman" w:cs="Times New Roman"/>
          <w:kern w:val="0"/>
          <w14:ligatures w14:val="none"/>
        </w:rPr>
        <w:t xml:space="preserve"> </w:t>
      </w:r>
      <w:r w:rsidRPr="00C51AE9">
        <w:rPr>
          <w:rFonts w:ascii="Times New Roman" w:eastAsiaTheme="majorEastAsia" w:hAnsi="Times New Roman" w:cs="Times New Roman"/>
          <w:kern w:val="0"/>
          <w14:ligatures w14:val="none"/>
        </w:rPr>
        <w:t xml:space="preserve">sigurojnë që sistemet dhe infrastrukturat e grumbullimit dhe të ndarjes gjithëpërfshirëse janë të ngritura, me qëllim lehtësimin e riciklimit me cilësi të lartë dhe garantimin e </w:t>
      </w:r>
      <w:proofErr w:type="spellStart"/>
      <w:r w:rsidRPr="00C51AE9">
        <w:rPr>
          <w:rFonts w:ascii="Times New Roman" w:eastAsiaTheme="majorEastAsia" w:hAnsi="Times New Roman" w:cs="Times New Roman"/>
          <w:kern w:val="0"/>
          <w14:ligatures w14:val="none"/>
        </w:rPr>
        <w:t>disponueshmërisë</w:t>
      </w:r>
      <w:proofErr w:type="spellEnd"/>
      <w:r w:rsidRPr="00C51AE9">
        <w:rPr>
          <w:rFonts w:ascii="Times New Roman" w:eastAsiaTheme="majorEastAsia" w:hAnsi="Times New Roman" w:cs="Times New Roman"/>
          <w:kern w:val="0"/>
          <w14:ligatures w14:val="none"/>
        </w:rPr>
        <w:t xml:space="preserve"> së lëndës së parë plastike. Këto sisteme dhe infrastruktura ofrojnë </w:t>
      </w:r>
      <w:proofErr w:type="spellStart"/>
      <w:r w:rsidRPr="00C51AE9">
        <w:rPr>
          <w:rFonts w:ascii="Times New Roman" w:eastAsiaTheme="majorEastAsia" w:hAnsi="Times New Roman" w:cs="Times New Roman"/>
          <w:kern w:val="0"/>
          <w14:ligatures w14:val="none"/>
        </w:rPr>
        <w:t>akses</w:t>
      </w:r>
      <w:proofErr w:type="spellEnd"/>
      <w:r w:rsidRPr="00C51AE9">
        <w:rPr>
          <w:rFonts w:ascii="Times New Roman" w:eastAsiaTheme="majorEastAsia" w:hAnsi="Times New Roman" w:cs="Times New Roman"/>
          <w:kern w:val="0"/>
          <w14:ligatures w14:val="none"/>
        </w:rPr>
        <w:t xml:space="preserve"> </w:t>
      </w:r>
      <w:proofErr w:type="spellStart"/>
      <w:r w:rsidRPr="00C51AE9">
        <w:rPr>
          <w:rFonts w:ascii="Times New Roman" w:eastAsiaTheme="majorEastAsia" w:hAnsi="Times New Roman" w:cs="Times New Roman"/>
          <w:kern w:val="0"/>
          <w14:ligatures w14:val="none"/>
        </w:rPr>
        <w:t>prioritar</w:t>
      </w:r>
      <w:proofErr w:type="spellEnd"/>
      <w:r w:rsidRPr="00C51AE9">
        <w:rPr>
          <w:rFonts w:ascii="Times New Roman" w:eastAsiaTheme="majorEastAsia" w:hAnsi="Times New Roman" w:cs="Times New Roman"/>
          <w:kern w:val="0"/>
          <w14:ligatures w14:val="none"/>
        </w:rPr>
        <w:t xml:space="preserve"> në materialet e ricikluara, për përdorime ku cilësia e veçantë e materialit ruhet ose rikuperohet në mënyrë që ai të riciklohet më tej ose të përdoret për qëllime të ngjashme, me humbje minimale të sasisë, cilësisë ose funksionit.</w:t>
      </w:r>
    </w:p>
    <w:p w14:paraId="7DA83894" w14:textId="77777777" w:rsidR="00767CD0" w:rsidRPr="00C51AE9" w:rsidRDefault="00C51AE9">
      <w:pPr>
        <w:numPr>
          <w:ilvl w:val="0"/>
          <w:numId w:val="18"/>
        </w:numPr>
        <w:contextualSpacing/>
        <w:jc w:val="both"/>
        <w:rPr>
          <w:rFonts w:ascii="Times New Roman" w:hAnsi="Times New Roman" w:cs="Times New Roman"/>
        </w:rPr>
      </w:pPr>
      <w:r w:rsidRPr="00C51AE9">
        <w:rPr>
          <w:rFonts w:ascii="Times New Roman" w:hAnsi="Times New Roman" w:cs="Times New Roman"/>
        </w:rPr>
        <w:t>Sistemet dhe infrastrukturat e përmendura në pikën 1 të këtij neni duhet të:</w:t>
      </w:r>
    </w:p>
    <w:p w14:paraId="398F83CC" w14:textId="77777777" w:rsidR="00767CD0" w:rsidRPr="00C51AE9" w:rsidRDefault="00C51AE9" w:rsidP="00F635BF">
      <w:pPr>
        <w:numPr>
          <w:ilvl w:val="0"/>
          <w:numId w:val="55"/>
        </w:numPr>
        <w:contextualSpacing/>
        <w:jc w:val="both"/>
        <w:rPr>
          <w:rFonts w:ascii="Times New Roman" w:hAnsi="Times New Roman" w:cs="Times New Roman"/>
        </w:rPr>
      </w:pPr>
      <w:r w:rsidRPr="00C51AE9">
        <w:rPr>
          <w:rFonts w:ascii="Times New Roman" w:hAnsi="Times New Roman" w:cs="Times New Roman"/>
        </w:rPr>
        <w:t>të jenë të hapura ndaj pjesëmarrjes së operatorëve ekonomikë të sektorëve përkatës, autoriteteve publike kompetente dhe palëve të treta që kryejnë menaxhimin e mbetjeve në emër të tyre;</w:t>
      </w:r>
    </w:p>
    <w:p w14:paraId="51BFF0AA" w14:textId="77777777" w:rsidR="00767CD0" w:rsidRPr="00C51AE9" w:rsidRDefault="00C51AE9" w:rsidP="00F635BF">
      <w:pPr>
        <w:numPr>
          <w:ilvl w:val="0"/>
          <w:numId w:val="55"/>
        </w:numPr>
        <w:contextualSpacing/>
        <w:jc w:val="both"/>
        <w:rPr>
          <w:rFonts w:ascii="Times New Roman" w:hAnsi="Times New Roman" w:cs="Times New Roman"/>
        </w:rPr>
      </w:pPr>
      <w:r w:rsidRPr="00C51AE9">
        <w:rPr>
          <w:rFonts w:ascii="Times New Roman" w:hAnsi="Times New Roman" w:cs="Times New Roman"/>
        </w:rPr>
        <w:t xml:space="preserve">të mbulojnë të gjithë territorin e Republikës së Shqipërisë dhe të gjitha mbetjet e ambalazheve nga të gjitha llojet e ambalazheve e veprimtarive, duke marrë parasysh madhësinë e popullsisë, vëllimin e pritshëm, përbërjen e mbetjeve të ambalazheve, si dhe </w:t>
      </w:r>
      <w:proofErr w:type="spellStart"/>
      <w:r w:rsidRPr="00C51AE9">
        <w:rPr>
          <w:rFonts w:ascii="Times New Roman" w:hAnsi="Times New Roman" w:cs="Times New Roman"/>
        </w:rPr>
        <w:t>aksesueshmërinë</w:t>
      </w:r>
      <w:proofErr w:type="spellEnd"/>
      <w:r w:rsidRPr="00C51AE9">
        <w:rPr>
          <w:rFonts w:ascii="Times New Roman" w:hAnsi="Times New Roman" w:cs="Times New Roman"/>
        </w:rPr>
        <w:t xml:space="preserve"> dhe afërsinë me përdoruesit fundorë;</w:t>
      </w:r>
    </w:p>
    <w:p w14:paraId="4B809581" w14:textId="77777777" w:rsidR="00767CD0" w:rsidRPr="00C51AE9" w:rsidRDefault="00C51AE9" w:rsidP="00F635BF">
      <w:pPr>
        <w:numPr>
          <w:ilvl w:val="0"/>
          <w:numId w:val="55"/>
        </w:numPr>
        <w:contextualSpacing/>
        <w:jc w:val="both"/>
        <w:rPr>
          <w:rFonts w:ascii="Times New Roman" w:hAnsi="Times New Roman" w:cs="Times New Roman"/>
        </w:rPr>
      </w:pPr>
      <w:r w:rsidRPr="00C51AE9">
        <w:rPr>
          <w:rFonts w:ascii="Times New Roman" w:hAnsi="Times New Roman" w:cs="Times New Roman"/>
        </w:rPr>
        <w:t>të përfshijnë grumbullimin e veçuar në hapësirat publike, mjediset e biznesit dhe zonat rezidenciale, si dhe kanë kapacitet të mjaftueshëm;</w:t>
      </w:r>
    </w:p>
    <w:p w14:paraId="1EF45759" w14:textId="77777777" w:rsidR="00767CD0" w:rsidRPr="00C51AE9" w:rsidRDefault="00C51AE9" w:rsidP="00F635BF">
      <w:pPr>
        <w:numPr>
          <w:ilvl w:val="0"/>
          <w:numId w:val="55"/>
        </w:numPr>
        <w:contextualSpacing/>
        <w:jc w:val="both"/>
        <w:rPr>
          <w:rFonts w:ascii="Times New Roman" w:hAnsi="Times New Roman" w:cs="Times New Roman"/>
        </w:rPr>
      </w:pPr>
      <w:r w:rsidRPr="00C51AE9">
        <w:rPr>
          <w:rFonts w:ascii="Times New Roman" w:hAnsi="Times New Roman" w:cs="Times New Roman"/>
        </w:rPr>
        <w:t xml:space="preserve">të jenë të hapura ndaj produkteve të importuara në kushte </w:t>
      </w:r>
      <w:proofErr w:type="spellStart"/>
      <w:r w:rsidRPr="00C51AE9">
        <w:rPr>
          <w:rFonts w:ascii="Times New Roman" w:hAnsi="Times New Roman" w:cs="Times New Roman"/>
        </w:rPr>
        <w:t>jodiskriminuese</w:t>
      </w:r>
      <w:proofErr w:type="spellEnd"/>
      <w:r w:rsidRPr="00C51AE9">
        <w:rPr>
          <w:rFonts w:ascii="Times New Roman" w:hAnsi="Times New Roman" w:cs="Times New Roman"/>
        </w:rPr>
        <w:t xml:space="preserve">, veçanërisht në lidhje me rregullimet e hollësishme dhe çdo tarifë të vendosur për </w:t>
      </w:r>
      <w:proofErr w:type="spellStart"/>
      <w:r w:rsidRPr="00C51AE9">
        <w:rPr>
          <w:rFonts w:ascii="Times New Roman" w:hAnsi="Times New Roman" w:cs="Times New Roman"/>
        </w:rPr>
        <w:t>aksesin</w:t>
      </w:r>
      <w:proofErr w:type="spellEnd"/>
      <w:r w:rsidRPr="00C51AE9">
        <w:rPr>
          <w:rFonts w:ascii="Times New Roman" w:hAnsi="Times New Roman" w:cs="Times New Roman"/>
        </w:rPr>
        <w:t>;</w:t>
      </w:r>
    </w:p>
    <w:p w14:paraId="1EC7B0E0" w14:textId="77777777" w:rsidR="00767CD0" w:rsidRPr="00C51AE9" w:rsidRDefault="00C51AE9" w:rsidP="00F635BF">
      <w:pPr>
        <w:numPr>
          <w:ilvl w:val="0"/>
          <w:numId w:val="55"/>
        </w:numPr>
        <w:contextualSpacing/>
        <w:jc w:val="both"/>
        <w:rPr>
          <w:rFonts w:ascii="Times New Roman" w:hAnsi="Times New Roman" w:cs="Times New Roman"/>
        </w:rPr>
      </w:pPr>
      <w:r w:rsidRPr="00C51AE9">
        <w:rPr>
          <w:rFonts w:ascii="Times New Roman" w:hAnsi="Times New Roman" w:cs="Times New Roman"/>
        </w:rPr>
        <w:t>të hartohen në mënyrë të tillë që shmangin pengesat ndaj tregtisë ose cenimin e konkurrencës.</w:t>
      </w:r>
    </w:p>
    <w:p w14:paraId="6DD9360C"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6. Ministri përgjegjës për mjedisin mund të lejojë përjashtime nga detyrimi i kthimit dhe i grumbullimit të diferencuar për disa formate mbetjesh, me kusht që grumbullimi i përbashkët i fraksioneve të mbetjeve të ambalazheve, ose grumbullimi i tyre së bashku me mbetje të tjera, të mos ndikojë në aftësinë e këtyre mbetjeve për t’iu nënshtruar përgatitjes për ripërdorim, riciklimit ose operacioneve të tjera të rikuperimit dhe të japë një rezultat me cilësi të krahasueshme me atë të grumbullimit të diferencuar.</w:t>
      </w:r>
    </w:p>
    <w:p w14:paraId="40FB5ECC"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7. Mbetjet e ambalazheve që nuk grumbullohen në mënyrë të diferencuar ndahen përpara operacioneve të asgjësimit ose të rikuperimit të energjisë, për të hequr ambalazhin e projektuar për riciklim.</w:t>
      </w:r>
    </w:p>
    <w:p w14:paraId="06709C71"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8. Ministria përgjegjëse për mjedisin, në bashkëpunim me bashkitë, merr masa për nxitjen e riciklimit të mbetjeve të ambalazheve që përmbushin standardet e cilësisë për përdorimin e materialeve të ricikluara në sektorët përkatës.</w:t>
      </w:r>
    </w:p>
    <w:p w14:paraId="292E56D8" w14:textId="77777777" w:rsidR="00767CD0" w:rsidRPr="00C51AE9" w:rsidRDefault="00767CD0">
      <w:pPr>
        <w:rPr>
          <w:rFonts w:ascii="Times New Roman" w:hAnsi="Times New Roman" w:cs="Times New Roman"/>
        </w:rPr>
      </w:pPr>
    </w:p>
    <w:p w14:paraId="71C6745B"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53</w:t>
      </w:r>
    </w:p>
    <w:p w14:paraId="656AC9BB"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2" w:name="_Toc227317656"/>
      <w:r w:rsidRPr="00C51AE9">
        <w:rPr>
          <w:rFonts w:ascii="Times New Roman" w:eastAsiaTheme="majorEastAsia" w:hAnsi="Times New Roman" w:cs="Times New Roman"/>
          <w:b/>
        </w:rPr>
        <w:t>Grumbullimi i</w:t>
      </w:r>
      <w:bookmarkEnd w:id="62"/>
      <w:r w:rsidRPr="00C51AE9">
        <w:rPr>
          <w:rFonts w:ascii="Times New Roman" w:eastAsiaTheme="majorEastAsia" w:hAnsi="Times New Roman" w:cs="Times New Roman"/>
          <w:b/>
        </w:rPr>
        <w:t xml:space="preserve"> diferencuar</w:t>
      </w:r>
    </w:p>
    <w:p w14:paraId="4CCA02BE" w14:textId="77777777" w:rsidR="00767CD0" w:rsidRPr="00C51AE9" w:rsidRDefault="00C51AE9" w:rsidP="00F635BF">
      <w:pPr>
        <w:numPr>
          <w:ilvl w:val="0"/>
          <w:numId w:val="56"/>
        </w:numPr>
        <w:spacing w:after="0"/>
        <w:contextualSpacing/>
        <w:jc w:val="both"/>
        <w:rPr>
          <w:rFonts w:ascii="Times New Roman" w:hAnsi="Times New Roman" w:cs="Times New Roman"/>
        </w:rPr>
      </w:pPr>
      <w:r w:rsidRPr="00C51AE9">
        <w:rPr>
          <w:rFonts w:ascii="Times New Roman" w:hAnsi="Times New Roman" w:cs="Times New Roman"/>
        </w:rPr>
        <w:t xml:space="preserve">Prodhuesit, në rastin e përmbushjes individuale të detyrimeve të përgjegjësisë së zgjeruar të prodhuesit, dhe shoqëritë e përgjegjësisë së zgjeruar të subjektit prodhues të ngarkuara me kryerjen e këtyre detyrimeve, janë përgjegjës për organizimin e sistemit të rimarrjes, grumbullimit dhe trajtimit të mbetjeve të ambalazheve, në përputhje me kërkesat ligjore në fuqi dhe për arritjen e objektivave të përcaktuara. </w:t>
      </w:r>
    </w:p>
    <w:p w14:paraId="7CD81DDE" w14:textId="77777777" w:rsidR="00767CD0" w:rsidRPr="00C51AE9" w:rsidRDefault="00C51AE9" w:rsidP="00F635BF">
      <w:pPr>
        <w:numPr>
          <w:ilvl w:val="0"/>
          <w:numId w:val="56"/>
        </w:numPr>
        <w:spacing w:after="0"/>
        <w:contextualSpacing/>
        <w:jc w:val="both"/>
        <w:rPr>
          <w:rFonts w:ascii="Times New Roman" w:hAnsi="Times New Roman" w:cs="Times New Roman"/>
        </w:rPr>
      </w:pPr>
      <w:r w:rsidRPr="00C51AE9">
        <w:rPr>
          <w:rFonts w:ascii="Times New Roman" w:hAnsi="Times New Roman" w:cs="Times New Roman"/>
        </w:rPr>
        <w:t>Personat që vendosin mallra të ambalazhuara në treg nuk identifikohen, shpërndarësit, përfshirë personat që kryejnë shitje te konsumatorët fundorë, kanë të njëjtat detyrime si prodhuesit, importuesit ose personat që deklarojnë hyrjet e mallrave të ambalazhuara në territorin e Republikës së Shqipërisë.</w:t>
      </w:r>
    </w:p>
    <w:p w14:paraId="09FECE9B" w14:textId="77777777" w:rsidR="00767CD0" w:rsidRPr="00C51AE9" w:rsidRDefault="00C51AE9" w:rsidP="00F635BF">
      <w:pPr>
        <w:numPr>
          <w:ilvl w:val="0"/>
          <w:numId w:val="56"/>
        </w:numPr>
        <w:spacing w:after="0"/>
        <w:contextualSpacing/>
        <w:rPr>
          <w:rFonts w:ascii="Times New Roman" w:hAnsi="Times New Roman" w:cs="Times New Roman"/>
        </w:rPr>
      </w:pPr>
      <w:r w:rsidRPr="00C51AE9">
        <w:rPr>
          <w:rFonts w:ascii="Times New Roman" w:hAnsi="Times New Roman" w:cs="Times New Roman"/>
        </w:rPr>
        <w:t>Sistemet e rimarrjes, grumbullimit dhe trajtimit sigurojnë:</w:t>
      </w:r>
    </w:p>
    <w:p w14:paraId="0F48B4A7" w14:textId="77777777" w:rsidR="00767CD0" w:rsidRPr="00C51AE9" w:rsidRDefault="00C51AE9" w:rsidP="00F635BF">
      <w:pPr>
        <w:numPr>
          <w:ilvl w:val="0"/>
          <w:numId w:val="153"/>
        </w:numPr>
        <w:spacing w:after="0"/>
        <w:ind w:left="1080"/>
        <w:contextualSpacing/>
        <w:jc w:val="both"/>
        <w:rPr>
          <w:rFonts w:ascii="Times New Roman" w:hAnsi="Times New Roman" w:cs="Times New Roman"/>
        </w:rPr>
      </w:pPr>
      <w:r w:rsidRPr="00C51AE9">
        <w:rPr>
          <w:rFonts w:ascii="Times New Roman" w:hAnsi="Times New Roman" w:cs="Times New Roman"/>
        </w:rPr>
        <w:t xml:space="preserve">mbledhjen e të gjitha materialeve të mbetjeve të </w:t>
      </w:r>
      <w:r w:rsidRPr="00C51AE9">
        <w:rPr>
          <w:rFonts w:ascii="Times New Roman" w:eastAsia="Times New Roman" w:hAnsi="Times New Roman" w:cs="Times New Roman"/>
          <w:kern w:val="0"/>
          <w14:ligatures w14:val="none"/>
        </w:rPr>
        <w:t>ambalazhimit</w:t>
      </w:r>
      <w:r w:rsidRPr="00C51AE9">
        <w:rPr>
          <w:rFonts w:ascii="Times New Roman" w:hAnsi="Times New Roman" w:cs="Times New Roman"/>
        </w:rPr>
        <w:t xml:space="preserve"> të </w:t>
      </w:r>
      <w:proofErr w:type="spellStart"/>
      <w:r w:rsidRPr="00C51AE9">
        <w:rPr>
          <w:rFonts w:ascii="Times New Roman" w:hAnsi="Times New Roman" w:cs="Times New Roman"/>
        </w:rPr>
        <w:t>listuara</w:t>
      </w:r>
      <w:proofErr w:type="spellEnd"/>
      <w:r w:rsidRPr="00C51AE9">
        <w:rPr>
          <w:rFonts w:ascii="Times New Roman" w:hAnsi="Times New Roman" w:cs="Times New Roman"/>
        </w:rPr>
        <w:t xml:space="preserve"> në këtë vendim;</w:t>
      </w:r>
    </w:p>
    <w:p w14:paraId="734721D0" w14:textId="77777777" w:rsidR="00767CD0" w:rsidRPr="00C51AE9" w:rsidRDefault="00C51AE9" w:rsidP="00F635BF">
      <w:pPr>
        <w:numPr>
          <w:ilvl w:val="0"/>
          <w:numId w:val="153"/>
        </w:numPr>
        <w:spacing w:after="0"/>
        <w:ind w:left="1080"/>
        <w:contextualSpacing/>
        <w:jc w:val="both"/>
        <w:rPr>
          <w:rFonts w:ascii="Times New Roman" w:hAnsi="Times New Roman" w:cs="Times New Roman"/>
        </w:rPr>
      </w:pPr>
      <w:r w:rsidRPr="00C51AE9">
        <w:rPr>
          <w:rFonts w:ascii="Times New Roman" w:hAnsi="Times New Roman" w:cs="Times New Roman"/>
        </w:rPr>
        <w:t xml:space="preserve">grumbullimin e mbetjeve të ambalazheve nga përdoruesit fundorë në mënyrë të përshtatshme, duke përfshirë vendosjen e kontejnerëve për grumbullim të diferencuar në vendin e shitjes së mallrave të ambalazhuara, ose pranë tij dhe në vende të tjera ku </w:t>
      </w:r>
      <w:proofErr w:type="spellStart"/>
      <w:r w:rsidRPr="00C51AE9">
        <w:rPr>
          <w:rFonts w:ascii="Times New Roman" w:hAnsi="Times New Roman" w:cs="Times New Roman"/>
        </w:rPr>
        <w:t>gjenerohen</w:t>
      </w:r>
      <w:proofErr w:type="spellEnd"/>
      <w:r w:rsidRPr="00C51AE9">
        <w:rPr>
          <w:rFonts w:ascii="Times New Roman" w:hAnsi="Times New Roman" w:cs="Times New Roman"/>
        </w:rPr>
        <w:t xml:space="preserve"> mbetje ambalazhesh;</w:t>
      </w:r>
    </w:p>
    <w:p w14:paraId="0AE91CC8" w14:textId="77777777" w:rsidR="00767CD0" w:rsidRPr="00C51AE9" w:rsidRDefault="00C51AE9" w:rsidP="00F635BF">
      <w:pPr>
        <w:numPr>
          <w:ilvl w:val="0"/>
          <w:numId w:val="153"/>
        </w:numPr>
        <w:spacing w:after="0"/>
        <w:ind w:left="1080"/>
        <w:contextualSpacing/>
        <w:jc w:val="both"/>
        <w:rPr>
          <w:rFonts w:ascii="Times New Roman" w:hAnsi="Times New Roman" w:cs="Times New Roman"/>
        </w:rPr>
      </w:pPr>
      <w:r w:rsidRPr="00C51AE9">
        <w:rPr>
          <w:rFonts w:ascii="Times New Roman" w:hAnsi="Times New Roman" w:cs="Times New Roman"/>
        </w:rPr>
        <w:t>dorëzimin e mbetjeve të ambalazhimit të mbledhura në vendet e depozitimit të përkohshëm, në objektet për para-trajtim, riciklim ose rikuperim.</w:t>
      </w:r>
    </w:p>
    <w:p w14:paraId="2C01CDA5"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Gjeneruesit e mbetjeve të ambalazheve janë përgjegjës për ndarjen e tyre në burim, me qëllim ripërdorimin, riciklimin apo rikuperimin e mëtejshëm të tyre.</w:t>
      </w:r>
    </w:p>
    <w:p w14:paraId="5C3AF421"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 xml:space="preserve">Detyrimet e përcaktuara në pikën 3 të këtij neni zbatohen gjithashtu për operatorët ekonomikë që pranojnë mbetjet e ambalazheve për qëllime të grumbullimit, magazinimit, transportit, </w:t>
      </w:r>
      <w:proofErr w:type="spellStart"/>
      <w:r w:rsidRPr="00C51AE9">
        <w:rPr>
          <w:rFonts w:ascii="Times New Roman" w:hAnsi="Times New Roman" w:cs="Times New Roman"/>
        </w:rPr>
        <w:t>paratrajtimit</w:t>
      </w:r>
      <w:proofErr w:type="spellEnd"/>
      <w:r w:rsidRPr="00C51AE9">
        <w:rPr>
          <w:rFonts w:ascii="Times New Roman" w:hAnsi="Times New Roman" w:cs="Times New Roman"/>
        </w:rPr>
        <w:t xml:space="preserve"> ose përgatitjes së tyre për ripërdorim, riciklim, rikuperim apo asgjësim."</w:t>
      </w:r>
    </w:p>
    <w:p w14:paraId="5CB470E0"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Zotëruesit e mbetjeve të ambalazheve, të cilat mbajnë shenjën e grumbullimit të diferencuar, detyrohen t’i dorëzojnë ose t’i depozitojnë ato në pikat e caktuara të grumbullimit, të ngritura nga sistemi i organizuar i grumbullimit të diferencuar në territorin e njësisë përkatëse të vetëqeverisjes vendore.</w:t>
      </w:r>
    </w:p>
    <w:p w14:paraId="115B27E1"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Ndalohet përzierja e mbetjeve të ambalazheve të grumbulluara në mënyrë të diferencuar me mbetje ose materiale të tjera, nëse ky veprim pengon riciklimin apo rikuperimin e mëtejshëm të tyre</w:t>
      </w:r>
    </w:p>
    <w:p w14:paraId="7115A8CB"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Sipas rastit pronarët, administratorët, menaxherët e ambienteve tregtare, të prodhimit, të biznesit dhe të ndërtesave administrative, në vendbanimet ku janë krijuar sisteme për grumbullimin e veçuar të mbetjeve, grumbullojnë  në mënyrë ë diferencuar  mbetjet e ambalazheve prej letre dhe kartoni, qelqi, plastike, druri dhe metalesh, të krijuara nga veprimtaritë e tyre në territorin e këtyre ambienteve, dhe i dorëzojnë ato në përputhje me kërkesat e këtij vendimi dhe të akteve të autoriteteve të vetëqeverisjes vendore.</w:t>
      </w:r>
    </w:p>
    <w:p w14:paraId="66F96D94"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lastRenderedPageBreak/>
        <w:t xml:space="preserve">Ndalohet depozitimi në </w:t>
      </w:r>
      <w:proofErr w:type="spellStart"/>
      <w:r w:rsidRPr="00C51AE9">
        <w:rPr>
          <w:rFonts w:ascii="Times New Roman" w:hAnsi="Times New Roman" w:cs="Times New Roman"/>
        </w:rPr>
        <w:t>landfill</w:t>
      </w:r>
      <w:proofErr w:type="spellEnd"/>
      <w:r w:rsidRPr="00C51AE9">
        <w:rPr>
          <w:rFonts w:ascii="Times New Roman" w:hAnsi="Times New Roman" w:cs="Times New Roman"/>
        </w:rPr>
        <w:t xml:space="preserve">, djegia pa rikuperim energjie dhe/ose asgjësimi në çdo mënyrë tjetër i mbetjeve të ambalazheve të cilat mund riciklohen dhe ose rikuperohen në territorin e Republikës së Shqipërisë. </w:t>
      </w:r>
    </w:p>
    <w:p w14:paraId="09EDAE18"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Sistemet depozite  kthimi, grumbullimi dhe trajtimi i mbetjeve të ambalazhimit, nuk duhet të përjashtojnë zbatimin e dispozitave që lidhen me kërkesat për mbrojtjen e mjedisit, shëndetit, sigurisë dhe higjienës së konsumatorit, mbrojtjen e cilësisë, autenticitetit të karakteristikave teknike të mallrave të ambalazhuara, si dhe mbrojtjen e të drejtave të pronësisë industriale dhe tregtare.</w:t>
      </w:r>
    </w:p>
    <w:p w14:paraId="7E3C94B3"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Përfshirja e materialeve të ricikluara në ambalazh, nuk bie ndesh me kërkesat për higjienë, siguri dhe mbrojtje të shëndetit të konsumatorit.</w:t>
      </w:r>
    </w:p>
    <w:p w14:paraId="752189E4" w14:textId="77777777" w:rsidR="00767CD0" w:rsidRPr="00C51AE9" w:rsidRDefault="00C51AE9">
      <w:pPr>
        <w:numPr>
          <w:ilvl w:val="0"/>
          <w:numId w:val="19"/>
        </w:numPr>
        <w:spacing w:after="0"/>
        <w:jc w:val="both"/>
        <w:rPr>
          <w:rFonts w:ascii="Times New Roman" w:hAnsi="Times New Roman" w:cs="Times New Roman"/>
        </w:rPr>
      </w:pPr>
      <w:r w:rsidRPr="00C51AE9">
        <w:rPr>
          <w:rFonts w:ascii="Times New Roman" w:hAnsi="Times New Roman" w:cs="Times New Roman"/>
        </w:rPr>
        <w:t xml:space="preserve">Ambalazhi i përdorur për </w:t>
      </w:r>
      <w:r w:rsidRPr="00C51AE9">
        <w:rPr>
          <w:rFonts w:ascii="Times New Roman" w:eastAsia="Times New Roman" w:hAnsi="Times New Roman" w:cs="Times New Roman"/>
          <w:kern w:val="0"/>
          <w14:ligatures w14:val="none"/>
        </w:rPr>
        <w:t>ambalazhimit</w:t>
      </w:r>
      <w:r w:rsidRPr="00C51AE9">
        <w:rPr>
          <w:rFonts w:ascii="Times New Roman" w:hAnsi="Times New Roman" w:cs="Times New Roman"/>
        </w:rPr>
        <w:t xml:space="preserve"> e substancave kimike të rrezikshme, trajtohet dhe transportohet në përputhje me kërkesat ligjore për trajtimin dhe transportimin e mbetjeve të rrezikshme.</w:t>
      </w:r>
    </w:p>
    <w:p w14:paraId="22B3DB34" w14:textId="77777777" w:rsidR="00767CD0" w:rsidRPr="00C51AE9" w:rsidRDefault="00767CD0">
      <w:pPr>
        <w:jc w:val="both"/>
        <w:rPr>
          <w:rFonts w:ascii="Times New Roman" w:hAnsi="Times New Roman" w:cs="Times New Roman"/>
          <w:w w:val="90"/>
        </w:rPr>
      </w:pPr>
    </w:p>
    <w:p w14:paraId="68ED189A"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54</w:t>
      </w:r>
    </w:p>
    <w:p w14:paraId="6AD5CD6B"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3" w:name="_Toc227317657"/>
      <w:r w:rsidRPr="00C51AE9">
        <w:rPr>
          <w:rFonts w:ascii="Times New Roman" w:eastAsiaTheme="majorEastAsia" w:hAnsi="Times New Roman" w:cs="Times New Roman"/>
          <w:b/>
        </w:rPr>
        <w:t>Operacionet e grumbullimit, trajtimit, riciklimit dhe rikuperimit</w:t>
      </w:r>
      <w:bookmarkEnd w:id="63"/>
    </w:p>
    <w:p w14:paraId="27367D48" w14:textId="77777777" w:rsidR="00767CD0" w:rsidRPr="00C51AE9" w:rsidRDefault="00C51AE9">
      <w:pPr>
        <w:widowControl w:val="0"/>
        <w:numPr>
          <w:ilvl w:val="0"/>
          <w:numId w:val="5"/>
        </w:numPr>
        <w:spacing w:after="0"/>
        <w:contextualSpacing/>
        <w:jc w:val="both"/>
        <w:rPr>
          <w:rFonts w:ascii="Times New Roman" w:hAnsi="Times New Roman" w:cs="Times New Roman"/>
        </w:rPr>
      </w:pPr>
      <w:r w:rsidRPr="00C51AE9">
        <w:rPr>
          <w:rFonts w:ascii="Times New Roman" w:hAnsi="Times New Roman" w:cs="Times New Roman"/>
        </w:rPr>
        <w:t xml:space="preserve">Operatorët e instalimeve dhe objekteve ku kryhet para-trajtimi, riciklimi, rikuperimi dhe/ose asgjësimi i mbetjeve të ambalazheve, duhet të zbatojnë teknikat më të mira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lidhje me mbrojtjen e shëndetit të njeriut dhe mjedisit.</w:t>
      </w:r>
    </w:p>
    <w:p w14:paraId="7070ECEC" w14:textId="77777777" w:rsidR="00767CD0" w:rsidRPr="00C51AE9" w:rsidRDefault="00C51AE9">
      <w:pPr>
        <w:widowControl w:val="0"/>
        <w:numPr>
          <w:ilvl w:val="0"/>
          <w:numId w:val="5"/>
        </w:numPr>
        <w:spacing w:after="0"/>
        <w:contextualSpacing/>
        <w:jc w:val="both"/>
        <w:rPr>
          <w:rFonts w:ascii="Times New Roman" w:hAnsi="Times New Roman" w:cs="Times New Roman"/>
        </w:rPr>
      </w:pPr>
      <w:r w:rsidRPr="00C51AE9">
        <w:rPr>
          <w:rFonts w:ascii="Times New Roman" w:hAnsi="Times New Roman" w:cs="Times New Roman"/>
        </w:rPr>
        <w:t>Personat që kryejnë veprimtari për grumbullimin, riciklimin, rikuperimin dhe/ose asgjësimin e mbetjeve të ambalazhimit, duke përfshirë trajtimin paraprak përpara rikuperimit dhe/ose asgjësimit, duhet të zotërojnë lejen përkatëse mjedisore sipas legjislacionit në fuqi për lejet mjedisore.</w:t>
      </w:r>
      <w:bookmarkStart w:id="64" w:name="_Toc227317658"/>
    </w:p>
    <w:p w14:paraId="373E1BA9" w14:textId="77777777" w:rsidR="00767CD0" w:rsidRPr="00C51AE9" w:rsidRDefault="00767CD0">
      <w:pPr>
        <w:keepNext/>
        <w:keepLines/>
        <w:spacing w:before="160" w:after="80"/>
        <w:outlineLvl w:val="1"/>
        <w:rPr>
          <w:rFonts w:ascii="Times New Roman" w:eastAsiaTheme="majorEastAsia" w:hAnsi="Times New Roman" w:cs="Times New Roman"/>
          <w:bCs/>
        </w:rPr>
      </w:pPr>
    </w:p>
    <w:p w14:paraId="64B7FB08"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55</w:t>
      </w:r>
    </w:p>
    <w:p w14:paraId="01265D8B"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Kërkesat për sistemet e diferencuara të grumbullimit të mbetjeve të ambalazhimit</w:t>
      </w:r>
      <w:bookmarkEnd w:id="64"/>
    </w:p>
    <w:p w14:paraId="37DF45BC" w14:textId="77777777" w:rsidR="00767CD0" w:rsidRPr="00C51AE9" w:rsidRDefault="00C51AE9">
      <w:pPr>
        <w:numPr>
          <w:ilvl w:val="0"/>
          <w:numId w:val="9"/>
        </w:numPr>
        <w:contextualSpacing/>
        <w:jc w:val="both"/>
        <w:rPr>
          <w:rFonts w:ascii="Times New Roman" w:hAnsi="Times New Roman" w:cs="Times New Roman"/>
        </w:rPr>
      </w:pPr>
      <w:r w:rsidRPr="00C51AE9">
        <w:rPr>
          <w:rFonts w:ascii="Times New Roman" w:hAnsi="Times New Roman" w:cs="Times New Roman"/>
        </w:rPr>
        <w:t>Sistemet për grumbullimin e diferencuar të mbetjeve të ambalazheve, sipas nenit 53, organizohen nga shoqëritë e përgjegjësisë së zgjeruar të subjekteve prodhuese në bashkëpunim me autoritetet e vetëqeverisjes vendore dhe mbulojnë popullsinë që banon në të gjitha vendbanimet në territorin e Republikës së Shqipërisë.</w:t>
      </w:r>
    </w:p>
    <w:p w14:paraId="0B830588"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t>Objektivat për popullsinë e mbuluar sipas paragrafit 1 arrihen së bashku nga të gjithë Shoqëritë e Përgjegjësisë së Zgjeruar të Subjekteve Prodhuese të autorizuara, në përputhje me sasitë e ambalazheve të përfaqësuara dhe pjesën e tyre përkatëse të tregut.</w:t>
      </w:r>
    </w:p>
    <w:p w14:paraId="3C77F53E"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t>Numri i banorëve në vendbanime dhe bashki, përcaktohet bazuar në të dhënat më të fundit për popullsinë të publikuara nga INSTAT.</w:t>
      </w:r>
    </w:p>
    <w:p w14:paraId="61082643"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t>Sistemet për grumbullimin e diferencuar  të mbetjeve të ambalazheve duhet të përfshijnë të paktën elementet e mëposhtme:</w:t>
      </w:r>
    </w:p>
    <w:p w14:paraId="10B0B0E9" w14:textId="77777777" w:rsidR="00767CD0" w:rsidRPr="00C51AE9" w:rsidRDefault="00C51AE9" w:rsidP="00F635BF">
      <w:pPr>
        <w:numPr>
          <w:ilvl w:val="1"/>
          <w:numId w:val="176"/>
        </w:numPr>
        <w:ind w:hanging="270"/>
        <w:contextualSpacing/>
        <w:jc w:val="both"/>
        <w:rPr>
          <w:rFonts w:ascii="Times New Roman" w:hAnsi="Times New Roman" w:cs="Times New Roman"/>
        </w:rPr>
      </w:pPr>
      <w:r w:rsidRPr="00C51AE9">
        <w:rPr>
          <w:rFonts w:ascii="Times New Roman" w:hAnsi="Times New Roman" w:cs="Times New Roman"/>
        </w:rPr>
        <w:t>kontejnerë me ngjyrë blu për grumbullimin e mbetjeve të ambalazheve shtëpiake, të ndryshme nga ato për mbetje të përziera/të mbetura bashkiake, me kapacitet të mjaftueshëm për të siguruar mbulim efektiv të popullsisë së shërbyer si më poshtë:</w:t>
      </w:r>
    </w:p>
    <w:p w14:paraId="657F8294" w14:textId="77777777" w:rsidR="00767CD0" w:rsidRPr="00C51AE9" w:rsidRDefault="00C51AE9">
      <w:pPr>
        <w:ind w:left="630"/>
        <w:contextualSpacing/>
        <w:jc w:val="both"/>
        <w:rPr>
          <w:rFonts w:ascii="Times New Roman" w:hAnsi="Times New Roman" w:cs="Times New Roman"/>
        </w:rPr>
      </w:pPr>
      <w:r w:rsidRPr="00C51AE9">
        <w:rPr>
          <w:rFonts w:ascii="Times New Roman" w:hAnsi="Times New Roman" w:cs="Times New Roman"/>
        </w:rPr>
        <w:lastRenderedPageBreak/>
        <w:t>i. në rast të sistemit të grumbullimit që përdor kontejnerë të përbashkët të vendosur në zona publike: vëllimi total minimal i kontejnerëve përcaktohet në kontratën ndërmjet Shoqërisë së Përgjegjësisë së Zgjeruar të Subjekteve Prodhuese dhe njësisë së vetëqeverisjes vendore, në përputhje me planin vendor të menaxhimit të mbetjeve dhe me kontratën model të parashikuar në nenin 15 të ligjit nr. 74/2025; ose</w:t>
      </w:r>
    </w:p>
    <w:p w14:paraId="67C160D9" w14:textId="77777777" w:rsidR="00767CD0" w:rsidRPr="00C51AE9" w:rsidRDefault="00C51AE9" w:rsidP="00F635BF">
      <w:pPr>
        <w:numPr>
          <w:ilvl w:val="1"/>
          <w:numId w:val="176"/>
        </w:numPr>
        <w:contextualSpacing/>
        <w:jc w:val="both"/>
      </w:pPr>
      <w:proofErr w:type="spellStart"/>
      <w:r w:rsidRPr="00C51AE9">
        <w:rPr>
          <w:rFonts w:ascii="Times New Roman" w:hAnsi="Times New Roman" w:cs="Times New Roman"/>
        </w:rPr>
        <w:t>ii</w:t>
      </w:r>
      <w:proofErr w:type="spellEnd"/>
      <w:r w:rsidRPr="00C51AE9">
        <w:rPr>
          <w:rFonts w:ascii="Times New Roman" w:hAnsi="Times New Roman" w:cs="Times New Roman"/>
        </w:rPr>
        <w:t xml:space="preserve">. në rast të grumbullimit derë më derë të mbetjeve, qese plastike ose kosha individualë për grumbullimin e veçantë të letrës dhe kartonit, plastikës dhe metaleve, të siguruara për çdo ndërtesë, dhe kontejnerë të veçantë grumbullimi për ambalazhet prej </w:t>
      </w:r>
      <w:proofErr w:type="spellStart"/>
      <w:r w:rsidRPr="00C51AE9">
        <w:rPr>
          <w:rFonts w:ascii="Times New Roman" w:hAnsi="Times New Roman" w:cs="Times New Roman"/>
        </w:rPr>
        <w:t>qelqi.kontejnerë</w:t>
      </w:r>
      <w:proofErr w:type="spellEnd"/>
      <w:r w:rsidRPr="00C51AE9">
        <w:rPr>
          <w:rFonts w:ascii="Times New Roman" w:hAnsi="Times New Roman" w:cs="Times New Roman"/>
        </w:rPr>
        <w:t xml:space="preserve"> me ngjyra për grumbullimin e mbetjeve nga objekte tregtare, industriale dhe administrative</w:t>
      </w:r>
      <w:r w:rsidRPr="00C51AE9">
        <w:t>;</w:t>
      </w:r>
    </w:p>
    <w:p w14:paraId="00AD530E" w14:textId="77777777" w:rsidR="00767CD0" w:rsidRPr="00C51AE9" w:rsidRDefault="00C51AE9" w:rsidP="00F635BF">
      <w:pPr>
        <w:numPr>
          <w:ilvl w:val="1"/>
          <w:numId w:val="176"/>
        </w:numPr>
        <w:contextualSpacing/>
        <w:jc w:val="both"/>
        <w:rPr>
          <w:rFonts w:ascii="Times New Roman" w:hAnsi="Times New Roman" w:cs="Times New Roman"/>
        </w:rPr>
      </w:pPr>
      <w:r w:rsidRPr="00C51AE9">
        <w:rPr>
          <w:rFonts w:ascii="Times New Roman" w:hAnsi="Times New Roman" w:cs="Times New Roman"/>
        </w:rPr>
        <w:t xml:space="preserve">një vend për kryerjen e veprimtarive për para-trajtimin e mbetjeve të ambalazhimit të mbledhura në mënyrë të </w:t>
      </w:r>
      <w:proofErr w:type="spellStart"/>
      <w:r w:rsidRPr="00C51AE9">
        <w:rPr>
          <w:rFonts w:ascii="Times New Roman" w:hAnsi="Times New Roman" w:cs="Times New Roman"/>
        </w:rPr>
        <w:t>difrenecuar</w:t>
      </w:r>
      <w:proofErr w:type="spellEnd"/>
      <w:r w:rsidRPr="00C51AE9">
        <w:rPr>
          <w:rFonts w:ascii="Times New Roman" w:hAnsi="Times New Roman" w:cs="Times New Roman"/>
        </w:rPr>
        <w:t xml:space="preserve"> ; </w:t>
      </w:r>
    </w:p>
    <w:p w14:paraId="1457FAFC" w14:textId="77777777" w:rsidR="00767CD0" w:rsidRPr="00C51AE9" w:rsidRDefault="00C51AE9" w:rsidP="00F635BF">
      <w:pPr>
        <w:numPr>
          <w:ilvl w:val="1"/>
          <w:numId w:val="176"/>
        </w:numPr>
        <w:contextualSpacing/>
        <w:jc w:val="both"/>
        <w:rPr>
          <w:rFonts w:ascii="Times New Roman" w:hAnsi="Times New Roman" w:cs="Times New Roman"/>
        </w:rPr>
      </w:pPr>
      <w:r w:rsidRPr="00C51AE9">
        <w:rPr>
          <w:rFonts w:ascii="Times New Roman" w:hAnsi="Times New Roman" w:cs="Times New Roman"/>
        </w:rPr>
        <w:t xml:space="preserve">objekte për para-trajtimin e mbetjeve të ambalazheve, të vendosura në vendndodhjen sipas pikës (c), duke përfshirë instalime për ndarjen e mbetjeve, pajisje të specializuara dhe transporti, duke siguruar funksionimin e objekteve të para-trajtimit; një objekt mund t’u shërbejë disa sistemeve të </w:t>
      </w:r>
      <w:proofErr w:type="spellStart"/>
      <w:r w:rsidRPr="00C51AE9">
        <w:rPr>
          <w:rFonts w:ascii="Times New Roman" w:hAnsi="Times New Roman" w:cs="Times New Roman"/>
        </w:rPr>
        <w:t>difencuara</w:t>
      </w:r>
      <w:proofErr w:type="spellEnd"/>
      <w:r w:rsidRPr="00C51AE9">
        <w:rPr>
          <w:rFonts w:ascii="Times New Roman" w:hAnsi="Times New Roman" w:cs="Times New Roman"/>
        </w:rPr>
        <w:t xml:space="preserve"> të grumbullimit; çdo objekt për para-trajtimin e mbetjeve të ambalazheve duhet të përmbushë kërkesat e mëposhtme:</w:t>
      </w:r>
    </w:p>
    <w:p w14:paraId="0E444030" w14:textId="77777777" w:rsidR="00767CD0" w:rsidRPr="00C51AE9" w:rsidRDefault="00C51AE9" w:rsidP="00F635BF">
      <w:pPr>
        <w:numPr>
          <w:ilvl w:val="0"/>
          <w:numId w:val="52"/>
        </w:numPr>
        <w:ind w:left="1260"/>
        <w:contextualSpacing/>
        <w:jc w:val="both"/>
        <w:rPr>
          <w:rFonts w:ascii="Times New Roman" w:hAnsi="Times New Roman" w:cs="Times New Roman"/>
        </w:rPr>
      </w:pPr>
      <w:r w:rsidRPr="00C51AE9">
        <w:rPr>
          <w:rFonts w:ascii="Times New Roman" w:hAnsi="Times New Roman" w:cs="Times New Roman"/>
        </w:rPr>
        <w:t>është lëshuar leje për vënien në punë të objektit nga autoriteti kompetent përkatës;</w:t>
      </w:r>
    </w:p>
    <w:p w14:paraId="6B5F179C" w14:textId="77777777" w:rsidR="00767CD0" w:rsidRPr="00C51AE9" w:rsidRDefault="00C51AE9" w:rsidP="00F635BF">
      <w:pPr>
        <w:numPr>
          <w:ilvl w:val="0"/>
          <w:numId w:val="52"/>
        </w:numPr>
        <w:ind w:left="1260"/>
        <w:contextualSpacing/>
        <w:jc w:val="both"/>
        <w:rPr>
          <w:rFonts w:ascii="Times New Roman" w:hAnsi="Times New Roman" w:cs="Times New Roman"/>
        </w:rPr>
      </w:pPr>
      <w:r w:rsidRPr="00C51AE9">
        <w:rPr>
          <w:rFonts w:ascii="Times New Roman" w:hAnsi="Times New Roman" w:cs="Times New Roman"/>
        </w:rPr>
        <w:t xml:space="preserve">kapacitetin e instalimit të ndarjes për të siguruar dhe përmbushur nevojat dhe për të mbuluar vëllimet e sistemit </w:t>
      </w:r>
      <w:proofErr w:type="spellStart"/>
      <w:r w:rsidRPr="00C51AE9">
        <w:rPr>
          <w:rFonts w:ascii="Times New Roman" w:hAnsi="Times New Roman" w:cs="Times New Roman"/>
        </w:rPr>
        <w:t>specifiktë</w:t>
      </w:r>
      <w:proofErr w:type="spellEnd"/>
      <w:r w:rsidRPr="00C51AE9">
        <w:rPr>
          <w:rFonts w:ascii="Times New Roman" w:hAnsi="Times New Roman" w:cs="Times New Roman"/>
        </w:rPr>
        <w:t xml:space="preserve"> grumbullimit të veçantë që ai shërben, si dhe për të siguruar teknikisht ndarjen e diferencuar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gjitha llojeve kryesore të mbetjeve të ambalazheve të grumbulluara në kontejnerë të vendosur posaçërisht, por jo më pak se llojet e mëposhtme të mbetjeve të ambalazheve sipas materialit:</w:t>
      </w:r>
    </w:p>
    <w:p w14:paraId="3A19BDA3" w14:textId="77777777" w:rsidR="00767CD0" w:rsidRPr="00C51AE9" w:rsidRDefault="00C51AE9" w:rsidP="00F635BF">
      <w:pPr>
        <w:numPr>
          <w:ilvl w:val="0"/>
          <w:numId w:val="94"/>
        </w:numPr>
        <w:ind w:left="1260"/>
        <w:contextualSpacing/>
        <w:jc w:val="both"/>
        <w:rPr>
          <w:rFonts w:ascii="Times New Roman" w:hAnsi="Times New Roman" w:cs="Times New Roman"/>
        </w:rPr>
      </w:pPr>
      <w:r w:rsidRPr="00C51AE9">
        <w:rPr>
          <w:rFonts w:ascii="Times New Roman" w:hAnsi="Times New Roman" w:cs="Times New Roman"/>
        </w:rPr>
        <w:t xml:space="preserve">letër dhe karton, të ndara në të paktën fraksionet e mëposhtme: mbetje nga kartoni i valëzuar, letër e përzier; </w:t>
      </w:r>
    </w:p>
    <w:p w14:paraId="088CDF20" w14:textId="77777777" w:rsidR="00767CD0" w:rsidRPr="00C51AE9" w:rsidRDefault="00C51AE9" w:rsidP="00F635BF">
      <w:pPr>
        <w:numPr>
          <w:ilvl w:val="0"/>
          <w:numId w:val="94"/>
        </w:numPr>
        <w:ind w:left="1260"/>
        <w:contextualSpacing/>
        <w:jc w:val="both"/>
        <w:rPr>
          <w:rFonts w:ascii="Times New Roman" w:hAnsi="Times New Roman" w:cs="Times New Roman"/>
        </w:rPr>
      </w:pPr>
      <w:r w:rsidRPr="00C51AE9">
        <w:rPr>
          <w:rFonts w:ascii="Times New Roman" w:hAnsi="Times New Roman" w:cs="Times New Roman"/>
        </w:rPr>
        <w:t>qelq/xham;</w:t>
      </w:r>
    </w:p>
    <w:p w14:paraId="1F5877FD" w14:textId="77777777" w:rsidR="00767CD0" w:rsidRPr="00C51AE9" w:rsidRDefault="00C51AE9" w:rsidP="00F635BF">
      <w:pPr>
        <w:numPr>
          <w:ilvl w:val="0"/>
          <w:numId w:val="94"/>
        </w:numPr>
        <w:ind w:left="1260"/>
        <w:contextualSpacing/>
        <w:jc w:val="both"/>
        <w:rPr>
          <w:rFonts w:ascii="Times New Roman" w:hAnsi="Times New Roman" w:cs="Times New Roman"/>
        </w:rPr>
      </w:pPr>
      <w:r w:rsidRPr="00C51AE9">
        <w:rPr>
          <w:rFonts w:ascii="Times New Roman" w:hAnsi="Times New Roman" w:cs="Times New Roman"/>
        </w:rPr>
        <w:t xml:space="preserve">materiale plastike si polietilen </w:t>
      </w:r>
      <w:proofErr w:type="spellStart"/>
      <w:r w:rsidRPr="00C51AE9">
        <w:rPr>
          <w:rFonts w:ascii="Times New Roman" w:hAnsi="Times New Roman" w:cs="Times New Roman"/>
        </w:rPr>
        <w:t>tereftalat</w:t>
      </w:r>
      <w:proofErr w:type="spellEnd"/>
      <w:r w:rsidRPr="00C51AE9">
        <w:rPr>
          <w:rFonts w:ascii="Times New Roman" w:hAnsi="Times New Roman" w:cs="Times New Roman"/>
        </w:rPr>
        <w:t xml:space="preserve"> (PET), polietilen me densitet të ulët (LDPE), polietilen me densitet të lartë (HDPE), </w:t>
      </w:r>
      <w:proofErr w:type="spellStart"/>
      <w:r w:rsidRPr="00C51AE9">
        <w:rPr>
          <w:rFonts w:ascii="Times New Roman" w:hAnsi="Times New Roman" w:cs="Times New Roman"/>
        </w:rPr>
        <w:t>polipropilen</w:t>
      </w:r>
      <w:proofErr w:type="spellEnd"/>
      <w:r w:rsidRPr="00C51AE9">
        <w:rPr>
          <w:rFonts w:ascii="Times New Roman" w:hAnsi="Times New Roman" w:cs="Times New Roman"/>
        </w:rPr>
        <w:t xml:space="preserve"> (PP) dhe plastika të tjera të ngurta;</w:t>
      </w:r>
    </w:p>
    <w:p w14:paraId="1FFFE294" w14:textId="77777777" w:rsidR="00767CD0" w:rsidRPr="00C51AE9" w:rsidRDefault="00C51AE9" w:rsidP="00F635BF">
      <w:pPr>
        <w:numPr>
          <w:ilvl w:val="0"/>
          <w:numId w:val="94"/>
        </w:numPr>
        <w:ind w:left="1260"/>
        <w:contextualSpacing/>
        <w:jc w:val="both"/>
        <w:rPr>
          <w:rFonts w:ascii="Times New Roman" w:hAnsi="Times New Roman" w:cs="Times New Roman"/>
        </w:rPr>
      </w:pPr>
      <w:r w:rsidRPr="00C51AE9">
        <w:rPr>
          <w:rFonts w:ascii="Times New Roman" w:hAnsi="Times New Roman" w:cs="Times New Roman"/>
        </w:rPr>
        <w:t xml:space="preserve">metalet </w:t>
      </w:r>
      <w:proofErr w:type="spellStart"/>
      <w:r w:rsidRPr="00C51AE9">
        <w:rPr>
          <w:rFonts w:ascii="Times New Roman" w:hAnsi="Times New Roman" w:cs="Times New Roman"/>
        </w:rPr>
        <w:t>ferroze</w:t>
      </w:r>
      <w:proofErr w:type="spellEnd"/>
      <w:r w:rsidRPr="00C51AE9">
        <w:rPr>
          <w:rFonts w:ascii="Times New Roman" w:hAnsi="Times New Roman" w:cs="Times New Roman"/>
        </w:rPr>
        <w:t xml:space="preserve"> dhe jo </w:t>
      </w:r>
      <w:proofErr w:type="spellStart"/>
      <w:r w:rsidRPr="00C51AE9">
        <w:rPr>
          <w:rFonts w:ascii="Times New Roman" w:hAnsi="Times New Roman" w:cs="Times New Roman"/>
        </w:rPr>
        <w:t>ferroze</w:t>
      </w:r>
      <w:proofErr w:type="spellEnd"/>
      <w:r w:rsidRPr="00C51AE9">
        <w:rPr>
          <w:rFonts w:ascii="Times New Roman" w:hAnsi="Times New Roman" w:cs="Times New Roman"/>
        </w:rPr>
        <w:t xml:space="preserve">; </w:t>
      </w:r>
    </w:p>
    <w:p w14:paraId="36A40E0D" w14:textId="77777777" w:rsidR="00767CD0" w:rsidRPr="00C51AE9" w:rsidRDefault="00C51AE9" w:rsidP="00F635BF">
      <w:pPr>
        <w:numPr>
          <w:ilvl w:val="0"/>
          <w:numId w:val="94"/>
        </w:numPr>
        <w:ind w:left="1260"/>
        <w:contextualSpacing/>
        <w:jc w:val="both"/>
        <w:rPr>
          <w:rFonts w:ascii="Times New Roman" w:hAnsi="Times New Roman" w:cs="Times New Roman"/>
        </w:rPr>
      </w:pPr>
      <w:r w:rsidRPr="00C51AE9">
        <w:rPr>
          <w:rFonts w:ascii="Times New Roman" w:hAnsi="Times New Roman" w:cs="Times New Roman"/>
        </w:rPr>
        <w:t xml:space="preserve">materiale të përbëra. </w:t>
      </w:r>
    </w:p>
    <w:p w14:paraId="4EBBCABC"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t xml:space="preserve">Sistemet për grumbullimin e </w:t>
      </w:r>
      <w:proofErr w:type="spellStart"/>
      <w:r w:rsidRPr="00C51AE9">
        <w:rPr>
          <w:rFonts w:ascii="Times New Roman" w:hAnsi="Times New Roman" w:cs="Times New Roman"/>
        </w:rPr>
        <w:t>difencuar</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plastikave</w:t>
      </w:r>
      <w:proofErr w:type="spellEnd"/>
      <w:r w:rsidRPr="00C51AE9">
        <w:rPr>
          <w:rFonts w:ascii="Times New Roman" w:hAnsi="Times New Roman" w:cs="Times New Roman"/>
        </w:rPr>
        <w:t xml:space="preserv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janë pjesë e sistemeve të vendosura për grumbullimin e diferencuar  të mbetjeve të ambalazheve dhe përmbajnë të paktën: </w:t>
      </w:r>
    </w:p>
    <w:p w14:paraId="155D691D" w14:textId="77777777" w:rsidR="00767CD0" w:rsidRPr="00C51AE9" w:rsidRDefault="00C51AE9" w:rsidP="00F635BF">
      <w:pPr>
        <w:numPr>
          <w:ilvl w:val="0"/>
          <w:numId w:val="53"/>
        </w:numPr>
        <w:contextualSpacing/>
        <w:jc w:val="both"/>
        <w:rPr>
          <w:rFonts w:ascii="Times New Roman" w:hAnsi="Times New Roman" w:cs="Times New Roman"/>
        </w:rPr>
      </w:pPr>
      <w:proofErr w:type="spellStart"/>
      <w:r w:rsidRPr="00C51AE9">
        <w:rPr>
          <w:rFonts w:ascii="Times New Roman" w:hAnsi="Times New Roman" w:cs="Times New Roman"/>
        </w:rPr>
        <w:t>konteinerë</w:t>
      </w:r>
      <w:proofErr w:type="spellEnd"/>
      <w:r w:rsidRPr="00C51AE9">
        <w:rPr>
          <w:rFonts w:ascii="Times New Roman" w:hAnsi="Times New Roman" w:cs="Times New Roman"/>
        </w:rPr>
        <w:t xml:space="preserve"> të veçantë për grumbullimin e mbetjeve me vëllim të përshtatshëm, të vendosur në vende për përdorim publik (parqe, kopshte, sheshe, rrugica, etj.); kontejnerët duhet të kenë hapje të përshtatshme për grumbullimin e shisheve dhe shënimin përkatës që tregon rregullat për hedhjen e mbetjeve, dhe/ose </w:t>
      </w:r>
    </w:p>
    <w:p w14:paraId="3B9636B5" w14:textId="77777777" w:rsidR="00767CD0" w:rsidRPr="00C51AE9" w:rsidRDefault="00C51AE9" w:rsidP="00F635BF">
      <w:pPr>
        <w:numPr>
          <w:ilvl w:val="0"/>
          <w:numId w:val="53"/>
        </w:numPr>
        <w:contextualSpacing/>
        <w:jc w:val="both"/>
        <w:rPr>
          <w:rFonts w:ascii="Times New Roman" w:hAnsi="Times New Roman" w:cs="Times New Roman"/>
        </w:rPr>
      </w:pPr>
      <w:r w:rsidRPr="00C51AE9">
        <w:rPr>
          <w:rFonts w:ascii="Times New Roman" w:hAnsi="Times New Roman" w:cs="Times New Roman"/>
        </w:rPr>
        <w:t>kosha të vegjël dhe mbajtëse të pajisura me qese në vende që kërkojnë densitet më të madh me kontejnerë ose kanë një sipërfaqe të kufizuar, siç janë plazhet, vendet pranë pikës së shitjes, etj.</w:t>
      </w:r>
    </w:p>
    <w:p w14:paraId="0CBD87F0"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lastRenderedPageBreak/>
        <w:t>Kontejnerët për grumbullimin e diferencuar  të mbetjeve të ambalazhimit  vendosen pranë kontejnerëve për grumbullimin e mbetjeve shtëpiake të përziera</w:t>
      </w:r>
    </w:p>
    <w:p w14:paraId="5E14AEEB" w14:textId="77777777" w:rsidR="00767CD0" w:rsidRPr="00C51AE9" w:rsidRDefault="00C51AE9" w:rsidP="00F635BF">
      <w:pPr>
        <w:numPr>
          <w:ilvl w:val="0"/>
          <w:numId w:val="51"/>
        </w:numPr>
        <w:contextualSpacing/>
        <w:jc w:val="both"/>
        <w:rPr>
          <w:rFonts w:ascii="Times New Roman" w:hAnsi="Times New Roman" w:cs="Times New Roman"/>
        </w:rPr>
      </w:pPr>
      <w:r w:rsidRPr="00C51AE9">
        <w:rPr>
          <w:rFonts w:ascii="Times New Roman" w:hAnsi="Times New Roman" w:cs="Times New Roman"/>
        </w:rPr>
        <w:t xml:space="preserve">Shoqëria e Përgjegjësisë së Zgjeruar të Subjekteve Prodhuese përmbush detyrimet e saj për grumbullimin e diferencuar , riciklimin dhe rikuperimin e mbetjeve të ambalazheve nëpërmjet lidhjes së kontratave me: </w:t>
      </w:r>
    </w:p>
    <w:p w14:paraId="5A875811" w14:textId="77777777" w:rsidR="00767CD0" w:rsidRPr="00C51AE9" w:rsidRDefault="00C51AE9" w:rsidP="00F635BF">
      <w:pPr>
        <w:numPr>
          <w:ilvl w:val="0"/>
          <w:numId w:val="54"/>
        </w:numPr>
        <w:contextualSpacing/>
        <w:jc w:val="both"/>
        <w:rPr>
          <w:rFonts w:ascii="Times New Roman" w:hAnsi="Times New Roman" w:cs="Times New Roman"/>
        </w:rPr>
      </w:pPr>
      <w:r w:rsidRPr="00C51AE9">
        <w:rPr>
          <w:rFonts w:ascii="Times New Roman" w:hAnsi="Times New Roman" w:cs="Times New Roman"/>
        </w:rPr>
        <w:t xml:space="preserve">persona fizikë ose juridikë që kryejnë grumbullimin, transportimin, klasifikimin dhe trajtimin paraprak të mbetjeve të </w:t>
      </w:r>
      <w:r w:rsidRPr="00C51AE9">
        <w:rPr>
          <w:rFonts w:ascii="Times New Roman" w:eastAsia="Times New Roman" w:hAnsi="Times New Roman" w:cs="Times New Roman"/>
          <w:kern w:val="0"/>
          <w14:ligatures w14:val="none"/>
        </w:rPr>
        <w:t>ambalazhimit</w:t>
      </w:r>
      <w:r w:rsidRPr="00C51AE9">
        <w:rPr>
          <w:rFonts w:ascii="Times New Roman" w:hAnsi="Times New Roman" w:cs="Times New Roman"/>
        </w:rPr>
        <w:t xml:space="preserve"> që kanë marrë leje mjedisore për operacionet e menaxhimit të mbetjeve, siç parashikohet në nenin 67 dhe nenit 68, të Ligjit nr. 57/2025 Për menaxhimin e integruar të mbetjeve.</w:t>
      </w:r>
    </w:p>
    <w:p w14:paraId="154A7732" w14:textId="77777777" w:rsidR="00767CD0" w:rsidRPr="00C51AE9" w:rsidRDefault="00C51AE9" w:rsidP="00F635BF">
      <w:pPr>
        <w:numPr>
          <w:ilvl w:val="0"/>
          <w:numId w:val="54"/>
        </w:numPr>
        <w:contextualSpacing/>
        <w:jc w:val="both"/>
        <w:rPr>
          <w:rFonts w:ascii="Times New Roman" w:hAnsi="Times New Roman" w:cs="Times New Roman"/>
        </w:rPr>
      </w:pPr>
      <w:r w:rsidRPr="00C51AE9">
        <w:rPr>
          <w:rFonts w:ascii="Times New Roman" w:hAnsi="Times New Roman" w:cs="Times New Roman"/>
        </w:rPr>
        <w:t>personat që kryejnë operacione riciklimi, rikuperimi dhe/ose asgjësimi të mbetjeve të ambalazheve që zotërojnë lejet përkatëse sipas Nenit 67, të Ligjit nr. 57/2025 Për menaxhimin e integruar të mbetjeve.</w:t>
      </w:r>
    </w:p>
    <w:p w14:paraId="64CB65AB" w14:textId="77777777" w:rsidR="00767CD0" w:rsidRPr="00C51AE9" w:rsidRDefault="00767CD0">
      <w:pPr>
        <w:jc w:val="both"/>
        <w:rPr>
          <w:rFonts w:ascii="Times New Roman" w:hAnsi="Times New Roman" w:cs="Times New Roman"/>
        </w:rPr>
      </w:pPr>
    </w:p>
    <w:p w14:paraId="6A084D46" w14:textId="77777777" w:rsidR="00767CD0" w:rsidRPr="00C51AE9" w:rsidRDefault="00767CD0">
      <w:pPr>
        <w:jc w:val="both"/>
        <w:rPr>
          <w:rFonts w:ascii="Times New Roman" w:hAnsi="Times New Roman" w:cs="Times New Roman"/>
        </w:rPr>
      </w:pPr>
    </w:p>
    <w:p w14:paraId="5B8975CE" w14:textId="77777777" w:rsidR="00767CD0" w:rsidRPr="00C51AE9" w:rsidRDefault="00C51AE9">
      <w:pPr>
        <w:spacing w:beforeAutospacing="1" w:afterAutospacing="1" w:line="240" w:lineRule="auto"/>
        <w:jc w:val="center"/>
        <w:rPr>
          <w:rFonts w:ascii="Times New Roman" w:eastAsia="Times New Roman" w:hAnsi="Times New Roman" w:cs="Times New Roman"/>
          <w:kern w:val="0"/>
          <w14:ligatures w14:val="none"/>
        </w:rPr>
      </w:pPr>
      <w:r w:rsidRPr="00C51AE9">
        <w:rPr>
          <w:rFonts w:ascii="Times New Roman" w:eastAsia="Times New Roman" w:hAnsi="Times New Roman" w:cs="Times New Roman"/>
          <w:b/>
          <w:bCs/>
          <w:kern w:val="0"/>
          <w14:ligatures w14:val="none"/>
        </w:rPr>
        <w:t>Neni 56</w:t>
      </w:r>
    </w:p>
    <w:p w14:paraId="437957F2" w14:textId="77777777" w:rsidR="00767CD0" w:rsidRPr="00C51AE9" w:rsidRDefault="00C51AE9">
      <w:pPr>
        <w:spacing w:beforeAutospacing="1" w:afterAutospacing="1" w:line="240" w:lineRule="auto"/>
        <w:jc w:val="center"/>
        <w:rPr>
          <w:rFonts w:ascii="Times New Roman" w:eastAsia="Times New Roman" w:hAnsi="Times New Roman" w:cs="Times New Roman"/>
          <w:kern w:val="0"/>
          <w14:ligatures w14:val="none"/>
        </w:rPr>
      </w:pPr>
      <w:r w:rsidRPr="00C51AE9">
        <w:rPr>
          <w:rFonts w:ascii="Times New Roman" w:eastAsia="Times New Roman" w:hAnsi="Times New Roman" w:cs="Times New Roman"/>
          <w:b/>
          <w:bCs/>
          <w:kern w:val="0"/>
          <w14:ligatures w14:val="none"/>
        </w:rPr>
        <w:t>Objektivat e detyrueshme të grumbullimit</w:t>
      </w:r>
    </w:p>
    <w:p w14:paraId="212FBF46" w14:textId="77777777" w:rsidR="00767CD0" w:rsidRPr="00C51AE9" w:rsidRDefault="00C51AE9" w:rsidP="00F635BF">
      <w:pPr>
        <w:numPr>
          <w:ilvl w:val="0"/>
          <w:numId w:val="181"/>
        </w:numPr>
        <w:spacing w:beforeAutospacing="1"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Nga 1 janari 2029, shoqëritë e përgjegjësisë së zgjeruar të subjekteve prodhuese dhe subjektet prodhuese që i përmbushin detyrimet individualisht sigurojnë që norma vjetore e grumbullimit të diferencuar të mbetjeve të ambalazheve, për secilin material të listuar në nenin 62 të këtij vendimi, e shprehur në përqindje të peshës së ambalazheve të vendosura në treg, të mos jetë më e ulët se objektivi i riciklimit për të njëjtin material, të përcaktuar në nenin 62 të këtij vendimi.</w:t>
      </w:r>
    </w:p>
    <w:p w14:paraId="3FC9AA89" w14:textId="77777777" w:rsidR="00767CD0" w:rsidRPr="00C51AE9" w:rsidRDefault="00C51AE9" w:rsidP="00F635BF">
      <w:pPr>
        <w:numPr>
          <w:ilvl w:val="0"/>
          <w:numId w:val="181"/>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Grumbullimi i mbetjeve të ambalazheve sipas pikës 1 të këtij neni organizohet në mënyrë që të sigurojë arritjen e objektivave të riciklimit të përcaktuara në nenin 62 dhe të përqindjeve minimale të përmbajtjes së ricikluar të përcaktuara në nenin 13 të këtij vendimi.</w:t>
      </w:r>
    </w:p>
    <w:p w14:paraId="36A015E6" w14:textId="77777777" w:rsidR="00767CD0" w:rsidRPr="00C51AE9" w:rsidRDefault="00C51AE9" w:rsidP="00F635BF">
      <w:pPr>
        <w:numPr>
          <w:ilvl w:val="0"/>
          <w:numId w:val="181"/>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Objektivat e pikës 1 të këtij neni ndahen ndërmjet shoqërive të përgjegjësisë së zgjeruar të subjekteve prodhuese, në përpjesëtim me pjesën e tyre të tregut sipas pikës 41 të nenit 3 të këtij vendimi, dhe përfshihen në kontratat me njësitë e vetëqeverisjes vendore sipas shkronjës “b” të pikës 5 të nenit 57 të këtij vendimi.</w:t>
      </w:r>
    </w:p>
    <w:p w14:paraId="3674E103" w14:textId="77777777" w:rsidR="00767CD0" w:rsidRPr="00C51AE9" w:rsidRDefault="00C51AE9" w:rsidP="00F635BF">
      <w:pPr>
        <w:numPr>
          <w:ilvl w:val="0"/>
          <w:numId w:val="181"/>
        </w:numPr>
        <w:spacing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Arritja e objektivave të pikës 1 të këtij neni raportohet sipas nenit 65 dhe përfshihet në raportin vjetor të Agjencisë Kombëtare të Mjedisit sipas nenit 66 të këtij vendimi.</w:t>
      </w:r>
    </w:p>
    <w:p w14:paraId="3CE8FC5E" w14:textId="77777777" w:rsidR="00767CD0" w:rsidRPr="00C51AE9" w:rsidRDefault="00767CD0">
      <w:pPr>
        <w:jc w:val="both"/>
        <w:rPr>
          <w:rFonts w:ascii="Times New Roman" w:hAnsi="Times New Roman" w:cs="Times New Roman"/>
        </w:rPr>
      </w:pPr>
    </w:p>
    <w:p w14:paraId="5126788A" w14:textId="77777777" w:rsidR="00767CD0" w:rsidRPr="00C51AE9" w:rsidRDefault="00767CD0">
      <w:pPr>
        <w:ind w:left="360"/>
        <w:jc w:val="both"/>
        <w:rPr>
          <w:rFonts w:ascii="Times New Roman" w:hAnsi="Times New Roman" w:cs="Times New Roman"/>
        </w:rPr>
      </w:pPr>
    </w:p>
    <w:p w14:paraId="4BEB3088" w14:textId="77777777" w:rsidR="00767CD0" w:rsidRPr="00C51AE9" w:rsidRDefault="00C51AE9">
      <w:pPr>
        <w:ind w:left="720"/>
        <w:contextualSpacing/>
        <w:jc w:val="center"/>
        <w:rPr>
          <w:rFonts w:ascii="Times New Roman" w:hAnsi="Times New Roman" w:cs="Times New Roman"/>
        </w:rPr>
      </w:pPr>
      <w:r w:rsidRPr="00C51AE9">
        <w:rPr>
          <w:rFonts w:ascii="Times New Roman" w:hAnsi="Times New Roman" w:cs="Times New Roman"/>
        </w:rPr>
        <w:t>Neni 57</w:t>
      </w:r>
    </w:p>
    <w:p w14:paraId="18B1A88D" w14:textId="77777777" w:rsidR="00767CD0" w:rsidRPr="00C51AE9" w:rsidRDefault="00C51AE9">
      <w:pPr>
        <w:ind w:left="720"/>
        <w:contextualSpacing/>
        <w:jc w:val="both"/>
        <w:rPr>
          <w:rFonts w:ascii="Times New Roman" w:hAnsi="Times New Roman" w:cs="Times New Roman"/>
          <w:b/>
          <w:bCs/>
        </w:rPr>
      </w:pPr>
      <w:r w:rsidRPr="00C51AE9">
        <w:rPr>
          <w:rFonts w:ascii="Times New Roman" w:hAnsi="Times New Roman" w:cs="Times New Roman"/>
          <w:b/>
          <w:bCs/>
        </w:rPr>
        <w:t>Detyrimet e njësive të vetëqeverisjes vendore dhe administratës vendore</w:t>
      </w:r>
    </w:p>
    <w:p w14:paraId="729BE636" w14:textId="77777777" w:rsidR="00767CD0" w:rsidRPr="00C51AE9" w:rsidRDefault="00767CD0">
      <w:pPr>
        <w:ind w:left="720"/>
        <w:contextualSpacing/>
        <w:jc w:val="both"/>
        <w:rPr>
          <w:rFonts w:ascii="Times New Roman" w:hAnsi="Times New Roman" w:cs="Times New Roman"/>
        </w:rPr>
      </w:pPr>
    </w:p>
    <w:p w14:paraId="61DBA046" w14:textId="77777777" w:rsidR="00767CD0" w:rsidRPr="00C51AE9" w:rsidRDefault="00C51AE9" w:rsidP="00F635BF">
      <w:pPr>
        <w:numPr>
          <w:ilvl w:val="0"/>
          <w:numId w:val="157"/>
        </w:numPr>
        <w:contextualSpacing/>
        <w:jc w:val="both"/>
        <w:rPr>
          <w:rFonts w:ascii="Times New Roman" w:hAnsi="Times New Roman" w:cs="Times New Roman"/>
        </w:rPr>
      </w:pPr>
      <w:r w:rsidRPr="00C51AE9">
        <w:rPr>
          <w:rFonts w:ascii="Times New Roman" w:hAnsi="Times New Roman" w:cs="Times New Roman"/>
        </w:rPr>
        <w:t xml:space="preserve">Bashkitë janë  përgjegjëse për organizimin e grumbullimit të diferencuar të mbetjeve të ambalazheve në territorin e tyre , në përputhje me planin vendor të menaxhimit të mbetjeve, sipas legjislacionit në fuqi për menaxhimin e integruar të mbetjeve. </w:t>
      </w:r>
    </w:p>
    <w:p w14:paraId="41A0849B" w14:textId="77777777" w:rsidR="00767CD0" w:rsidRPr="00C51AE9" w:rsidRDefault="00C51AE9" w:rsidP="00F635BF">
      <w:pPr>
        <w:numPr>
          <w:ilvl w:val="0"/>
          <w:numId w:val="157"/>
        </w:numPr>
        <w:contextualSpacing/>
        <w:jc w:val="both"/>
        <w:rPr>
          <w:rFonts w:ascii="Times New Roman" w:hAnsi="Times New Roman" w:cs="Times New Roman"/>
        </w:rPr>
      </w:pPr>
      <w:r w:rsidRPr="00C51AE9">
        <w:rPr>
          <w:rFonts w:ascii="Times New Roman" w:hAnsi="Times New Roman" w:cs="Times New Roman"/>
        </w:rPr>
        <w:lastRenderedPageBreak/>
        <w:t xml:space="preserve">Sistemet e grumbullimit të diferencuar të mbetjeve të ambalazheve integrohen në sistemin e përgjithshëm të grumbullimit të diferencuar të mbetjeve shtëpiake dhe mbetjeve të ngjashme me to, me origjinë tregtare, industriale dhe administrative. </w:t>
      </w:r>
    </w:p>
    <w:p w14:paraId="460C0CB8" w14:textId="77777777" w:rsidR="00767CD0" w:rsidRPr="00C51AE9" w:rsidRDefault="00C51AE9" w:rsidP="00F635BF">
      <w:pPr>
        <w:numPr>
          <w:ilvl w:val="0"/>
          <w:numId w:val="157"/>
        </w:numPr>
        <w:contextualSpacing/>
        <w:jc w:val="both"/>
        <w:rPr>
          <w:rFonts w:ascii="Times New Roman" w:hAnsi="Times New Roman" w:cs="Times New Roman"/>
        </w:rPr>
      </w:pPr>
      <w:r w:rsidRPr="00C51AE9">
        <w:rPr>
          <w:rFonts w:ascii="Times New Roman" w:hAnsi="Times New Roman" w:cs="Times New Roman"/>
        </w:rPr>
        <w:t xml:space="preserve">Bashkia përmbush detyrimet sipas pikës 1 të këtij neni nëpërmjet: </w:t>
      </w:r>
    </w:p>
    <w:p w14:paraId="5750C396"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a. lidhjes së kontratave me Shoqëritë e Përgjegjësisë së Zgjeruar të Subjekteve Prodhuese, të autorizuar sipas legjislacionit në fuqi; dhe/ose</w:t>
      </w:r>
    </w:p>
    <w:p w14:paraId="506C3C0A"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b. lidhjes së kontratave me operatorë ekonomikë të pajisur me leje mjedisore ose licencë për kryerjen e veprimtarive të menaxhimit të mbetjeve, sipas legjislacionit në fuqi; dhe/ose</w:t>
      </w:r>
    </w:p>
    <w:p w14:paraId="634830B6"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c. krijimit dhe administrimit të një sistemi të grumbullimit të diferencuar të mbetjeve të ambalazheve nga vetë njësia e vetëqeverisjes vendore, në përputhje me kërkesat minimale të përcaktuara në nenin 55 të këtij vendimi.</w:t>
      </w:r>
    </w:p>
    <w:p w14:paraId="6381913A" w14:textId="77777777" w:rsidR="00767CD0" w:rsidRPr="00C51AE9" w:rsidRDefault="00C51AE9" w:rsidP="00F635BF">
      <w:pPr>
        <w:numPr>
          <w:ilvl w:val="0"/>
          <w:numId w:val="158"/>
        </w:numPr>
        <w:contextualSpacing/>
        <w:jc w:val="both"/>
        <w:rPr>
          <w:rFonts w:ascii="Times New Roman" w:hAnsi="Times New Roman" w:cs="Times New Roman"/>
        </w:rPr>
      </w:pPr>
      <w:r w:rsidRPr="00C51AE9">
        <w:rPr>
          <w:rFonts w:ascii="Times New Roman" w:hAnsi="Times New Roman" w:cs="Times New Roman"/>
        </w:rPr>
        <w:t xml:space="preserve">Kontratat e parashikuara në pikën 3 të këtij neni përcaktojnë kushtet për grumbullimin e diferencuar të mbetjeve të ambalazheve nga familjet, ndërtesat administrative, institucionet sociale dhe publike, subjektet e shërbimit ushqimor, njësitë tregtare, si dhe objektet rekreative, argëtuese dhe turistike. </w:t>
      </w:r>
    </w:p>
    <w:p w14:paraId="7CAD5979" w14:textId="77777777" w:rsidR="00767CD0" w:rsidRPr="00C51AE9" w:rsidRDefault="00C51AE9" w:rsidP="00F635BF">
      <w:pPr>
        <w:numPr>
          <w:ilvl w:val="0"/>
          <w:numId w:val="158"/>
        </w:numPr>
        <w:contextualSpacing/>
        <w:jc w:val="both"/>
        <w:rPr>
          <w:rFonts w:ascii="Times New Roman" w:hAnsi="Times New Roman" w:cs="Times New Roman"/>
        </w:rPr>
      </w:pPr>
      <w:r w:rsidRPr="00C51AE9">
        <w:rPr>
          <w:rFonts w:ascii="Times New Roman" w:hAnsi="Times New Roman" w:cs="Times New Roman"/>
        </w:rPr>
        <w:t xml:space="preserve">Kontratat e parashikuara në pikën 3 të këtij neni përmbajnë, të paktën: </w:t>
      </w:r>
    </w:p>
    <w:p w14:paraId="214E7D61"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a. kërkesat për sistemin e grumbullimit të diferencuar të mbetjeve nga familjet, duke përfshirë popullsinë e mbuluar, llojin, numrin dhe vendndodhjen e kontejnerëve dhe pikave të grumbullimit, si dhe frekuencën e shërbimit;</w:t>
      </w:r>
    </w:p>
    <w:p w14:paraId="5B2CC6FB"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b. objektivat për grumbullimin e diferencuar, riciklimin dhe rikuperimin e mbetjeve të ambalazheve, si dhe mënyrën dhe procedurat e raportimit të arritjes së tyre;</w:t>
      </w:r>
    </w:p>
    <w:p w14:paraId="5FDA75BB"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c. detyrimet për kontrollin e zbatimit të kërkesave për grumbullimin e diferencuar në territorin e njësisë së vetëqeverisjes vendore;</w:t>
      </w:r>
    </w:p>
    <w:p w14:paraId="5AE36C03"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 xml:space="preserve">ç. detyrimet për informimin e publikut, zhvillimin e fushatave </w:t>
      </w:r>
      <w:proofErr w:type="spellStart"/>
      <w:r w:rsidRPr="00C51AE9">
        <w:rPr>
          <w:rFonts w:ascii="Times New Roman" w:hAnsi="Times New Roman" w:cs="Times New Roman"/>
        </w:rPr>
        <w:t>ndërgjegjësuese</w:t>
      </w:r>
      <w:proofErr w:type="spellEnd"/>
      <w:r w:rsidRPr="00C51AE9">
        <w:rPr>
          <w:rFonts w:ascii="Times New Roman" w:hAnsi="Times New Roman" w:cs="Times New Roman"/>
        </w:rPr>
        <w:t xml:space="preserve"> dhe edukimin e qytetarëve për funksionimin e sistemit të grumbullimit të diferencuar.</w:t>
      </w:r>
    </w:p>
    <w:p w14:paraId="61B38A33"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Bashkia përcakton vendndodhjen e elementeve të sistemit të grumbullimit të diferencuar të mbetjeve të ambalazheve në territorin e njësisë, në përputhje me kriteret minimale të përcaktuara në nenin 55 të këtij vendimi. </w:t>
      </w:r>
    </w:p>
    <w:p w14:paraId="3FC9C1EF"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Kontratat e parashikuara në pikën 3 të këtij neni përcaktojnë detyrimet e palëve lidhur me zbatimin dhe raportimin e objektivave të arritura për grumbullimin e diferencuar, riciklimin dhe rikuperimin e mbetjeve të ambalazheve. </w:t>
      </w:r>
    </w:p>
    <w:p w14:paraId="3A21CDE2"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Bashkia siguron dhe organizon zbatimin e masave të përshtatshme për parandalimin e ndërhyrjeve të paautorizuara dhe vjedhjes së mbetjeve nga kontejnerët e grumbullimit të diferencuar të mbetjeve të ambalazheve. </w:t>
      </w:r>
    </w:p>
    <w:p w14:paraId="3DE42BB2"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Bashkia bashkëpunon dhe mbështet Shoqëritë e Përgjegjësisë së Zgjeruar të Subjekteve Prodhuese në përgatitjen dhe zbatimin e fushatave të informimit dhe ndërgjegjësimit të publikut. </w:t>
      </w:r>
    </w:p>
    <w:p w14:paraId="756D2846"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Bashkia siguron që kontejnerët për mbetjet bashkiake, të ndryshe me nga ata të destinuar për mbetjet e ambalazheve, të mos kenë ngjyrë blu. </w:t>
      </w:r>
    </w:p>
    <w:p w14:paraId="77AEF2BF"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 xml:space="preserve">Brenda një muaji nga lidhja e kontratës sipas pikës 3 të këtij neni, bashkia dhe Shoqëritë e Përgjegjësisë së Zgjeruar të Subjekteve Prodhuese, sipas rastit, njoftojnë me shkrim Agjencinë Kombëtare të Mjedisit  dhe i paraqesin një kopje të kontratës. </w:t>
      </w:r>
    </w:p>
    <w:p w14:paraId="0DA38A31"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lastRenderedPageBreak/>
        <w:t>Në rastet kur  bashkia dhe administron vetë sistemin e grumbullimit të diferencuar të mbetjeve të ambalazheve ose lidh kontratë me operatorë ekonomikë sipas shkronjës "b" të pikës 3 të këtij neni, ajo ka të drejtë të përfitojë kompensim financiar nga Shoqëritë e Përgjegjësisë së Zgjeruar të Subjekteve Prodhuese për kostot e justifikuara të grumbullimit të diferencuar, transportit, para-trajtimit dhe trajtimit të mbetjeve të ambalazheve. Kompensimi përcaktohet në mënyrë proporcionale me sasitë e mbetjeve të ambalazheve të dorëzuara për riciklim ose rikuperim gjatë periudhës përkatëse.</w:t>
      </w:r>
    </w:p>
    <w:p w14:paraId="55F93691" w14:textId="77777777" w:rsidR="00767CD0" w:rsidRPr="00C51AE9" w:rsidRDefault="00C51AE9" w:rsidP="00F635BF">
      <w:pPr>
        <w:numPr>
          <w:ilvl w:val="0"/>
          <w:numId w:val="159"/>
        </w:numPr>
        <w:contextualSpacing/>
        <w:jc w:val="both"/>
        <w:rPr>
          <w:rFonts w:ascii="Times New Roman" w:hAnsi="Times New Roman" w:cs="Times New Roman"/>
        </w:rPr>
      </w:pPr>
      <w:r w:rsidRPr="00C51AE9">
        <w:rPr>
          <w:rFonts w:ascii="Times New Roman" w:hAnsi="Times New Roman" w:cs="Times New Roman"/>
        </w:rPr>
        <w:t>Në rastet e parashikuara në shkronjën b të pikës 3 të këtij neni, njëkohësisht me njoftimin sipas pikës 11 të këtij neni,  bashkia paraqet në Agjencinë Kombëtare të Mjedisit programin për menaxhimin e mbetjeve të ambalazheve në territorin e njësisë së vetëqeverisjes vendore, të miratuar nga këshilli i njësisë së vetëqeverisjes vendore, i cili përfshin të paktën:</w:t>
      </w:r>
    </w:p>
    <w:p w14:paraId="54AF3E6D" w14:textId="77777777" w:rsidR="00767CD0" w:rsidRPr="00C51AE9" w:rsidRDefault="00C51AE9" w:rsidP="00F635BF">
      <w:pPr>
        <w:numPr>
          <w:ilvl w:val="0"/>
          <w:numId w:val="161"/>
        </w:numPr>
        <w:contextualSpacing/>
        <w:jc w:val="both"/>
        <w:rPr>
          <w:rFonts w:ascii="Times New Roman" w:hAnsi="Times New Roman" w:cs="Times New Roman"/>
        </w:rPr>
      </w:pPr>
      <w:r w:rsidRPr="00C51AE9">
        <w:rPr>
          <w:rFonts w:ascii="Times New Roman" w:hAnsi="Times New Roman" w:cs="Times New Roman"/>
        </w:rPr>
        <w:t>vlerësimin paraprak të sasive të mbetjeve të ambalazheve që do të grumbullohen në mënyrë të diferencuar, sipas llojit të materialit dhe burimit të gjenerimit;</w:t>
      </w:r>
    </w:p>
    <w:p w14:paraId="61FACF0F" w14:textId="77777777" w:rsidR="00767CD0" w:rsidRPr="00C51AE9" w:rsidRDefault="00C51AE9" w:rsidP="00F635BF">
      <w:pPr>
        <w:numPr>
          <w:ilvl w:val="0"/>
          <w:numId w:val="161"/>
        </w:numPr>
        <w:contextualSpacing/>
        <w:jc w:val="both"/>
        <w:rPr>
          <w:rFonts w:ascii="Times New Roman" w:hAnsi="Times New Roman" w:cs="Times New Roman"/>
        </w:rPr>
      </w:pPr>
      <w:r w:rsidRPr="00C51AE9">
        <w:rPr>
          <w:rFonts w:ascii="Times New Roman" w:hAnsi="Times New Roman" w:cs="Times New Roman"/>
        </w:rPr>
        <w:t xml:space="preserve"> vlerësimin e popullsisë që mbulohet nga sistemi i grumbullimit të diferencuar të mbetjeve të ambalazheve;</w:t>
      </w:r>
    </w:p>
    <w:p w14:paraId="6DE66F21" w14:textId="77777777" w:rsidR="00767CD0" w:rsidRPr="00C51AE9" w:rsidRDefault="00C51AE9" w:rsidP="00F635BF">
      <w:pPr>
        <w:numPr>
          <w:ilvl w:val="0"/>
          <w:numId w:val="161"/>
        </w:numPr>
        <w:contextualSpacing/>
        <w:jc w:val="both"/>
        <w:rPr>
          <w:rFonts w:ascii="Times New Roman" w:hAnsi="Times New Roman" w:cs="Times New Roman"/>
        </w:rPr>
      </w:pPr>
      <w:r w:rsidRPr="00C51AE9">
        <w:rPr>
          <w:rFonts w:ascii="Times New Roman" w:hAnsi="Times New Roman" w:cs="Times New Roman"/>
        </w:rPr>
        <w:t>planin për zbatimin e sistemit të grumbullimit të diferencuar të mbetjeve të ambalazheve nga familjet, i cili përfshin:</w:t>
      </w:r>
    </w:p>
    <w:p w14:paraId="3C42286B"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t>i. përshkrimin e sistemit ekzistues të grumbullimit të diferencuar të mbetjeve të ambalazheve, kur një sistem i tillë ekziston;</w:t>
      </w:r>
    </w:p>
    <w:p w14:paraId="51156C35" w14:textId="77777777" w:rsidR="00767CD0" w:rsidRPr="00C51AE9" w:rsidRDefault="00C51AE9">
      <w:pPr>
        <w:ind w:left="720"/>
        <w:jc w:val="both"/>
        <w:rPr>
          <w:rFonts w:ascii="Times New Roman" w:hAnsi="Times New Roman" w:cs="Times New Roman"/>
        </w:rPr>
      </w:pPr>
      <w:proofErr w:type="spellStart"/>
      <w:r w:rsidRPr="00C51AE9">
        <w:rPr>
          <w:rFonts w:ascii="Times New Roman" w:hAnsi="Times New Roman" w:cs="Times New Roman"/>
        </w:rPr>
        <w:t>ii</w:t>
      </w:r>
      <w:proofErr w:type="spellEnd"/>
      <w:r w:rsidRPr="00C51AE9">
        <w:rPr>
          <w:rFonts w:ascii="Times New Roman" w:hAnsi="Times New Roman" w:cs="Times New Roman"/>
        </w:rPr>
        <w:t>. përshkrimin e llojit dhe karakteristikave teknike të kontejnerëve për grumbullimin e diferencuar, si dhe të mjeteve të specializuara të transportit që do të përdoren për shërbimin e tyre, duke përfshirë frekuencën e planifikuar të grumbullimit, në përputhje me madhësinë dhe karakteristikat e vendbanimeve;</w:t>
      </w:r>
    </w:p>
    <w:p w14:paraId="3DE51734" w14:textId="77777777" w:rsidR="00767CD0" w:rsidRPr="00C51AE9" w:rsidRDefault="00C51AE9">
      <w:pPr>
        <w:ind w:left="720"/>
        <w:jc w:val="both"/>
        <w:rPr>
          <w:rFonts w:ascii="Times New Roman" w:hAnsi="Times New Roman" w:cs="Times New Roman"/>
        </w:rPr>
      </w:pPr>
      <w:proofErr w:type="spellStart"/>
      <w:r w:rsidRPr="00C51AE9">
        <w:rPr>
          <w:rFonts w:ascii="Times New Roman" w:hAnsi="Times New Roman" w:cs="Times New Roman"/>
        </w:rPr>
        <w:t>iii</w:t>
      </w:r>
      <w:proofErr w:type="spellEnd"/>
      <w:r w:rsidRPr="00C51AE9">
        <w:rPr>
          <w:rFonts w:ascii="Times New Roman" w:hAnsi="Times New Roman" w:cs="Times New Roman"/>
        </w:rPr>
        <w:t>. planin e detajuar dhe vlerësimin për vendosjen e kontejnerëve për grumbullimin e diferencuar dhe sigurimin e mjeteve të specializuara të transportit, në përputhje me kërkesat minimale të përcaktuara në nenin 55 të këtij vendimi;</w:t>
      </w:r>
    </w:p>
    <w:p w14:paraId="18B7F997" w14:textId="77777777" w:rsidR="00767CD0" w:rsidRPr="00C51AE9" w:rsidRDefault="00C51AE9">
      <w:pPr>
        <w:ind w:left="720"/>
        <w:jc w:val="both"/>
        <w:rPr>
          <w:rFonts w:ascii="Times New Roman" w:hAnsi="Times New Roman" w:cs="Times New Roman"/>
        </w:rPr>
      </w:pPr>
      <w:proofErr w:type="spellStart"/>
      <w:r w:rsidRPr="00C51AE9">
        <w:rPr>
          <w:rFonts w:ascii="Times New Roman" w:hAnsi="Times New Roman" w:cs="Times New Roman"/>
        </w:rPr>
        <w:t>iv</w:t>
      </w:r>
      <w:proofErr w:type="spellEnd"/>
      <w:r w:rsidRPr="00C51AE9">
        <w:rPr>
          <w:rFonts w:ascii="Times New Roman" w:hAnsi="Times New Roman" w:cs="Times New Roman"/>
        </w:rPr>
        <w:t>. informacion mbi vendet dhe objektet ekzistuese për para-trajtimin, përfshirë ndarjen e mbetjeve të ambalazheve të grumbulluara në mënyrë të diferencuar, si dhe vlerësimin paraprak për krijimin e objekteve të reja, sipas nevojës;</w:t>
      </w:r>
    </w:p>
    <w:p w14:paraId="64EEC535"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t>v. vlerësimin paraprak financiar të sistemit të përzgjedhur për grumbullimin e diferencuar, rikuperimin dhe riciklimin e mbetjeve të ambalazheve, si dhe dokumentacionin që provon sigurimin e financimit për investimin fillestar dhe kostot e funksionimit;</w:t>
      </w:r>
    </w:p>
    <w:p w14:paraId="37107AAA" w14:textId="77777777" w:rsidR="00767CD0" w:rsidRPr="00C51AE9" w:rsidRDefault="00C51AE9">
      <w:pPr>
        <w:ind w:left="720"/>
        <w:jc w:val="both"/>
        <w:rPr>
          <w:rFonts w:ascii="Times New Roman" w:hAnsi="Times New Roman" w:cs="Times New Roman"/>
        </w:rPr>
      </w:pPr>
      <w:proofErr w:type="spellStart"/>
      <w:r w:rsidRPr="00C51AE9">
        <w:rPr>
          <w:rFonts w:ascii="Times New Roman" w:hAnsi="Times New Roman" w:cs="Times New Roman"/>
        </w:rPr>
        <w:t>vi</w:t>
      </w:r>
      <w:proofErr w:type="spellEnd"/>
      <w:r w:rsidRPr="00C51AE9">
        <w:rPr>
          <w:rFonts w:ascii="Times New Roman" w:hAnsi="Times New Roman" w:cs="Times New Roman"/>
        </w:rPr>
        <w:t>. planin për informimin dhe përfshirjen e banorëve të njësisë së vetëqeverisjes vendore në  zbatimin e sistemit të grumbullimit të diferencuar të mbetjeve të ambalazheve, duke përfshirë programe edukimi dhe ndërgjegjësimi për institucionet arsimore dhe publikun.</w:t>
      </w:r>
    </w:p>
    <w:p w14:paraId="0E3EA1A1"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t>14. Programi i parashikuar në pikën 13 të këtij neni hartohet dhe miratohet për një periudhë jo më të shkurtër se 3 (tre) vjet.</w:t>
      </w:r>
    </w:p>
    <w:p w14:paraId="13CB571C"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lastRenderedPageBreak/>
        <w:t>15. Në rastet e parashikuara në shkronjën "b" të pikës 3 të këtij neni, bashkia i paraqet Agjencisë Kombëtare të Mjedisit, brenda datës 31 mars të çdo viti, raportin vjetor për zbatimin e sistemit të grumbullimit të diferencuar të mbetjeve të ambalazheve, i cili përfshin të paktën:</w:t>
      </w:r>
    </w:p>
    <w:p w14:paraId="7AD99ACB" w14:textId="77777777" w:rsidR="00767CD0" w:rsidRPr="00C51AE9" w:rsidRDefault="00C51AE9" w:rsidP="00F635BF">
      <w:pPr>
        <w:numPr>
          <w:ilvl w:val="1"/>
          <w:numId w:val="160"/>
        </w:numPr>
        <w:contextualSpacing/>
        <w:jc w:val="both"/>
        <w:rPr>
          <w:rFonts w:ascii="Times New Roman" w:hAnsi="Times New Roman" w:cs="Times New Roman"/>
        </w:rPr>
      </w:pPr>
      <w:r w:rsidRPr="00C51AE9">
        <w:rPr>
          <w:rFonts w:ascii="Times New Roman" w:hAnsi="Times New Roman" w:cs="Times New Roman"/>
        </w:rPr>
        <w:t>numrin e kontejnerëve të vendosur për grumbullimin e diferencuar, në përputhje me kërkesat për popullsinë e mbuluar sipas nenit 58 të këtij vendimi, si dhe frekuencën e shërbimit të tyre;</w:t>
      </w:r>
    </w:p>
    <w:p w14:paraId="091464D8" w14:textId="77777777" w:rsidR="00767CD0" w:rsidRPr="00C51AE9" w:rsidRDefault="00C51AE9" w:rsidP="00F635BF">
      <w:pPr>
        <w:numPr>
          <w:ilvl w:val="1"/>
          <w:numId w:val="160"/>
        </w:numPr>
        <w:contextualSpacing/>
        <w:jc w:val="both"/>
        <w:rPr>
          <w:rFonts w:ascii="Times New Roman" w:hAnsi="Times New Roman" w:cs="Times New Roman"/>
        </w:rPr>
      </w:pPr>
      <w:r w:rsidRPr="00C51AE9">
        <w:rPr>
          <w:rFonts w:ascii="Times New Roman" w:hAnsi="Times New Roman" w:cs="Times New Roman"/>
        </w:rPr>
        <w:t>sasinë mesatare vjetore të mbetjeve të ambalazheve të grumbulluara për çdo kontejner, sipas llojit të materialit;</w:t>
      </w:r>
    </w:p>
    <w:p w14:paraId="6E6D7920" w14:textId="77777777" w:rsidR="00767CD0" w:rsidRPr="00C51AE9" w:rsidRDefault="00C51AE9" w:rsidP="00F635BF">
      <w:pPr>
        <w:numPr>
          <w:ilvl w:val="1"/>
          <w:numId w:val="160"/>
        </w:numPr>
        <w:contextualSpacing/>
        <w:jc w:val="both"/>
        <w:rPr>
          <w:rFonts w:ascii="Times New Roman" w:hAnsi="Times New Roman" w:cs="Times New Roman"/>
        </w:rPr>
      </w:pPr>
      <w:r w:rsidRPr="00C51AE9">
        <w:rPr>
          <w:rFonts w:ascii="Times New Roman" w:hAnsi="Times New Roman" w:cs="Times New Roman"/>
        </w:rPr>
        <w:t>sasinë mesatare vjetore të mbetjeve të ambalazheve të grumbulluara për banor;</w:t>
      </w:r>
    </w:p>
    <w:p w14:paraId="78CCA57A" w14:textId="77777777" w:rsidR="00767CD0" w:rsidRPr="00C51AE9" w:rsidRDefault="00C51AE9">
      <w:pPr>
        <w:ind w:left="1080"/>
        <w:contextualSpacing/>
        <w:jc w:val="both"/>
        <w:rPr>
          <w:rFonts w:ascii="Times New Roman" w:hAnsi="Times New Roman" w:cs="Times New Roman"/>
        </w:rPr>
      </w:pPr>
      <w:r w:rsidRPr="00C51AE9">
        <w:rPr>
          <w:rFonts w:ascii="Times New Roman" w:hAnsi="Times New Roman" w:cs="Times New Roman"/>
        </w:rPr>
        <w:t>ç. listën e vendeve dhe objekteve, në pronësi, me qira ose të përdorura mbi baza të tjera ligjore, ku kryhen veprimtaritë e para-trajtimit të mbetjeve;</w:t>
      </w:r>
    </w:p>
    <w:p w14:paraId="5DF5260A" w14:textId="77777777" w:rsidR="00767CD0" w:rsidRPr="00C51AE9" w:rsidRDefault="00C51AE9" w:rsidP="00F635BF">
      <w:pPr>
        <w:numPr>
          <w:ilvl w:val="1"/>
          <w:numId w:val="160"/>
        </w:numPr>
        <w:contextualSpacing/>
        <w:jc w:val="both"/>
        <w:rPr>
          <w:rFonts w:ascii="Times New Roman" w:hAnsi="Times New Roman" w:cs="Times New Roman"/>
        </w:rPr>
      </w:pPr>
      <w:r w:rsidRPr="00C51AE9">
        <w:rPr>
          <w:rFonts w:ascii="Times New Roman" w:hAnsi="Times New Roman" w:cs="Times New Roman"/>
        </w:rPr>
        <w:t xml:space="preserve">sasitë e mbetjeve të ambalazheve të dërguara për riciklim ose rikuperim, si dhe </w:t>
      </w:r>
      <w:proofErr w:type="spellStart"/>
      <w:r w:rsidRPr="00C51AE9">
        <w:rPr>
          <w:rFonts w:ascii="Times New Roman" w:hAnsi="Times New Roman" w:cs="Times New Roman"/>
        </w:rPr>
        <w:t>destinacionin</w:t>
      </w:r>
      <w:proofErr w:type="spellEnd"/>
      <w:r w:rsidRPr="00C51AE9">
        <w:rPr>
          <w:rFonts w:ascii="Times New Roman" w:hAnsi="Times New Roman" w:cs="Times New Roman"/>
        </w:rPr>
        <w:t xml:space="preserve"> përfundimtar të tyre, sipas llojit të materialit, gjatë vitit pararendës.</w:t>
      </w:r>
    </w:p>
    <w:p w14:paraId="20C13D0E" w14:textId="77777777" w:rsidR="00767CD0" w:rsidRPr="00C51AE9" w:rsidRDefault="00767CD0">
      <w:pPr>
        <w:jc w:val="both"/>
        <w:rPr>
          <w:rFonts w:ascii="Times New Roman" w:hAnsi="Times New Roman" w:cs="Times New Roman"/>
        </w:rPr>
      </w:pPr>
    </w:p>
    <w:p w14:paraId="304FF962"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58</w:t>
      </w:r>
    </w:p>
    <w:p w14:paraId="071F0064"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5" w:name="_Toc227317660"/>
      <w:r w:rsidRPr="00C51AE9">
        <w:rPr>
          <w:rFonts w:ascii="Times New Roman" w:eastAsiaTheme="majorEastAsia" w:hAnsi="Times New Roman" w:cs="Times New Roman"/>
          <w:b/>
        </w:rPr>
        <w:t xml:space="preserve">Kërkesat për grumbullimin e diferencuar të mbetjeve të </w:t>
      </w:r>
      <w:bookmarkEnd w:id="65"/>
      <w:r w:rsidRPr="00C51AE9">
        <w:rPr>
          <w:rFonts w:ascii="Times New Roman" w:eastAsiaTheme="majorEastAsia" w:hAnsi="Times New Roman" w:cs="Times New Roman"/>
          <w:b/>
        </w:rPr>
        <w:t>ambalazhimit</w:t>
      </w:r>
    </w:p>
    <w:p w14:paraId="4B5EC35C" w14:textId="77777777" w:rsidR="00767CD0" w:rsidRPr="00C51AE9" w:rsidRDefault="00C51AE9" w:rsidP="00F635BF">
      <w:pPr>
        <w:numPr>
          <w:ilvl w:val="0"/>
          <w:numId w:val="57"/>
        </w:numPr>
        <w:contextualSpacing/>
        <w:jc w:val="both"/>
        <w:rPr>
          <w:rFonts w:ascii="Times New Roman" w:hAnsi="Times New Roman" w:cs="Times New Roman"/>
        </w:rPr>
      </w:pPr>
      <w:r w:rsidRPr="00C51AE9">
        <w:rPr>
          <w:rFonts w:ascii="Times New Roman" w:hAnsi="Times New Roman" w:cs="Times New Roman"/>
        </w:rPr>
        <w:t xml:space="preserve">Sistemet për grumbullimin e veçantë të mbetjeve të ambalazheve të organizuara nga Shoqëritë e përgjegjësisë së zgjeruar të subjekteve prodhuese të duhet të mbulojnë një numër minimal banorësh në përputhje me dispozitat e nenit 57 të këtij vendimi dhe në përpjesëtim me pjesën e tregut të Shoqërive të përgjegjësisë së zgjeruar të subjekteve prodhuese përkatëse, sipas formulës në nenin 3, pika 41 të këtij vendimi. </w:t>
      </w:r>
    </w:p>
    <w:p w14:paraId="0D7981C2" w14:textId="77777777" w:rsidR="00767CD0" w:rsidRPr="00C51AE9" w:rsidRDefault="00C51AE9" w:rsidP="00F635BF">
      <w:pPr>
        <w:numPr>
          <w:ilvl w:val="0"/>
          <w:numId w:val="57"/>
        </w:numPr>
        <w:contextualSpacing/>
        <w:jc w:val="both"/>
        <w:rPr>
          <w:rFonts w:ascii="Times New Roman" w:hAnsi="Times New Roman" w:cs="Times New Roman"/>
        </w:rPr>
      </w:pPr>
      <w:r w:rsidRPr="00C51AE9">
        <w:rPr>
          <w:rFonts w:ascii="Times New Roman" w:hAnsi="Times New Roman" w:cs="Times New Roman"/>
        </w:rPr>
        <w:t xml:space="preserve">Pjesa e tregut e Shoqërive të përgjegjësisë së zgjeruar të subjekteve prodhuese llogaritet për çdo tremujor në përputhje me nenin 3, pika 41 të këtij vendimi. Informacioni i nevojshëm për llogaritjen e pjesës së tregut do t'i jepet me shkrim nga Agjencisë Kombëtare e Mjedisit nga Shoqëria e përgjegjësisë së zgjeruar të subjekteve prodhuese brenda datës 15 të muajit pasardhës të tremujorit, përkatësisht deri më 15 janar, 15 maj dhe 15 shtator të çdo viti. Secila shoqëri e përgjegjësisë së zgjeruar të subjekteve prodhuese jep informacion për ambalazhimin përkatës për 12 muajt e fundit, mbi bazë mujore dhe në total. </w:t>
      </w:r>
    </w:p>
    <w:p w14:paraId="0973A115" w14:textId="77777777" w:rsidR="00767CD0" w:rsidRPr="00C51AE9" w:rsidRDefault="00C51AE9" w:rsidP="00F635BF">
      <w:pPr>
        <w:numPr>
          <w:ilvl w:val="0"/>
          <w:numId w:val="57"/>
        </w:numPr>
        <w:contextualSpacing/>
        <w:jc w:val="both"/>
        <w:rPr>
          <w:rFonts w:ascii="Times New Roman" w:hAnsi="Times New Roman" w:cs="Times New Roman"/>
        </w:rPr>
      </w:pPr>
      <w:r w:rsidRPr="00C51AE9">
        <w:rPr>
          <w:rFonts w:ascii="Times New Roman" w:hAnsi="Times New Roman" w:cs="Times New Roman"/>
        </w:rPr>
        <w:t>Agjencia Kombëtare e Mjedisit, mbi bazën e të dhënave të paraqitura sipas pikës 2, të këtij neni, publikon në faqen e saj zyrtare informacionin mbi pjesën e tregut për secilën prej shoqërive të regjistruara, brenda datës 30 të muajit pasues të periudhës raportuese.</w:t>
      </w:r>
    </w:p>
    <w:p w14:paraId="33F75F8C" w14:textId="77777777" w:rsidR="00767CD0" w:rsidRPr="00C51AE9" w:rsidRDefault="00C51AE9" w:rsidP="00F635BF">
      <w:pPr>
        <w:numPr>
          <w:ilvl w:val="0"/>
          <w:numId w:val="57"/>
        </w:numPr>
        <w:contextualSpacing/>
        <w:jc w:val="both"/>
        <w:rPr>
          <w:rFonts w:ascii="Times New Roman" w:hAnsi="Times New Roman" w:cs="Times New Roman"/>
        </w:rPr>
      </w:pPr>
      <w:r w:rsidRPr="00C51AE9">
        <w:rPr>
          <w:rFonts w:ascii="Times New Roman" w:hAnsi="Times New Roman" w:cs="Times New Roman"/>
        </w:rPr>
        <w:t>Për vërtetimin e numrit të banorëve të shërbyer nga shoqëria e përgjegjësisë së zgjeruar të subjekteve prodhuese, përdoren si provë:</w:t>
      </w:r>
    </w:p>
    <w:p w14:paraId="34194B30" w14:textId="77777777" w:rsidR="00767CD0" w:rsidRPr="00C51AE9" w:rsidRDefault="00C51AE9" w:rsidP="00F635BF">
      <w:pPr>
        <w:numPr>
          <w:ilvl w:val="1"/>
          <w:numId w:val="51"/>
        </w:numPr>
        <w:ind w:hanging="11"/>
        <w:contextualSpacing/>
        <w:jc w:val="both"/>
        <w:rPr>
          <w:rFonts w:ascii="Times New Roman" w:hAnsi="Times New Roman" w:cs="Times New Roman"/>
        </w:rPr>
      </w:pPr>
      <w:r w:rsidRPr="00C51AE9">
        <w:rPr>
          <w:rFonts w:ascii="Times New Roman" w:hAnsi="Times New Roman" w:cs="Times New Roman"/>
        </w:rPr>
        <w:t>kontratat e nënshkruara me njësitë e vetëqeverisjes vendore, sipas nenit 51 të ligjit nr. 57/2025 Për menaxhimin e integruar të mbetjeve;</w:t>
      </w:r>
    </w:p>
    <w:p w14:paraId="4966354C" w14:textId="77777777" w:rsidR="00767CD0" w:rsidRPr="00C51AE9" w:rsidRDefault="00C51AE9" w:rsidP="00F635BF">
      <w:pPr>
        <w:numPr>
          <w:ilvl w:val="1"/>
          <w:numId w:val="51"/>
        </w:numPr>
        <w:ind w:hanging="11"/>
        <w:contextualSpacing/>
        <w:jc w:val="both"/>
        <w:rPr>
          <w:rFonts w:ascii="Times New Roman" w:hAnsi="Times New Roman" w:cs="Times New Roman"/>
        </w:rPr>
      </w:pPr>
      <w:r w:rsidRPr="00C51AE9">
        <w:rPr>
          <w:rFonts w:ascii="Times New Roman" w:hAnsi="Times New Roman" w:cs="Times New Roman"/>
        </w:rPr>
        <w:t>të dhënat zyrtare të popullsisë së bashkisë përkatëse, të publikuara nga Instituti i Statistikave;</w:t>
      </w:r>
    </w:p>
    <w:p w14:paraId="71177BAC" w14:textId="77777777" w:rsidR="00767CD0" w:rsidRPr="00C51AE9" w:rsidRDefault="00C51AE9" w:rsidP="00F635BF">
      <w:pPr>
        <w:numPr>
          <w:ilvl w:val="1"/>
          <w:numId w:val="51"/>
        </w:numPr>
        <w:ind w:hanging="11"/>
        <w:contextualSpacing/>
        <w:jc w:val="both"/>
        <w:rPr>
          <w:rFonts w:ascii="Times New Roman" w:hAnsi="Times New Roman" w:cs="Times New Roman"/>
        </w:rPr>
      </w:pPr>
      <w:r w:rsidRPr="00C51AE9">
        <w:rPr>
          <w:rFonts w:ascii="Times New Roman" w:hAnsi="Times New Roman" w:cs="Times New Roman"/>
        </w:rPr>
        <w:lastRenderedPageBreak/>
        <w:t xml:space="preserve">dokumentacioni që vërteton përmbushjen e kërkesave minimale për sistemet e grumbullimit të veçuar, sipas nenit 50 të ligjit nr. 57/2025. </w:t>
      </w:r>
    </w:p>
    <w:p w14:paraId="2CF0783C" w14:textId="77777777" w:rsidR="00767CD0" w:rsidRPr="00C51AE9" w:rsidRDefault="00C51AE9" w:rsidP="00F635BF">
      <w:pPr>
        <w:numPr>
          <w:ilvl w:val="0"/>
          <w:numId w:val="154"/>
        </w:numPr>
        <w:contextualSpacing/>
        <w:jc w:val="both"/>
        <w:rPr>
          <w:rFonts w:ascii="Times New Roman" w:hAnsi="Times New Roman" w:cs="Times New Roman"/>
        </w:rPr>
      </w:pPr>
      <w:r w:rsidRPr="00C51AE9">
        <w:rPr>
          <w:rFonts w:ascii="Times New Roman" w:hAnsi="Times New Roman" w:cs="Times New Roman"/>
        </w:rPr>
        <w:t>Shoqëritë e përgjegjësisë së zgjeruar të subjektit prodhuese detyrohen të përmbushin kërkesat për mbulimin e popullsisë me shërbime të grumbullimit të veçantë, brenda 3 (tre) muajve nga data e publikimit të pjesëve të tregut nga Agjencia Kombëtare e Mjedisit.</w:t>
      </w:r>
    </w:p>
    <w:p w14:paraId="20416E4A" w14:textId="77777777" w:rsidR="00767CD0" w:rsidRPr="00C51AE9" w:rsidRDefault="00767CD0">
      <w:pPr>
        <w:ind w:left="990"/>
        <w:contextualSpacing/>
        <w:jc w:val="both"/>
        <w:rPr>
          <w:rFonts w:ascii="Times New Roman" w:hAnsi="Times New Roman" w:cs="Times New Roman"/>
        </w:rPr>
      </w:pPr>
    </w:p>
    <w:p w14:paraId="0930D438"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59</w:t>
      </w:r>
    </w:p>
    <w:p w14:paraId="314A18D3"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6" w:name="_Toc227317661"/>
      <w:r w:rsidRPr="00C51AE9">
        <w:rPr>
          <w:rFonts w:ascii="Times New Roman" w:eastAsiaTheme="majorEastAsia" w:hAnsi="Times New Roman" w:cs="Times New Roman"/>
          <w:b/>
        </w:rPr>
        <w:t>Përmbushja individuale e detyrimeve</w:t>
      </w:r>
      <w:bookmarkEnd w:id="66"/>
      <w:r w:rsidRPr="00C51AE9">
        <w:rPr>
          <w:rFonts w:ascii="Times New Roman" w:eastAsiaTheme="majorEastAsia" w:hAnsi="Times New Roman" w:cs="Times New Roman"/>
          <w:b/>
        </w:rPr>
        <w:t xml:space="preserve"> dhe masat</w:t>
      </w:r>
    </w:p>
    <w:p w14:paraId="02A71E23" w14:textId="77777777" w:rsidR="00767CD0" w:rsidRPr="00C51AE9" w:rsidRDefault="00C51AE9" w:rsidP="00F635BF">
      <w:pPr>
        <w:numPr>
          <w:ilvl w:val="0"/>
          <w:numId w:val="58"/>
        </w:numPr>
        <w:tabs>
          <w:tab w:val="left" w:pos="540"/>
        </w:tabs>
        <w:spacing w:after="0"/>
        <w:ind w:left="630"/>
        <w:contextualSpacing/>
        <w:jc w:val="both"/>
        <w:rPr>
          <w:rFonts w:ascii="Times New Roman" w:hAnsi="Times New Roman" w:cs="Times New Roman"/>
        </w:rPr>
      </w:pPr>
      <w:r w:rsidRPr="00C51AE9">
        <w:rPr>
          <w:rFonts w:ascii="Times New Roman" w:hAnsi="Times New Roman" w:cs="Times New Roman"/>
        </w:rPr>
        <w:t>Prodhuesit, të cilët përmbushin detyrimet e Përgjegjësisë së Zgjeruar të Prodhuesit  në mënyrë individuale, sipas përcaktimeve të ligjit në fuqi për menaxhimin e integruar të mbetjeve, duhet të plotësojnë këto kushte:</w:t>
      </w:r>
    </w:p>
    <w:p w14:paraId="603BE321" w14:textId="77777777" w:rsidR="00767CD0" w:rsidRPr="00C51AE9" w:rsidRDefault="00C51AE9" w:rsidP="00F635BF">
      <w:pPr>
        <w:numPr>
          <w:ilvl w:val="0"/>
          <w:numId w:val="95"/>
        </w:numPr>
        <w:spacing w:after="0"/>
        <w:ind w:left="990"/>
        <w:contextualSpacing/>
        <w:jc w:val="both"/>
        <w:rPr>
          <w:rFonts w:ascii="Times New Roman" w:hAnsi="Times New Roman" w:cs="Times New Roman"/>
        </w:rPr>
      </w:pPr>
      <w:r w:rsidRPr="00C51AE9">
        <w:rPr>
          <w:rFonts w:ascii="Times New Roman" w:hAnsi="Times New Roman" w:cs="Times New Roman"/>
        </w:rPr>
        <w:t>regjistrohen sipas përcaktimeve të Ligjit 74/2025, neni 5, pika 2,a, pranë Agjencisë Kombëtare e Mjedisit;</w:t>
      </w:r>
    </w:p>
    <w:p w14:paraId="74854E97" w14:textId="77777777" w:rsidR="00767CD0" w:rsidRPr="00C51AE9" w:rsidRDefault="00C51AE9" w:rsidP="00F635BF">
      <w:pPr>
        <w:numPr>
          <w:ilvl w:val="0"/>
          <w:numId w:val="95"/>
        </w:numPr>
        <w:spacing w:after="0"/>
        <w:ind w:left="990"/>
        <w:contextualSpacing/>
        <w:jc w:val="both"/>
        <w:rPr>
          <w:rFonts w:ascii="Times New Roman" w:hAnsi="Times New Roman" w:cs="Times New Roman"/>
        </w:rPr>
      </w:pPr>
      <w:r w:rsidRPr="00C51AE9">
        <w:rPr>
          <w:rFonts w:ascii="Times New Roman" w:hAnsi="Times New Roman" w:cs="Times New Roman"/>
        </w:rPr>
        <w:t>pajisen me lejen mjedisore përkatëse për kryerjen e operacioneve të menaxhimit të mbetjeve, sipas legjislacionit në fuqi për mjedisin dhe për licencat, autorizimet dhe lejet në Republikën e Shqipërisë;</w:t>
      </w:r>
    </w:p>
    <w:p w14:paraId="3924F363" w14:textId="77777777" w:rsidR="00767CD0" w:rsidRPr="00C51AE9" w:rsidRDefault="00C51AE9" w:rsidP="00F635BF">
      <w:pPr>
        <w:numPr>
          <w:ilvl w:val="0"/>
          <w:numId w:val="95"/>
        </w:numPr>
        <w:spacing w:after="0"/>
        <w:ind w:left="990"/>
        <w:contextualSpacing/>
        <w:jc w:val="both"/>
        <w:rPr>
          <w:rFonts w:ascii="Times New Roman" w:hAnsi="Times New Roman" w:cs="Times New Roman"/>
        </w:rPr>
      </w:pPr>
      <w:r w:rsidRPr="00C51AE9">
        <w:rPr>
          <w:rFonts w:ascii="Times New Roman" w:hAnsi="Times New Roman" w:cs="Times New Roman"/>
        </w:rPr>
        <w:t xml:space="preserve">pajisen me autorizim për përmbushjen individuale të përgjegjësisë së zgjeruar të prodhuesit, sipas procedurave të përcaktuara në këtë vendim dhe në përputhje me ligjin nr.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dhe aktet nënligjore të nxjerra në zbatim të tij;</w:t>
      </w:r>
    </w:p>
    <w:p w14:paraId="5999F29B" w14:textId="77777777" w:rsidR="00767CD0" w:rsidRPr="00C51AE9" w:rsidRDefault="00C51AE9" w:rsidP="00F635BF">
      <w:pPr>
        <w:numPr>
          <w:ilvl w:val="0"/>
          <w:numId w:val="58"/>
        </w:numPr>
        <w:spacing w:after="0"/>
        <w:contextualSpacing/>
        <w:rPr>
          <w:rFonts w:ascii="Times New Roman" w:hAnsi="Times New Roman" w:cs="Times New Roman"/>
        </w:rPr>
      </w:pPr>
      <w:r w:rsidRPr="00C51AE9">
        <w:rPr>
          <w:rFonts w:ascii="Times New Roman" w:hAnsi="Times New Roman" w:cs="Times New Roman"/>
        </w:rPr>
        <w:t xml:space="preserve">Prodhuesit sipas paragrafit 1 të këtij neni sigurojnë me shpenzimet e tyre: </w:t>
      </w:r>
    </w:p>
    <w:p w14:paraId="01FD15C1" w14:textId="77777777" w:rsidR="00767CD0" w:rsidRPr="00C51AE9" w:rsidRDefault="00C51AE9" w:rsidP="00F635BF">
      <w:pPr>
        <w:numPr>
          <w:ilvl w:val="0"/>
          <w:numId w:val="59"/>
        </w:numPr>
        <w:spacing w:after="0"/>
        <w:ind w:left="1080"/>
        <w:contextualSpacing/>
        <w:jc w:val="both"/>
        <w:rPr>
          <w:rFonts w:ascii="Times New Roman" w:hAnsi="Times New Roman" w:cs="Times New Roman"/>
        </w:rPr>
      </w:pPr>
      <w:r w:rsidRPr="00C51AE9">
        <w:rPr>
          <w:rFonts w:ascii="Times New Roman" w:hAnsi="Times New Roman" w:cs="Times New Roman"/>
        </w:rPr>
        <w:t>grumbullimi, magazinimi paraprak, trajtimi paraprak përpara rikuperimit, transportimi, riciklimi, rikuperimi dhe ose asgjësimi i mbetjeve të ambalazheve, si dhe arritja e objektivave sipas Nenit 62 të këtij vendimi;</w:t>
      </w:r>
    </w:p>
    <w:p w14:paraId="653840BD" w14:textId="77777777" w:rsidR="00767CD0" w:rsidRPr="00C51AE9" w:rsidRDefault="00C51AE9" w:rsidP="00F635BF">
      <w:pPr>
        <w:numPr>
          <w:ilvl w:val="0"/>
          <w:numId w:val="59"/>
        </w:numPr>
        <w:spacing w:after="0"/>
        <w:ind w:left="1080"/>
        <w:contextualSpacing/>
        <w:jc w:val="both"/>
        <w:rPr>
          <w:rFonts w:ascii="Times New Roman" w:hAnsi="Times New Roman" w:cs="Times New Roman"/>
        </w:rPr>
      </w:pPr>
      <w:r w:rsidRPr="00C51AE9">
        <w:rPr>
          <w:rFonts w:ascii="Times New Roman" w:hAnsi="Times New Roman" w:cs="Times New Roman"/>
        </w:rPr>
        <w:t xml:space="preserve">kthimi i mbetjeve të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si rezultat i përdorimit të produkteve të vendosura në treg prej tyre, për çdo vendndodhje, në pikën e shitjes ose në një vend tjetër të përshtatshëm.</w:t>
      </w:r>
    </w:p>
    <w:p w14:paraId="3A187246" w14:textId="77777777" w:rsidR="00767CD0" w:rsidRPr="00C51AE9" w:rsidRDefault="00C51AE9" w:rsidP="00F635BF">
      <w:pPr>
        <w:numPr>
          <w:ilvl w:val="0"/>
          <w:numId w:val="58"/>
        </w:numPr>
        <w:spacing w:after="0"/>
        <w:contextualSpacing/>
        <w:jc w:val="both"/>
        <w:rPr>
          <w:rFonts w:ascii="Times New Roman" w:hAnsi="Times New Roman" w:cs="Times New Roman"/>
        </w:rPr>
      </w:pPr>
      <w:r w:rsidRPr="00C51AE9">
        <w:rPr>
          <w:rFonts w:ascii="Times New Roman" w:hAnsi="Times New Roman" w:cs="Times New Roman"/>
        </w:rPr>
        <w:t>Prodhuesit që përmbushin individualisht detyrimet e tyre përgatitin një program, në përputhje me ligjin nr. 74/2025 dhe aktet nënligjore në zbatim të tij. Programi përfshin:</w:t>
      </w:r>
    </w:p>
    <w:p w14:paraId="56E4A937"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masa për reduktimin e mbetjeve të ambalazhimit duke </w:t>
      </w:r>
      <w:proofErr w:type="spellStart"/>
      <w:r w:rsidRPr="00C51AE9">
        <w:rPr>
          <w:rFonts w:ascii="Times New Roman" w:hAnsi="Times New Roman" w:cs="Times New Roman"/>
        </w:rPr>
        <w:t>optimizuar</w:t>
      </w:r>
      <w:proofErr w:type="spellEnd"/>
      <w:r w:rsidRPr="00C51AE9">
        <w:rPr>
          <w:rFonts w:ascii="Times New Roman" w:hAnsi="Times New Roman" w:cs="Times New Roman"/>
        </w:rPr>
        <w:t xml:space="preserve"> ambalazhimin dhe duke rritur pjesën e ambalazhimit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w:t>
      </w:r>
    </w:p>
    <w:p w14:paraId="1D3C8F41"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masa për të rritur përmbajtjen e ricikluar në ambalazh; </w:t>
      </w:r>
    </w:p>
    <w:p w14:paraId="37507626"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masa për marrjen mbrapsht të mbetjeve të ambalazhimit të krijuara si rezultat i përdorimit të produkteve të vendosura në treg prej tyre, në pikën e shitjes, duke përfshirë një listë të plotë të vendeve ku mbetjet e ambalazhimit mund të kthehen, dhe informacion mbi shtrirjen territoriale të sistemit të marrjes mbrapsht;</w:t>
      </w:r>
    </w:p>
    <w:p w14:paraId="24D158DD" w14:textId="77777777" w:rsidR="00767CD0" w:rsidRPr="00C51AE9" w:rsidRDefault="00C51AE9">
      <w:pPr>
        <w:spacing w:after="0"/>
        <w:ind w:left="1080" w:hanging="360"/>
        <w:jc w:val="both"/>
        <w:rPr>
          <w:rFonts w:ascii="Times New Roman" w:hAnsi="Times New Roman" w:cs="Times New Roman"/>
        </w:rPr>
      </w:pPr>
      <w:r w:rsidRPr="00C51AE9">
        <w:rPr>
          <w:rFonts w:ascii="Times New Roman" w:hAnsi="Times New Roman" w:cs="Times New Roman"/>
        </w:rPr>
        <w:t xml:space="preserve"> ç. një listë të plotë të shpërndarësve që marrin pjesë në sistemin e grumbullimit të veçantë dhe një përshkrim të angazhimeve të marra përsipër prej tyre; </w:t>
      </w:r>
    </w:p>
    <w:p w14:paraId="0E4ACD96"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një vlerësim financiar paraprak i sistemit të përzgjedhur për grumbullim të veçantë, përgatitje për ripërdorim, riciklim dhe rikuperim të mbetjeve të </w:t>
      </w:r>
      <w:r w:rsidRPr="00C51AE9">
        <w:rPr>
          <w:rFonts w:ascii="Times New Roman" w:hAnsi="Times New Roman" w:cs="Times New Roman"/>
        </w:rPr>
        <w:lastRenderedPageBreak/>
        <w:t>ambalazheve, duke përfshirë prova që ai është i siguruar financiarisht si investim fillestar dhe kosto operative, duke përfshirë:</w:t>
      </w:r>
    </w:p>
    <w:p w14:paraId="66BDA8EA" w14:textId="77777777" w:rsidR="00767CD0" w:rsidRPr="00C51AE9" w:rsidRDefault="00C51AE9">
      <w:pPr>
        <w:spacing w:after="0"/>
        <w:ind w:left="1080" w:hanging="360"/>
        <w:jc w:val="both"/>
        <w:rPr>
          <w:rFonts w:ascii="Times New Roman" w:hAnsi="Times New Roman" w:cs="Times New Roman"/>
        </w:rPr>
      </w:pPr>
      <w:r w:rsidRPr="00C51AE9">
        <w:rPr>
          <w:rFonts w:ascii="Times New Roman" w:hAnsi="Times New Roman" w:cs="Times New Roman"/>
        </w:rPr>
        <w:t xml:space="preserve">dh. kostot që lidhen me aktivitetet e grumbullimit të veçantë të mbetjeve të ambalazheve dhe transportimit e trajtimit të tyre pasues, duke përfshirë trajtimin e kërkuar për të arritur objektivat e riciklimit sipas këtij neni ; </w:t>
      </w:r>
    </w:p>
    <w:p w14:paraId="15060668"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kostot e dhënies së informacionit konsumatorëve për sistemin e krijuar të rimarrjes dhe menaxhimin e mbetjeve të ambalazhimit;</w:t>
      </w:r>
    </w:p>
    <w:p w14:paraId="23307EC0" w14:textId="77777777" w:rsidR="00767CD0" w:rsidRPr="00C51AE9" w:rsidRDefault="00C51AE9">
      <w:pPr>
        <w:spacing w:after="0"/>
        <w:ind w:left="1080" w:hanging="360"/>
        <w:jc w:val="both"/>
        <w:rPr>
          <w:rFonts w:ascii="Times New Roman" w:hAnsi="Times New Roman" w:cs="Times New Roman"/>
        </w:rPr>
      </w:pPr>
      <w:r w:rsidRPr="00C51AE9">
        <w:rPr>
          <w:rFonts w:ascii="Times New Roman" w:hAnsi="Times New Roman" w:cs="Times New Roman"/>
        </w:rPr>
        <w:t xml:space="preserve">ë. kostot e mbledhjes së informacionit dhe raportimit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në lidhje me kryerjen e detyrave të tij dhe arritjen e objektivave të tij;</w:t>
      </w:r>
    </w:p>
    <w:p w14:paraId="167B63B8"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vlerësime për sasitë e mbetjeve të ambalazhimit sipas materialeve të llojeve të ambalazhimit që ripërdoren, riciklohen dhe/ose rikuperohen;</w:t>
      </w:r>
    </w:p>
    <w:p w14:paraId="16AD46C3"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masat që  merren në rast të një ndërprerjeje të përkohshme ose reduktimi të niveleve të grumbullimit të mbetjeve të ambalazhimit dhe riciklimit dhe/ose rikuperimit të tyre pasues;</w:t>
      </w:r>
    </w:p>
    <w:p w14:paraId="1080742B"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një plan për informimin dhe tërheqjen e konsumatorëve drejt zbatimit të grumbullimit të veçantë të mbetjeve të ambalazheve, duke përfshirë programe edukative që u drejtohen kopshteve, shkollave dhe të tjerëve; </w:t>
      </w:r>
    </w:p>
    <w:p w14:paraId="2AF55A7B"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një përshkrim të detajuar të sistemit të përzgjedhur të veçantë të grumbullimit, duke përfshirë grumbullimin e mbetjeve nga pikat e shitjes së produkteve përkatëse dhe transportimin, trajtimin, riciklimin dhe/ose rikuperimin pasues, duke garantuar zbatimin e treguesve sipas pikës 2 të këtij neni; </w:t>
      </w:r>
    </w:p>
    <w:p w14:paraId="219CF7C1" w14:textId="77777777" w:rsidR="00767CD0" w:rsidRPr="00C51AE9" w:rsidRDefault="00C51AE9" w:rsidP="00F635BF">
      <w:pPr>
        <w:numPr>
          <w:ilvl w:val="0"/>
          <w:numId w:val="60"/>
        </w:numPr>
        <w:spacing w:after="0"/>
        <w:ind w:left="1080"/>
        <w:contextualSpacing/>
        <w:jc w:val="both"/>
        <w:rPr>
          <w:rFonts w:ascii="Times New Roman" w:hAnsi="Times New Roman" w:cs="Times New Roman"/>
        </w:rPr>
      </w:pPr>
      <w:r w:rsidRPr="00C51AE9">
        <w:rPr>
          <w:rFonts w:ascii="Times New Roman" w:hAnsi="Times New Roman" w:cs="Times New Roman"/>
        </w:rPr>
        <w:t xml:space="preserve">një objekt veprimtarie i përcaktuar qartë nga pikëpamja gjeografike dhe nga pikëpamja e produkteve dhe materialeve, duke siguruar që fushat e specifikuara (gjeografike dhe të produkteve) të mos kufizohen vetëm në ato në të cilat mbledhja dhe menaxhimi i mbetjeve është më kosto-efektiv, duke siguruar </w:t>
      </w:r>
      <w:proofErr w:type="spellStart"/>
      <w:r w:rsidRPr="00C51AE9">
        <w:rPr>
          <w:rFonts w:ascii="Times New Roman" w:hAnsi="Times New Roman" w:cs="Times New Roman"/>
        </w:rPr>
        <w:t>disponueshmërinë</w:t>
      </w:r>
      <w:proofErr w:type="spellEnd"/>
      <w:r w:rsidRPr="00C51AE9">
        <w:rPr>
          <w:rFonts w:ascii="Times New Roman" w:hAnsi="Times New Roman" w:cs="Times New Roman"/>
        </w:rPr>
        <w:t xml:space="preserve"> e duhur të sistemeve të mbledhjes së mbetjeve në to.</w:t>
      </w:r>
    </w:p>
    <w:p w14:paraId="1DD95D24" w14:textId="77777777" w:rsidR="00767CD0" w:rsidRPr="00C51AE9" w:rsidRDefault="00767CD0">
      <w:pPr>
        <w:jc w:val="both"/>
        <w:rPr>
          <w:rFonts w:ascii="Times New Roman" w:hAnsi="Times New Roman" w:cs="Times New Roman"/>
          <w:w w:val="90"/>
        </w:rPr>
      </w:pPr>
    </w:p>
    <w:p w14:paraId="36D6E022" w14:textId="77777777" w:rsidR="00767CD0" w:rsidRPr="00C51AE9" w:rsidRDefault="00C51AE9">
      <w:pPr>
        <w:keepNext/>
        <w:keepLines/>
        <w:spacing w:before="160" w:after="80"/>
        <w:ind w:firstLine="72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60</w:t>
      </w:r>
    </w:p>
    <w:p w14:paraId="6C6138B6" w14:textId="77777777" w:rsidR="00767CD0" w:rsidRPr="00C51AE9" w:rsidRDefault="00C51AE9">
      <w:pPr>
        <w:spacing w:after="0"/>
        <w:ind w:left="2160" w:firstLine="720"/>
        <w:contextualSpacing/>
        <w:jc w:val="both"/>
        <w:rPr>
          <w:rFonts w:ascii="Times New Roman" w:hAnsi="Times New Roman" w:cs="Times New Roman"/>
          <w:b/>
          <w:bCs/>
        </w:rPr>
      </w:pPr>
      <w:bookmarkStart w:id="67" w:name="_Toc227317662"/>
      <w:r w:rsidRPr="00C51AE9">
        <w:rPr>
          <w:rFonts w:ascii="Times New Roman" w:hAnsi="Times New Roman" w:cs="Times New Roman"/>
          <w:b/>
          <w:bCs/>
        </w:rPr>
        <w:t>Sistemi i Depozitë-</w:t>
      </w:r>
      <w:proofErr w:type="spellStart"/>
      <w:r w:rsidRPr="00C51AE9">
        <w:rPr>
          <w:rFonts w:ascii="Times New Roman" w:hAnsi="Times New Roman" w:cs="Times New Roman"/>
          <w:b/>
          <w:bCs/>
        </w:rPr>
        <w:t>Rimbursimit</w:t>
      </w:r>
      <w:proofErr w:type="spellEnd"/>
      <w:r w:rsidRPr="00C51AE9">
        <w:rPr>
          <w:rFonts w:ascii="Times New Roman" w:hAnsi="Times New Roman" w:cs="Times New Roman"/>
          <w:b/>
          <w:bCs/>
        </w:rPr>
        <w:t xml:space="preserve"> </w:t>
      </w:r>
      <w:bookmarkEnd w:id="67"/>
    </w:p>
    <w:p w14:paraId="68C99F71" w14:textId="77777777" w:rsidR="00767CD0" w:rsidRPr="00C51AE9" w:rsidRDefault="00767CD0">
      <w:pPr>
        <w:spacing w:after="0"/>
        <w:ind w:left="2160" w:firstLine="720"/>
        <w:contextualSpacing/>
        <w:jc w:val="both"/>
        <w:rPr>
          <w:rFonts w:ascii="Times New Roman" w:hAnsi="Times New Roman" w:cs="Times New Roman"/>
          <w:w w:val="90"/>
        </w:rPr>
      </w:pPr>
    </w:p>
    <w:p w14:paraId="19F69FAC" w14:textId="77777777" w:rsidR="00767CD0" w:rsidRPr="00C51AE9" w:rsidRDefault="00C51AE9" w:rsidP="00F635BF">
      <w:pPr>
        <w:numPr>
          <w:ilvl w:val="0"/>
          <w:numId w:val="46"/>
        </w:numPr>
        <w:spacing w:after="0"/>
        <w:contextualSpacing/>
        <w:jc w:val="both"/>
        <w:rPr>
          <w:rFonts w:ascii="Times New Roman" w:hAnsi="Times New Roman" w:cs="Times New Roman"/>
          <w:w w:val="90"/>
        </w:rPr>
      </w:pPr>
      <w:r w:rsidRPr="00C51AE9">
        <w:rPr>
          <w:rFonts w:ascii="Times New Roman" w:hAnsi="Times New Roman" w:cs="Times New Roman"/>
        </w:rPr>
        <w:t>Deri më 1 janar 2031, prodhuesit të cilët hedhin produktet në treg për herë të parë në Republikën e Shqipërisë, në formatet e mëposhtme të ambalazhimit, sigurojnë ngritjen e sistemeve të grumbullimit të ndarë për të garantuar një shkallë grumbullimi prej të paktën 90 % sipas peshës, në një vit kalendarik për</w:t>
      </w:r>
      <w:r w:rsidRPr="00C51AE9">
        <w:rPr>
          <w:rFonts w:ascii="Times New Roman" w:hAnsi="Times New Roman" w:cs="Times New Roman"/>
          <w:w w:val="90"/>
        </w:rPr>
        <w:t>:</w:t>
      </w:r>
    </w:p>
    <w:p w14:paraId="2558595C" w14:textId="77777777" w:rsidR="00767CD0" w:rsidRPr="00C51AE9" w:rsidRDefault="00C51AE9" w:rsidP="00F635BF">
      <w:pPr>
        <w:numPr>
          <w:ilvl w:val="0"/>
          <w:numId w:val="61"/>
        </w:numPr>
        <w:spacing w:after="0"/>
        <w:ind w:left="1350" w:hanging="270"/>
        <w:contextualSpacing/>
        <w:jc w:val="both"/>
        <w:rPr>
          <w:rFonts w:ascii="Times New Roman" w:hAnsi="Times New Roman" w:cs="Times New Roman"/>
        </w:rPr>
      </w:pPr>
      <w:r w:rsidRPr="00C51AE9">
        <w:rPr>
          <w:rFonts w:ascii="Times New Roman" w:hAnsi="Times New Roman" w:cs="Times New Roman"/>
        </w:rPr>
        <w:t xml:space="preserve">shishe pijesh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me kapacitet deri në tre litra;</w:t>
      </w:r>
    </w:p>
    <w:p w14:paraId="4968EA06" w14:textId="77777777" w:rsidR="00767CD0" w:rsidRPr="00C51AE9" w:rsidRDefault="00C51AE9" w:rsidP="00F635BF">
      <w:pPr>
        <w:numPr>
          <w:ilvl w:val="0"/>
          <w:numId w:val="61"/>
        </w:numPr>
        <w:spacing w:after="0"/>
        <w:ind w:left="1350" w:hanging="270"/>
        <w:contextualSpacing/>
        <w:jc w:val="both"/>
        <w:rPr>
          <w:rFonts w:ascii="Times New Roman" w:hAnsi="Times New Roman" w:cs="Times New Roman"/>
        </w:rPr>
      </w:pPr>
      <w:r w:rsidRPr="00C51AE9">
        <w:rPr>
          <w:rFonts w:ascii="Times New Roman" w:hAnsi="Times New Roman" w:cs="Times New Roman"/>
        </w:rPr>
        <w:t>kontejnerë metalikë për pije me përdorim të vetëm me kapacitet deri në tre litra.</w:t>
      </w:r>
    </w:p>
    <w:p w14:paraId="58E6CC95" w14:textId="77777777" w:rsidR="00767CD0" w:rsidRPr="00C51AE9" w:rsidRDefault="00C51AE9" w:rsidP="00F635BF">
      <w:pPr>
        <w:numPr>
          <w:ilvl w:val="0"/>
          <w:numId w:val="46"/>
        </w:numPr>
        <w:spacing w:after="0"/>
        <w:contextualSpacing/>
        <w:jc w:val="both"/>
        <w:rPr>
          <w:rFonts w:ascii="Times New Roman" w:hAnsi="Times New Roman" w:cs="Times New Roman"/>
        </w:rPr>
      </w:pPr>
      <w:r w:rsidRPr="00C51AE9">
        <w:rPr>
          <w:rFonts w:ascii="Times New Roman" w:hAnsi="Times New Roman" w:cs="Times New Roman"/>
        </w:rPr>
        <w:t xml:space="preserve">Për të arritur objektivat e përcaktuara në pikën 1 të këtij neni, në zbatim të shkronjës “c” të pikës 2 të nenit 49 të ligjit nr. 57/2025, merren masa për të siguruar që sistemet e depozitimit dhe </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krijohen për formatet përkatëse të ambalazhimit të përmendura në pikën 1 të këtij neni, si dhe për të propozuar vlerën e depozitës që ngarkohet në pikën e shitjes.</w:t>
      </w:r>
    </w:p>
    <w:p w14:paraId="29435941" w14:textId="77777777" w:rsidR="00767CD0" w:rsidRPr="00C51AE9" w:rsidRDefault="00C51AE9" w:rsidP="00F635BF">
      <w:pPr>
        <w:numPr>
          <w:ilvl w:val="0"/>
          <w:numId w:val="46"/>
        </w:numPr>
        <w:spacing w:after="0"/>
        <w:contextualSpacing/>
        <w:jc w:val="both"/>
        <w:rPr>
          <w:rFonts w:ascii="Times New Roman" w:hAnsi="Times New Roman" w:cs="Times New Roman"/>
        </w:rPr>
      </w:pPr>
      <w:r w:rsidRPr="00C51AE9">
        <w:rPr>
          <w:rFonts w:ascii="Times New Roman" w:hAnsi="Times New Roman" w:cs="Times New Roman"/>
        </w:rPr>
        <w:t xml:space="preserve">Masat e parashikuara në këtë pikë të këtij neni, si devijim nga detyrimet përjashtojnë operatorët ekonomikë të sektorit të hoteleri-turizmit dhe restoranteve </w:t>
      </w:r>
      <w:r w:rsidRPr="00C51AE9">
        <w:rPr>
          <w:rFonts w:ascii="Times New Roman" w:hAnsi="Times New Roman" w:cs="Times New Roman"/>
        </w:rPr>
        <w:lastRenderedPageBreak/>
        <w:t>(HORECA) nga vendosja e detyrimit të depozitës, kur plotësohen kushtet e mëposhtme:</w:t>
      </w:r>
    </w:p>
    <w:p w14:paraId="17C3E663" w14:textId="77777777" w:rsidR="00767CD0" w:rsidRPr="00C51AE9" w:rsidRDefault="00C51AE9" w:rsidP="00F635BF">
      <w:pPr>
        <w:numPr>
          <w:ilvl w:val="0"/>
          <w:numId w:val="62"/>
        </w:numPr>
        <w:spacing w:after="0"/>
        <w:jc w:val="both"/>
        <w:rPr>
          <w:rFonts w:ascii="Times New Roman" w:hAnsi="Times New Roman" w:cs="Times New Roman"/>
        </w:rPr>
      </w:pPr>
      <w:r w:rsidRPr="00C51AE9">
        <w:rPr>
          <w:rFonts w:ascii="Times New Roman" w:hAnsi="Times New Roman" w:cs="Times New Roman"/>
        </w:rPr>
        <w:t>ambalazhi subjekt i depozitës hapet brenda mjediseve të njësisë tregtare;</w:t>
      </w:r>
    </w:p>
    <w:p w14:paraId="516A1A4A" w14:textId="77777777" w:rsidR="00767CD0" w:rsidRPr="00C51AE9" w:rsidRDefault="00C51AE9" w:rsidP="00F635BF">
      <w:pPr>
        <w:numPr>
          <w:ilvl w:val="0"/>
          <w:numId w:val="62"/>
        </w:numPr>
        <w:spacing w:after="0"/>
        <w:jc w:val="both"/>
        <w:rPr>
          <w:rFonts w:ascii="Times New Roman" w:hAnsi="Times New Roman" w:cs="Times New Roman"/>
        </w:rPr>
      </w:pPr>
      <w:r w:rsidRPr="00C51AE9">
        <w:rPr>
          <w:rFonts w:ascii="Times New Roman" w:hAnsi="Times New Roman" w:cs="Times New Roman"/>
        </w:rPr>
        <w:t>produkti konsumohet brenda mjediseve të njësisë tregtare;</w:t>
      </w:r>
    </w:p>
    <w:p w14:paraId="6E7F56CE" w14:textId="77777777" w:rsidR="00767CD0" w:rsidRPr="00C51AE9" w:rsidRDefault="00C51AE9" w:rsidP="00F635BF">
      <w:pPr>
        <w:numPr>
          <w:ilvl w:val="0"/>
          <w:numId w:val="62"/>
        </w:numPr>
        <w:spacing w:after="0"/>
        <w:jc w:val="both"/>
        <w:rPr>
          <w:rFonts w:ascii="Times New Roman" w:hAnsi="Times New Roman" w:cs="Times New Roman"/>
        </w:rPr>
      </w:pPr>
      <w:r w:rsidRPr="00C51AE9">
        <w:rPr>
          <w:rFonts w:ascii="Times New Roman" w:hAnsi="Times New Roman" w:cs="Times New Roman"/>
        </w:rPr>
        <w:t>ambalazhi bosh subjekt i depozitës kthehet brenda mjediseve të njësisë tregtare.</w:t>
      </w:r>
    </w:p>
    <w:p w14:paraId="26321972" w14:textId="77777777" w:rsidR="00767CD0" w:rsidRPr="00C51AE9" w:rsidRDefault="00C51AE9" w:rsidP="00F635BF">
      <w:pPr>
        <w:numPr>
          <w:ilvl w:val="0"/>
          <w:numId w:val="46"/>
        </w:numPr>
        <w:spacing w:after="0"/>
        <w:contextualSpacing/>
        <w:rPr>
          <w:rFonts w:ascii="Times New Roman" w:hAnsi="Times New Roman" w:cs="Times New Roman"/>
        </w:rPr>
      </w:pPr>
      <w:r w:rsidRPr="00C51AE9">
        <w:rPr>
          <w:rFonts w:ascii="Times New Roman" w:hAnsi="Times New Roman" w:cs="Times New Roman"/>
        </w:rPr>
        <w:t>Pika 2 e këtij neni nuk zbatohet për ambalazhimin e:</w:t>
      </w:r>
    </w:p>
    <w:p w14:paraId="6B06E096" w14:textId="77777777" w:rsidR="00767CD0" w:rsidRPr="00C51AE9" w:rsidRDefault="00C51AE9" w:rsidP="00F635BF">
      <w:pPr>
        <w:numPr>
          <w:ilvl w:val="0"/>
          <w:numId w:val="63"/>
        </w:numPr>
        <w:spacing w:after="0"/>
        <w:jc w:val="both"/>
        <w:rPr>
          <w:rFonts w:ascii="Times New Roman" w:hAnsi="Times New Roman" w:cs="Times New Roman"/>
        </w:rPr>
      </w:pPr>
      <w:r w:rsidRPr="00C51AE9">
        <w:rPr>
          <w:rFonts w:ascii="Times New Roman" w:hAnsi="Times New Roman" w:cs="Times New Roman"/>
        </w:rPr>
        <w:t xml:space="preserve">kategorive të produkteve të hardhisë apo për produktet e verës së </w:t>
      </w:r>
      <w:proofErr w:type="spellStart"/>
      <w:r w:rsidRPr="00C51AE9">
        <w:rPr>
          <w:rFonts w:ascii="Times New Roman" w:hAnsi="Times New Roman" w:cs="Times New Roman"/>
        </w:rPr>
        <w:t>aromatizuar</w:t>
      </w:r>
      <w:proofErr w:type="spellEnd"/>
      <w:r w:rsidRPr="00C51AE9">
        <w:rPr>
          <w:rFonts w:ascii="Times New Roman" w:hAnsi="Times New Roman" w:cs="Times New Roman"/>
        </w:rPr>
        <w:t xml:space="preserve">; </w:t>
      </w:r>
    </w:p>
    <w:p w14:paraId="01E2C0D9" w14:textId="77777777" w:rsidR="00767CD0" w:rsidRPr="00C51AE9" w:rsidRDefault="00C51AE9" w:rsidP="00F635BF">
      <w:pPr>
        <w:numPr>
          <w:ilvl w:val="0"/>
          <w:numId w:val="63"/>
        </w:numPr>
        <w:spacing w:after="0"/>
        <w:jc w:val="both"/>
        <w:rPr>
          <w:rFonts w:ascii="Times New Roman" w:hAnsi="Times New Roman" w:cs="Times New Roman"/>
        </w:rPr>
      </w:pPr>
      <w:r w:rsidRPr="00C51AE9">
        <w:rPr>
          <w:rFonts w:ascii="Times New Roman" w:hAnsi="Times New Roman" w:cs="Times New Roman"/>
        </w:rPr>
        <w:t xml:space="preserve">produkteve që janë të ngjashme me produktet e verës dhe produktet e verës së </w:t>
      </w:r>
      <w:proofErr w:type="spellStart"/>
      <w:r w:rsidRPr="00C51AE9">
        <w:rPr>
          <w:rFonts w:ascii="Times New Roman" w:hAnsi="Times New Roman" w:cs="Times New Roman"/>
        </w:rPr>
        <w:t>aromatizuar</w:t>
      </w:r>
      <w:proofErr w:type="spellEnd"/>
      <w:r w:rsidRPr="00C51AE9">
        <w:rPr>
          <w:rFonts w:ascii="Times New Roman" w:hAnsi="Times New Roman" w:cs="Times New Roman"/>
        </w:rPr>
        <w:t>, të cilat përftohen nga fruta të tjera përveç rrushit ose nga perimet, si dhe pijeve të tjera të fermentuara që përfshihen në kodin e Nomenklaturës së Kombinuar 2206 00;</w:t>
      </w:r>
    </w:p>
    <w:p w14:paraId="730CFD1A" w14:textId="77777777" w:rsidR="00767CD0" w:rsidRPr="00C51AE9" w:rsidRDefault="00C51AE9" w:rsidP="00F635BF">
      <w:pPr>
        <w:numPr>
          <w:ilvl w:val="0"/>
          <w:numId w:val="63"/>
        </w:numPr>
        <w:spacing w:after="0"/>
        <w:jc w:val="both"/>
        <w:rPr>
          <w:rFonts w:ascii="Times New Roman" w:hAnsi="Times New Roman" w:cs="Times New Roman"/>
        </w:rPr>
      </w:pPr>
      <w:r w:rsidRPr="00C51AE9">
        <w:rPr>
          <w:rFonts w:ascii="Times New Roman" w:hAnsi="Times New Roman" w:cs="Times New Roman"/>
        </w:rPr>
        <w:t>pijeve alkoolike me bazë alkooli që korrespondojnë me Shtojcën e Nomenklaturës së Kombinuar 2208;</w:t>
      </w:r>
    </w:p>
    <w:p w14:paraId="5456B818" w14:textId="77777777" w:rsidR="00767CD0" w:rsidRPr="00C51AE9" w:rsidRDefault="00C51AE9">
      <w:pPr>
        <w:spacing w:after="0"/>
        <w:ind w:left="990"/>
        <w:jc w:val="both"/>
        <w:rPr>
          <w:rFonts w:ascii="Times New Roman" w:hAnsi="Times New Roman" w:cs="Times New Roman"/>
        </w:rPr>
      </w:pPr>
      <w:r w:rsidRPr="00C51AE9">
        <w:rPr>
          <w:rFonts w:ascii="Times New Roman" w:hAnsi="Times New Roman" w:cs="Times New Roman"/>
        </w:rPr>
        <w:t>ç.  qumështit dhe produkteve të qumështit.</w:t>
      </w:r>
    </w:p>
    <w:p w14:paraId="1DE165FC" w14:textId="77777777" w:rsidR="00767CD0" w:rsidRPr="00C51AE9" w:rsidRDefault="00C51AE9" w:rsidP="00F635BF">
      <w:pPr>
        <w:numPr>
          <w:ilvl w:val="0"/>
          <w:numId w:val="46"/>
        </w:numPr>
        <w:spacing w:after="0"/>
        <w:jc w:val="both"/>
        <w:rPr>
          <w:rFonts w:ascii="Times New Roman" w:hAnsi="Times New Roman" w:cs="Times New Roman"/>
        </w:rPr>
      </w:pPr>
      <w:r w:rsidRPr="00C51AE9">
        <w:rPr>
          <w:rFonts w:ascii="Times New Roman" w:hAnsi="Times New Roman" w:cs="Times New Roman"/>
        </w:rPr>
        <w:t xml:space="preserve">Shishet e pijeve prej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dhe kontejnerët e pijeve prej metali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me kapacitet më të ulët se 0,1 litra përjashtohen nga pjesëmarrja në sistemet e depozitimit dhe të kthimit, kur një pjesëmarrje e tillë nuk është teknikisht e realizueshme.</w:t>
      </w:r>
    </w:p>
    <w:p w14:paraId="6B123249" w14:textId="77777777" w:rsidR="00767CD0" w:rsidRPr="00C51AE9" w:rsidRDefault="00C51AE9" w:rsidP="00F635BF">
      <w:pPr>
        <w:numPr>
          <w:ilvl w:val="0"/>
          <w:numId w:val="46"/>
        </w:numPr>
        <w:spacing w:after="0"/>
        <w:jc w:val="both"/>
        <w:rPr>
          <w:rFonts w:ascii="Times New Roman" w:hAnsi="Times New Roman" w:cs="Times New Roman"/>
        </w:rPr>
      </w:pPr>
      <w:r w:rsidRPr="00C51AE9">
        <w:rPr>
          <w:rFonts w:ascii="Times New Roman" w:hAnsi="Times New Roman" w:cs="Times New Roman"/>
        </w:rPr>
        <w:t xml:space="preserve">Masat e marra synojnë krijimin dhe mirëmbajtjen e sistemeve të depozitës dhe të kthimit në veçanti për shishet e pijeve prej qelqi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dhe kartonët e pijeve. Sistemet e depozitës dhe të kthimit për formatet e ambalazhimit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janë të aplikueshme  edhe për ambalazhet e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kur kjo është teknikisht dhe ekonomikisht e realizueshme.</w:t>
      </w:r>
    </w:p>
    <w:p w14:paraId="34200E23" w14:textId="77777777" w:rsidR="00767CD0" w:rsidRPr="00C51AE9" w:rsidRDefault="00C51AE9" w:rsidP="00F635BF">
      <w:pPr>
        <w:numPr>
          <w:ilvl w:val="0"/>
          <w:numId w:val="46"/>
        </w:numPr>
        <w:spacing w:after="0"/>
        <w:jc w:val="both"/>
        <w:rPr>
          <w:rFonts w:ascii="Times New Roman" w:hAnsi="Times New Roman" w:cs="Times New Roman"/>
        </w:rPr>
      </w:pPr>
      <w:r w:rsidRPr="00C51AE9">
        <w:rPr>
          <w:rFonts w:ascii="Times New Roman" w:hAnsi="Times New Roman" w:cs="Times New Roman"/>
        </w:rPr>
        <w:t xml:space="preserve">Pikat e kthimit dhe mundësitë për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me qëllim dhe format të ngjashëm me ato të përcaktuara në pikën 1 të këtij neni, janë po aq të përshtatshme për përdoruesit fundorë sa edhe pikat e kthimit dhe mundësitë për të kthyer ambalazhin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në një sistem depozitimi dhe kthimi.</w:t>
      </w:r>
    </w:p>
    <w:p w14:paraId="4CCB12AE" w14:textId="77777777" w:rsidR="00767CD0" w:rsidRPr="00C51AE9" w:rsidRDefault="00C51AE9" w:rsidP="00F635BF">
      <w:pPr>
        <w:numPr>
          <w:ilvl w:val="0"/>
          <w:numId w:val="46"/>
        </w:numPr>
        <w:spacing w:after="0"/>
        <w:jc w:val="both"/>
        <w:rPr>
          <w:rFonts w:ascii="Times New Roman" w:hAnsi="Times New Roman" w:cs="Times New Roman"/>
        </w:rPr>
      </w:pPr>
      <w:r w:rsidRPr="00C51AE9">
        <w:rPr>
          <w:rFonts w:ascii="Times New Roman" w:hAnsi="Times New Roman" w:cs="Times New Roman"/>
        </w:rPr>
        <w:t>Sistemi i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të krijuara sipas këtij neni përmbushin kërkesat minimale të renditura në Shtojcën IX përkatëse të këtij vendimi.</w:t>
      </w:r>
    </w:p>
    <w:p w14:paraId="25987F5E" w14:textId="77777777" w:rsidR="00767CD0" w:rsidRPr="00C51AE9" w:rsidRDefault="00C51AE9" w:rsidP="00F635BF">
      <w:pPr>
        <w:numPr>
          <w:ilvl w:val="0"/>
          <w:numId w:val="46"/>
        </w:numPr>
        <w:spacing w:after="0"/>
        <w:jc w:val="both"/>
        <w:rPr>
          <w:rFonts w:ascii="Times New Roman" w:hAnsi="Times New Roman" w:cs="Times New Roman"/>
        </w:rPr>
      </w:pPr>
      <w:r w:rsidRPr="00C51AE9">
        <w:rPr>
          <w:rFonts w:ascii="Times New Roman" w:hAnsi="Times New Roman" w:cs="Times New Roman"/>
        </w:rPr>
        <w:t>Ministria përgjegjëse për mjedisin krijon një grup pune me përfaqësuesit e sektorëve ekonomikë përkatës, me qëllim lehtësimin e krijimit të sistemit të kthimit të depozitës për ambalazhet e pijeve.</w:t>
      </w:r>
    </w:p>
    <w:p w14:paraId="665B110A"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10. Kur objektivat e grumbullimit të përcaktuar në pikën 1 të këtij neni nuk arrihen, ministria përgjegjëse për mjedisin propozon ndryshimin përkatës të këtij vendimi, për përfshirjen në sistemin e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xml:space="preserve"> të ambalazheve të përjashtuara sipas këtij neni ose të ambalazheve për produkte të tjera a të prodhuara nga materiale të tjera</w:t>
      </w:r>
      <w:r w:rsidRPr="00C51AE9">
        <w:t>.</w:t>
      </w:r>
    </w:p>
    <w:p w14:paraId="4EA988F2"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lastRenderedPageBreak/>
        <w:t xml:space="preserve">SEKSIONI 5 </w:t>
      </w:r>
    </w:p>
    <w:p w14:paraId="58F77D5C"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68" w:name="_Toc227317663"/>
      <w:r w:rsidRPr="00C51AE9">
        <w:rPr>
          <w:rFonts w:ascii="Times New Roman" w:eastAsiaTheme="majorEastAsia" w:hAnsi="Times New Roman" w:cs="Times New Roman"/>
          <w:b/>
        </w:rPr>
        <w:t>RIPËRDORIMI DHE RIMBUSHJA</w:t>
      </w:r>
      <w:bookmarkEnd w:id="68"/>
    </w:p>
    <w:p w14:paraId="29911D45"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bookmarkStart w:id="69" w:name="_Toc227317664"/>
      <w:r w:rsidRPr="00C51AE9">
        <w:rPr>
          <w:rFonts w:ascii="Times New Roman" w:eastAsiaTheme="majorEastAsia" w:hAnsi="Times New Roman" w:cs="Times New Roman"/>
          <w:bCs/>
        </w:rPr>
        <w:t>Neni 61</w:t>
      </w:r>
    </w:p>
    <w:p w14:paraId="3F1CBAA8"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 Ripërdorimi dhe rimbushja</w:t>
      </w:r>
      <w:bookmarkEnd w:id="69"/>
    </w:p>
    <w:p w14:paraId="4C3189A9" w14:textId="77777777" w:rsidR="00767CD0" w:rsidRPr="00C51AE9" w:rsidRDefault="00C51AE9" w:rsidP="00F635BF">
      <w:pPr>
        <w:numPr>
          <w:ilvl w:val="0"/>
          <w:numId w:val="64"/>
        </w:numPr>
        <w:ind w:left="720" w:hanging="270"/>
        <w:contextualSpacing/>
        <w:jc w:val="both"/>
        <w:rPr>
          <w:rFonts w:ascii="Times New Roman" w:hAnsi="Times New Roman" w:cs="Times New Roman"/>
        </w:rPr>
      </w:pPr>
      <w:r w:rsidRPr="00C51AE9">
        <w:rPr>
          <w:rFonts w:ascii="Times New Roman" w:hAnsi="Times New Roman" w:cs="Times New Roman"/>
        </w:rPr>
        <w:t>Në zbatim të shkronjës “c” të pikës 2 të nenit 49 të ligjit nr. 57/2025, "Për menaxhimin e integruar të mbetjeve", nxitet krijimi i sistemeve të ripërdorimit të ambalazheve, të pajisura me stimuj të mjaftueshëm për kthimin e tyre, si dhe i sistemeve të rimbushjes, në mënyrë të sigurt nga pikëpamja mjedisore. Këto sisteme përmbushin kërkesat e përcaktuara në nenet 33 dhe 34, si dhe në Shtojcën VI, të këtij vendimi, dhe nuk cenojnë higjienën ushqimore apo sigurinë e konsumatorëve.</w:t>
      </w:r>
    </w:p>
    <w:p w14:paraId="237AEEF0" w14:textId="77777777" w:rsidR="00767CD0" w:rsidRPr="00C51AE9" w:rsidRDefault="00C51AE9" w:rsidP="00F635BF">
      <w:pPr>
        <w:numPr>
          <w:ilvl w:val="0"/>
          <w:numId w:val="64"/>
        </w:numPr>
        <w:spacing w:after="0"/>
        <w:ind w:left="810"/>
        <w:jc w:val="both"/>
        <w:rPr>
          <w:rFonts w:ascii="Times New Roman" w:hAnsi="Times New Roman" w:cs="Times New Roman"/>
        </w:rPr>
      </w:pPr>
      <w:r w:rsidRPr="00C51AE9">
        <w:rPr>
          <w:rFonts w:ascii="Times New Roman" w:hAnsi="Times New Roman" w:cs="Times New Roman"/>
        </w:rPr>
        <w:t>Masat e përmendura në paragrafin 1 të këtij neni mund të përfshijnë:</w:t>
      </w:r>
    </w:p>
    <w:p w14:paraId="3E2D3F29" w14:textId="77777777" w:rsidR="00767CD0" w:rsidRPr="00C51AE9" w:rsidRDefault="00C51AE9" w:rsidP="00F635BF">
      <w:pPr>
        <w:numPr>
          <w:ilvl w:val="0"/>
          <w:numId w:val="65"/>
        </w:numPr>
        <w:spacing w:after="0"/>
        <w:ind w:left="1080" w:hanging="270"/>
        <w:jc w:val="both"/>
        <w:rPr>
          <w:rFonts w:ascii="Times New Roman" w:hAnsi="Times New Roman" w:cs="Times New Roman"/>
        </w:rPr>
      </w:pPr>
      <w:r w:rsidRPr="00C51AE9">
        <w:rPr>
          <w:rFonts w:ascii="Times New Roman" w:hAnsi="Times New Roman" w:cs="Times New Roman"/>
        </w:rPr>
        <w:t xml:space="preserve">përdorimi i sistemeve të depozitimit dhe kthimit në përputhje me kërkesat minimale në Shtojcën IX të këtij vendimi për ambalazhe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dhe për formate ambalazhimi të ndryshme nga ato të përmendura në  pikën 1 të nenit 60 të këtij vendimi;</w:t>
      </w:r>
    </w:p>
    <w:p w14:paraId="68DCD6CB" w14:textId="77777777" w:rsidR="00767CD0" w:rsidRPr="00C51AE9" w:rsidRDefault="00C51AE9" w:rsidP="00F635BF">
      <w:pPr>
        <w:numPr>
          <w:ilvl w:val="0"/>
          <w:numId w:val="65"/>
        </w:numPr>
        <w:spacing w:after="0"/>
        <w:ind w:left="1080" w:hanging="270"/>
        <w:jc w:val="both"/>
        <w:rPr>
          <w:rFonts w:ascii="Times New Roman" w:hAnsi="Times New Roman" w:cs="Times New Roman"/>
        </w:rPr>
      </w:pPr>
      <w:r w:rsidRPr="00C51AE9">
        <w:rPr>
          <w:rFonts w:ascii="Times New Roman" w:hAnsi="Times New Roman" w:cs="Times New Roman"/>
        </w:rPr>
        <w:t xml:space="preserve">përdorimi i stimujve ekonomikë, duke përfshirë detyrimet ndaj shpërndarësve përfundimtarë për të </w:t>
      </w:r>
      <w:proofErr w:type="spellStart"/>
      <w:r w:rsidRPr="00C51AE9">
        <w:rPr>
          <w:rFonts w:ascii="Times New Roman" w:hAnsi="Times New Roman" w:cs="Times New Roman"/>
        </w:rPr>
        <w:t>tarifuar</w:t>
      </w:r>
      <w:proofErr w:type="spellEnd"/>
      <w:r w:rsidRPr="00C51AE9">
        <w:rPr>
          <w:rFonts w:ascii="Times New Roman" w:hAnsi="Times New Roman" w:cs="Times New Roman"/>
        </w:rPr>
        <w:t xml:space="preserve"> për përdorimin e ambalazhimit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dhe për të informuar konsumatorët për koston e një ambalazhimi të tillë në pikën e shitjes;</w:t>
      </w:r>
    </w:p>
    <w:p w14:paraId="7B290DD9" w14:textId="77777777" w:rsidR="00767CD0" w:rsidRPr="00C51AE9" w:rsidRDefault="00C51AE9" w:rsidP="00F635BF">
      <w:pPr>
        <w:numPr>
          <w:ilvl w:val="0"/>
          <w:numId w:val="65"/>
        </w:numPr>
        <w:spacing w:after="0"/>
        <w:ind w:left="1080" w:hanging="270"/>
        <w:jc w:val="both"/>
        <w:rPr>
          <w:rFonts w:ascii="Times New Roman" w:hAnsi="Times New Roman" w:cs="Times New Roman"/>
        </w:rPr>
      </w:pPr>
      <w:r w:rsidRPr="00C51AE9">
        <w:rPr>
          <w:rFonts w:ascii="Times New Roman" w:hAnsi="Times New Roman" w:cs="Times New Roman"/>
        </w:rPr>
        <w:t xml:space="preserve">detyrimet për prodhuesit ose shpërndarësit përfundimtarë për të vënë në dispozicion në ambalazh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brenda një sistemi ripërdorimi ose nëpërmjet rimbushjes një përqindje të caktuar produktesh përveç atyre të mbuluara nga objektivat e ripërdorimit të përcaktuara në nenin 35.</w:t>
      </w:r>
    </w:p>
    <w:p w14:paraId="71053172" w14:textId="77777777" w:rsidR="00767CD0" w:rsidRPr="00C51AE9" w:rsidRDefault="00C51AE9" w:rsidP="00F635BF">
      <w:pPr>
        <w:widowControl w:val="0"/>
        <w:numPr>
          <w:ilvl w:val="0"/>
          <w:numId w:val="64"/>
        </w:numPr>
        <w:tabs>
          <w:tab w:val="left" w:pos="720"/>
        </w:tabs>
        <w:spacing w:after="0"/>
        <w:ind w:left="720" w:hanging="270"/>
        <w:contextualSpacing/>
        <w:jc w:val="both"/>
        <w:rPr>
          <w:rFonts w:ascii="Times New Roman" w:hAnsi="Times New Roman" w:cs="Times New Roman"/>
        </w:rPr>
      </w:pPr>
      <w:r w:rsidRPr="00C51AE9">
        <w:rPr>
          <w:rFonts w:ascii="Times New Roman" w:hAnsi="Times New Roman" w:cs="Times New Roman"/>
        </w:rPr>
        <w:t xml:space="preserve">Shoqëritë e përgjegjësisë së zgjeruar të subjekteve prodhuese dhe operatorët e sistemeve të depozitës dhe kthimit caktojnë në buxhetin e tyre një pjesë minimale të barasvlershme me 5%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ardhurave të parashikuara për vitin përkatës për financimin e veprimeve të reduktimit dhe parandalimit.</w:t>
      </w:r>
    </w:p>
    <w:p w14:paraId="6F46C6BE" w14:textId="77777777" w:rsidR="00767CD0" w:rsidRPr="00C51AE9" w:rsidRDefault="00767CD0">
      <w:pPr>
        <w:widowControl w:val="0"/>
        <w:spacing w:after="0"/>
        <w:ind w:left="360"/>
        <w:contextualSpacing/>
        <w:jc w:val="both"/>
        <w:rPr>
          <w:rFonts w:ascii="Times New Roman" w:hAnsi="Times New Roman" w:cs="Times New Roman"/>
          <w:w w:val="90"/>
        </w:rPr>
      </w:pPr>
    </w:p>
    <w:p w14:paraId="09434942" w14:textId="77777777" w:rsidR="00767CD0" w:rsidRPr="00C51AE9" w:rsidRDefault="00C51AE9">
      <w:pPr>
        <w:keepNext/>
        <w:keepLines/>
        <w:spacing w:before="360" w:after="80"/>
        <w:jc w:val="center"/>
        <w:outlineLvl w:val="0"/>
        <w:rPr>
          <w:rFonts w:ascii="Times New Roman" w:eastAsiaTheme="majorEastAsia" w:hAnsi="Times New Roman" w:cs="Times New Roman"/>
          <w:b/>
        </w:rPr>
      </w:pPr>
      <w:r w:rsidRPr="00C51AE9">
        <w:rPr>
          <w:rFonts w:ascii="Times New Roman" w:eastAsiaTheme="majorEastAsia" w:hAnsi="Times New Roman" w:cs="Times New Roman"/>
          <w:b/>
        </w:rPr>
        <w:t xml:space="preserve">SEKSIONI 6 </w:t>
      </w:r>
    </w:p>
    <w:p w14:paraId="755E218B" w14:textId="77777777" w:rsidR="00767CD0" w:rsidRPr="00C51AE9" w:rsidRDefault="00C51AE9">
      <w:pPr>
        <w:keepNext/>
        <w:keepLines/>
        <w:spacing w:before="360" w:after="80"/>
        <w:jc w:val="center"/>
        <w:outlineLvl w:val="0"/>
        <w:rPr>
          <w:rFonts w:ascii="Times New Roman" w:eastAsiaTheme="majorEastAsia" w:hAnsi="Times New Roman" w:cs="Times New Roman"/>
          <w:b/>
        </w:rPr>
      </w:pPr>
      <w:bookmarkStart w:id="70" w:name="_Toc227317665"/>
      <w:r w:rsidRPr="00C51AE9">
        <w:rPr>
          <w:rFonts w:ascii="Times New Roman" w:eastAsiaTheme="majorEastAsia" w:hAnsi="Times New Roman" w:cs="Times New Roman"/>
          <w:b/>
        </w:rPr>
        <w:t>OBJEKTIVAT E RICIKLIMIT DHE NXITJA E RICIKLIMIT</w:t>
      </w:r>
      <w:bookmarkEnd w:id="70"/>
    </w:p>
    <w:p w14:paraId="3739D705" w14:textId="77777777" w:rsidR="00767CD0" w:rsidRPr="00C51AE9" w:rsidRDefault="00767CD0">
      <w:pPr>
        <w:jc w:val="both"/>
        <w:rPr>
          <w:rFonts w:ascii="Times New Roman" w:hAnsi="Times New Roman" w:cs="Times New Roman"/>
          <w:w w:val="90"/>
        </w:rPr>
      </w:pPr>
    </w:p>
    <w:p w14:paraId="40FAA8AB"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62</w:t>
      </w:r>
    </w:p>
    <w:p w14:paraId="6B257765" w14:textId="77777777" w:rsidR="00767CD0" w:rsidRPr="00C51AE9" w:rsidRDefault="00C51AE9">
      <w:pPr>
        <w:keepNext/>
        <w:keepLines/>
        <w:spacing w:before="360" w:after="80"/>
        <w:jc w:val="center"/>
        <w:outlineLvl w:val="0"/>
        <w:rPr>
          <w:rFonts w:ascii="Times New Roman" w:eastAsiaTheme="majorEastAsia" w:hAnsi="Times New Roman" w:cs="Times New Roman"/>
          <w:b/>
        </w:rPr>
      </w:pPr>
      <w:bookmarkStart w:id="71" w:name="_Toc227317666"/>
      <w:r w:rsidRPr="00C51AE9">
        <w:rPr>
          <w:rFonts w:ascii="Times New Roman" w:eastAsiaTheme="majorEastAsia" w:hAnsi="Times New Roman" w:cs="Times New Roman"/>
          <w:b/>
        </w:rPr>
        <w:t>Objektivat e riciklimit dhe promovimi i riciklimit</w:t>
      </w:r>
      <w:bookmarkEnd w:id="71"/>
    </w:p>
    <w:p w14:paraId="17623E47" w14:textId="77777777" w:rsidR="00767CD0" w:rsidRPr="00C51AE9" w:rsidRDefault="00C51AE9">
      <w:pPr>
        <w:widowControl w:val="0"/>
        <w:numPr>
          <w:ilvl w:val="0"/>
          <w:numId w:val="7"/>
        </w:numPr>
        <w:spacing w:after="0"/>
        <w:contextualSpacing/>
        <w:jc w:val="both"/>
        <w:rPr>
          <w:rFonts w:ascii="Times New Roman" w:hAnsi="Times New Roman" w:cs="Times New Roman"/>
        </w:rPr>
      </w:pPr>
      <w:r w:rsidRPr="00C51AE9">
        <w:rPr>
          <w:rFonts w:ascii="Times New Roman" w:hAnsi="Times New Roman" w:cs="Times New Roman"/>
        </w:rPr>
        <w:t>Prodhuesit janë përgjegjës për arritjen e objektivave të mëposhtme të riciklimit për të gjithë territorin e Republikës së Shqipërisë:</w:t>
      </w:r>
    </w:p>
    <w:p w14:paraId="2EFBE284" w14:textId="77777777" w:rsidR="00767CD0" w:rsidRPr="00C51AE9" w:rsidRDefault="00C51AE9" w:rsidP="00F635BF">
      <w:pPr>
        <w:widowControl w:val="0"/>
        <w:numPr>
          <w:ilvl w:val="0"/>
          <w:numId w:val="66"/>
        </w:numPr>
        <w:spacing w:after="0"/>
        <w:ind w:left="720"/>
        <w:contextualSpacing/>
        <w:jc w:val="both"/>
        <w:rPr>
          <w:rFonts w:ascii="Times New Roman" w:hAnsi="Times New Roman" w:cs="Times New Roman"/>
        </w:rPr>
      </w:pPr>
      <w:r w:rsidRPr="00C51AE9">
        <w:rPr>
          <w:rFonts w:ascii="Times New Roman" w:hAnsi="Times New Roman" w:cs="Times New Roman"/>
        </w:rPr>
        <w:t xml:space="preserve">deri në 31 dhjetor 2035, një minimum prej 65 % sipas peshës i të gjitha mbetjeve të ambalazhimit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102DA8B0" w14:textId="77777777" w:rsidR="00767CD0" w:rsidRPr="00C51AE9" w:rsidRDefault="00C51AE9" w:rsidP="00F635BF">
      <w:pPr>
        <w:widowControl w:val="0"/>
        <w:numPr>
          <w:ilvl w:val="0"/>
          <w:numId w:val="66"/>
        </w:numPr>
        <w:spacing w:after="0"/>
        <w:ind w:left="720"/>
        <w:contextualSpacing/>
        <w:jc w:val="both"/>
        <w:rPr>
          <w:rFonts w:ascii="Times New Roman" w:hAnsi="Times New Roman" w:cs="Times New Roman"/>
        </w:rPr>
      </w:pPr>
      <w:r w:rsidRPr="00C51AE9">
        <w:rPr>
          <w:rFonts w:ascii="Times New Roman" w:hAnsi="Times New Roman" w:cs="Times New Roman"/>
        </w:rPr>
        <w:t xml:space="preserve">deri më 31 dhjetor 2035, përqindjet minimale të mëposhtme sipas peshës të </w:t>
      </w:r>
      <w:r w:rsidRPr="00C51AE9">
        <w:rPr>
          <w:rFonts w:ascii="Times New Roman" w:hAnsi="Times New Roman" w:cs="Times New Roman"/>
        </w:rPr>
        <w:lastRenderedPageBreak/>
        <w:t xml:space="preserve">materialeve specifike të mëposhtme të përfshira në mbetjet e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42AD2D65"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50 % e plastikës;</w:t>
      </w:r>
    </w:p>
    <w:p w14:paraId="08B36425"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25 % e drurit;</w:t>
      </w:r>
    </w:p>
    <w:p w14:paraId="65159ADC"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70 % e metaleve të hekurta;</w:t>
      </w:r>
    </w:p>
    <w:p w14:paraId="08E2C557"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50 % e aluminit;</w:t>
      </w:r>
    </w:p>
    <w:p w14:paraId="7EB93ECB"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70 % e qelqit;</w:t>
      </w:r>
    </w:p>
    <w:p w14:paraId="23AAE7AF" w14:textId="77777777" w:rsidR="00767CD0" w:rsidRPr="00C51AE9" w:rsidRDefault="00C51AE9">
      <w:pPr>
        <w:widowControl w:val="0"/>
        <w:numPr>
          <w:ilvl w:val="1"/>
          <w:numId w:val="11"/>
        </w:numPr>
        <w:spacing w:after="0"/>
        <w:contextualSpacing/>
        <w:jc w:val="both"/>
        <w:rPr>
          <w:rFonts w:ascii="Times New Roman" w:hAnsi="Times New Roman" w:cs="Times New Roman"/>
        </w:rPr>
      </w:pPr>
      <w:r w:rsidRPr="00C51AE9">
        <w:rPr>
          <w:rFonts w:ascii="Times New Roman" w:hAnsi="Times New Roman" w:cs="Times New Roman"/>
        </w:rPr>
        <w:t>75 % prej letre dhe kartoni;</w:t>
      </w:r>
    </w:p>
    <w:p w14:paraId="6E86FAD0" w14:textId="77777777" w:rsidR="00767CD0" w:rsidRPr="00C51AE9" w:rsidRDefault="00C51AE9">
      <w:pPr>
        <w:widowControl w:val="0"/>
        <w:tabs>
          <w:tab w:val="left" w:pos="540"/>
        </w:tabs>
        <w:spacing w:after="0"/>
        <w:ind w:left="540" w:hanging="270"/>
        <w:jc w:val="both"/>
        <w:rPr>
          <w:rFonts w:ascii="Times New Roman" w:hAnsi="Times New Roman" w:cs="Times New Roman"/>
        </w:rPr>
      </w:pPr>
      <w:r w:rsidRPr="00C51AE9">
        <w:rPr>
          <w:rFonts w:ascii="Times New Roman" w:hAnsi="Times New Roman" w:cs="Times New Roman"/>
        </w:rPr>
        <w:t xml:space="preserve">c. deri në 31 dhjetor 2040, një minimum prej 70 % sipas peshës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gjitha mbetjeve të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4B510063" w14:textId="77777777" w:rsidR="00767CD0" w:rsidRPr="00C51AE9" w:rsidRDefault="00C51AE9">
      <w:pPr>
        <w:widowControl w:val="0"/>
        <w:spacing w:after="0"/>
        <w:ind w:left="540" w:hanging="270"/>
        <w:jc w:val="both"/>
        <w:rPr>
          <w:rFonts w:ascii="Times New Roman" w:hAnsi="Times New Roman" w:cs="Times New Roman"/>
        </w:rPr>
      </w:pPr>
      <w:r w:rsidRPr="00C51AE9">
        <w:rPr>
          <w:rFonts w:ascii="Times New Roman" w:hAnsi="Times New Roman" w:cs="Times New Roman"/>
        </w:rPr>
        <w:t xml:space="preserve">ç. nga 31 dhjetor 2040, përqindjet minimale të mëposhtme sipas peshës të materialeve specifike të mëposhtme që përmbahen në mbetjet e ambalazhimit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7D88B57F"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55 % e plastikës;</w:t>
      </w:r>
    </w:p>
    <w:p w14:paraId="00A7B9AF"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30 % e drurit;</w:t>
      </w:r>
    </w:p>
    <w:p w14:paraId="3D8B1B75"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80 % e metaleve hekurore;</w:t>
      </w:r>
    </w:p>
    <w:p w14:paraId="1CA929C7"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60 % e aluminit;</w:t>
      </w:r>
    </w:p>
    <w:p w14:paraId="20B4872B"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75 % e qelqit;</w:t>
      </w:r>
    </w:p>
    <w:p w14:paraId="48B24839" w14:textId="77777777" w:rsidR="00767CD0" w:rsidRPr="00C51AE9" w:rsidRDefault="00C51AE9">
      <w:pPr>
        <w:widowControl w:val="0"/>
        <w:numPr>
          <w:ilvl w:val="0"/>
          <w:numId w:val="12"/>
        </w:numPr>
        <w:spacing w:after="0"/>
        <w:contextualSpacing/>
        <w:jc w:val="both"/>
        <w:rPr>
          <w:rFonts w:ascii="Times New Roman" w:hAnsi="Times New Roman" w:cs="Times New Roman"/>
        </w:rPr>
      </w:pPr>
      <w:r w:rsidRPr="00C51AE9">
        <w:rPr>
          <w:rFonts w:ascii="Times New Roman" w:hAnsi="Times New Roman" w:cs="Times New Roman"/>
        </w:rPr>
        <w:t>85 % e letrës dhe kartonit.</w:t>
      </w:r>
    </w:p>
    <w:p w14:paraId="7A89971C"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2. Afatet e përcaktuara në shkronjat “b” dhe “ç” të pikës 1 të këtij neni mund të shtyhen deri në 5 vjet, kur plotësohen kushtet e mëposhtme:</w:t>
      </w:r>
    </w:p>
    <w:p w14:paraId="0B76F64D"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shmangia nga objektivat gjatë periudhës së shtyrjes nuk kalon 15 pikë përqindjeje nga një objektiv i vetëm ose e ndarë ndërmjet dy objektivave;</w:t>
      </w:r>
    </w:p>
    <w:p w14:paraId="6DD39574"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shkalla e riciklimit për një objektiv të vetëm nuk ulet nën 30 %;</w:t>
      </w:r>
    </w:p>
    <w:p w14:paraId="691966CB"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c. shkalla e riciklimit për qelqin dhe për letrën e kartonin nuk ulet nën 60 % për objektivat e shkronjës “b” dhe nën 70 % për objektivat e shkronjës “ç” të pikës 1 të këtij neni;</w:t>
      </w:r>
    </w:p>
    <w:p w14:paraId="0E896A11"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ç. jo më vonë se 24 muaj përpara afatit përkatës, ministria përgjegjëse për mjedisin i njofton Komisionit Evropian synimin për shtyrjen e afatit dhe i paraqet një plan zbatimi. Plani i zbatimit përmban elementet e përcaktuara në Shtojcën XI të këtij vendimi.</w:t>
      </w:r>
    </w:p>
    <w:p w14:paraId="48B6CC5E"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3. Deri më 12 shkurt 2032, ministria përgjegjëse për mjedisin rishikon objektivat e përcaktuar në shkronjat “c” dhe “ç” të pikës 1 të këtij neni, me qëllim rritjen e tyre ose përcaktimin e objektivave të tjerë, dhe, kur është e nevojshme, i propozon Këshillit të Ministrave ndryshimin e tyre.</w:t>
      </w:r>
    </w:p>
    <w:p w14:paraId="27CB02D9"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4. Ministria përgjegjëse për mjedisin, në bashkëpunim me ministritë e linjës, nxit përdorimin e materialeve të përftuara nga mbetjet e ricikluara të ambalazheve për prodhimin e ambalazheve dhe të produkteve të tjera, nëpërmjet:</w:t>
      </w:r>
    </w:p>
    <w:p w14:paraId="32390A5C"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përmirësimit të kushteve të tregut për këto materiale;</w:t>
      </w:r>
    </w:p>
    <w:p w14:paraId="514F48DB"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rishikimit të rregullave ekzistuese që pengojnë përdorimin e këtyre materialeve.</w:t>
      </w:r>
    </w:p>
    <w:p w14:paraId="69AAE6CD" w14:textId="77777777" w:rsidR="00767CD0" w:rsidRPr="00C51AE9" w:rsidRDefault="00767CD0">
      <w:pPr>
        <w:jc w:val="both"/>
        <w:rPr>
          <w:rFonts w:ascii="Times New Roman" w:hAnsi="Times New Roman" w:cs="Times New Roman"/>
          <w:w w:val="90"/>
        </w:rPr>
      </w:pPr>
    </w:p>
    <w:p w14:paraId="5C65403B"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lastRenderedPageBreak/>
        <w:t xml:space="preserve">Neni 63 </w:t>
      </w:r>
    </w:p>
    <w:p w14:paraId="335DF7A5"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72" w:name="_Toc227317667"/>
      <w:r w:rsidRPr="00C51AE9">
        <w:rPr>
          <w:rFonts w:ascii="Times New Roman" w:eastAsiaTheme="majorEastAsia" w:hAnsi="Times New Roman" w:cs="Times New Roman"/>
          <w:b/>
        </w:rPr>
        <w:t>Rregullat për llogaritjen e arritjes së objektivave të riciklimit</w:t>
      </w:r>
      <w:bookmarkEnd w:id="72"/>
    </w:p>
    <w:p w14:paraId="36F2311C"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Vlerësimi i arritjes së objektivave të përcaktuara në nenin 62  të këtij  vendimi kryhet në përputhje me sipas rregullat e llogaritjes së parashikuara në këtë nen.</w:t>
      </w:r>
    </w:p>
    <w:p w14:paraId="0452D38C"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Agjencia Kombëtare e Mjedisit llogarit peshën e mbetjeve të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në një vit kalendarik të caktuar. Llogaritja përfshin të gjitha mbetjet e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në territorin e Republikës së Shqipërisë.</w:t>
      </w:r>
    </w:p>
    <w:p w14:paraId="788A4333"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 xml:space="preserve">Metodologjia për llogaritjen e mbetjeve të ambalazheve të </w:t>
      </w:r>
      <w:proofErr w:type="spellStart"/>
      <w:r w:rsidRPr="00C51AE9">
        <w:rPr>
          <w:rFonts w:ascii="Times New Roman" w:eastAsia="Times New Roman" w:hAnsi="Times New Roman" w:cs="Times New Roman"/>
          <w:kern w:val="0"/>
          <w14:ligatures w14:val="none"/>
        </w:rPr>
        <w:t>gjeneruara</w:t>
      </w:r>
      <w:proofErr w:type="spellEnd"/>
      <w:r w:rsidRPr="00C51AE9">
        <w:rPr>
          <w:rFonts w:ascii="Times New Roman" w:eastAsia="Times New Roman" w:hAnsi="Times New Roman" w:cs="Times New Roman"/>
          <w:kern w:val="0"/>
          <w14:ligatures w14:val="none"/>
        </w:rPr>
        <w:t xml:space="preserve"> bazohet në një nga metodat e mëposhtme:</w:t>
      </w:r>
    </w:p>
    <w:p w14:paraId="6B40F535" w14:textId="77777777" w:rsidR="00767CD0" w:rsidRPr="00C51AE9" w:rsidRDefault="00C51AE9">
      <w:pPr>
        <w:tabs>
          <w:tab w:val="left" w:pos="720"/>
        </w:tabs>
        <w:spacing w:beforeAutospacing="1" w:afterAutospacing="1" w:line="240" w:lineRule="auto"/>
        <w:ind w:left="54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 sasinë e ambalazheve të hedhura në treg në territorin e Republikës së Shqipërisë gjatë vitit përkatës; ose</w:t>
      </w:r>
    </w:p>
    <w:p w14:paraId="360BF1DC" w14:textId="77777777" w:rsidR="00767CD0" w:rsidRPr="00C51AE9" w:rsidRDefault="00C51AE9">
      <w:pPr>
        <w:tabs>
          <w:tab w:val="left" w:pos="720"/>
        </w:tabs>
        <w:spacing w:beforeAutospacing="1" w:afterAutospacing="1" w:line="240" w:lineRule="auto"/>
        <w:ind w:left="54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 sasinë e mbetjeve të ambalazheve të </w:t>
      </w:r>
      <w:proofErr w:type="spellStart"/>
      <w:r w:rsidRPr="00C51AE9">
        <w:rPr>
          <w:rFonts w:ascii="Times New Roman" w:eastAsia="Times New Roman" w:hAnsi="Times New Roman" w:cs="Times New Roman"/>
          <w:kern w:val="0"/>
          <w14:ligatures w14:val="none"/>
        </w:rPr>
        <w:t>gjeneruara</w:t>
      </w:r>
      <w:proofErr w:type="spellEnd"/>
      <w:r w:rsidRPr="00C51AE9">
        <w:rPr>
          <w:rFonts w:ascii="Times New Roman" w:eastAsia="Times New Roman" w:hAnsi="Times New Roman" w:cs="Times New Roman"/>
          <w:kern w:val="0"/>
          <w14:ligatures w14:val="none"/>
        </w:rPr>
        <w:t xml:space="preserve"> gjatë të njëjtit vit në territorin e Republikës së Shqipërisë.</w:t>
      </w:r>
    </w:p>
    <w:p w14:paraId="034A454A" w14:textId="77777777" w:rsidR="00767CD0" w:rsidRPr="00C51AE9" w:rsidRDefault="00C51AE9">
      <w:pPr>
        <w:numPr>
          <w:ilvl w:val="1"/>
          <w:numId w:val="7"/>
        </w:numPr>
        <w:tabs>
          <w:tab w:val="left" w:pos="630"/>
        </w:tabs>
        <w:spacing w:after="0"/>
        <w:contextualSpacing/>
        <w:jc w:val="both"/>
        <w:rPr>
          <w:rFonts w:ascii="Times New Roman" w:hAnsi="Times New Roman" w:cs="Times New Roman"/>
        </w:rPr>
      </w:pPr>
      <w:r w:rsidRPr="00C51AE9">
        <w:rPr>
          <w:rFonts w:ascii="Times New Roman" w:hAnsi="Times New Roman" w:cs="Times New Roman"/>
        </w:rPr>
        <w:t xml:space="preserve">Llogaritjet e kryera në përputhje me pikën 2 dhe 3 të këtij neni  duhet të garantojnë </w:t>
      </w:r>
      <w:proofErr w:type="spellStart"/>
      <w:r w:rsidRPr="00C51AE9">
        <w:rPr>
          <w:rFonts w:ascii="Times New Roman" w:hAnsi="Times New Roman" w:cs="Times New Roman"/>
        </w:rPr>
        <w:t>krahasueshmërinë</w:t>
      </w:r>
      <w:proofErr w:type="spellEnd"/>
      <w:r w:rsidRPr="00C51AE9">
        <w:rPr>
          <w:rFonts w:ascii="Times New Roman" w:hAnsi="Times New Roman" w:cs="Times New Roman"/>
        </w:rPr>
        <w:t>, besueshmërinë dhe plotësinë e rezultateve.</w:t>
      </w:r>
    </w:p>
    <w:p w14:paraId="5350DC7B"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Agjencia Kombëtare e Mjedisit llogarit peshën e mbetjeve të ambalazheve të ricikluara në një vit kalendarik të caktuar. Pesha e mbetjeve të ambalazheve të ricikluara është pesha e ambalazheve që janë bërë mbetje dhe që:</w:t>
      </w:r>
    </w:p>
    <w:p w14:paraId="60274828" w14:textId="77777777" w:rsidR="00767CD0" w:rsidRPr="00C51AE9" w:rsidRDefault="00C51AE9" w:rsidP="00F635BF">
      <w:pPr>
        <w:numPr>
          <w:ilvl w:val="1"/>
          <w:numId w:val="166"/>
        </w:numPr>
        <w:spacing w:after="0"/>
        <w:contextualSpacing/>
        <w:jc w:val="both"/>
        <w:rPr>
          <w:rFonts w:ascii="Times New Roman" w:hAnsi="Times New Roman" w:cs="Times New Roman"/>
        </w:rPr>
      </w:pPr>
      <w:r w:rsidRPr="00C51AE9">
        <w:rPr>
          <w:rFonts w:ascii="Times New Roman" w:hAnsi="Times New Roman" w:cs="Times New Roman"/>
        </w:rPr>
        <w:t xml:space="preserve"> i janë nënshtruar kontrolleve, ndarjes dhe operacioneve të tjera paraprake të nevojshme për largimin e materialeve që nuk janë objekt i ripërpunimit;</w:t>
      </w:r>
    </w:p>
    <w:p w14:paraId="5E07FF78" w14:textId="77777777" w:rsidR="00767CD0" w:rsidRPr="00C51AE9" w:rsidRDefault="00C51AE9" w:rsidP="00F635BF">
      <w:pPr>
        <w:numPr>
          <w:ilvl w:val="1"/>
          <w:numId w:val="166"/>
        </w:numPr>
        <w:spacing w:after="0"/>
        <w:contextualSpacing/>
        <w:jc w:val="both"/>
        <w:rPr>
          <w:rFonts w:ascii="Times New Roman" w:hAnsi="Times New Roman" w:cs="Times New Roman"/>
        </w:rPr>
      </w:pPr>
      <w:r w:rsidRPr="00C51AE9">
        <w:rPr>
          <w:rFonts w:ascii="Times New Roman" w:hAnsi="Times New Roman" w:cs="Times New Roman"/>
        </w:rPr>
        <w:t xml:space="preserve"> plotësojnë kushtet për riciklim me cilësi të lartë; dhe</w:t>
      </w:r>
    </w:p>
    <w:p w14:paraId="73E08FBC" w14:textId="77777777" w:rsidR="00767CD0" w:rsidRPr="00C51AE9" w:rsidRDefault="00C51AE9" w:rsidP="00F635BF">
      <w:pPr>
        <w:numPr>
          <w:ilvl w:val="1"/>
          <w:numId w:val="166"/>
        </w:numPr>
        <w:spacing w:after="0"/>
        <w:contextualSpacing/>
        <w:jc w:val="both"/>
        <w:rPr>
          <w:rFonts w:ascii="Times New Roman" w:hAnsi="Times New Roman" w:cs="Times New Roman"/>
        </w:rPr>
      </w:pPr>
      <w:r w:rsidRPr="00C51AE9">
        <w:rPr>
          <w:rFonts w:ascii="Times New Roman" w:hAnsi="Times New Roman" w:cs="Times New Roman"/>
        </w:rPr>
        <w:t xml:space="preserve"> hyjnë në operacionin e riciklimit, ku ripërpunohen në produkte, materiale ose substanca.</w:t>
      </w:r>
    </w:p>
    <w:p w14:paraId="08F703C8" w14:textId="77777777" w:rsidR="00767CD0" w:rsidRPr="00C51AE9" w:rsidRDefault="00767CD0">
      <w:pPr>
        <w:spacing w:after="0"/>
        <w:ind w:left="630"/>
        <w:contextualSpacing/>
        <w:jc w:val="both"/>
        <w:rPr>
          <w:rFonts w:ascii="Times New Roman" w:hAnsi="Times New Roman" w:cs="Times New Roman"/>
        </w:rPr>
      </w:pPr>
    </w:p>
    <w:p w14:paraId="0758B31A"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Ambalazhi i përbërë nga më shumë se një material llogaritet dhe raportohet sipas materialit përbërës të ambalazhit. Kjo kërkesë nuk zbatohet kur një material i caktuar përbërës, përbën një pjesë të parëndësishme të njësisë së ambalazhimit, e cila në asnjë rast nuk është më shumë se 5 për qind e masës totale të njësisë së ambalazhimit.</w:t>
      </w:r>
    </w:p>
    <w:p w14:paraId="70DB9CB2"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Në përmbushje të përcaktimeve të pikës 3 të këtij neni, pesha e mbetjeve të ambalazheve të ricikluara matet në momentin kur mbetjet hyjnë në procesin e riciklimit. </w:t>
      </w:r>
    </w:p>
    <w:p w14:paraId="341757F8"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Në shmangie nga pika 7 e këtij neni, pesha e mbetjeve të ambalazhit të ricikluara, matet në daljen e çdo operacioni ndarjeje, me kusht që:</w:t>
      </w:r>
    </w:p>
    <w:p w14:paraId="7E968FF2" w14:textId="77777777" w:rsidR="00767CD0" w:rsidRPr="00C51AE9" w:rsidRDefault="00C51AE9" w:rsidP="00F635BF">
      <w:pPr>
        <w:numPr>
          <w:ilvl w:val="0"/>
          <w:numId w:val="96"/>
        </w:numPr>
        <w:spacing w:after="0"/>
        <w:ind w:left="990"/>
        <w:contextualSpacing/>
        <w:jc w:val="both"/>
        <w:rPr>
          <w:rFonts w:ascii="Times New Roman" w:hAnsi="Times New Roman" w:cs="Times New Roman"/>
        </w:rPr>
      </w:pPr>
      <w:r w:rsidRPr="00C51AE9">
        <w:rPr>
          <w:rFonts w:ascii="Times New Roman" w:hAnsi="Times New Roman" w:cs="Times New Roman"/>
        </w:rPr>
        <w:t>kjo mbetje i nënshtrohet procesit të riciklimit;</w:t>
      </w:r>
    </w:p>
    <w:p w14:paraId="711D225C" w14:textId="77777777" w:rsidR="00767CD0" w:rsidRPr="00C51AE9" w:rsidRDefault="00C51AE9" w:rsidP="00F635BF">
      <w:pPr>
        <w:numPr>
          <w:ilvl w:val="0"/>
          <w:numId w:val="96"/>
        </w:numPr>
        <w:spacing w:after="0"/>
        <w:ind w:left="990"/>
        <w:contextualSpacing/>
        <w:jc w:val="both"/>
        <w:rPr>
          <w:rFonts w:ascii="Times New Roman" w:hAnsi="Times New Roman" w:cs="Times New Roman"/>
        </w:rPr>
      </w:pPr>
      <w:r w:rsidRPr="00C51AE9">
        <w:rPr>
          <w:rFonts w:ascii="Times New Roman" w:hAnsi="Times New Roman" w:cs="Times New Roman"/>
        </w:rPr>
        <w:t>pesha e materialeve ose substancave që hiqen nga operacione të mëtejshme që i paraprijnë operacionit të riciklimit dhe që më pas nuk riciklohen, nuk përfshihet në peshën e mbetjeve të raportuara si të ricikluara.</w:t>
      </w:r>
    </w:p>
    <w:p w14:paraId="05BC0F8C"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Agjencia Kombëtare e Mjedisit krijon dhe zbaton një sistem efektiv të kontrollit të cilësisë dhe </w:t>
      </w:r>
      <w:proofErr w:type="spellStart"/>
      <w:r w:rsidRPr="00C51AE9">
        <w:rPr>
          <w:rFonts w:ascii="Times New Roman" w:hAnsi="Times New Roman" w:cs="Times New Roman"/>
        </w:rPr>
        <w:t>gjurmueshmërisë</w:t>
      </w:r>
      <w:proofErr w:type="spellEnd"/>
      <w:r w:rsidRPr="00C51AE9">
        <w:rPr>
          <w:rFonts w:ascii="Times New Roman" w:hAnsi="Times New Roman" w:cs="Times New Roman"/>
        </w:rPr>
        <w:t xml:space="preserve"> së mbetjeve të ambalazhit për të siguruar përmbushjen e kushteve të përcaktuara në këtë në pikat 2 dhe 3 të këtij neni. </w:t>
      </w:r>
    </w:p>
    <w:p w14:paraId="1AAD2589"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 xml:space="preserve">Sistemi i kontrollit të cilësisë dhe </w:t>
      </w:r>
      <w:proofErr w:type="spellStart"/>
      <w:r w:rsidRPr="00C51AE9">
        <w:rPr>
          <w:rFonts w:ascii="Times New Roman" w:eastAsia="Times New Roman" w:hAnsi="Times New Roman" w:cs="Times New Roman"/>
          <w:kern w:val="0"/>
          <w14:ligatures w14:val="none"/>
        </w:rPr>
        <w:t>gjurmueshmërisë</w:t>
      </w:r>
      <w:proofErr w:type="spellEnd"/>
      <w:r w:rsidRPr="00C51AE9">
        <w:rPr>
          <w:rFonts w:ascii="Times New Roman" w:eastAsia="Times New Roman" w:hAnsi="Times New Roman" w:cs="Times New Roman"/>
          <w:kern w:val="0"/>
          <w14:ligatures w14:val="none"/>
        </w:rPr>
        <w:t xml:space="preserve"> përbëhet nga:</w:t>
      </w:r>
    </w:p>
    <w:p w14:paraId="7F85AAAB" w14:textId="77777777" w:rsidR="00767CD0" w:rsidRPr="00C51AE9" w:rsidRDefault="00C51AE9" w:rsidP="00F635BF">
      <w:pPr>
        <w:numPr>
          <w:ilvl w:val="1"/>
          <w:numId w:val="170"/>
        </w:numPr>
        <w:tabs>
          <w:tab w:val="left" w:pos="990"/>
        </w:tabs>
        <w:spacing w:beforeAutospacing="1" w:after="0" w:line="240" w:lineRule="auto"/>
        <w:ind w:left="99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regjistra elektronikë për </w:t>
      </w:r>
      <w:proofErr w:type="spellStart"/>
      <w:r w:rsidRPr="00C51AE9">
        <w:rPr>
          <w:rFonts w:ascii="Times New Roman" w:eastAsia="Times New Roman" w:hAnsi="Times New Roman" w:cs="Times New Roman"/>
          <w:kern w:val="0"/>
          <w14:ligatures w14:val="none"/>
        </w:rPr>
        <w:t>gjurmueshmërinë</w:t>
      </w:r>
      <w:proofErr w:type="spellEnd"/>
      <w:r w:rsidRPr="00C51AE9">
        <w:rPr>
          <w:rFonts w:ascii="Times New Roman" w:eastAsia="Times New Roman" w:hAnsi="Times New Roman" w:cs="Times New Roman"/>
          <w:kern w:val="0"/>
          <w14:ligatures w14:val="none"/>
        </w:rPr>
        <w:t xml:space="preserve"> e mbetjeve të ambalazhit;</w:t>
      </w:r>
    </w:p>
    <w:p w14:paraId="45F16146" w14:textId="77777777" w:rsidR="00767CD0" w:rsidRPr="00C51AE9" w:rsidRDefault="00C51AE9" w:rsidP="00F635BF">
      <w:pPr>
        <w:numPr>
          <w:ilvl w:val="1"/>
          <w:numId w:val="170"/>
        </w:numPr>
        <w:tabs>
          <w:tab w:val="left" w:pos="990"/>
        </w:tabs>
        <w:spacing w:after="0" w:line="240" w:lineRule="auto"/>
        <w:ind w:left="99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specifikime teknike që përcaktojnë kërkesat e cilësisë për mbetjet e ambalazhit të grumbulluara në mënyrë të diferencuar dhe të përzgjedhura;</w:t>
      </w:r>
    </w:p>
    <w:p w14:paraId="582D9DB5" w14:textId="77777777" w:rsidR="00767CD0" w:rsidRPr="00C51AE9" w:rsidRDefault="00C51AE9" w:rsidP="00F635BF">
      <w:pPr>
        <w:numPr>
          <w:ilvl w:val="1"/>
          <w:numId w:val="170"/>
        </w:numPr>
        <w:tabs>
          <w:tab w:val="left" w:pos="990"/>
        </w:tabs>
        <w:spacing w:afterAutospacing="1" w:line="240" w:lineRule="auto"/>
        <w:ind w:left="99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norma mesatare të humbjeve për mbetjet e ambalazhit të përzgjedhura, sipas llojeve të mbetjeve dhe praktikave të menaxhimit të tyre, kur të dhëna të besueshme nuk mund të sigurohen në mënyrë tjetër.</w:t>
      </w:r>
    </w:p>
    <w:p w14:paraId="69081C71" w14:textId="77777777" w:rsidR="00767CD0" w:rsidRPr="00C51AE9" w:rsidRDefault="00C51AE9">
      <w:pPr>
        <w:numPr>
          <w:ilvl w:val="1"/>
          <w:numId w:val="7"/>
        </w:numPr>
        <w:spacing w:beforeAutospacing="1" w:after="0" w:line="240" w:lineRule="auto"/>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Normat mesatare të humbjeve, sipas shkronjës c të pikës 10 të këtij neni, pikat e llogaritjes dhe të matjes, metoda e përjashtimit nga llogaritja të materialeve që nuk janë objekt i ripërpunimit dhe llogaritja e metaleve të ndara nga hiri i djegies së mbetjeve të ambalazheve përcaktohen me udhëzimin e ministrit të parashikuar në pikën 4 të nenit 66 të këtij vendimi.</w:t>
      </w:r>
    </w:p>
    <w:p w14:paraId="77380645"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Sasia e mbetjeve të ambalazheve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që hyn në trajtim aerobik ose </w:t>
      </w:r>
      <w:proofErr w:type="spellStart"/>
      <w:r w:rsidRPr="00C51AE9">
        <w:rPr>
          <w:rFonts w:ascii="Times New Roman" w:hAnsi="Times New Roman" w:cs="Times New Roman"/>
        </w:rPr>
        <w:t>anaerobik</w:t>
      </w:r>
      <w:proofErr w:type="spellEnd"/>
      <w:r w:rsidRPr="00C51AE9">
        <w:rPr>
          <w:rFonts w:ascii="Times New Roman" w:hAnsi="Times New Roman" w:cs="Times New Roman"/>
        </w:rPr>
        <w:t xml:space="preserve"> llogaritet si e ricikluar kur ai trajtim </w:t>
      </w:r>
      <w:proofErr w:type="spellStart"/>
      <w:r w:rsidRPr="00C51AE9">
        <w:rPr>
          <w:rFonts w:ascii="Times New Roman" w:hAnsi="Times New Roman" w:cs="Times New Roman"/>
        </w:rPr>
        <w:t>gjeneron</w:t>
      </w:r>
      <w:proofErr w:type="spellEnd"/>
      <w:r w:rsidRPr="00C51AE9">
        <w:rPr>
          <w:rFonts w:ascii="Times New Roman" w:hAnsi="Times New Roman" w:cs="Times New Roman"/>
        </w:rPr>
        <w:t xml:space="preserve"> </w:t>
      </w:r>
      <w:proofErr w:type="spellStart"/>
      <w:r w:rsidRPr="00C51AE9">
        <w:rPr>
          <w:rFonts w:ascii="Times New Roman" w:hAnsi="Times New Roman" w:cs="Times New Roman"/>
        </w:rPr>
        <w:t>kompost</w:t>
      </w:r>
      <w:proofErr w:type="spellEnd"/>
      <w:r w:rsidRPr="00C51AE9">
        <w:rPr>
          <w:rFonts w:ascii="Times New Roman" w:hAnsi="Times New Roman" w:cs="Times New Roman"/>
        </w:rPr>
        <w:t>, lëndë e tretur, ose produkt tjetër dalës me një sasi të ngjashme përmbajtjeje të ricikluar në raport me hyrjen, i cili përdoret si produkt, material ose substancë e ricikluar. Kur produkti dalës përdoret në tokë, sasi të tilla llogariten si të ricikluara me kusht që ky përdorim të sjellë përfitime për bujqësinë ose përmirësim ekologjik.</w:t>
      </w:r>
    </w:p>
    <w:p w14:paraId="3B55827F"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Sasia e materialeve të mbetjeve të ambalazhit që kanë pushuar së qeni mbetje si rezultat i një operacioni përgatitor përpara se të ripërpunohen, llogaritet si e ricikluar, me kusht që materiale të tilla të jenë të destinuara për ripërpunim të mëvonshëm në produkte, materiale ose substanca që përdoren për qëllimet fillestare ose për qëllime të tjera. Materialet që nuk janë më mbetje dhe që përdoren si lëndë djegëse ose si mjete të tjera për të </w:t>
      </w:r>
      <w:proofErr w:type="spellStart"/>
      <w:r w:rsidRPr="00C51AE9">
        <w:rPr>
          <w:rFonts w:ascii="Times New Roman" w:hAnsi="Times New Roman" w:cs="Times New Roman"/>
        </w:rPr>
        <w:t>gjeneruar</w:t>
      </w:r>
      <w:proofErr w:type="spellEnd"/>
      <w:r w:rsidRPr="00C51AE9">
        <w:rPr>
          <w:rFonts w:ascii="Times New Roman" w:hAnsi="Times New Roman" w:cs="Times New Roman"/>
        </w:rPr>
        <w:t xml:space="preserve"> energji, ose për t’u </w:t>
      </w:r>
      <w:proofErr w:type="spellStart"/>
      <w:r w:rsidRPr="00C51AE9">
        <w:rPr>
          <w:rFonts w:ascii="Times New Roman" w:hAnsi="Times New Roman" w:cs="Times New Roman"/>
        </w:rPr>
        <w:t>incineruar</w:t>
      </w:r>
      <w:proofErr w:type="spellEnd"/>
      <w:r w:rsidRPr="00C51AE9">
        <w:rPr>
          <w:rFonts w:ascii="Times New Roman" w:hAnsi="Times New Roman" w:cs="Times New Roman"/>
        </w:rPr>
        <w:t xml:space="preserve">, për t’u përdorur për mbushje, ose për t’u depozituar në </w:t>
      </w:r>
      <w:proofErr w:type="spellStart"/>
      <w:r w:rsidRPr="00C51AE9">
        <w:rPr>
          <w:rFonts w:ascii="Times New Roman" w:hAnsi="Times New Roman" w:cs="Times New Roman"/>
        </w:rPr>
        <w:t>landfill</w:t>
      </w:r>
      <w:proofErr w:type="spellEnd"/>
      <w:r w:rsidRPr="00C51AE9">
        <w:rPr>
          <w:rFonts w:ascii="Times New Roman" w:hAnsi="Times New Roman" w:cs="Times New Roman"/>
        </w:rPr>
        <w:t>, nuk llogariten si të ricikluara.</w:t>
      </w:r>
    </w:p>
    <w:p w14:paraId="5A7C1EAC"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Mbetjet e ambalazhit të eksportuara nga Republika e Shqipërisë llogariten si të ricikluara nëse plotësohen kërkesat e përcaktuara në pikën 3 të këtij neni dhe nëse eksportuesi siguron prova dokumentare që dërgesa e mbetjeve është në përputhje me kërkesat ligjore, e që trajtimi i mbetjeve të ambalazhimit në një vend të tretë ndodh në kushte ekuivalente me kërkesat e zbatueshme në Republikën e Shqipërisë.</w:t>
      </w:r>
    </w:p>
    <w:p w14:paraId="66B192D6"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Përgatitja për ripërdorimin e mbetjeve të ambalazhimit konsiderohet për përmbushjen e objektivave të përcaktuar në nenin 62 të këtij vendim vetëm nëse:</w:t>
      </w:r>
    </w:p>
    <w:p w14:paraId="455AFA3A" w14:textId="77777777" w:rsidR="00767CD0" w:rsidRPr="00C51AE9" w:rsidRDefault="00C51AE9" w:rsidP="00F635BF">
      <w:pPr>
        <w:numPr>
          <w:ilvl w:val="1"/>
          <w:numId w:val="171"/>
        </w:numPr>
        <w:spacing w:after="0"/>
        <w:contextualSpacing/>
        <w:jc w:val="both"/>
        <w:rPr>
          <w:rFonts w:ascii="Times New Roman" w:hAnsi="Times New Roman" w:cs="Times New Roman"/>
        </w:rPr>
      </w:pPr>
      <w:r w:rsidRPr="00C51AE9">
        <w:rPr>
          <w:rFonts w:ascii="Times New Roman" w:hAnsi="Times New Roman" w:cs="Times New Roman"/>
        </w:rPr>
        <w:t>përgatitja për ripërdorim është kryer nga persona që mbajnë një leje ose licencë sipas përcaktimeve të ligjit për menaxhimin e integruar të mbetjeve;</w:t>
      </w:r>
    </w:p>
    <w:p w14:paraId="4E3E5EC8" w14:textId="77777777" w:rsidR="00767CD0" w:rsidRPr="00C51AE9" w:rsidRDefault="00C51AE9" w:rsidP="00F635BF">
      <w:pPr>
        <w:numPr>
          <w:ilvl w:val="1"/>
          <w:numId w:val="171"/>
        </w:numPr>
        <w:spacing w:after="0"/>
        <w:contextualSpacing/>
        <w:jc w:val="both"/>
        <w:rPr>
          <w:rFonts w:ascii="Times New Roman" w:hAnsi="Times New Roman" w:cs="Times New Roman"/>
        </w:rPr>
      </w:pPr>
      <w:r w:rsidRPr="00C51AE9">
        <w:rPr>
          <w:rFonts w:ascii="Times New Roman" w:hAnsi="Times New Roman" w:cs="Times New Roman"/>
        </w:rPr>
        <w:t>ekzistojnë prova të shndërrimit të mbetjeve të ambalazheve në produkte.</w:t>
      </w:r>
    </w:p>
    <w:p w14:paraId="49C70515"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Për llogaritjen e objektivave të riciklimit të përcaktuara në nenin 62 të këtij vendimi, përdoren vetëm mbetjet që përfshihen në procesin e riciklimit ose mbetjet që kanë pushuar së konsideruari mbetje.</w:t>
      </w:r>
    </w:p>
    <w:p w14:paraId="731ADC14"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 xml:space="preserve">Mbetjet e ambalazheve që nuk janë rikuperuar ose futur në një proces efektiv rikuperimi deri më 31 dhjetor të vitit përkatës raportues, nuk konsiderohen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xml:space="preserve"> nga subjektet e detyruara.</w:t>
      </w:r>
    </w:p>
    <w:p w14:paraId="6879E938" w14:textId="77777777" w:rsidR="00767CD0" w:rsidRPr="00C51AE9" w:rsidRDefault="00C51AE9">
      <w:pPr>
        <w:numPr>
          <w:ilvl w:val="1"/>
          <w:numId w:val="7"/>
        </w:numPr>
        <w:spacing w:after="0"/>
        <w:contextualSpacing/>
        <w:jc w:val="both"/>
        <w:rPr>
          <w:rFonts w:ascii="Times New Roman" w:hAnsi="Times New Roman" w:cs="Times New Roman"/>
        </w:rPr>
      </w:pPr>
      <w:r w:rsidRPr="00C51AE9">
        <w:rPr>
          <w:rFonts w:ascii="Times New Roman" w:hAnsi="Times New Roman" w:cs="Times New Roman"/>
        </w:rPr>
        <w:t>Dërgesa dhe eksporti i mbetjeve të ambalazhimit jashtë territorit të Republikës së Shqipërisë konsiderohen si përmbushje e objektivave të përcaktuara në nenin 62 të këtij vendimi, nëse impiantet pritëse të riciklimit përmbushin kushte mjedisore ekuivalente me ato të zbatueshme në Republikën e Shqipërisë. Dërgesat drejt vendeve anëtare të Bashkimit Evropian parashikohen se përmbushin kushtet ekuivalente mjedisore.</w:t>
      </w:r>
    </w:p>
    <w:p w14:paraId="27F4F039"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lastRenderedPageBreak/>
        <w:t>19. Në llogaritjen e arritjes së objektivave mund të merret parasysh riciklimi i metaleve të ndara pas djegies së mbetjeve, në proporcion me pjesën e mbetjeve të ambalazheve të djegura, me kusht që metalet e ricikluara të përmbushin kriteret e cilësisë të përcaktuara me udhëzim të ministrit përgjegjës për mjedisin.</w:t>
      </w:r>
    </w:p>
    <w:p w14:paraId="7AB07D3D"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20. Mbetjet e ambalazheve të grumbulluara në Republikën e Shqipërisë dhe të dërguara për riciklim në një shtet tjetër llogariten si të ricikluara vetëm në Republikën e Shqipërisë.</w:t>
      </w:r>
    </w:p>
    <w:p w14:paraId="5FC198C0" w14:textId="77777777" w:rsidR="00767CD0" w:rsidRPr="00C51AE9" w:rsidRDefault="00C51AE9">
      <w:pPr>
        <w:keepNext/>
        <w:keepLines/>
        <w:spacing w:before="360" w:after="80"/>
        <w:jc w:val="center"/>
        <w:outlineLvl w:val="0"/>
        <w:rPr>
          <w:rFonts w:ascii="Times New Roman" w:hAnsi="Times New Roman" w:cs="Times New Roman"/>
        </w:rPr>
      </w:pPr>
      <w:bookmarkStart w:id="73" w:name="_Toc227317668"/>
      <w:r w:rsidRPr="00C51AE9">
        <w:rPr>
          <w:rFonts w:ascii="Times New Roman" w:hAnsi="Times New Roman" w:cs="Times New Roman"/>
        </w:rPr>
        <w:t>SEKSIONI 7</w:t>
      </w:r>
    </w:p>
    <w:p w14:paraId="210DE6E0" w14:textId="77777777" w:rsidR="00767CD0" w:rsidRPr="00C51AE9" w:rsidRDefault="00C51AE9">
      <w:pPr>
        <w:keepNext/>
        <w:keepLines/>
        <w:spacing w:before="360" w:after="80"/>
        <w:jc w:val="center"/>
        <w:outlineLvl w:val="0"/>
        <w:rPr>
          <w:rFonts w:ascii="Times New Roman" w:hAnsi="Times New Roman" w:cs="Times New Roman"/>
          <w:b/>
          <w:bCs/>
        </w:rPr>
      </w:pPr>
      <w:r w:rsidRPr="00C51AE9">
        <w:rPr>
          <w:rFonts w:ascii="Times New Roman" w:hAnsi="Times New Roman" w:cs="Times New Roman"/>
          <w:b/>
          <w:bCs/>
        </w:rPr>
        <w:t xml:space="preserve"> INFORMACIONI DHE RAPORTIM</w:t>
      </w:r>
      <w:bookmarkEnd w:id="73"/>
      <w:r w:rsidRPr="00C51AE9">
        <w:rPr>
          <w:rFonts w:ascii="Times New Roman" w:hAnsi="Times New Roman" w:cs="Times New Roman"/>
          <w:b/>
          <w:bCs/>
        </w:rPr>
        <w:t>I</w:t>
      </w:r>
    </w:p>
    <w:p w14:paraId="2D5EF325"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64</w:t>
      </w:r>
    </w:p>
    <w:p w14:paraId="2EA2AF21"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74" w:name="_Toc227317669"/>
      <w:r w:rsidRPr="00C51AE9">
        <w:rPr>
          <w:rFonts w:ascii="Times New Roman" w:eastAsiaTheme="majorEastAsia" w:hAnsi="Times New Roman" w:cs="Times New Roman"/>
          <w:b/>
        </w:rPr>
        <w:t>Informacioni mbi parandalimin dhe menaxhimin e mbetjeve të ambalazheve</w:t>
      </w:r>
      <w:bookmarkEnd w:id="74"/>
    </w:p>
    <w:p w14:paraId="322552EA" w14:textId="77777777" w:rsidR="00767CD0" w:rsidRPr="00C51AE9" w:rsidRDefault="00C51AE9">
      <w:pPr>
        <w:numPr>
          <w:ilvl w:val="0"/>
          <w:numId w:val="20"/>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Përveç informacionit të përcaktuar në nenin 14 të Ligjit74/2025 </w:t>
      </w:r>
      <w:r w:rsidRPr="00C51AE9">
        <w:rPr>
          <w:rFonts w:ascii="Times New Roman" w:hAnsi="Times New Roman" w:cs="Times New Roman"/>
        </w:rPr>
        <w:t xml:space="preserve">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w:t>
      </w:r>
      <w:r w:rsidRPr="00C51AE9">
        <w:rPr>
          <w:rFonts w:ascii="Times New Roman" w:eastAsia="Times New Roman" w:hAnsi="Times New Roman" w:cs="Times New Roman"/>
          <w:kern w:val="0"/>
          <w14:ligatures w14:val="none"/>
        </w:rPr>
        <w:t xml:space="preserve"> prodhuesit ose, kur atyre u është besuar përmbushja e detyrimeve të përgjegjësisë së zgjeruar të prodhuesit, </w:t>
      </w:r>
      <w:r w:rsidRPr="00C51AE9">
        <w:rPr>
          <w:rFonts w:ascii="Times New Roman" w:hAnsi="Times New Roman" w:cs="Times New Roman"/>
        </w:rPr>
        <w:t>shoqëritë e përgjegjësisë së zgjeruar të subjekteve prodhuese</w:t>
      </w:r>
      <w:r w:rsidRPr="00C51AE9">
        <w:rPr>
          <w:rFonts w:ascii="Times New Roman" w:eastAsia="Times New Roman" w:hAnsi="Times New Roman" w:cs="Times New Roman"/>
          <w:kern w:val="0"/>
          <w14:ligatures w14:val="none"/>
        </w:rPr>
        <w:t>, u vënë në dispozicion përdoruesve përfundimtarë, në veçanti konsumatorëve, informacionin e mëposhtëm lidhur me parandalimin dhe menaxhimin e mbetjeve të ambalazheve, për ambalazhet që prodhuesit hedhin në treg:</w:t>
      </w:r>
    </w:p>
    <w:p w14:paraId="5CEAB140" w14:textId="77777777" w:rsidR="00767CD0" w:rsidRPr="00C51AE9" w:rsidRDefault="00C51AE9">
      <w:pPr>
        <w:spacing w:after="0"/>
        <w:ind w:left="7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 rolin e përdoruesve fundorë në kontributin për parandalimin e mbetjeve, duke  përfshirë praktikat më të mira;</w:t>
      </w:r>
    </w:p>
    <w:p w14:paraId="329EC0B6" w14:textId="77777777" w:rsidR="00767CD0" w:rsidRPr="00C51AE9" w:rsidRDefault="00C51AE9">
      <w:pPr>
        <w:spacing w:after="0"/>
        <w:ind w:left="7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 marrëveshjet e ripërdorimit të </w:t>
      </w:r>
      <w:proofErr w:type="spellStart"/>
      <w:r w:rsidRPr="00C51AE9">
        <w:rPr>
          <w:rFonts w:ascii="Times New Roman" w:eastAsia="Times New Roman" w:hAnsi="Times New Roman" w:cs="Times New Roman"/>
          <w:kern w:val="0"/>
          <w14:ligatures w14:val="none"/>
        </w:rPr>
        <w:t>disponueshme</w:t>
      </w:r>
      <w:proofErr w:type="spellEnd"/>
      <w:r w:rsidRPr="00C51AE9">
        <w:rPr>
          <w:rFonts w:ascii="Times New Roman" w:eastAsia="Times New Roman" w:hAnsi="Times New Roman" w:cs="Times New Roman"/>
          <w:kern w:val="0"/>
          <w14:ligatures w14:val="none"/>
        </w:rPr>
        <w:t xml:space="preserve"> për ambalazhet;</w:t>
      </w:r>
    </w:p>
    <w:p w14:paraId="0F53E581" w14:textId="77777777" w:rsidR="00767CD0" w:rsidRPr="00C51AE9" w:rsidRDefault="00C51AE9">
      <w:pPr>
        <w:spacing w:after="0"/>
        <w:ind w:left="7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c. rolin e përdoruesve fundorë në kontributin për grumbullimin e ndarë të materialeve të mbetjeve të ambalazhimit, duke përfshirë trajtimin e ambalazheve që përmbajnë produkte ose mbetje të rrezikshme;</w:t>
      </w:r>
    </w:p>
    <w:p w14:paraId="2098421C" w14:textId="77777777" w:rsidR="00767CD0" w:rsidRPr="00C51AE9" w:rsidRDefault="00C51AE9">
      <w:pPr>
        <w:spacing w:after="0"/>
        <w:ind w:left="9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ç. kuptimin e etiketave dhe simboleve të vendosura, të shtypura ose të gdhendura në ambalazh, në përputhje me këtë vendim, ose të pranishme në dokumentet shoqëruese të produktit të ambalazhuar;</w:t>
      </w:r>
    </w:p>
    <w:p w14:paraId="0C2CE126" w14:textId="77777777" w:rsidR="00767CD0" w:rsidRPr="00C51AE9" w:rsidRDefault="00C51AE9">
      <w:pPr>
        <w:spacing w:after="0"/>
        <w:ind w:left="990"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d. ndikimin në mjedis, në shëndetin e njeriut dhe në sigurinë e personave nga hedhja e papërshtatshme e mbetjeve të ambalazheve në mjedis ose në mbetje të përziera bashkiake, si dhe ndikimin negativ mjedisor të ambalazheve </w:t>
      </w:r>
      <w:proofErr w:type="spellStart"/>
      <w:r w:rsidRPr="00C51AE9">
        <w:rPr>
          <w:rFonts w:ascii="Times New Roman" w:eastAsia="Times New Roman" w:hAnsi="Times New Roman" w:cs="Times New Roman"/>
          <w:kern w:val="0"/>
          <w14:ligatures w14:val="none"/>
        </w:rPr>
        <w:t>njëpërdorimëshe</w:t>
      </w:r>
      <w:proofErr w:type="spellEnd"/>
      <w:r w:rsidRPr="00C51AE9">
        <w:rPr>
          <w:rFonts w:ascii="Times New Roman" w:eastAsia="Times New Roman" w:hAnsi="Times New Roman" w:cs="Times New Roman"/>
          <w:kern w:val="0"/>
          <w14:ligatures w14:val="none"/>
        </w:rPr>
        <w:t>, veçanërisht të qeseve  mbajtëse plastike;</w:t>
      </w:r>
    </w:p>
    <w:p w14:paraId="30C63264" w14:textId="77777777" w:rsidR="00767CD0" w:rsidRPr="00C51AE9" w:rsidRDefault="00C51AE9">
      <w:pPr>
        <w:spacing w:after="0"/>
        <w:ind w:left="990"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e. vetitë e kompostimit dhe opsionet e përshtatshme të menaxhimit të mbetjeve për ambalazhet e </w:t>
      </w:r>
      <w:proofErr w:type="spellStart"/>
      <w:r w:rsidRPr="00C51AE9">
        <w:rPr>
          <w:rFonts w:ascii="Times New Roman" w:eastAsia="Times New Roman" w:hAnsi="Times New Roman" w:cs="Times New Roman"/>
          <w:kern w:val="0"/>
          <w14:ligatures w14:val="none"/>
        </w:rPr>
        <w:t>kompostueshme</w:t>
      </w:r>
      <w:proofErr w:type="spellEnd"/>
      <w:r w:rsidRPr="00C51AE9">
        <w:rPr>
          <w:rFonts w:ascii="Times New Roman" w:eastAsia="Times New Roman" w:hAnsi="Times New Roman" w:cs="Times New Roman"/>
          <w:kern w:val="0"/>
          <w14:ligatures w14:val="none"/>
        </w:rPr>
        <w:t xml:space="preserve">, në përputhje me këtë vendim, duke informuar konsumatorët se ambalazhi i </w:t>
      </w:r>
      <w:proofErr w:type="spellStart"/>
      <w:r w:rsidRPr="00C51AE9">
        <w:rPr>
          <w:rFonts w:ascii="Times New Roman" w:eastAsia="Times New Roman" w:hAnsi="Times New Roman" w:cs="Times New Roman"/>
          <w:kern w:val="0"/>
          <w14:ligatures w14:val="none"/>
        </w:rPr>
        <w:t>kompostueshëm</w:t>
      </w:r>
      <w:proofErr w:type="spellEnd"/>
      <w:r w:rsidRPr="00C51AE9">
        <w:rPr>
          <w:rFonts w:ascii="Times New Roman" w:eastAsia="Times New Roman" w:hAnsi="Times New Roman" w:cs="Times New Roman"/>
          <w:kern w:val="0"/>
          <w14:ligatures w14:val="none"/>
        </w:rPr>
        <w:t xml:space="preserve"> nuk është i përshtatshëm për kompostim në shtëpi dhe nuk duhet të hidhet në natyrë.</w:t>
      </w:r>
    </w:p>
    <w:p w14:paraId="3E87FA06" w14:textId="77777777" w:rsidR="00767CD0" w:rsidRPr="00C51AE9" w:rsidRDefault="00C51AE9">
      <w:pPr>
        <w:numPr>
          <w:ilvl w:val="0"/>
          <w:numId w:val="20"/>
        </w:numPr>
        <w:spacing w:after="0"/>
        <w:ind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Informacioni i përmendur në pikën 1 të këtij neni përditësohet rregullisht dhe jepet përmes:</w:t>
      </w:r>
    </w:p>
    <w:p w14:paraId="018F8DE7" w14:textId="77777777" w:rsidR="00767CD0" w:rsidRPr="00C51AE9" w:rsidRDefault="00C51AE9" w:rsidP="00F635BF">
      <w:pPr>
        <w:numPr>
          <w:ilvl w:val="0"/>
          <w:numId w:val="97"/>
        </w:numPr>
        <w:spacing w:after="0"/>
        <w:ind w:left="1170"/>
        <w:contextualSpacing/>
        <w:jc w:val="both"/>
        <w:rPr>
          <w:rFonts w:ascii="Times New Roman" w:hAnsi="Times New Roman" w:cs="Times New Roman"/>
        </w:rPr>
      </w:pPr>
      <w:r w:rsidRPr="00C51AE9">
        <w:rPr>
          <w:rFonts w:ascii="Times New Roman" w:hAnsi="Times New Roman" w:cs="Times New Roman"/>
        </w:rPr>
        <w:t>faqes së internetit ose mjeteve të tjera të komunikimit elektronik;</w:t>
      </w:r>
    </w:p>
    <w:p w14:paraId="7B438299" w14:textId="77777777" w:rsidR="00767CD0" w:rsidRPr="00C51AE9" w:rsidRDefault="00C51AE9" w:rsidP="00F635BF">
      <w:pPr>
        <w:numPr>
          <w:ilvl w:val="0"/>
          <w:numId w:val="97"/>
        </w:numPr>
        <w:spacing w:after="0"/>
        <w:ind w:left="1170"/>
        <w:contextualSpacing/>
        <w:jc w:val="both"/>
        <w:rPr>
          <w:rFonts w:ascii="Times New Roman" w:hAnsi="Times New Roman" w:cs="Times New Roman"/>
        </w:rPr>
      </w:pPr>
      <w:r w:rsidRPr="00C51AE9">
        <w:rPr>
          <w:rFonts w:ascii="Times New Roman" w:hAnsi="Times New Roman" w:cs="Times New Roman"/>
        </w:rPr>
        <w:t>njoftimeve publike;</w:t>
      </w:r>
    </w:p>
    <w:p w14:paraId="67F623D0" w14:textId="77777777" w:rsidR="00767CD0" w:rsidRPr="00C51AE9" w:rsidRDefault="00C51AE9" w:rsidP="00F635BF">
      <w:pPr>
        <w:numPr>
          <w:ilvl w:val="0"/>
          <w:numId w:val="97"/>
        </w:numPr>
        <w:spacing w:after="0"/>
        <w:ind w:left="1170"/>
        <w:contextualSpacing/>
        <w:jc w:val="both"/>
        <w:rPr>
          <w:rFonts w:ascii="Times New Roman" w:hAnsi="Times New Roman" w:cs="Times New Roman"/>
        </w:rPr>
      </w:pPr>
      <w:r w:rsidRPr="00C51AE9">
        <w:rPr>
          <w:rFonts w:ascii="Times New Roman" w:hAnsi="Times New Roman" w:cs="Times New Roman"/>
        </w:rPr>
        <w:t>programeve dhe fushatave arsimore;</w:t>
      </w:r>
    </w:p>
    <w:p w14:paraId="68C8CE15" w14:textId="77777777" w:rsidR="00767CD0" w:rsidRPr="00C51AE9" w:rsidRDefault="00C51AE9" w:rsidP="00F635BF">
      <w:pPr>
        <w:numPr>
          <w:ilvl w:val="0"/>
          <w:numId w:val="97"/>
        </w:numPr>
        <w:spacing w:after="0"/>
        <w:ind w:left="1170"/>
        <w:contextualSpacing/>
        <w:jc w:val="both"/>
        <w:rPr>
          <w:rFonts w:ascii="Times New Roman" w:hAnsi="Times New Roman" w:cs="Times New Roman"/>
        </w:rPr>
      </w:pPr>
      <w:proofErr w:type="spellStart"/>
      <w:r w:rsidRPr="00C51AE9">
        <w:rPr>
          <w:rFonts w:ascii="Times New Roman" w:hAnsi="Times New Roman" w:cs="Times New Roman"/>
        </w:rPr>
        <w:lastRenderedPageBreak/>
        <w:t>sinjalistikës</w:t>
      </w:r>
      <w:proofErr w:type="spellEnd"/>
      <w:r w:rsidRPr="00C51AE9">
        <w:rPr>
          <w:rFonts w:ascii="Times New Roman" w:hAnsi="Times New Roman" w:cs="Times New Roman"/>
        </w:rPr>
        <w:t xml:space="preserve"> në gjuhën shqipe dhe në gjuhë të tjera që kuptohen lehtësisht nga përdoruesit fundorë dhe konsumatorët.</w:t>
      </w:r>
    </w:p>
    <w:p w14:paraId="7A96EE91" w14:textId="77777777" w:rsidR="00767CD0" w:rsidRPr="00C51AE9" w:rsidRDefault="00C51AE9">
      <w:pPr>
        <w:numPr>
          <w:ilvl w:val="0"/>
          <w:numId w:val="20"/>
        </w:numPr>
        <w:spacing w:after="0"/>
        <w:contextualSpacing/>
        <w:jc w:val="both"/>
        <w:rPr>
          <w:rFonts w:ascii="Times New Roman" w:hAnsi="Times New Roman" w:cs="Times New Roman"/>
        </w:rPr>
      </w:pPr>
      <w:r w:rsidRPr="00C51AE9">
        <w:rPr>
          <w:rFonts w:ascii="Times New Roman" w:eastAsia="Times New Roman" w:hAnsi="Times New Roman" w:cs="Times New Roman"/>
          <w:kern w:val="0"/>
          <w14:ligatures w14:val="none"/>
        </w:rPr>
        <w:t xml:space="preserve">Gjatë ofrimit të informacionit në rrugë publike, ruhet plotësisht </w:t>
      </w:r>
      <w:proofErr w:type="spellStart"/>
      <w:r w:rsidRPr="00C51AE9">
        <w:rPr>
          <w:rFonts w:ascii="Times New Roman" w:eastAsia="Times New Roman" w:hAnsi="Times New Roman" w:cs="Times New Roman"/>
          <w:kern w:val="0"/>
          <w14:ligatures w14:val="none"/>
        </w:rPr>
        <w:t>konfidencialiteti</w:t>
      </w:r>
      <w:proofErr w:type="spellEnd"/>
      <w:r w:rsidRPr="00C51AE9">
        <w:rPr>
          <w:rFonts w:ascii="Times New Roman" w:eastAsia="Times New Roman" w:hAnsi="Times New Roman" w:cs="Times New Roman"/>
          <w:kern w:val="0"/>
          <w14:ligatures w14:val="none"/>
        </w:rPr>
        <w:t xml:space="preserve"> i të dhënave tregtare </w:t>
      </w:r>
      <w:proofErr w:type="spellStart"/>
      <w:r w:rsidRPr="00C51AE9">
        <w:rPr>
          <w:rFonts w:ascii="Times New Roman" w:eastAsia="Times New Roman" w:hAnsi="Times New Roman" w:cs="Times New Roman"/>
          <w:kern w:val="0"/>
          <w14:ligatures w14:val="none"/>
        </w:rPr>
        <w:t>sensitive</w:t>
      </w:r>
      <w:proofErr w:type="spellEnd"/>
      <w:r w:rsidRPr="00C51AE9">
        <w:rPr>
          <w:rFonts w:ascii="Times New Roman" w:eastAsia="Times New Roman" w:hAnsi="Times New Roman" w:cs="Times New Roman"/>
          <w:kern w:val="0"/>
          <w14:ligatures w14:val="none"/>
        </w:rPr>
        <w:t>, në përputhje me legjislacionin në fuqi.</w:t>
      </w:r>
    </w:p>
    <w:p w14:paraId="0B4B22F2" w14:textId="77777777" w:rsidR="00767CD0" w:rsidRPr="00C51AE9" w:rsidRDefault="00767CD0">
      <w:pPr>
        <w:keepNext/>
        <w:keepLines/>
        <w:spacing w:before="160" w:after="80"/>
        <w:jc w:val="center"/>
        <w:outlineLvl w:val="1"/>
        <w:rPr>
          <w:rFonts w:ascii="Times New Roman" w:eastAsiaTheme="majorEastAsia" w:hAnsi="Times New Roman" w:cs="Times New Roman"/>
          <w:bCs/>
        </w:rPr>
      </w:pPr>
    </w:p>
    <w:p w14:paraId="5C88518A"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65</w:t>
      </w:r>
    </w:p>
    <w:p w14:paraId="74ACFABD"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75" w:name="_Toc227317670"/>
      <w:bookmarkEnd w:id="75"/>
      <w:r w:rsidRPr="00C51AE9">
        <w:rPr>
          <w:rFonts w:ascii="Times New Roman" w:eastAsiaTheme="majorEastAsia" w:hAnsi="Times New Roman" w:cs="Times New Roman"/>
          <w:b/>
        </w:rPr>
        <w:t xml:space="preserve">Procedura për të provuar arritjen e objektivave sipas Objektivave të Raportimit </w:t>
      </w:r>
    </w:p>
    <w:p w14:paraId="2B1C1C2C"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Shoqëritë e përgjegjësisë së zgjeruar të subjekteve prodhuese dhe prodhuesit që përmbushin individualisht detyrimet e tyre mbajnë libra kontabël dhe paraqesin raporte për përmbushjen e objektivave sipas nenit 62 dhe në përputhje me këtë vendim, dhe </w:t>
      </w:r>
      <w:r w:rsidRPr="00C51AE9">
        <w:rPr>
          <w:rFonts w:ascii="Times New Roman" w:hAnsi="Times New Roman" w:cs="Times New Roman"/>
        </w:rPr>
        <w:t xml:space="preserve">Ligjit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w:t>
      </w:r>
      <w:r w:rsidRPr="00C51AE9">
        <w:t xml:space="preserve"> </w:t>
      </w:r>
      <w:r w:rsidRPr="00C51AE9">
        <w:rPr>
          <w:rFonts w:ascii="Times New Roman" w:hAnsi="Times New Roman" w:cs="Times New Roman"/>
        </w:rPr>
        <w:t>dhe aktet nënligjore në zbatim të tij.</w:t>
      </w:r>
    </w:p>
    <w:p w14:paraId="70719308"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Personat e përmendur në pikën 1 të këtij neni provojnë arritjen e objektivave të riciklimit sipas nenit 62 dhe përmbushjen e detyrimeve sipas këtij vendimi, duke përgatitur dhe paraqitur pranë Agjencisë Kombëtare të Kombëtare të Mjedisit, , raportet vjetore të parashikuara në nenin 7, pika 1, të parashikuara në </w:t>
      </w:r>
      <w:r w:rsidRPr="00C51AE9">
        <w:rPr>
          <w:rFonts w:ascii="Times New Roman" w:hAnsi="Times New Roman" w:cs="Times New Roman"/>
        </w:rPr>
        <w:t xml:space="preserve">Ligjit 74/2025 “Për përgjegjësitë e zgjeruara të subjekteve prodhuese të produkteve që </w:t>
      </w:r>
      <w:proofErr w:type="spellStart"/>
      <w:r w:rsidRPr="00C51AE9">
        <w:rPr>
          <w:rFonts w:ascii="Times New Roman" w:hAnsi="Times New Roman" w:cs="Times New Roman"/>
        </w:rPr>
        <w:t>gjenerojnë</w:t>
      </w:r>
      <w:proofErr w:type="spellEnd"/>
      <w:r w:rsidRPr="00C51AE9">
        <w:rPr>
          <w:rFonts w:ascii="Times New Roman" w:hAnsi="Times New Roman" w:cs="Times New Roman"/>
        </w:rPr>
        <w:t xml:space="preserve"> mbetje”, </w:t>
      </w:r>
      <w:r w:rsidRPr="00C51AE9">
        <w:rPr>
          <w:rFonts w:ascii="Times New Roman" w:eastAsia="Times New Roman" w:hAnsi="Times New Roman" w:cs="Times New Roman"/>
          <w:kern w:val="0"/>
          <w14:ligatures w14:val="none"/>
        </w:rPr>
        <w:t>të shoqëruara me raportin e konstatimeve faktike.</w:t>
      </w:r>
    </w:p>
    <w:p w14:paraId="50228BF2"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Raporti me Konstatime Faktike lëshohet për të vërtetuar saktësinë e informacionit të deklaruar në raportet vjetore të vitit paraardhës.</w:t>
      </w:r>
    </w:p>
    <w:p w14:paraId="585FAE6F"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Ky raport përgatitet nga një </w:t>
      </w:r>
      <w:proofErr w:type="spellStart"/>
      <w:r w:rsidRPr="00C51AE9">
        <w:rPr>
          <w:rFonts w:ascii="Times New Roman" w:eastAsia="Times New Roman" w:hAnsi="Times New Roman" w:cs="Times New Roman"/>
          <w:kern w:val="0"/>
          <w14:ligatures w14:val="none"/>
        </w:rPr>
        <w:t>auditues</w:t>
      </w:r>
      <w:proofErr w:type="spellEnd"/>
      <w:r w:rsidRPr="00C51AE9">
        <w:rPr>
          <w:rFonts w:ascii="Times New Roman" w:eastAsia="Times New Roman" w:hAnsi="Times New Roman" w:cs="Times New Roman"/>
          <w:kern w:val="0"/>
          <w14:ligatures w14:val="none"/>
        </w:rPr>
        <w:t xml:space="preserve"> ligjor i regjistruar, i licencuar në përputhje me legjislacionin kombëtar në fuqi për </w:t>
      </w:r>
      <w:proofErr w:type="spellStart"/>
      <w:r w:rsidRPr="00C51AE9">
        <w:rPr>
          <w:rFonts w:ascii="Times New Roman" w:eastAsia="Times New Roman" w:hAnsi="Times New Roman" w:cs="Times New Roman"/>
          <w:kern w:val="0"/>
          <w14:ligatures w14:val="none"/>
        </w:rPr>
        <w:t>auditimin</w:t>
      </w:r>
      <w:proofErr w:type="spellEnd"/>
      <w:r w:rsidRPr="00C51AE9">
        <w:rPr>
          <w:rFonts w:ascii="Times New Roman" w:eastAsia="Times New Roman" w:hAnsi="Times New Roman" w:cs="Times New Roman"/>
          <w:kern w:val="0"/>
          <w14:ligatures w14:val="none"/>
        </w:rPr>
        <w:t xml:space="preserve"> ligjor dhe kontabilitetin.</w:t>
      </w:r>
    </w:p>
    <w:p w14:paraId="69B3CB43"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Procedurat e </w:t>
      </w:r>
      <w:proofErr w:type="spellStart"/>
      <w:r w:rsidRPr="00C51AE9">
        <w:rPr>
          <w:rFonts w:ascii="Times New Roman" w:eastAsia="Times New Roman" w:hAnsi="Times New Roman" w:cs="Times New Roman"/>
          <w:kern w:val="0"/>
          <w14:ligatures w14:val="none"/>
        </w:rPr>
        <w:t>auditimit</w:t>
      </w:r>
      <w:proofErr w:type="spellEnd"/>
      <w:r w:rsidRPr="00C51AE9">
        <w:rPr>
          <w:rFonts w:ascii="Times New Roman" w:eastAsia="Times New Roman" w:hAnsi="Times New Roman" w:cs="Times New Roman"/>
          <w:kern w:val="0"/>
          <w14:ligatures w14:val="none"/>
        </w:rPr>
        <w:t xml:space="preserve"> kryhen në përputhje me Standardet Ndërkombëtare të Shërbimeve Ndërlidhëse (ISRS 4400 - Angazhimet për kryerjen e procedurave të rëna dakord) dhe legjislacionin në fuqi.</w:t>
      </w:r>
    </w:p>
    <w:p w14:paraId="3189BB9B"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proofErr w:type="spellStart"/>
      <w:r w:rsidRPr="00C51AE9">
        <w:rPr>
          <w:rFonts w:ascii="Times New Roman" w:eastAsia="Times New Roman" w:hAnsi="Times New Roman" w:cs="Times New Roman"/>
          <w:kern w:val="0"/>
          <w14:ligatures w14:val="none"/>
        </w:rPr>
        <w:t>Audituesi</w:t>
      </w:r>
      <w:proofErr w:type="spellEnd"/>
      <w:r w:rsidRPr="00C51AE9">
        <w:rPr>
          <w:rFonts w:ascii="Times New Roman" w:eastAsia="Times New Roman" w:hAnsi="Times New Roman" w:cs="Times New Roman"/>
          <w:kern w:val="0"/>
          <w14:ligatures w14:val="none"/>
        </w:rPr>
        <w:t xml:space="preserve"> ligjor inspekton fizikisht </w:t>
      </w:r>
      <w:r w:rsidRPr="00C51AE9">
        <w:rPr>
          <w:rFonts w:ascii="Times New Roman" w:hAnsi="Times New Roman" w:cs="Times New Roman"/>
        </w:rPr>
        <w:t>shoqërinë për përgjegjësinë e zgjeruar të subjektit prodhues</w:t>
      </w:r>
      <w:r w:rsidRPr="00C51AE9">
        <w:rPr>
          <w:rFonts w:ascii="Times New Roman" w:eastAsia="Times New Roman" w:hAnsi="Times New Roman" w:cs="Times New Roman"/>
          <w:kern w:val="0"/>
          <w14:ligatures w14:val="none"/>
        </w:rPr>
        <w:t xml:space="preserve"> ose prodhuesin individual për të konfirmuar vërtetësinë e të dhënave të deklaruara nën pikën 2 të këtij neni.</w:t>
      </w:r>
    </w:p>
    <w:p w14:paraId="0BEF033A"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Objekti i inspektimit dhe Raporti me Konstatime Faktike duhet të përfshijnë informacion dhe gjetje të paktën mbi:</w:t>
      </w:r>
    </w:p>
    <w:p w14:paraId="6B5B7A58"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hAnsi="Times New Roman" w:cs="Times New Roman"/>
        </w:rPr>
        <w:t>Shoqërinë për përgjegjësinë e zgjeruar të subjektit prodhues</w:t>
      </w:r>
      <w:r w:rsidRPr="00C51AE9">
        <w:rPr>
          <w:rFonts w:ascii="Times New Roman" w:eastAsia="Times New Roman" w:hAnsi="Times New Roman" w:cs="Times New Roman"/>
          <w:kern w:val="0"/>
          <w14:ligatures w14:val="none"/>
        </w:rPr>
        <w:t>:</w:t>
      </w:r>
    </w:p>
    <w:p w14:paraId="2F717D9A" w14:textId="77777777" w:rsidR="00767CD0" w:rsidRPr="00C51AE9" w:rsidRDefault="00C51AE9" w:rsidP="00F635BF">
      <w:pPr>
        <w:numPr>
          <w:ilvl w:val="0"/>
          <w:numId w:val="99"/>
        </w:numPr>
        <w:ind w:left="16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Listën e anëtarëve me kontratë aktive, selinë e regjistruar, adresën, vlefshmërinë e kontratës dhe një listë të veçantë për anëtarët që e kanë ndërprerë kontratën gjatë vitit raportues.</w:t>
      </w:r>
    </w:p>
    <w:p w14:paraId="2FEC4BB2" w14:textId="77777777" w:rsidR="00767CD0" w:rsidRPr="00C51AE9" w:rsidRDefault="00C51AE9" w:rsidP="00F635BF">
      <w:pPr>
        <w:numPr>
          <w:ilvl w:val="0"/>
          <w:numId w:val="99"/>
        </w:numPr>
        <w:ind w:left="16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Listën e anëtarëve që kanë kontratë por nuk kanë deklaruar paketimet e hedhura në treg ose nuk kanë paguar tarifën e rënë dakord.</w:t>
      </w:r>
    </w:p>
    <w:p w14:paraId="1720C1D6" w14:textId="77777777" w:rsidR="00767CD0" w:rsidRPr="00C51AE9" w:rsidRDefault="00C51AE9" w:rsidP="00F635BF">
      <w:pPr>
        <w:numPr>
          <w:ilvl w:val="0"/>
          <w:numId w:val="99"/>
        </w:numPr>
        <w:ind w:left="162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Listën e anëtarëve që kanë deklaruar vetëm zero ambalazh të hedhur në treg.</w:t>
      </w:r>
    </w:p>
    <w:p w14:paraId="5EB8DDDF"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Sasinë e ambalazhit të hedhur në treg, duke përfshirë sasinë e saktë (në ton ose kg) e vendosur në treg për vitin paraardhës nga secili anëtar i </w:t>
      </w:r>
      <w:r w:rsidRPr="00C51AE9">
        <w:rPr>
          <w:rFonts w:ascii="Times New Roman" w:hAnsi="Times New Roman" w:cs="Times New Roman"/>
        </w:rPr>
        <w:t>Shoqërisë së Përgjegjësisë së Zgjeruar të Subjekteve Prodhuese</w:t>
      </w:r>
      <w:r w:rsidRPr="00C51AE9">
        <w:rPr>
          <w:rFonts w:ascii="Times New Roman" w:eastAsia="Times New Roman" w:hAnsi="Times New Roman" w:cs="Times New Roman"/>
          <w:kern w:val="0"/>
          <w14:ligatures w14:val="none"/>
        </w:rPr>
        <w:t>, e ndarë sipas llojit të materialit (plastikë, qelq, letër/karton, metal, dru, etj.).</w:t>
      </w:r>
    </w:p>
    <w:p w14:paraId="75249783"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sasitë e mbetjeve të ambalazheve të grumbulluara dhe të dorëzuara për riciklim gjatë vitit paraardhës, përfshirë përputhshmërinë e llojit dhe sasive të mbetjeve </w:t>
      </w:r>
      <w:r w:rsidRPr="00C51AE9">
        <w:rPr>
          <w:rFonts w:ascii="Times New Roman" w:eastAsia="Times New Roman" w:hAnsi="Times New Roman" w:cs="Times New Roman"/>
          <w:kern w:val="0"/>
          <w14:ligatures w14:val="none"/>
        </w:rPr>
        <w:lastRenderedPageBreak/>
        <w:t>të grumbulluara dhe të dorëzuara për riciklim me lejet dhe/ose licencat që zotërojnë personat që kanë kryer grumbullimin, riciklimin dhe/ose rikuperimin e mbetjeve;</w:t>
      </w:r>
    </w:p>
    <w:p w14:paraId="17D58530"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Sasitë e mbetjeve të ambalazhit të mbledhura përmes kontratave të nënshkruara me autoritetet e vetëqeverisjes vendore.</w:t>
      </w:r>
    </w:p>
    <w:p w14:paraId="75633B01"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Sasinë e mbetjeve të ambalazheve të eksportuara, përfshirë kopjet e dokumenteve që vërtetojnë eksportin e mbetjeve të ambalazheve gjatë vitit kalendarik paraardhës dhe/ose dërgimin e tyre nga territori i vendit në territorin e një shteti tjetër anëtar të Bashkimit Evropian, në përputhje me legjislacionin në fuqi për eksportin e mbetjeve:</w:t>
      </w:r>
    </w:p>
    <w:p w14:paraId="7ADB9AE2" w14:textId="77777777" w:rsidR="00767CD0" w:rsidRPr="00C51AE9" w:rsidRDefault="00C51AE9" w:rsidP="00F635BF">
      <w:pPr>
        <w:numPr>
          <w:ilvl w:val="0"/>
          <w:numId w:val="100"/>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Kontratë me shkrim me pritësin jashtë vendit për riciklimin ose rikuperimin e mbetjeve.</w:t>
      </w:r>
    </w:p>
    <w:p w14:paraId="55D1C450" w14:textId="77777777" w:rsidR="00767CD0" w:rsidRPr="00C51AE9" w:rsidRDefault="00C51AE9" w:rsidP="00F635BF">
      <w:pPr>
        <w:numPr>
          <w:ilvl w:val="0"/>
          <w:numId w:val="100"/>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Dokumentet e njoftimit dhe lëvizjes të certifikuara nga marrësi për çdo dërgesë.</w:t>
      </w:r>
    </w:p>
    <w:p w14:paraId="6B6526C6" w14:textId="77777777" w:rsidR="00767CD0" w:rsidRPr="00C51AE9" w:rsidRDefault="00C51AE9" w:rsidP="00F635BF">
      <w:pPr>
        <w:numPr>
          <w:ilvl w:val="0"/>
          <w:numId w:val="100"/>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Kopje e lejes ose e një dokumenti tjetër sipas legjislacionit kombëtar të vendit përkatës pritës, në bazë të </w:t>
      </w:r>
      <w:proofErr w:type="spellStart"/>
      <w:r w:rsidRPr="00C51AE9">
        <w:rPr>
          <w:rFonts w:ascii="Times New Roman" w:eastAsia="Times New Roman" w:hAnsi="Times New Roman" w:cs="Times New Roman"/>
          <w:kern w:val="0"/>
          <w14:ligatures w14:val="none"/>
        </w:rPr>
        <w:t>të</w:t>
      </w:r>
      <w:proofErr w:type="spellEnd"/>
      <w:r w:rsidRPr="00C51AE9">
        <w:rPr>
          <w:rFonts w:ascii="Times New Roman" w:eastAsia="Times New Roman" w:hAnsi="Times New Roman" w:cs="Times New Roman"/>
          <w:kern w:val="0"/>
          <w14:ligatures w14:val="none"/>
        </w:rPr>
        <w:t xml:space="preserve"> cilit pranuesi ka të drejtë të kryejë rikuperimin dhe/ose riciklimin e mbetjeve të ambalazheve, në përputhje me kërkesat për mbrojtjen e shëndetit të njeriut dhe mjedisit, të barasvlershme me kërkesat e legjislacionit të Bashkimit Evropian..</w:t>
      </w:r>
    </w:p>
    <w:p w14:paraId="228D617C" w14:textId="77777777" w:rsidR="00767CD0" w:rsidRPr="00C51AE9" w:rsidRDefault="00C51AE9" w:rsidP="00F635BF">
      <w:pPr>
        <w:numPr>
          <w:ilvl w:val="0"/>
          <w:numId w:val="100"/>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Dokumentet parësore kontabël që vërtetojnë transportimin e mbetjeve të ambalazheve, në rastet kur kostot e transportit përballohen nga </w:t>
      </w:r>
      <w:r w:rsidRPr="00C51AE9">
        <w:rPr>
          <w:rFonts w:ascii="Times New Roman" w:hAnsi="Times New Roman" w:cs="Times New Roman"/>
        </w:rPr>
        <w:t>shoqëritë e përgjegjësisë së zgjeruar të subjekteve prodhuese</w:t>
      </w:r>
      <w:r w:rsidRPr="00C51AE9">
        <w:rPr>
          <w:rFonts w:ascii="Times New Roman" w:eastAsia="Times New Roman" w:hAnsi="Times New Roman" w:cs="Times New Roman"/>
          <w:kern w:val="0"/>
          <w14:ligatures w14:val="none"/>
        </w:rPr>
        <w:t>.</w:t>
      </w:r>
    </w:p>
    <w:p w14:paraId="24E186B9"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Kontratat e nënshkruara me operatorë të pajisur me leje ose licence mjedisore në përputhje me ligjin për menaxhimin e integruar të mbetjeve.</w:t>
      </w:r>
    </w:p>
    <w:p w14:paraId="7AFA3547"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Dokumentet e raportimit për mbetjet e grumbulluara dhe të dorëzuara për riciklim dhe rikuperim, si dhe dokumentet kontabël të lëshuara në bazë të kontratave sipas kërkesave të pikës 6 të këtij neni;.</w:t>
      </w:r>
    </w:p>
    <w:p w14:paraId="6BDAEF55"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Kontratat efektive të nënshkruara me njësitë e vet-qeverisjes vendore për krijimin e sistemeve për grumbullimin e veçuar të mbetjeve të ambalazheve dhe popullsinë e mbuluar, në përputhje me kërkesat për mbulimin e popullsisë;.</w:t>
      </w:r>
    </w:p>
    <w:p w14:paraId="491C8A89"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proofErr w:type="spellStart"/>
      <w:r w:rsidRPr="00C51AE9">
        <w:rPr>
          <w:rFonts w:ascii="Times New Roman" w:eastAsia="Times New Roman" w:hAnsi="Times New Roman" w:cs="Times New Roman"/>
          <w:kern w:val="0"/>
          <w14:ligatures w14:val="none"/>
        </w:rPr>
        <w:t>Zbatimiin</w:t>
      </w:r>
      <w:proofErr w:type="spellEnd"/>
      <w:r w:rsidRPr="00C51AE9">
        <w:rPr>
          <w:rFonts w:ascii="Times New Roman" w:eastAsia="Times New Roman" w:hAnsi="Times New Roman" w:cs="Times New Roman"/>
          <w:kern w:val="0"/>
          <w14:ligatures w14:val="none"/>
        </w:rPr>
        <w:t xml:space="preserve"> e kërkesave për sistemet e grumbullimit të veçuar dhe të klasifikimit, si më poshtë:</w:t>
      </w:r>
    </w:p>
    <w:p w14:paraId="66FB90F2" w14:textId="77777777" w:rsidR="00767CD0" w:rsidRPr="00C51AE9" w:rsidRDefault="00C51AE9" w:rsidP="00F635BF">
      <w:pPr>
        <w:numPr>
          <w:ilvl w:val="0"/>
          <w:numId w:val="101"/>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numrin e kontejnerëve të vendosur për grumbullimin e veçuar të mbetjeve, në përputhje me kërkesat për mbulimin e popullsisë, si dhe shpeshtësinë e shërbimit të kontejnerëve në bazë </w:t>
      </w:r>
      <w:proofErr w:type="spellStart"/>
      <w:r w:rsidRPr="00C51AE9">
        <w:rPr>
          <w:rFonts w:ascii="Times New Roman" w:eastAsia="Times New Roman" w:hAnsi="Times New Roman" w:cs="Times New Roman"/>
          <w:kern w:val="0"/>
          <w14:ligatures w14:val="none"/>
        </w:rPr>
        <w:t>muajore</w:t>
      </w:r>
      <w:proofErr w:type="spellEnd"/>
      <w:r w:rsidRPr="00C51AE9">
        <w:rPr>
          <w:rFonts w:ascii="Times New Roman" w:eastAsia="Times New Roman" w:hAnsi="Times New Roman" w:cs="Times New Roman"/>
          <w:kern w:val="0"/>
          <w14:ligatures w14:val="none"/>
        </w:rPr>
        <w:t>;</w:t>
      </w:r>
    </w:p>
    <w:p w14:paraId="5BF47253" w14:textId="77777777" w:rsidR="00767CD0" w:rsidRPr="00C51AE9" w:rsidRDefault="00C51AE9" w:rsidP="00F635BF">
      <w:pPr>
        <w:numPr>
          <w:ilvl w:val="0"/>
          <w:numId w:val="101"/>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sasinë mesatare vjetore e mbetjeve të ambalazheve të grumbulluara nga një kontejner, për njësi të vet-qeverisjes vendore dhe llojit të materialit;</w:t>
      </w:r>
    </w:p>
    <w:p w14:paraId="4BD2AEE5" w14:textId="77777777" w:rsidR="00767CD0" w:rsidRPr="00C51AE9" w:rsidRDefault="00C51AE9" w:rsidP="00F635BF">
      <w:pPr>
        <w:numPr>
          <w:ilvl w:val="0"/>
          <w:numId w:val="101"/>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sasinë mesatare vjetore e mbetjeve të ambalazheve të grumbulluara për banor, për njësi të vet-qeverisjes vendore;</w:t>
      </w:r>
    </w:p>
    <w:p w14:paraId="6C8C71BD" w14:textId="77777777" w:rsidR="00767CD0" w:rsidRPr="00C51AE9" w:rsidRDefault="00C51AE9" w:rsidP="00F635BF">
      <w:pPr>
        <w:numPr>
          <w:ilvl w:val="0"/>
          <w:numId w:val="101"/>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përmbushja e kërkesave sipas nenit 57 të këtij vendimi, veçmas për çdo vendbanim të mbuluar nga sistemet e grumbullimit të veçuar;</w:t>
      </w:r>
    </w:p>
    <w:p w14:paraId="62F444BD" w14:textId="77777777" w:rsidR="00767CD0" w:rsidRPr="00C51AE9" w:rsidRDefault="00C51AE9" w:rsidP="00F635BF">
      <w:pPr>
        <w:numPr>
          <w:ilvl w:val="0"/>
          <w:numId w:val="101"/>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listën e vendndodhjeve dhe objekteve, përfshirë ato në pronësi, të marra me qira ose të përdorura mbi një bazë tjetër, ku kryhen veprimtari të para-trajtimit..</w:t>
      </w:r>
    </w:p>
    <w:p w14:paraId="4FFDE1D9"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Arritjen e  objektivave specifike të riciklimit sipas parashikimeve të nenit 62 të këtij vendimi.</w:t>
      </w:r>
    </w:p>
    <w:p w14:paraId="59CE1DD8" w14:textId="77777777" w:rsidR="00767CD0" w:rsidRPr="00C51AE9" w:rsidRDefault="00C51AE9" w:rsidP="00F635BF">
      <w:pPr>
        <w:numPr>
          <w:ilvl w:val="0"/>
          <w:numId w:val="98"/>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Numrin total të popullsisë së mbuluar, të ndarë për çdo njësitë e vet-qeverisjes vendore më vete.</w:t>
      </w:r>
    </w:p>
    <w:p w14:paraId="535BC368"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Të ardhurat financiare të </w:t>
      </w:r>
      <w:r w:rsidRPr="00C51AE9">
        <w:rPr>
          <w:rFonts w:ascii="Times New Roman" w:hAnsi="Times New Roman" w:cs="Times New Roman"/>
        </w:rPr>
        <w:t>Shoqërisë së Përgjegjësisë së Zgjeruar të Subjekteve Prodhuese</w:t>
      </w:r>
      <w:r w:rsidRPr="00C51AE9">
        <w:rPr>
          <w:rFonts w:ascii="Times New Roman" w:eastAsia="Times New Roman" w:hAnsi="Times New Roman" w:cs="Times New Roman"/>
          <w:kern w:val="0"/>
          <w14:ligatures w14:val="none"/>
        </w:rPr>
        <w:t xml:space="preserve"> -së për vitin paraardhës:</w:t>
      </w:r>
    </w:p>
    <w:p w14:paraId="026441C1" w14:textId="77777777" w:rsidR="00767CD0" w:rsidRPr="00C51AE9" w:rsidRDefault="00C51AE9" w:rsidP="00F635BF">
      <w:pPr>
        <w:numPr>
          <w:ilvl w:val="0"/>
          <w:numId w:val="102"/>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të arkëtuara nga tarifat e anëtarësisë (tarifa e rikuperimit) nga secili prodhues dhe lista e anëtarëve debitorë.</w:t>
      </w:r>
    </w:p>
    <w:p w14:paraId="5B3B3BD7" w14:textId="77777777" w:rsidR="00767CD0" w:rsidRPr="00C51AE9" w:rsidRDefault="00C51AE9" w:rsidP="00F635BF">
      <w:pPr>
        <w:numPr>
          <w:ilvl w:val="0"/>
          <w:numId w:val="102"/>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të  ardhurat nga shitja e mbetjeve të paketimit, të specifikuara sipas llojit të materialit. </w:t>
      </w:r>
    </w:p>
    <w:p w14:paraId="0A737FD4" w14:textId="77777777" w:rsidR="00767CD0" w:rsidRPr="00C51AE9" w:rsidRDefault="00C51AE9" w:rsidP="00F635BF">
      <w:pPr>
        <w:numPr>
          <w:ilvl w:val="0"/>
          <w:numId w:val="47"/>
        </w:numPr>
        <w:ind w:left="1080" w:hanging="63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Kostot e </w:t>
      </w:r>
      <w:r w:rsidRPr="00C51AE9">
        <w:rPr>
          <w:rFonts w:ascii="Times New Roman" w:hAnsi="Times New Roman" w:cs="Times New Roman"/>
        </w:rPr>
        <w:t xml:space="preserve">shoqërisë së përgjegjësisë së zgjeruar të subjekteve prodhuese </w:t>
      </w:r>
      <w:r w:rsidRPr="00C51AE9">
        <w:rPr>
          <w:rFonts w:ascii="Times New Roman" w:eastAsia="Times New Roman" w:hAnsi="Times New Roman" w:cs="Times New Roman"/>
          <w:kern w:val="0"/>
          <w14:ligatures w14:val="none"/>
        </w:rPr>
        <w:t>për vitin paraardhës për zbatimin e objektivave të grumbullimit të veçuar dhe rikuperimit, përfshirë kostot për::</w:t>
      </w:r>
    </w:p>
    <w:p w14:paraId="0BFB8E88" w14:textId="77777777" w:rsidR="00767CD0" w:rsidRPr="00C51AE9" w:rsidRDefault="00C51AE9" w:rsidP="00F635BF">
      <w:pPr>
        <w:numPr>
          <w:ilvl w:val="0"/>
          <w:numId w:val="103"/>
        </w:numPr>
        <w:ind w:left="18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grumbullimin e veçuar të mbetjeve të ambalazheve të krijuara si rezultat i produkteve të vendosura në treg nga personat anëtarë të shoqërisë, sipas veprimtarive duke përfshirë shërbimin e kontejnerëve për grumbullimin e veçuar, grumbullimin, magazinimin, klasifikimin dhe trajtimin e mëtejshëm, pastrimin e pikave të ndotura me mbetje ambalazhesh, transportimin drejt impianteve të klasifikimit dhe/ose riciklimit, si dhe veprimtari të tjera;</w:t>
      </w:r>
    </w:p>
    <w:p w14:paraId="4C97B8D1" w14:textId="77777777" w:rsidR="00767CD0" w:rsidRPr="00C51AE9" w:rsidRDefault="00C51AE9" w:rsidP="00F635BF">
      <w:pPr>
        <w:numPr>
          <w:ilvl w:val="0"/>
          <w:numId w:val="103"/>
        </w:numPr>
        <w:ind w:left="18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blerjen e kontejnerëve, pajisjeve të transportit, pajisjeve të tjera për grumbullimin e veçuar të mbetjeve të ambalazheve, si dhe objekteve për trajtimin paraprak dhe të mëtejshëm të mbetjeve të ambalazheve të grumbulluara </w:t>
      </w:r>
      <w:r w:rsidRPr="00C51AE9">
        <w:rPr>
          <w:rFonts w:ascii="Times New Roman" w:hAnsi="Times New Roman" w:cs="Times New Roman"/>
        </w:rPr>
        <w:t>në mënyrë të diferencuar</w:t>
      </w:r>
      <w:r w:rsidRPr="00C51AE9">
        <w:rPr>
          <w:rFonts w:ascii="Times New Roman" w:eastAsia="Times New Roman" w:hAnsi="Times New Roman" w:cs="Times New Roman"/>
          <w:kern w:val="0"/>
          <w14:ligatures w14:val="none"/>
        </w:rPr>
        <w:t>;</w:t>
      </w:r>
    </w:p>
    <w:p w14:paraId="739A19B7" w14:textId="77777777" w:rsidR="00767CD0" w:rsidRPr="00C51AE9" w:rsidRDefault="00C51AE9" w:rsidP="00F635BF">
      <w:pPr>
        <w:numPr>
          <w:ilvl w:val="0"/>
          <w:numId w:val="103"/>
        </w:numPr>
        <w:ind w:left="18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sigurimin e impianteve për trajtimin e mëtejshëm të mbetjeve të ambalazheve të grumbulluara </w:t>
      </w:r>
      <w:r w:rsidRPr="00C51AE9">
        <w:rPr>
          <w:rFonts w:ascii="Times New Roman" w:hAnsi="Times New Roman" w:cs="Times New Roman"/>
        </w:rPr>
        <w:t>në mënyrë të diferencuar</w:t>
      </w:r>
      <w:r w:rsidRPr="00C51AE9">
        <w:rPr>
          <w:rFonts w:ascii="Times New Roman" w:eastAsia="Times New Roman" w:hAnsi="Times New Roman" w:cs="Times New Roman"/>
          <w:kern w:val="0"/>
          <w14:ligatures w14:val="none"/>
        </w:rPr>
        <w:t>;</w:t>
      </w:r>
    </w:p>
    <w:p w14:paraId="79D981FB" w14:textId="77777777" w:rsidR="00767CD0" w:rsidRPr="00C51AE9" w:rsidRDefault="00C51AE9" w:rsidP="00F635BF">
      <w:pPr>
        <w:numPr>
          <w:ilvl w:val="0"/>
          <w:numId w:val="103"/>
        </w:numPr>
        <w:ind w:left="18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zhvillimin e fushatave informuese dhe përgatitjen e materialeve informuese;</w:t>
      </w:r>
    </w:p>
    <w:p w14:paraId="285C67CE" w14:textId="77777777" w:rsidR="00767CD0" w:rsidRPr="00C51AE9" w:rsidRDefault="00C51AE9" w:rsidP="00F635BF">
      <w:pPr>
        <w:numPr>
          <w:ilvl w:val="0"/>
          <w:numId w:val="103"/>
        </w:numPr>
        <w:ind w:left="1800" w:hanging="1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kostot që lidhen me veprimtaritë administrative dhe </w:t>
      </w:r>
      <w:proofErr w:type="spellStart"/>
      <w:r w:rsidRPr="00C51AE9">
        <w:rPr>
          <w:rFonts w:ascii="Times New Roman" w:eastAsia="Times New Roman" w:hAnsi="Times New Roman" w:cs="Times New Roman"/>
          <w:kern w:val="0"/>
          <w14:ligatures w14:val="none"/>
        </w:rPr>
        <w:t>menaxhuese</w:t>
      </w:r>
      <w:proofErr w:type="spellEnd"/>
      <w:r w:rsidRPr="00C51AE9">
        <w:rPr>
          <w:rFonts w:ascii="Times New Roman" w:eastAsia="Times New Roman" w:hAnsi="Times New Roman" w:cs="Times New Roman"/>
          <w:kern w:val="0"/>
          <w14:ligatures w14:val="none"/>
        </w:rPr>
        <w:t>, përfshirë shpërblimin dhe sigurimet për personelit.</w:t>
      </w:r>
    </w:p>
    <w:p w14:paraId="7C0719C8" w14:textId="77777777" w:rsidR="00767CD0" w:rsidRPr="00C51AE9" w:rsidRDefault="00767CD0">
      <w:pPr>
        <w:ind w:left="1620"/>
        <w:contextualSpacing/>
        <w:jc w:val="both"/>
        <w:rPr>
          <w:rFonts w:ascii="Times New Roman" w:eastAsia="Times New Roman" w:hAnsi="Times New Roman" w:cs="Times New Roman"/>
          <w:kern w:val="0"/>
          <w14:ligatures w14:val="none"/>
        </w:rPr>
      </w:pPr>
    </w:p>
    <w:p w14:paraId="37750697" w14:textId="77777777" w:rsidR="00767CD0" w:rsidRPr="00C51AE9" w:rsidRDefault="00C51AE9" w:rsidP="00F635BF">
      <w:pPr>
        <w:numPr>
          <w:ilvl w:val="0"/>
          <w:numId w:val="47"/>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Listën e personave juridikë ndaj të cilëve </w:t>
      </w:r>
      <w:r w:rsidRPr="00C51AE9">
        <w:rPr>
          <w:rFonts w:ascii="Times New Roman" w:hAnsi="Times New Roman" w:cs="Times New Roman"/>
        </w:rPr>
        <w:t>Shoqëria e Përgjegjësisë së Zgjeruar të Subjekteve Prodhuese</w:t>
      </w:r>
      <w:r w:rsidRPr="00C51AE9">
        <w:rPr>
          <w:rFonts w:ascii="Times New Roman" w:eastAsia="Times New Roman" w:hAnsi="Times New Roman" w:cs="Times New Roman"/>
          <w:kern w:val="0"/>
          <w14:ligatures w14:val="none"/>
        </w:rPr>
        <w:t xml:space="preserve"> ka përmbushur plotësisht detyrimet, duke specifikuar adresën dhe NIPT-in.</w:t>
      </w:r>
    </w:p>
    <w:p w14:paraId="1F8AAF4A" w14:textId="77777777" w:rsidR="00767CD0" w:rsidRPr="00C51AE9" w:rsidRDefault="00C51AE9" w:rsidP="00F635BF">
      <w:pPr>
        <w:numPr>
          <w:ilvl w:val="0"/>
          <w:numId w:val="47"/>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Listën e  personave juridikë për të cilët </w:t>
      </w:r>
      <w:r w:rsidRPr="00C51AE9">
        <w:rPr>
          <w:rFonts w:ascii="Times New Roman" w:hAnsi="Times New Roman" w:cs="Times New Roman"/>
        </w:rPr>
        <w:t>Shoqëria e Përgjegjësisë së Zgjeruar të Subjekteve Prodhuese</w:t>
      </w:r>
      <w:r w:rsidRPr="00C51AE9">
        <w:rPr>
          <w:rFonts w:ascii="Times New Roman" w:eastAsia="Times New Roman" w:hAnsi="Times New Roman" w:cs="Times New Roman"/>
          <w:kern w:val="0"/>
          <w14:ligatures w14:val="none"/>
        </w:rPr>
        <w:t xml:space="preserve"> nuk i ka përmbushur detyrimet e grumbullimit, duke specifikuar adresën, NIPT-in dhe vlerën e tarifës së produktit që duhet të paguajnë.</w:t>
      </w:r>
    </w:p>
    <w:p w14:paraId="26737AF5" w14:textId="77777777" w:rsidR="00767CD0" w:rsidRPr="00C51AE9" w:rsidRDefault="00C51AE9" w:rsidP="00F635BF">
      <w:pPr>
        <w:numPr>
          <w:ilvl w:val="0"/>
          <w:numId w:val="47"/>
        </w:numPr>
        <w:ind w:left="108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Deklaratën e qartë të </w:t>
      </w:r>
      <w:proofErr w:type="spellStart"/>
      <w:r w:rsidRPr="00C51AE9">
        <w:rPr>
          <w:rFonts w:ascii="Times New Roman" w:eastAsia="Times New Roman" w:hAnsi="Times New Roman" w:cs="Times New Roman"/>
          <w:kern w:val="0"/>
          <w14:ligatures w14:val="none"/>
        </w:rPr>
        <w:t>audituesit</w:t>
      </w:r>
      <w:proofErr w:type="spellEnd"/>
      <w:r w:rsidRPr="00C51AE9">
        <w:rPr>
          <w:rFonts w:ascii="Times New Roman" w:eastAsia="Times New Roman" w:hAnsi="Times New Roman" w:cs="Times New Roman"/>
          <w:kern w:val="0"/>
          <w14:ligatures w14:val="none"/>
        </w:rPr>
        <w:t xml:space="preserve"> mbi përputhshmërinë e plotë ose mospërputhshmëritë e vërejtura gjatë procesit të verifikimit të dhënave mbi përmbushjen e objektivave të përcaktuara në nenin 62 të këtij vendimi.</w:t>
      </w:r>
    </w:p>
    <w:p w14:paraId="3740D103"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përmbushjen ose </w:t>
      </w:r>
      <w:proofErr w:type="spellStart"/>
      <w:r w:rsidRPr="00C51AE9">
        <w:rPr>
          <w:rFonts w:ascii="Times New Roman" w:eastAsia="Times New Roman" w:hAnsi="Times New Roman" w:cs="Times New Roman"/>
          <w:kern w:val="0"/>
          <w14:ligatures w14:val="none"/>
        </w:rPr>
        <w:t>mospërmbushjen</w:t>
      </w:r>
      <w:proofErr w:type="spellEnd"/>
      <w:r w:rsidRPr="00C51AE9">
        <w:rPr>
          <w:rFonts w:ascii="Times New Roman" w:eastAsia="Times New Roman" w:hAnsi="Times New Roman" w:cs="Times New Roman"/>
          <w:kern w:val="0"/>
          <w14:ligatures w14:val="none"/>
        </w:rPr>
        <w:t xml:space="preserve"> e kushteve të regjistrimit të Shoqërisë së përgjegjësisë së zgjeruar të subjekteve prodhuese;</w:t>
      </w:r>
    </w:p>
    <w:p w14:paraId="4C9F28EB" w14:textId="77777777" w:rsidR="00767CD0" w:rsidRPr="00C51AE9" w:rsidRDefault="00C51AE9" w:rsidP="00F635BF">
      <w:pPr>
        <w:numPr>
          <w:ilvl w:val="0"/>
          <w:numId w:val="47"/>
        </w:numPr>
        <w:ind w:firstLine="9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ekzistencën e një sistemi të menaxhimit financiar, përfshirë planifikimin dhe kontrollin pasues të diferencave ndërmjet veprimtarive të realizuara në fakt dhe atyre të parashikuara në kërkesën e paraqitur për regjistrim, përfshirë:</w:t>
      </w:r>
    </w:p>
    <w:p w14:paraId="10F1AE7E" w14:textId="77777777" w:rsidR="00767CD0" w:rsidRPr="00C51AE9" w:rsidRDefault="00C51AE9" w:rsidP="00F635BF">
      <w:pPr>
        <w:numPr>
          <w:ilvl w:val="2"/>
          <w:numId w:val="47"/>
        </w:numPr>
        <w:ind w:left="1350" w:hanging="2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krahasimin e kostove të planifikuara, të nevojshme për funksionimin e sistemeve të grumbullimit të veçuar, me kostot e realizuara faktikisht;</w:t>
      </w:r>
    </w:p>
    <w:p w14:paraId="22BFD990" w14:textId="77777777" w:rsidR="00767CD0" w:rsidRPr="00C51AE9" w:rsidRDefault="00C51AE9" w:rsidP="00F635BF">
      <w:pPr>
        <w:numPr>
          <w:ilvl w:val="2"/>
          <w:numId w:val="47"/>
        </w:numPr>
        <w:ind w:left="135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krahasimin e kostove të mbuluara nga subjektet që vendosin në treg produkte të ambalazhuara me shumën e kostove të mëposhtme të kryera nga Shoqëria për përgjegjësinë e zgjeruar të subjektit prodhues:</w:t>
      </w:r>
    </w:p>
    <w:p w14:paraId="350A2F39"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Kostot që lidhen me veprimtaritë e grumbullimit të veçuar të mbetjeve dhe transportimin e trajtimin pasues të tyre, përfshirë kostot për arritjen e objektivave të përcaktuara, si dhe kostot e investimeve për mirëmbajtjen dhe zhvillimin e sistemeve të grumbullimit të veçuar;</w:t>
      </w:r>
    </w:p>
    <w:p w14:paraId="62C2633D"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Kostot për mbledhjen e informacionit, raportimin e të dhënave dhe kryerjen e </w:t>
      </w:r>
      <w:proofErr w:type="spellStart"/>
      <w:r w:rsidRPr="00C51AE9">
        <w:rPr>
          <w:rFonts w:ascii="Times New Roman" w:eastAsia="Times New Roman" w:hAnsi="Times New Roman" w:cs="Times New Roman"/>
          <w:kern w:val="0"/>
          <w14:ligatures w14:val="none"/>
        </w:rPr>
        <w:t>auditimeve</w:t>
      </w:r>
      <w:proofErr w:type="spellEnd"/>
      <w:r w:rsidRPr="00C51AE9">
        <w:rPr>
          <w:rFonts w:ascii="Times New Roman" w:eastAsia="Times New Roman" w:hAnsi="Times New Roman" w:cs="Times New Roman"/>
          <w:kern w:val="0"/>
          <w14:ligatures w14:val="none"/>
        </w:rPr>
        <w:t>;</w:t>
      </w:r>
    </w:p>
    <w:p w14:paraId="56660A94" w14:textId="77777777" w:rsidR="00767CD0" w:rsidRPr="00C51AE9" w:rsidRDefault="00C51AE9" w:rsidP="00F635BF">
      <w:pPr>
        <w:numPr>
          <w:ilvl w:val="0"/>
          <w:numId w:val="47"/>
        </w:numPr>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Kostot për fushata edukimi, veprimtari informuese dhe promovimin e grumbullimit të veçuar.</w:t>
      </w:r>
    </w:p>
    <w:p w14:paraId="23B0AD6E" w14:textId="77777777" w:rsidR="00767CD0" w:rsidRPr="00C51AE9" w:rsidRDefault="00767CD0">
      <w:pPr>
        <w:jc w:val="both"/>
        <w:rPr>
          <w:rFonts w:ascii="Times New Roman" w:eastAsia="Times New Roman" w:hAnsi="Times New Roman" w:cs="Times New Roman"/>
          <w:kern w:val="0"/>
          <w14:ligatures w14:val="none"/>
        </w:rPr>
      </w:pPr>
    </w:p>
    <w:p w14:paraId="4BFA0A62"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 xml:space="preserve">Neni 66 </w:t>
      </w:r>
    </w:p>
    <w:p w14:paraId="526D3EFF"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76" w:name="_Toc227317671"/>
      <w:r w:rsidRPr="00C51AE9">
        <w:rPr>
          <w:rFonts w:ascii="Times New Roman" w:eastAsiaTheme="majorEastAsia" w:hAnsi="Times New Roman" w:cs="Times New Roman"/>
          <w:b/>
        </w:rPr>
        <w:t>Raportimi</w:t>
      </w:r>
      <w:bookmarkEnd w:id="76"/>
    </w:p>
    <w:p w14:paraId="44169DF8" w14:textId="77777777" w:rsidR="00767CD0" w:rsidRPr="00C51AE9" w:rsidRDefault="00C51AE9">
      <w:pPr>
        <w:numPr>
          <w:ilvl w:val="0"/>
          <w:numId w:val="21"/>
        </w:numPr>
        <w:contextualSpacing/>
        <w:jc w:val="both"/>
        <w:rPr>
          <w:rFonts w:ascii="Times New Roman" w:hAnsi="Times New Roman" w:cs="Times New Roman"/>
        </w:rPr>
      </w:pPr>
      <w:r w:rsidRPr="00C51AE9">
        <w:rPr>
          <w:rFonts w:ascii="Times New Roman" w:hAnsi="Times New Roman" w:cs="Times New Roman"/>
        </w:rPr>
        <w:t>Deri më 30 mars të çdo viti, Agjencia Kombëtare e Mjedisit përgatit një raport për menaxhimin e mbetjeve të ambalazheve në Republikën e Shqipërisë për vitin kalendarik paraardhës, i cili përmban të dhënat e mëposhtme:</w:t>
      </w:r>
    </w:p>
    <w:p w14:paraId="32B70B10" w14:textId="77777777" w:rsidR="00767CD0" w:rsidRPr="00C51AE9" w:rsidRDefault="00C51AE9">
      <w:pPr>
        <w:numPr>
          <w:ilvl w:val="0"/>
          <w:numId w:val="26"/>
        </w:numPr>
        <w:ind w:left="1080"/>
        <w:contextualSpacing/>
        <w:jc w:val="both"/>
        <w:rPr>
          <w:rFonts w:ascii="Times New Roman" w:hAnsi="Times New Roman" w:cs="Times New Roman"/>
        </w:rPr>
      </w:pPr>
      <w:r w:rsidRPr="00C51AE9">
        <w:rPr>
          <w:rFonts w:ascii="Times New Roman" w:hAnsi="Times New Roman" w:cs="Times New Roman"/>
        </w:rPr>
        <w:t>të dhëna mbi zbatimin e nenit 62 të këtij vendimi dhe të dhëna në mbështetje të tabelës 2, të shtojcës X të këtij vendimi;</w:t>
      </w:r>
    </w:p>
    <w:p w14:paraId="333021BB" w14:textId="77777777" w:rsidR="00767CD0" w:rsidRPr="00C51AE9" w:rsidRDefault="00C51AE9">
      <w:pPr>
        <w:numPr>
          <w:ilvl w:val="0"/>
          <w:numId w:val="26"/>
        </w:numPr>
        <w:ind w:left="1080"/>
        <w:contextualSpacing/>
        <w:jc w:val="both"/>
        <w:rPr>
          <w:rFonts w:ascii="Times New Roman" w:hAnsi="Times New Roman" w:cs="Times New Roman"/>
        </w:rPr>
      </w:pPr>
      <w:r w:rsidRPr="00C51AE9">
        <w:rPr>
          <w:rFonts w:ascii="Times New Roman" w:hAnsi="Times New Roman" w:cs="Times New Roman"/>
        </w:rPr>
        <w:t>konsumi vjetor për frymë të qeseve  mbajtëse plastike shumë të lehta, qeseve  mbajtëse plastike të lehta, qeseve  mbajtëse plastike të trasha dhe qeseve  mbajtëse plastike shumë të trasha, veçmas për secilën kategori, sipas tabelës 4, të Shtojcës X,</w:t>
      </w:r>
      <w:r w:rsidRPr="00C51AE9">
        <w:rPr>
          <w:rFonts w:ascii="Times New Roman" w:eastAsia="Times New Roman" w:hAnsi="Times New Roman" w:cs="Times New Roman"/>
          <w:kern w:val="0"/>
          <w14:ligatures w14:val="none"/>
        </w:rPr>
        <w:t xml:space="preserve"> </w:t>
      </w:r>
      <w:r w:rsidRPr="00C51AE9">
        <w:rPr>
          <w:rFonts w:ascii="Times New Roman" w:hAnsi="Times New Roman" w:cs="Times New Roman"/>
        </w:rPr>
        <w:t>të këtij vendimi</w:t>
      </w:r>
      <w:r w:rsidRPr="00C51AE9">
        <w:rPr>
          <w:rFonts w:ascii="Times New Roman" w:eastAsia="Times New Roman" w:hAnsi="Times New Roman" w:cs="Times New Roman"/>
          <w:kern w:val="0"/>
          <w14:ligatures w14:val="none"/>
        </w:rPr>
        <w:t>.</w:t>
      </w:r>
      <w:r w:rsidRPr="00C51AE9">
        <w:rPr>
          <w:rFonts w:ascii="Times New Roman" w:hAnsi="Times New Roman" w:cs="Times New Roman"/>
        </w:rPr>
        <w:t xml:space="preserve"> ;</w:t>
      </w:r>
    </w:p>
    <w:p w14:paraId="588AD042" w14:textId="77777777" w:rsidR="00767CD0" w:rsidRPr="00C51AE9" w:rsidRDefault="00C51AE9">
      <w:pPr>
        <w:numPr>
          <w:ilvl w:val="0"/>
          <w:numId w:val="26"/>
        </w:numPr>
        <w:ind w:left="1080"/>
        <w:contextualSpacing/>
        <w:jc w:val="both"/>
        <w:rPr>
          <w:rFonts w:ascii="Times New Roman" w:hAnsi="Times New Roman" w:cs="Times New Roman"/>
        </w:rPr>
      </w:pPr>
      <w:r w:rsidRPr="00C51AE9">
        <w:rPr>
          <w:rFonts w:ascii="Times New Roman" w:hAnsi="Times New Roman" w:cs="Times New Roman"/>
        </w:rPr>
        <w:t>normën e grumbullimit të veçuar të ambalazheve, të renditura në tabelën 5 të Shtojcës X të këtij vendimi, që mbulohen nga detyrimi për krijimin e Sistemeve të Depozitë-</w:t>
      </w:r>
      <w:proofErr w:type="spellStart"/>
      <w:r w:rsidRPr="00C51AE9">
        <w:rPr>
          <w:rFonts w:ascii="Times New Roman" w:hAnsi="Times New Roman" w:cs="Times New Roman"/>
        </w:rPr>
        <w:t>Rimbursimit</w:t>
      </w:r>
      <w:proofErr w:type="spellEnd"/>
      <w:r w:rsidRPr="00C51AE9">
        <w:rPr>
          <w:rFonts w:ascii="Times New Roman" w:hAnsi="Times New Roman" w:cs="Times New Roman"/>
        </w:rPr>
        <w:t>, të përcaktuar në nenin 60 të këtij vendimi;.</w:t>
      </w:r>
    </w:p>
    <w:p w14:paraId="60645F33" w14:textId="77777777" w:rsidR="00767CD0" w:rsidRPr="00C51AE9" w:rsidRDefault="00C51AE9">
      <w:pPr>
        <w:numPr>
          <w:ilvl w:val="0"/>
          <w:numId w:val="21"/>
        </w:numPr>
        <w:contextualSpacing/>
        <w:jc w:val="both"/>
        <w:rPr>
          <w:rFonts w:ascii="Times New Roman" w:hAnsi="Times New Roman" w:cs="Times New Roman"/>
        </w:rPr>
      </w:pPr>
      <w:r w:rsidRPr="00C51AE9">
        <w:rPr>
          <w:rFonts w:ascii="Times New Roman" w:hAnsi="Times New Roman" w:cs="Times New Roman"/>
        </w:rPr>
        <w:t>Raporti i parashikuar në pikën 1 të këtij neni përmban gjithashtu të dhëna për:</w:t>
      </w:r>
    </w:p>
    <w:p w14:paraId="05A4FE99" w14:textId="77777777" w:rsidR="00767CD0" w:rsidRPr="00C51AE9" w:rsidRDefault="00C51AE9" w:rsidP="00F635BF">
      <w:pPr>
        <w:numPr>
          <w:ilvl w:val="0"/>
          <w:numId w:val="104"/>
        </w:numPr>
        <w:contextualSpacing/>
        <w:jc w:val="both"/>
        <w:rPr>
          <w:rFonts w:ascii="Times New Roman" w:hAnsi="Times New Roman" w:cs="Times New Roman"/>
        </w:rPr>
      </w:pPr>
      <w:r w:rsidRPr="00C51AE9">
        <w:rPr>
          <w:rFonts w:ascii="Times New Roman" w:hAnsi="Times New Roman" w:cs="Times New Roman"/>
        </w:rPr>
        <w:t xml:space="preserve">sasinë e ambalazheve të vëna për herë të parë në dispozicion në territorin e Republikës së Shqipërisë, ose të </w:t>
      </w:r>
      <w:proofErr w:type="spellStart"/>
      <w:r w:rsidRPr="00C51AE9">
        <w:rPr>
          <w:rFonts w:ascii="Times New Roman" w:hAnsi="Times New Roman" w:cs="Times New Roman"/>
        </w:rPr>
        <w:t>shambalazhuara</w:t>
      </w:r>
      <w:proofErr w:type="spellEnd"/>
      <w:r w:rsidRPr="00C51AE9">
        <w:rPr>
          <w:rFonts w:ascii="Times New Roman" w:hAnsi="Times New Roman" w:cs="Times New Roman"/>
        </w:rPr>
        <w:t xml:space="preserve"> nga një prodhues që nuk është përdorues përfundimtar, për çdo kategori ambalazhi të renditur në tabelën 3 të Shtojcës X të këtij vendimi;</w:t>
      </w:r>
    </w:p>
    <w:p w14:paraId="25C7E99B" w14:textId="77777777" w:rsidR="00767CD0" w:rsidRPr="00C51AE9" w:rsidRDefault="00C51AE9" w:rsidP="00F635BF">
      <w:pPr>
        <w:numPr>
          <w:ilvl w:val="0"/>
          <w:numId w:val="104"/>
        </w:numPr>
        <w:contextualSpacing/>
        <w:jc w:val="both"/>
        <w:rPr>
          <w:rFonts w:ascii="Times New Roman" w:hAnsi="Times New Roman" w:cs="Times New Roman"/>
        </w:rPr>
      </w:pPr>
      <w:r w:rsidRPr="00C51AE9">
        <w:rPr>
          <w:rFonts w:ascii="Times New Roman" w:hAnsi="Times New Roman" w:cs="Times New Roman"/>
        </w:rPr>
        <w:t>sasinë e mbetjeve të ambalazheve të grumbulluara, për çdo material ambalazhi;</w:t>
      </w:r>
    </w:p>
    <w:p w14:paraId="0159B7BA" w14:textId="77777777" w:rsidR="00767CD0" w:rsidRPr="00C51AE9" w:rsidRDefault="00C51AE9" w:rsidP="00F635BF">
      <w:pPr>
        <w:numPr>
          <w:ilvl w:val="0"/>
          <w:numId w:val="104"/>
        </w:numPr>
        <w:contextualSpacing/>
        <w:jc w:val="both"/>
        <w:rPr>
          <w:rFonts w:ascii="Times New Roman" w:hAnsi="Times New Roman" w:cs="Times New Roman"/>
        </w:rPr>
      </w:pPr>
      <w:r w:rsidRPr="00C51AE9">
        <w:rPr>
          <w:rFonts w:ascii="Times New Roman" w:hAnsi="Times New Roman" w:cs="Times New Roman"/>
        </w:rPr>
        <w:t>sasinë e mbetjeve të ambalazheve të ricikluara dhe normat e riciklimit, për çdo kategori ambalazhi të renditur në tabelën 3 të Shtojcës X të këtij vendimi.</w:t>
      </w:r>
    </w:p>
    <w:p w14:paraId="69EA1AEE" w14:textId="77777777" w:rsidR="00767CD0" w:rsidRPr="00C51AE9" w:rsidRDefault="00C51AE9">
      <w:pPr>
        <w:numPr>
          <w:ilvl w:val="0"/>
          <w:numId w:val="21"/>
        </w:numPr>
        <w:contextualSpacing/>
        <w:jc w:val="both"/>
        <w:rPr>
          <w:rFonts w:ascii="Times New Roman" w:hAnsi="Times New Roman" w:cs="Times New Roman"/>
        </w:rPr>
      </w:pPr>
      <w:r w:rsidRPr="00C51AE9">
        <w:rPr>
          <w:rFonts w:ascii="Times New Roman" w:hAnsi="Times New Roman" w:cs="Times New Roman"/>
        </w:rPr>
        <w:t>Raporti i parashikuar në pikën 1 të këtij neni shoqërohet me një raport të kontrollit të cilësisë, i cili paraqitet në formatin e përcaktuar me udhëzim të ministrit përgjegjëse për mjedisin.</w:t>
      </w:r>
    </w:p>
    <w:p w14:paraId="55181DCA" w14:textId="77777777" w:rsidR="00767CD0" w:rsidRPr="00C51AE9" w:rsidRDefault="00C51AE9">
      <w:pPr>
        <w:numPr>
          <w:ilvl w:val="0"/>
          <w:numId w:val="21"/>
        </w:numPr>
        <w:contextualSpacing/>
        <w:jc w:val="both"/>
        <w:rPr>
          <w:rFonts w:ascii="Times New Roman" w:hAnsi="Times New Roman" w:cs="Times New Roman"/>
        </w:rPr>
      </w:pPr>
      <w:r w:rsidRPr="00C51AE9">
        <w:rPr>
          <w:rFonts w:ascii="Times New Roman" w:hAnsi="Times New Roman" w:cs="Times New Roman"/>
        </w:rPr>
        <w:t>Me udhëzim të ministrit miratohen gjithashtu dhe:</w:t>
      </w:r>
    </w:p>
    <w:p w14:paraId="193BA0F5" w14:textId="77777777" w:rsidR="00767CD0" w:rsidRPr="00C51AE9" w:rsidRDefault="00C51AE9" w:rsidP="00F635BF">
      <w:pPr>
        <w:numPr>
          <w:ilvl w:val="0"/>
          <w:numId w:val="105"/>
        </w:numPr>
        <w:contextualSpacing/>
        <w:jc w:val="both"/>
        <w:rPr>
          <w:rFonts w:ascii="Times New Roman" w:hAnsi="Times New Roman" w:cs="Times New Roman"/>
        </w:rPr>
      </w:pPr>
      <w:r w:rsidRPr="00C51AE9">
        <w:rPr>
          <w:rFonts w:ascii="Times New Roman" w:hAnsi="Times New Roman" w:cs="Times New Roman"/>
        </w:rPr>
        <w:lastRenderedPageBreak/>
        <w:t xml:space="preserve"> rregullat për llogaritjen, verifikimin dhe paraqitjen e të dhënave sipas pikave 1 dhe 2 të këtij neni dhe sipas nenit 63, duke përfshirë metodologjinë për përcaktimin e sasisë së mbetjeve të ambalazheve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pikat e llogaritjes dhe të matjes për materialet dhe operacionet e riciklimit, përjashtimin nga llogaritja të materialeve që nuk janë objekt i ripërpunimit, korrigjimin për lagështinë, llogaritjen e metaleve të ndara nga hiri i djegies, verifikimin e të dhënave dhe formatin për paraqitjen e tyre;</w:t>
      </w:r>
    </w:p>
    <w:p w14:paraId="1F9A90ED" w14:textId="77777777" w:rsidR="00767CD0" w:rsidRPr="00C51AE9" w:rsidRDefault="00C51AE9" w:rsidP="00F635BF">
      <w:pPr>
        <w:numPr>
          <w:ilvl w:val="0"/>
          <w:numId w:val="105"/>
        </w:numPr>
        <w:contextualSpacing/>
        <w:jc w:val="both"/>
        <w:rPr>
          <w:rFonts w:ascii="Times New Roman" w:hAnsi="Times New Roman" w:cs="Times New Roman"/>
        </w:rPr>
      </w:pPr>
      <w:r w:rsidRPr="00C51AE9">
        <w:rPr>
          <w:rFonts w:ascii="Times New Roman" w:hAnsi="Times New Roman" w:cs="Times New Roman"/>
        </w:rPr>
        <w:t>. metodologjinë për llogaritjen e konsumit vjetor për frymë të qeseve mbajtëse plastike të lehta, të përmendur në pikën 2.1, si dhe formatin për paraqitjen e këtyre të dhënave;</w:t>
      </w:r>
    </w:p>
    <w:p w14:paraId="07B6973D" w14:textId="77777777" w:rsidR="00767CD0" w:rsidRPr="00C51AE9" w:rsidRDefault="00C51AE9">
      <w:pPr>
        <w:ind w:left="810"/>
        <w:contextualSpacing/>
        <w:jc w:val="both"/>
        <w:rPr>
          <w:rFonts w:ascii="Times New Roman" w:hAnsi="Times New Roman" w:cs="Times New Roman"/>
        </w:rPr>
      </w:pPr>
      <w:r w:rsidRPr="00C51AE9">
        <w:rPr>
          <w:rFonts w:ascii="Times New Roman" w:hAnsi="Times New Roman" w:cs="Times New Roman"/>
        </w:rPr>
        <w:t xml:space="preserve">c. formularët dhe formatet e raportimit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dhënave mbi ambalazhet dhe mbetjet e ambalazheve.</w:t>
      </w:r>
    </w:p>
    <w:p w14:paraId="02D4A90D" w14:textId="77777777" w:rsidR="00767CD0" w:rsidRPr="00C51AE9" w:rsidRDefault="00C51AE9">
      <w:pPr>
        <w:numPr>
          <w:ilvl w:val="0"/>
          <w:numId w:val="21"/>
        </w:numPr>
        <w:contextualSpacing/>
        <w:jc w:val="both"/>
        <w:rPr>
          <w:rFonts w:ascii="Times New Roman" w:hAnsi="Times New Roman" w:cs="Times New Roman"/>
        </w:rPr>
      </w:pPr>
      <w:r w:rsidRPr="00C51AE9">
        <w:rPr>
          <w:rFonts w:ascii="Times New Roman" w:hAnsi="Times New Roman" w:cs="Times New Roman"/>
        </w:rPr>
        <w:t>Instituti i Statistikave, deri më 30 maj të çdo viti, i jep Agjencisë Kombëtare të Mjedisit informacionin mbi sasitë e ambalazheve të hedhura në treg gjatë vitit kalendarik të mëparshëm sipas materialeve të ambalazhimit, duke përfshirë ambalazhet dhe materialet e ambalazhimit të importuara, eksportuara, të futura ose të dërguara nga vendi.</w:t>
      </w:r>
    </w:p>
    <w:p w14:paraId="3365F971" w14:textId="77777777" w:rsidR="00767CD0" w:rsidRPr="00C51AE9" w:rsidRDefault="00C51AE9">
      <w:pPr>
        <w:keepNext/>
        <w:keepLines/>
        <w:spacing w:before="240" w:after="80"/>
        <w:jc w:val="center"/>
        <w:outlineLvl w:val="0"/>
        <w:rPr>
          <w:rFonts w:ascii="Times New Roman" w:eastAsiaTheme="majorEastAsia" w:hAnsi="Times New Roman" w:cs="Times New Roman"/>
          <w:b/>
        </w:rPr>
      </w:pPr>
      <w:r w:rsidRPr="00C51AE9">
        <w:rPr>
          <w:rFonts w:ascii="Times New Roman" w:eastAsiaTheme="majorEastAsia" w:hAnsi="Times New Roman" w:cs="Times New Roman"/>
          <w:b/>
        </w:rPr>
        <w:t xml:space="preserve">KREU IX </w:t>
      </w:r>
    </w:p>
    <w:p w14:paraId="6A1F33D9" w14:textId="77777777" w:rsidR="00767CD0" w:rsidRPr="00C51AE9" w:rsidRDefault="00C51AE9">
      <w:pPr>
        <w:keepNext/>
        <w:keepLines/>
        <w:spacing w:before="240" w:after="80"/>
        <w:jc w:val="center"/>
        <w:outlineLvl w:val="0"/>
        <w:rPr>
          <w:rFonts w:ascii="Times New Roman" w:eastAsiaTheme="majorEastAsia" w:hAnsi="Times New Roman" w:cs="Times New Roman"/>
          <w:b/>
        </w:rPr>
      </w:pPr>
      <w:bookmarkStart w:id="77" w:name="_Toc227317672"/>
      <w:r w:rsidRPr="00C51AE9">
        <w:rPr>
          <w:rFonts w:ascii="Times New Roman" w:eastAsiaTheme="majorEastAsia" w:hAnsi="Times New Roman" w:cs="Times New Roman"/>
          <w:b/>
        </w:rPr>
        <w:t>PROCEDURAT E MASAVE MBROJTËSE</w:t>
      </w:r>
      <w:bookmarkEnd w:id="77"/>
    </w:p>
    <w:p w14:paraId="4A150DD5" w14:textId="77777777" w:rsidR="00767CD0" w:rsidRPr="00C51AE9" w:rsidRDefault="00767CD0"/>
    <w:p w14:paraId="24C083D7"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r w:rsidRPr="00C51AE9">
        <w:rPr>
          <w:rFonts w:ascii="Times New Roman" w:eastAsiaTheme="majorEastAsia" w:hAnsi="Times New Roman" w:cs="Times New Roman"/>
          <w:bCs/>
        </w:rPr>
        <w:t>Neni 67</w:t>
      </w:r>
    </w:p>
    <w:p w14:paraId="088E9252" w14:textId="77777777" w:rsidR="00767CD0" w:rsidRPr="00C51AE9" w:rsidRDefault="00C51AE9">
      <w:pPr>
        <w:keepNext/>
        <w:keepLines/>
        <w:spacing w:before="160" w:after="80"/>
        <w:jc w:val="center"/>
        <w:outlineLvl w:val="1"/>
        <w:rPr>
          <w:rFonts w:ascii="Times New Roman" w:eastAsiaTheme="majorEastAsia" w:hAnsi="Times New Roman" w:cs="Times New Roman"/>
          <w:b/>
        </w:rPr>
      </w:pPr>
      <w:bookmarkStart w:id="78" w:name="_Toc227317673"/>
      <w:r w:rsidRPr="00C51AE9">
        <w:rPr>
          <w:rFonts w:ascii="Times New Roman" w:eastAsiaTheme="majorEastAsia" w:hAnsi="Times New Roman" w:cs="Times New Roman"/>
          <w:b/>
        </w:rPr>
        <w:t>Procedura për trajtimin e ambalazhimit që paraqet risk në nivel kombëtar</w:t>
      </w:r>
      <w:bookmarkEnd w:id="78"/>
    </w:p>
    <w:p w14:paraId="609004A4"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Kur autoritetet e mbikëqyrjes së tregut në Republikën e Shqipërisë kanë arsye të mjaftueshme për të besuar se ambalazhimi i mbuluar nga ky vendim paraqet risk për mjedisin ose shëndetin e njeriut, ato, pa vonesë, kryejnë një vlerësim në lidhje me ambalazhimin në fjalë, për të gjitha kërkesat e përcaktuara në këtë vendim që lidhen me atë rrezik. Operatorët ekonomikë përkatës detyrohen të bashkëpunojnë sipas nevojës me autoritetet e mbikëqyrjes së tregut.</w:t>
      </w:r>
    </w:p>
    <w:p w14:paraId="100EF1E8"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Autoritetet përgjegjëse për zbatimin e këtij vendimi ndjekin ankesat ose raportimet lidhur me mospërputhjen e pretenduar të ambalazhimit me këtë vendim dhe verifikojnë nëse janë ndërmarrë masat e duhura korrigjuese.</w:t>
      </w:r>
    </w:p>
    <w:p w14:paraId="2862FB18"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Kur, gjatë vlerësimit të kryer sipas pikës 1 të këtij neni, autoritetet e mbikëqyrjes së tregut konstatojnë se ambalazhimi nuk përputhet me kërkesat e përcaktuara në këtë vendim, ato kërkojnë menjëherë që operatori ekonomik përkatës të marrë masa korrigjuese të përshtatshme dhe proporcionale për ta sjellë ambalazhimin në përputhje me këto kërkesat. Këto masa merren brenda një afati të caktuar nga autoritetet e mbikëqyrjes së tregut, i cili është i arsyeshëm dhe në përpjesëtim me natyrën ose shkallën e mospërputhjes.</w:t>
      </w:r>
    </w:p>
    <w:p w14:paraId="784788D4"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 xml:space="preserve">Përjashtimisht nga pika 1 e këtij neni, kur konstatohet risk për shëndetin e njeriut ose të kafshëve që rrjedh nga materiali i ambalazhimit në kontakt me produktin dhe që rregullohet me legjislacion të posaçëm, autoritetet e mbikëqyrjes së tregut pezullojnë vlerësimin e rrezikut specifik dhe njoftojnë menjëherë autoritetet kompetente, përkatësisht Autoritetin Kombëtar të Ushqimit ose Agjencinë </w:t>
      </w:r>
      <w:r w:rsidRPr="00C51AE9">
        <w:rPr>
          <w:rFonts w:ascii="Times New Roman" w:hAnsi="Times New Roman" w:cs="Times New Roman"/>
        </w:rPr>
        <w:lastRenderedPageBreak/>
        <w:t>Kombëtare të Barnave dhe Pajisjeve Mjekësore, sipas fushës së tyre të përgjegjësisë.</w:t>
      </w:r>
    </w:p>
    <w:p w14:paraId="6B59274C"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Operatori ekonomik siguron marrjen e të gjitha masave korrigjuese të përshtatshme për të gjitha ambalazhet që nuk janë në përputhje, të cilat ky operator i ka vënë në dispozicion në tregun e Republikës së Shqipërisë.</w:t>
      </w:r>
    </w:p>
    <w:p w14:paraId="5645793B"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Në rast se operatori ekonomik nuk merr masa korrigjuese të përshtatshme brenda afatit të përcaktuar sipas pikës 3 të këtij neni, ose kur mospërputhshmëria vazhdon, autoritetet e mbikëqyrjes së tregut marrin të gjitha masat e përkohshme të përshtatshme për të ndaluar vënien në dispozicion në treg të ambalazhimit në territorin e vendit, për ta tërhequr ose për ta larguar atë nga tregu.</w:t>
      </w:r>
    </w:p>
    <w:p w14:paraId="4248B88E" w14:textId="77777777" w:rsidR="00767CD0" w:rsidRPr="00C51AE9" w:rsidRDefault="00C51AE9">
      <w:pPr>
        <w:numPr>
          <w:ilvl w:val="0"/>
          <w:numId w:val="22"/>
        </w:numPr>
        <w:spacing w:after="0"/>
        <w:jc w:val="both"/>
        <w:rPr>
          <w:rFonts w:ascii="Times New Roman" w:hAnsi="Times New Roman" w:cs="Times New Roman"/>
        </w:rPr>
      </w:pPr>
      <w:r w:rsidRPr="00C51AE9">
        <w:rPr>
          <w:rFonts w:ascii="Times New Roman" w:hAnsi="Times New Roman" w:cs="Times New Roman"/>
        </w:rPr>
        <w:t>Autoritetet e mbikëqyrjes së tregut sigurojnë tërheqjen e menjëhershme të ambalazhimit nga tregu ose marrjen e masave të tjera të përshtatshme kufizuese ndaj ambalazhimit ose prodhuesit përkatës.</w:t>
      </w:r>
    </w:p>
    <w:p w14:paraId="7ADCFD8B"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8. Kur, pas vlerësimit të kryer sipas pikës 1 të këtij neni, autoritetet e mbikëqyrjes së tregut konstatojnë se ambalazhi, megjithëse është në përputhje me kërkesat e neneve 11 deri në 18 të këtij vendimi, paraqet risk për mjedisin ose për shëndetin e njeriut, ato i kërkojnë pa vonesë operatorit ekonomik përkatës që, brenda një afati të arsyeshëm dhe në përpjesëtim me natyrën dhe shkallën e riskut:</w:t>
      </w:r>
    </w:p>
    <w:p w14:paraId="0AF7B529"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a. të marrë të gjitha masat e përshtatshme për të siguruar që ambalazhi, kur vendoset në treg, të mos e paraqesë më këtë risk;</w:t>
      </w:r>
    </w:p>
    <w:p w14:paraId="5BED9C84"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ta sjellë ambalazhin në përputhje;</w:t>
      </w:r>
    </w:p>
    <w:p w14:paraId="459A5DC0"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c. ta tërheqë ambalazhin nga tregu; ose</w:t>
      </w:r>
    </w:p>
    <w:p w14:paraId="4E0B7ADF"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ç. ta tërheqë ambalazhin nga përdoruesit.</w:t>
      </w:r>
    </w:p>
    <w:p w14:paraId="29759AF9"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9. Përjashtimisht, kur risku për shëndetin e njeriut lidhet me ambalazhin e ndjeshëm ndaj kontaktit që rregullohet me legjislacion të posaçëm për mbrojtjen e shëndetit të njeriut dhe ky risk kalon nga materiali i ambalazhit te përmbajtja e ambalazhuar, autoritetet e mbikëqyrjes së tregut nuk kryejnë vlerësimin e riskut për shëndetin e njeriut ose të kafshëve, por njoftojnë autoritetet kompetente për kontrollin e këtyre </w:t>
      </w:r>
      <w:proofErr w:type="spellStart"/>
      <w:r w:rsidRPr="00C51AE9">
        <w:rPr>
          <w:rFonts w:ascii="Times New Roman" w:hAnsi="Times New Roman" w:cs="Times New Roman"/>
        </w:rPr>
        <w:t>risqeve</w:t>
      </w:r>
      <w:proofErr w:type="spellEnd"/>
      <w:r w:rsidRPr="00C51AE9">
        <w:rPr>
          <w:rFonts w:ascii="Times New Roman" w:hAnsi="Times New Roman" w:cs="Times New Roman"/>
        </w:rPr>
        <w:t>.</w:t>
      </w:r>
    </w:p>
    <w:p w14:paraId="1FC713C2"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10. Operatori ekonomik siguron marrjen e masave korrigjuese për të gjitha ambalazhet përkatëse që ka vënë në dispozicion në tregun e Republikës së Shqipërisë.</w:t>
      </w:r>
    </w:p>
    <w:p w14:paraId="334DB007"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11. Kur autoritetet e mbikëqyrjes së tregut vlerësojnë se mospërputhja nuk kufizohet në territorin e Republikës së Shqipërisë, ato informojnë ministrinë përgjegjëse për mjedisin, e cila ia përcjell Komisionit Evropian rezultatet e vlerësimit dhe veprimet që i janë kërkuar operatorit ekonomik.</w:t>
      </w:r>
    </w:p>
    <w:p w14:paraId="4666B903"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12. Informacioni për masat e marra sipas këtij neni përfshin të gjitha hollësitë e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veçanërisht të dhënat e nevojshme për identifikimin e ambalazhit që nuk është në përputhje, origjinën e ambalazhit, natyrën e mospërputhjes dhe të riskut përkatës, natyrën dhe kohëzgjatjen e masave të marra dhe argumentet e paraqitura nga operatori ekonomik.</w:t>
      </w:r>
    </w:p>
    <w:p w14:paraId="6DD471F7"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     13. Autoritetet e mbikëqyrjes së tregut tregojnë gjithashtu nëse mospërputhja vjen nga:</w:t>
      </w:r>
    </w:p>
    <w:p w14:paraId="0A2514AF"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lastRenderedPageBreak/>
        <w:t xml:space="preserve">a. </w:t>
      </w:r>
      <w:proofErr w:type="spellStart"/>
      <w:r w:rsidRPr="00C51AE9">
        <w:rPr>
          <w:rFonts w:ascii="Times New Roman" w:hAnsi="Times New Roman" w:cs="Times New Roman"/>
        </w:rPr>
        <w:t>mospërmbushja</w:t>
      </w:r>
      <w:proofErr w:type="spellEnd"/>
      <w:r w:rsidRPr="00C51AE9">
        <w:rPr>
          <w:rFonts w:ascii="Times New Roman" w:hAnsi="Times New Roman" w:cs="Times New Roman"/>
        </w:rPr>
        <w:t xml:space="preserve"> nga ambalazhi e kërkesave të qëndrueshmërisë, të përcaktuara në këtë vendim;</w:t>
      </w:r>
    </w:p>
    <w:p w14:paraId="4B972C1B" w14:textId="77777777" w:rsidR="00767CD0" w:rsidRPr="00C51AE9" w:rsidRDefault="00C51AE9">
      <w:pPr>
        <w:ind w:left="1080" w:hanging="360"/>
        <w:jc w:val="both"/>
        <w:rPr>
          <w:rFonts w:ascii="Times New Roman" w:hAnsi="Times New Roman" w:cs="Times New Roman"/>
        </w:rPr>
      </w:pPr>
      <w:r w:rsidRPr="00C51AE9">
        <w:rPr>
          <w:rFonts w:ascii="Times New Roman" w:hAnsi="Times New Roman" w:cs="Times New Roman"/>
        </w:rPr>
        <w:t>b. mangësitë në standardet ose në specifikimet e përbashkëta, të përmendura në nenet 41 dhe 42 të këtij vendimi.</w:t>
      </w:r>
    </w:p>
    <w:p w14:paraId="0183D9EF" w14:textId="77777777" w:rsidR="00767CD0" w:rsidRPr="00C51AE9" w:rsidRDefault="00C51AE9">
      <w:pPr>
        <w:keepNext/>
        <w:keepLines/>
        <w:spacing w:before="160" w:after="80"/>
        <w:jc w:val="center"/>
        <w:outlineLvl w:val="1"/>
        <w:rPr>
          <w:rFonts w:ascii="Times New Roman" w:eastAsiaTheme="majorEastAsia" w:hAnsi="Times New Roman" w:cs="Times New Roman"/>
          <w:bCs/>
        </w:rPr>
      </w:pPr>
      <w:bookmarkStart w:id="79" w:name="_Toc227317674"/>
      <w:r w:rsidRPr="00C51AE9">
        <w:rPr>
          <w:rFonts w:ascii="Times New Roman" w:eastAsiaTheme="majorEastAsia" w:hAnsi="Times New Roman" w:cs="Times New Roman"/>
          <w:bCs/>
        </w:rPr>
        <w:t>Neni 68</w:t>
      </w:r>
    </w:p>
    <w:p w14:paraId="3A4C5C4C" w14:textId="77777777" w:rsidR="00767CD0" w:rsidRPr="00C51AE9" w:rsidRDefault="00C51AE9">
      <w:pPr>
        <w:keepNext/>
        <w:keepLines/>
        <w:spacing w:before="160" w:after="80"/>
        <w:jc w:val="center"/>
        <w:outlineLvl w:val="1"/>
        <w:rPr>
          <w:rFonts w:ascii="Times New Roman" w:eastAsiaTheme="majorEastAsia" w:hAnsi="Times New Roman" w:cs="Times New Roman"/>
          <w:b/>
        </w:rPr>
      </w:pPr>
      <w:r w:rsidRPr="00C51AE9">
        <w:rPr>
          <w:rFonts w:ascii="Times New Roman" w:eastAsiaTheme="majorEastAsia" w:hAnsi="Times New Roman" w:cs="Times New Roman"/>
          <w:b/>
        </w:rPr>
        <w:t xml:space="preserve"> Mospërputhjet formale</w:t>
      </w:r>
      <w:bookmarkEnd w:id="79"/>
    </w:p>
    <w:p w14:paraId="1E7DAB7A" w14:textId="77777777" w:rsidR="00767CD0" w:rsidRPr="00C51AE9" w:rsidRDefault="00767CD0">
      <w:pPr>
        <w:spacing w:after="0"/>
        <w:jc w:val="both"/>
        <w:rPr>
          <w:rFonts w:ascii="Times New Roman" w:eastAsia="Times New Roman" w:hAnsi="Times New Roman" w:cs="Times New Roman"/>
          <w:kern w:val="0"/>
          <w14:ligatures w14:val="none"/>
        </w:rPr>
      </w:pPr>
    </w:p>
    <w:p w14:paraId="56281A6C" w14:textId="77777777" w:rsidR="00767CD0" w:rsidRPr="00C51AE9" w:rsidRDefault="00C51AE9" w:rsidP="00F635BF">
      <w:pPr>
        <w:numPr>
          <w:ilvl w:val="0"/>
          <w:numId w:val="106"/>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Kur Agjencia Kombëtare e Mjedisit ose autoritetet e mbikëqyrjes së tregut konstatojnë një prej rrethanave të mëposhtme, u kërkojnë operatorëve ekonomikë përkatës t'i japin fund mospërputhshmërisë, nëse:</w:t>
      </w:r>
    </w:p>
    <w:p w14:paraId="5B8A766D"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deklarata e përputhshmërisë nuk është hartuar;</w:t>
      </w:r>
    </w:p>
    <w:p w14:paraId="69EE2197"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deklarata e përputhshmërisë nuk është hartuar saktë;</w:t>
      </w:r>
    </w:p>
    <w:p w14:paraId="6F8B9091"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kodi QR ose bartësi i të dhënave i përmendur në nenin 18 të këtij vendimi nuk siguron </w:t>
      </w:r>
      <w:proofErr w:type="spellStart"/>
      <w:r w:rsidRPr="00C51AE9">
        <w:rPr>
          <w:rFonts w:ascii="Times New Roman" w:eastAsia="Times New Roman" w:hAnsi="Times New Roman" w:cs="Times New Roman"/>
          <w:kern w:val="0"/>
          <w14:ligatures w14:val="none"/>
        </w:rPr>
        <w:t>akses</w:t>
      </w:r>
      <w:proofErr w:type="spellEnd"/>
      <w:r w:rsidRPr="00C51AE9">
        <w:rPr>
          <w:rFonts w:ascii="Times New Roman" w:eastAsia="Times New Roman" w:hAnsi="Times New Roman" w:cs="Times New Roman"/>
          <w:kern w:val="0"/>
          <w14:ligatures w14:val="none"/>
        </w:rPr>
        <w:t xml:space="preserve"> në informacionin e kërkuar në përputhje me atë nen;</w:t>
      </w:r>
    </w:p>
    <w:p w14:paraId="58360E66"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dokumentacioni teknik i përmendur në Shtojcën VII të këtij vendimi nuk është i </w:t>
      </w:r>
      <w:proofErr w:type="spellStart"/>
      <w:r w:rsidRPr="00C51AE9">
        <w:rPr>
          <w:rFonts w:ascii="Times New Roman" w:eastAsia="Times New Roman" w:hAnsi="Times New Roman" w:cs="Times New Roman"/>
          <w:kern w:val="0"/>
          <w14:ligatures w14:val="none"/>
        </w:rPr>
        <w:t>disponueshëm</w:t>
      </w:r>
      <w:proofErr w:type="spellEnd"/>
      <w:r w:rsidRPr="00C51AE9">
        <w:rPr>
          <w:rFonts w:ascii="Times New Roman" w:eastAsia="Times New Roman" w:hAnsi="Times New Roman" w:cs="Times New Roman"/>
          <w:kern w:val="0"/>
          <w14:ligatures w14:val="none"/>
        </w:rPr>
        <w:t>, nuk është i plotë ose përmban gabime;</w:t>
      </w:r>
    </w:p>
    <w:p w14:paraId="2CD3457C"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informacioni i përmendur në nenin 21 të këtij vendimi ose nenin 24 të këtij vendimi mungon, është i pasaktë ose i paplotë;</w:t>
      </w:r>
    </w:p>
    <w:p w14:paraId="401D6523"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nuk përmbushet ndonjë kërkesë tjetër administrative e përcaktuar në nenin 21 të këtij vendimi ose nenin 24 të këtij vendimi;</w:t>
      </w:r>
    </w:p>
    <w:p w14:paraId="42BDC74E" w14:textId="77777777" w:rsidR="00767CD0" w:rsidRPr="00121712"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121712">
        <w:rPr>
          <w:rFonts w:ascii="Times New Roman" w:eastAsia="Times New Roman" w:hAnsi="Times New Roman" w:cs="Times New Roman"/>
          <w:kern w:val="0"/>
          <w14:ligatures w14:val="none"/>
        </w:rPr>
        <w:t>nuk respektohen kërkesat për kufizimin e ambalazhimit të tepërt ose për përdorimin e formateve të caktuara të ambalazheve, të përcaktuara në nenet 30 dhe 31 të këtij vendimi;</w:t>
      </w:r>
    </w:p>
    <w:p w14:paraId="0593E224"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lidhur me ambalazhet e </w:t>
      </w:r>
      <w:proofErr w:type="spellStart"/>
      <w:r w:rsidRPr="00C51AE9">
        <w:rPr>
          <w:rFonts w:ascii="Times New Roman" w:eastAsia="Times New Roman" w:hAnsi="Times New Roman" w:cs="Times New Roman"/>
          <w:kern w:val="0"/>
          <w14:ligatures w14:val="none"/>
        </w:rPr>
        <w:t>ripërdorshme</w:t>
      </w:r>
      <w:proofErr w:type="spellEnd"/>
      <w:r w:rsidRPr="00C51AE9">
        <w:rPr>
          <w:rFonts w:ascii="Times New Roman" w:eastAsia="Times New Roman" w:hAnsi="Times New Roman" w:cs="Times New Roman"/>
          <w:kern w:val="0"/>
          <w14:ligatures w14:val="none"/>
        </w:rPr>
        <w:t>, nuk përmbushen kërkesat për krijimin, funksionimin ose pjesëmarrjen në një sistem ripërdorimi, të përmendura në nenin 33;</w:t>
      </w:r>
    </w:p>
    <w:p w14:paraId="15573AA6"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lidhur me rimbushjen, nuk përmbushen kërkesat për informacion të përcaktuara në nenin 34, pika 1 dhe 2 të këtij vendimi;</w:t>
      </w:r>
    </w:p>
    <w:p w14:paraId="4E71B54A"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nuk përmbushen kërkesat për stacionet e rimbushjes të përcaktuara në nenin 34, pika 3 të këtij vendimi;</w:t>
      </w:r>
    </w:p>
    <w:p w14:paraId="7B44C08E"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nuk arrihen objektivat e ripërdorimit të përcaktuara në nenin 35 të këtij vendimi;</w:t>
      </w:r>
    </w:p>
    <w:p w14:paraId="179BFE46"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nuk përmbushen detyrimet për rimbushje dhe detyrimi për ofrimin e ripërdorimit sipas nenit 38 të këtij vendimi;</w:t>
      </w:r>
    </w:p>
    <w:p w14:paraId="5676927A" w14:textId="77777777" w:rsidR="00767CD0" w:rsidRPr="00C51AE9"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nuk përmbushen kërkesat për ambalazhet e </w:t>
      </w:r>
      <w:proofErr w:type="spellStart"/>
      <w:r w:rsidRPr="00C51AE9">
        <w:rPr>
          <w:rFonts w:ascii="Times New Roman" w:eastAsia="Times New Roman" w:hAnsi="Times New Roman" w:cs="Times New Roman"/>
          <w:kern w:val="0"/>
          <w14:ligatures w14:val="none"/>
        </w:rPr>
        <w:t>riciklueshme</w:t>
      </w:r>
      <w:proofErr w:type="spellEnd"/>
      <w:r w:rsidRPr="00C51AE9">
        <w:rPr>
          <w:rFonts w:ascii="Times New Roman" w:eastAsia="Times New Roman" w:hAnsi="Times New Roman" w:cs="Times New Roman"/>
          <w:kern w:val="0"/>
          <w14:ligatures w14:val="none"/>
        </w:rPr>
        <w:t xml:space="preserve"> të përcaktuara në nenin 12 të këtij vendimi;</w:t>
      </w:r>
    </w:p>
    <w:p w14:paraId="1DDE445D" w14:textId="77777777" w:rsidR="00767CD0" w:rsidRPr="00121712" w:rsidRDefault="00C51AE9" w:rsidP="00F635BF">
      <w:pPr>
        <w:numPr>
          <w:ilvl w:val="0"/>
          <w:numId w:val="107"/>
        </w:numPr>
        <w:spacing w:after="0"/>
        <w:contextualSpacing/>
        <w:jc w:val="both"/>
        <w:rPr>
          <w:rFonts w:ascii="Times New Roman" w:eastAsia="Times New Roman" w:hAnsi="Times New Roman" w:cs="Times New Roman"/>
          <w:kern w:val="0"/>
          <w14:ligatures w14:val="none"/>
        </w:rPr>
      </w:pPr>
      <w:r w:rsidRPr="00121712">
        <w:rPr>
          <w:rFonts w:ascii="Times New Roman" w:eastAsia="Times New Roman" w:hAnsi="Times New Roman" w:cs="Times New Roman"/>
          <w:kern w:val="0"/>
          <w14:ligatures w14:val="none"/>
        </w:rPr>
        <w:t>nuk përmbushen kërkesat për përmbajtjen minimale të materialit të ricikluar në ambalazhet plastike, të përcaktuara në nenin 13 të këtij vendimi.</w:t>
      </w:r>
    </w:p>
    <w:p w14:paraId="72F168CB" w14:textId="77777777" w:rsidR="00767CD0" w:rsidRPr="00C51AE9" w:rsidRDefault="00767CD0" w:rsidP="00847211">
      <w:pPr>
        <w:spacing w:after="0"/>
        <w:ind w:left="180"/>
        <w:jc w:val="both"/>
        <w:rPr>
          <w:rFonts w:ascii="Times New Roman" w:eastAsia="Times New Roman" w:hAnsi="Times New Roman" w:cs="Times New Roman"/>
          <w:kern w:val="0"/>
          <w14:ligatures w14:val="none"/>
        </w:rPr>
      </w:pPr>
    </w:p>
    <w:p w14:paraId="324E18C0" w14:textId="77777777" w:rsidR="00767CD0" w:rsidRPr="00C51AE9" w:rsidRDefault="00C51AE9" w:rsidP="00F635BF">
      <w:pPr>
        <w:numPr>
          <w:ilvl w:val="0"/>
          <w:numId w:val="108"/>
        </w:numPr>
        <w:tabs>
          <w:tab w:val="left" w:pos="810"/>
        </w:tabs>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 se mospërputhshmëria administrative e përmendur në shkronjat nga "a" deri në "f", të pikës 1, të këtij neni, vazhdon, autoritetet e mbikëqyrjes së tregut marrin të gjitha masat e përshtatshme për të ndaluar vënien e ambalazhit në dispozicion në treg, ose për të siguruar tërheqjen dhe ndalimin e tregtimit të tij.</w:t>
      </w:r>
    </w:p>
    <w:p w14:paraId="791851E4" w14:textId="77777777" w:rsidR="00767CD0" w:rsidRPr="00C51AE9" w:rsidRDefault="00C51AE9" w:rsidP="00F635BF">
      <w:pPr>
        <w:numPr>
          <w:ilvl w:val="0"/>
          <w:numId w:val="108"/>
        </w:numPr>
        <w:tabs>
          <w:tab w:val="left" w:pos="810"/>
        </w:tabs>
        <w:spacing w:after="0"/>
        <w:contextualSpacing/>
        <w:jc w:val="both"/>
        <w:rPr>
          <w:rFonts w:ascii="Times New Roman" w:eastAsia="Times New Roman" w:hAnsi="Times New Roman" w:cs="Times New Roman"/>
          <w:kern w:val="0"/>
          <w14:ligatures w14:val="none"/>
        </w:rPr>
      </w:pPr>
      <w:r w:rsidRPr="00C51AE9">
        <w:rPr>
          <w:rFonts w:ascii="Times New Roman" w:hAnsi="Times New Roman" w:cs="Times New Roman"/>
        </w:rPr>
        <w:lastRenderedPageBreak/>
        <w:t>Në rast se mospërputhshmëria administrative e përmendur në shkronjat nga "g" deri në "n", të pikës 1, të këtij neni, vazhdon, struktura përgjegjëse për inspektimin mjedisor, në përputhje me legjislacionin për inspektimin në Republikën e Shqipërisë, vendos sanksione dhe masa ndëshkimore administrative.</w:t>
      </w:r>
    </w:p>
    <w:p w14:paraId="350A975B" w14:textId="77777777" w:rsidR="00767CD0" w:rsidRPr="00C51AE9" w:rsidRDefault="00C51AE9">
      <w:pPr>
        <w:spacing w:beforeAutospacing="1" w:afterAutospacing="1" w:line="240" w:lineRule="auto"/>
        <w:jc w:val="center"/>
        <w:rPr>
          <w:rFonts w:ascii="Times New Roman" w:eastAsia="Times New Roman" w:hAnsi="Times New Roman" w:cs="Times New Roman"/>
          <w:kern w:val="0"/>
          <w14:ligatures w14:val="none"/>
        </w:rPr>
      </w:pPr>
      <w:r w:rsidRPr="00C51AE9">
        <w:rPr>
          <w:rFonts w:ascii="Times New Roman" w:eastAsia="Times New Roman" w:hAnsi="Times New Roman" w:cs="Times New Roman"/>
          <w:bCs/>
          <w:kern w:val="0"/>
          <w14:ligatures w14:val="none"/>
        </w:rPr>
        <w:t xml:space="preserve">Neni 69 </w:t>
      </w:r>
      <w:r w:rsidRPr="00C51AE9">
        <w:rPr>
          <w:rFonts w:ascii="Times New Roman" w:eastAsia="Times New Roman" w:hAnsi="Times New Roman" w:cs="Times New Roman"/>
          <w:kern w:val="0"/>
          <w14:ligatures w14:val="none"/>
        </w:rPr>
        <w:br/>
      </w:r>
      <w:r w:rsidRPr="009B7AD1">
        <w:rPr>
          <w:rFonts w:ascii="Times New Roman" w:eastAsia="Times New Roman" w:hAnsi="Times New Roman" w:cs="Times New Roman"/>
          <w:b/>
          <w:kern w:val="0"/>
          <w14:ligatures w14:val="none"/>
        </w:rPr>
        <w:t>Prokurimi publik i gjelbër</w:t>
      </w:r>
    </w:p>
    <w:p w14:paraId="725D5DE4" w14:textId="77777777" w:rsidR="00767CD0" w:rsidRPr="00C51AE9" w:rsidRDefault="00C51AE9" w:rsidP="00847211">
      <w:pPr>
        <w:ind w:left="630" w:hanging="270"/>
        <w:jc w:val="both"/>
        <w:rPr>
          <w:rFonts w:ascii="Times New Roman" w:hAnsi="Times New Roman" w:cs="Times New Roman"/>
        </w:rPr>
      </w:pPr>
      <w:r w:rsidRPr="00C51AE9">
        <w:rPr>
          <w:rFonts w:ascii="Times New Roman" w:hAnsi="Times New Roman" w:cs="Times New Roman"/>
        </w:rPr>
        <w:t xml:space="preserve">1. Autoritetet dhe entet </w:t>
      </w:r>
      <w:proofErr w:type="spellStart"/>
      <w:r w:rsidRPr="00C51AE9">
        <w:rPr>
          <w:rFonts w:ascii="Times New Roman" w:hAnsi="Times New Roman" w:cs="Times New Roman"/>
        </w:rPr>
        <w:t>kontraktore</w:t>
      </w:r>
      <w:proofErr w:type="spellEnd"/>
      <w:r w:rsidRPr="00C51AE9">
        <w:rPr>
          <w:rFonts w:ascii="Times New Roman" w:hAnsi="Times New Roman" w:cs="Times New Roman"/>
        </w:rPr>
        <w:t>, sipas ligjit nr. 162/2020 “Për prokurimin publik”, zbatojnë kërkesat minimale të detyrueshme të prokurimit publik të gjelbër për kontratat publike në të cilat ambalazhet, produktet e ambalazhuara ose shërbimet që përdorin ambalazhe ose produkte të ambalazhuara përbëjnë më shumë se 30 % të vlerës së përllogaritur të kontratës. Pjesa që u takon ambalazheve, produkteve të ambalazhuara ose shërbimeve që përdorin ambalazhe llogaritet si raport ndërmjet vlerës së zërave përkatës të preventivit ose të fondit limit dhe vlerës së përllogaritur të kontratës, të përcaktuar sipas ligjit nr. 162/2020 "Për prokurimin publik".</w:t>
      </w:r>
    </w:p>
    <w:p w14:paraId="02E7D9E2"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t>2. Kërkesat minimale të detyrueshme të pikës 1 miratohen me udhëzim të përbashkët të ministrit dhe të Agjencisë së Prokurimit Publik, jo më vonë se data 12.2.2030.</w:t>
      </w:r>
    </w:p>
    <w:p w14:paraId="139E75DE"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t>3. Kërkesat e pikës 1 zbatohen për procedurat e prokurimit që fillojnë 12 muaj ose më shumë pas hyrjes në fuqi të udhëzimit të pikës 2.</w:t>
      </w:r>
    </w:p>
    <w:p w14:paraId="411C730F"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t>4. Kërkesat minimale të detyrueshme mbështeten në kërkesat e neneve 11 deri në 17 të këtij vendimi dhe marrin parasysh:</w:t>
      </w:r>
    </w:p>
    <w:p w14:paraId="7B76D3C6"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a. vlerën dhe vëllimin e kontratave publike të lidhura për ambalazhe, produkte të ambalazhuara ose shërbime që i përdorin ato;</w:t>
      </w:r>
    </w:p>
    <w:p w14:paraId="18A73E28"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 xml:space="preserve">b. mundësinë ekonomike që autoritetet dhe entet </w:t>
      </w:r>
      <w:proofErr w:type="spellStart"/>
      <w:r w:rsidRPr="00E00185">
        <w:rPr>
          <w:rFonts w:ascii="Times New Roman" w:hAnsi="Times New Roman" w:cs="Times New Roman"/>
        </w:rPr>
        <w:t>kontraktore</w:t>
      </w:r>
      <w:proofErr w:type="spellEnd"/>
      <w:r w:rsidRPr="00E00185">
        <w:rPr>
          <w:rFonts w:ascii="Times New Roman" w:hAnsi="Times New Roman" w:cs="Times New Roman"/>
        </w:rPr>
        <w:t xml:space="preserve"> të blejnë ambalazhe ose produkte të ambalazhuara më të qëndrueshme nga pikëpamja mjedisore, pa kosto </w:t>
      </w:r>
      <w:proofErr w:type="spellStart"/>
      <w:r w:rsidRPr="00E00185">
        <w:rPr>
          <w:rFonts w:ascii="Times New Roman" w:hAnsi="Times New Roman" w:cs="Times New Roman"/>
        </w:rPr>
        <w:t>joproporcionale</w:t>
      </w:r>
      <w:proofErr w:type="spellEnd"/>
      <w:r w:rsidRPr="00E00185">
        <w:rPr>
          <w:rFonts w:ascii="Times New Roman" w:hAnsi="Times New Roman" w:cs="Times New Roman"/>
        </w:rPr>
        <w:t>;</w:t>
      </w:r>
    </w:p>
    <w:p w14:paraId="6308354F"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c. gjendjen e tregut për këto ambalazhe dhe produkte;</w:t>
      </w:r>
    </w:p>
    <w:p w14:paraId="4CF1FB0E"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ç.  ndikimin e kërkesave në konkurrencë;</w:t>
      </w:r>
    </w:p>
    <w:p w14:paraId="7A391C61"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d. detyrimet për menaxhimin e mbetjeve të ambalazheve.</w:t>
      </w:r>
    </w:p>
    <w:p w14:paraId="7C029C56" w14:textId="77777777" w:rsidR="00847211" w:rsidRPr="00E00185" w:rsidRDefault="00847211" w:rsidP="00847211">
      <w:pPr>
        <w:pStyle w:val="NoSpacing"/>
        <w:ind w:left="630" w:hanging="270"/>
        <w:jc w:val="both"/>
        <w:rPr>
          <w:rFonts w:ascii="Times New Roman" w:hAnsi="Times New Roman" w:cs="Times New Roman"/>
        </w:rPr>
      </w:pPr>
    </w:p>
    <w:p w14:paraId="0B348D0D"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t>5. Kërkesat minimale të detyrueshme mund të kenë formën e:</w:t>
      </w:r>
    </w:p>
    <w:p w14:paraId="7A13DE4C"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a. specifikimeve teknike;</w:t>
      </w:r>
    </w:p>
    <w:p w14:paraId="6743FAC0" w14:textId="77777777" w:rsidR="00847211" w:rsidRPr="00E00185" w:rsidRDefault="00847211" w:rsidP="00847211">
      <w:pPr>
        <w:pStyle w:val="NoSpacing"/>
        <w:ind w:left="630" w:hanging="270"/>
        <w:jc w:val="both"/>
        <w:rPr>
          <w:rFonts w:ascii="Times New Roman" w:hAnsi="Times New Roman" w:cs="Times New Roman"/>
        </w:rPr>
      </w:pPr>
      <w:r w:rsidRPr="00E00185">
        <w:rPr>
          <w:rFonts w:ascii="Times New Roman" w:hAnsi="Times New Roman" w:cs="Times New Roman"/>
        </w:rPr>
        <w:br/>
        <w:t>b.  kritereve të përzgjedhjes;</w:t>
      </w:r>
    </w:p>
    <w:p w14:paraId="35F77C61" w14:textId="77777777" w:rsidR="00847211" w:rsidRPr="00E00185" w:rsidRDefault="00847211" w:rsidP="00847211">
      <w:pPr>
        <w:pStyle w:val="NoSpacing"/>
        <w:ind w:left="630"/>
        <w:rPr>
          <w:rFonts w:ascii="Times New Roman" w:hAnsi="Times New Roman" w:cs="Times New Roman"/>
        </w:rPr>
      </w:pPr>
      <w:r w:rsidRPr="00E00185">
        <w:rPr>
          <w:rFonts w:ascii="Times New Roman" w:hAnsi="Times New Roman" w:cs="Times New Roman"/>
        </w:rPr>
        <w:br/>
        <w:t>c. kushteve të zbatimit të kontratës</w:t>
      </w:r>
    </w:p>
    <w:p w14:paraId="726B6CE7" w14:textId="77777777" w:rsidR="00767CD0" w:rsidRPr="00C51AE9" w:rsidRDefault="00C51AE9">
      <w:pPr>
        <w:ind w:left="720"/>
        <w:jc w:val="both"/>
        <w:rPr>
          <w:rFonts w:ascii="Times New Roman" w:hAnsi="Times New Roman" w:cs="Times New Roman"/>
        </w:rPr>
      </w:pPr>
      <w:r w:rsidRPr="00C51AE9">
        <w:rPr>
          <w:rFonts w:ascii="Times New Roman" w:hAnsi="Times New Roman" w:cs="Times New Roman"/>
        </w:rPr>
        <w:t>.</w:t>
      </w:r>
    </w:p>
    <w:p w14:paraId="1E3DC7B1" w14:textId="77777777" w:rsidR="00767CD0" w:rsidRPr="00C51AE9" w:rsidRDefault="00C51AE9" w:rsidP="00847211">
      <w:pPr>
        <w:jc w:val="both"/>
        <w:rPr>
          <w:rFonts w:ascii="Times New Roman" w:hAnsi="Times New Roman" w:cs="Times New Roman"/>
        </w:rPr>
      </w:pPr>
      <w:r w:rsidRPr="00C51AE9">
        <w:rPr>
          <w:rFonts w:ascii="Times New Roman" w:hAnsi="Times New Roman" w:cs="Times New Roman"/>
        </w:rPr>
        <w:t xml:space="preserve">6. Autoritetet dhe entet </w:t>
      </w:r>
      <w:proofErr w:type="spellStart"/>
      <w:r w:rsidRPr="00C51AE9">
        <w:rPr>
          <w:rFonts w:ascii="Times New Roman" w:hAnsi="Times New Roman" w:cs="Times New Roman"/>
        </w:rPr>
        <w:t>kontraktore</w:t>
      </w:r>
      <w:proofErr w:type="spellEnd"/>
      <w:r w:rsidRPr="00C51AE9">
        <w:rPr>
          <w:rFonts w:ascii="Times New Roman" w:hAnsi="Times New Roman" w:cs="Times New Roman"/>
        </w:rPr>
        <w:t xml:space="preserve"> mund të shmangen nga kërkesat e pikës 1 vetëm në raste të justifikuara, për arsye të sigurisë publike ose të shëndetit publik, ose kur zbatimi i tyre do të shkaktonte vështirësi teknike të pazgjidhshme. Arsyet dokumentohen në dosjen e prokurimit.</w:t>
      </w:r>
    </w:p>
    <w:p w14:paraId="432288D3"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lastRenderedPageBreak/>
        <w:t>Neni 70</w:t>
      </w:r>
    </w:p>
    <w:p w14:paraId="1EE7D0FC"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Sanksionet</w:t>
      </w:r>
    </w:p>
    <w:p w14:paraId="3E490E37"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Shkeljet e dispozitave të këtij vendimi, kur nuk përbëjnë vepër penale, përbëjnë kundërvajtje administrative dhe dënohen sipas dispozitave të ligjit nr. 57/2025 “Për menaxhimin e integruar të mbetjeve” dhe të ligjit nr. 74/2025 </w:t>
      </w:r>
      <w:r w:rsidRPr="00C51AE9">
        <w:rPr>
          <w:rFonts w:ascii="Times New Roman" w:hAnsi="Times New Roman" w:cs="Times New Roman"/>
          <w:bCs/>
        </w:rPr>
        <w:t xml:space="preserve">“Për përgjegjësitë e zgjeruara të subjekteve prodhuese të produkteve që </w:t>
      </w:r>
      <w:proofErr w:type="spellStart"/>
      <w:r w:rsidRPr="00C51AE9">
        <w:rPr>
          <w:rFonts w:ascii="Times New Roman" w:hAnsi="Times New Roman" w:cs="Times New Roman"/>
          <w:bCs/>
        </w:rPr>
        <w:t>gjenerojnë</w:t>
      </w:r>
      <w:proofErr w:type="spellEnd"/>
      <w:r w:rsidRPr="00C51AE9">
        <w:rPr>
          <w:rFonts w:ascii="Times New Roman" w:hAnsi="Times New Roman" w:cs="Times New Roman"/>
          <w:bCs/>
        </w:rPr>
        <w:t xml:space="preserve"> mbetje”</w:t>
      </w:r>
      <w:r w:rsidRPr="00C51AE9">
        <w:rPr>
          <w:rFonts w:ascii="Times New Roman" w:hAnsi="Times New Roman" w:cs="Times New Roman"/>
          <w:b/>
        </w:rPr>
        <w:t>.</w:t>
      </w:r>
    </w:p>
    <w:p w14:paraId="13B33670" w14:textId="77777777" w:rsidR="00767CD0" w:rsidRPr="00C51AE9" w:rsidRDefault="00C51AE9">
      <w:pPr>
        <w:jc w:val="center"/>
        <w:rPr>
          <w:rFonts w:ascii="Times New Roman" w:hAnsi="Times New Roman" w:cs="Times New Roman"/>
        </w:rPr>
      </w:pPr>
      <w:r w:rsidRPr="00847211">
        <w:rPr>
          <w:rFonts w:ascii="Times New Roman" w:hAnsi="Times New Roman" w:cs="Times New Roman"/>
        </w:rPr>
        <w:t>Neni 71</w:t>
      </w:r>
    </w:p>
    <w:p w14:paraId="5D3C3416"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t>Institucionet shtetërore përgjegjëse</w:t>
      </w:r>
    </w:p>
    <w:p w14:paraId="69A7222E" w14:textId="77777777" w:rsidR="00767CD0" w:rsidRPr="00C51AE9" w:rsidRDefault="00C51AE9">
      <w:pPr>
        <w:ind w:left="60"/>
        <w:jc w:val="both"/>
        <w:rPr>
          <w:rFonts w:ascii="Times New Roman" w:hAnsi="Times New Roman" w:cs="Times New Roman"/>
        </w:rPr>
      </w:pPr>
      <w:r w:rsidRPr="00C51AE9">
        <w:rPr>
          <w:rFonts w:ascii="Times New Roman" w:hAnsi="Times New Roman" w:cs="Times New Roman"/>
        </w:rPr>
        <w:t>1 Ministria përgjegjëse për mjedisin merr masa për organizimin dhe mbështetjen e fushatave të informimit dhe ndërgjegjësimit të publikut për reduktimin e konsumit të qeseve mbajtëse plastike dhe ndikimet e tyre në mjedis, në bashkëpunim me Agjencinë Kombëtare të Mjedisit, njësitë e vetëqeverisjes vendore dhe subjektet ekonomike përkatëse.</w:t>
      </w:r>
    </w:p>
    <w:p w14:paraId="4BD73805" w14:textId="77777777" w:rsidR="00767CD0" w:rsidRPr="00C51AE9" w:rsidRDefault="00C51AE9">
      <w:p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2. Agjencia Kombëtare e Mjedisit është institucioni përgjegjës për zbatimin e masave të hollësishme për ndalimin e prodhimit të qeseve  mbajtëse plastike dhe monitorimin e zbatimit të kërkesave për ambalazhet, si më poshtë vijon:</w:t>
      </w:r>
    </w:p>
    <w:p w14:paraId="1A8CF495"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organizon dhe zhvillon fushata </w:t>
      </w:r>
      <w:proofErr w:type="spellStart"/>
      <w:r w:rsidRPr="00C51AE9">
        <w:rPr>
          <w:rFonts w:ascii="Times New Roman" w:eastAsia="Times New Roman" w:hAnsi="Times New Roman" w:cs="Times New Roman"/>
          <w:kern w:val="0"/>
          <w14:ligatures w14:val="none"/>
        </w:rPr>
        <w:t>ndërgjegjësuese</w:t>
      </w:r>
      <w:proofErr w:type="spellEnd"/>
      <w:r w:rsidRPr="00C51AE9">
        <w:rPr>
          <w:rFonts w:ascii="Times New Roman" w:eastAsia="Times New Roman" w:hAnsi="Times New Roman" w:cs="Times New Roman"/>
          <w:kern w:val="0"/>
          <w14:ligatures w14:val="none"/>
        </w:rPr>
        <w:t xml:space="preserve"> mbi ndalimin e prodhimit, përdorimit, importit dhe futjes së qeseve  mbajtëse plastike, qeseve plastike të </w:t>
      </w:r>
      <w:proofErr w:type="spellStart"/>
      <w:r w:rsidRPr="00C51AE9">
        <w:rPr>
          <w:rFonts w:ascii="Times New Roman" w:eastAsia="Times New Roman" w:hAnsi="Times New Roman" w:cs="Times New Roman"/>
          <w:kern w:val="0"/>
          <w14:ligatures w14:val="none"/>
        </w:rPr>
        <w:t>oxo-degradueshme</w:t>
      </w:r>
      <w:proofErr w:type="spellEnd"/>
      <w:r w:rsidRPr="00C51AE9">
        <w:rPr>
          <w:rFonts w:ascii="Times New Roman" w:eastAsia="Times New Roman" w:hAnsi="Times New Roman" w:cs="Times New Roman"/>
          <w:kern w:val="0"/>
          <w14:ligatures w14:val="none"/>
        </w:rPr>
        <w:t xml:space="preserve"> apo </w:t>
      </w:r>
      <w:proofErr w:type="spellStart"/>
      <w:r w:rsidRPr="00C51AE9">
        <w:rPr>
          <w:rFonts w:ascii="Times New Roman" w:eastAsia="Times New Roman" w:hAnsi="Times New Roman" w:cs="Times New Roman"/>
          <w:kern w:val="0"/>
          <w14:ligatures w14:val="none"/>
        </w:rPr>
        <w:t>oxo-biodegradueshme</w:t>
      </w:r>
      <w:proofErr w:type="spellEnd"/>
      <w:r w:rsidRPr="00C51AE9">
        <w:rPr>
          <w:rFonts w:ascii="Times New Roman" w:eastAsia="Times New Roman" w:hAnsi="Times New Roman" w:cs="Times New Roman"/>
          <w:kern w:val="0"/>
          <w14:ligatures w14:val="none"/>
        </w:rPr>
        <w:t>, si dhe për kërkesat e zbatueshme për ambalazhet;</w:t>
      </w:r>
    </w:p>
    <w:p w14:paraId="2C8FA6A9"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njofton menjëherë subjektet e pajisura me leje mjedisore për prodhimin e qeseve plastike mbi ndalimin e prodhimit të tyre sipas legjislacionit në fuqi;</w:t>
      </w:r>
    </w:p>
    <w:p w14:paraId="1DF97385"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inspekton dhe kontrollon subjektet që prodhojnë qese plastike për përmbushjen e kritereve të prodhimit, sipas përcaktimeve të këtij vendimi;</w:t>
      </w:r>
    </w:p>
    <w:p w14:paraId="05D16BCB"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rastet kur subjektet nuk respektojnë kërkesat e parashikuara në këtë vendim, procedon me sekuestrimin dhe vendosjen e masave administrative sipas legjislacionit në fuqi;</w:t>
      </w:r>
    </w:p>
    <w:p w14:paraId="4E21003F"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merr masa për sigurimin e transportit dhe të ambienteve të përshtatshme për ruajtjen e përkohshme dhe magazinimin e qeseve plastike dhe ambalazheve të sekuestruara;</w:t>
      </w:r>
    </w:p>
    <w:p w14:paraId="63133EE3"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merr masa për vijimin e procedurës së riciklimit ose trajtimit të qeseve plastike dhe ambalazheve të sekuestruara, sipas legjislacionit në fuqi;</w:t>
      </w:r>
    </w:p>
    <w:p w14:paraId="746067AC"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krijon dhe administron regjistra të </w:t>
      </w:r>
      <w:proofErr w:type="spellStart"/>
      <w:r w:rsidRPr="00C51AE9">
        <w:rPr>
          <w:rFonts w:ascii="Times New Roman" w:eastAsia="Times New Roman" w:hAnsi="Times New Roman" w:cs="Times New Roman"/>
          <w:kern w:val="0"/>
          <w14:ligatures w14:val="none"/>
        </w:rPr>
        <w:t>të</w:t>
      </w:r>
      <w:proofErr w:type="spellEnd"/>
      <w:r w:rsidRPr="00C51AE9">
        <w:rPr>
          <w:rFonts w:ascii="Times New Roman" w:eastAsia="Times New Roman" w:hAnsi="Times New Roman" w:cs="Times New Roman"/>
          <w:kern w:val="0"/>
          <w14:ligatures w14:val="none"/>
        </w:rPr>
        <w:t xml:space="preserve"> dhënave për masat e marra ndaj subjekteve, sasitë e sekuestruara dhe informacionin e raportuar nga institucionet përgjegjëse;</w:t>
      </w:r>
    </w:p>
    <w:p w14:paraId="31763030" w14:textId="77777777" w:rsidR="00767CD0" w:rsidRPr="00C51AE9" w:rsidRDefault="00C51AE9" w:rsidP="00F635BF">
      <w:pPr>
        <w:numPr>
          <w:ilvl w:val="0"/>
          <w:numId w:val="110"/>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monitoron zbatimin e kërkesave të legjislacionit për ambalazhet dhe mbetjet e ambalazheve, administron regjistrat dhe të dhënat përkatëse dhe bashkëpunon me strukturat përgjegjëse të inspektimit, mbikëqyrjes së tregut dhe kontrollit doganor për verifikimin e përputhshmërisë së ambalazheve me kërkesat e legjislacionit në fuqi.</w:t>
      </w:r>
    </w:p>
    <w:p w14:paraId="1E238146" w14:textId="77777777" w:rsidR="00767CD0" w:rsidRPr="00C51AE9" w:rsidRDefault="00C51AE9">
      <w:pPr>
        <w:spacing w:after="0" w:line="240" w:lineRule="auto"/>
        <w:ind w:left="72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3. </w:t>
      </w:r>
      <w:r w:rsidRPr="00C51AE9">
        <w:rPr>
          <w:rFonts w:ascii="Times New Roman" w:eastAsiaTheme="majorEastAsia" w:hAnsi="Times New Roman" w:cs="Times New Roman"/>
          <w:bCs/>
          <w:kern w:val="0"/>
          <w14:ligatures w14:val="none"/>
        </w:rPr>
        <w:t xml:space="preserve">Inspektorati Qendror i Mbikëqyrjes së Tregut </w:t>
      </w:r>
      <w:r w:rsidRPr="00C51AE9">
        <w:rPr>
          <w:rFonts w:ascii="Times New Roman" w:eastAsia="Times New Roman" w:hAnsi="Times New Roman" w:cs="Times New Roman"/>
          <w:kern w:val="0"/>
          <w14:ligatures w14:val="none"/>
        </w:rPr>
        <w:t>është institucioni përgjegjës për zbatimin e masave të hollësishme për ndalimin e përdorimit të qeseve  mbajtëse plastike dhe mbikëqyrjen e përputhshmërisë së ambalazheve me kërkesat e këtij vendimi, si më poshtë vijon:</w:t>
      </w:r>
    </w:p>
    <w:p w14:paraId="53231A1E"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mbikëqyr dhe kontrollon subjektet që përdorin, prodhojnë, importojnë, shpërndajnë dhe/ose i ofrojnë konsumatorit gjatë veprimtarisë tregtare qeset  mbajtëse plastike, qeset plastike të </w:t>
      </w:r>
      <w:proofErr w:type="spellStart"/>
      <w:r w:rsidRPr="00C51AE9">
        <w:rPr>
          <w:rFonts w:ascii="Times New Roman" w:eastAsia="Times New Roman" w:hAnsi="Times New Roman" w:cs="Times New Roman"/>
          <w:kern w:val="0"/>
          <w14:ligatures w14:val="none"/>
        </w:rPr>
        <w:t>oxo-degradueshme</w:t>
      </w:r>
      <w:proofErr w:type="spellEnd"/>
      <w:r w:rsidRPr="00C51AE9">
        <w:rPr>
          <w:rFonts w:ascii="Times New Roman" w:eastAsia="Times New Roman" w:hAnsi="Times New Roman" w:cs="Times New Roman"/>
          <w:kern w:val="0"/>
          <w14:ligatures w14:val="none"/>
        </w:rPr>
        <w:t xml:space="preserve"> dhe </w:t>
      </w:r>
      <w:proofErr w:type="spellStart"/>
      <w:r w:rsidRPr="00C51AE9">
        <w:rPr>
          <w:rFonts w:ascii="Times New Roman" w:eastAsia="Times New Roman" w:hAnsi="Times New Roman" w:cs="Times New Roman"/>
          <w:kern w:val="0"/>
          <w14:ligatures w14:val="none"/>
        </w:rPr>
        <w:t>oxo-</w:t>
      </w:r>
      <w:r w:rsidRPr="00C51AE9">
        <w:rPr>
          <w:rFonts w:ascii="Times New Roman" w:eastAsia="Times New Roman" w:hAnsi="Times New Roman" w:cs="Times New Roman"/>
          <w:kern w:val="0"/>
          <w14:ligatures w14:val="none"/>
        </w:rPr>
        <w:lastRenderedPageBreak/>
        <w:t>biodegradueshme</w:t>
      </w:r>
      <w:proofErr w:type="spellEnd"/>
      <w:r w:rsidRPr="00C51AE9">
        <w:rPr>
          <w:rFonts w:ascii="Times New Roman" w:eastAsia="Times New Roman" w:hAnsi="Times New Roman" w:cs="Times New Roman"/>
          <w:kern w:val="0"/>
          <w14:ligatures w14:val="none"/>
        </w:rPr>
        <w:t>, si dhe ambalazhet dhe produktet e ambalazhuara, nëpërmjet kontrollit dokumentar dhe fizik të tyre, sipas kritereve ligjore të përcaktuara në këtë vendim;</w:t>
      </w:r>
    </w:p>
    <w:p w14:paraId="04ADD9E0"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inspekton me mjete të certifikuara për verifikimin e parametrave të trashësisë së mureve të qeses plastike dhe, sipas rastit, të kërkesave teknike të përcaktuara për ambalazhet;</w:t>
      </w:r>
    </w:p>
    <w:p w14:paraId="1C8C2C36"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inspekton subjektet për zbatimin e kërkesave të këtij vendimi, për të cilat ka marrë njoftim nga autoriteti doganor sipas parashikimeve të pikës 4 të këtij neni, dhe njofton autoritetin doganor, sa më shpejt të jetë e mundur, por jo më vonë se 48 orë, mbi vendimmarrjen për subjektet dhe mallrat e inspektuara;</w:t>
      </w:r>
    </w:p>
    <w:p w14:paraId="4888D22F"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rastet kur subjektet nuk respektojnë kërkesat e parashikuara në këtë vendim, Inspektorati Shtetëror i Mbikëqyrjes së Tregut - ndalon tregtimin ose vendosjen në treg të qeseve plastike dhe ambalazheve, procedon me sekuestrimin dhe vendosjen e masave administrative sipas legjislacionit në fuqi;</w:t>
      </w:r>
    </w:p>
    <w:p w14:paraId="43F42240"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njofton në mënyrë të menjëhershme Agjencinë Kombëtare të Mjedisit për marrjen e masave për ruajtjen në ambientet e përcaktuara për këtë qëllim të qeseve plastike dhe ambalazheve të sekuestruara deri në marrjen e vendimit përfundimtar të inspektimit;</w:t>
      </w:r>
    </w:p>
    <w:p w14:paraId="07D2CE8A"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njofton Agjencinë Kombëtare të Mjedisit për vendimin përfundimtar për subjektet e inspektuara;</w:t>
      </w:r>
    </w:p>
    <w:p w14:paraId="3D4A3D14"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mbikëqyr dhe kontrollon përputhshmërinë e ambalazheve dhe produkteve të ambalazhuara të vendosura në treg me kërkesat e përcaktuara në këtë vendim dhe në legjislacionin në fuqi për ambalazhet dhe mbetjet e ambalazheve, përfshirë kërkesat për përbërjen, etiketimin, ripërdorimin, </w:t>
      </w:r>
      <w:proofErr w:type="spellStart"/>
      <w:r w:rsidRPr="00C51AE9">
        <w:rPr>
          <w:rFonts w:ascii="Times New Roman" w:eastAsia="Times New Roman" w:hAnsi="Times New Roman" w:cs="Times New Roman"/>
          <w:kern w:val="0"/>
          <w14:ligatures w14:val="none"/>
        </w:rPr>
        <w:t>riciklueshmërinë</w:t>
      </w:r>
      <w:proofErr w:type="spellEnd"/>
      <w:r w:rsidRPr="00C51AE9">
        <w:rPr>
          <w:rFonts w:ascii="Times New Roman" w:eastAsia="Times New Roman" w:hAnsi="Times New Roman" w:cs="Times New Roman"/>
          <w:kern w:val="0"/>
          <w14:ligatures w14:val="none"/>
        </w:rPr>
        <w:t>, përmbajtjen e materialit të ricikluar dhe kufizimet për substancat e rrezikshme.</w:t>
      </w:r>
    </w:p>
    <w:p w14:paraId="641603E7" w14:textId="77777777" w:rsidR="00767CD0" w:rsidRPr="00C51AE9" w:rsidRDefault="00C51AE9" w:rsidP="00F635BF">
      <w:pPr>
        <w:numPr>
          <w:ilvl w:val="0"/>
          <w:numId w:val="109"/>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 kontrollon dhe verifikon mospërdorimin dhe kufizimet </w:t>
      </w:r>
      <w:proofErr w:type="spellStart"/>
      <w:r w:rsidRPr="00C51AE9">
        <w:rPr>
          <w:rFonts w:ascii="Times New Roman" w:eastAsia="Times New Roman" w:hAnsi="Times New Roman" w:cs="Times New Roman"/>
          <w:kern w:val="0"/>
          <w14:ligatures w14:val="none"/>
        </w:rPr>
        <w:t>strikte</w:t>
      </w:r>
      <w:proofErr w:type="spellEnd"/>
      <w:r w:rsidRPr="00C51AE9">
        <w:rPr>
          <w:rFonts w:ascii="Times New Roman" w:eastAsia="Times New Roman" w:hAnsi="Times New Roman" w:cs="Times New Roman"/>
          <w:kern w:val="0"/>
          <w14:ligatures w14:val="none"/>
        </w:rPr>
        <w:t xml:space="preserve"> të përqendrimit të substancave </w:t>
      </w:r>
      <w:proofErr w:type="spellStart"/>
      <w:r w:rsidRPr="00C51AE9">
        <w:rPr>
          <w:rFonts w:ascii="Times New Roman" w:eastAsia="Times New Roman" w:hAnsi="Times New Roman" w:cs="Times New Roman"/>
          <w:kern w:val="0"/>
          <w14:ligatures w14:val="none"/>
        </w:rPr>
        <w:t>alkile</w:t>
      </w:r>
      <w:proofErr w:type="spellEnd"/>
      <w:r w:rsidRPr="00C51AE9">
        <w:rPr>
          <w:rFonts w:ascii="Times New Roman" w:eastAsia="Times New Roman" w:hAnsi="Times New Roman" w:cs="Times New Roman"/>
          <w:kern w:val="0"/>
          <w14:ligatures w14:val="none"/>
        </w:rPr>
        <w:t xml:space="preserve"> dhe </w:t>
      </w:r>
      <w:proofErr w:type="spellStart"/>
      <w:r w:rsidRPr="00C51AE9">
        <w:rPr>
          <w:rFonts w:ascii="Times New Roman" w:eastAsia="Times New Roman" w:hAnsi="Times New Roman" w:cs="Times New Roman"/>
          <w:kern w:val="0"/>
          <w14:ligatures w14:val="none"/>
        </w:rPr>
        <w:t>polifluorinuara</w:t>
      </w:r>
      <w:proofErr w:type="spellEnd"/>
      <w:r w:rsidRPr="00C51AE9">
        <w:rPr>
          <w:rFonts w:ascii="Times New Roman" w:eastAsia="Times New Roman" w:hAnsi="Times New Roman" w:cs="Times New Roman"/>
          <w:kern w:val="0"/>
          <w14:ligatures w14:val="none"/>
        </w:rPr>
        <w:t xml:space="preserve"> (PFAS) në ambalazhet që vendosen në treg, veçanërisht ato në kontakt me ushqimin, duke u bazuar në deklaratën e </w:t>
      </w:r>
      <w:proofErr w:type="spellStart"/>
      <w:r w:rsidRPr="00C51AE9">
        <w:rPr>
          <w:rFonts w:ascii="Times New Roman" w:eastAsia="Times New Roman" w:hAnsi="Times New Roman" w:cs="Times New Roman"/>
          <w:kern w:val="0"/>
          <w14:ligatures w14:val="none"/>
        </w:rPr>
        <w:t>konformitetit</w:t>
      </w:r>
      <w:proofErr w:type="spellEnd"/>
      <w:r w:rsidRPr="00C51AE9">
        <w:rPr>
          <w:rFonts w:ascii="Times New Roman" w:eastAsia="Times New Roman" w:hAnsi="Times New Roman" w:cs="Times New Roman"/>
          <w:kern w:val="0"/>
          <w14:ligatures w14:val="none"/>
        </w:rPr>
        <w:t xml:space="preserve"> dhe në raportet e testimit të lëshuara nga laboratorët e akredituar.</w:t>
      </w:r>
    </w:p>
    <w:p w14:paraId="3BA09461" w14:textId="77777777" w:rsidR="00767CD0" w:rsidRPr="00847211" w:rsidRDefault="00C51AE9" w:rsidP="00F635BF">
      <w:pPr>
        <w:pStyle w:val="ListParagraph"/>
        <w:numPr>
          <w:ilvl w:val="0"/>
          <w:numId w:val="108"/>
        </w:numPr>
        <w:spacing w:after="0" w:line="240" w:lineRule="auto"/>
        <w:jc w:val="both"/>
        <w:rPr>
          <w:rFonts w:ascii="Times New Roman" w:eastAsia="Times New Roman" w:hAnsi="Times New Roman" w:cs="Times New Roman"/>
          <w:kern w:val="0"/>
          <w14:ligatures w14:val="none"/>
        </w:rPr>
      </w:pPr>
      <w:r w:rsidRPr="00847211">
        <w:rPr>
          <w:rFonts w:ascii="Times New Roman" w:eastAsia="Times New Roman" w:hAnsi="Times New Roman" w:cs="Times New Roman"/>
          <w:kern w:val="0"/>
          <w14:ligatures w14:val="none"/>
        </w:rPr>
        <w:t>Drejtoria e Përgjithshme e Doganave është struktura kryesore përgjegjëse për ndalimin e importimit apo futjes në territorin e Republikës së Shqipërisë të qeseve plastike dhe për kontrollin e ambalazheve të importuara, duke marrë masat e hollësishme si më poshtë vijon:</w:t>
      </w:r>
    </w:p>
    <w:p w14:paraId="1A691074" w14:textId="77777777" w:rsidR="00767CD0" w:rsidRPr="00C51AE9" w:rsidRDefault="00C51AE9" w:rsidP="00F635BF">
      <w:pPr>
        <w:numPr>
          <w:ilvl w:val="0"/>
          <w:numId w:val="111"/>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mbikëqyr dhe kontrollon personat/subjektet që importojnë ose fusin në territorin e Republikës së Shqipërisë qese plastike dhe ambalazhe;</w:t>
      </w:r>
    </w:p>
    <w:p w14:paraId="4BA8E2FE" w14:textId="77777777" w:rsidR="00767CD0" w:rsidRPr="00C51AE9" w:rsidRDefault="00C51AE9" w:rsidP="00F635BF">
      <w:pPr>
        <w:numPr>
          <w:ilvl w:val="0"/>
          <w:numId w:val="111"/>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verifikon të dhënat e deklaruara nga operatorët ekonomikë për qeset plastike dhe ambalazhet;</w:t>
      </w:r>
    </w:p>
    <w:p w14:paraId="29191499" w14:textId="77777777" w:rsidR="00767CD0" w:rsidRPr="00C51AE9" w:rsidRDefault="00C51AE9" w:rsidP="00F635BF">
      <w:pPr>
        <w:numPr>
          <w:ilvl w:val="0"/>
          <w:numId w:val="111"/>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 dyshimi për mospërputhshmëri, njofton menjëherë Inspektoratin Shtetëror të Mbikëqyrjes së Tregut  për kryerjen e verifikimeve përkatëse;</w:t>
      </w:r>
    </w:p>
    <w:p w14:paraId="423801C1" w14:textId="77777777" w:rsidR="00767CD0" w:rsidRPr="00C51AE9" w:rsidRDefault="00C51AE9" w:rsidP="00F635BF">
      <w:pPr>
        <w:numPr>
          <w:ilvl w:val="0"/>
          <w:numId w:val="111"/>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në rast konstatimi se parametrat e verifikuar nuk përputhen me kërkesat e këtij vendimi, procedon me bllokimin e mallit dhe zbatimin e procedurave të parashikuara në legjislacionin doganor;</w:t>
      </w:r>
    </w:p>
    <w:p w14:paraId="79A83096" w14:textId="77777777" w:rsidR="00767CD0" w:rsidRPr="00C51AE9" w:rsidRDefault="00C51AE9" w:rsidP="00F635BF">
      <w:pPr>
        <w:numPr>
          <w:ilvl w:val="0"/>
          <w:numId w:val="111"/>
        </w:numPr>
        <w:spacing w:after="0" w:line="240" w:lineRule="auto"/>
        <w:ind w:left="108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verifikon, në bazë të dokumentacionit shoqërues dhe deklarimeve të operatorëve ekonomikë, përputhshmërinë e ambalazheve të importuara me kërkesat e këtij vendimi dhe të legjislacionit në fuqi për ambalazhet dhe mbetjet e ambalazheve dhe, në rast dyshimi për mospërputhshmëri, njofton autoritetet kompetente për kryerjen e verifikimeve të mëtejshme.</w:t>
      </w:r>
    </w:p>
    <w:p w14:paraId="445CE4C6" w14:textId="77777777" w:rsidR="00767CD0" w:rsidRPr="00C51AE9" w:rsidRDefault="00C51AE9">
      <w:pPr>
        <w:spacing w:beforeAutospacing="1" w:afterAutospacing="1" w:line="240" w:lineRule="auto"/>
        <w:jc w:val="both"/>
        <w:rPr>
          <w:rFonts w:ascii="Times New Roman" w:eastAsia="Times New Roman" w:hAnsi="Times New Roman" w:cs="Times New Roman"/>
          <w:kern w:val="0"/>
          <w14:ligatures w14:val="none"/>
        </w:rPr>
      </w:pPr>
      <w:r w:rsidRPr="00C51AE9">
        <w:t xml:space="preserve">5. </w:t>
      </w:r>
      <w:r w:rsidRPr="00C51AE9">
        <w:rPr>
          <w:rFonts w:ascii="Times New Roman" w:eastAsia="Times New Roman" w:hAnsi="Times New Roman" w:cs="Times New Roman"/>
          <w:kern w:val="0"/>
          <w14:ligatures w14:val="none"/>
        </w:rPr>
        <w:t xml:space="preserve">Struktura përgjegjëse për inspektimin në fushën e mjedisit kontrollon zbatimin e kërkesave të këtij vendimi, në përputhje me kompetencat e përcaktuara në ligjin nr. </w:t>
      </w:r>
      <w:r w:rsidRPr="00C51AE9">
        <w:rPr>
          <w:rFonts w:ascii="Times New Roman" w:eastAsia="Times New Roman" w:hAnsi="Times New Roman" w:cs="Times New Roman"/>
          <w:kern w:val="0"/>
          <w14:ligatures w14:val="none"/>
        </w:rPr>
        <w:lastRenderedPageBreak/>
        <w:t xml:space="preserve">57/2025, “Për menaxhimin e integruar të mbetjeve”, ligjin nr. 74/2025, “Për përgjegjësitë e zgjeruara të subjekteve prodhuese të produkteve që </w:t>
      </w:r>
      <w:proofErr w:type="spellStart"/>
      <w:r w:rsidRPr="00C51AE9">
        <w:rPr>
          <w:rFonts w:ascii="Times New Roman" w:eastAsia="Times New Roman" w:hAnsi="Times New Roman" w:cs="Times New Roman"/>
          <w:kern w:val="0"/>
          <w14:ligatures w14:val="none"/>
        </w:rPr>
        <w:t>gjenerojnë</w:t>
      </w:r>
      <w:proofErr w:type="spellEnd"/>
      <w:r w:rsidRPr="00C51AE9">
        <w:rPr>
          <w:rFonts w:ascii="Times New Roman" w:eastAsia="Times New Roman" w:hAnsi="Times New Roman" w:cs="Times New Roman"/>
          <w:kern w:val="0"/>
          <w14:ligatures w14:val="none"/>
        </w:rPr>
        <w:t xml:space="preserve"> mbetje”, si dhe ligjit </w:t>
      </w:r>
      <w:proofErr w:type="spellStart"/>
      <w:r w:rsidRPr="00C51AE9">
        <w:rPr>
          <w:rFonts w:ascii="Times New Roman" w:eastAsia="Times New Roman" w:hAnsi="Times New Roman" w:cs="Times New Roman"/>
          <w:kern w:val="0"/>
          <w14:ligatures w14:val="none"/>
        </w:rPr>
        <w:t>nr</w:t>
      </w:r>
      <w:proofErr w:type="spellEnd"/>
      <w:r w:rsidRPr="00C51AE9">
        <w:rPr>
          <w:rFonts w:ascii="Times New Roman" w:eastAsia="Times New Roman" w:hAnsi="Times New Roman" w:cs="Times New Roman"/>
          <w:kern w:val="0"/>
          <w14:ligatures w14:val="none"/>
        </w:rPr>
        <w:t xml:space="preserve"> 99/2024 “Për inspektimin në Republikën e Shqipërisë”</w:t>
      </w:r>
      <w:r w:rsidRPr="00C51AE9">
        <w:rPr>
          <w:rFonts w:ascii="Segoe UI" w:eastAsia="Times New Roman" w:hAnsi="Segoe UI" w:cs="Segoe UI"/>
          <w:kern w:val="0"/>
          <w:sz w:val="21"/>
          <w:szCs w:val="21"/>
          <w14:ligatures w14:val="none"/>
        </w:rPr>
        <w:t xml:space="preserve">, si </w:t>
      </w:r>
      <w:proofErr w:type="spellStart"/>
      <w:r w:rsidRPr="00C51AE9">
        <w:rPr>
          <w:rFonts w:ascii="Segoe UI" w:eastAsia="Times New Roman" w:hAnsi="Segoe UI" w:cs="Segoe UI"/>
          <w:kern w:val="0"/>
          <w:sz w:val="21"/>
          <w:szCs w:val="21"/>
          <w14:ligatures w14:val="none"/>
        </w:rPr>
        <w:t>dhe</w:t>
      </w:r>
      <w:r w:rsidRPr="00C51AE9">
        <w:rPr>
          <w:rFonts w:ascii="Times New Roman" w:eastAsia="Times New Roman" w:hAnsi="Times New Roman" w:cs="Times New Roman"/>
          <w:kern w:val="0"/>
          <w14:ligatures w14:val="none"/>
        </w:rPr>
        <w:t>bashkëpunon</w:t>
      </w:r>
      <w:proofErr w:type="spellEnd"/>
      <w:r w:rsidRPr="00C51AE9">
        <w:rPr>
          <w:rFonts w:ascii="Times New Roman" w:eastAsia="Times New Roman" w:hAnsi="Times New Roman" w:cs="Times New Roman"/>
          <w:kern w:val="0"/>
          <w14:ligatures w14:val="none"/>
        </w:rPr>
        <w:t xml:space="preserve"> me Inspektoratin Shtetëror të Mbikëqyrjes së Tregut për kontrollin e respektimit të kërkesave lidhur me qeset plastike, ambalazhet dhe mbetjet e ambalazheve, si dhe ushtron kompetencat e saj për marrjen e masave administrative sipas legjislacionit në fuqi.</w:t>
      </w:r>
    </w:p>
    <w:p w14:paraId="3AC16A8E" w14:textId="77777777" w:rsidR="00767CD0" w:rsidRPr="00C51AE9" w:rsidRDefault="00C51AE9">
      <w:pPr>
        <w:spacing w:beforeAutospacing="1"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6. Bashkitë kryejnë monitorimin dhe kontrollin e territorit të bashkisë për zbatimin e dispozitave të këtij vendimi në bashkëpunimin dhe në koordinim me institucionet përgjegjëse për mbrojtjen e mjedisit.</w:t>
      </w:r>
    </w:p>
    <w:p w14:paraId="29218F45"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7. Deri më 12 gusht 2034, ministria përgjegjëse për mjedisin kryen vlerësimin e zbatimit të këtij vendimi dhe të kontributit të tij në funksionimin e tregut dhe në përmirësimin e qëndrueshmërisë mjedisore të ambalazheve.</w:t>
      </w:r>
    </w:p>
    <w:p w14:paraId="07822110" w14:textId="77777777" w:rsidR="00767CD0" w:rsidRPr="00C51AE9" w:rsidRDefault="00C51AE9">
      <w:pPr>
        <w:jc w:val="both"/>
      </w:pPr>
      <w:r w:rsidRPr="00C51AE9">
        <w:rPr>
          <w:rFonts w:ascii="Times New Roman" w:hAnsi="Times New Roman" w:cs="Times New Roman"/>
        </w:rPr>
        <w:t>8. Ministria përgjegjëse për mjedisin i njofton Komisionit Evropian emrat dhe adresat e autoriteteve kompetente për zbatimin e këtij vendimi, si dhe çdo ndryshim të tyre, pa vonesë.</w:t>
      </w:r>
    </w:p>
    <w:p w14:paraId="263B11DF" w14:textId="77777777" w:rsidR="00767CD0" w:rsidRPr="00C51AE9" w:rsidRDefault="00767CD0">
      <w:pPr>
        <w:spacing w:after="0" w:line="240" w:lineRule="auto"/>
        <w:jc w:val="center"/>
        <w:rPr>
          <w:rFonts w:ascii="Times New Roman" w:eastAsia="Times New Roman" w:hAnsi="Times New Roman" w:cs="Times New Roman"/>
          <w:kern w:val="0"/>
          <w14:ligatures w14:val="none"/>
        </w:rPr>
      </w:pPr>
    </w:p>
    <w:p w14:paraId="43294E2F" w14:textId="77777777" w:rsidR="00767CD0" w:rsidRPr="00C51AE9" w:rsidRDefault="00C51AE9">
      <w:pPr>
        <w:ind w:firstLine="720"/>
        <w:rPr>
          <w:rFonts w:ascii="Times New Roman" w:hAnsi="Times New Roman" w:cs="Times New Roman"/>
          <w:b/>
          <w:bCs/>
        </w:rPr>
      </w:pPr>
      <w:r w:rsidRPr="00C51AE9">
        <w:rPr>
          <w:rFonts w:ascii="Times New Roman" w:hAnsi="Times New Roman" w:cs="Times New Roman"/>
          <w:b/>
          <w:bCs/>
        </w:rPr>
        <w:t xml:space="preserve">                                                    KREU X</w:t>
      </w:r>
    </w:p>
    <w:p w14:paraId="22A9476E" w14:textId="77777777" w:rsidR="00767CD0" w:rsidRPr="00C51AE9" w:rsidRDefault="00C51AE9">
      <w:pPr>
        <w:rPr>
          <w:rFonts w:ascii="Times New Roman" w:eastAsia="Times New Roman" w:hAnsi="Times New Roman" w:cs="Times New Roman"/>
          <w:kern w:val="0"/>
          <w14:ligatures w14:val="none"/>
        </w:rPr>
      </w:pPr>
      <w:bookmarkStart w:id="80" w:name="_Toc227317675"/>
      <w:bookmarkStart w:id="81" w:name="_Toc227317676"/>
      <w:bookmarkEnd w:id="80"/>
      <w:r w:rsidRPr="00C51AE9">
        <w:rPr>
          <w:rFonts w:ascii="Times New Roman" w:eastAsia="Times New Roman" w:hAnsi="Times New Roman" w:cs="Times New Roman"/>
          <w:kern w:val="0"/>
          <w14:ligatures w14:val="none"/>
        </w:rPr>
        <w:t xml:space="preserve">                                                                 Neni </w:t>
      </w:r>
      <w:bookmarkEnd w:id="81"/>
      <w:r w:rsidRPr="00C51AE9">
        <w:rPr>
          <w:rFonts w:ascii="Times New Roman" w:eastAsia="Times New Roman" w:hAnsi="Times New Roman" w:cs="Times New Roman"/>
          <w:kern w:val="0"/>
          <w14:ligatures w14:val="none"/>
        </w:rPr>
        <w:t>72</w:t>
      </w:r>
    </w:p>
    <w:p w14:paraId="5325FF15" w14:textId="77777777" w:rsidR="00767CD0" w:rsidRPr="00C51AE9" w:rsidRDefault="00C51AE9">
      <w:pPr>
        <w:keepNext/>
        <w:keepLines/>
        <w:spacing w:before="160" w:after="80"/>
        <w:jc w:val="center"/>
        <w:outlineLvl w:val="2"/>
        <w:rPr>
          <w:rFonts w:ascii="Times New Roman" w:eastAsiaTheme="majorEastAsia" w:hAnsi="Times New Roman" w:cs="Times New Roman"/>
          <w:b/>
          <w:bCs/>
        </w:rPr>
      </w:pPr>
      <w:r w:rsidRPr="00C51AE9">
        <w:rPr>
          <w:rFonts w:ascii="Times New Roman" w:eastAsiaTheme="majorEastAsia" w:hAnsi="Times New Roman" w:cs="Times New Roman"/>
          <w:b/>
          <w:bCs/>
        </w:rPr>
        <w:t>Dispozita kalimtare dhe përfundimtare</w:t>
      </w:r>
    </w:p>
    <w:p w14:paraId="73B7A457" w14:textId="77777777" w:rsidR="00767CD0" w:rsidRPr="00C51AE9" w:rsidRDefault="00C51AE9" w:rsidP="00F635BF">
      <w:pPr>
        <w:numPr>
          <w:ilvl w:val="0"/>
          <w:numId w:val="177"/>
        </w:numPr>
        <w:spacing w:beforeAutospacing="1"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Vendimi nr. 177, datë 6.3.2012, i Këshillit të Ministrave, "Për ambalazhet dhe mbetjet e tyre", i ndryshuar, shfuqizohet më 1 korrik 2028.</w:t>
      </w:r>
    </w:p>
    <w:p w14:paraId="67288408" w14:textId="77777777" w:rsidR="00767CD0" w:rsidRPr="00C51AE9" w:rsidRDefault="00C51AE9" w:rsidP="00F635BF">
      <w:pPr>
        <w:numPr>
          <w:ilvl w:val="0"/>
          <w:numId w:val="177"/>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Vendimi nr. 367, datë 30.5.2022, i Këshillit të Ministrave, "Për përcaktimin e masave të hollësishme dhe institucioneve përgjegjëse për ndalimin e përdorimit, hedhjes në treg, prodhimit, importimit apo futjes në territorin e Republikës së Shqipërisë të qeseve  mbajtëse plastike, si dhe qeseve  mbajtëse plastike </w:t>
      </w:r>
      <w:proofErr w:type="spellStart"/>
      <w:r w:rsidRPr="00C51AE9">
        <w:rPr>
          <w:rFonts w:ascii="Times New Roman" w:eastAsia="Times New Roman" w:hAnsi="Times New Roman" w:cs="Times New Roman"/>
          <w:kern w:val="0"/>
          <w14:ligatures w14:val="none"/>
        </w:rPr>
        <w:t>oxo-degradueshme</w:t>
      </w:r>
      <w:proofErr w:type="spellEnd"/>
      <w:r w:rsidRPr="00C51AE9">
        <w:rPr>
          <w:rFonts w:ascii="Times New Roman" w:eastAsia="Times New Roman" w:hAnsi="Times New Roman" w:cs="Times New Roman"/>
          <w:kern w:val="0"/>
          <w14:ligatures w14:val="none"/>
        </w:rPr>
        <w:t xml:space="preserve"> apo </w:t>
      </w:r>
      <w:proofErr w:type="spellStart"/>
      <w:r w:rsidRPr="00C51AE9">
        <w:rPr>
          <w:rFonts w:ascii="Times New Roman" w:eastAsia="Times New Roman" w:hAnsi="Times New Roman" w:cs="Times New Roman"/>
          <w:kern w:val="0"/>
          <w14:ligatures w14:val="none"/>
        </w:rPr>
        <w:t>oxo-biodegradueshme</w:t>
      </w:r>
      <w:proofErr w:type="spellEnd"/>
      <w:r w:rsidRPr="00C51AE9">
        <w:rPr>
          <w:rFonts w:ascii="Times New Roman" w:eastAsia="Times New Roman" w:hAnsi="Times New Roman" w:cs="Times New Roman"/>
          <w:kern w:val="0"/>
          <w14:ligatures w14:val="none"/>
        </w:rPr>
        <w:t>", shfuqizohet më 1 korrik 2028.</w:t>
      </w:r>
    </w:p>
    <w:p w14:paraId="185E0C70" w14:textId="77777777" w:rsidR="00767CD0" w:rsidRPr="00C51AE9" w:rsidRDefault="00C51AE9" w:rsidP="00F635BF">
      <w:pPr>
        <w:numPr>
          <w:ilvl w:val="0"/>
          <w:numId w:val="177"/>
        </w:numPr>
        <w:spacing w:afterAutospacing="1" w:line="240" w:lineRule="auto"/>
        <w:ind w:left="810" w:hanging="450"/>
        <w:jc w:val="both"/>
        <w:rPr>
          <w:rFonts w:ascii="Times New Roman" w:eastAsia="Times New Roman" w:hAnsi="Times New Roman" w:cs="Times New Roman"/>
          <w:kern w:val="0"/>
          <w14:ligatures w14:val="none"/>
        </w:rPr>
      </w:pPr>
      <w:r w:rsidRPr="00C51AE9">
        <w:rPr>
          <w:rFonts w:ascii="Segoe UI" w:eastAsia="Times New Roman" w:hAnsi="Segoe UI" w:cs="Segoe UI"/>
          <w:kern w:val="0"/>
          <w:sz w:val="21"/>
          <w:szCs w:val="21"/>
          <w14:ligatures w14:val="none"/>
        </w:rPr>
        <w:t xml:space="preserve"> </w:t>
      </w:r>
      <w:r w:rsidRPr="00C51AE9">
        <w:rPr>
          <w:rFonts w:ascii="Times New Roman" w:eastAsia="Times New Roman" w:hAnsi="Times New Roman" w:cs="Times New Roman"/>
          <w:kern w:val="0"/>
          <w14:ligatures w14:val="none"/>
        </w:rPr>
        <w:t>Deri më 30 qershor 2028, vazhdojnë të zbatohen dispozitat e vendimeve të përmendura në pikat 1 dhe 2 të këtij neni.</w:t>
      </w:r>
    </w:p>
    <w:p w14:paraId="6B0FDCE2" w14:textId="77777777" w:rsidR="00767CD0" w:rsidRPr="00C51AE9" w:rsidRDefault="00767CD0">
      <w:pPr>
        <w:spacing w:beforeAutospacing="1" w:afterAutospacing="1" w:line="240" w:lineRule="auto"/>
        <w:ind w:left="810"/>
        <w:jc w:val="both"/>
        <w:rPr>
          <w:rFonts w:ascii="Times New Roman" w:eastAsia="Times New Roman" w:hAnsi="Times New Roman" w:cs="Times New Roman"/>
          <w:kern w:val="0"/>
          <w14:ligatures w14:val="none"/>
        </w:rPr>
      </w:pPr>
    </w:p>
    <w:p w14:paraId="5A99ACC8" w14:textId="77777777" w:rsidR="00767CD0" w:rsidRPr="00C51AE9" w:rsidRDefault="00C51AE9" w:rsidP="00F635BF">
      <w:pPr>
        <w:numPr>
          <w:ilvl w:val="0"/>
          <w:numId w:val="177"/>
        </w:numPr>
        <w:spacing w:beforeAutospacing="1"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Operatorët ekonomikë marrin masat e nevojshme që, deri në datën 30 qershor 2028:</w:t>
      </w:r>
    </w:p>
    <w:p w14:paraId="54865709" w14:textId="77777777" w:rsidR="00767CD0" w:rsidRPr="00C51AE9" w:rsidRDefault="00C51AE9">
      <w:pPr>
        <w:spacing w:beforeAutospacing="1" w:afterAutospacing="1" w:line="240" w:lineRule="auto"/>
        <w:ind w:left="63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a. të ndërpresin prodhimin, importimin, vendosjen ose bërjen e </w:t>
      </w:r>
      <w:proofErr w:type="spellStart"/>
      <w:r w:rsidRPr="00C51AE9">
        <w:rPr>
          <w:rFonts w:ascii="Times New Roman" w:eastAsia="Times New Roman" w:hAnsi="Times New Roman" w:cs="Times New Roman"/>
          <w:kern w:val="0"/>
          <w14:ligatures w14:val="none"/>
        </w:rPr>
        <w:t>disponueshme</w:t>
      </w:r>
      <w:proofErr w:type="spellEnd"/>
      <w:r w:rsidRPr="00C51AE9">
        <w:rPr>
          <w:rFonts w:ascii="Times New Roman" w:eastAsia="Times New Roman" w:hAnsi="Times New Roman" w:cs="Times New Roman"/>
          <w:kern w:val="0"/>
          <w14:ligatures w14:val="none"/>
        </w:rPr>
        <w:t xml:space="preserve"> në treg, shpërndarjen dhe përdorimin e qeseve  mbajtëse plastike me trashësi të murit për çdo anë më të vogël se 70 mikronë;</w:t>
      </w:r>
    </w:p>
    <w:p w14:paraId="40C5E111" w14:textId="77777777" w:rsidR="00767CD0" w:rsidRPr="00C51AE9" w:rsidRDefault="00C51AE9">
      <w:pPr>
        <w:spacing w:beforeAutospacing="1" w:afterAutospacing="1" w:line="240" w:lineRule="auto"/>
        <w:ind w:left="63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 të tërheqin nga pikat e shitjes dhe nga zinxhiri i shpërndarjes stokun ekzistues të qeseve  mbajtëse plastike me trashësi të murit për çdo anë më të vogël se 70 mikronë dhe të qeseve  mbajtëse plastike </w:t>
      </w:r>
      <w:proofErr w:type="spellStart"/>
      <w:r w:rsidRPr="00C51AE9">
        <w:rPr>
          <w:rFonts w:ascii="Times New Roman" w:eastAsia="Times New Roman" w:hAnsi="Times New Roman" w:cs="Times New Roman"/>
          <w:kern w:val="0"/>
          <w14:ligatures w14:val="none"/>
        </w:rPr>
        <w:t>oxo-degradueshme</w:t>
      </w:r>
      <w:proofErr w:type="spellEnd"/>
      <w:r w:rsidRPr="00C51AE9">
        <w:rPr>
          <w:rFonts w:ascii="Times New Roman" w:eastAsia="Times New Roman" w:hAnsi="Times New Roman" w:cs="Times New Roman"/>
          <w:kern w:val="0"/>
          <w14:ligatures w14:val="none"/>
        </w:rPr>
        <w:t>;</w:t>
      </w:r>
    </w:p>
    <w:p w14:paraId="02581921" w14:textId="77777777" w:rsidR="00767CD0" w:rsidRPr="00C51AE9" w:rsidRDefault="00C51AE9">
      <w:pPr>
        <w:spacing w:beforeAutospacing="1" w:afterAutospacing="1" w:line="240" w:lineRule="auto"/>
        <w:ind w:left="630" w:hanging="27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c. të përshtatin etiketimin, dokumentacionin teknik, sistemet e mbajtjes së të dhënave dhe raportimin për qeset  mbajtëse plastike me trashësi të murit për çdo anë 70 mikronë ose më shumë, në përputhje me kërkesat e nenit 4 të këtij vendimi.</w:t>
      </w:r>
    </w:p>
    <w:p w14:paraId="08C8B333" w14:textId="77777777" w:rsidR="00767CD0" w:rsidRPr="00C51AE9" w:rsidRDefault="00C51AE9" w:rsidP="00F635BF">
      <w:pPr>
        <w:numPr>
          <w:ilvl w:val="0"/>
          <w:numId w:val="178"/>
        </w:numPr>
        <w:spacing w:beforeAutospacing="1"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 xml:space="preserve">Qeset e tërhequra sipas shkronjës "b" të pikës 4 të këtij neni menaxhohen </w:t>
      </w:r>
      <w:proofErr w:type="spellStart"/>
      <w:r w:rsidRPr="00C51AE9">
        <w:rPr>
          <w:rFonts w:ascii="Times New Roman" w:eastAsia="Times New Roman" w:hAnsi="Times New Roman" w:cs="Times New Roman"/>
          <w:kern w:val="0"/>
          <w14:ligatures w14:val="none"/>
        </w:rPr>
        <w:t>nëpërputhje</w:t>
      </w:r>
      <w:proofErr w:type="spellEnd"/>
      <w:r w:rsidRPr="00C51AE9">
        <w:rPr>
          <w:rFonts w:ascii="Times New Roman" w:eastAsia="Times New Roman" w:hAnsi="Times New Roman" w:cs="Times New Roman"/>
          <w:kern w:val="0"/>
          <w14:ligatures w14:val="none"/>
        </w:rPr>
        <w:t xml:space="preserve"> me legjislacionin në fuqi për menaxhimin e integruar të mbetjeve dhe nuk vendosen ose nuk bëhen të </w:t>
      </w:r>
      <w:proofErr w:type="spellStart"/>
      <w:r w:rsidRPr="00C51AE9">
        <w:rPr>
          <w:rFonts w:ascii="Times New Roman" w:eastAsia="Times New Roman" w:hAnsi="Times New Roman" w:cs="Times New Roman"/>
          <w:kern w:val="0"/>
          <w14:ligatures w14:val="none"/>
        </w:rPr>
        <w:t>disponueshme</w:t>
      </w:r>
      <w:proofErr w:type="spellEnd"/>
      <w:r w:rsidRPr="00C51AE9">
        <w:rPr>
          <w:rFonts w:ascii="Times New Roman" w:eastAsia="Times New Roman" w:hAnsi="Times New Roman" w:cs="Times New Roman"/>
          <w:kern w:val="0"/>
          <w14:ligatures w14:val="none"/>
        </w:rPr>
        <w:t xml:space="preserve"> në treg pas datës 30 qershor 2028.</w:t>
      </w:r>
    </w:p>
    <w:p w14:paraId="168F6574" w14:textId="77777777" w:rsidR="00767CD0" w:rsidRPr="00C51AE9" w:rsidRDefault="00C51AE9" w:rsidP="00F635BF">
      <w:pPr>
        <w:numPr>
          <w:ilvl w:val="0"/>
          <w:numId w:val="178"/>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Dispozitat e mëposhtme të këtij vendimi i shtrijnë efektet si më poshtë:</w:t>
      </w:r>
      <w:r w:rsidRPr="00C51AE9">
        <w:rPr>
          <w:rFonts w:ascii="Times New Roman" w:eastAsia="Times New Roman" w:hAnsi="Times New Roman" w:cs="Times New Roman"/>
          <w:kern w:val="0"/>
          <w14:ligatures w14:val="none"/>
        </w:rPr>
        <w:br/>
        <w:t xml:space="preserve">a. neni 12, për klasat e </w:t>
      </w:r>
      <w:proofErr w:type="spellStart"/>
      <w:r w:rsidRPr="00C51AE9">
        <w:rPr>
          <w:rFonts w:ascii="Times New Roman" w:eastAsia="Times New Roman" w:hAnsi="Times New Roman" w:cs="Times New Roman"/>
          <w:kern w:val="0"/>
          <w14:ligatures w14:val="none"/>
        </w:rPr>
        <w:t>performancës</w:t>
      </w:r>
      <w:proofErr w:type="spellEnd"/>
      <w:r w:rsidRPr="00C51AE9">
        <w:rPr>
          <w:rFonts w:ascii="Times New Roman" w:eastAsia="Times New Roman" w:hAnsi="Times New Roman" w:cs="Times New Roman"/>
          <w:kern w:val="0"/>
          <w14:ligatures w14:val="none"/>
        </w:rPr>
        <w:t xml:space="preserve"> A, B dhe C, nga data 1 janar 2030, ndërsa për kufizimin vetëm në klasat A dhe B, nga data 1 janar 2038;</w:t>
      </w:r>
      <w:r w:rsidRPr="00C51AE9">
        <w:rPr>
          <w:rFonts w:ascii="Times New Roman" w:eastAsia="Times New Roman" w:hAnsi="Times New Roman" w:cs="Times New Roman"/>
          <w:kern w:val="0"/>
          <w14:ligatures w14:val="none"/>
        </w:rPr>
        <w:tab/>
      </w:r>
      <w:r w:rsidRPr="00C51AE9">
        <w:rPr>
          <w:rFonts w:ascii="Times New Roman" w:eastAsia="Times New Roman" w:hAnsi="Times New Roman" w:cs="Times New Roman"/>
          <w:kern w:val="0"/>
          <w14:ligatures w14:val="none"/>
        </w:rPr>
        <w:br/>
        <w:t>b. neni 13, për përqindjet minimale të fazës së parë, nga data 1 janar 2030, ndërsa për përqindjet minimale të fazës së dytë, nga data 1 janar 2040;</w:t>
      </w:r>
      <w:r w:rsidRPr="00C51AE9">
        <w:rPr>
          <w:rFonts w:ascii="Times New Roman" w:eastAsia="Times New Roman" w:hAnsi="Times New Roman" w:cs="Times New Roman"/>
          <w:kern w:val="0"/>
          <w14:ligatures w14:val="none"/>
        </w:rPr>
        <w:br/>
        <w:t>c. neni 16, nga data 1 janar 2030;</w:t>
      </w:r>
      <w:r w:rsidRPr="00C51AE9">
        <w:rPr>
          <w:rFonts w:ascii="Times New Roman" w:eastAsia="Times New Roman" w:hAnsi="Times New Roman" w:cs="Times New Roman"/>
          <w:kern w:val="0"/>
          <w14:ligatures w14:val="none"/>
        </w:rPr>
        <w:tab/>
      </w:r>
      <w:r w:rsidRPr="00C51AE9">
        <w:rPr>
          <w:rFonts w:ascii="Times New Roman" w:eastAsia="Times New Roman" w:hAnsi="Times New Roman" w:cs="Times New Roman"/>
          <w:kern w:val="0"/>
          <w14:ligatures w14:val="none"/>
        </w:rPr>
        <w:br/>
        <w:t>ç. neni 18, nga data 12 gusht 2028, me përjashtim të pikës 8 të tij, e cila i shtrin efektet nga data 12 shkurt 2029;</w:t>
      </w:r>
      <w:r w:rsidRPr="00C51AE9">
        <w:rPr>
          <w:rFonts w:ascii="Times New Roman" w:eastAsia="Times New Roman" w:hAnsi="Times New Roman" w:cs="Times New Roman"/>
          <w:kern w:val="0"/>
          <w14:ligatures w14:val="none"/>
        </w:rPr>
        <w:tab/>
      </w:r>
      <w:r w:rsidRPr="00C51AE9">
        <w:rPr>
          <w:rFonts w:ascii="Times New Roman" w:eastAsia="Times New Roman" w:hAnsi="Times New Roman" w:cs="Times New Roman"/>
          <w:kern w:val="0"/>
          <w14:ligatures w14:val="none"/>
        </w:rPr>
        <w:br/>
        <w:t>d. nenet 30 dhe 31, nga data 1 janar 2030;</w:t>
      </w:r>
      <w:r w:rsidRPr="00C51AE9">
        <w:rPr>
          <w:rFonts w:ascii="Times New Roman" w:eastAsia="Times New Roman" w:hAnsi="Times New Roman" w:cs="Times New Roman"/>
          <w:kern w:val="0"/>
          <w14:ligatures w14:val="none"/>
        </w:rPr>
        <w:tab/>
      </w:r>
      <w:r w:rsidRPr="00C51AE9">
        <w:rPr>
          <w:rFonts w:ascii="Times New Roman" w:eastAsia="Times New Roman" w:hAnsi="Times New Roman" w:cs="Times New Roman"/>
          <w:kern w:val="0"/>
          <w14:ligatures w14:val="none"/>
        </w:rPr>
        <w:br/>
        <w:t>dh. neni 35, për objektivat e fazës së parë, nga data 1 janar 2030, ndërsa për synimet e fazës së dytë, nga data 1 janar 2040.</w:t>
      </w:r>
    </w:p>
    <w:p w14:paraId="1633C6E9" w14:textId="77777777" w:rsidR="00767CD0" w:rsidRPr="00C51AE9" w:rsidRDefault="00C51AE9" w:rsidP="00F635BF">
      <w:pPr>
        <w:numPr>
          <w:ilvl w:val="0"/>
          <w:numId w:val="178"/>
        </w:numPr>
        <w:spacing w:after="0"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Shkalla e grumbullimit, e përcaktuar në pikën 1 të nenit 60 të këtij vendimi, arrihet jo më vonë se data 1 janar 2031.</w:t>
      </w:r>
    </w:p>
    <w:p w14:paraId="5B629094" w14:textId="77777777" w:rsidR="00767CD0" w:rsidRPr="00C51AE9" w:rsidRDefault="00C51AE9" w:rsidP="00F635BF">
      <w:pPr>
        <w:numPr>
          <w:ilvl w:val="0"/>
          <w:numId w:val="178"/>
        </w:numPr>
        <w:spacing w:afterAutospacing="1" w:line="240" w:lineRule="auto"/>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Ky vendim hyn në fuqi pas botimit në Fletoren Zyrtare dhe i shtrin efektet nga data 1 korrik 2028, me përjashtim të dispozitave të parashikuara në pikën 5 të këtij neni, të cilat i shtrijnë efektet sipas afateve të përcaktuara në të.</w:t>
      </w:r>
    </w:p>
    <w:p w14:paraId="6F515B3C" w14:textId="77777777" w:rsidR="00767CD0" w:rsidRPr="00C51AE9" w:rsidRDefault="00767CD0"/>
    <w:p w14:paraId="1F2610AC" w14:textId="77777777" w:rsidR="00767CD0" w:rsidRPr="00C51AE9" w:rsidRDefault="00767CD0">
      <w:pPr>
        <w:spacing w:beforeAutospacing="1" w:afterAutospacing="1"/>
        <w:jc w:val="both"/>
        <w:rPr>
          <w:rFonts w:ascii="Times New Roman" w:hAnsi="Times New Roman" w:cs="Times New Roman"/>
        </w:rPr>
      </w:pPr>
    </w:p>
    <w:p w14:paraId="125A6457" w14:textId="77777777" w:rsidR="00767CD0" w:rsidRPr="00C51AE9" w:rsidRDefault="00C51AE9">
      <w:pPr>
        <w:spacing w:beforeAutospacing="1" w:afterAutospacing="1"/>
        <w:jc w:val="right"/>
        <w:rPr>
          <w:rFonts w:ascii="Times New Roman" w:hAnsi="Times New Roman" w:cs="Times New Roman"/>
          <w:b/>
          <w:bCs/>
        </w:rPr>
      </w:pPr>
      <w:r w:rsidRPr="00C51AE9">
        <w:rPr>
          <w:rFonts w:ascii="Times New Roman" w:hAnsi="Times New Roman" w:cs="Times New Roman"/>
          <w:b/>
          <w:bCs/>
        </w:rPr>
        <w:t>KRYEMINISTËR</w:t>
      </w:r>
    </w:p>
    <w:p w14:paraId="30C80684" w14:textId="77777777" w:rsidR="00767CD0" w:rsidRPr="00C51AE9" w:rsidRDefault="00C51AE9">
      <w:pPr>
        <w:spacing w:beforeAutospacing="1" w:afterAutospacing="1"/>
        <w:jc w:val="right"/>
        <w:rPr>
          <w:rFonts w:ascii="Times New Roman" w:hAnsi="Times New Roman" w:cs="Times New Roman"/>
          <w:b/>
          <w:bCs/>
        </w:rPr>
      </w:pPr>
      <w:r w:rsidRPr="00C51AE9">
        <w:rPr>
          <w:rFonts w:ascii="Times New Roman" w:hAnsi="Times New Roman" w:cs="Times New Roman"/>
          <w:b/>
          <w:bCs/>
        </w:rPr>
        <w:t>EDI RA</w:t>
      </w:r>
      <w:bookmarkStart w:id="82" w:name="_bookmark150"/>
      <w:bookmarkStart w:id="83" w:name="ANNEX_IX"/>
      <w:bookmarkEnd w:id="82"/>
      <w:bookmarkEnd w:id="83"/>
      <w:r w:rsidRPr="00C51AE9">
        <w:rPr>
          <w:rFonts w:ascii="Times New Roman" w:hAnsi="Times New Roman" w:cs="Times New Roman"/>
          <w:b/>
          <w:bCs/>
        </w:rPr>
        <w:t>MA</w:t>
      </w:r>
    </w:p>
    <w:p w14:paraId="04AED68A" w14:textId="77777777" w:rsidR="00767CD0" w:rsidRPr="00C51AE9" w:rsidRDefault="00C51AE9">
      <w:pPr>
        <w:rPr>
          <w:rFonts w:ascii="Times New Roman" w:hAnsi="Times New Roman" w:cs="Times New Roman"/>
          <w:b/>
          <w:bCs/>
          <w:w w:val="90"/>
        </w:rPr>
      </w:pPr>
      <w:r w:rsidRPr="00C51AE9">
        <w:br w:type="page"/>
      </w:r>
    </w:p>
    <w:p w14:paraId="426924C7" w14:textId="77777777" w:rsidR="00767CD0" w:rsidRPr="00C51AE9" w:rsidRDefault="00C51AE9">
      <w:pPr>
        <w:jc w:val="center"/>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lastRenderedPageBreak/>
        <w:t>SHTOJCA I</w:t>
      </w:r>
    </w:p>
    <w:p w14:paraId="56B4CC6B" w14:textId="77777777" w:rsidR="00767CD0" w:rsidRPr="00C51AE9" w:rsidRDefault="00C51AE9">
      <w:pPr>
        <w:rPr>
          <w:rFonts w:ascii="Times New Roman" w:hAnsi="Times New Roman" w:cs="Times New Roman"/>
        </w:rPr>
      </w:pPr>
      <w:r w:rsidRPr="00C51AE9">
        <w:rPr>
          <w:rFonts w:ascii="Times New Roman" w:hAnsi="Times New Roman" w:cs="Times New Roman"/>
        </w:rPr>
        <w:t>Listë treguese e artikujve në fushën e përkufizimit të ambalazhimit në pikën 1 të nenit 3.</w:t>
      </w:r>
    </w:p>
    <w:p w14:paraId="711314D0" w14:textId="77777777" w:rsidR="00767CD0" w:rsidRPr="00C51AE9" w:rsidRDefault="00C51AE9">
      <w:pPr>
        <w:rPr>
          <w:rFonts w:ascii="Times New Roman" w:eastAsia="Times New Roman" w:hAnsi="Times New Roman" w:cs="Times New Roman"/>
          <w:b/>
          <w:bCs/>
          <w:kern w:val="0"/>
          <w14:ligatures w14:val="none"/>
        </w:rPr>
      </w:pPr>
      <w:r w:rsidRPr="00C51AE9">
        <w:rPr>
          <w:rFonts w:ascii="Times New Roman" w:eastAsia="Times New Roman" w:hAnsi="Times New Roman" w:cs="Times New Roman"/>
          <w:b/>
          <w:bCs/>
          <w:kern w:val="0"/>
          <w14:ligatures w14:val="none"/>
        </w:rPr>
        <w:t>A. Artikujt që përfshihen ose përjashtohen sipas funksionit parësor të ambalazhit</w:t>
      </w:r>
    </w:p>
    <w:p w14:paraId="041257A4" w14:textId="77777777" w:rsidR="00767CD0" w:rsidRPr="00C51AE9" w:rsidRDefault="00C51AE9">
      <w:pPr>
        <w:numPr>
          <w:ilvl w:val="0"/>
          <w:numId w:val="23"/>
        </w:numPr>
        <w:tabs>
          <w:tab w:val="clear" w:pos="720"/>
          <w:tab w:val="left" w:pos="990"/>
        </w:tabs>
        <w:spacing w:after="0"/>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konsiderohen ambalazh:</w:t>
      </w:r>
    </w:p>
    <w:p w14:paraId="4EB8ED98"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Kuti për ëmbëlsira;</w:t>
      </w:r>
    </w:p>
    <w:p w14:paraId="277FB0D8"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Film plastik mbështjellës rreth një kutie për disqe kompakte;</w:t>
      </w:r>
    </w:p>
    <w:p w14:paraId="68B01307"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Qese postare për katalogë dhe revista që përmbajnë një revistë brenda;</w:t>
      </w:r>
    </w:p>
    <w:p w14:paraId="45D6D519"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Mbajtëse kartoni ose letre për torta, të shitura së bashku me tortën;</w:t>
      </w:r>
    </w:p>
    <w:p w14:paraId="5DBA0CF4"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Bobina, tuba dhe cilindra rreth të cilëve mbështillet material </w:t>
      </w:r>
      <w:proofErr w:type="spellStart"/>
      <w:r w:rsidRPr="00C51AE9">
        <w:rPr>
          <w:rFonts w:ascii="Times New Roman" w:eastAsia="Times New Roman" w:hAnsi="Times New Roman" w:cs="Times New Roman"/>
          <w:kern w:val="0"/>
          <w14:ligatures w14:val="none"/>
        </w:rPr>
        <w:t>fleksibël</w:t>
      </w:r>
      <w:proofErr w:type="spellEnd"/>
      <w:r w:rsidRPr="00C51AE9">
        <w:rPr>
          <w:rFonts w:ascii="Times New Roman" w:eastAsia="Times New Roman" w:hAnsi="Times New Roman" w:cs="Times New Roman"/>
          <w:kern w:val="0"/>
          <w14:ligatures w14:val="none"/>
        </w:rPr>
        <w:t xml:space="preserve"> si film plastik, letër alumini ose letër, me përjashtim të bobinave, tubave dhe cilindrave që janë pjesë përbërëse e makinerive të prodhimit dhe nuk përdoren për paraqitjen e produktit si njësi shitjeje;</w:t>
      </w:r>
    </w:p>
    <w:p w14:paraId="458FC38F"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Vazo lulesh dhe bimësh, duke përfshirë tabakatë e farave, të destinuara për t’u përdorur vetëm për shitjen dhe transportimin e tyre;</w:t>
      </w:r>
    </w:p>
    <w:p w14:paraId="374E1366"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Shishe qelqi për tretësira për injeksione;</w:t>
      </w:r>
    </w:p>
    <w:p w14:paraId="494B10B6"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Mbajtëse boshtore për disqe kompakte, të shitura së bashku me disqet dhe që nuk synohen të përdoren për ruajtje afatgjatë;</w:t>
      </w:r>
    </w:p>
    <w:p w14:paraId="5FCCFC18"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Varëse rrobash, të shitura së bashku me veshjen;</w:t>
      </w:r>
    </w:p>
    <w:p w14:paraId="55F006B9"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Kuti shkrepëseje;</w:t>
      </w:r>
    </w:p>
    <w:p w14:paraId="743ED786"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Sisteme të barrierës sterile si qese, vaska dhe materiale të nevojshme për të ruajtur sterilitetin e produktit mjekësor;</w:t>
      </w:r>
    </w:p>
    <w:p w14:paraId="29DF143C"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Cilindra çeliku të </w:t>
      </w:r>
      <w:proofErr w:type="spellStart"/>
      <w:r w:rsidRPr="00C51AE9">
        <w:rPr>
          <w:rFonts w:ascii="Times New Roman" w:eastAsia="Times New Roman" w:hAnsi="Times New Roman" w:cs="Times New Roman"/>
          <w:kern w:val="0"/>
          <w14:ligatures w14:val="none"/>
        </w:rPr>
        <w:t>rimbushshëm</w:t>
      </w:r>
      <w:proofErr w:type="spellEnd"/>
      <w:r w:rsidRPr="00C51AE9">
        <w:rPr>
          <w:rFonts w:ascii="Times New Roman" w:eastAsia="Times New Roman" w:hAnsi="Times New Roman" w:cs="Times New Roman"/>
          <w:kern w:val="0"/>
          <w14:ligatures w14:val="none"/>
        </w:rPr>
        <w:t xml:space="preserve"> të përdorur për lloje të ndryshme gazi, duke përjashtuar </w:t>
      </w:r>
      <w:proofErr w:type="spellStart"/>
      <w:r w:rsidRPr="00C51AE9">
        <w:rPr>
          <w:rFonts w:ascii="Times New Roman" w:eastAsia="Times New Roman" w:hAnsi="Times New Roman" w:cs="Times New Roman"/>
          <w:kern w:val="0"/>
          <w14:ligatures w14:val="none"/>
        </w:rPr>
        <w:t>fikëset</w:t>
      </w:r>
      <w:proofErr w:type="spellEnd"/>
      <w:r w:rsidRPr="00C51AE9">
        <w:rPr>
          <w:rFonts w:ascii="Times New Roman" w:eastAsia="Times New Roman" w:hAnsi="Times New Roman" w:cs="Times New Roman"/>
          <w:kern w:val="0"/>
          <w14:ligatures w14:val="none"/>
        </w:rPr>
        <w:t xml:space="preserve"> e zjarrit;</w:t>
      </w:r>
    </w:p>
    <w:p w14:paraId="6E1812A4"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Qese me fletë alumini për çaj dhe kafe;</w:t>
      </w:r>
    </w:p>
    <w:p w14:paraId="2C901D68" w14:textId="77777777" w:rsidR="00767CD0" w:rsidRPr="00C51AE9" w:rsidRDefault="00C51AE9" w:rsidP="00F635BF">
      <w:pPr>
        <w:numPr>
          <w:ilvl w:val="0"/>
          <w:numId w:val="124"/>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Kuti kartoni të përdorura për tubat e pastës së dhëmbëve.</w:t>
      </w:r>
    </w:p>
    <w:p w14:paraId="2FC4F420" w14:textId="77777777" w:rsidR="00767CD0" w:rsidRPr="00C51AE9" w:rsidRDefault="00C51AE9">
      <w:pPr>
        <w:numPr>
          <w:ilvl w:val="0"/>
          <w:numId w:val="23"/>
        </w:numPr>
        <w:spacing w:after="0"/>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nuk konsiderohen ambalazh:</w:t>
      </w:r>
    </w:p>
    <w:p w14:paraId="31D64532"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Vazo lulesh dhe bimësh, përfshirë tabakatë e farave, të përdorura në marrëdhënie tregtare midis bizneseve përgjatë fazave të ndryshme të prodhimit ose të destinuara të shiten së bashku me bimën për qëndrim afatgjatë;</w:t>
      </w:r>
    </w:p>
    <w:p w14:paraId="04295347"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Kuti mjetesh pune;</w:t>
      </w:r>
    </w:p>
    <w:p w14:paraId="406C828A"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Shtresa dylli rreth djathit;</w:t>
      </w:r>
    </w:p>
    <w:p w14:paraId="1DD8C75E"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Lëkura mbështjellëse e sallamit;</w:t>
      </w:r>
    </w:p>
    <w:p w14:paraId="206535D2"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Varëse rrobash, të shitura veçmas;</w:t>
      </w:r>
    </w:p>
    <w:p w14:paraId="65CE7681"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Kuti boje për </w:t>
      </w:r>
      <w:proofErr w:type="spellStart"/>
      <w:r w:rsidRPr="00C51AE9">
        <w:rPr>
          <w:rFonts w:ascii="Times New Roman" w:eastAsia="Times New Roman" w:hAnsi="Times New Roman" w:cs="Times New Roman"/>
          <w:kern w:val="0"/>
          <w14:ligatures w14:val="none"/>
        </w:rPr>
        <w:t>printera</w:t>
      </w:r>
      <w:proofErr w:type="spellEnd"/>
      <w:r w:rsidRPr="00C51AE9">
        <w:rPr>
          <w:rFonts w:ascii="Times New Roman" w:eastAsia="Times New Roman" w:hAnsi="Times New Roman" w:cs="Times New Roman"/>
          <w:kern w:val="0"/>
          <w14:ligatures w14:val="none"/>
        </w:rPr>
        <w:t>;</w:t>
      </w:r>
    </w:p>
    <w:p w14:paraId="3CA51C10"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Kuti mbajtëse për disqe kompakte, disqe video </w:t>
      </w:r>
      <w:proofErr w:type="spellStart"/>
      <w:r w:rsidRPr="00C51AE9">
        <w:rPr>
          <w:rFonts w:ascii="Times New Roman" w:eastAsia="Times New Roman" w:hAnsi="Times New Roman" w:cs="Times New Roman"/>
          <w:kern w:val="0"/>
          <w14:ligatures w14:val="none"/>
        </w:rPr>
        <w:t>dixhitale</w:t>
      </w:r>
      <w:proofErr w:type="spellEnd"/>
      <w:r w:rsidRPr="00C51AE9">
        <w:rPr>
          <w:rFonts w:ascii="Times New Roman" w:eastAsia="Times New Roman" w:hAnsi="Times New Roman" w:cs="Times New Roman"/>
          <w:kern w:val="0"/>
          <w14:ligatures w14:val="none"/>
        </w:rPr>
        <w:t xml:space="preserve"> dhe video-kaseta, të shitura së bashku me diskon ose videon brenda, të destinuara për ruajtje afatgjatë;</w:t>
      </w:r>
    </w:p>
    <w:p w14:paraId="25326C8D"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Mbajtëse boshtore për disqe kompakte, të shitura bosh dhe të destinuara për t’u përdorur si ruajtje;</w:t>
      </w:r>
    </w:p>
    <w:p w14:paraId="1A7B35CA"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Qese të tretshme për detergjente;</w:t>
      </w:r>
    </w:p>
    <w:p w14:paraId="03CB54B0"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Mbajtëse qirinjsh për varreza;</w:t>
      </w:r>
    </w:p>
    <w:p w14:paraId="2A7C904C" w14:textId="77777777" w:rsidR="00767CD0" w:rsidRPr="00C51AE9" w:rsidRDefault="00C51AE9" w:rsidP="00F635BF">
      <w:pPr>
        <w:numPr>
          <w:ilvl w:val="0"/>
          <w:numId w:val="125"/>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Mulli mekanik i integruar në një marrës të </w:t>
      </w:r>
      <w:proofErr w:type="spellStart"/>
      <w:r w:rsidRPr="00C51AE9">
        <w:rPr>
          <w:rFonts w:ascii="Times New Roman" w:eastAsia="Times New Roman" w:hAnsi="Times New Roman" w:cs="Times New Roman"/>
          <w:kern w:val="0"/>
          <w14:ligatures w14:val="none"/>
        </w:rPr>
        <w:t>rimbushshëm</w:t>
      </w:r>
      <w:proofErr w:type="spellEnd"/>
      <w:r w:rsidRPr="00C51AE9">
        <w:rPr>
          <w:rFonts w:ascii="Times New Roman" w:eastAsia="Times New Roman" w:hAnsi="Times New Roman" w:cs="Times New Roman"/>
          <w:kern w:val="0"/>
          <w14:ligatures w14:val="none"/>
        </w:rPr>
        <w:t xml:space="preserve">, si mulli speci i </w:t>
      </w:r>
      <w:proofErr w:type="spellStart"/>
      <w:r w:rsidRPr="00C51AE9">
        <w:rPr>
          <w:rFonts w:ascii="Times New Roman" w:eastAsia="Times New Roman" w:hAnsi="Times New Roman" w:cs="Times New Roman"/>
          <w:kern w:val="0"/>
          <w14:ligatures w14:val="none"/>
        </w:rPr>
        <w:t>rimbushshëm</w:t>
      </w:r>
      <w:proofErr w:type="spellEnd"/>
      <w:r w:rsidRPr="00C51AE9">
        <w:rPr>
          <w:rFonts w:ascii="Times New Roman" w:eastAsia="Times New Roman" w:hAnsi="Times New Roman" w:cs="Times New Roman"/>
          <w:kern w:val="0"/>
          <w14:ligatures w14:val="none"/>
        </w:rPr>
        <w:t>.</w:t>
      </w:r>
    </w:p>
    <w:p w14:paraId="07B87B78" w14:textId="77777777" w:rsidR="00767CD0" w:rsidRPr="00C51AE9" w:rsidRDefault="00767CD0">
      <w:pPr>
        <w:spacing w:after="0"/>
        <w:ind w:left="720"/>
        <w:jc w:val="both"/>
        <w:rPr>
          <w:rFonts w:ascii="Times New Roman" w:eastAsia="Times New Roman" w:hAnsi="Times New Roman" w:cs="Times New Roman"/>
          <w:kern w:val="0"/>
          <w14:ligatures w14:val="none"/>
        </w:rPr>
      </w:pPr>
    </w:p>
    <w:p w14:paraId="4B65657D" w14:textId="77777777" w:rsidR="00767CD0" w:rsidRPr="00C51AE9" w:rsidRDefault="00C51AE9">
      <w:pPr>
        <w:jc w:val="both"/>
        <w:rPr>
          <w:rFonts w:ascii="Times New Roman" w:eastAsia="Times New Roman" w:hAnsi="Times New Roman" w:cs="Times New Roman"/>
          <w:b/>
          <w:bCs/>
          <w:kern w:val="0"/>
          <w14:ligatures w14:val="none"/>
        </w:rPr>
      </w:pPr>
      <w:r w:rsidRPr="00C51AE9">
        <w:rPr>
          <w:rFonts w:ascii="Times New Roman" w:eastAsia="Times New Roman" w:hAnsi="Times New Roman" w:cs="Times New Roman"/>
          <w:b/>
          <w:bCs/>
          <w:kern w:val="0"/>
          <w14:ligatures w14:val="none"/>
        </w:rPr>
        <w:t>B. Komponentët e ambalazhit dhe pjesët e lidhura me të</w:t>
      </w:r>
    </w:p>
    <w:p w14:paraId="0BF33D69" w14:textId="77777777" w:rsidR="00767CD0" w:rsidRPr="00C51AE9" w:rsidRDefault="00C51AE9" w:rsidP="00F635BF">
      <w:pPr>
        <w:numPr>
          <w:ilvl w:val="0"/>
          <w:numId w:val="127"/>
        </w:numPr>
        <w:tabs>
          <w:tab w:val="left" w:pos="810"/>
        </w:tabs>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konsiderohen ambalazh:</w:t>
      </w:r>
    </w:p>
    <w:p w14:paraId="0D87A630"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Etiketat e varura drejtpërdrejt ose të bashkëngjitura me një produkt, duke përfshirë etiketat ngjitëse të bashkëngjitura me frutat dhe perimet;</w:t>
      </w:r>
    </w:p>
    <w:p w14:paraId="27FF2607"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Furça e </w:t>
      </w:r>
      <w:proofErr w:type="spellStart"/>
      <w:r w:rsidRPr="00C51AE9">
        <w:rPr>
          <w:rFonts w:ascii="Times New Roman" w:eastAsia="Times New Roman" w:hAnsi="Times New Roman" w:cs="Times New Roman"/>
          <w:kern w:val="0"/>
          <w14:ligatures w14:val="none"/>
        </w:rPr>
        <w:t>rimelit</w:t>
      </w:r>
      <w:proofErr w:type="spellEnd"/>
      <w:r w:rsidRPr="00C51AE9">
        <w:rPr>
          <w:rFonts w:ascii="Times New Roman" w:eastAsia="Times New Roman" w:hAnsi="Times New Roman" w:cs="Times New Roman"/>
          <w:kern w:val="0"/>
          <w14:ligatures w14:val="none"/>
        </w:rPr>
        <w:t xml:space="preserve"> që përbën pjesë të mbylljes së enës;</w:t>
      </w:r>
    </w:p>
    <w:p w14:paraId="0262A2EE"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Etiketa ngjitëse të bashkëngjitura te një artikull tjetër ambalazhimi;</w:t>
      </w:r>
    </w:p>
    <w:p w14:paraId="1D112369"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Kapëse mbyllëse letre ose plastike;</w:t>
      </w:r>
    </w:p>
    <w:p w14:paraId="3588274C"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Mëngë plastike mbështjellëse;</w:t>
      </w:r>
    </w:p>
    <w:p w14:paraId="43586946"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Pajisje për matjen e dozës që bëjnë pjesë në mbylljen e enës për </w:t>
      </w:r>
      <w:proofErr w:type="spellStart"/>
      <w:r w:rsidRPr="00C51AE9">
        <w:rPr>
          <w:rFonts w:ascii="Times New Roman" w:eastAsia="Times New Roman" w:hAnsi="Times New Roman" w:cs="Times New Roman"/>
          <w:kern w:val="0"/>
          <w14:ligatures w14:val="none"/>
        </w:rPr>
        <w:t>detergjentë</w:t>
      </w:r>
      <w:proofErr w:type="spellEnd"/>
      <w:r w:rsidRPr="00C51AE9">
        <w:rPr>
          <w:rFonts w:ascii="Times New Roman" w:eastAsia="Times New Roman" w:hAnsi="Times New Roman" w:cs="Times New Roman"/>
          <w:kern w:val="0"/>
          <w14:ligatures w14:val="none"/>
        </w:rPr>
        <w:t>;</w:t>
      </w:r>
    </w:p>
    <w:p w14:paraId="31CB7407" w14:textId="77777777" w:rsidR="00767CD0" w:rsidRPr="00C51AE9" w:rsidRDefault="00C51AE9" w:rsidP="00F635BF">
      <w:pPr>
        <w:numPr>
          <w:ilvl w:val="0"/>
          <w:numId w:val="126"/>
        </w:numPr>
        <w:tabs>
          <w:tab w:val="left" w:pos="81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Mulli mekanik i integruar në një enë jo të </w:t>
      </w:r>
      <w:proofErr w:type="spellStart"/>
      <w:r w:rsidRPr="00C51AE9">
        <w:rPr>
          <w:rFonts w:ascii="Times New Roman" w:eastAsia="Times New Roman" w:hAnsi="Times New Roman" w:cs="Times New Roman"/>
          <w:kern w:val="0"/>
          <w14:ligatures w14:val="none"/>
        </w:rPr>
        <w:t>rimbushshme</w:t>
      </w:r>
      <w:proofErr w:type="spellEnd"/>
      <w:r w:rsidRPr="00C51AE9">
        <w:rPr>
          <w:rFonts w:ascii="Times New Roman" w:eastAsia="Times New Roman" w:hAnsi="Times New Roman" w:cs="Times New Roman"/>
          <w:kern w:val="0"/>
          <w14:ligatures w14:val="none"/>
        </w:rPr>
        <w:t xml:space="preserve"> dhe të mbushur me produkt, si mulli piperi i mbushur me piper.</w:t>
      </w:r>
    </w:p>
    <w:p w14:paraId="652F02F6" w14:textId="77777777" w:rsidR="00767CD0" w:rsidRPr="00C51AE9" w:rsidRDefault="00C51AE9" w:rsidP="00F635BF">
      <w:pPr>
        <w:numPr>
          <w:ilvl w:val="0"/>
          <w:numId w:val="127"/>
        </w:numPr>
        <w:tabs>
          <w:tab w:val="left" w:pos="720"/>
        </w:tabs>
        <w:spacing w:after="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nuk konsiderohen ambalazh:</w:t>
      </w:r>
    </w:p>
    <w:p w14:paraId="57919013" w14:textId="77777777" w:rsidR="00767CD0" w:rsidRPr="00C51AE9" w:rsidRDefault="00C51AE9" w:rsidP="00F635BF">
      <w:pPr>
        <w:numPr>
          <w:ilvl w:val="0"/>
          <w:numId w:val="128"/>
        </w:numPr>
        <w:tabs>
          <w:tab w:val="left" w:pos="72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Etiketa të identifikimit me </w:t>
      </w:r>
      <w:proofErr w:type="spellStart"/>
      <w:r w:rsidRPr="00C51AE9">
        <w:rPr>
          <w:rFonts w:ascii="Times New Roman" w:eastAsia="Times New Roman" w:hAnsi="Times New Roman" w:cs="Times New Roman"/>
          <w:kern w:val="0"/>
          <w14:ligatures w14:val="none"/>
        </w:rPr>
        <w:t>radiofrekuencë</w:t>
      </w:r>
      <w:proofErr w:type="spellEnd"/>
      <w:r w:rsidRPr="00C51AE9">
        <w:rPr>
          <w:rFonts w:ascii="Times New Roman" w:eastAsia="Times New Roman" w:hAnsi="Times New Roman" w:cs="Times New Roman"/>
          <w:kern w:val="0"/>
          <w14:ligatures w14:val="none"/>
        </w:rPr>
        <w:t>;</w:t>
      </w:r>
    </w:p>
    <w:p w14:paraId="06511AA6" w14:textId="77777777" w:rsidR="00767CD0" w:rsidRPr="00C51AE9" w:rsidRDefault="00C51AE9" w:rsidP="00F635BF">
      <w:pPr>
        <w:numPr>
          <w:ilvl w:val="0"/>
          <w:numId w:val="128"/>
        </w:numPr>
        <w:tabs>
          <w:tab w:val="left" w:pos="720"/>
        </w:tabs>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Etiketat e gomave të automjeteve në formën e ngjitëseve, në përputhje me legjislacionin specifik për etiketimin e gomave.</w:t>
      </w:r>
    </w:p>
    <w:p w14:paraId="7077FB70" w14:textId="77777777" w:rsidR="00767CD0" w:rsidRPr="00C51AE9" w:rsidRDefault="00767CD0">
      <w:pPr>
        <w:spacing w:after="0"/>
        <w:ind w:left="720"/>
        <w:jc w:val="both"/>
        <w:rPr>
          <w:rFonts w:ascii="Times New Roman" w:eastAsia="Times New Roman" w:hAnsi="Times New Roman" w:cs="Times New Roman"/>
          <w:kern w:val="0"/>
          <w14:ligatures w14:val="none"/>
        </w:rPr>
      </w:pPr>
    </w:p>
    <w:p w14:paraId="45F5ED2D" w14:textId="77777777" w:rsidR="00767CD0" w:rsidRPr="00C51AE9" w:rsidRDefault="00C51AE9">
      <w:pPr>
        <w:jc w:val="both"/>
        <w:rPr>
          <w:rFonts w:ascii="Times New Roman" w:eastAsia="Times New Roman" w:hAnsi="Times New Roman" w:cs="Times New Roman"/>
          <w:b/>
          <w:bCs/>
          <w:kern w:val="0"/>
          <w14:ligatures w14:val="none"/>
        </w:rPr>
      </w:pPr>
      <w:r w:rsidRPr="00C51AE9">
        <w:rPr>
          <w:rFonts w:ascii="Times New Roman" w:eastAsia="Times New Roman" w:hAnsi="Times New Roman" w:cs="Times New Roman"/>
          <w:b/>
          <w:bCs/>
          <w:kern w:val="0"/>
          <w14:ligatures w14:val="none"/>
        </w:rPr>
        <w:t>C. Ambalazhet e përdorura në pikën e shitjes (Ambalazhet e shërbimit)</w:t>
      </w:r>
    </w:p>
    <w:p w14:paraId="0698A9FF" w14:textId="77777777" w:rsidR="00767CD0" w:rsidRPr="00C51AE9" w:rsidRDefault="00C51AE9">
      <w:pPr>
        <w:numPr>
          <w:ilvl w:val="0"/>
          <w:numId w:val="24"/>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konsiderohen ambalazh, nëse janë projektuar dhe synuar të mbushen në pikën e shitjes:</w:t>
      </w:r>
    </w:p>
    <w:p w14:paraId="29BE5C87"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Qese mbajtëse prej letre ose plastike;</w:t>
      </w:r>
    </w:p>
    <w:p w14:paraId="06F06610"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Pjata dhe gota </w:t>
      </w:r>
      <w:proofErr w:type="spellStart"/>
      <w:r w:rsidRPr="00C51AE9">
        <w:rPr>
          <w:rFonts w:ascii="Times New Roman" w:eastAsia="Times New Roman" w:hAnsi="Times New Roman" w:cs="Times New Roman"/>
          <w:kern w:val="0"/>
          <w14:ligatures w14:val="none"/>
        </w:rPr>
        <w:t>njëpërdorimëshe</w:t>
      </w:r>
      <w:proofErr w:type="spellEnd"/>
      <w:r w:rsidRPr="00C51AE9">
        <w:rPr>
          <w:rFonts w:ascii="Times New Roman" w:eastAsia="Times New Roman" w:hAnsi="Times New Roman" w:cs="Times New Roman"/>
          <w:kern w:val="0"/>
          <w14:ligatures w14:val="none"/>
        </w:rPr>
        <w:t>;</w:t>
      </w:r>
    </w:p>
    <w:p w14:paraId="4F881E12"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Film plastik ngjitës;</w:t>
      </w:r>
    </w:p>
    <w:p w14:paraId="33F68376"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Qese për </w:t>
      </w:r>
      <w:proofErr w:type="spellStart"/>
      <w:r w:rsidRPr="00C51AE9">
        <w:rPr>
          <w:rFonts w:ascii="Times New Roman" w:eastAsia="Times New Roman" w:hAnsi="Times New Roman" w:cs="Times New Roman"/>
          <w:kern w:val="0"/>
          <w14:ligatures w14:val="none"/>
        </w:rPr>
        <w:t>sanduiçë</w:t>
      </w:r>
      <w:proofErr w:type="spellEnd"/>
      <w:r w:rsidRPr="00C51AE9">
        <w:rPr>
          <w:rFonts w:ascii="Times New Roman" w:eastAsia="Times New Roman" w:hAnsi="Times New Roman" w:cs="Times New Roman"/>
          <w:kern w:val="0"/>
          <w14:ligatures w14:val="none"/>
        </w:rPr>
        <w:t>;</w:t>
      </w:r>
    </w:p>
    <w:p w14:paraId="131E276D"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Letër alumini;</w:t>
      </w:r>
    </w:p>
    <w:p w14:paraId="06DB471C" w14:textId="77777777" w:rsidR="00767CD0" w:rsidRPr="00C51AE9" w:rsidRDefault="00C51AE9" w:rsidP="00F635BF">
      <w:pPr>
        <w:numPr>
          <w:ilvl w:val="0"/>
          <w:numId w:val="129"/>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Qese plastike për rrobat e pastruara në pastrim kimik.</w:t>
      </w:r>
    </w:p>
    <w:p w14:paraId="2543ADBA" w14:textId="77777777" w:rsidR="00767CD0" w:rsidRPr="00C51AE9" w:rsidRDefault="00C51AE9">
      <w:pPr>
        <w:numPr>
          <w:ilvl w:val="0"/>
          <w:numId w:val="24"/>
        </w:numPr>
        <w:spacing w:after="0"/>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Artikujt që nuk konsiderohen ambalazh:</w:t>
      </w:r>
    </w:p>
    <w:p w14:paraId="306C8706"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Shkopinj përzierës për pije;</w:t>
      </w:r>
    </w:p>
    <w:p w14:paraId="4E84AB79"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Set ngrënieje </w:t>
      </w:r>
      <w:proofErr w:type="spellStart"/>
      <w:r w:rsidRPr="00C51AE9">
        <w:rPr>
          <w:rFonts w:ascii="Times New Roman" w:eastAsia="Times New Roman" w:hAnsi="Times New Roman" w:cs="Times New Roman"/>
          <w:kern w:val="0"/>
          <w14:ligatures w14:val="none"/>
        </w:rPr>
        <w:t>njëpërdorimësh</w:t>
      </w:r>
      <w:proofErr w:type="spellEnd"/>
    </w:p>
    <w:p w14:paraId="52B326EF"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Letër ambalazhimi e shitur veçmas konsumatorëve dhe operatorëve ekonomikë;</w:t>
      </w:r>
    </w:p>
    <w:p w14:paraId="3DE980D5"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Forma letre për pjekje, të shitura bosh;</w:t>
      </w:r>
    </w:p>
    <w:p w14:paraId="42003555"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Mbajtëse kartoni ose letre për torta, të shitura pa tortë;</w:t>
      </w:r>
    </w:p>
    <w:p w14:paraId="1D0AE26F" w14:textId="77777777" w:rsidR="00767CD0" w:rsidRPr="00C51AE9" w:rsidRDefault="00C51AE9" w:rsidP="00F635BF">
      <w:pPr>
        <w:numPr>
          <w:ilvl w:val="0"/>
          <w:numId w:val="130"/>
        </w:numPr>
        <w:spacing w:after="0"/>
        <w:ind w:left="1170"/>
        <w:contextualSpacing/>
        <w:jc w:val="both"/>
        <w:rPr>
          <w:rFonts w:ascii="Times New Roman" w:eastAsia="Times New Roman" w:hAnsi="Times New Roman" w:cs="Times New Roman"/>
          <w:kern w:val="0"/>
          <w14:ligatures w14:val="none"/>
        </w:rPr>
      </w:pPr>
      <w:r w:rsidRPr="00C51AE9">
        <w:rPr>
          <w:rFonts w:ascii="Times New Roman" w:eastAsia="Times New Roman" w:hAnsi="Times New Roman" w:cs="Times New Roman"/>
          <w:kern w:val="0"/>
          <w14:ligatures w14:val="none"/>
        </w:rPr>
        <w:t xml:space="preserve">Pjata dhe gota </w:t>
      </w:r>
      <w:proofErr w:type="spellStart"/>
      <w:r w:rsidRPr="00C51AE9">
        <w:rPr>
          <w:rFonts w:ascii="Times New Roman" w:eastAsia="Times New Roman" w:hAnsi="Times New Roman" w:cs="Times New Roman"/>
          <w:kern w:val="0"/>
          <w14:ligatures w14:val="none"/>
        </w:rPr>
        <w:t>njëpërdorimëshe</w:t>
      </w:r>
      <w:proofErr w:type="spellEnd"/>
      <w:r w:rsidRPr="00C51AE9">
        <w:rPr>
          <w:rFonts w:ascii="Times New Roman" w:eastAsia="Times New Roman" w:hAnsi="Times New Roman" w:cs="Times New Roman"/>
          <w:kern w:val="0"/>
          <w14:ligatures w14:val="none"/>
        </w:rPr>
        <w:t xml:space="preserve"> që nuk synohen të mbushen në pikën e shitjes.</w:t>
      </w:r>
    </w:p>
    <w:p w14:paraId="459D8D06" w14:textId="77777777" w:rsidR="00767CD0" w:rsidRPr="00C51AE9" w:rsidRDefault="00767CD0">
      <w:pPr>
        <w:spacing w:before="480" w:after="480"/>
        <w:rPr>
          <w:rFonts w:ascii="Times New Roman" w:eastAsia="Times New Roman" w:hAnsi="Times New Roman" w:cs="Times New Roman"/>
          <w:kern w:val="0"/>
          <w14:ligatures w14:val="none"/>
        </w:rPr>
      </w:pPr>
    </w:p>
    <w:p w14:paraId="4837EAB5" w14:textId="77777777" w:rsidR="00767CD0" w:rsidRPr="00C51AE9" w:rsidRDefault="00C51AE9">
      <w:pPr>
        <w:jc w:val="both"/>
        <w:rPr>
          <w:rFonts w:ascii="Times New Roman" w:hAnsi="Times New Roman" w:cs="Times New Roman"/>
          <w:w w:val="90"/>
        </w:rPr>
      </w:pPr>
      <w:r w:rsidRPr="00C51AE9">
        <w:br w:type="page"/>
      </w:r>
    </w:p>
    <w:p w14:paraId="2433FF31"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rPr>
        <w:lastRenderedPageBreak/>
        <w:t>SHTOJCA II</w:t>
      </w:r>
    </w:p>
    <w:p w14:paraId="79D1C1AE"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Kategoritë dhe parametrat për vlerësimin e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xml:space="preserve"> së ambalazhimit</w:t>
      </w:r>
    </w:p>
    <w:tbl>
      <w:tblPr>
        <w:tblStyle w:val="TableGrid"/>
        <w:tblW w:w="8630" w:type="dxa"/>
        <w:tblLayout w:type="fixed"/>
        <w:tblLook w:val="04A0" w:firstRow="1" w:lastRow="0" w:firstColumn="1" w:lastColumn="0" w:noHBand="0" w:noVBand="1"/>
      </w:tblPr>
      <w:tblGrid>
        <w:gridCol w:w="1201"/>
        <w:gridCol w:w="1773"/>
        <w:gridCol w:w="1959"/>
        <w:gridCol w:w="2241"/>
        <w:gridCol w:w="1456"/>
      </w:tblGrid>
      <w:tr w:rsidR="00C51AE9" w:rsidRPr="00C51AE9" w14:paraId="1DB54CC2" w14:textId="77777777">
        <w:tc>
          <w:tcPr>
            <w:tcW w:w="1201" w:type="dxa"/>
            <w:vAlign w:val="center"/>
          </w:tcPr>
          <w:p w14:paraId="7F0029F7" w14:textId="77777777" w:rsidR="00767CD0" w:rsidRPr="00C51AE9" w:rsidRDefault="00C51AE9">
            <w:pPr>
              <w:spacing w:after="0" w:line="240" w:lineRule="auto"/>
              <w:jc w:val="center"/>
              <w:rPr>
                <w:rFonts w:ascii="Times New Roman" w:hAnsi="Times New Roman" w:cs="Times New Roman"/>
                <w:b/>
                <w:bCs/>
              </w:rPr>
            </w:pPr>
            <w:r w:rsidRPr="00C51AE9">
              <w:rPr>
                <w:rFonts w:ascii="Times New Roman" w:eastAsia="Aptos" w:hAnsi="Times New Roman" w:cs="Times New Roman"/>
                <w:b/>
                <w:bCs/>
                <w:kern w:val="0"/>
              </w:rPr>
              <w:t>Kategoria Nr.</w:t>
            </w:r>
          </w:p>
        </w:tc>
        <w:tc>
          <w:tcPr>
            <w:tcW w:w="1773" w:type="dxa"/>
            <w:vAlign w:val="center"/>
          </w:tcPr>
          <w:p w14:paraId="4456EF60" w14:textId="77777777" w:rsidR="00767CD0" w:rsidRPr="00C51AE9" w:rsidRDefault="00C51AE9">
            <w:pPr>
              <w:spacing w:after="0" w:line="240" w:lineRule="auto"/>
              <w:jc w:val="center"/>
              <w:rPr>
                <w:rFonts w:ascii="Times New Roman" w:hAnsi="Times New Roman" w:cs="Times New Roman"/>
                <w:b/>
                <w:bCs/>
              </w:rPr>
            </w:pPr>
            <w:r w:rsidRPr="00C51AE9">
              <w:rPr>
                <w:rFonts w:ascii="Times New Roman" w:eastAsia="Aptos" w:hAnsi="Times New Roman" w:cs="Times New Roman"/>
                <w:b/>
                <w:bCs/>
                <w:kern w:val="0"/>
              </w:rPr>
              <w:t>Materiali mbizotërues i ambalazhimit</w:t>
            </w:r>
          </w:p>
        </w:tc>
        <w:tc>
          <w:tcPr>
            <w:tcW w:w="1959" w:type="dxa"/>
            <w:vAlign w:val="center"/>
          </w:tcPr>
          <w:p w14:paraId="562A1F73" w14:textId="77777777" w:rsidR="00767CD0" w:rsidRPr="00C51AE9" w:rsidRDefault="00C51AE9">
            <w:pPr>
              <w:spacing w:after="0" w:line="240" w:lineRule="auto"/>
              <w:jc w:val="center"/>
              <w:rPr>
                <w:rFonts w:ascii="Times New Roman" w:hAnsi="Times New Roman" w:cs="Times New Roman"/>
                <w:b/>
                <w:bCs/>
              </w:rPr>
            </w:pPr>
            <w:r w:rsidRPr="00C51AE9">
              <w:rPr>
                <w:rFonts w:ascii="Times New Roman" w:eastAsia="Aptos" w:hAnsi="Times New Roman" w:cs="Times New Roman"/>
                <w:b/>
                <w:bCs/>
                <w:kern w:val="0"/>
              </w:rPr>
              <w:t>Lloji i ambalazhimit</w:t>
            </w:r>
          </w:p>
        </w:tc>
        <w:tc>
          <w:tcPr>
            <w:tcW w:w="2241" w:type="dxa"/>
            <w:vAlign w:val="center"/>
          </w:tcPr>
          <w:p w14:paraId="290555FF" w14:textId="77777777" w:rsidR="00767CD0" w:rsidRPr="00C51AE9" w:rsidRDefault="00C51AE9">
            <w:pPr>
              <w:spacing w:after="0" w:line="240" w:lineRule="auto"/>
              <w:jc w:val="center"/>
              <w:rPr>
                <w:rFonts w:ascii="Times New Roman" w:hAnsi="Times New Roman" w:cs="Times New Roman"/>
                <w:b/>
                <w:bCs/>
              </w:rPr>
            </w:pPr>
            <w:r w:rsidRPr="00C51AE9">
              <w:rPr>
                <w:rFonts w:ascii="Times New Roman" w:eastAsia="Aptos" w:hAnsi="Times New Roman" w:cs="Times New Roman"/>
                <w:b/>
                <w:bCs/>
                <w:kern w:val="0"/>
              </w:rPr>
              <w:t>Formati (ilustrues dhe jo shterues)</w:t>
            </w:r>
          </w:p>
        </w:tc>
        <w:tc>
          <w:tcPr>
            <w:tcW w:w="1456" w:type="dxa"/>
            <w:vAlign w:val="center"/>
          </w:tcPr>
          <w:p w14:paraId="4CC0DB99" w14:textId="77777777" w:rsidR="00767CD0" w:rsidRPr="00C51AE9" w:rsidRDefault="00C51AE9">
            <w:pPr>
              <w:spacing w:after="0" w:line="240" w:lineRule="auto"/>
              <w:jc w:val="center"/>
              <w:rPr>
                <w:rFonts w:ascii="Times New Roman" w:hAnsi="Times New Roman" w:cs="Times New Roman"/>
                <w:b/>
                <w:bCs/>
              </w:rPr>
            </w:pPr>
            <w:r w:rsidRPr="00C51AE9">
              <w:rPr>
                <w:rFonts w:ascii="Times New Roman" w:eastAsia="Aptos" w:hAnsi="Times New Roman" w:cs="Times New Roman"/>
                <w:b/>
                <w:bCs/>
                <w:kern w:val="0"/>
              </w:rPr>
              <w:t>Ngjyrë/ transmetim optik</w:t>
            </w:r>
          </w:p>
        </w:tc>
      </w:tr>
      <w:tr w:rsidR="00C51AE9" w:rsidRPr="00C51AE9" w14:paraId="596764DE" w14:textId="77777777">
        <w:tc>
          <w:tcPr>
            <w:tcW w:w="1201" w:type="dxa"/>
          </w:tcPr>
          <w:p w14:paraId="4F4E6F97" w14:textId="77777777" w:rsidR="00767CD0" w:rsidRPr="00C51AE9" w:rsidRDefault="00767CD0">
            <w:pPr>
              <w:spacing w:after="0" w:line="240" w:lineRule="auto"/>
              <w:jc w:val="both"/>
              <w:rPr>
                <w:rFonts w:ascii="Times New Roman" w:hAnsi="Times New Roman" w:cs="Times New Roman"/>
              </w:rPr>
            </w:pPr>
          </w:p>
        </w:tc>
        <w:tc>
          <w:tcPr>
            <w:tcW w:w="1773" w:type="dxa"/>
          </w:tcPr>
          <w:p w14:paraId="0F1BC7C7" w14:textId="77777777" w:rsidR="00767CD0" w:rsidRPr="00C51AE9" w:rsidRDefault="00767CD0">
            <w:pPr>
              <w:spacing w:after="0" w:line="240" w:lineRule="auto"/>
              <w:jc w:val="both"/>
              <w:rPr>
                <w:rFonts w:ascii="Times New Roman" w:hAnsi="Times New Roman" w:cs="Times New Roman"/>
              </w:rPr>
            </w:pPr>
          </w:p>
        </w:tc>
        <w:tc>
          <w:tcPr>
            <w:tcW w:w="1959" w:type="dxa"/>
          </w:tcPr>
          <w:p w14:paraId="37CBE18E" w14:textId="77777777" w:rsidR="00767CD0" w:rsidRPr="00C51AE9" w:rsidRDefault="00C51AE9">
            <w:pPr>
              <w:spacing w:after="0" w:line="240" w:lineRule="auto"/>
              <w:jc w:val="both"/>
              <w:rPr>
                <w:rFonts w:ascii="Times New Roman" w:hAnsi="Times New Roman" w:cs="Times New Roman"/>
              </w:rPr>
            </w:pPr>
            <w:r w:rsidRPr="00C51AE9">
              <w:rPr>
                <w:rFonts w:ascii="Times New Roman" w:eastAsia="Aptos" w:hAnsi="Times New Roman" w:cs="Times New Roman"/>
                <w:kern w:val="0"/>
              </w:rPr>
              <w:t>Qelq dhe i përbërë ambalazh, nga i cili shumica është qelq</w:t>
            </w:r>
          </w:p>
        </w:tc>
        <w:tc>
          <w:tcPr>
            <w:tcW w:w="2241" w:type="dxa"/>
          </w:tcPr>
          <w:p w14:paraId="2398CA45" w14:textId="77777777" w:rsidR="00767CD0" w:rsidRPr="00C51AE9" w:rsidRDefault="00C51AE9">
            <w:pPr>
              <w:spacing w:after="0" w:line="240" w:lineRule="auto"/>
              <w:jc w:val="both"/>
              <w:rPr>
                <w:rFonts w:ascii="Times New Roman" w:hAnsi="Times New Roman" w:cs="Times New Roman"/>
              </w:rPr>
            </w:pPr>
            <w:r w:rsidRPr="00C51AE9">
              <w:rPr>
                <w:rFonts w:ascii="Times New Roman" w:eastAsia="Aptos" w:hAnsi="Times New Roman" w:cs="Times New Roman"/>
                <w:kern w:val="0"/>
              </w:rPr>
              <w:t xml:space="preserve">Shishe, kavanoza, </w:t>
            </w:r>
            <w:proofErr w:type="spellStart"/>
            <w:r w:rsidRPr="00C51AE9">
              <w:rPr>
                <w:rFonts w:ascii="Times New Roman" w:eastAsia="Aptos" w:hAnsi="Times New Roman" w:cs="Times New Roman"/>
                <w:kern w:val="0"/>
              </w:rPr>
              <w:t>flakonë</w:t>
            </w:r>
            <w:proofErr w:type="spellEnd"/>
            <w:r w:rsidRPr="00C51AE9">
              <w:rPr>
                <w:rFonts w:ascii="Times New Roman" w:eastAsia="Aptos" w:hAnsi="Times New Roman" w:cs="Times New Roman"/>
                <w:kern w:val="0"/>
              </w:rPr>
              <w:t xml:space="preserve">, kozmetikë poçe, tuba, ampula, </w:t>
            </w:r>
            <w:proofErr w:type="spellStart"/>
            <w:r w:rsidRPr="00C51AE9">
              <w:rPr>
                <w:rFonts w:ascii="Times New Roman" w:eastAsia="Aptos" w:hAnsi="Times New Roman" w:cs="Times New Roman"/>
                <w:kern w:val="0"/>
              </w:rPr>
              <w:t>flakonë</w:t>
            </w:r>
            <w:proofErr w:type="spellEnd"/>
            <w:r w:rsidRPr="00C51AE9">
              <w:rPr>
                <w:rFonts w:ascii="Times New Roman" w:eastAsia="Aptos" w:hAnsi="Times New Roman" w:cs="Times New Roman"/>
                <w:kern w:val="0"/>
              </w:rPr>
              <w:t xml:space="preserve"> i bërë prej qelq (sodë gëlqere </w:t>
            </w:r>
            <w:proofErr w:type="spellStart"/>
            <w:r w:rsidRPr="00C51AE9">
              <w:rPr>
                <w:rFonts w:ascii="Times New Roman" w:eastAsia="Aptos" w:hAnsi="Times New Roman" w:cs="Times New Roman"/>
                <w:kern w:val="0"/>
              </w:rPr>
              <w:t>silicë</w:t>
            </w:r>
            <w:proofErr w:type="spellEnd"/>
            <w:r w:rsidRPr="00C51AE9">
              <w:rPr>
                <w:rFonts w:ascii="Times New Roman" w:eastAsia="Aptos" w:hAnsi="Times New Roman" w:cs="Times New Roman"/>
                <w:kern w:val="0"/>
              </w:rPr>
              <w:t xml:space="preserve">), aerosol </w:t>
            </w:r>
            <w:proofErr w:type="spellStart"/>
            <w:r w:rsidRPr="00C51AE9">
              <w:rPr>
                <w:rFonts w:ascii="Times New Roman" w:eastAsia="Aptos" w:hAnsi="Times New Roman" w:cs="Times New Roman"/>
                <w:kern w:val="0"/>
              </w:rPr>
              <w:t>kanaçe</w:t>
            </w:r>
            <w:proofErr w:type="spellEnd"/>
          </w:p>
        </w:tc>
        <w:tc>
          <w:tcPr>
            <w:tcW w:w="1456" w:type="dxa"/>
          </w:tcPr>
          <w:p w14:paraId="3794900F" w14:textId="77777777" w:rsidR="00767CD0" w:rsidRPr="00C51AE9" w:rsidRDefault="00767CD0">
            <w:pPr>
              <w:spacing w:after="0" w:line="240" w:lineRule="auto"/>
              <w:jc w:val="both"/>
              <w:rPr>
                <w:rFonts w:ascii="Times New Roman" w:hAnsi="Times New Roman" w:cs="Times New Roman"/>
              </w:rPr>
            </w:pPr>
          </w:p>
        </w:tc>
      </w:tr>
    </w:tbl>
    <w:p w14:paraId="6E95752F" w14:textId="77777777" w:rsidR="00767CD0" w:rsidRPr="00C51AE9" w:rsidRDefault="00767CD0">
      <w:pPr>
        <w:jc w:val="both"/>
        <w:rPr>
          <w:rFonts w:ascii="Times New Roman" w:hAnsi="Times New Roman" w:cs="Times New Roman"/>
        </w:rPr>
      </w:pPr>
    </w:p>
    <w:p w14:paraId="76BD726C"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Tabela 1, Lista orientuese e materialeve të ambalazhimit, llojeve dhe kategorive të përmendura në nenin 12</w:t>
      </w:r>
    </w:p>
    <w:tbl>
      <w:tblPr>
        <w:tblW w:w="5000" w:type="pct"/>
        <w:tblLayout w:type="fixed"/>
        <w:tblCellMar>
          <w:left w:w="5" w:type="dxa"/>
          <w:right w:w="5" w:type="dxa"/>
        </w:tblCellMar>
        <w:tblLook w:val="01E0" w:firstRow="1" w:lastRow="1" w:firstColumn="1" w:lastColumn="1" w:noHBand="0" w:noVBand="0"/>
      </w:tblPr>
      <w:tblGrid>
        <w:gridCol w:w="946"/>
        <w:gridCol w:w="1303"/>
        <w:gridCol w:w="1684"/>
        <w:gridCol w:w="2993"/>
        <w:gridCol w:w="1610"/>
      </w:tblGrid>
      <w:tr w:rsidR="00C51AE9" w:rsidRPr="00C51AE9" w14:paraId="5035A6DB" w14:textId="77777777">
        <w:trPr>
          <w:trHeight w:val="624"/>
        </w:trPr>
        <w:tc>
          <w:tcPr>
            <w:tcW w:w="957" w:type="dxa"/>
            <w:tcBorders>
              <w:top w:val="single" w:sz="4" w:space="0" w:color="000000"/>
              <w:left w:val="single" w:sz="4" w:space="0" w:color="000000"/>
              <w:bottom w:val="single" w:sz="4" w:space="0" w:color="000000"/>
              <w:right w:val="single" w:sz="4" w:space="0" w:color="000000"/>
            </w:tcBorders>
            <w:vAlign w:val="center"/>
          </w:tcPr>
          <w:p w14:paraId="5CDB9E3B"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Kategoria Nr.</w:t>
            </w:r>
          </w:p>
        </w:tc>
        <w:tc>
          <w:tcPr>
            <w:tcW w:w="1318" w:type="dxa"/>
            <w:tcBorders>
              <w:top w:val="single" w:sz="4" w:space="0" w:color="000000"/>
              <w:left w:val="single" w:sz="4" w:space="0" w:color="000000"/>
              <w:bottom w:val="single" w:sz="4" w:space="0" w:color="000000"/>
              <w:right w:val="single" w:sz="4" w:space="0" w:color="000000"/>
            </w:tcBorders>
            <w:vAlign w:val="center"/>
          </w:tcPr>
          <w:p w14:paraId="70522728"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Materiali mbizotërues i ambalazhimit</w:t>
            </w:r>
          </w:p>
        </w:tc>
        <w:tc>
          <w:tcPr>
            <w:tcW w:w="1704" w:type="dxa"/>
            <w:tcBorders>
              <w:top w:val="single" w:sz="4" w:space="0" w:color="000000"/>
              <w:left w:val="single" w:sz="4" w:space="0" w:color="000000"/>
              <w:bottom w:val="single" w:sz="4" w:space="0" w:color="000000"/>
              <w:right w:val="single" w:sz="4" w:space="0" w:color="000000"/>
            </w:tcBorders>
            <w:vAlign w:val="center"/>
          </w:tcPr>
          <w:p w14:paraId="1AB50EB0"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Lloji i ambalazhimit</w:t>
            </w:r>
          </w:p>
        </w:tc>
        <w:tc>
          <w:tcPr>
            <w:tcW w:w="3028" w:type="dxa"/>
            <w:tcBorders>
              <w:top w:val="single" w:sz="4" w:space="0" w:color="000000"/>
              <w:left w:val="single" w:sz="4" w:space="0" w:color="000000"/>
              <w:bottom w:val="single" w:sz="4" w:space="0" w:color="000000"/>
              <w:right w:val="single" w:sz="4" w:space="0" w:color="000000"/>
            </w:tcBorders>
            <w:vAlign w:val="center"/>
          </w:tcPr>
          <w:p w14:paraId="2F0131CE"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Formati (ilustrues dhe jo shterues)</w:t>
            </w:r>
          </w:p>
        </w:tc>
        <w:tc>
          <w:tcPr>
            <w:tcW w:w="1629" w:type="dxa"/>
            <w:tcBorders>
              <w:top w:val="single" w:sz="4" w:space="0" w:color="000000"/>
              <w:left w:val="single" w:sz="4" w:space="0" w:color="000000"/>
              <w:bottom w:val="single" w:sz="4" w:space="0" w:color="000000"/>
              <w:right w:val="single" w:sz="4" w:space="0" w:color="000000"/>
            </w:tcBorders>
            <w:vAlign w:val="center"/>
          </w:tcPr>
          <w:p w14:paraId="5BE08AB2"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Ngjyrë / Transmetim optik</w:t>
            </w:r>
          </w:p>
        </w:tc>
      </w:tr>
      <w:tr w:rsidR="00C51AE9" w:rsidRPr="00C51AE9" w14:paraId="5D38A950" w14:textId="77777777">
        <w:trPr>
          <w:trHeight w:val="957"/>
        </w:trPr>
        <w:tc>
          <w:tcPr>
            <w:tcW w:w="957" w:type="dxa"/>
            <w:tcBorders>
              <w:top w:val="single" w:sz="4" w:space="0" w:color="000000"/>
              <w:left w:val="single" w:sz="4" w:space="0" w:color="000000"/>
              <w:bottom w:val="single" w:sz="4" w:space="0" w:color="000000"/>
              <w:right w:val="single" w:sz="4" w:space="0" w:color="000000"/>
            </w:tcBorders>
            <w:vAlign w:val="center"/>
          </w:tcPr>
          <w:p w14:paraId="354EF162"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w:t>
            </w:r>
          </w:p>
        </w:tc>
        <w:tc>
          <w:tcPr>
            <w:tcW w:w="1318" w:type="dxa"/>
            <w:tcBorders>
              <w:top w:val="single" w:sz="4" w:space="0" w:color="000000"/>
              <w:left w:val="single" w:sz="4" w:space="0" w:color="000000"/>
              <w:bottom w:val="single" w:sz="4" w:space="0" w:color="000000"/>
              <w:right w:val="single" w:sz="4" w:space="0" w:color="000000"/>
            </w:tcBorders>
            <w:vAlign w:val="center"/>
          </w:tcPr>
          <w:p w14:paraId="308EFD9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Qelq</w:t>
            </w:r>
          </w:p>
        </w:tc>
        <w:tc>
          <w:tcPr>
            <w:tcW w:w="1704" w:type="dxa"/>
            <w:tcBorders>
              <w:top w:val="single" w:sz="4" w:space="0" w:color="000000"/>
              <w:left w:val="single" w:sz="4" w:space="0" w:color="000000"/>
              <w:bottom w:val="single" w:sz="4" w:space="0" w:color="000000"/>
              <w:right w:val="single" w:sz="4" w:space="0" w:color="000000"/>
            </w:tcBorders>
            <w:vAlign w:val="center"/>
          </w:tcPr>
          <w:p w14:paraId="78A269A8" w14:textId="77777777" w:rsidR="00767CD0" w:rsidRPr="00C51AE9" w:rsidRDefault="00C51AE9">
            <w:pPr>
              <w:spacing w:after="0" w:line="240" w:lineRule="auto"/>
              <w:rPr>
                <w:rFonts w:ascii="Times New Roman" w:hAnsi="Times New Roman" w:cs="Times New Roman"/>
              </w:rPr>
            </w:pPr>
            <w:r w:rsidRPr="00C51AE9">
              <w:rPr>
                <w:rFonts w:ascii="Times New Roman" w:hAnsi="Times New Roman" w:cs="Times New Roman"/>
              </w:rPr>
              <w:t>Qelq dhe i përbërë ambalazh, nga i cili shumica është qelq</w:t>
            </w:r>
          </w:p>
        </w:tc>
        <w:tc>
          <w:tcPr>
            <w:tcW w:w="3028" w:type="dxa"/>
            <w:tcBorders>
              <w:top w:val="single" w:sz="4" w:space="0" w:color="000000"/>
              <w:left w:val="single" w:sz="4" w:space="0" w:color="000000"/>
              <w:bottom w:val="single" w:sz="4" w:space="0" w:color="000000"/>
              <w:right w:val="single" w:sz="4" w:space="0" w:color="000000"/>
            </w:tcBorders>
            <w:vAlign w:val="center"/>
          </w:tcPr>
          <w:p w14:paraId="09BC44E6" w14:textId="77777777" w:rsidR="00767CD0" w:rsidRPr="00C51AE9" w:rsidRDefault="00C51AE9">
            <w:pPr>
              <w:spacing w:after="0"/>
              <w:ind w:left="194"/>
              <w:rPr>
                <w:rFonts w:ascii="Times New Roman" w:hAnsi="Times New Roman" w:cs="Times New Roman"/>
              </w:rPr>
            </w:pPr>
            <w:r w:rsidRPr="00C51AE9">
              <w:rPr>
                <w:rFonts w:ascii="Times New Roman" w:hAnsi="Times New Roman" w:cs="Times New Roman"/>
              </w:rPr>
              <w:t xml:space="preserve">Shishe, kavanoza, </w:t>
            </w:r>
            <w:proofErr w:type="spellStart"/>
            <w:r w:rsidRPr="00C51AE9">
              <w:rPr>
                <w:rFonts w:ascii="Times New Roman" w:hAnsi="Times New Roman" w:cs="Times New Roman"/>
              </w:rPr>
              <w:t>flakonë</w:t>
            </w:r>
            <w:proofErr w:type="spellEnd"/>
            <w:r w:rsidRPr="00C51AE9">
              <w:rPr>
                <w:rFonts w:ascii="Times New Roman" w:hAnsi="Times New Roman" w:cs="Times New Roman"/>
              </w:rPr>
              <w:t xml:space="preserve">, kozmetikë poçe, tuba, ampula, </w:t>
            </w:r>
            <w:proofErr w:type="spellStart"/>
            <w:r w:rsidRPr="00C51AE9">
              <w:rPr>
                <w:rFonts w:ascii="Times New Roman" w:hAnsi="Times New Roman" w:cs="Times New Roman"/>
              </w:rPr>
              <w:t>flakonë</w:t>
            </w:r>
            <w:proofErr w:type="spellEnd"/>
            <w:r w:rsidRPr="00C51AE9">
              <w:rPr>
                <w:rFonts w:ascii="Times New Roman" w:hAnsi="Times New Roman" w:cs="Times New Roman"/>
              </w:rPr>
              <w:t xml:space="preserve"> i bërë prej qelq (sodë gëlqere </w:t>
            </w:r>
            <w:proofErr w:type="spellStart"/>
            <w:r w:rsidRPr="00C51AE9">
              <w:rPr>
                <w:rFonts w:ascii="Times New Roman" w:hAnsi="Times New Roman" w:cs="Times New Roman"/>
              </w:rPr>
              <w:t>silicë</w:t>
            </w:r>
            <w:proofErr w:type="spellEnd"/>
            <w:r w:rsidRPr="00C51AE9">
              <w:rPr>
                <w:rFonts w:ascii="Times New Roman" w:hAnsi="Times New Roman" w:cs="Times New Roman"/>
              </w:rPr>
              <w:t xml:space="preserve">), aerosol </w:t>
            </w:r>
            <w:proofErr w:type="spellStart"/>
            <w:r w:rsidRPr="00C51AE9">
              <w:rPr>
                <w:rFonts w:ascii="Times New Roman" w:hAnsi="Times New Roman" w:cs="Times New Roman"/>
              </w:rPr>
              <w:t>kanaçe</w:t>
            </w:r>
            <w:proofErr w:type="spellEnd"/>
          </w:p>
        </w:tc>
        <w:tc>
          <w:tcPr>
            <w:tcW w:w="1629" w:type="dxa"/>
            <w:tcBorders>
              <w:top w:val="single" w:sz="4" w:space="0" w:color="000000"/>
              <w:left w:val="single" w:sz="4" w:space="0" w:color="000000"/>
              <w:bottom w:val="single" w:sz="4" w:space="0" w:color="000000"/>
              <w:right w:val="single" w:sz="4" w:space="0" w:color="000000"/>
            </w:tcBorders>
            <w:vAlign w:val="center"/>
          </w:tcPr>
          <w:p w14:paraId="16ABF09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28310112" w14:textId="77777777">
        <w:trPr>
          <w:trHeight w:val="957"/>
        </w:trPr>
        <w:tc>
          <w:tcPr>
            <w:tcW w:w="957" w:type="dxa"/>
            <w:tcBorders>
              <w:top w:val="single" w:sz="4" w:space="0" w:color="000000"/>
              <w:left w:val="single" w:sz="4" w:space="0" w:color="000000"/>
              <w:bottom w:val="single" w:sz="4" w:space="0" w:color="000000"/>
              <w:right w:val="single" w:sz="4" w:space="0" w:color="000000"/>
            </w:tcBorders>
            <w:vAlign w:val="center"/>
          </w:tcPr>
          <w:p w14:paraId="61C45C92"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2</w:t>
            </w:r>
          </w:p>
        </w:tc>
        <w:tc>
          <w:tcPr>
            <w:tcW w:w="1318" w:type="dxa"/>
            <w:tcBorders>
              <w:top w:val="single" w:sz="4" w:space="0" w:color="000000"/>
              <w:left w:val="single" w:sz="4" w:space="0" w:color="000000"/>
              <w:bottom w:val="single" w:sz="4" w:space="0" w:color="000000"/>
              <w:right w:val="single" w:sz="4" w:space="0" w:color="000000"/>
            </w:tcBorders>
            <w:vAlign w:val="center"/>
          </w:tcPr>
          <w:p w14:paraId="4520263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w:t>
            </w:r>
          </w:p>
        </w:tc>
        <w:tc>
          <w:tcPr>
            <w:tcW w:w="1704" w:type="dxa"/>
            <w:tcBorders>
              <w:top w:val="single" w:sz="4" w:space="0" w:color="000000"/>
              <w:left w:val="single" w:sz="4" w:space="0" w:color="000000"/>
              <w:bottom w:val="single" w:sz="4" w:space="0" w:color="000000"/>
              <w:right w:val="single" w:sz="4" w:space="0" w:color="000000"/>
            </w:tcBorders>
            <w:vAlign w:val="center"/>
          </w:tcPr>
          <w:p w14:paraId="7D66789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 ambalazhim</w:t>
            </w:r>
          </w:p>
        </w:tc>
        <w:tc>
          <w:tcPr>
            <w:tcW w:w="3028" w:type="dxa"/>
            <w:tcBorders>
              <w:top w:val="single" w:sz="4" w:space="0" w:color="000000"/>
              <w:left w:val="single" w:sz="4" w:space="0" w:color="000000"/>
              <w:bottom w:val="single" w:sz="4" w:space="0" w:color="000000"/>
              <w:right w:val="single" w:sz="4" w:space="0" w:color="000000"/>
            </w:tcBorders>
            <w:vAlign w:val="center"/>
          </w:tcPr>
          <w:p w14:paraId="5F2C778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Kuti, tabaka, grupuar ambalazhim,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letër ambalazhim (p.sh. filma, fletë, qese, </w:t>
            </w:r>
            <w:proofErr w:type="spellStart"/>
            <w:r w:rsidRPr="00C51AE9">
              <w:rPr>
                <w:rFonts w:ascii="Times New Roman" w:hAnsi="Times New Roman" w:cs="Times New Roman"/>
              </w:rPr>
              <w:t>kapakëzim</w:t>
            </w:r>
            <w:proofErr w:type="spellEnd"/>
            <w:r w:rsidRPr="00C51AE9">
              <w:rPr>
                <w:rFonts w:ascii="Times New Roman" w:hAnsi="Times New Roman" w:cs="Times New Roman"/>
              </w:rPr>
              <w:t xml:space="preserve"> kone, mbështjellëse)</w:t>
            </w:r>
          </w:p>
        </w:tc>
        <w:tc>
          <w:tcPr>
            <w:tcW w:w="1629" w:type="dxa"/>
            <w:tcBorders>
              <w:top w:val="single" w:sz="4" w:space="0" w:color="000000"/>
              <w:left w:val="single" w:sz="4" w:space="0" w:color="000000"/>
              <w:bottom w:val="single" w:sz="4" w:space="0" w:color="000000"/>
              <w:right w:val="single" w:sz="4" w:space="0" w:color="000000"/>
            </w:tcBorders>
            <w:vAlign w:val="center"/>
          </w:tcPr>
          <w:p w14:paraId="47F1F42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4784AF24" w14:textId="77777777">
        <w:trPr>
          <w:trHeight w:val="1380"/>
        </w:trPr>
        <w:tc>
          <w:tcPr>
            <w:tcW w:w="957" w:type="dxa"/>
            <w:tcBorders>
              <w:top w:val="single" w:sz="4" w:space="0" w:color="000000"/>
              <w:left w:val="single" w:sz="4" w:space="0" w:color="000000"/>
              <w:bottom w:val="single" w:sz="4" w:space="0" w:color="000000"/>
              <w:right w:val="single" w:sz="4" w:space="0" w:color="000000"/>
            </w:tcBorders>
            <w:vAlign w:val="center"/>
          </w:tcPr>
          <w:p w14:paraId="7B02D525"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3</w:t>
            </w:r>
          </w:p>
        </w:tc>
        <w:tc>
          <w:tcPr>
            <w:tcW w:w="1318" w:type="dxa"/>
            <w:tcBorders>
              <w:top w:val="single" w:sz="4" w:space="0" w:color="000000"/>
              <w:left w:val="single" w:sz="4" w:space="0" w:color="000000"/>
              <w:bottom w:val="single" w:sz="4" w:space="0" w:color="000000"/>
              <w:right w:val="single" w:sz="4" w:space="0" w:color="000000"/>
            </w:tcBorders>
            <w:vAlign w:val="center"/>
          </w:tcPr>
          <w:p w14:paraId="36B7E2D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w:t>
            </w:r>
          </w:p>
        </w:tc>
        <w:tc>
          <w:tcPr>
            <w:tcW w:w="1704" w:type="dxa"/>
            <w:tcBorders>
              <w:top w:val="single" w:sz="4" w:space="0" w:color="000000"/>
              <w:left w:val="single" w:sz="4" w:space="0" w:color="000000"/>
              <w:bottom w:val="single" w:sz="4" w:space="0" w:color="000000"/>
              <w:right w:val="single" w:sz="4" w:space="0" w:color="000000"/>
            </w:tcBorders>
            <w:vAlign w:val="center"/>
          </w:tcPr>
          <w:p w14:paraId="4785B88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Përbërës ambalazhimi i nga të cilat shumica është pa- për/karton</w:t>
            </w:r>
          </w:p>
        </w:tc>
        <w:tc>
          <w:tcPr>
            <w:tcW w:w="3028" w:type="dxa"/>
            <w:tcBorders>
              <w:top w:val="single" w:sz="4" w:space="0" w:color="000000"/>
              <w:left w:val="single" w:sz="4" w:space="0" w:color="000000"/>
              <w:bottom w:val="single" w:sz="4" w:space="0" w:color="000000"/>
              <w:right w:val="single" w:sz="4" w:space="0" w:color="000000"/>
            </w:tcBorders>
            <w:vAlign w:val="center"/>
          </w:tcPr>
          <w:p w14:paraId="7005FBB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karton për ambalazhim të lëngjeve, dhe gota letre (</w:t>
            </w:r>
            <w:proofErr w:type="spellStart"/>
            <w:r w:rsidRPr="00C51AE9">
              <w:rPr>
                <w:rFonts w:ascii="Times New Roman" w:hAnsi="Times New Roman" w:cs="Times New Roman"/>
              </w:rPr>
              <w:t>dmth</w:t>
            </w:r>
            <w:proofErr w:type="spellEnd"/>
            <w:r w:rsidRPr="00C51AE9">
              <w:rPr>
                <w:rFonts w:ascii="Times New Roman" w:hAnsi="Times New Roman" w:cs="Times New Roman"/>
              </w:rPr>
              <w:t xml:space="preserve">. të </w:t>
            </w:r>
            <w:proofErr w:type="spellStart"/>
            <w:r w:rsidRPr="00C51AE9">
              <w:rPr>
                <w:rFonts w:ascii="Times New Roman" w:hAnsi="Times New Roman" w:cs="Times New Roman"/>
              </w:rPr>
              <w:t>laminuara</w:t>
            </w:r>
            <w:proofErr w:type="spellEnd"/>
            <w:r w:rsidRPr="00C51AE9">
              <w:rPr>
                <w:rFonts w:ascii="Times New Roman" w:hAnsi="Times New Roman" w:cs="Times New Roman"/>
              </w:rPr>
              <w:t xml:space="preserve"> me </w:t>
            </w:r>
            <w:proofErr w:type="spellStart"/>
            <w:r w:rsidRPr="00C51AE9">
              <w:rPr>
                <w:rFonts w:ascii="Times New Roman" w:hAnsi="Times New Roman" w:cs="Times New Roman"/>
              </w:rPr>
              <w:t>poliolefinë</w:t>
            </w:r>
            <w:proofErr w:type="spellEnd"/>
            <w:r w:rsidRPr="00C51AE9">
              <w:rPr>
                <w:rFonts w:ascii="Times New Roman" w:hAnsi="Times New Roman" w:cs="Times New Roman"/>
              </w:rPr>
              <w:t xml:space="preserve"> dhe me ose pa alumin), tabaka, pjata dhe gota, i metalizuar ose plastikë të </w:t>
            </w:r>
            <w:proofErr w:type="spellStart"/>
            <w:r w:rsidRPr="00C51AE9">
              <w:rPr>
                <w:rFonts w:ascii="Times New Roman" w:hAnsi="Times New Roman" w:cs="Times New Roman"/>
              </w:rPr>
              <w:t>laminuara</w:t>
            </w:r>
            <w:proofErr w:type="spellEnd"/>
            <w:r w:rsidRPr="00C51AE9">
              <w:rPr>
                <w:rFonts w:ascii="Times New Roman" w:hAnsi="Times New Roman" w:cs="Times New Roman"/>
              </w:rPr>
              <w:t xml:space="preserve"> letër/karton, letër/karton me plastikë veshje/ dritare</w:t>
            </w:r>
          </w:p>
        </w:tc>
        <w:tc>
          <w:tcPr>
            <w:tcW w:w="1629" w:type="dxa"/>
            <w:tcBorders>
              <w:top w:val="single" w:sz="4" w:space="0" w:color="000000"/>
              <w:left w:val="single" w:sz="4" w:space="0" w:color="000000"/>
              <w:bottom w:val="single" w:sz="4" w:space="0" w:color="000000"/>
              <w:right w:val="single" w:sz="4" w:space="0" w:color="000000"/>
            </w:tcBorders>
            <w:vAlign w:val="center"/>
          </w:tcPr>
          <w:p w14:paraId="3097B84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447D0DBC" w14:textId="77777777">
        <w:trPr>
          <w:trHeight w:val="962"/>
        </w:trPr>
        <w:tc>
          <w:tcPr>
            <w:tcW w:w="957" w:type="dxa"/>
            <w:tcBorders>
              <w:top w:val="single" w:sz="4" w:space="0" w:color="000000"/>
              <w:left w:val="single" w:sz="4" w:space="0" w:color="000000"/>
              <w:bottom w:val="single" w:sz="4" w:space="0" w:color="000000"/>
              <w:right w:val="single" w:sz="4" w:space="0" w:color="000000"/>
            </w:tcBorders>
            <w:vAlign w:val="center"/>
          </w:tcPr>
          <w:p w14:paraId="483FD8E3"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4</w:t>
            </w:r>
          </w:p>
        </w:tc>
        <w:tc>
          <w:tcPr>
            <w:tcW w:w="1318" w:type="dxa"/>
            <w:tcBorders>
              <w:top w:val="single" w:sz="4" w:space="0" w:color="000000"/>
              <w:left w:val="single" w:sz="4" w:space="0" w:color="000000"/>
              <w:bottom w:val="single" w:sz="4" w:space="0" w:color="000000"/>
              <w:right w:val="single" w:sz="4" w:space="0" w:color="000000"/>
            </w:tcBorders>
            <w:vAlign w:val="center"/>
          </w:tcPr>
          <w:p w14:paraId="54704A0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Metal</w:t>
            </w:r>
          </w:p>
        </w:tc>
        <w:tc>
          <w:tcPr>
            <w:tcW w:w="1704" w:type="dxa"/>
            <w:tcBorders>
              <w:top w:val="single" w:sz="4" w:space="0" w:color="000000"/>
              <w:left w:val="single" w:sz="4" w:space="0" w:color="000000"/>
              <w:bottom w:val="single" w:sz="4" w:space="0" w:color="000000"/>
              <w:right w:val="single" w:sz="4" w:space="0" w:color="000000"/>
            </w:tcBorders>
            <w:vAlign w:val="center"/>
          </w:tcPr>
          <w:p w14:paraId="72D4553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Çelik dhe </w:t>
            </w:r>
            <w:proofErr w:type="spellStart"/>
            <w:r w:rsidRPr="00C51AE9">
              <w:rPr>
                <w:rFonts w:ascii="Times New Roman" w:hAnsi="Times New Roman" w:cs="Times New Roman"/>
              </w:rPr>
              <w:t>kompozit</w:t>
            </w:r>
            <w:proofErr w:type="spellEnd"/>
            <w:r w:rsidRPr="00C51AE9">
              <w:rPr>
                <w:rFonts w:ascii="Times New Roman" w:hAnsi="Times New Roman" w:cs="Times New Roman"/>
              </w:rPr>
              <w:t xml:space="preserve"> ambalazhi i të cilit ai pjesa më e madhe është çelik</w:t>
            </w:r>
          </w:p>
        </w:tc>
        <w:tc>
          <w:tcPr>
            <w:tcW w:w="3028" w:type="dxa"/>
            <w:tcBorders>
              <w:top w:val="single" w:sz="4" w:space="0" w:color="000000"/>
              <w:left w:val="single" w:sz="4" w:space="0" w:color="000000"/>
              <w:bottom w:val="single" w:sz="4" w:space="0" w:color="000000"/>
              <w:right w:val="single" w:sz="4" w:space="0" w:color="000000"/>
            </w:tcBorders>
            <w:vAlign w:val="center"/>
          </w:tcPr>
          <w:p w14:paraId="56D6100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Formate të ngurta (</w:t>
            </w:r>
            <w:proofErr w:type="spellStart"/>
            <w:r w:rsidRPr="00C51AE9">
              <w:rPr>
                <w:rFonts w:ascii="Times New Roman" w:hAnsi="Times New Roman" w:cs="Times New Roman"/>
              </w:rPr>
              <w:t>kanaçe</w:t>
            </w:r>
            <w:proofErr w:type="spellEnd"/>
            <w:r w:rsidRPr="00C51AE9">
              <w:rPr>
                <w:rFonts w:ascii="Times New Roman" w:hAnsi="Times New Roman" w:cs="Times New Roman"/>
              </w:rPr>
              <w:t xml:space="preserve"> aerosoli, </w:t>
            </w:r>
            <w:proofErr w:type="spellStart"/>
            <w:r w:rsidRPr="00C51AE9">
              <w:rPr>
                <w:rFonts w:ascii="Times New Roman" w:hAnsi="Times New Roman" w:cs="Times New Roman"/>
              </w:rPr>
              <w:t>kanaçe</w:t>
            </w:r>
            <w:proofErr w:type="spellEnd"/>
            <w:r w:rsidRPr="00C51AE9">
              <w:rPr>
                <w:rFonts w:ascii="Times New Roman" w:hAnsi="Times New Roman" w:cs="Times New Roman"/>
              </w:rPr>
              <w:t xml:space="preserve">, kuti boje, kuti, tabaka, fuçi, tuba) të bëra prej çeliku, duke përfshirë fletë e kallajisur dhe çelik </w:t>
            </w:r>
            <w:proofErr w:type="spellStart"/>
            <w:r w:rsidRPr="00C51AE9">
              <w:rPr>
                <w:rFonts w:ascii="Times New Roman" w:hAnsi="Times New Roman" w:cs="Times New Roman"/>
              </w:rPr>
              <w:t>inox</w:t>
            </w:r>
            <w:proofErr w:type="spellEnd"/>
          </w:p>
        </w:tc>
        <w:tc>
          <w:tcPr>
            <w:tcW w:w="1629" w:type="dxa"/>
            <w:tcBorders>
              <w:top w:val="single" w:sz="4" w:space="0" w:color="000000"/>
              <w:left w:val="single" w:sz="4" w:space="0" w:color="000000"/>
              <w:bottom w:val="single" w:sz="4" w:space="0" w:color="000000"/>
              <w:right w:val="single" w:sz="4" w:space="0" w:color="000000"/>
            </w:tcBorders>
            <w:vAlign w:val="center"/>
          </w:tcPr>
          <w:p w14:paraId="6D3279F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4F1D62D2" w14:textId="77777777">
        <w:trPr>
          <w:trHeight w:val="1170"/>
        </w:trPr>
        <w:tc>
          <w:tcPr>
            <w:tcW w:w="957" w:type="dxa"/>
            <w:tcBorders>
              <w:top w:val="single" w:sz="4" w:space="0" w:color="000000"/>
              <w:left w:val="single" w:sz="4" w:space="0" w:color="000000"/>
              <w:bottom w:val="single" w:sz="4" w:space="0" w:color="000000"/>
              <w:right w:val="single" w:sz="4" w:space="0" w:color="000000"/>
            </w:tcBorders>
            <w:vAlign w:val="center"/>
          </w:tcPr>
          <w:p w14:paraId="0C84B074"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lastRenderedPageBreak/>
              <w:t>5</w:t>
            </w:r>
          </w:p>
        </w:tc>
        <w:tc>
          <w:tcPr>
            <w:tcW w:w="1318" w:type="dxa"/>
            <w:tcBorders>
              <w:top w:val="single" w:sz="4" w:space="0" w:color="000000"/>
              <w:left w:val="single" w:sz="4" w:space="0" w:color="000000"/>
              <w:bottom w:val="single" w:sz="4" w:space="0" w:color="000000"/>
              <w:right w:val="single" w:sz="4" w:space="0" w:color="000000"/>
            </w:tcBorders>
            <w:vAlign w:val="center"/>
          </w:tcPr>
          <w:p w14:paraId="59720CB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Metal</w:t>
            </w:r>
          </w:p>
        </w:tc>
        <w:tc>
          <w:tcPr>
            <w:tcW w:w="1704" w:type="dxa"/>
            <w:tcBorders>
              <w:top w:val="single" w:sz="4" w:space="0" w:color="000000"/>
              <w:left w:val="single" w:sz="4" w:space="0" w:color="000000"/>
              <w:bottom w:val="single" w:sz="4" w:space="0" w:color="000000"/>
              <w:right w:val="single" w:sz="4" w:space="0" w:color="000000"/>
            </w:tcBorders>
            <w:vAlign w:val="center"/>
          </w:tcPr>
          <w:p w14:paraId="075F63C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Alumin dhe </w:t>
            </w:r>
            <w:proofErr w:type="spellStart"/>
            <w:r w:rsidRPr="00C51AE9">
              <w:rPr>
                <w:rFonts w:ascii="Times New Roman" w:hAnsi="Times New Roman" w:cs="Times New Roman"/>
              </w:rPr>
              <w:t>kompozit</w:t>
            </w:r>
            <w:proofErr w:type="spellEnd"/>
            <w:r w:rsidRPr="00C51AE9">
              <w:rPr>
                <w:rFonts w:ascii="Times New Roman" w:hAnsi="Times New Roman" w:cs="Times New Roman"/>
              </w:rPr>
              <w:t xml:space="preserve"> ambalazhimi prej të cilit pjesa më e madhe është alumin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7183E78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I ngurtë formatet (ushqim dhe pije </w:t>
            </w:r>
            <w:proofErr w:type="spellStart"/>
            <w:r w:rsidRPr="00C51AE9">
              <w:rPr>
                <w:rFonts w:ascii="Times New Roman" w:hAnsi="Times New Roman" w:cs="Times New Roman"/>
              </w:rPr>
              <w:t>kanaçe</w:t>
            </w:r>
            <w:proofErr w:type="spellEnd"/>
            <w:r w:rsidRPr="00C51AE9">
              <w:rPr>
                <w:rFonts w:ascii="Times New Roman" w:hAnsi="Times New Roman" w:cs="Times New Roman"/>
              </w:rPr>
              <w:t xml:space="preserve">, shishe, </w:t>
            </w:r>
            <w:proofErr w:type="spellStart"/>
            <w:r w:rsidRPr="00C51AE9">
              <w:rPr>
                <w:rFonts w:ascii="Times New Roman" w:hAnsi="Times New Roman" w:cs="Times New Roman"/>
              </w:rPr>
              <w:t>aerosole</w:t>
            </w:r>
            <w:proofErr w:type="spellEnd"/>
            <w:r w:rsidRPr="00C51AE9">
              <w:rPr>
                <w:rFonts w:ascii="Times New Roman" w:hAnsi="Times New Roman" w:cs="Times New Roman"/>
              </w:rPr>
              <w:t xml:space="preserve">, fuçi, tuba, </w:t>
            </w:r>
            <w:proofErr w:type="spellStart"/>
            <w:r w:rsidRPr="00C51AE9">
              <w:rPr>
                <w:rFonts w:ascii="Times New Roman" w:hAnsi="Times New Roman" w:cs="Times New Roman"/>
              </w:rPr>
              <w:t>kanaçe</w:t>
            </w:r>
            <w:proofErr w:type="spellEnd"/>
            <w:r w:rsidRPr="00C51AE9">
              <w:rPr>
                <w:rFonts w:ascii="Times New Roman" w:hAnsi="Times New Roman" w:cs="Times New Roman"/>
              </w:rPr>
              <w:t xml:space="preserve">, kuti, tabaka) prej </w:t>
            </w:r>
            <w:proofErr w:type="spellStart"/>
            <w:r w:rsidRPr="00C51AE9">
              <w:rPr>
                <w:rFonts w:ascii="Times New Roman" w:hAnsi="Times New Roman" w:cs="Times New Roman"/>
              </w:rPr>
              <w:t>prej</w:t>
            </w:r>
            <w:proofErr w:type="spellEnd"/>
            <w:r w:rsidRPr="00C51AE9">
              <w:rPr>
                <w:rFonts w:ascii="Times New Roman" w:hAnsi="Times New Roman" w:cs="Times New Roman"/>
              </w:rPr>
              <w:t xml:space="preserve"> alumini</w:t>
            </w:r>
          </w:p>
        </w:tc>
        <w:tc>
          <w:tcPr>
            <w:tcW w:w="1629" w:type="dxa"/>
            <w:tcBorders>
              <w:top w:val="single" w:sz="4" w:space="0" w:color="000000"/>
              <w:left w:val="single" w:sz="4" w:space="0" w:color="000000"/>
              <w:bottom w:val="single" w:sz="4" w:space="0" w:color="000000"/>
              <w:right w:val="single" w:sz="4" w:space="0" w:color="000000"/>
            </w:tcBorders>
            <w:vAlign w:val="center"/>
          </w:tcPr>
          <w:p w14:paraId="6C568AF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4D5C072D" w14:textId="77777777">
        <w:trPr>
          <w:trHeight w:val="1168"/>
        </w:trPr>
        <w:tc>
          <w:tcPr>
            <w:tcW w:w="957" w:type="dxa"/>
            <w:tcBorders>
              <w:top w:val="single" w:sz="4" w:space="0" w:color="000000"/>
              <w:left w:val="single" w:sz="4" w:space="0" w:color="000000"/>
              <w:bottom w:val="single" w:sz="4" w:space="0" w:color="000000"/>
              <w:right w:val="single" w:sz="4" w:space="0" w:color="000000"/>
            </w:tcBorders>
            <w:vAlign w:val="center"/>
          </w:tcPr>
          <w:p w14:paraId="3564E456"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6</w:t>
            </w:r>
          </w:p>
        </w:tc>
        <w:tc>
          <w:tcPr>
            <w:tcW w:w="1318" w:type="dxa"/>
            <w:tcBorders>
              <w:top w:val="single" w:sz="4" w:space="0" w:color="000000"/>
              <w:left w:val="single" w:sz="4" w:space="0" w:color="000000"/>
              <w:bottom w:val="single" w:sz="4" w:space="0" w:color="000000"/>
              <w:right w:val="single" w:sz="4" w:space="0" w:color="000000"/>
            </w:tcBorders>
            <w:vAlign w:val="center"/>
          </w:tcPr>
          <w:p w14:paraId="7A988D1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Metal</w:t>
            </w:r>
          </w:p>
        </w:tc>
        <w:tc>
          <w:tcPr>
            <w:tcW w:w="1704" w:type="dxa"/>
            <w:tcBorders>
              <w:top w:val="single" w:sz="4" w:space="0" w:color="000000"/>
              <w:left w:val="single" w:sz="4" w:space="0" w:color="000000"/>
              <w:bottom w:val="single" w:sz="4" w:space="0" w:color="000000"/>
              <w:right w:val="single" w:sz="4" w:space="0" w:color="000000"/>
            </w:tcBorders>
            <w:vAlign w:val="center"/>
          </w:tcPr>
          <w:p w14:paraId="496A4B2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alumin dhe </w:t>
            </w:r>
            <w:proofErr w:type="spellStart"/>
            <w:r w:rsidRPr="00C51AE9">
              <w:rPr>
                <w:rFonts w:ascii="Times New Roman" w:hAnsi="Times New Roman" w:cs="Times New Roman"/>
              </w:rPr>
              <w:t>kompozit</w:t>
            </w:r>
            <w:proofErr w:type="spellEnd"/>
            <w:r w:rsidRPr="00C51AE9">
              <w:rPr>
                <w:rFonts w:ascii="Times New Roman" w:hAnsi="Times New Roman" w:cs="Times New Roman"/>
              </w:rPr>
              <w:t xml:space="preserve"> </w:t>
            </w:r>
            <w:proofErr w:type="spellStart"/>
            <w:r w:rsidRPr="00C51AE9">
              <w:rPr>
                <w:rFonts w:ascii="Times New Roman" w:hAnsi="Times New Roman" w:cs="Times New Roman"/>
              </w:rPr>
              <w:t>ambalazhimt</w:t>
            </w:r>
            <w:proofErr w:type="spellEnd"/>
            <w:r w:rsidRPr="00C51AE9">
              <w:rPr>
                <w:rFonts w:ascii="Times New Roman" w:hAnsi="Times New Roman" w:cs="Times New Roman"/>
              </w:rPr>
              <w:t xml:space="preserve">, shumica e të cilave janë alumini – gjysmë të ngurta dhe </w:t>
            </w:r>
            <w:proofErr w:type="spellStart"/>
            <w:r w:rsidRPr="00C51AE9">
              <w:rPr>
                <w:rFonts w:ascii="Times New Roman" w:hAnsi="Times New Roman" w:cs="Times New Roman"/>
              </w:rPr>
              <w:t>fleksibile</w:t>
            </w:r>
            <w:proofErr w:type="spellEnd"/>
          </w:p>
        </w:tc>
        <w:tc>
          <w:tcPr>
            <w:tcW w:w="3028" w:type="dxa"/>
            <w:tcBorders>
              <w:top w:val="single" w:sz="4" w:space="0" w:color="000000"/>
              <w:left w:val="single" w:sz="4" w:space="0" w:color="000000"/>
              <w:bottom w:val="single" w:sz="4" w:space="0" w:color="000000"/>
              <w:right w:val="single" w:sz="4" w:space="0" w:color="000000"/>
            </w:tcBorders>
            <w:vAlign w:val="center"/>
          </w:tcPr>
          <w:p w14:paraId="0DD20B3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Gjysmë i ngurtë dhe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formate (kontejnerë dhe tabaka, tuba, fletë, fletë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të bëra prej alumini</w:t>
            </w:r>
          </w:p>
        </w:tc>
        <w:tc>
          <w:tcPr>
            <w:tcW w:w="1629" w:type="dxa"/>
            <w:tcBorders>
              <w:top w:val="single" w:sz="4" w:space="0" w:color="000000"/>
              <w:left w:val="single" w:sz="4" w:space="0" w:color="000000"/>
              <w:bottom w:val="single" w:sz="4" w:space="0" w:color="000000"/>
              <w:right w:val="single" w:sz="4" w:space="0" w:color="000000"/>
            </w:tcBorders>
            <w:vAlign w:val="center"/>
          </w:tcPr>
          <w:p w14:paraId="4E05BE2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192133ED" w14:textId="77777777">
        <w:trPr>
          <w:trHeight w:val="960"/>
        </w:trPr>
        <w:tc>
          <w:tcPr>
            <w:tcW w:w="957" w:type="dxa"/>
            <w:tcBorders>
              <w:top w:val="single" w:sz="4" w:space="0" w:color="000000"/>
              <w:left w:val="single" w:sz="4" w:space="0" w:color="000000"/>
              <w:bottom w:val="single" w:sz="4" w:space="0" w:color="000000"/>
              <w:right w:val="single" w:sz="4" w:space="0" w:color="000000"/>
            </w:tcBorders>
            <w:vAlign w:val="center"/>
          </w:tcPr>
          <w:p w14:paraId="5E8C279B"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7</w:t>
            </w:r>
          </w:p>
        </w:tc>
        <w:tc>
          <w:tcPr>
            <w:tcW w:w="1318" w:type="dxa"/>
            <w:tcBorders>
              <w:top w:val="single" w:sz="4" w:space="0" w:color="000000"/>
              <w:left w:val="single" w:sz="4" w:space="0" w:color="000000"/>
              <w:bottom w:val="single" w:sz="4" w:space="0" w:color="000000"/>
              <w:right w:val="single" w:sz="4" w:space="0" w:color="000000"/>
            </w:tcBorders>
            <w:vAlign w:val="center"/>
          </w:tcPr>
          <w:p w14:paraId="41D8527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22E1051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PET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2D8DE78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Shishe dhe shishe</w:t>
            </w:r>
          </w:p>
        </w:tc>
        <w:tc>
          <w:tcPr>
            <w:tcW w:w="1629" w:type="dxa"/>
            <w:tcBorders>
              <w:top w:val="single" w:sz="4" w:space="0" w:color="000000"/>
              <w:left w:val="single" w:sz="4" w:space="0" w:color="000000"/>
              <w:bottom w:val="single" w:sz="4" w:space="0" w:color="000000"/>
              <w:right w:val="single" w:sz="4" w:space="0" w:color="000000"/>
            </w:tcBorders>
            <w:vAlign w:val="center"/>
          </w:tcPr>
          <w:p w14:paraId="37F6FBA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Transparente qartë / ngjyrosur, i errët</w:t>
            </w:r>
          </w:p>
        </w:tc>
      </w:tr>
      <w:tr w:rsidR="00C51AE9" w:rsidRPr="00C51AE9" w14:paraId="2922CACA" w14:textId="77777777">
        <w:trPr>
          <w:trHeight w:val="960"/>
        </w:trPr>
        <w:tc>
          <w:tcPr>
            <w:tcW w:w="957" w:type="dxa"/>
            <w:tcBorders>
              <w:top w:val="single" w:sz="4" w:space="0" w:color="000000"/>
              <w:left w:val="single" w:sz="4" w:space="0" w:color="000000"/>
              <w:bottom w:val="single" w:sz="4" w:space="0" w:color="000000"/>
              <w:right w:val="single" w:sz="4" w:space="0" w:color="000000"/>
            </w:tcBorders>
            <w:vAlign w:val="center"/>
          </w:tcPr>
          <w:p w14:paraId="29D1C10C"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8</w:t>
            </w:r>
          </w:p>
        </w:tc>
        <w:tc>
          <w:tcPr>
            <w:tcW w:w="1318" w:type="dxa"/>
            <w:tcBorders>
              <w:top w:val="single" w:sz="4" w:space="0" w:color="000000"/>
              <w:left w:val="single" w:sz="4" w:space="0" w:color="000000"/>
              <w:bottom w:val="single" w:sz="4" w:space="0" w:color="000000"/>
              <w:right w:val="single" w:sz="4" w:space="0" w:color="000000"/>
            </w:tcBorders>
            <w:vAlign w:val="center"/>
          </w:tcPr>
          <w:p w14:paraId="6EE7BAC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4AF65BA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PET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6828234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Formate të ngurta të ndryshme nga shishet dhe </w:t>
            </w:r>
            <w:proofErr w:type="spellStart"/>
            <w:r w:rsidRPr="00C51AE9">
              <w:rPr>
                <w:rFonts w:ascii="Times New Roman" w:hAnsi="Times New Roman" w:cs="Times New Roman"/>
              </w:rPr>
              <w:t>flaskat</w:t>
            </w:r>
            <w:proofErr w:type="spellEnd"/>
            <w:r w:rsidRPr="00C51AE9">
              <w:rPr>
                <w:rFonts w:ascii="Times New Roman" w:hAnsi="Times New Roman" w:cs="Times New Roman"/>
              </w:rPr>
              <w:t xml:space="preserve"> (duke përfshirë tenxhere, kova, kavanoza, kupa, tabaka me një shtresë dhe me shumë shtresa dhe kontejnerë, aerosol </w:t>
            </w:r>
            <w:proofErr w:type="spellStart"/>
            <w:r w:rsidRPr="00C51AE9">
              <w:rPr>
                <w:rFonts w:ascii="Times New Roman" w:hAnsi="Times New Roman" w:cs="Times New Roman"/>
              </w:rPr>
              <w:t>kanaçe</w:t>
            </w:r>
            <w:proofErr w:type="spellEnd"/>
            <w:r w:rsidRPr="00C51AE9">
              <w:rPr>
                <w:rFonts w:ascii="Times New Roman" w:hAnsi="Times New Roman" w:cs="Times New Roman"/>
              </w:rPr>
              <w:t>)</w:t>
            </w:r>
          </w:p>
        </w:tc>
        <w:tc>
          <w:tcPr>
            <w:tcW w:w="1629" w:type="dxa"/>
            <w:tcBorders>
              <w:top w:val="single" w:sz="4" w:space="0" w:color="000000"/>
              <w:left w:val="single" w:sz="4" w:space="0" w:color="000000"/>
              <w:bottom w:val="single" w:sz="4" w:space="0" w:color="000000"/>
              <w:right w:val="single" w:sz="4" w:space="0" w:color="000000"/>
            </w:tcBorders>
            <w:vAlign w:val="center"/>
          </w:tcPr>
          <w:p w14:paraId="66DF8CA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Transparent → **Transparent** i tejdukshëm / me ngjyrë, i patejdukshëm</w:t>
            </w:r>
          </w:p>
        </w:tc>
      </w:tr>
      <w:tr w:rsidR="00C51AE9" w:rsidRPr="00C51AE9" w14:paraId="3D897E89" w14:textId="77777777">
        <w:trPr>
          <w:trHeight w:val="539"/>
        </w:trPr>
        <w:tc>
          <w:tcPr>
            <w:tcW w:w="957" w:type="dxa"/>
            <w:tcBorders>
              <w:top w:val="single" w:sz="4" w:space="0" w:color="000000"/>
              <w:left w:val="single" w:sz="4" w:space="0" w:color="000000"/>
              <w:bottom w:val="single" w:sz="4" w:space="0" w:color="000000"/>
              <w:right w:val="single" w:sz="4" w:space="0" w:color="000000"/>
            </w:tcBorders>
            <w:vAlign w:val="center"/>
          </w:tcPr>
          <w:p w14:paraId="36CA7A1B"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9</w:t>
            </w:r>
          </w:p>
        </w:tc>
        <w:tc>
          <w:tcPr>
            <w:tcW w:w="1318" w:type="dxa"/>
            <w:tcBorders>
              <w:top w:val="single" w:sz="4" w:space="0" w:color="000000"/>
              <w:left w:val="single" w:sz="4" w:space="0" w:color="000000"/>
              <w:bottom w:val="single" w:sz="4" w:space="0" w:color="000000"/>
              <w:right w:val="single" w:sz="4" w:space="0" w:color="000000"/>
            </w:tcBorders>
            <w:vAlign w:val="center"/>
          </w:tcPr>
          <w:p w14:paraId="10BB25A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76A0CC0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PET – </w:t>
            </w:r>
            <w:proofErr w:type="spellStart"/>
            <w:r w:rsidRPr="00C51AE9">
              <w:rPr>
                <w:rFonts w:ascii="Times New Roman" w:hAnsi="Times New Roman" w:cs="Times New Roman"/>
              </w:rPr>
              <w:t>fleksibël</w:t>
            </w:r>
            <w:proofErr w:type="spellEnd"/>
          </w:p>
        </w:tc>
        <w:tc>
          <w:tcPr>
            <w:tcW w:w="3028" w:type="dxa"/>
            <w:tcBorders>
              <w:top w:val="single" w:sz="4" w:space="0" w:color="000000"/>
              <w:left w:val="single" w:sz="4" w:space="0" w:color="000000"/>
              <w:bottom w:val="single" w:sz="4" w:space="0" w:color="000000"/>
              <w:right w:val="single" w:sz="4" w:space="0" w:color="000000"/>
            </w:tcBorders>
            <w:vAlign w:val="center"/>
          </w:tcPr>
          <w:p w14:paraId="11BF867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Filma</w:t>
            </w:r>
          </w:p>
        </w:tc>
        <w:tc>
          <w:tcPr>
            <w:tcW w:w="1629" w:type="dxa"/>
            <w:tcBorders>
              <w:top w:val="single" w:sz="4" w:space="0" w:color="000000"/>
              <w:left w:val="single" w:sz="4" w:space="0" w:color="000000"/>
              <w:bottom w:val="single" w:sz="4" w:space="0" w:color="000000"/>
              <w:right w:val="single" w:sz="4" w:space="0" w:color="000000"/>
            </w:tcBorders>
            <w:vAlign w:val="center"/>
          </w:tcPr>
          <w:p w14:paraId="7B95D14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Natyror / me ngjyrë</w:t>
            </w:r>
          </w:p>
        </w:tc>
      </w:tr>
      <w:tr w:rsidR="00C51AE9" w:rsidRPr="00C51AE9" w14:paraId="2EBBEB5F" w14:textId="77777777">
        <w:trPr>
          <w:trHeight w:val="542"/>
        </w:trPr>
        <w:tc>
          <w:tcPr>
            <w:tcW w:w="957" w:type="dxa"/>
            <w:tcBorders>
              <w:top w:val="single" w:sz="4" w:space="0" w:color="000000"/>
              <w:left w:val="single" w:sz="4" w:space="0" w:color="000000"/>
              <w:bottom w:val="single" w:sz="4" w:space="0" w:color="000000"/>
              <w:right w:val="single" w:sz="4" w:space="0" w:color="000000"/>
            </w:tcBorders>
            <w:vAlign w:val="center"/>
          </w:tcPr>
          <w:p w14:paraId="5EC81207"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10</w:t>
            </w:r>
          </w:p>
        </w:tc>
        <w:tc>
          <w:tcPr>
            <w:tcW w:w="1318" w:type="dxa"/>
            <w:tcBorders>
              <w:top w:val="single" w:sz="4" w:space="0" w:color="000000"/>
              <w:left w:val="single" w:sz="4" w:space="0" w:color="000000"/>
              <w:bottom w:val="single" w:sz="4" w:space="0" w:color="000000"/>
              <w:right w:val="single" w:sz="4" w:space="0" w:color="000000"/>
            </w:tcBorders>
            <w:vAlign w:val="center"/>
          </w:tcPr>
          <w:p w14:paraId="3C68829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1066B1D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PE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4EC1A74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Kontejnerë, shishe, tabaka, tenxhere dhe tuba</w:t>
            </w:r>
          </w:p>
        </w:tc>
        <w:tc>
          <w:tcPr>
            <w:tcW w:w="1629" w:type="dxa"/>
            <w:tcBorders>
              <w:top w:val="single" w:sz="4" w:space="0" w:color="000000"/>
              <w:left w:val="single" w:sz="4" w:space="0" w:color="000000"/>
              <w:bottom w:val="single" w:sz="4" w:space="0" w:color="000000"/>
              <w:right w:val="single" w:sz="4" w:space="0" w:color="000000"/>
            </w:tcBorders>
            <w:vAlign w:val="center"/>
          </w:tcPr>
          <w:p w14:paraId="763A1EC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Natyrore / me ngjyrë</w:t>
            </w:r>
          </w:p>
        </w:tc>
      </w:tr>
      <w:tr w:rsidR="00C51AE9" w:rsidRPr="00C51AE9" w14:paraId="5B790BBE" w14:textId="77777777">
        <w:trPr>
          <w:trHeight w:val="750"/>
        </w:trPr>
        <w:tc>
          <w:tcPr>
            <w:tcW w:w="957" w:type="dxa"/>
            <w:tcBorders>
              <w:top w:val="single" w:sz="4" w:space="0" w:color="000000"/>
              <w:left w:val="single" w:sz="4" w:space="0" w:color="000000"/>
              <w:bottom w:val="single" w:sz="4" w:space="0" w:color="000000"/>
              <w:right w:val="single" w:sz="4" w:space="0" w:color="000000"/>
            </w:tcBorders>
            <w:vAlign w:val="center"/>
          </w:tcPr>
          <w:p w14:paraId="7A417A25"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11</w:t>
            </w:r>
          </w:p>
        </w:tc>
        <w:tc>
          <w:tcPr>
            <w:tcW w:w="1318" w:type="dxa"/>
            <w:tcBorders>
              <w:top w:val="single" w:sz="4" w:space="0" w:color="000000"/>
              <w:left w:val="single" w:sz="4" w:space="0" w:color="000000"/>
              <w:bottom w:val="single" w:sz="4" w:space="0" w:color="000000"/>
              <w:right w:val="single" w:sz="4" w:space="0" w:color="000000"/>
            </w:tcBorders>
            <w:vAlign w:val="center"/>
          </w:tcPr>
          <w:p w14:paraId="3CF7C71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089D9BB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PE – </w:t>
            </w:r>
            <w:proofErr w:type="spellStart"/>
            <w:r w:rsidRPr="00C51AE9">
              <w:rPr>
                <w:rFonts w:ascii="Times New Roman" w:hAnsi="Times New Roman" w:cs="Times New Roman"/>
              </w:rPr>
              <w:t>fleksibël</w:t>
            </w:r>
            <w:proofErr w:type="spellEnd"/>
          </w:p>
        </w:tc>
        <w:tc>
          <w:tcPr>
            <w:tcW w:w="3028" w:type="dxa"/>
            <w:tcBorders>
              <w:top w:val="single" w:sz="4" w:space="0" w:color="000000"/>
              <w:left w:val="single" w:sz="4" w:space="0" w:color="000000"/>
              <w:bottom w:val="single" w:sz="4" w:space="0" w:color="000000"/>
              <w:right w:val="single" w:sz="4" w:space="0" w:color="000000"/>
            </w:tcBorders>
            <w:vAlign w:val="center"/>
          </w:tcPr>
          <w:p w14:paraId="216AA31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Filma, duke përfshirë </w:t>
            </w:r>
            <w:proofErr w:type="spellStart"/>
            <w:r w:rsidRPr="00C51AE9">
              <w:rPr>
                <w:rFonts w:ascii="Times New Roman" w:hAnsi="Times New Roman" w:cs="Times New Roman"/>
              </w:rPr>
              <w:t>shumështresor</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shummateriale</w:t>
            </w:r>
            <w:proofErr w:type="spellEnd"/>
            <w:r w:rsidRPr="00C51AE9">
              <w:rPr>
                <w:rFonts w:ascii="Times New Roman" w:hAnsi="Times New Roman" w:cs="Times New Roman"/>
              </w:rPr>
              <w:t xml:space="preserve"> paketë çamçakëz</w:t>
            </w:r>
          </w:p>
        </w:tc>
        <w:tc>
          <w:tcPr>
            <w:tcW w:w="1629" w:type="dxa"/>
            <w:tcBorders>
              <w:top w:val="single" w:sz="4" w:space="0" w:color="000000"/>
              <w:left w:val="single" w:sz="4" w:space="0" w:color="000000"/>
              <w:bottom w:val="single" w:sz="4" w:space="0" w:color="000000"/>
              <w:right w:val="single" w:sz="4" w:space="0" w:color="000000"/>
            </w:tcBorders>
            <w:vAlign w:val="center"/>
          </w:tcPr>
          <w:p w14:paraId="12FEFE9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Natyror / me ngjyrë</w:t>
            </w:r>
          </w:p>
        </w:tc>
      </w:tr>
      <w:tr w:rsidR="00C51AE9" w:rsidRPr="00C51AE9" w14:paraId="6528ABC8" w14:textId="77777777">
        <w:trPr>
          <w:trHeight w:val="537"/>
        </w:trPr>
        <w:tc>
          <w:tcPr>
            <w:tcW w:w="957" w:type="dxa"/>
            <w:tcBorders>
              <w:top w:val="single" w:sz="4" w:space="0" w:color="000000"/>
              <w:left w:val="single" w:sz="4" w:space="0" w:color="000000"/>
              <w:bottom w:val="single" w:sz="4" w:space="0" w:color="000000"/>
              <w:right w:val="single" w:sz="4" w:space="0" w:color="000000"/>
            </w:tcBorders>
            <w:vAlign w:val="center"/>
          </w:tcPr>
          <w:p w14:paraId="4DC456A8"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12</w:t>
            </w:r>
          </w:p>
        </w:tc>
        <w:tc>
          <w:tcPr>
            <w:tcW w:w="1318" w:type="dxa"/>
            <w:tcBorders>
              <w:top w:val="single" w:sz="4" w:space="0" w:color="000000"/>
              <w:left w:val="single" w:sz="4" w:space="0" w:color="000000"/>
              <w:bottom w:val="single" w:sz="4" w:space="0" w:color="000000"/>
              <w:right w:val="single" w:sz="4" w:space="0" w:color="000000"/>
            </w:tcBorders>
            <w:vAlign w:val="center"/>
          </w:tcPr>
          <w:p w14:paraId="003D54A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4BE6756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PP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633289E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Kontejnerë, shishe, tabaka, tenxhere dhe tuba</w:t>
            </w:r>
          </w:p>
        </w:tc>
        <w:tc>
          <w:tcPr>
            <w:tcW w:w="1629" w:type="dxa"/>
            <w:tcBorders>
              <w:top w:val="single" w:sz="4" w:space="0" w:color="000000"/>
              <w:left w:val="single" w:sz="4" w:space="0" w:color="000000"/>
              <w:bottom w:val="single" w:sz="4" w:space="0" w:color="000000"/>
              <w:right w:val="single" w:sz="4" w:space="0" w:color="000000"/>
            </w:tcBorders>
            <w:vAlign w:val="center"/>
          </w:tcPr>
          <w:p w14:paraId="24E0F52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Natyral / me ngjyrë</w:t>
            </w:r>
          </w:p>
        </w:tc>
      </w:tr>
      <w:tr w:rsidR="00C51AE9" w:rsidRPr="00C51AE9" w14:paraId="06A044D6"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64530BB8"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13</w:t>
            </w:r>
          </w:p>
        </w:tc>
        <w:tc>
          <w:tcPr>
            <w:tcW w:w="1318" w:type="dxa"/>
            <w:tcBorders>
              <w:top w:val="single" w:sz="4" w:space="0" w:color="000000"/>
              <w:left w:val="single" w:sz="4" w:space="0" w:color="000000"/>
              <w:bottom w:val="single" w:sz="4" w:space="0" w:color="000000"/>
              <w:right w:val="single" w:sz="4" w:space="0" w:color="000000"/>
            </w:tcBorders>
            <w:vAlign w:val="center"/>
          </w:tcPr>
          <w:p w14:paraId="60F5798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4444B25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PP – </w:t>
            </w:r>
            <w:proofErr w:type="spellStart"/>
            <w:r w:rsidRPr="00C51AE9">
              <w:rPr>
                <w:rFonts w:ascii="Times New Roman" w:hAnsi="Times New Roman" w:cs="Times New Roman"/>
              </w:rPr>
              <w:t>fleksibël</w:t>
            </w:r>
            <w:proofErr w:type="spellEnd"/>
          </w:p>
        </w:tc>
        <w:tc>
          <w:tcPr>
            <w:tcW w:w="3028" w:type="dxa"/>
            <w:tcBorders>
              <w:top w:val="single" w:sz="4" w:space="0" w:color="000000"/>
              <w:left w:val="single" w:sz="4" w:space="0" w:color="000000"/>
              <w:bottom w:val="single" w:sz="4" w:space="0" w:color="000000"/>
              <w:right w:val="single" w:sz="4" w:space="0" w:color="000000"/>
            </w:tcBorders>
            <w:vAlign w:val="center"/>
          </w:tcPr>
          <w:p w14:paraId="1A79D20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Filma, duke përfshirë </w:t>
            </w:r>
            <w:proofErr w:type="spellStart"/>
            <w:r w:rsidRPr="00C51AE9">
              <w:rPr>
                <w:rFonts w:ascii="Times New Roman" w:hAnsi="Times New Roman" w:cs="Times New Roman"/>
              </w:rPr>
              <w:t>shumështresor</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shumëmaterialësh</w:t>
            </w:r>
            <w:proofErr w:type="spellEnd"/>
            <w:r w:rsidRPr="00C51AE9">
              <w:rPr>
                <w:rFonts w:ascii="Times New Roman" w:hAnsi="Times New Roman" w:cs="Times New Roman"/>
              </w:rPr>
              <w:t xml:space="preserve"> ambalazhimeve </w:t>
            </w:r>
          </w:p>
        </w:tc>
        <w:tc>
          <w:tcPr>
            <w:tcW w:w="1629" w:type="dxa"/>
            <w:tcBorders>
              <w:top w:val="single" w:sz="4" w:space="0" w:color="000000"/>
              <w:left w:val="single" w:sz="4" w:space="0" w:color="000000"/>
              <w:bottom w:val="single" w:sz="4" w:space="0" w:color="000000"/>
              <w:right w:val="single" w:sz="4" w:space="0" w:color="000000"/>
            </w:tcBorders>
            <w:vAlign w:val="center"/>
          </w:tcPr>
          <w:p w14:paraId="4E7C038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Natyror / ngjyrosur</w:t>
            </w:r>
          </w:p>
        </w:tc>
      </w:tr>
      <w:tr w:rsidR="00C51AE9" w:rsidRPr="00C51AE9" w14:paraId="7386E4BF"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4D7D83B5"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14</w:t>
            </w:r>
          </w:p>
        </w:tc>
        <w:tc>
          <w:tcPr>
            <w:tcW w:w="1318" w:type="dxa"/>
            <w:tcBorders>
              <w:top w:val="single" w:sz="4" w:space="0" w:color="000000"/>
              <w:left w:val="single" w:sz="4" w:space="0" w:color="000000"/>
              <w:bottom w:val="single" w:sz="4" w:space="0" w:color="000000"/>
              <w:right w:val="single" w:sz="4" w:space="0" w:color="000000"/>
            </w:tcBorders>
            <w:vAlign w:val="center"/>
          </w:tcPr>
          <w:p w14:paraId="633298E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2720FA8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HDPE dhe PP – të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3738361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Arka dhe paleta, plastikë me karton të valëzuar</w:t>
            </w:r>
          </w:p>
        </w:tc>
        <w:tc>
          <w:tcPr>
            <w:tcW w:w="1629" w:type="dxa"/>
            <w:tcBorders>
              <w:top w:val="single" w:sz="4" w:space="0" w:color="000000"/>
              <w:left w:val="single" w:sz="4" w:space="0" w:color="000000"/>
              <w:bottom w:val="single" w:sz="4" w:space="0" w:color="000000"/>
              <w:right w:val="single" w:sz="4" w:space="0" w:color="000000"/>
            </w:tcBorders>
            <w:vAlign w:val="center"/>
          </w:tcPr>
          <w:p w14:paraId="027F951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Natyrale / me ngjyrë</w:t>
            </w:r>
          </w:p>
        </w:tc>
      </w:tr>
      <w:tr w:rsidR="00C51AE9" w:rsidRPr="00C51AE9" w14:paraId="0006BF26"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19027458"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15</w:t>
            </w:r>
          </w:p>
        </w:tc>
        <w:tc>
          <w:tcPr>
            <w:tcW w:w="1318" w:type="dxa"/>
            <w:tcBorders>
              <w:top w:val="single" w:sz="4" w:space="0" w:color="000000"/>
              <w:left w:val="single" w:sz="4" w:space="0" w:color="000000"/>
              <w:bottom w:val="single" w:sz="4" w:space="0" w:color="000000"/>
              <w:right w:val="single" w:sz="4" w:space="0" w:color="000000"/>
            </w:tcBorders>
            <w:vAlign w:val="center"/>
          </w:tcPr>
          <w:p w14:paraId="0E360F3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4AF364A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PS dhe XPS – të ngurta</w:t>
            </w:r>
          </w:p>
        </w:tc>
        <w:tc>
          <w:tcPr>
            <w:tcW w:w="3028" w:type="dxa"/>
            <w:tcBorders>
              <w:top w:val="single" w:sz="4" w:space="0" w:color="000000"/>
              <w:left w:val="single" w:sz="4" w:space="0" w:color="000000"/>
              <w:bottom w:val="single" w:sz="4" w:space="0" w:color="000000"/>
              <w:right w:val="single" w:sz="4" w:space="0" w:color="000000"/>
            </w:tcBorders>
            <w:vAlign w:val="center"/>
          </w:tcPr>
          <w:p w14:paraId="7668940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Formate të ngurta (duke përfshirë ambalazhimin e produkteve të qumështit, tabakatë, gotat dhe kontejnerë të tjerë ushqimorë)</w:t>
            </w:r>
          </w:p>
        </w:tc>
        <w:tc>
          <w:tcPr>
            <w:tcW w:w="1629" w:type="dxa"/>
            <w:tcBorders>
              <w:top w:val="single" w:sz="4" w:space="0" w:color="000000"/>
              <w:left w:val="single" w:sz="4" w:space="0" w:color="000000"/>
              <w:bottom w:val="single" w:sz="4" w:space="0" w:color="000000"/>
              <w:right w:val="single" w:sz="4" w:space="0" w:color="000000"/>
            </w:tcBorders>
            <w:vAlign w:val="center"/>
          </w:tcPr>
          <w:p w14:paraId="250305E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Natyrale / me ngjyrë</w:t>
            </w:r>
          </w:p>
        </w:tc>
      </w:tr>
      <w:tr w:rsidR="00C51AE9" w:rsidRPr="00C51AE9" w14:paraId="28AABC23"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1DDFBFD1"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lastRenderedPageBreak/>
              <w:t>16</w:t>
            </w:r>
          </w:p>
        </w:tc>
        <w:tc>
          <w:tcPr>
            <w:tcW w:w="1318" w:type="dxa"/>
            <w:tcBorders>
              <w:top w:val="single" w:sz="4" w:space="0" w:color="000000"/>
              <w:left w:val="single" w:sz="4" w:space="0" w:color="000000"/>
              <w:bottom w:val="single" w:sz="4" w:space="0" w:color="000000"/>
              <w:right w:val="single" w:sz="4" w:space="0" w:color="000000"/>
            </w:tcBorders>
            <w:vAlign w:val="center"/>
          </w:tcPr>
          <w:p w14:paraId="2BCE727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2A09456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EPS – i ngurtë</w:t>
            </w:r>
          </w:p>
        </w:tc>
        <w:tc>
          <w:tcPr>
            <w:tcW w:w="3028" w:type="dxa"/>
            <w:tcBorders>
              <w:top w:val="single" w:sz="4" w:space="0" w:color="000000"/>
              <w:left w:val="single" w:sz="4" w:space="0" w:color="000000"/>
              <w:bottom w:val="single" w:sz="4" w:space="0" w:color="000000"/>
              <w:right w:val="single" w:sz="4" w:space="0" w:color="000000"/>
            </w:tcBorders>
            <w:vAlign w:val="center"/>
          </w:tcPr>
          <w:p w14:paraId="40B8268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Formate të ngurta (përfshirë kuti për peshk / pajisje të bardha dhe tabaka)</w:t>
            </w:r>
          </w:p>
        </w:tc>
        <w:tc>
          <w:tcPr>
            <w:tcW w:w="1629" w:type="dxa"/>
            <w:tcBorders>
              <w:top w:val="single" w:sz="4" w:space="0" w:color="000000"/>
              <w:left w:val="single" w:sz="4" w:space="0" w:color="000000"/>
              <w:bottom w:val="single" w:sz="4" w:space="0" w:color="000000"/>
              <w:right w:val="single" w:sz="4" w:space="0" w:color="000000"/>
            </w:tcBorders>
            <w:vAlign w:val="center"/>
          </w:tcPr>
          <w:p w14:paraId="73AC00E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Natyral / me ngjyrë</w:t>
            </w:r>
          </w:p>
        </w:tc>
      </w:tr>
      <w:tr w:rsidR="00C51AE9" w:rsidRPr="00C51AE9" w14:paraId="2B181A57"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3900630E"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17</w:t>
            </w:r>
          </w:p>
        </w:tc>
        <w:tc>
          <w:tcPr>
            <w:tcW w:w="1318" w:type="dxa"/>
            <w:tcBorders>
              <w:top w:val="single" w:sz="4" w:space="0" w:color="000000"/>
              <w:left w:val="single" w:sz="4" w:space="0" w:color="000000"/>
              <w:bottom w:val="single" w:sz="4" w:space="0" w:color="000000"/>
              <w:right w:val="single" w:sz="4" w:space="0" w:color="000000"/>
            </w:tcBorders>
            <w:vAlign w:val="center"/>
          </w:tcPr>
          <w:p w14:paraId="5EE4EFD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0FD2108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Plastika të tjera të ngurta (p.sh. PVC, PC) duke përfshirë materiale shumëfishe – të ngurta</w:t>
            </w:r>
          </w:p>
        </w:tc>
        <w:tc>
          <w:tcPr>
            <w:tcW w:w="3028" w:type="dxa"/>
            <w:tcBorders>
              <w:top w:val="single" w:sz="4" w:space="0" w:color="000000"/>
              <w:left w:val="single" w:sz="4" w:space="0" w:color="000000"/>
              <w:bottom w:val="single" w:sz="4" w:space="0" w:color="000000"/>
              <w:right w:val="single" w:sz="4" w:space="0" w:color="000000"/>
            </w:tcBorders>
            <w:vAlign w:val="center"/>
          </w:tcPr>
          <w:p w14:paraId="08D1DE5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Formate të ngurta, duke përfshirë. kontejnerë të ndërmjetëm për ngarkesa të mëdha, fuçi</w:t>
            </w:r>
          </w:p>
        </w:tc>
        <w:tc>
          <w:tcPr>
            <w:tcW w:w="1629" w:type="dxa"/>
            <w:tcBorders>
              <w:top w:val="single" w:sz="4" w:space="0" w:color="000000"/>
              <w:left w:val="single" w:sz="4" w:space="0" w:color="000000"/>
              <w:bottom w:val="single" w:sz="4" w:space="0" w:color="000000"/>
              <w:right w:val="single" w:sz="4" w:space="0" w:color="000000"/>
            </w:tcBorders>
            <w:vAlign w:val="center"/>
          </w:tcPr>
          <w:p w14:paraId="764AB53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0BF03158"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56B7372C"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18</w:t>
            </w:r>
          </w:p>
        </w:tc>
        <w:tc>
          <w:tcPr>
            <w:tcW w:w="1318" w:type="dxa"/>
            <w:tcBorders>
              <w:top w:val="single" w:sz="4" w:space="0" w:color="000000"/>
              <w:left w:val="single" w:sz="4" w:space="0" w:color="000000"/>
              <w:bottom w:val="single" w:sz="4" w:space="0" w:color="000000"/>
              <w:right w:val="single" w:sz="4" w:space="0" w:color="000000"/>
            </w:tcBorders>
            <w:vAlign w:val="center"/>
          </w:tcPr>
          <w:p w14:paraId="4DCC7C5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704" w:type="dxa"/>
            <w:tcBorders>
              <w:top w:val="single" w:sz="4" w:space="0" w:color="000000"/>
              <w:left w:val="single" w:sz="4" w:space="0" w:color="000000"/>
              <w:bottom w:val="single" w:sz="4" w:space="0" w:color="000000"/>
              <w:right w:val="single" w:sz="4" w:space="0" w:color="000000"/>
            </w:tcBorders>
            <w:vAlign w:val="center"/>
          </w:tcPr>
          <w:p w14:paraId="38CAB18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Plastika të tjera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duke përfshirë </w:t>
            </w:r>
            <w:proofErr w:type="spellStart"/>
            <w:r w:rsidRPr="00C51AE9">
              <w:rPr>
                <w:rFonts w:ascii="Times New Roman" w:hAnsi="Times New Roman" w:cs="Times New Roman"/>
              </w:rPr>
              <w:t>multi</w:t>
            </w:r>
            <w:proofErr w:type="spellEnd"/>
            <w:r w:rsidRPr="00C51AE9">
              <w:rPr>
                <w:rFonts w:ascii="Times New Roman" w:hAnsi="Times New Roman" w:cs="Times New Roman"/>
              </w:rPr>
              <w:t xml:space="preserve">-materialet – </w:t>
            </w:r>
            <w:proofErr w:type="spellStart"/>
            <w:r w:rsidRPr="00C51AE9">
              <w:rPr>
                <w:rFonts w:ascii="Times New Roman" w:hAnsi="Times New Roman" w:cs="Times New Roman"/>
              </w:rPr>
              <w:t>fleksibël</w:t>
            </w:r>
            <w:proofErr w:type="spellEnd"/>
          </w:p>
        </w:tc>
        <w:tc>
          <w:tcPr>
            <w:tcW w:w="3028" w:type="dxa"/>
            <w:tcBorders>
              <w:top w:val="single" w:sz="4" w:space="0" w:color="000000"/>
              <w:left w:val="single" w:sz="4" w:space="0" w:color="000000"/>
              <w:bottom w:val="single" w:sz="4" w:space="0" w:color="000000"/>
              <w:right w:val="single" w:sz="4" w:space="0" w:color="000000"/>
            </w:tcBorders>
            <w:vAlign w:val="center"/>
          </w:tcPr>
          <w:p w14:paraId="530A64E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Qeska, </w:t>
            </w:r>
            <w:proofErr w:type="spellStart"/>
            <w:r w:rsidRPr="00C51AE9">
              <w:rPr>
                <w:rFonts w:ascii="Times New Roman" w:hAnsi="Times New Roman" w:cs="Times New Roman"/>
              </w:rPr>
              <w:t>blistera</w:t>
            </w:r>
            <w:proofErr w:type="spellEnd"/>
            <w:r w:rsidRPr="00C51AE9">
              <w:rPr>
                <w:rFonts w:ascii="Times New Roman" w:hAnsi="Times New Roman" w:cs="Times New Roman"/>
              </w:rPr>
              <w:t xml:space="preserve">, ambalazh </w:t>
            </w:r>
            <w:proofErr w:type="spellStart"/>
            <w:r w:rsidRPr="00C51AE9">
              <w:rPr>
                <w:rFonts w:ascii="Times New Roman" w:hAnsi="Times New Roman" w:cs="Times New Roman"/>
              </w:rPr>
              <w:t>termoformuar</w:t>
            </w:r>
            <w:proofErr w:type="spellEnd"/>
            <w:r w:rsidRPr="00C51AE9">
              <w:rPr>
                <w:rFonts w:ascii="Times New Roman" w:hAnsi="Times New Roman" w:cs="Times New Roman"/>
              </w:rPr>
              <w:t xml:space="preserve">, ambalazh me vakum, ambalazh me atmosferë të modifikuar/lagështi të modifikuar, duke përfshirë kontejnerë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të ndërmjetëm me shumicë, çanta, filma shtrirës</w:t>
            </w:r>
          </w:p>
        </w:tc>
        <w:tc>
          <w:tcPr>
            <w:tcW w:w="1629" w:type="dxa"/>
            <w:tcBorders>
              <w:top w:val="single" w:sz="4" w:space="0" w:color="000000"/>
              <w:left w:val="single" w:sz="4" w:space="0" w:color="000000"/>
              <w:bottom w:val="single" w:sz="4" w:space="0" w:color="000000"/>
              <w:right w:val="single" w:sz="4" w:space="0" w:color="000000"/>
            </w:tcBorders>
            <w:vAlign w:val="center"/>
          </w:tcPr>
          <w:p w14:paraId="50CE0DB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75952EB9"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18A1C1FB"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19</w:t>
            </w:r>
          </w:p>
        </w:tc>
        <w:tc>
          <w:tcPr>
            <w:tcW w:w="1318" w:type="dxa"/>
            <w:tcBorders>
              <w:top w:val="single" w:sz="4" w:space="0" w:color="000000"/>
              <w:left w:val="single" w:sz="4" w:space="0" w:color="000000"/>
              <w:bottom w:val="single" w:sz="4" w:space="0" w:color="000000"/>
              <w:right w:val="single" w:sz="4" w:space="0" w:color="000000"/>
            </w:tcBorders>
            <w:vAlign w:val="center"/>
          </w:tcPr>
          <w:p w14:paraId="109B78D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Plastikë</w:t>
            </w:r>
          </w:p>
        </w:tc>
        <w:tc>
          <w:tcPr>
            <w:tcW w:w="1704" w:type="dxa"/>
            <w:tcBorders>
              <w:top w:val="single" w:sz="4" w:space="0" w:color="000000"/>
              <w:left w:val="single" w:sz="4" w:space="0" w:color="000000"/>
              <w:bottom w:val="single" w:sz="4" w:space="0" w:color="000000"/>
              <w:right w:val="single" w:sz="4" w:space="0" w:color="000000"/>
            </w:tcBorders>
            <w:vAlign w:val="center"/>
          </w:tcPr>
          <w:p w14:paraId="37770AC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Plastika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w:t>
            </w:r>
            <w:r w:rsidRPr="00C51AE9">
              <w:rPr>
                <w:rStyle w:val="FootnoteReference"/>
                <w:rFonts w:ascii="Times New Roman" w:hAnsi="Times New Roman" w:cs="Times New Roman"/>
              </w:rPr>
              <w:footnoteReference w:id="2"/>
            </w:r>
            <w:hyperlink w:anchor="_bookmark151">
              <w:r w:rsidRPr="00C51AE9">
                <w:rPr>
                  <w:rFonts w:ascii="Times New Roman" w:hAnsi="Times New Roman" w:cs="Times New Roman"/>
                  <w:u w:val="single"/>
                </w:rPr>
                <w:t>(1)</w:t>
              </w:r>
            </w:hyperlink>
            <w:r w:rsidRPr="00C51AE9">
              <w:rPr>
                <w:rFonts w:ascii="Times New Roman" w:hAnsi="Times New Roman" w:cs="Times New Roman"/>
              </w:rPr>
              <w:t xml:space="preserve"> – të ngurta (p.sh. </w:t>
            </w:r>
            <w:proofErr w:type="spellStart"/>
            <w:r w:rsidRPr="00C51AE9">
              <w:rPr>
                <w:rFonts w:ascii="Times New Roman" w:hAnsi="Times New Roman" w:cs="Times New Roman"/>
              </w:rPr>
              <w:t>PLa</w:t>
            </w:r>
            <w:proofErr w:type="spellEnd"/>
            <w:r w:rsidRPr="00C51AE9">
              <w:rPr>
                <w:rFonts w:ascii="Times New Roman" w:hAnsi="Times New Roman" w:cs="Times New Roman"/>
              </w:rPr>
              <w:t xml:space="preserve">, PHB) dhe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(p.sh. </w:t>
            </w:r>
            <w:proofErr w:type="spellStart"/>
            <w:r w:rsidRPr="00C51AE9">
              <w:rPr>
                <w:rFonts w:ascii="Times New Roman" w:hAnsi="Times New Roman" w:cs="Times New Roman"/>
              </w:rPr>
              <w:t>PLa</w:t>
            </w:r>
            <w:proofErr w:type="spellEnd"/>
            <w:r w:rsidRPr="00C51AE9">
              <w:rPr>
                <w:rFonts w:ascii="Times New Roman" w:hAnsi="Times New Roman" w:cs="Times New Roman"/>
              </w:rPr>
              <w:t>)</w:t>
            </w:r>
          </w:p>
        </w:tc>
        <w:tc>
          <w:tcPr>
            <w:tcW w:w="3028" w:type="dxa"/>
            <w:tcBorders>
              <w:top w:val="single" w:sz="4" w:space="0" w:color="000000"/>
              <w:left w:val="single" w:sz="4" w:space="0" w:color="000000"/>
              <w:bottom w:val="single" w:sz="4" w:space="0" w:color="000000"/>
              <w:right w:val="single" w:sz="4" w:space="0" w:color="000000"/>
            </w:tcBorders>
            <w:vAlign w:val="center"/>
          </w:tcPr>
          <w:p w14:paraId="6CE60D4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Formate të ngurta dhe </w:t>
            </w:r>
            <w:proofErr w:type="spellStart"/>
            <w:r w:rsidRPr="00C51AE9">
              <w:rPr>
                <w:rFonts w:ascii="Times New Roman" w:hAnsi="Times New Roman" w:cs="Times New Roman"/>
              </w:rPr>
              <w:t>fleksibile</w:t>
            </w:r>
            <w:proofErr w:type="spellEnd"/>
          </w:p>
        </w:tc>
        <w:tc>
          <w:tcPr>
            <w:tcW w:w="1629" w:type="dxa"/>
            <w:tcBorders>
              <w:top w:val="single" w:sz="4" w:space="0" w:color="000000"/>
              <w:left w:val="single" w:sz="4" w:space="0" w:color="000000"/>
              <w:bottom w:val="single" w:sz="4" w:space="0" w:color="000000"/>
              <w:right w:val="single" w:sz="4" w:space="0" w:color="000000"/>
            </w:tcBorders>
            <w:vAlign w:val="center"/>
          </w:tcPr>
          <w:p w14:paraId="5098161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70168E6C"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772E6764"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20</w:t>
            </w:r>
          </w:p>
        </w:tc>
        <w:tc>
          <w:tcPr>
            <w:tcW w:w="1318" w:type="dxa"/>
            <w:tcBorders>
              <w:top w:val="single" w:sz="4" w:space="0" w:color="000000"/>
              <w:left w:val="single" w:sz="4" w:space="0" w:color="000000"/>
              <w:bottom w:val="single" w:sz="4" w:space="0" w:color="000000"/>
              <w:right w:val="single" w:sz="4" w:space="0" w:color="000000"/>
            </w:tcBorders>
            <w:vAlign w:val="center"/>
          </w:tcPr>
          <w:p w14:paraId="4A414EA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Dru, </w:t>
            </w:r>
            <w:proofErr w:type="spellStart"/>
            <w:r w:rsidRPr="00C51AE9">
              <w:rPr>
                <w:rFonts w:ascii="Times New Roman" w:hAnsi="Times New Roman" w:cs="Times New Roman"/>
              </w:rPr>
              <w:t>tapëzë</w:t>
            </w:r>
            <w:proofErr w:type="spellEnd"/>
          </w:p>
        </w:tc>
        <w:tc>
          <w:tcPr>
            <w:tcW w:w="1704" w:type="dxa"/>
            <w:tcBorders>
              <w:top w:val="single" w:sz="4" w:space="0" w:color="000000"/>
              <w:left w:val="single" w:sz="4" w:space="0" w:color="000000"/>
              <w:bottom w:val="single" w:sz="4" w:space="0" w:color="000000"/>
              <w:right w:val="single" w:sz="4" w:space="0" w:color="000000"/>
            </w:tcBorders>
            <w:vAlign w:val="center"/>
          </w:tcPr>
          <w:p w14:paraId="4673491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Ambalazh druri, duke përfshirë tapën</w:t>
            </w:r>
          </w:p>
        </w:tc>
        <w:tc>
          <w:tcPr>
            <w:tcW w:w="3028" w:type="dxa"/>
            <w:tcBorders>
              <w:top w:val="single" w:sz="4" w:space="0" w:color="000000"/>
              <w:left w:val="single" w:sz="4" w:space="0" w:color="000000"/>
              <w:bottom w:val="single" w:sz="4" w:space="0" w:color="000000"/>
              <w:right w:val="single" w:sz="4" w:space="0" w:color="000000"/>
            </w:tcBorders>
            <w:vAlign w:val="center"/>
          </w:tcPr>
          <w:p w14:paraId="4FC7CAD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Paleta, kuti, arka</w:t>
            </w:r>
          </w:p>
        </w:tc>
        <w:tc>
          <w:tcPr>
            <w:tcW w:w="1629" w:type="dxa"/>
            <w:tcBorders>
              <w:top w:val="single" w:sz="4" w:space="0" w:color="000000"/>
              <w:left w:val="single" w:sz="4" w:space="0" w:color="000000"/>
              <w:bottom w:val="single" w:sz="4" w:space="0" w:color="000000"/>
              <w:right w:val="single" w:sz="4" w:space="0" w:color="000000"/>
            </w:tcBorders>
            <w:vAlign w:val="center"/>
          </w:tcPr>
          <w:p w14:paraId="3EBCE7D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6B620F6C"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2C62C058"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21</w:t>
            </w:r>
          </w:p>
        </w:tc>
        <w:tc>
          <w:tcPr>
            <w:tcW w:w="1318" w:type="dxa"/>
            <w:tcBorders>
              <w:top w:val="single" w:sz="4" w:space="0" w:color="000000"/>
              <w:left w:val="single" w:sz="4" w:space="0" w:color="000000"/>
              <w:bottom w:val="single" w:sz="4" w:space="0" w:color="000000"/>
              <w:right w:val="single" w:sz="4" w:space="0" w:color="000000"/>
            </w:tcBorders>
            <w:vAlign w:val="center"/>
          </w:tcPr>
          <w:p w14:paraId="6379B43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tekstile</w:t>
            </w:r>
          </w:p>
        </w:tc>
        <w:tc>
          <w:tcPr>
            <w:tcW w:w="1704" w:type="dxa"/>
            <w:tcBorders>
              <w:top w:val="single" w:sz="4" w:space="0" w:color="000000"/>
              <w:left w:val="single" w:sz="4" w:space="0" w:color="000000"/>
              <w:bottom w:val="single" w:sz="4" w:space="0" w:color="000000"/>
              <w:right w:val="single" w:sz="4" w:space="0" w:color="000000"/>
            </w:tcBorders>
            <w:vAlign w:val="center"/>
          </w:tcPr>
          <w:p w14:paraId="4F04011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Fije tekstili natyrore dhe sintetike</w:t>
            </w:r>
          </w:p>
        </w:tc>
        <w:tc>
          <w:tcPr>
            <w:tcW w:w="3028" w:type="dxa"/>
            <w:tcBorders>
              <w:top w:val="single" w:sz="4" w:space="0" w:color="000000"/>
              <w:left w:val="single" w:sz="4" w:space="0" w:color="000000"/>
              <w:bottom w:val="single" w:sz="4" w:space="0" w:color="000000"/>
              <w:right w:val="single" w:sz="4" w:space="0" w:color="000000"/>
            </w:tcBorders>
            <w:vAlign w:val="center"/>
          </w:tcPr>
          <w:p w14:paraId="67ABB2E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Çanta</w:t>
            </w:r>
          </w:p>
        </w:tc>
        <w:tc>
          <w:tcPr>
            <w:tcW w:w="1629" w:type="dxa"/>
            <w:tcBorders>
              <w:top w:val="single" w:sz="4" w:space="0" w:color="000000"/>
              <w:left w:val="single" w:sz="4" w:space="0" w:color="000000"/>
              <w:bottom w:val="single" w:sz="4" w:space="0" w:color="000000"/>
              <w:right w:val="single" w:sz="4" w:space="0" w:color="000000"/>
            </w:tcBorders>
            <w:vAlign w:val="center"/>
          </w:tcPr>
          <w:p w14:paraId="40FAAA3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r w:rsidR="00C51AE9" w:rsidRPr="00C51AE9" w14:paraId="038C1AB6" w14:textId="77777777">
        <w:trPr>
          <w:trHeight w:val="747"/>
        </w:trPr>
        <w:tc>
          <w:tcPr>
            <w:tcW w:w="957" w:type="dxa"/>
            <w:tcBorders>
              <w:top w:val="single" w:sz="4" w:space="0" w:color="000000"/>
              <w:left w:val="single" w:sz="4" w:space="0" w:color="000000"/>
              <w:bottom w:val="single" w:sz="4" w:space="0" w:color="000000"/>
              <w:right w:val="single" w:sz="4" w:space="0" w:color="000000"/>
            </w:tcBorders>
            <w:vAlign w:val="center"/>
          </w:tcPr>
          <w:p w14:paraId="2BF68897"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22</w:t>
            </w:r>
          </w:p>
        </w:tc>
        <w:tc>
          <w:tcPr>
            <w:tcW w:w="1318" w:type="dxa"/>
            <w:tcBorders>
              <w:top w:val="single" w:sz="4" w:space="0" w:color="000000"/>
              <w:left w:val="single" w:sz="4" w:space="0" w:color="000000"/>
              <w:bottom w:val="single" w:sz="4" w:space="0" w:color="000000"/>
              <w:right w:val="single" w:sz="4" w:space="0" w:color="000000"/>
            </w:tcBorders>
            <w:vAlign w:val="center"/>
          </w:tcPr>
          <w:p w14:paraId="2BE2C12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Qeramikë ose </w:t>
            </w:r>
            <w:proofErr w:type="spellStart"/>
            <w:r w:rsidRPr="00C51AE9">
              <w:rPr>
                <w:rFonts w:ascii="Times New Roman" w:hAnsi="Times New Roman" w:cs="Times New Roman"/>
              </w:rPr>
              <w:t>gres</w:t>
            </w:r>
            <w:proofErr w:type="spellEnd"/>
            <w:r w:rsidRPr="00C51AE9">
              <w:rPr>
                <w:rFonts w:ascii="Times New Roman" w:hAnsi="Times New Roman" w:cs="Times New Roman"/>
              </w:rPr>
              <w:t xml:space="preserve"> porcelani</w:t>
            </w:r>
          </w:p>
        </w:tc>
        <w:tc>
          <w:tcPr>
            <w:tcW w:w="1704" w:type="dxa"/>
            <w:tcBorders>
              <w:top w:val="single" w:sz="4" w:space="0" w:color="000000"/>
              <w:left w:val="single" w:sz="4" w:space="0" w:color="000000"/>
              <w:bottom w:val="single" w:sz="4" w:space="0" w:color="000000"/>
              <w:right w:val="single" w:sz="4" w:space="0" w:color="000000"/>
            </w:tcBorders>
            <w:vAlign w:val="center"/>
          </w:tcPr>
          <w:p w14:paraId="3517D24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Argjilë, gur</w:t>
            </w:r>
          </w:p>
        </w:tc>
        <w:tc>
          <w:tcPr>
            <w:tcW w:w="3028" w:type="dxa"/>
            <w:tcBorders>
              <w:top w:val="single" w:sz="4" w:space="0" w:color="000000"/>
              <w:left w:val="single" w:sz="4" w:space="0" w:color="000000"/>
              <w:bottom w:val="single" w:sz="4" w:space="0" w:color="000000"/>
              <w:right w:val="single" w:sz="4" w:space="0" w:color="000000"/>
            </w:tcBorders>
            <w:vAlign w:val="center"/>
          </w:tcPr>
          <w:p w14:paraId="6DEAA59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Tenxhere, enë, shishe, kavanoza</w:t>
            </w:r>
          </w:p>
        </w:tc>
        <w:tc>
          <w:tcPr>
            <w:tcW w:w="1629" w:type="dxa"/>
            <w:tcBorders>
              <w:top w:val="single" w:sz="4" w:space="0" w:color="000000"/>
              <w:left w:val="single" w:sz="4" w:space="0" w:color="000000"/>
              <w:bottom w:val="single" w:sz="4" w:space="0" w:color="000000"/>
              <w:right w:val="single" w:sz="4" w:space="0" w:color="000000"/>
            </w:tcBorders>
            <w:vAlign w:val="center"/>
          </w:tcPr>
          <w:p w14:paraId="5DE05E3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w:t>
            </w:r>
          </w:p>
        </w:tc>
      </w:tr>
    </w:tbl>
    <w:p w14:paraId="30E975B6" w14:textId="77777777" w:rsidR="00767CD0" w:rsidRPr="00C51AE9" w:rsidRDefault="00767CD0">
      <w:pPr>
        <w:sectPr w:rsidR="00767CD0" w:rsidRPr="00C51AE9" w:rsidSect="006B7650">
          <w:footerReference w:type="default" r:id="rId9"/>
          <w:footerReference w:type="first" r:id="rId10"/>
          <w:pgSz w:w="11906" w:h="16838"/>
          <w:pgMar w:top="810" w:right="1470" w:bottom="1440" w:left="1890" w:header="0" w:footer="434" w:gutter="0"/>
          <w:cols w:space="720"/>
          <w:formProt w:val="0"/>
          <w:docGrid w:linePitch="299"/>
        </w:sectPr>
      </w:pPr>
    </w:p>
    <w:p w14:paraId="0755866F" w14:textId="77777777" w:rsidR="00767CD0" w:rsidRPr="00C51AE9" w:rsidRDefault="00C51AE9">
      <w:pPr>
        <w:jc w:val="both"/>
        <w:rPr>
          <w:rFonts w:ascii="Times New Roman" w:hAnsi="Times New Roman" w:cs="Times New Roman"/>
        </w:rPr>
      </w:pPr>
      <w:r w:rsidRPr="00C51AE9">
        <w:rPr>
          <w:rFonts w:ascii="Times New Roman" w:hAnsi="Times New Roman" w:cs="Times New Roman"/>
        </w:rPr>
        <w:lastRenderedPageBreak/>
        <w:t xml:space="preserve">Tabelë 2, Tregues lista e ambalazhimi materiale dhe kategori referuar nenit 12 të vendimit </w:t>
      </w:r>
    </w:p>
    <w:tbl>
      <w:tblPr>
        <w:tblW w:w="5000" w:type="pct"/>
        <w:tblLayout w:type="fixed"/>
        <w:tblCellMar>
          <w:left w:w="5" w:type="dxa"/>
          <w:right w:w="5" w:type="dxa"/>
        </w:tblCellMar>
        <w:tblLook w:val="01E0" w:firstRow="1" w:lastRow="1" w:firstColumn="1" w:lastColumn="1" w:noHBand="0" w:noVBand="0"/>
      </w:tblPr>
      <w:tblGrid>
        <w:gridCol w:w="2864"/>
        <w:gridCol w:w="5040"/>
        <w:gridCol w:w="5046"/>
      </w:tblGrid>
      <w:tr w:rsidR="00C51AE9" w:rsidRPr="00C51AE9" w14:paraId="77B858F6" w14:textId="77777777">
        <w:trPr>
          <w:trHeight w:val="443"/>
        </w:trPr>
        <w:tc>
          <w:tcPr>
            <w:tcW w:w="2866" w:type="dxa"/>
            <w:tcBorders>
              <w:top w:val="single" w:sz="4" w:space="0" w:color="000000"/>
              <w:left w:val="single" w:sz="4" w:space="0" w:color="000000"/>
              <w:bottom w:val="single" w:sz="4" w:space="0" w:color="000000"/>
              <w:right w:val="single" w:sz="4" w:space="0" w:color="000000"/>
            </w:tcBorders>
            <w:vAlign w:val="center"/>
          </w:tcPr>
          <w:p w14:paraId="77131674"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Materiale</w:t>
            </w:r>
          </w:p>
        </w:tc>
        <w:tc>
          <w:tcPr>
            <w:tcW w:w="5044" w:type="dxa"/>
            <w:tcBorders>
              <w:top w:val="single" w:sz="4" w:space="0" w:color="000000"/>
              <w:left w:val="single" w:sz="4" w:space="0" w:color="000000"/>
              <w:bottom w:val="single" w:sz="4" w:space="0" w:color="000000"/>
              <w:right w:val="single" w:sz="4" w:space="0" w:color="000000"/>
            </w:tcBorders>
            <w:vAlign w:val="center"/>
          </w:tcPr>
          <w:p w14:paraId="325160F2"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Kategori</w:t>
            </w:r>
          </w:p>
        </w:tc>
        <w:tc>
          <w:tcPr>
            <w:tcW w:w="5050" w:type="dxa"/>
            <w:tcBorders>
              <w:top w:val="single" w:sz="4" w:space="0" w:color="000000"/>
              <w:left w:val="single" w:sz="4" w:space="0" w:color="000000"/>
              <w:bottom w:val="single" w:sz="4" w:space="0" w:color="000000"/>
              <w:right w:val="single" w:sz="4" w:space="0" w:color="000000"/>
            </w:tcBorders>
            <w:vAlign w:val="center"/>
          </w:tcPr>
          <w:p w14:paraId="7700E0AE"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Lidhja me Tabelën 1, Shtojca II</w:t>
            </w:r>
          </w:p>
        </w:tc>
      </w:tr>
      <w:tr w:rsidR="00C51AE9" w:rsidRPr="00C51AE9" w14:paraId="77B31F25" w14:textId="77777777">
        <w:trPr>
          <w:trHeight w:val="560"/>
        </w:trPr>
        <w:tc>
          <w:tcPr>
            <w:tcW w:w="2866" w:type="dxa"/>
            <w:vMerge w:val="restart"/>
            <w:tcBorders>
              <w:top w:val="single" w:sz="4" w:space="0" w:color="000000"/>
              <w:left w:val="single" w:sz="4" w:space="0" w:color="000000"/>
              <w:bottom w:val="single" w:sz="4" w:space="0" w:color="000000"/>
              <w:right w:val="single" w:sz="4" w:space="0" w:color="000000"/>
            </w:tcBorders>
            <w:vAlign w:val="center"/>
          </w:tcPr>
          <w:p w14:paraId="7639C8F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5044" w:type="dxa"/>
            <w:tcBorders>
              <w:top w:val="single" w:sz="4" w:space="0" w:color="000000"/>
              <w:left w:val="single" w:sz="4" w:space="0" w:color="000000"/>
              <w:bottom w:val="single" w:sz="4" w:space="0" w:color="000000"/>
              <w:right w:val="single" w:sz="4" w:space="0" w:color="000000"/>
            </w:tcBorders>
            <w:vAlign w:val="center"/>
          </w:tcPr>
          <w:p w14:paraId="21E0298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PET i ngurtë</w:t>
            </w:r>
          </w:p>
        </w:tc>
        <w:tc>
          <w:tcPr>
            <w:tcW w:w="5050" w:type="dxa"/>
            <w:tcBorders>
              <w:top w:val="single" w:sz="4" w:space="0" w:color="000000"/>
              <w:left w:val="single" w:sz="4" w:space="0" w:color="000000"/>
              <w:bottom w:val="single" w:sz="4" w:space="0" w:color="000000"/>
              <w:right w:val="single" w:sz="4" w:space="0" w:color="000000"/>
            </w:tcBorders>
            <w:vAlign w:val="center"/>
          </w:tcPr>
          <w:p w14:paraId="2FA568D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7, 8</w:t>
            </w:r>
          </w:p>
        </w:tc>
      </w:tr>
      <w:tr w:rsidR="00C51AE9" w:rsidRPr="00C51AE9" w14:paraId="000EB242" w14:textId="77777777">
        <w:trPr>
          <w:trHeight w:val="558"/>
        </w:trPr>
        <w:tc>
          <w:tcPr>
            <w:tcW w:w="2866" w:type="dxa"/>
            <w:vMerge/>
            <w:tcBorders>
              <w:top w:val="single" w:sz="4" w:space="0" w:color="000000"/>
              <w:left w:val="single" w:sz="4" w:space="0" w:color="000000"/>
              <w:bottom w:val="single" w:sz="4" w:space="0" w:color="000000"/>
              <w:right w:val="single" w:sz="4" w:space="0" w:color="000000"/>
            </w:tcBorders>
            <w:vAlign w:val="center"/>
          </w:tcPr>
          <w:p w14:paraId="2DBECCFF"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0BCB248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PE i ngurtë, PP i ngurtë, </w:t>
            </w:r>
            <w:proofErr w:type="spellStart"/>
            <w:r w:rsidRPr="00C51AE9">
              <w:rPr>
                <w:rFonts w:ascii="Times New Roman" w:hAnsi="Times New Roman" w:cs="Times New Roman"/>
              </w:rPr>
              <w:t>HdPE</w:t>
            </w:r>
            <w:proofErr w:type="spellEnd"/>
            <w:r w:rsidRPr="00C51AE9">
              <w:rPr>
                <w:rFonts w:ascii="Times New Roman" w:hAnsi="Times New Roman" w:cs="Times New Roman"/>
              </w:rPr>
              <w:t xml:space="preserve"> dhe PP i ngurtë</w:t>
            </w:r>
          </w:p>
        </w:tc>
        <w:tc>
          <w:tcPr>
            <w:tcW w:w="5050" w:type="dxa"/>
            <w:tcBorders>
              <w:top w:val="single" w:sz="4" w:space="0" w:color="000000"/>
              <w:left w:val="single" w:sz="4" w:space="0" w:color="000000"/>
              <w:bottom w:val="single" w:sz="4" w:space="0" w:color="000000"/>
              <w:right w:val="single" w:sz="4" w:space="0" w:color="000000"/>
            </w:tcBorders>
            <w:vAlign w:val="center"/>
          </w:tcPr>
          <w:p w14:paraId="0B4563B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10, 12, 14</w:t>
            </w:r>
          </w:p>
        </w:tc>
      </w:tr>
      <w:tr w:rsidR="00C51AE9" w:rsidRPr="00C51AE9" w14:paraId="45A31866" w14:textId="77777777">
        <w:trPr>
          <w:trHeight w:val="558"/>
        </w:trPr>
        <w:tc>
          <w:tcPr>
            <w:tcW w:w="2866" w:type="dxa"/>
            <w:vMerge/>
            <w:tcBorders>
              <w:top w:val="single" w:sz="4" w:space="0" w:color="000000"/>
              <w:left w:val="single" w:sz="4" w:space="0" w:color="000000"/>
              <w:bottom w:val="single" w:sz="4" w:space="0" w:color="000000"/>
              <w:right w:val="single" w:sz="4" w:space="0" w:color="000000"/>
            </w:tcBorders>
            <w:vAlign w:val="center"/>
          </w:tcPr>
          <w:p w14:paraId="4ED9347D"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7DBF872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Filma/</w:t>
            </w:r>
            <w:proofErr w:type="spellStart"/>
            <w:r w:rsidRPr="00C51AE9">
              <w:rPr>
                <w:rFonts w:ascii="Times New Roman" w:hAnsi="Times New Roman" w:cs="Times New Roman"/>
              </w:rPr>
              <w:t>fleksibël</w:t>
            </w:r>
            <w:proofErr w:type="spellEnd"/>
          </w:p>
        </w:tc>
        <w:tc>
          <w:tcPr>
            <w:tcW w:w="5050" w:type="dxa"/>
            <w:tcBorders>
              <w:top w:val="single" w:sz="4" w:space="0" w:color="000000"/>
              <w:left w:val="single" w:sz="4" w:space="0" w:color="000000"/>
              <w:bottom w:val="single" w:sz="4" w:space="0" w:color="000000"/>
              <w:right w:val="single" w:sz="4" w:space="0" w:color="000000"/>
            </w:tcBorders>
            <w:vAlign w:val="center"/>
          </w:tcPr>
          <w:p w14:paraId="37B2138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9, 11, 13, 18</w:t>
            </w:r>
          </w:p>
        </w:tc>
      </w:tr>
      <w:tr w:rsidR="00C51AE9" w:rsidRPr="00C51AE9" w14:paraId="7752BBEF" w14:textId="77777777">
        <w:trPr>
          <w:trHeight w:val="558"/>
        </w:trPr>
        <w:tc>
          <w:tcPr>
            <w:tcW w:w="2866" w:type="dxa"/>
            <w:vMerge/>
            <w:tcBorders>
              <w:top w:val="single" w:sz="4" w:space="0" w:color="000000"/>
              <w:left w:val="single" w:sz="4" w:space="0" w:color="000000"/>
              <w:bottom w:val="single" w:sz="4" w:space="0" w:color="000000"/>
              <w:right w:val="single" w:sz="4" w:space="0" w:color="000000"/>
            </w:tcBorders>
            <w:vAlign w:val="center"/>
          </w:tcPr>
          <w:p w14:paraId="1CEBE769"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21195F4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PS, XPS, EPS</w:t>
            </w:r>
          </w:p>
        </w:tc>
        <w:tc>
          <w:tcPr>
            <w:tcW w:w="5050" w:type="dxa"/>
            <w:tcBorders>
              <w:top w:val="single" w:sz="4" w:space="0" w:color="000000"/>
              <w:left w:val="single" w:sz="4" w:space="0" w:color="000000"/>
              <w:bottom w:val="single" w:sz="4" w:space="0" w:color="000000"/>
              <w:right w:val="single" w:sz="4" w:space="0" w:color="000000"/>
            </w:tcBorders>
            <w:vAlign w:val="center"/>
          </w:tcPr>
          <w:p w14:paraId="65688F6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15, 16</w:t>
            </w:r>
          </w:p>
        </w:tc>
      </w:tr>
      <w:tr w:rsidR="00C51AE9" w:rsidRPr="00C51AE9" w14:paraId="751C6F47" w14:textId="77777777">
        <w:trPr>
          <w:trHeight w:val="558"/>
        </w:trPr>
        <w:tc>
          <w:tcPr>
            <w:tcW w:w="2866" w:type="dxa"/>
            <w:vMerge/>
            <w:tcBorders>
              <w:top w:val="single" w:sz="4" w:space="0" w:color="000000"/>
              <w:left w:val="single" w:sz="4" w:space="0" w:color="000000"/>
              <w:bottom w:val="single" w:sz="4" w:space="0" w:color="000000"/>
              <w:right w:val="single" w:sz="4" w:space="0" w:color="000000"/>
            </w:tcBorders>
            <w:vAlign w:val="center"/>
          </w:tcPr>
          <w:p w14:paraId="3C00A547"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7FD16C8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Plastika të tjera të ngurta</w:t>
            </w:r>
          </w:p>
        </w:tc>
        <w:tc>
          <w:tcPr>
            <w:tcW w:w="5050" w:type="dxa"/>
            <w:tcBorders>
              <w:top w:val="single" w:sz="4" w:space="0" w:color="000000"/>
              <w:left w:val="single" w:sz="4" w:space="0" w:color="000000"/>
              <w:bottom w:val="single" w:sz="4" w:space="0" w:color="000000"/>
              <w:right w:val="single" w:sz="4" w:space="0" w:color="000000"/>
            </w:tcBorders>
            <w:vAlign w:val="center"/>
          </w:tcPr>
          <w:p w14:paraId="203D922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kategoria 17</w:t>
            </w:r>
          </w:p>
        </w:tc>
      </w:tr>
      <w:tr w:rsidR="00C51AE9" w:rsidRPr="00C51AE9" w14:paraId="56DDF442" w14:textId="77777777">
        <w:trPr>
          <w:trHeight w:val="558"/>
        </w:trPr>
        <w:tc>
          <w:tcPr>
            <w:tcW w:w="2866" w:type="dxa"/>
            <w:vMerge/>
            <w:tcBorders>
              <w:top w:val="single" w:sz="4" w:space="0" w:color="000000"/>
              <w:left w:val="single" w:sz="4" w:space="0" w:color="000000"/>
              <w:bottom w:val="single" w:sz="4" w:space="0" w:color="000000"/>
              <w:right w:val="single" w:sz="4" w:space="0" w:color="000000"/>
            </w:tcBorders>
            <w:vAlign w:val="center"/>
          </w:tcPr>
          <w:p w14:paraId="5EE5EED4"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3608148E" w14:textId="77777777" w:rsidR="00767CD0" w:rsidRPr="00C51AE9" w:rsidRDefault="00C51AE9">
            <w:pPr>
              <w:spacing w:after="0"/>
              <w:rPr>
                <w:rFonts w:ascii="Times New Roman" w:hAnsi="Times New Roman" w:cs="Times New Roman"/>
              </w:rPr>
            </w:pPr>
            <w:proofErr w:type="spellStart"/>
            <w:r w:rsidRPr="00C51AE9">
              <w:rPr>
                <w:rFonts w:ascii="Times New Roman" w:hAnsi="Times New Roman" w:cs="Times New Roman"/>
              </w:rPr>
              <w:t>Biodegradueshëm</w:t>
            </w:r>
            <w:proofErr w:type="spellEnd"/>
            <w:r w:rsidRPr="00C51AE9">
              <w:rPr>
                <w:rFonts w:ascii="Times New Roman" w:hAnsi="Times New Roman" w:cs="Times New Roman"/>
              </w:rPr>
              <w:t xml:space="preserve"> (i ngurtë dhe </w:t>
            </w:r>
            <w:proofErr w:type="spellStart"/>
            <w:r w:rsidRPr="00C51AE9">
              <w:rPr>
                <w:rFonts w:ascii="Times New Roman" w:hAnsi="Times New Roman" w:cs="Times New Roman"/>
              </w:rPr>
              <w:t>fleksibël</w:t>
            </w:r>
            <w:proofErr w:type="spellEnd"/>
            <w:r w:rsidRPr="00C51AE9">
              <w:rPr>
                <w:rFonts w:ascii="Times New Roman" w:hAnsi="Times New Roman" w:cs="Times New Roman"/>
              </w:rPr>
              <w:t>)</w:t>
            </w:r>
          </w:p>
        </w:tc>
        <w:tc>
          <w:tcPr>
            <w:tcW w:w="5050" w:type="dxa"/>
            <w:tcBorders>
              <w:top w:val="single" w:sz="4" w:space="0" w:color="000000"/>
              <w:left w:val="single" w:sz="4" w:space="0" w:color="000000"/>
              <w:bottom w:val="single" w:sz="4" w:space="0" w:color="000000"/>
              <w:right w:val="single" w:sz="4" w:space="0" w:color="000000"/>
            </w:tcBorders>
            <w:vAlign w:val="center"/>
          </w:tcPr>
          <w:p w14:paraId="6F0967B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 19</w:t>
            </w:r>
          </w:p>
        </w:tc>
      </w:tr>
      <w:tr w:rsidR="00C51AE9" w:rsidRPr="00C51AE9" w14:paraId="744F514A" w14:textId="77777777">
        <w:trPr>
          <w:trHeight w:val="461"/>
        </w:trPr>
        <w:tc>
          <w:tcPr>
            <w:tcW w:w="2866" w:type="dxa"/>
            <w:vMerge w:val="restart"/>
            <w:tcBorders>
              <w:top w:val="single" w:sz="4" w:space="0" w:color="000000"/>
              <w:left w:val="single" w:sz="4" w:space="0" w:color="000000"/>
              <w:bottom w:val="single" w:sz="4" w:space="0" w:color="000000"/>
              <w:right w:val="single" w:sz="4" w:space="0" w:color="000000"/>
            </w:tcBorders>
            <w:vAlign w:val="center"/>
          </w:tcPr>
          <w:p w14:paraId="1BF07B2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w:t>
            </w:r>
          </w:p>
        </w:tc>
        <w:tc>
          <w:tcPr>
            <w:tcW w:w="5044" w:type="dxa"/>
            <w:tcBorders>
              <w:top w:val="single" w:sz="4" w:space="0" w:color="000000"/>
              <w:left w:val="single" w:sz="4" w:space="0" w:color="000000"/>
              <w:bottom w:val="single" w:sz="4" w:space="0" w:color="000000"/>
              <w:right w:val="single" w:sz="4" w:space="0" w:color="000000"/>
            </w:tcBorders>
            <w:vAlign w:val="center"/>
          </w:tcPr>
          <w:p w14:paraId="73B0F4E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 (përveç kartonit për ambalazhim të lëngjeve)</w:t>
            </w:r>
          </w:p>
        </w:tc>
        <w:tc>
          <w:tcPr>
            <w:tcW w:w="5050" w:type="dxa"/>
            <w:tcBorders>
              <w:top w:val="single" w:sz="4" w:space="0" w:color="000000"/>
              <w:left w:val="single" w:sz="4" w:space="0" w:color="000000"/>
              <w:bottom w:val="single" w:sz="4" w:space="0" w:color="000000"/>
              <w:right w:val="single" w:sz="4" w:space="0" w:color="000000"/>
            </w:tcBorders>
            <w:vAlign w:val="center"/>
          </w:tcPr>
          <w:p w14:paraId="66AF760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2, 3</w:t>
            </w:r>
          </w:p>
        </w:tc>
      </w:tr>
      <w:tr w:rsidR="00C51AE9" w:rsidRPr="00C51AE9" w14:paraId="3237ADB6" w14:textId="77777777">
        <w:trPr>
          <w:trHeight w:val="461"/>
        </w:trPr>
        <w:tc>
          <w:tcPr>
            <w:tcW w:w="2866" w:type="dxa"/>
            <w:vMerge/>
            <w:tcBorders>
              <w:top w:val="single" w:sz="4" w:space="0" w:color="000000"/>
              <w:left w:val="single" w:sz="4" w:space="0" w:color="000000"/>
              <w:bottom w:val="single" w:sz="4" w:space="0" w:color="000000"/>
              <w:right w:val="single" w:sz="4" w:space="0" w:color="000000"/>
            </w:tcBorders>
            <w:vAlign w:val="center"/>
          </w:tcPr>
          <w:p w14:paraId="21EE7BEC"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5514BFE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karton për ambalazhin të lëngjeve</w:t>
            </w:r>
          </w:p>
        </w:tc>
        <w:tc>
          <w:tcPr>
            <w:tcW w:w="5050" w:type="dxa"/>
            <w:tcBorders>
              <w:top w:val="single" w:sz="4" w:space="0" w:color="000000"/>
              <w:left w:val="single" w:sz="4" w:space="0" w:color="000000"/>
              <w:bottom w:val="single" w:sz="4" w:space="0" w:color="000000"/>
              <w:right w:val="single" w:sz="4" w:space="0" w:color="000000"/>
            </w:tcBorders>
            <w:vAlign w:val="center"/>
          </w:tcPr>
          <w:p w14:paraId="181329C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kategoria 3</w:t>
            </w:r>
          </w:p>
        </w:tc>
      </w:tr>
      <w:tr w:rsidR="00C51AE9" w:rsidRPr="00C51AE9" w14:paraId="4EC0ACE7" w14:textId="77777777">
        <w:trPr>
          <w:trHeight w:val="461"/>
        </w:trPr>
        <w:tc>
          <w:tcPr>
            <w:tcW w:w="2866" w:type="dxa"/>
            <w:vMerge w:val="restart"/>
            <w:tcBorders>
              <w:top w:val="single" w:sz="4" w:space="0" w:color="000000"/>
              <w:left w:val="single" w:sz="4" w:space="0" w:color="000000"/>
              <w:bottom w:val="single" w:sz="4" w:space="0" w:color="000000"/>
              <w:right w:val="single" w:sz="4" w:space="0" w:color="000000"/>
            </w:tcBorders>
            <w:vAlign w:val="center"/>
          </w:tcPr>
          <w:p w14:paraId="1D0FEBD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Metal</w:t>
            </w:r>
          </w:p>
        </w:tc>
        <w:tc>
          <w:tcPr>
            <w:tcW w:w="5044" w:type="dxa"/>
            <w:tcBorders>
              <w:top w:val="single" w:sz="4" w:space="0" w:color="000000"/>
              <w:left w:val="single" w:sz="4" w:space="0" w:color="000000"/>
              <w:bottom w:val="single" w:sz="4" w:space="0" w:color="000000"/>
              <w:right w:val="single" w:sz="4" w:space="0" w:color="000000"/>
            </w:tcBorders>
            <w:vAlign w:val="center"/>
          </w:tcPr>
          <w:p w14:paraId="06D7975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alumin</w:t>
            </w:r>
          </w:p>
        </w:tc>
        <w:tc>
          <w:tcPr>
            <w:tcW w:w="5050" w:type="dxa"/>
            <w:tcBorders>
              <w:top w:val="single" w:sz="4" w:space="0" w:color="000000"/>
              <w:left w:val="single" w:sz="4" w:space="0" w:color="000000"/>
              <w:bottom w:val="single" w:sz="4" w:space="0" w:color="000000"/>
              <w:right w:val="single" w:sz="4" w:space="0" w:color="000000"/>
            </w:tcBorders>
            <w:vAlign w:val="center"/>
          </w:tcPr>
          <w:p w14:paraId="17D4836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kategoritë 5, 6</w:t>
            </w:r>
          </w:p>
        </w:tc>
      </w:tr>
      <w:tr w:rsidR="00C51AE9" w:rsidRPr="00C51AE9" w14:paraId="11DBFF1D" w14:textId="77777777">
        <w:trPr>
          <w:trHeight w:val="461"/>
        </w:trPr>
        <w:tc>
          <w:tcPr>
            <w:tcW w:w="2866" w:type="dxa"/>
            <w:vMerge/>
            <w:tcBorders>
              <w:top w:val="single" w:sz="4" w:space="0" w:color="000000"/>
              <w:left w:val="single" w:sz="4" w:space="0" w:color="000000"/>
              <w:bottom w:val="single" w:sz="4" w:space="0" w:color="000000"/>
              <w:right w:val="single" w:sz="4" w:space="0" w:color="000000"/>
            </w:tcBorders>
            <w:vAlign w:val="center"/>
          </w:tcPr>
          <w:p w14:paraId="50B5E824" w14:textId="77777777" w:rsidR="00767CD0" w:rsidRPr="00C51AE9" w:rsidRDefault="00767CD0">
            <w:pPr>
              <w:spacing w:after="0"/>
              <w:rPr>
                <w:rFonts w:ascii="Times New Roman" w:hAnsi="Times New Roman" w:cs="Times New Roman"/>
              </w:rPr>
            </w:pPr>
          </w:p>
        </w:tc>
        <w:tc>
          <w:tcPr>
            <w:tcW w:w="5044" w:type="dxa"/>
            <w:tcBorders>
              <w:top w:val="single" w:sz="4" w:space="0" w:color="000000"/>
              <w:left w:val="single" w:sz="4" w:space="0" w:color="000000"/>
              <w:bottom w:val="single" w:sz="4" w:space="0" w:color="000000"/>
              <w:right w:val="single" w:sz="4" w:space="0" w:color="000000"/>
            </w:tcBorders>
            <w:vAlign w:val="center"/>
          </w:tcPr>
          <w:p w14:paraId="6D979F3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Çelik</w:t>
            </w:r>
          </w:p>
        </w:tc>
        <w:tc>
          <w:tcPr>
            <w:tcW w:w="5050" w:type="dxa"/>
            <w:tcBorders>
              <w:top w:val="single" w:sz="4" w:space="0" w:color="000000"/>
              <w:left w:val="single" w:sz="4" w:space="0" w:color="000000"/>
              <w:bottom w:val="single" w:sz="4" w:space="0" w:color="000000"/>
              <w:right w:val="single" w:sz="4" w:space="0" w:color="000000"/>
            </w:tcBorders>
            <w:vAlign w:val="center"/>
          </w:tcPr>
          <w:p w14:paraId="6CC30D2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kategoria 4</w:t>
            </w:r>
          </w:p>
        </w:tc>
      </w:tr>
      <w:tr w:rsidR="00C51AE9" w:rsidRPr="00C51AE9" w14:paraId="3026562E" w14:textId="77777777">
        <w:trPr>
          <w:trHeight w:val="463"/>
        </w:trPr>
        <w:tc>
          <w:tcPr>
            <w:tcW w:w="2866" w:type="dxa"/>
            <w:tcBorders>
              <w:top w:val="single" w:sz="4" w:space="0" w:color="000000"/>
              <w:left w:val="single" w:sz="4" w:space="0" w:color="000000"/>
              <w:bottom w:val="single" w:sz="4" w:space="0" w:color="000000"/>
              <w:right w:val="single" w:sz="4" w:space="0" w:color="000000"/>
            </w:tcBorders>
            <w:vAlign w:val="center"/>
          </w:tcPr>
          <w:p w14:paraId="3FD6B7B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Xham</w:t>
            </w:r>
          </w:p>
        </w:tc>
        <w:tc>
          <w:tcPr>
            <w:tcW w:w="5044" w:type="dxa"/>
            <w:tcBorders>
              <w:top w:val="single" w:sz="4" w:space="0" w:color="000000"/>
              <w:left w:val="single" w:sz="4" w:space="0" w:color="000000"/>
              <w:bottom w:val="single" w:sz="4" w:space="0" w:color="000000"/>
              <w:right w:val="single" w:sz="4" w:space="0" w:color="000000"/>
            </w:tcBorders>
            <w:vAlign w:val="center"/>
          </w:tcPr>
          <w:p w14:paraId="2B5248C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Xham</w:t>
            </w:r>
          </w:p>
        </w:tc>
        <w:tc>
          <w:tcPr>
            <w:tcW w:w="5050" w:type="dxa"/>
            <w:tcBorders>
              <w:top w:val="single" w:sz="4" w:space="0" w:color="000000"/>
              <w:left w:val="single" w:sz="4" w:space="0" w:color="000000"/>
              <w:bottom w:val="single" w:sz="4" w:space="0" w:color="000000"/>
              <w:right w:val="single" w:sz="4" w:space="0" w:color="000000"/>
            </w:tcBorders>
            <w:vAlign w:val="center"/>
          </w:tcPr>
          <w:p w14:paraId="0EBE288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kategoria 1</w:t>
            </w:r>
          </w:p>
        </w:tc>
      </w:tr>
      <w:tr w:rsidR="00C51AE9" w:rsidRPr="00C51AE9" w14:paraId="5628D0BB" w14:textId="77777777">
        <w:trPr>
          <w:trHeight w:val="463"/>
        </w:trPr>
        <w:tc>
          <w:tcPr>
            <w:tcW w:w="2866" w:type="dxa"/>
            <w:tcBorders>
              <w:top w:val="single" w:sz="4" w:space="0" w:color="000000"/>
              <w:left w:val="single" w:sz="4" w:space="0" w:color="000000"/>
              <w:bottom w:val="single" w:sz="4" w:space="0" w:color="000000"/>
              <w:right w:val="single" w:sz="4" w:space="0" w:color="000000"/>
            </w:tcBorders>
            <w:vAlign w:val="center"/>
          </w:tcPr>
          <w:p w14:paraId="49C4FBF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Dru</w:t>
            </w:r>
          </w:p>
        </w:tc>
        <w:tc>
          <w:tcPr>
            <w:tcW w:w="5044" w:type="dxa"/>
            <w:tcBorders>
              <w:top w:val="single" w:sz="4" w:space="0" w:color="000000"/>
              <w:left w:val="single" w:sz="4" w:space="0" w:color="000000"/>
              <w:bottom w:val="single" w:sz="4" w:space="0" w:color="000000"/>
              <w:right w:val="single" w:sz="4" w:space="0" w:color="000000"/>
            </w:tcBorders>
            <w:vAlign w:val="center"/>
          </w:tcPr>
          <w:p w14:paraId="25027FE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Dru, tapë</w:t>
            </w:r>
          </w:p>
        </w:tc>
        <w:tc>
          <w:tcPr>
            <w:tcW w:w="5050" w:type="dxa"/>
            <w:tcBorders>
              <w:top w:val="single" w:sz="4" w:space="0" w:color="000000"/>
              <w:left w:val="single" w:sz="4" w:space="0" w:color="000000"/>
              <w:bottom w:val="single" w:sz="4" w:space="0" w:color="000000"/>
              <w:right w:val="single" w:sz="4" w:space="0" w:color="000000"/>
            </w:tcBorders>
            <w:vAlign w:val="center"/>
          </w:tcPr>
          <w:p w14:paraId="6BF2A17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kategoria 20</w:t>
            </w:r>
          </w:p>
        </w:tc>
      </w:tr>
      <w:tr w:rsidR="00C51AE9" w:rsidRPr="00C51AE9" w14:paraId="3410C054" w14:textId="77777777">
        <w:trPr>
          <w:trHeight w:val="461"/>
        </w:trPr>
        <w:tc>
          <w:tcPr>
            <w:tcW w:w="2866" w:type="dxa"/>
            <w:tcBorders>
              <w:top w:val="single" w:sz="4" w:space="0" w:color="000000"/>
              <w:left w:val="single" w:sz="4" w:space="0" w:color="000000"/>
              <w:bottom w:val="single" w:sz="4" w:space="0" w:color="000000"/>
              <w:right w:val="single" w:sz="4" w:space="0" w:color="000000"/>
            </w:tcBorders>
            <w:vAlign w:val="center"/>
          </w:tcPr>
          <w:p w14:paraId="76DC7DD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Të tjerë</w:t>
            </w:r>
          </w:p>
        </w:tc>
        <w:tc>
          <w:tcPr>
            <w:tcW w:w="5044" w:type="dxa"/>
            <w:tcBorders>
              <w:top w:val="single" w:sz="4" w:space="0" w:color="000000"/>
              <w:left w:val="single" w:sz="4" w:space="0" w:color="000000"/>
              <w:bottom w:val="single" w:sz="4" w:space="0" w:color="000000"/>
              <w:right w:val="single" w:sz="4" w:space="0" w:color="000000"/>
            </w:tcBorders>
            <w:vAlign w:val="center"/>
          </w:tcPr>
          <w:p w14:paraId="03D5384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Tekstile, qeramikë/porcelan dhe të tjera</w:t>
            </w:r>
          </w:p>
        </w:tc>
        <w:tc>
          <w:tcPr>
            <w:tcW w:w="5050" w:type="dxa"/>
            <w:tcBorders>
              <w:top w:val="single" w:sz="4" w:space="0" w:color="000000"/>
              <w:left w:val="single" w:sz="4" w:space="0" w:color="000000"/>
              <w:bottom w:val="single" w:sz="4" w:space="0" w:color="000000"/>
              <w:right w:val="single" w:sz="4" w:space="0" w:color="000000"/>
            </w:tcBorders>
            <w:vAlign w:val="center"/>
          </w:tcPr>
          <w:p w14:paraId="25DD40E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kategori 21, 22</w:t>
            </w:r>
          </w:p>
        </w:tc>
      </w:tr>
    </w:tbl>
    <w:p w14:paraId="01AF3681" w14:textId="77777777" w:rsidR="00767CD0" w:rsidRPr="00C51AE9" w:rsidRDefault="00767CD0">
      <w:pPr>
        <w:jc w:val="both"/>
        <w:rPr>
          <w:rFonts w:ascii="Times New Roman" w:eastAsia="Cambria" w:hAnsi="Times New Roman" w:cs="Times New Roman"/>
          <w:spacing w:val="-5"/>
          <w:kern w:val="0"/>
          <w14:ligatures w14:val="none"/>
        </w:rPr>
      </w:pPr>
    </w:p>
    <w:p w14:paraId="39CA9A20"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Tabela 3 Klasat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së </w:t>
      </w:r>
      <w:proofErr w:type="spellStart"/>
      <w:r w:rsidRPr="00C51AE9">
        <w:rPr>
          <w:rFonts w:ascii="Times New Roman" w:hAnsi="Times New Roman" w:cs="Times New Roman"/>
        </w:rPr>
        <w:t>riciklueshmërisë</w:t>
      </w:r>
      <w:proofErr w:type="spellEnd"/>
    </w:p>
    <w:p w14:paraId="2C879E5C" w14:textId="77777777" w:rsidR="00767CD0" w:rsidRPr="00C51AE9" w:rsidRDefault="00C51AE9">
      <w:pPr>
        <w:jc w:val="both"/>
        <w:rPr>
          <w:rFonts w:ascii="Times New Roman" w:hAnsi="Times New Roman" w:cs="Times New Roman"/>
        </w:rPr>
      </w:pPr>
      <w:proofErr w:type="spellStart"/>
      <w:r w:rsidRPr="00C51AE9">
        <w:rPr>
          <w:rFonts w:ascii="Times New Roman" w:hAnsi="Times New Roman" w:cs="Times New Roman"/>
        </w:rPr>
        <w:t>Riciklueshmëria</w:t>
      </w:r>
      <w:proofErr w:type="spellEnd"/>
      <w:r w:rsidRPr="00C51AE9">
        <w:rPr>
          <w:rFonts w:ascii="Times New Roman" w:hAnsi="Times New Roman" w:cs="Times New Roman"/>
        </w:rPr>
        <w:t xml:space="preserve"> e ambalazhimit shprehet në klasat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A, B ose C.</w:t>
      </w:r>
    </w:p>
    <w:p w14:paraId="69D30D01" w14:textId="77777777" w:rsidR="00767CD0" w:rsidRPr="00C51AE9" w:rsidRDefault="00C51AE9">
      <w:pPr>
        <w:jc w:val="both"/>
        <w:rPr>
          <w:rFonts w:ascii="Times New Roman" w:hAnsi="Times New Roman" w:cs="Times New Roman"/>
        </w:rPr>
      </w:pPr>
      <w:r w:rsidRPr="00C51AE9">
        <w:rPr>
          <w:rFonts w:ascii="Times New Roman" w:hAnsi="Times New Roman" w:cs="Times New Roman"/>
        </w:rPr>
        <w:lastRenderedPageBreak/>
        <w:t xml:space="preserve">Nga viti 2030, </w:t>
      </w:r>
      <w:proofErr w:type="spellStart"/>
      <w:r w:rsidRPr="00C51AE9">
        <w:rPr>
          <w:rFonts w:ascii="Times New Roman" w:hAnsi="Times New Roman" w:cs="Times New Roman"/>
        </w:rPr>
        <w:t>performanca</w:t>
      </w:r>
      <w:proofErr w:type="spellEnd"/>
      <w:r w:rsidRPr="00C51AE9">
        <w:rPr>
          <w:rFonts w:ascii="Times New Roman" w:hAnsi="Times New Roman" w:cs="Times New Roman"/>
        </w:rPr>
        <w:t xml:space="preserve"> e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xml:space="preserve"> bazohet në kriteret e projektimit për riciklim. Kriteret e projektimit për riciklim duhet të sigurojnë </w:t>
      </w:r>
      <w:proofErr w:type="spellStart"/>
      <w:r w:rsidRPr="00C51AE9">
        <w:rPr>
          <w:rFonts w:ascii="Times New Roman" w:hAnsi="Times New Roman" w:cs="Times New Roman"/>
        </w:rPr>
        <w:t>qarkullueshmërinë</w:t>
      </w:r>
      <w:proofErr w:type="spellEnd"/>
      <w:r w:rsidRPr="00C51AE9">
        <w:rPr>
          <w:rFonts w:ascii="Times New Roman" w:hAnsi="Times New Roman" w:cs="Times New Roman"/>
        </w:rPr>
        <w:t xml:space="preserve"> e përdorimit të lëndëve të para dytësore rezultuese me cilësi të mjaftueshme për të zëvendësuar lëndët e para parësore.</w:t>
      </w:r>
    </w:p>
    <w:p w14:paraId="60A6DA8B" w14:textId="77777777" w:rsidR="00767CD0" w:rsidRPr="00C51AE9" w:rsidRDefault="00C51AE9">
      <w:pPr>
        <w:jc w:val="both"/>
        <w:rPr>
          <w:rFonts w:ascii="Times New Roman" w:hAnsi="Times New Roman" w:cs="Times New Roman"/>
          <w:spacing w:val="-5"/>
        </w:rPr>
      </w:pPr>
      <w:r w:rsidRPr="00C51AE9">
        <w:rPr>
          <w:rFonts w:ascii="Times New Roman" w:hAnsi="Times New Roman" w:cs="Times New Roman"/>
        </w:rPr>
        <w:t xml:space="preserve">Vlerësimi i bazuar në kriteret e projektimit për riciklim do  kryhet për secilën kategori ambalazhimi të renditur në Tabelën 1, duke marrë parasysh metodologjinë e përcaktuar sipas pikës 4 të nenit 12, si dhe parametrat e përcaktuar në Tabelën 4. pas peshimit të kritereve për njësi ambalazhimi, ajo klasifikohet në kategoritë a, B ose C. Kur niveli i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së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xml:space="preserve"> së një njësie ambalazhimi është nën 70 %, ajo konsiderohet në mospërputhje me nivelet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së </w:t>
      </w:r>
      <w:proofErr w:type="spellStart"/>
      <w:r w:rsidRPr="00C51AE9">
        <w:rPr>
          <w:rFonts w:ascii="Times New Roman" w:hAnsi="Times New Roman" w:cs="Times New Roman"/>
        </w:rPr>
        <w:t>riciklueshmërisë</w:t>
      </w:r>
      <w:proofErr w:type="spellEnd"/>
      <w:r w:rsidRPr="00C51AE9">
        <w:rPr>
          <w:rFonts w:ascii="Times New Roman" w:hAnsi="Times New Roman" w:cs="Times New Roman"/>
        </w:rPr>
        <w:t xml:space="preserve"> dhe për rrjedhojë ambalazhimi  konsiderohet teknikisht i </w:t>
      </w:r>
      <w:proofErr w:type="spellStart"/>
      <w:r w:rsidRPr="00C51AE9">
        <w:rPr>
          <w:rFonts w:ascii="Times New Roman" w:hAnsi="Times New Roman" w:cs="Times New Roman"/>
        </w:rPr>
        <w:t>pariciklueshëm</w:t>
      </w:r>
      <w:proofErr w:type="spellEnd"/>
      <w:r w:rsidRPr="00C51AE9">
        <w:rPr>
          <w:rFonts w:ascii="Times New Roman" w:hAnsi="Times New Roman" w:cs="Times New Roman"/>
        </w:rPr>
        <w:t xml:space="preserve"> dhe vendosja e tij në treg  kufizohet.</w:t>
      </w:r>
    </w:p>
    <w:tbl>
      <w:tblPr>
        <w:tblW w:w="5000" w:type="pct"/>
        <w:tblLayout w:type="fixed"/>
        <w:tblCellMar>
          <w:left w:w="5" w:type="dxa"/>
          <w:right w:w="5" w:type="dxa"/>
        </w:tblCellMar>
        <w:tblLook w:val="01E0" w:firstRow="1" w:lastRow="1" w:firstColumn="1" w:lastColumn="1" w:noHBand="0" w:noVBand="0"/>
      </w:tblPr>
      <w:tblGrid>
        <w:gridCol w:w="1973"/>
        <w:gridCol w:w="1432"/>
        <w:gridCol w:w="1917"/>
        <w:gridCol w:w="1429"/>
        <w:gridCol w:w="1430"/>
        <w:gridCol w:w="1919"/>
        <w:gridCol w:w="1429"/>
        <w:gridCol w:w="1421"/>
      </w:tblGrid>
      <w:tr w:rsidR="00C51AE9" w:rsidRPr="00C51AE9" w14:paraId="43118D18" w14:textId="77777777">
        <w:trPr>
          <w:trHeight w:val="443"/>
        </w:trPr>
        <w:tc>
          <w:tcPr>
            <w:tcW w:w="3407" w:type="dxa"/>
            <w:gridSpan w:val="2"/>
            <w:tcBorders>
              <w:top w:val="single" w:sz="4" w:space="0" w:color="000000"/>
              <w:left w:val="single" w:sz="4" w:space="0" w:color="000000"/>
              <w:bottom w:val="single" w:sz="4" w:space="0" w:color="000000"/>
              <w:right w:val="single" w:sz="4" w:space="0" w:color="000000"/>
            </w:tcBorders>
            <w:vAlign w:val="center"/>
          </w:tcPr>
          <w:p w14:paraId="7C1AF802"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2030</w:t>
            </w:r>
          </w:p>
        </w:tc>
        <w:tc>
          <w:tcPr>
            <w:tcW w:w="4779" w:type="dxa"/>
            <w:gridSpan w:val="3"/>
            <w:tcBorders>
              <w:top w:val="single" w:sz="4" w:space="0" w:color="000000"/>
              <w:left w:val="single" w:sz="4" w:space="0" w:color="000000"/>
              <w:bottom w:val="single" w:sz="4" w:space="0" w:color="000000"/>
              <w:right w:val="single" w:sz="4" w:space="0" w:color="000000"/>
            </w:tcBorders>
            <w:vAlign w:val="center"/>
          </w:tcPr>
          <w:p w14:paraId="31A96C0C"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2035</w:t>
            </w:r>
          </w:p>
        </w:tc>
        <w:tc>
          <w:tcPr>
            <w:tcW w:w="4772" w:type="dxa"/>
            <w:gridSpan w:val="3"/>
            <w:tcBorders>
              <w:top w:val="single" w:sz="4" w:space="0" w:color="000000"/>
              <w:left w:val="single" w:sz="4" w:space="0" w:color="000000"/>
              <w:bottom w:val="single" w:sz="4" w:space="0" w:color="000000"/>
              <w:right w:val="single" w:sz="4" w:space="0" w:color="000000"/>
            </w:tcBorders>
            <w:vAlign w:val="center"/>
          </w:tcPr>
          <w:p w14:paraId="4BA2E3FF"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2038</w:t>
            </w:r>
          </w:p>
        </w:tc>
      </w:tr>
      <w:tr w:rsidR="00C51AE9" w:rsidRPr="00C51AE9" w14:paraId="79860EBE" w14:textId="77777777">
        <w:trPr>
          <w:trHeight w:val="1209"/>
        </w:trPr>
        <w:tc>
          <w:tcPr>
            <w:tcW w:w="1974" w:type="dxa"/>
            <w:tcBorders>
              <w:top w:val="single" w:sz="4" w:space="0" w:color="000000"/>
              <w:left w:val="single" w:sz="4" w:space="0" w:color="000000"/>
              <w:bottom w:val="single" w:sz="4" w:space="0" w:color="000000"/>
              <w:right w:val="single" w:sz="4" w:space="0" w:color="000000"/>
            </w:tcBorders>
            <w:vAlign w:val="center"/>
          </w:tcPr>
          <w:p w14:paraId="135EBB4C" w14:textId="77777777" w:rsidR="00767CD0" w:rsidRPr="00C51AE9" w:rsidRDefault="00767CD0">
            <w:pPr>
              <w:rPr>
                <w:rFonts w:ascii="Times New Roman" w:hAnsi="Times New Roman" w:cs="Times New Roman"/>
                <w:sz w:val="22"/>
                <w:szCs w:val="22"/>
              </w:rPr>
            </w:pPr>
          </w:p>
          <w:p w14:paraId="34440377" w14:textId="77777777" w:rsidR="00767CD0" w:rsidRPr="00C51AE9" w:rsidRDefault="00767CD0">
            <w:pPr>
              <w:rPr>
                <w:rFonts w:ascii="Times New Roman" w:hAnsi="Times New Roman" w:cs="Times New Roman"/>
                <w:sz w:val="22"/>
                <w:szCs w:val="22"/>
              </w:rPr>
            </w:pPr>
          </w:p>
          <w:p w14:paraId="3045B031"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e </w:t>
            </w:r>
            <w:proofErr w:type="spellStart"/>
            <w:r w:rsidRPr="00C51AE9">
              <w:rPr>
                <w:rFonts w:ascii="Times New Roman" w:hAnsi="Times New Roman" w:cs="Times New Roman"/>
                <w:sz w:val="22"/>
                <w:szCs w:val="22"/>
              </w:rPr>
              <w:t>performancës</w:t>
            </w:r>
            <w:proofErr w:type="spellEnd"/>
            <w:r w:rsidRPr="00C51AE9">
              <w:rPr>
                <w:rFonts w:ascii="Times New Roman" w:hAnsi="Times New Roman" w:cs="Times New Roman"/>
                <w:sz w:val="22"/>
                <w:szCs w:val="22"/>
              </w:rPr>
              <w:t xml:space="preserve"> së </w:t>
            </w:r>
            <w:proofErr w:type="spellStart"/>
            <w:r w:rsidRPr="00C51AE9">
              <w:rPr>
                <w:rFonts w:ascii="Times New Roman" w:hAnsi="Times New Roman" w:cs="Times New Roman"/>
                <w:sz w:val="22"/>
                <w:szCs w:val="22"/>
              </w:rPr>
              <w:t>riciklueshmërisë</w:t>
            </w:r>
            <w:proofErr w:type="spellEnd"/>
          </w:p>
        </w:tc>
        <w:tc>
          <w:tcPr>
            <w:tcW w:w="1433" w:type="dxa"/>
            <w:tcBorders>
              <w:top w:val="single" w:sz="4" w:space="0" w:color="000000"/>
              <w:left w:val="single" w:sz="4" w:space="0" w:color="000000"/>
              <w:bottom w:val="single" w:sz="4" w:space="0" w:color="000000"/>
              <w:right w:val="single" w:sz="4" w:space="0" w:color="000000"/>
            </w:tcBorders>
            <w:vAlign w:val="center"/>
          </w:tcPr>
          <w:p w14:paraId="7C8517F8"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projektim për riciklim (DFR)</w:t>
            </w:r>
          </w:p>
          <w:p w14:paraId="18F592F0"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vlerësimi i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 njësi, në terma të peshimit</w:t>
            </w:r>
          </w:p>
        </w:tc>
        <w:tc>
          <w:tcPr>
            <w:tcW w:w="1918" w:type="dxa"/>
            <w:tcBorders>
              <w:top w:val="single" w:sz="4" w:space="0" w:color="000000"/>
              <w:left w:val="single" w:sz="4" w:space="0" w:color="000000"/>
              <w:bottom w:val="single" w:sz="4" w:space="0" w:color="000000"/>
              <w:right w:val="single" w:sz="4" w:space="0" w:color="000000"/>
            </w:tcBorders>
            <w:vAlign w:val="center"/>
          </w:tcPr>
          <w:p w14:paraId="2012AED2" w14:textId="77777777" w:rsidR="00767CD0" w:rsidRPr="00C51AE9" w:rsidRDefault="00767CD0">
            <w:pPr>
              <w:rPr>
                <w:rFonts w:ascii="Times New Roman" w:hAnsi="Times New Roman" w:cs="Times New Roman"/>
                <w:sz w:val="22"/>
                <w:szCs w:val="22"/>
              </w:rPr>
            </w:pPr>
          </w:p>
          <w:p w14:paraId="07C97985"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Shkalla e </w:t>
            </w:r>
            <w:proofErr w:type="spellStart"/>
            <w:r w:rsidRPr="00C51AE9">
              <w:rPr>
                <w:rFonts w:ascii="Times New Roman" w:hAnsi="Times New Roman" w:cs="Times New Roman"/>
                <w:sz w:val="22"/>
                <w:szCs w:val="22"/>
              </w:rPr>
              <w:t>performancës</w:t>
            </w:r>
            <w:proofErr w:type="spellEnd"/>
            <w:r w:rsidRPr="00C51AE9">
              <w:rPr>
                <w:rFonts w:ascii="Times New Roman" w:hAnsi="Times New Roman" w:cs="Times New Roman"/>
                <w:sz w:val="22"/>
                <w:szCs w:val="22"/>
              </w:rPr>
              <w:t xml:space="preserve"> së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 DFR)</w:t>
            </w:r>
          </w:p>
        </w:tc>
        <w:tc>
          <w:tcPr>
            <w:tcW w:w="1430" w:type="dxa"/>
            <w:tcBorders>
              <w:top w:val="single" w:sz="4" w:space="0" w:color="000000"/>
              <w:left w:val="single" w:sz="4" w:space="0" w:color="000000"/>
              <w:bottom w:val="single" w:sz="4" w:space="0" w:color="000000"/>
              <w:right w:val="single" w:sz="4" w:space="0" w:color="000000"/>
            </w:tcBorders>
            <w:vAlign w:val="center"/>
          </w:tcPr>
          <w:p w14:paraId="5747A4E1"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projektim për riciklim (DFR)</w:t>
            </w:r>
          </w:p>
          <w:p w14:paraId="728D231A"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vlerësimi i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 njësi, në terma të </w:t>
            </w:r>
            <w:proofErr w:type="spellStart"/>
            <w:r w:rsidRPr="00C51AE9">
              <w:rPr>
                <w:rFonts w:ascii="Times New Roman" w:hAnsi="Times New Roman" w:cs="Times New Roman"/>
                <w:sz w:val="22"/>
                <w:szCs w:val="22"/>
              </w:rPr>
              <w:t>peshëzimit</w:t>
            </w:r>
            <w:proofErr w:type="spellEnd"/>
          </w:p>
        </w:tc>
        <w:tc>
          <w:tcPr>
            <w:tcW w:w="1431" w:type="dxa"/>
            <w:tcBorders>
              <w:top w:val="single" w:sz="4" w:space="0" w:color="000000"/>
              <w:left w:val="single" w:sz="4" w:space="0" w:color="000000"/>
              <w:bottom w:val="single" w:sz="4" w:space="0" w:color="000000"/>
              <w:right w:val="single" w:sz="4" w:space="0" w:color="000000"/>
            </w:tcBorders>
            <w:vAlign w:val="center"/>
          </w:tcPr>
          <w:p w14:paraId="2B8894B5" w14:textId="77777777" w:rsidR="00767CD0" w:rsidRPr="00C51AE9" w:rsidRDefault="00767CD0">
            <w:pPr>
              <w:rPr>
                <w:rFonts w:ascii="Times New Roman" w:hAnsi="Times New Roman" w:cs="Times New Roman"/>
                <w:sz w:val="22"/>
                <w:szCs w:val="22"/>
              </w:rPr>
            </w:pPr>
          </w:p>
          <w:p w14:paraId="31BDABC3"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Shkalla e </w:t>
            </w:r>
            <w:proofErr w:type="spellStart"/>
            <w:r w:rsidRPr="00C51AE9">
              <w:rPr>
                <w:rFonts w:ascii="Times New Roman" w:hAnsi="Times New Roman" w:cs="Times New Roman"/>
                <w:sz w:val="22"/>
                <w:szCs w:val="22"/>
              </w:rPr>
              <w:t>performancës</w:t>
            </w:r>
            <w:proofErr w:type="spellEnd"/>
            <w:r w:rsidRPr="00C51AE9">
              <w:rPr>
                <w:rFonts w:ascii="Times New Roman" w:hAnsi="Times New Roman" w:cs="Times New Roman"/>
                <w:sz w:val="22"/>
                <w:szCs w:val="22"/>
              </w:rPr>
              <w:t xml:space="preserve"> së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 vlerësimin e riciklimit në shkallë të gjerë)</w:t>
            </w:r>
          </w:p>
        </w:tc>
        <w:tc>
          <w:tcPr>
            <w:tcW w:w="1920" w:type="dxa"/>
            <w:tcBorders>
              <w:top w:val="single" w:sz="4" w:space="0" w:color="000000"/>
              <w:left w:val="single" w:sz="4" w:space="0" w:color="000000"/>
              <w:bottom w:val="single" w:sz="4" w:space="0" w:color="000000"/>
              <w:right w:val="single" w:sz="4" w:space="0" w:color="000000"/>
            </w:tcBorders>
            <w:vAlign w:val="center"/>
          </w:tcPr>
          <w:p w14:paraId="547320AB" w14:textId="77777777" w:rsidR="00767CD0" w:rsidRPr="00C51AE9" w:rsidRDefault="00767CD0">
            <w:pPr>
              <w:rPr>
                <w:rFonts w:ascii="Times New Roman" w:hAnsi="Times New Roman" w:cs="Times New Roman"/>
                <w:sz w:val="22"/>
                <w:szCs w:val="22"/>
              </w:rPr>
            </w:pPr>
          </w:p>
          <w:p w14:paraId="5FB92F3D" w14:textId="77777777" w:rsidR="00767CD0" w:rsidRPr="00C51AE9" w:rsidRDefault="00767CD0">
            <w:pPr>
              <w:rPr>
                <w:rFonts w:ascii="Times New Roman" w:hAnsi="Times New Roman" w:cs="Times New Roman"/>
                <w:sz w:val="22"/>
                <w:szCs w:val="22"/>
              </w:rPr>
            </w:pPr>
          </w:p>
          <w:p w14:paraId="5E561F4F"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e </w:t>
            </w:r>
            <w:proofErr w:type="spellStart"/>
            <w:r w:rsidRPr="00C51AE9">
              <w:rPr>
                <w:rFonts w:ascii="Times New Roman" w:hAnsi="Times New Roman" w:cs="Times New Roman"/>
                <w:sz w:val="22"/>
                <w:szCs w:val="22"/>
              </w:rPr>
              <w:t>performancës</w:t>
            </w:r>
            <w:proofErr w:type="spellEnd"/>
            <w:r w:rsidRPr="00C51AE9">
              <w:rPr>
                <w:rFonts w:ascii="Times New Roman" w:hAnsi="Times New Roman" w:cs="Times New Roman"/>
                <w:sz w:val="22"/>
                <w:szCs w:val="22"/>
              </w:rPr>
              <w:t xml:space="preserve"> së </w:t>
            </w:r>
            <w:proofErr w:type="spellStart"/>
            <w:r w:rsidRPr="00C51AE9">
              <w:rPr>
                <w:rFonts w:ascii="Times New Roman" w:hAnsi="Times New Roman" w:cs="Times New Roman"/>
                <w:sz w:val="22"/>
                <w:szCs w:val="22"/>
              </w:rPr>
              <w:t>riciklueshmërisë</w:t>
            </w:r>
            <w:proofErr w:type="spellEnd"/>
          </w:p>
        </w:tc>
        <w:tc>
          <w:tcPr>
            <w:tcW w:w="1430" w:type="dxa"/>
            <w:tcBorders>
              <w:top w:val="single" w:sz="4" w:space="0" w:color="000000"/>
              <w:left w:val="single" w:sz="4" w:space="0" w:color="000000"/>
              <w:bottom w:val="single" w:sz="4" w:space="0" w:color="000000"/>
              <w:right w:val="single" w:sz="4" w:space="0" w:color="000000"/>
            </w:tcBorders>
            <w:vAlign w:val="center"/>
          </w:tcPr>
          <w:p w14:paraId="28FC05F9"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projektim për riciklim (DFR)</w:t>
            </w:r>
          </w:p>
          <w:p w14:paraId="677DE6FD"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vlerësimi i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 njësi, në terma të </w:t>
            </w:r>
            <w:proofErr w:type="spellStart"/>
            <w:r w:rsidRPr="00C51AE9">
              <w:rPr>
                <w:rFonts w:ascii="Times New Roman" w:hAnsi="Times New Roman" w:cs="Times New Roman"/>
                <w:sz w:val="22"/>
                <w:szCs w:val="22"/>
              </w:rPr>
              <w:t>peshëzimit</w:t>
            </w:r>
            <w:proofErr w:type="spellEnd"/>
          </w:p>
        </w:tc>
        <w:tc>
          <w:tcPr>
            <w:tcW w:w="1422" w:type="dxa"/>
            <w:tcBorders>
              <w:top w:val="single" w:sz="4" w:space="0" w:color="000000"/>
              <w:left w:val="single" w:sz="4" w:space="0" w:color="000000"/>
              <w:bottom w:val="single" w:sz="4" w:space="0" w:color="000000"/>
              <w:right w:val="single" w:sz="4" w:space="0" w:color="000000"/>
            </w:tcBorders>
            <w:vAlign w:val="center"/>
          </w:tcPr>
          <w:p w14:paraId="64136754" w14:textId="77777777" w:rsidR="00767CD0" w:rsidRPr="00C51AE9" w:rsidRDefault="00767CD0">
            <w:pPr>
              <w:rPr>
                <w:rFonts w:ascii="Times New Roman" w:hAnsi="Times New Roman" w:cs="Times New Roman"/>
                <w:sz w:val="22"/>
                <w:szCs w:val="22"/>
              </w:rPr>
            </w:pPr>
          </w:p>
          <w:p w14:paraId="576FDF2D"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Shkalla e </w:t>
            </w:r>
            <w:proofErr w:type="spellStart"/>
            <w:r w:rsidRPr="00C51AE9">
              <w:rPr>
                <w:rFonts w:ascii="Times New Roman" w:hAnsi="Times New Roman" w:cs="Times New Roman"/>
                <w:sz w:val="22"/>
                <w:szCs w:val="22"/>
              </w:rPr>
              <w:t>performancës</w:t>
            </w:r>
            <w:proofErr w:type="spellEnd"/>
            <w:r w:rsidRPr="00C51AE9">
              <w:rPr>
                <w:rFonts w:ascii="Times New Roman" w:hAnsi="Times New Roman" w:cs="Times New Roman"/>
                <w:sz w:val="22"/>
                <w:szCs w:val="22"/>
              </w:rPr>
              <w:t xml:space="preserve"> së </w:t>
            </w:r>
            <w:proofErr w:type="spellStart"/>
            <w:r w:rsidRPr="00C51AE9">
              <w:rPr>
                <w:rFonts w:ascii="Times New Roman" w:hAnsi="Times New Roman" w:cs="Times New Roman"/>
                <w:sz w:val="22"/>
                <w:szCs w:val="22"/>
              </w:rPr>
              <w:t>riciklueshmërisë</w:t>
            </w:r>
            <w:proofErr w:type="spellEnd"/>
            <w:r w:rsidRPr="00C51AE9">
              <w:rPr>
                <w:rFonts w:ascii="Times New Roman" w:hAnsi="Times New Roman" w:cs="Times New Roman"/>
                <w:sz w:val="22"/>
                <w:szCs w:val="22"/>
              </w:rPr>
              <w:t xml:space="preserve"> (për</w:t>
            </w:r>
          </w:p>
          <w:p w14:paraId="79D19D2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vlerësim i ricikluar-në-shkallë)</w:t>
            </w:r>
          </w:p>
        </w:tc>
      </w:tr>
      <w:tr w:rsidR="00C51AE9" w:rsidRPr="00C51AE9" w14:paraId="157DBE7F" w14:textId="77777777">
        <w:trPr>
          <w:trHeight w:val="671"/>
        </w:trPr>
        <w:tc>
          <w:tcPr>
            <w:tcW w:w="1974" w:type="dxa"/>
            <w:tcBorders>
              <w:top w:val="single" w:sz="4" w:space="0" w:color="000000"/>
              <w:left w:val="single" w:sz="4" w:space="0" w:color="000000"/>
              <w:bottom w:val="single" w:sz="4" w:space="0" w:color="000000"/>
              <w:right w:val="single" w:sz="4" w:space="0" w:color="000000"/>
            </w:tcBorders>
            <w:vAlign w:val="center"/>
          </w:tcPr>
          <w:p w14:paraId="26F096B8"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Shkalla A</w:t>
            </w:r>
          </w:p>
        </w:tc>
        <w:tc>
          <w:tcPr>
            <w:tcW w:w="1433" w:type="dxa"/>
            <w:tcBorders>
              <w:top w:val="single" w:sz="4" w:space="0" w:color="000000"/>
              <w:left w:val="single" w:sz="4" w:space="0" w:color="000000"/>
              <w:bottom w:val="single" w:sz="4" w:space="0" w:color="000000"/>
              <w:right w:val="single" w:sz="4" w:space="0" w:color="000000"/>
            </w:tcBorders>
            <w:vAlign w:val="center"/>
          </w:tcPr>
          <w:p w14:paraId="76D2E8E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i lartë ose i barabartë me 95 %</w:t>
            </w:r>
          </w:p>
        </w:tc>
        <w:tc>
          <w:tcPr>
            <w:tcW w:w="1918" w:type="dxa"/>
            <w:tcBorders>
              <w:top w:val="single" w:sz="4" w:space="0" w:color="000000"/>
              <w:left w:val="single" w:sz="4" w:space="0" w:color="000000"/>
              <w:bottom w:val="single" w:sz="4" w:space="0" w:color="000000"/>
              <w:right w:val="single" w:sz="4" w:space="0" w:color="000000"/>
            </w:tcBorders>
            <w:vAlign w:val="center"/>
          </w:tcPr>
          <w:p w14:paraId="143D105A"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Nota a</w:t>
            </w:r>
          </w:p>
        </w:tc>
        <w:tc>
          <w:tcPr>
            <w:tcW w:w="1430" w:type="dxa"/>
            <w:tcBorders>
              <w:top w:val="single" w:sz="4" w:space="0" w:color="000000"/>
              <w:left w:val="single" w:sz="4" w:space="0" w:color="000000"/>
              <w:bottom w:val="single" w:sz="4" w:space="0" w:color="000000"/>
              <w:right w:val="single" w:sz="4" w:space="0" w:color="000000"/>
            </w:tcBorders>
            <w:vAlign w:val="center"/>
          </w:tcPr>
          <w:p w14:paraId="05A9160E"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lartë ose e barabartë me 95 %</w:t>
            </w:r>
          </w:p>
        </w:tc>
        <w:tc>
          <w:tcPr>
            <w:tcW w:w="1431" w:type="dxa"/>
            <w:tcBorders>
              <w:top w:val="single" w:sz="4" w:space="0" w:color="000000"/>
              <w:left w:val="single" w:sz="4" w:space="0" w:color="000000"/>
              <w:bottom w:val="single" w:sz="4" w:space="0" w:color="000000"/>
              <w:right w:val="single" w:sz="4" w:space="0" w:color="000000"/>
            </w:tcBorders>
            <w:vAlign w:val="center"/>
          </w:tcPr>
          <w:p w14:paraId="42BFC3E5"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Niveli a </w:t>
            </w:r>
            <w:proofErr w:type="spellStart"/>
            <w:r w:rsidRPr="00C51AE9">
              <w:rPr>
                <w:rFonts w:ascii="Times New Roman" w:hAnsi="Times New Roman" w:cs="Times New Roman"/>
                <w:sz w:val="22"/>
                <w:szCs w:val="22"/>
              </w:rPr>
              <w:t>RaS</w:t>
            </w:r>
            <w:proofErr w:type="spellEnd"/>
          </w:p>
        </w:tc>
        <w:tc>
          <w:tcPr>
            <w:tcW w:w="1920" w:type="dxa"/>
            <w:tcBorders>
              <w:top w:val="single" w:sz="4" w:space="0" w:color="000000"/>
              <w:left w:val="single" w:sz="4" w:space="0" w:color="000000"/>
              <w:bottom w:val="single" w:sz="4" w:space="0" w:color="000000"/>
              <w:right w:val="single" w:sz="4" w:space="0" w:color="000000"/>
            </w:tcBorders>
            <w:vAlign w:val="center"/>
          </w:tcPr>
          <w:p w14:paraId="51CAF37E"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A</w:t>
            </w:r>
          </w:p>
        </w:tc>
        <w:tc>
          <w:tcPr>
            <w:tcW w:w="1430" w:type="dxa"/>
            <w:tcBorders>
              <w:top w:val="single" w:sz="4" w:space="0" w:color="000000"/>
              <w:left w:val="single" w:sz="4" w:space="0" w:color="000000"/>
              <w:bottom w:val="single" w:sz="4" w:space="0" w:color="000000"/>
              <w:right w:val="single" w:sz="4" w:space="0" w:color="000000"/>
            </w:tcBorders>
            <w:vAlign w:val="center"/>
          </w:tcPr>
          <w:p w14:paraId="71EC17AA"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lartë ose e barabartë me 95 %</w:t>
            </w:r>
          </w:p>
        </w:tc>
        <w:tc>
          <w:tcPr>
            <w:tcW w:w="1422" w:type="dxa"/>
            <w:tcBorders>
              <w:top w:val="single" w:sz="4" w:space="0" w:color="000000"/>
              <w:left w:val="single" w:sz="4" w:space="0" w:color="000000"/>
              <w:bottom w:val="single" w:sz="4" w:space="0" w:color="000000"/>
              <w:right w:val="single" w:sz="4" w:space="0" w:color="000000"/>
            </w:tcBorders>
            <w:vAlign w:val="center"/>
          </w:tcPr>
          <w:p w14:paraId="0954CE5F"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Nota a </w:t>
            </w:r>
            <w:proofErr w:type="spellStart"/>
            <w:r w:rsidRPr="00C51AE9">
              <w:rPr>
                <w:rFonts w:ascii="Times New Roman" w:hAnsi="Times New Roman" w:cs="Times New Roman"/>
                <w:sz w:val="22"/>
                <w:szCs w:val="22"/>
              </w:rPr>
              <w:t>RaS</w:t>
            </w:r>
            <w:proofErr w:type="spellEnd"/>
          </w:p>
        </w:tc>
      </w:tr>
      <w:tr w:rsidR="00C51AE9" w:rsidRPr="00C51AE9" w14:paraId="2CD959AC" w14:textId="77777777">
        <w:trPr>
          <w:trHeight w:val="671"/>
        </w:trPr>
        <w:tc>
          <w:tcPr>
            <w:tcW w:w="1974" w:type="dxa"/>
            <w:tcBorders>
              <w:top w:val="single" w:sz="4" w:space="0" w:color="000000"/>
              <w:left w:val="single" w:sz="4" w:space="0" w:color="000000"/>
              <w:bottom w:val="single" w:sz="4" w:space="0" w:color="000000"/>
              <w:right w:val="single" w:sz="4" w:space="0" w:color="000000"/>
            </w:tcBorders>
            <w:vAlign w:val="center"/>
          </w:tcPr>
          <w:p w14:paraId="1401D985"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B</w:t>
            </w:r>
          </w:p>
        </w:tc>
        <w:tc>
          <w:tcPr>
            <w:tcW w:w="1433" w:type="dxa"/>
            <w:tcBorders>
              <w:top w:val="single" w:sz="4" w:space="0" w:color="000000"/>
              <w:left w:val="single" w:sz="4" w:space="0" w:color="000000"/>
              <w:bottom w:val="single" w:sz="4" w:space="0" w:color="000000"/>
              <w:right w:val="single" w:sz="4" w:space="0" w:color="000000"/>
            </w:tcBorders>
            <w:vAlign w:val="center"/>
          </w:tcPr>
          <w:p w14:paraId="26026C74"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lartë ose e barabartë me 80 %</w:t>
            </w:r>
          </w:p>
        </w:tc>
        <w:tc>
          <w:tcPr>
            <w:tcW w:w="1918" w:type="dxa"/>
            <w:tcBorders>
              <w:top w:val="single" w:sz="4" w:space="0" w:color="000000"/>
              <w:left w:val="single" w:sz="4" w:space="0" w:color="000000"/>
              <w:bottom w:val="single" w:sz="4" w:space="0" w:color="000000"/>
              <w:right w:val="single" w:sz="4" w:space="0" w:color="000000"/>
            </w:tcBorders>
            <w:vAlign w:val="center"/>
          </w:tcPr>
          <w:p w14:paraId="46076D44"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B</w:t>
            </w:r>
          </w:p>
        </w:tc>
        <w:tc>
          <w:tcPr>
            <w:tcW w:w="1430" w:type="dxa"/>
            <w:tcBorders>
              <w:top w:val="single" w:sz="4" w:space="0" w:color="000000"/>
              <w:left w:val="single" w:sz="4" w:space="0" w:color="000000"/>
              <w:bottom w:val="single" w:sz="4" w:space="0" w:color="000000"/>
              <w:right w:val="single" w:sz="4" w:space="0" w:color="000000"/>
            </w:tcBorders>
            <w:vAlign w:val="center"/>
          </w:tcPr>
          <w:p w14:paraId="25F79C5A"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lartë ose e barabartë me 80 %</w:t>
            </w:r>
          </w:p>
        </w:tc>
        <w:tc>
          <w:tcPr>
            <w:tcW w:w="1431" w:type="dxa"/>
            <w:tcBorders>
              <w:top w:val="single" w:sz="4" w:space="0" w:color="000000"/>
              <w:left w:val="single" w:sz="4" w:space="0" w:color="000000"/>
              <w:bottom w:val="single" w:sz="4" w:space="0" w:color="000000"/>
              <w:right w:val="single" w:sz="4" w:space="0" w:color="000000"/>
            </w:tcBorders>
            <w:vAlign w:val="center"/>
          </w:tcPr>
          <w:p w14:paraId="2735E996"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B </w:t>
            </w:r>
            <w:proofErr w:type="spellStart"/>
            <w:r w:rsidRPr="00C51AE9">
              <w:rPr>
                <w:rFonts w:ascii="Times New Roman" w:hAnsi="Times New Roman" w:cs="Times New Roman"/>
                <w:sz w:val="22"/>
                <w:szCs w:val="22"/>
              </w:rPr>
              <w:t>RaS</w:t>
            </w:r>
            <w:proofErr w:type="spellEnd"/>
          </w:p>
        </w:tc>
        <w:tc>
          <w:tcPr>
            <w:tcW w:w="1920" w:type="dxa"/>
            <w:tcBorders>
              <w:top w:val="single" w:sz="4" w:space="0" w:color="000000"/>
              <w:left w:val="single" w:sz="4" w:space="0" w:color="000000"/>
              <w:bottom w:val="single" w:sz="4" w:space="0" w:color="000000"/>
              <w:right w:val="single" w:sz="4" w:space="0" w:color="000000"/>
            </w:tcBorders>
            <w:vAlign w:val="center"/>
          </w:tcPr>
          <w:p w14:paraId="5A4EDE81"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B</w:t>
            </w:r>
          </w:p>
        </w:tc>
        <w:tc>
          <w:tcPr>
            <w:tcW w:w="1430" w:type="dxa"/>
            <w:tcBorders>
              <w:top w:val="single" w:sz="4" w:space="0" w:color="000000"/>
              <w:left w:val="single" w:sz="4" w:space="0" w:color="000000"/>
              <w:bottom w:val="single" w:sz="4" w:space="0" w:color="000000"/>
              <w:right w:val="single" w:sz="4" w:space="0" w:color="000000"/>
            </w:tcBorders>
            <w:vAlign w:val="center"/>
          </w:tcPr>
          <w:p w14:paraId="1EBAF1DA"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i madh ose i barabartë me 80 %</w:t>
            </w:r>
          </w:p>
        </w:tc>
        <w:tc>
          <w:tcPr>
            <w:tcW w:w="1422" w:type="dxa"/>
            <w:tcBorders>
              <w:top w:val="single" w:sz="4" w:space="0" w:color="000000"/>
              <w:left w:val="single" w:sz="4" w:space="0" w:color="000000"/>
              <w:bottom w:val="single" w:sz="4" w:space="0" w:color="000000"/>
              <w:right w:val="single" w:sz="4" w:space="0" w:color="000000"/>
            </w:tcBorders>
            <w:vAlign w:val="center"/>
          </w:tcPr>
          <w:p w14:paraId="04DCFCC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B </w:t>
            </w:r>
            <w:proofErr w:type="spellStart"/>
            <w:r w:rsidRPr="00C51AE9">
              <w:rPr>
                <w:rFonts w:ascii="Times New Roman" w:hAnsi="Times New Roman" w:cs="Times New Roman"/>
                <w:sz w:val="22"/>
                <w:szCs w:val="22"/>
              </w:rPr>
              <w:t>RaS</w:t>
            </w:r>
            <w:proofErr w:type="spellEnd"/>
          </w:p>
        </w:tc>
      </w:tr>
      <w:tr w:rsidR="00C51AE9" w:rsidRPr="00C51AE9" w14:paraId="6BBA2AEA" w14:textId="77777777">
        <w:trPr>
          <w:trHeight w:val="1010"/>
        </w:trPr>
        <w:tc>
          <w:tcPr>
            <w:tcW w:w="1974" w:type="dxa"/>
            <w:tcBorders>
              <w:top w:val="single" w:sz="4" w:space="0" w:color="000000"/>
              <w:left w:val="single" w:sz="4" w:space="0" w:color="000000"/>
              <w:bottom w:val="single" w:sz="4" w:space="0" w:color="000000"/>
              <w:right w:val="single" w:sz="4" w:space="0" w:color="000000"/>
            </w:tcBorders>
            <w:vAlign w:val="center"/>
          </w:tcPr>
          <w:p w14:paraId="2951E1FE"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lastRenderedPageBreak/>
              <w:t>Klasa C</w:t>
            </w:r>
          </w:p>
        </w:tc>
        <w:tc>
          <w:tcPr>
            <w:tcW w:w="1433" w:type="dxa"/>
            <w:tcBorders>
              <w:top w:val="single" w:sz="4" w:space="0" w:color="000000"/>
              <w:left w:val="single" w:sz="4" w:space="0" w:color="000000"/>
              <w:bottom w:val="single" w:sz="4" w:space="0" w:color="000000"/>
              <w:right w:val="single" w:sz="4" w:space="0" w:color="000000"/>
            </w:tcBorders>
            <w:vAlign w:val="center"/>
          </w:tcPr>
          <w:p w14:paraId="4557A431"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i lartë ose i barabartë me 70 %</w:t>
            </w:r>
          </w:p>
        </w:tc>
        <w:tc>
          <w:tcPr>
            <w:tcW w:w="1918" w:type="dxa"/>
            <w:tcBorders>
              <w:top w:val="single" w:sz="4" w:space="0" w:color="000000"/>
              <w:left w:val="single" w:sz="4" w:space="0" w:color="000000"/>
              <w:bottom w:val="single" w:sz="4" w:space="0" w:color="000000"/>
              <w:right w:val="single" w:sz="4" w:space="0" w:color="000000"/>
            </w:tcBorders>
            <w:vAlign w:val="center"/>
          </w:tcPr>
          <w:p w14:paraId="4E42BA40"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C</w:t>
            </w:r>
          </w:p>
        </w:tc>
        <w:tc>
          <w:tcPr>
            <w:tcW w:w="1430" w:type="dxa"/>
            <w:tcBorders>
              <w:top w:val="single" w:sz="4" w:space="0" w:color="000000"/>
              <w:left w:val="single" w:sz="4" w:space="0" w:color="000000"/>
              <w:bottom w:val="single" w:sz="4" w:space="0" w:color="000000"/>
              <w:right w:val="single" w:sz="4" w:space="0" w:color="000000"/>
            </w:tcBorders>
            <w:vAlign w:val="center"/>
          </w:tcPr>
          <w:p w14:paraId="70F009E8"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i lartë ose i barabartë me 70 %</w:t>
            </w:r>
          </w:p>
        </w:tc>
        <w:tc>
          <w:tcPr>
            <w:tcW w:w="1431" w:type="dxa"/>
            <w:tcBorders>
              <w:top w:val="single" w:sz="4" w:space="0" w:color="000000"/>
              <w:left w:val="single" w:sz="4" w:space="0" w:color="000000"/>
              <w:bottom w:val="single" w:sz="4" w:space="0" w:color="000000"/>
              <w:right w:val="single" w:sz="4" w:space="0" w:color="000000"/>
            </w:tcBorders>
            <w:vAlign w:val="center"/>
          </w:tcPr>
          <w:p w14:paraId="43B8EF4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C </w:t>
            </w:r>
            <w:proofErr w:type="spellStart"/>
            <w:r w:rsidRPr="00C51AE9">
              <w:rPr>
                <w:rFonts w:ascii="Times New Roman" w:hAnsi="Times New Roman" w:cs="Times New Roman"/>
                <w:sz w:val="22"/>
                <w:szCs w:val="22"/>
              </w:rPr>
              <w:t>RaS</w:t>
            </w:r>
            <w:proofErr w:type="spellEnd"/>
          </w:p>
        </w:tc>
        <w:tc>
          <w:tcPr>
            <w:tcW w:w="1920" w:type="dxa"/>
            <w:tcBorders>
              <w:top w:val="single" w:sz="4" w:space="0" w:color="000000"/>
              <w:left w:val="single" w:sz="4" w:space="0" w:color="000000"/>
              <w:bottom w:val="single" w:sz="4" w:space="0" w:color="000000"/>
              <w:right w:val="single" w:sz="4" w:space="0" w:color="000000"/>
            </w:tcBorders>
            <w:vAlign w:val="center"/>
          </w:tcPr>
          <w:p w14:paraId="28BF990F"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Klasa C</w:t>
            </w:r>
          </w:p>
          <w:p w14:paraId="595FA55F"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NUK MUND TË VENDOSET NË TREG</w:t>
            </w:r>
          </w:p>
        </w:tc>
        <w:tc>
          <w:tcPr>
            <w:tcW w:w="1430" w:type="dxa"/>
            <w:tcBorders>
              <w:top w:val="single" w:sz="4" w:space="0" w:color="000000"/>
              <w:left w:val="single" w:sz="4" w:space="0" w:color="000000"/>
              <w:bottom w:val="single" w:sz="4" w:space="0" w:color="000000"/>
              <w:right w:val="single" w:sz="4" w:space="0" w:color="000000"/>
            </w:tcBorders>
            <w:vAlign w:val="center"/>
          </w:tcPr>
          <w:p w14:paraId="45580DF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lartë ose e barabartë me 70 %</w:t>
            </w:r>
          </w:p>
        </w:tc>
        <w:tc>
          <w:tcPr>
            <w:tcW w:w="1422" w:type="dxa"/>
            <w:tcBorders>
              <w:top w:val="single" w:sz="4" w:space="0" w:color="000000"/>
              <w:left w:val="single" w:sz="4" w:space="0" w:color="000000"/>
              <w:bottom w:val="single" w:sz="4" w:space="0" w:color="000000"/>
              <w:right w:val="single" w:sz="4" w:space="0" w:color="000000"/>
            </w:tcBorders>
            <w:vAlign w:val="center"/>
          </w:tcPr>
          <w:p w14:paraId="5E1BCDFC"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 xml:space="preserve">Klasa C </w:t>
            </w:r>
            <w:proofErr w:type="spellStart"/>
            <w:r w:rsidRPr="00C51AE9">
              <w:rPr>
                <w:rFonts w:ascii="Times New Roman" w:hAnsi="Times New Roman" w:cs="Times New Roman"/>
                <w:sz w:val="22"/>
                <w:szCs w:val="22"/>
              </w:rPr>
              <w:t>RaS</w:t>
            </w:r>
            <w:proofErr w:type="spellEnd"/>
          </w:p>
        </w:tc>
      </w:tr>
      <w:tr w:rsidR="00C51AE9" w:rsidRPr="00C51AE9" w14:paraId="082758F5" w14:textId="77777777">
        <w:trPr>
          <w:trHeight w:val="1432"/>
        </w:trPr>
        <w:tc>
          <w:tcPr>
            <w:tcW w:w="1974" w:type="dxa"/>
            <w:tcBorders>
              <w:top w:val="single" w:sz="4" w:space="0" w:color="000000"/>
              <w:left w:val="single" w:sz="4" w:space="0" w:color="000000"/>
              <w:bottom w:val="single" w:sz="4" w:space="0" w:color="000000"/>
              <w:right w:val="single" w:sz="4" w:space="0" w:color="000000"/>
            </w:tcBorders>
            <w:vAlign w:val="center"/>
          </w:tcPr>
          <w:p w14:paraId="600D4233"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TEKNIKISHT E PARECIKLUESHME</w:t>
            </w:r>
          </w:p>
        </w:tc>
        <w:tc>
          <w:tcPr>
            <w:tcW w:w="1433" w:type="dxa"/>
            <w:tcBorders>
              <w:top w:val="single" w:sz="4" w:space="0" w:color="000000"/>
              <w:left w:val="single" w:sz="4" w:space="0" w:color="000000"/>
              <w:bottom w:val="single" w:sz="4" w:space="0" w:color="000000"/>
              <w:right w:val="single" w:sz="4" w:space="0" w:color="000000"/>
            </w:tcBorders>
            <w:vAlign w:val="center"/>
          </w:tcPr>
          <w:p w14:paraId="77B18DA5"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ulët se 70 %</w:t>
            </w:r>
          </w:p>
        </w:tc>
        <w:tc>
          <w:tcPr>
            <w:tcW w:w="1918" w:type="dxa"/>
            <w:tcBorders>
              <w:top w:val="single" w:sz="4" w:space="0" w:color="000000"/>
              <w:left w:val="single" w:sz="4" w:space="0" w:color="000000"/>
              <w:bottom w:val="single" w:sz="4" w:space="0" w:color="000000"/>
              <w:right w:val="single" w:sz="4" w:space="0" w:color="000000"/>
            </w:tcBorders>
            <w:vAlign w:val="center"/>
          </w:tcPr>
          <w:p w14:paraId="7193DB17"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TEKNIKISHT I PARICIKLUESHËM</w:t>
            </w:r>
          </w:p>
        </w:tc>
        <w:tc>
          <w:tcPr>
            <w:tcW w:w="1430" w:type="dxa"/>
            <w:tcBorders>
              <w:top w:val="single" w:sz="4" w:space="0" w:color="000000"/>
              <w:left w:val="single" w:sz="4" w:space="0" w:color="000000"/>
              <w:bottom w:val="single" w:sz="4" w:space="0" w:color="000000"/>
              <w:right w:val="single" w:sz="4" w:space="0" w:color="000000"/>
            </w:tcBorders>
            <w:vAlign w:val="center"/>
          </w:tcPr>
          <w:p w14:paraId="5048EDC7"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e ulët se 70 %</w:t>
            </w:r>
          </w:p>
        </w:tc>
        <w:tc>
          <w:tcPr>
            <w:tcW w:w="1431" w:type="dxa"/>
            <w:tcBorders>
              <w:top w:val="single" w:sz="4" w:space="0" w:color="000000"/>
              <w:left w:val="single" w:sz="4" w:space="0" w:color="000000"/>
              <w:bottom w:val="single" w:sz="4" w:space="0" w:color="000000"/>
              <w:right w:val="single" w:sz="4" w:space="0" w:color="000000"/>
            </w:tcBorders>
            <w:vAlign w:val="center"/>
          </w:tcPr>
          <w:p w14:paraId="18D6BED7"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NUK RICIKLOHET NË SHKALLË TË GJERË</w:t>
            </w:r>
          </w:p>
          <w:p w14:paraId="016405E4"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(nën pragjet e pikës 27 të nenit 3).</w:t>
            </w:r>
          </w:p>
          <w:p w14:paraId="7542AFC0" w14:textId="77777777" w:rsidR="00767CD0" w:rsidRPr="00C51AE9" w:rsidRDefault="00767CD0">
            <w:pPr>
              <w:rPr>
                <w:rFonts w:ascii="Times New Roman" w:hAnsi="Times New Roman" w:cs="Times New Roman"/>
                <w:sz w:val="22"/>
                <w:szCs w:val="22"/>
              </w:rPr>
            </w:pPr>
          </w:p>
        </w:tc>
        <w:tc>
          <w:tcPr>
            <w:tcW w:w="1920" w:type="dxa"/>
            <w:tcBorders>
              <w:top w:val="single" w:sz="4" w:space="0" w:color="000000"/>
              <w:left w:val="single" w:sz="4" w:space="0" w:color="000000"/>
              <w:bottom w:val="single" w:sz="4" w:space="0" w:color="000000"/>
              <w:right w:val="single" w:sz="4" w:space="0" w:color="000000"/>
            </w:tcBorders>
            <w:vAlign w:val="center"/>
          </w:tcPr>
          <w:p w14:paraId="1A5D543C"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TEKNIKISHT I PARICIKLUESHËM</w:t>
            </w:r>
          </w:p>
        </w:tc>
        <w:tc>
          <w:tcPr>
            <w:tcW w:w="1430" w:type="dxa"/>
            <w:tcBorders>
              <w:top w:val="single" w:sz="4" w:space="0" w:color="000000"/>
              <w:left w:val="single" w:sz="4" w:space="0" w:color="000000"/>
              <w:bottom w:val="single" w:sz="4" w:space="0" w:color="000000"/>
              <w:right w:val="single" w:sz="4" w:space="0" w:color="000000"/>
            </w:tcBorders>
            <w:vAlign w:val="center"/>
          </w:tcPr>
          <w:p w14:paraId="09754E01"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më pak se 70 %</w:t>
            </w:r>
          </w:p>
        </w:tc>
        <w:tc>
          <w:tcPr>
            <w:tcW w:w="1422" w:type="dxa"/>
            <w:tcBorders>
              <w:top w:val="single" w:sz="4" w:space="0" w:color="000000"/>
              <w:left w:val="single" w:sz="4" w:space="0" w:color="000000"/>
              <w:bottom w:val="single" w:sz="4" w:space="0" w:color="000000"/>
              <w:right w:val="single" w:sz="4" w:space="0" w:color="000000"/>
            </w:tcBorders>
            <w:vAlign w:val="center"/>
          </w:tcPr>
          <w:p w14:paraId="743E256C"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JO I RICIKLUAR NË SHKALLË TË GJERË</w:t>
            </w:r>
          </w:p>
          <w:p w14:paraId="0F2E8EC2" w14:textId="77777777" w:rsidR="00767CD0" w:rsidRPr="00C51AE9" w:rsidRDefault="00C51AE9">
            <w:pPr>
              <w:rPr>
                <w:rFonts w:ascii="Times New Roman" w:hAnsi="Times New Roman" w:cs="Times New Roman"/>
                <w:sz w:val="22"/>
                <w:szCs w:val="22"/>
              </w:rPr>
            </w:pPr>
            <w:r w:rsidRPr="00C51AE9">
              <w:rPr>
                <w:rFonts w:ascii="Times New Roman" w:hAnsi="Times New Roman" w:cs="Times New Roman"/>
                <w:sz w:val="22"/>
                <w:szCs w:val="22"/>
              </w:rPr>
              <w:t>(nën pragjet e pikës 27 të nenit 3).</w:t>
            </w:r>
          </w:p>
        </w:tc>
      </w:tr>
    </w:tbl>
    <w:p w14:paraId="688C767C" w14:textId="77777777" w:rsidR="00767CD0" w:rsidRPr="00C51AE9" w:rsidRDefault="00767CD0">
      <w:pPr>
        <w:jc w:val="both"/>
        <w:rPr>
          <w:rFonts w:ascii="Times New Roman" w:hAnsi="Times New Roman" w:cs="Times New Roman"/>
        </w:rPr>
        <w:sectPr w:rsidR="00767CD0" w:rsidRPr="00C51AE9">
          <w:footerReference w:type="default" r:id="rId11"/>
          <w:footerReference w:type="first" r:id="rId12"/>
          <w:pgSz w:w="15840" w:h="12240" w:orient="landscape"/>
          <w:pgMar w:top="1440" w:right="1440" w:bottom="1440" w:left="1440" w:header="0" w:footer="720" w:gutter="0"/>
          <w:cols w:space="720"/>
          <w:formProt w:val="0"/>
          <w:docGrid w:linePitch="360"/>
        </w:sectPr>
      </w:pPr>
    </w:p>
    <w:p w14:paraId="6FAA57D3" w14:textId="77777777" w:rsidR="00767CD0" w:rsidRPr="00C51AE9" w:rsidRDefault="00C51AE9">
      <w:pPr>
        <w:jc w:val="both"/>
        <w:rPr>
          <w:rFonts w:ascii="Times New Roman" w:hAnsi="Times New Roman" w:cs="Times New Roman"/>
        </w:rPr>
      </w:pPr>
      <w:r w:rsidRPr="00C51AE9">
        <w:rPr>
          <w:rFonts w:ascii="Times New Roman" w:hAnsi="Times New Roman" w:cs="Times New Roman"/>
        </w:rPr>
        <w:lastRenderedPageBreak/>
        <w:t>Tabela 4, Listë jo shteruese e parametrave për përcaktimin e kritereve të projektimit për riciklim sipas nenit 12.</w:t>
      </w:r>
    </w:p>
    <w:p w14:paraId="74F81F41"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Lista në këtë Tabelë përdoret si bazë kur përcaktohen kriteret e projektimit për riciklimin, siç parashikohet në pikën 3 të nenit 12. Kriteret e projektimit për riciklimin përdoren më pas për të përcaktuar llogaritjet që çojnë në klasat e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të renditura në Tabelën 3. Përveç kësaj, vlerësimi i parametrave të përcaktuar në atë listë merr në konsideratë:</w:t>
      </w:r>
    </w:p>
    <w:p w14:paraId="6DD3E623" w14:textId="77777777" w:rsidR="00767CD0" w:rsidRPr="00C51AE9" w:rsidRDefault="00C51AE9">
      <w:pPr>
        <w:jc w:val="both"/>
        <w:rPr>
          <w:rFonts w:ascii="Times New Roman" w:hAnsi="Times New Roman" w:cs="Times New Roman"/>
        </w:rPr>
      </w:pPr>
      <w:proofErr w:type="spellStart"/>
      <w:r w:rsidRPr="00C51AE9">
        <w:rPr>
          <w:rFonts w:ascii="Times New Roman" w:hAnsi="Times New Roman" w:cs="Times New Roman"/>
        </w:rPr>
        <w:t>Veçueshmëria</w:t>
      </w:r>
      <w:proofErr w:type="spellEnd"/>
      <w:r w:rsidRPr="00C51AE9">
        <w:rPr>
          <w:rFonts w:ascii="Times New Roman" w:hAnsi="Times New Roman" w:cs="Times New Roman"/>
        </w:rPr>
        <w:t xml:space="preserve"> e pjesëve përbërëse, e çdo komponenti të ambalazhimit, qoftë </w:t>
      </w:r>
      <w:proofErr w:type="spellStart"/>
      <w:r w:rsidRPr="00C51AE9">
        <w:rPr>
          <w:rFonts w:ascii="Times New Roman" w:hAnsi="Times New Roman" w:cs="Times New Roman"/>
        </w:rPr>
        <w:t>manualisht</w:t>
      </w:r>
      <w:proofErr w:type="spellEnd"/>
      <w:r w:rsidRPr="00C51AE9">
        <w:rPr>
          <w:rFonts w:ascii="Times New Roman" w:hAnsi="Times New Roman" w:cs="Times New Roman"/>
        </w:rPr>
        <w:t xml:space="preserve"> nga përdoruesit fundorë ose në impiantet e përpunimit,</w:t>
      </w:r>
    </w:p>
    <w:p w14:paraId="7530D1B6"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efikasiteti i proceseve të ndarjes dhe riciklimit, për shembull rendimenti,</w:t>
      </w:r>
    </w:p>
    <w:p w14:paraId="6CEA1CD7"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evolucioni i teknologjive të ndarjes dhe riciklimit (për të trajtuar aspektin nëse ambalazhi nuk mund të ndahet sot, por mund të jetë i ndashëm pas 2 vitesh), </w:t>
      </w:r>
      <w:proofErr w:type="spellStart"/>
      <w:r w:rsidRPr="00C51AE9">
        <w:rPr>
          <w:rFonts w:ascii="Times New Roman" w:hAnsi="Times New Roman" w:cs="Times New Roman"/>
        </w:rPr>
        <w:t>dheruajtja</w:t>
      </w:r>
      <w:proofErr w:type="spellEnd"/>
      <w:r w:rsidRPr="00C51AE9">
        <w:rPr>
          <w:rFonts w:ascii="Times New Roman" w:hAnsi="Times New Roman" w:cs="Times New Roman"/>
        </w:rPr>
        <w:t xml:space="preserve"> e funksionalitetit të lëndëve të para dytësore duke mundësuar zëvendësimin e lëndëve të para parësore.</w:t>
      </w:r>
    </w:p>
    <w:p w14:paraId="6C614955"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Funksionaliteti i ambalazhimit që parametrat e mëposhtëm i ofrojnë ambalazhimit merret në konsideratë në përcaktimin e kritereve të projektimit për riciklim.</w:t>
      </w:r>
    </w:p>
    <w:tbl>
      <w:tblPr>
        <w:tblW w:w="5000" w:type="pct"/>
        <w:tblLayout w:type="fixed"/>
        <w:tblCellMar>
          <w:left w:w="5" w:type="dxa"/>
          <w:right w:w="5" w:type="dxa"/>
        </w:tblCellMar>
        <w:tblLook w:val="01E0" w:firstRow="1" w:lastRow="1" w:firstColumn="1" w:lastColumn="1" w:noHBand="0" w:noVBand="0"/>
      </w:tblPr>
      <w:tblGrid>
        <w:gridCol w:w="2492"/>
        <w:gridCol w:w="6524"/>
      </w:tblGrid>
      <w:tr w:rsidR="00C51AE9" w:rsidRPr="00C51AE9" w14:paraId="368769FC" w14:textId="77777777">
        <w:trPr>
          <w:trHeight w:val="624"/>
        </w:trPr>
        <w:tc>
          <w:tcPr>
            <w:tcW w:w="2494" w:type="dxa"/>
            <w:tcBorders>
              <w:top w:val="single" w:sz="4" w:space="0" w:color="000000"/>
              <w:left w:val="single" w:sz="4" w:space="0" w:color="000000"/>
              <w:bottom w:val="single" w:sz="4" w:space="0" w:color="000000"/>
              <w:right w:val="single" w:sz="4" w:space="0" w:color="000000"/>
            </w:tcBorders>
            <w:vAlign w:val="center"/>
          </w:tcPr>
          <w:p w14:paraId="6B472B00"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Parametrat për kriteret e projektimit për riciklim</w:t>
            </w:r>
          </w:p>
        </w:tc>
        <w:tc>
          <w:tcPr>
            <w:tcW w:w="6531" w:type="dxa"/>
            <w:tcBorders>
              <w:top w:val="single" w:sz="4" w:space="0" w:color="000000"/>
              <w:left w:val="single" w:sz="4" w:space="0" w:color="000000"/>
              <w:bottom w:val="single" w:sz="4" w:space="0" w:color="000000"/>
              <w:right w:val="single" w:sz="4" w:space="0" w:color="000000"/>
            </w:tcBorders>
            <w:vAlign w:val="center"/>
          </w:tcPr>
          <w:p w14:paraId="24499936"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Rëndësia e parametrit</w:t>
            </w:r>
          </w:p>
        </w:tc>
      </w:tr>
      <w:tr w:rsidR="00C51AE9" w:rsidRPr="00C51AE9" w14:paraId="310636D6" w14:textId="77777777">
        <w:trPr>
          <w:trHeight w:val="1020"/>
        </w:trPr>
        <w:tc>
          <w:tcPr>
            <w:tcW w:w="2494" w:type="dxa"/>
            <w:tcBorders>
              <w:top w:val="single" w:sz="4" w:space="0" w:color="000000"/>
              <w:left w:val="single" w:sz="4" w:space="0" w:color="000000"/>
              <w:bottom w:val="single" w:sz="4" w:space="0" w:color="000000"/>
              <w:right w:val="single" w:sz="4" w:space="0" w:color="000000"/>
            </w:tcBorders>
            <w:vAlign w:val="center"/>
          </w:tcPr>
          <w:p w14:paraId="03F9B953" w14:textId="77777777" w:rsidR="00767CD0" w:rsidRPr="00C51AE9" w:rsidRDefault="00C51AE9">
            <w:pPr>
              <w:rPr>
                <w:rFonts w:ascii="Times New Roman" w:hAnsi="Times New Roman" w:cs="Times New Roman"/>
              </w:rPr>
            </w:pPr>
            <w:r w:rsidRPr="00C51AE9">
              <w:rPr>
                <w:rFonts w:ascii="Times New Roman" w:hAnsi="Times New Roman" w:cs="Times New Roman"/>
              </w:rPr>
              <w:t>Aditivë</w:t>
            </w:r>
          </w:p>
        </w:tc>
        <w:tc>
          <w:tcPr>
            <w:tcW w:w="6531" w:type="dxa"/>
            <w:tcBorders>
              <w:top w:val="single" w:sz="4" w:space="0" w:color="000000"/>
              <w:left w:val="single" w:sz="4" w:space="0" w:color="000000"/>
              <w:bottom w:val="single" w:sz="4" w:space="0" w:color="000000"/>
              <w:right w:val="single" w:sz="4" w:space="0" w:color="000000"/>
            </w:tcBorders>
            <w:vAlign w:val="center"/>
          </w:tcPr>
          <w:p w14:paraId="1E47514A" w14:textId="77777777" w:rsidR="00767CD0" w:rsidRPr="00C51AE9" w:rsidRDefault="00C51AE9">
            <w:pPr>
              <w:spacing w:after="0"/>
              <w:jc w:val="both"/>
              <w:rPr>
                <w:rFonts w:ascii="Times New Roman" w:hAnsi="Times New Roman" w:cs="Times New Roman"/>
              </w:rPr>
            </w:pPr>
            <w:r w:rsidRPr="00C51AE9">
              <w:rPr>
                <w:rFonts w:ascii="Times New Roman" w:hAnsi="Times New Roman" w:cs="Times New Roman"/>
              </w:rPr>
              <w:t>Aditivët shpesh i referohen substancave që u shtohen materialeve për t’u dhënë veti specifike. Prania e aditivëve në kontejnerët e ambalazhimit mund të rezultojë në klasifikim të pasaktë të materialeve të ambalazhimit gjatë procesit të klasifikimit dhe mund të kontaminojë lëndët e para dytësore të përftuara.</w:t>
            </w:r>
          </w:p>
        </w:tc>
      </w:tr>
      <w:tr w:rsidR="00C51AE9" w:rsidRPr="00C51AE9" w14:paraId="0049FEFB" w14:textId="77777777">
        <w:trPr>
          <w:trHeight w:val="876"/>
        </w:trPr>
        <w:tc>
          <w:tcPr>
            <w:tcW w:w="2494" w:type="dxa"/>
            <w:tcBorders>
              <w:top w:val="single" w:sz="4" w:space="0" w:color="000000"/>
              <w:left w:val="single" w:sz="4" w:space="0" w:color="000000"/>
              <w:bottom w:val="single" w:sz="4" w:space="0" w:color="000000"/>
              <w:right w:val="single" w:sz="4" w:space="0" w:color="000000"/>
            </w:tcBorders>
            <w:vAlign w:val="center"/>
          </w:tcPr>
          <w:p w14:paraId="567276FF" w14:textId="77777777" w:rsidR="00767CD0" w:rsidRPr="00C51AE9" w:rsidRDefault="00C51AE9">
            <w:pPr>
              <w:rPr>
                <w:rFonts w:ascii="Times New Roman" w:hAnsi="Times New Roman" w:cs="Times New Roman"/>
              </w:rPr>
            </w:pPr>
            <w:r w:rsidRPr="00C51AE9">
              <w:rPr>
                <w:rFonts w:ascii="Times New Roman" w:hAnsi="Times New Roman" w:cs="Times New Roman"/>
              </w:rPr>
              <w:t>Etiketat</w:t>
            </w:r>
          </w:p>
        </w:tc>
        <w:tc>
          <w:tcPr>
            <w:tcW w:w="6531" w:type="dxa"/>
            <w:tcBorders>
              <w:top w:val="single" w:sz="4" w:space="0" w:color="000000"/>
              <w:left w:val="single" w:sz="4" w:space="0" w:color="000000"/>
              <w:bottom w:val="single" w:sz="4" w:space="0" w:color="000000"/>
              <w:right w:val="single" w:sz="4" w:space="0" w:color="000000"/>
            </w:tcBorders>
          </w:tcPr>
          <w:p w14:paraId="004C0AE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Shkalla e mbulimit të etiketave mund të ndikojë në efikasitetin e procesit të klasifikimit. Materiali nga i cili është bërë etiketa dhe lloji i ngjitësit ose adesivit ndikojnë gjithashtu në cilësinë e lëndës së parë dytësore.</w:t>
            </w:r>
          </w:p>
        </w:tc>
      </w:tr>
      <w:tr w:rsidR="00C51AE9" w:rsidRPr="00C51AE9" w14:paraId="49D18CF2" w14:textId="77777777">
        <w:trPr>
          <w:trHeight w:val="1515"/>
        </w:trPr>
        <w:tc>
          <w:tcPr>
            <w:tcW w:w="2494" w:type="dxa"/>
            <w:tcBorders>
              <w:top w:val="single" w:sz="4" w:space="0" w:color="000000"/>
              <w:left w:val="single" w:sz="4" w:space="0" w:color="000000"/>
              <w:bottom w:val="single" w:sz="4" w:space="0" w:color="000000"/>
              <w:right w:val="single" w:sz="4" w:space="0" w:color="000000"/>
            </w:tcBorders>
            <w:vAlign w:val="center"/>
          </w:tcPr>
          <w:p w14:paraId="31C7A13A" w14:textId="77777777" w:rsidR="00767CD0" w:rsidRPr="00C51AE9" w:rsidRDefault="00C51AE9">
            <w:pPr>
              <w:rPr>
                <w:rFonts w:ascii="Times New Roman" w:hAnsi="Times New Roman" w:cs="Times New Roman"/>
              </w:rPr>
            </w:pPr>
            <w:r w:rsidRPr="00C51AE9">
              <w:rPr>
                <w:rFonts w:ascii="Times New Roman" w:hAnsi="Times New Roman" w:cs="Times New Roman"/>
              </w:rPr>
              <w:t>Etiketë mbështjellëse</w:t>
            </w:r>
          </w:p>
        </w:tc>
        <w:tc>
          <w:tcPr>
            <w:tcW w:w="6531" w:type="dxa"/>
            <w:tcBorders>
              <w:top w:val="single" w:sz="4" w:space="0" w:color="000000"/>
              <w:left w:val="single" w:sz="4" w:space="0" w:color="000000"/>
              <w:bottom w:val="single" w:sz="4" w:space="0" w:color="000000"/>
              <w:right w:val="single" w:sz="4" w:space="0" w:color="000000"/>
            </w:tcBorders>
            <w:vAlign w:val="center"/>
          </w:tcPr>
          <w:p w14:paraId="5280FF34" w14:textId="77777777" w:rsidR="00767CD0" w:rsidRPr="00C51AE9" w:rsidRDefault="00C51AE9">
            <w:pPr>
              <w:rPr>
                <w:rFonts w:ascii="Times New Roman" w:hAnsi="Times New Roman" w:cs="Times New Roman"/>
              </w:rPr>
            </w:pPr>
            <w:r w:rsidRPr="00C51AE9">
              <w:rPr>
                <w:rFonts w:ascii="Times New Roman" w:hAnsi="Times New Roman" w:cs="Times New Roman"/>
              </w:rPr>
              <w:t>Shkalla e mbulimit të mëngës mbi trupin kryesor të ambalazhit ndikon në mundësitë për klasifikim. Përveç kësaj, përdorimi i mëngëve mund të ndikojë në aftësinë për t’i ndarë ato nga trupi kryesor i ambalazhit.</w:t>
            </w:r>
          </w:p>
          <w:p w14:paraId="39CB5D9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Materiali nga i cili është bërë mbështjellësi mund të ndikojë si në aftësinë për t’u  klasifikuar për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ambalazhimit.</w:t>
            </w:r>
          </w:p>
        </w:tc>
      </w:tr>
      <w:tr w:rsidR="00C51AE9" w:rsidRPr="00C51AE9" w14:paraId="19238BE9" w14:textId="77777777">
        <w:trPr>
          <w:trHeight w:val="2849"/>
        </w:trPr>
        <w:tc>
          <w:tcPr>
            <w:tcW w:w="2494" w:type="dxa"/>
            <w:tcBorders>
              <w:top w:val="single" w:sz="4" w:space="0" w:color="000000"/>
              <w:left w:val="single" w:sz="4" w:space="0" w:color="000000"/>
              <w:bottom w:val="single" w:sz="4" w:space="0" w:color="000000"/>
              <w:right w:val="single" w:sz="4" w:space="0" w:color="000000"/>
            </w:tcBorders>
            <w:vAlign w:val="center"/>
          </w:tcPr>
          <w:p w14:paraId="0718F0C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lastRenderedPageBreak/>
              <w:t>Mbyllëset dhe përbërës të tjerë të vegjël të ambalazhimit</w:t>
            </w:r>
          </w:p>
        </w:tc>
        <w:tc>
          <w:tcPr>
            <w:tcW w:w="6531" w:type="dxa"/>
            <w:tcBorders>
              <w:top w:val="single" w:sz="4" w:space="0" w:color="000000"/>
              <w:left w:val="single" w:sz="4" w:space="0" w:color="000000"/>
              <w:bottom w:val="single" w:sz="4" w:space="0" w:color="000000"/>
              <w:right w:val="single" w:sz="4" w:space="0" w:color="000000"/>
            </w:tcBorders>
            <w:vAlign w:val="center"/>
          </w:tcPr>
          <w:p w14:paraId="62D9424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Mbyllëset u referohen përbërësve të përdorur për të mbyllur ose vulosur ambalazhimin. Mund të ketë lloje të ndryshme mbyllësesh, të ngurta ose </w:t>
            </w:r>
            <w:proofErr w:type="spellStart"/>
            <w:r w:rsidRPr="00C51AE9">
              <w:rPr>
                <w:rFonts w:ascii="Times New Roman" w:hAnsi="Times New Roman" w:cs="Times New Roman"/>
              </w:rPr>
              <w:t>fleksibël</w:t>
            </w:r>
            <w:proofErr w:type="spellEnd"/>
            <w:r w:rsidRPr="00C51AE9">
              <w:rPr>
                <w:rFonts w:ascii="Times New Roman" w:hAnsi="Times New Roman" w:cs="Times New Roman"/>
              </w:rPr>
              <w:t xml:space="preserve">, si p.sh. mbështjellës tkurrës që tregon ndërhyrjen, shtresa të brendshme, tapa, kapakë, vula, </w:t>
            </w:r>
            <w:proofErr w:type="spellStart"/>
            <w:r w:rsidRPr="00C51AE9">
              <w:rPr>
                <w:rFonts w:ascii="Times New Roman" w:hAnsi="Times New Roman" w:cs="Times New Roman"/>
              </w:rPr>
              <w:t>valvula</w:t>
            </w:r>
            <w:proofErr w:type="spellEnd"/>
            <w:r w:rsidRPr="00C51AE9">
              <w:rPr>
                <w:rFonts w:ascii="Times New Roman" w:hAnsi="Times New Roman" w:cs="Times New Roman"/>
              </w:rPr>
              <w:t>, etj.</w:t>
            </w:r>
          </w:p>
          <w:p w14:paraId="43D17F8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Materiali nga i cili prodhohen mbyllëset mund të ndikojë si në mundësinë e ambalazhimit për t’u ndarë sipas llojit, ashtu edhe në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tij.</w:t>
            </w:r>
          </w:p>
          <w:p w14:paraId="57164C0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Mbylljet që nuk janë të fiksuara fort me ambalazhimin mund të rrisin mbeturinat.</w:t>
            </w:r>
          </w:p>
          <w:p w14:paraId="0D6FE7F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Përbërësit e vegjël të ambalazhimit të bashkëngjitur në trupin kryesor të ambalazhimit mund të ndikojnë në ndashmërinë dhe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ambalazhimit. Përveç kësaj, përbërësit mund të humbasin në procesin e ndarjes dhe riciklimit.</w:t>
            </w:r>
          </w:p>
        </w:tc>
      </w:tr>
      <w:tr w:rsidR="00C51AE9" w:rsidRPr="00C51AE9" w14:paraId="2F9E06DE" w14:textId="77777777">
        <w:trPr>
          <w:trHeight w:val="1875"/>
        </w:trPr>
        <w:tc>
          <w:tcPr>
            <w:tcW w:w="2494" w:type="dxa"/>
            <w:tcBorders>
              <w:top w:val="single" w:sz="4" w:space="0" w:color="000000"/>
              <w:left w:val="single" w:sz="4" w:space="0" w:color="000000"/>
              <w:bottom w:val="single" w:sz="4" w:space="0" w:color="000000"/>
              <w:right w:val="single" w:sz="4" w:space="0" w:color="000000"/>
            </w:tcBorders>
            <w:vAlign w:val="center"/>
          </w:tcPr>
          <w:p w14:paraId="03BB299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Ngjitës</w:t>
            </w:r>
          </w:p>
        </w:tc>
        <w:tc>
          <w:tcPr>
            <w:tcW w:w="6531" w:type="dxa"/>
            <w:tcBorders>
              <w:top w:val="single" w:sz="4" w:space="0" w:color="000000"/>
              <w:left w:val="single" w:sz="4" w:space="0" w:color="000000"/>
              <w:bottom w:val="single" w:sz="4" w:space="0" w:color="000000"/>
              <w:right w:val="single" w:sz="4" w:space="0" w:color="000000"/>
            </w:tcBorders>
            <w:vAlign w:val="center"/>
          </w:tcPr>
          <w:p w14:paraId="3E362A7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Ngjitësit mund të përdoren në mënyrë të tillë që të mund të ndahen lehtësisht në procesin e riciklimit ose nga përdoruesi fundor ose në një mënyrë të tillë që të mos ndikojnë në efikasitetin e proceseve të ndarjes dhe riciklimit. Prania e mbetjeve të ngjitësit në ambalazh mund të ulë cilësinë (pastërtinë) e lëndëve të para dytësore.</w:t>
            </w:r>
          </w:p>
          <w:p w14:paraId="3F07F71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Ngjitësit e tretshëm në ujë mund të sigurojnë ndarjen nga trupi kryesor i ambalazhit dhe që të mos mbetet asnjë mbetje ngjitësi në lëndën e parë dytësore.</w:t>
            </w:r>
          </w:p>
        </w:tc>
      </w:tr>
      <w:tr w:rsidR="00C51AE9" w:rsidRPr="00C51AE9" w14:paraId="18F04330" w14:textId="77777777">
        <w:trPr>
          <w:trHeight w:val="1137"/>
        </w:trPr>
        <w:tc>
          <w:tcPr>
            <w:tcW w:w="2494" w:type="dxa"/>
            <w:tcBorders>
              <w:top w:val="single" w:sz="4" w:space="0" w:color="000000"/>
              <w:left w:val="single" w:sz="4" w:space="0" w:color="000000"/>
              <w:bottom w:val="single" w:sz="4" w:space="0" w:color="000000"/>
              <w:right w:val="single" w:sz="4" w:space="0" w:color="000000"/>
            </w:tcBorders>
            <w:vAlign w:val="center"/>
          </w:tcPr>
          <w:p w14:paraId="5C7A354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Ngjyrat</w:t>
            </w:r>
          </w:p>
        </w:tc>
        <w:tc>
          <w:tcPr>
            <w:tcW w:w="6531" w:type="dxa"/>
            <w:tcBorders>
              <w:top w:val="single" w:sz="4" w:space="0" w:color="000000"/>
              <w:left w:val="single" w:sz="4" w:space="0" w:color="000000"/>
              <w:bottom w:val="single" w:sz="4" w:space="0" w:color="000000"/>
              <w:right w:val="single" w:sz="4" w:space="0" w:color="000000"/>
            </w:tcBorders>
            <w:vAlign w:val="center"/>
          </w:tcPr>
          <w:p w14:paraId="575A112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Ngjyrat janë substanca që i japin ngjyrë materialit të ambalazhimit.</w:t>
            </w:r>
          </w:p>
          <w:p w14:paraId="3551A9E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Materialet e ngjyrosura fort në letër ose plastikë mund të shkaktojnë probleme në lidhje me ndarjen dhe mund të ulin cilësinë e lëndëve të para dytësore.</w:t>
            </w:r>
          </w:p>
        </w:tc>
      </w:tr>
      <w:tr w:rsidR="00C51AE9" w:rsidRPr="00C51AE9" w14:paraId="5FBA6092" w14:textId="77777777">
        <w:trPr>
          <w:trHeight w:val="678"/>
        </w:trPr>
        <w:tc>
          <w:tcPr>
            <w:tcW w:w="2494" w:type="dxa"/>
            <w:tcBorders>
              <w:top w:val="single" w:sz="4" w:space="0" w:color="000000"/>
              <w:left w:val="single" w:sz="4" w:space="0" w:color="000000"/>
              <w:bottom w:val="single" w:sz="4" w:space="0" w:color="000000"/>
              <w:right w:val="single" w:sz="4" w:space="0" w:color="000000"/>
            </w:tcBorders>
            <w:vAlign w:val="center"/>
          </w:tcPr>
          <w:p w14:paraId="544E3F5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Përbërja materiale</w:t>
            </w:r>
          </w:p>
        </w:tc>
        <w:tc>
          <w:tcPr>
            <w:tcW w:w="6531" w:type="dxa"/>
            <w:tcBorders>
              <w:top w:val="single" w:sz="4" w:space="0" w:color="000000"/>
              <w:left w:val="single" w:sz="4" w:space="0" w:color="000000"/>
              <w:bottom w:val="single" w:sz="4" w:space="0" w:color="000000"/>
              <w:right w:val="single" w:sz="4" w:space="0" w:color="000000"/>
            </w:tcBorders>
          </w:tcPr>
          <w:p w14:paraId="58E18BB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Përdorimi i mono-materialeve ose i kombinimeve të materialeve që lejojnë ndarje të lehtë dhe sigurojnë rendiment të lartë të lëndëve të para dytësore është i </w:t>
            </w:r>
            <w:proofErr w:type="spellStart"/>
            <w:r w:rsidRPr="00C51AE9">
              <w:rPr>
                <w:rFonts w:ascii="Times New Roman" w:hAnsi="Times New Roman" w:cs="Times New Roman"/>
              </w:rPr>
              <w:t>preferueshëm</w:t>
            </w:r>
            <w:proofErr w:type="spellEnd"/>
            <w:r w:rsidRPr="00C51AE9">
              <w:rPr>
                <w:rFonts w:ascii="Times New Roman" w:hAnsi="Times New Roman" w:cs="Times New Roman"/>
              </w:rPr>
              <w:t>.</w:t>
            </w:r>
          </w:p>
        </w:tc>
      </w:tr>
      <w:tr w:rsidR="00C51AE9" w:rsidRPr="00C51AE9" w14:paraId="2E718934" w14:textId="77777777">
        <w:trPr>
          <w:trHeight w:val="1578"/>
        </w:trPr>
        <w:tc>
          <w:tcPr>
            <w:tcW w:w="2494" w:type="dxa"/>
            <w:tcBorders>
              <w:top w:val="single" w:sz="4" w:space="0" w:color="000000"/>
              <w:left w:val="single" w:sz="4" w:space="0" w:color="000000"/>
              <w:bottom w:val="single" w:sz="4" w:space="0" w:color="000000"/>
              <w:right w:val="single" w:sz="4" w:space="0" w:color="000000"/>
            </w:tcBorders>
            <w:vAlign w:val="center"/>
          </w:tcPr>
          <w:p w14:paraId="0C17A08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Barriera / veshje</w:t>
            </w:r>
          </w:p>
        </w:tc>
        <w:tc>
          <w:tcPr>
            <w:tcW w:w="6531" w:type="dxa"/>
            <w:tcBorders>
              <w:top w:val="single" w:sz="4" w:space="0" w:color="000000"/>
              <w:left w:val="single" w:sz="4" w:space="0" w:color="000000"/>
              <w:bottom w:val="single" w:sz="4" w:space="0" w:color="000000"/>
              <w:right w:val="single" w:sz="4" w:space="0" w:color="000000"/>
            </w:tcBorders>
            <w:vAlign w:val="center"/>
          </w:tcPr>
          <w:p w14:paraId="017511B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Materiali ose substanca e shtuar për t’i dhënë veti penguese (</w:t>
            </w:r>
            <w:proofErr w:type="spellStart"/>
            <w:r w:rsidRPr="00C51AE9">
              <w:rPr>
                <w:rFonts w:ascii="Times New Roman" w:hAnsi="Times New Roman" w:cs="Times New Roman"/>
              </w:rPr>
              <w:t>barrier</w:t>
            </w:r>
            <w:proofErr w:type="spellEnd"/>
            <w:r w:rsidRPr="00C51AE9">
              <w:rPr>
                <w:rFonts w:ascii="Times New Roman" w:hAnsi="Times New Roman" w:cs="Times New Roman"/>
              </w:rPr>
              <w:t>), ose një shumëllojshmëri materialesh të aplikuara në sipërfaqe për të dhënë veti të tjera (veshje).</w:t>
            </w:r>
          </w:p>
          <w:p w14:paraId="03354A5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Prania e barrierave ose shtresave brenda ambalazhit mund ta bëjë riciklimin më të vështirë. Kombinimet që sigurojnë rendiment të lartë të lëndëve të para dytësore janë të </w:t>
            </w:r>
            <w:proofErr w:type="spellStart"/>
            <w:r w:rsidRPr="00C51AE9">
              <w:rPr>
                <w:rFonts w:ascii="Times New Roman" w:hAnsi="Times New Roman" w:cs="Times New Roman"/>
              </w:rPr>
              <w:t>preferueshme</w:t>
            </w:r>
            <w:proofErr w:type="spellEnd"/>
            <w:r w:rsidRPr="00C51AE9">
              <w:rPr>
                <w:rFonts w:ascii="Times New Roman" w:hAnsi="Times New Roman" w:cs="Times New Roman"/>
              </w:rPr>
              <w:t>.</w:t>
            </w:r>
          </w:p>
        </w:tc>
      </w:tr>
      <w:tr w:rsidR="00C51AE9" w:rsidRPr="00C51AE9" w14:paraId="1392A4DB" w14:textId="77777777">
        <w:trPr>
          <w:trHeight w:val="983"/>
        </w:trPr>
        <w:tc>
          <w:tcPr>
            <w:tcW w:w="2494" w:type="dxa"/>
            <w:tcBorders>
              <w:top w:val="single" w:sz="4" w:space="0" w:color="000000"/>
              <w:left w:val="single" w:sz="4" w:space="0" w:color="000000"/>
              <w:bottom w:val="single" w:sz="4" w:space="0" w:color="000000"/>
              <w:right w:val="single" w:sz="4" w:space="0" w:color="000000"/>
            </w:tcBorders>
            <w:vAlign w:val="center"/>
          </w:tcPr>
          <w:p w14:paraId="54A96B9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Bojëra dhe </w:t>
            </w:r>
            <w:proofErr w:type="spellStart"/>
            <w:r w:rsidRPr="00C51AE9">
              <w:rPr>
                <w:rFonts w:ascii="Times New Roman" w:hAnsi="Times New Roman" w:cs="Times New Roman"/>
              </w:rPr>
              <w:t>llaqe</w:t>
            </w:r>
            <w:proofErr w:type="spellEnd"/>
            <w:r w:rsidRPr="00C51AE9">
              <w:rPr>
                <w:rFonts w:ascii="Times New Roman" w:hAnsi="Times New Roman" w:cs="Times New Roman"/>
              </w:rPr>
              <w:t xml:space="preserve"> / shtypje/ kodim</w:t>
            </w:r>
          </w:p>
        </w:tc>
        <w:tc>
          <w:tcPr>
            <w:tcW w:w="6531" w:type="dxa"/>
            <w:tcBorders>
              <w:top w:val="single" w:sz="4" w:space="0" w:color="000000"/>
              <w:left w:val="single" w:sz="4" w:space="0" w:color="000000"/>
              <w:bottom w:val="single" w:sz="4" w:space="0" w:color="000000"/>
              <w:right w:val="single" w:sz="4" w:space="0" w:color="000000"/>
            </w:tcBorders>
            <w:vAlign w:val="center"/>
          </w:tcPr>
          <w:p w14:paraId="0290527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Bojërat dhe llakat janë përzierje të ngjyruesve me substanca të tjera të aplikuara mbi materialin nëpërmjet një procesi shtypjeje ose veshjeje (bojë) ose një veshje mbrojtëse e bërë prej rrëshire ose </w:t>
            </w:r>
            <w:proofErr w:type="spellStart"/>
            <w:r w:rsidRPr="00C51AE9">
              <w:rPr>
                <w:rFonts w:ascii="Times New Roman" w:hAnsi="Times New Roman" w:cs="Times New Roman"/>
              </w:rPr>
              <w:t>esteri</w:t>
            </w:r>
            <w:proofErr w:type="spellEnd"/>
            <w:r w:rsidRPr="00C51AE9">
              <w:rPr>
                <w:rFonts w:ascii="Times New Roman" w:hAnsi="Times New Roman" w:cs="Times New Roman"/>
              </w:rPr>
              <w:t xml:space="preserve"> celuloze, ose të dyjave, të tretura në një tretës të paqëndrueshëm (llak). Kodimi i referohet shtypjes së aplikuar drejtpërdrejt mbi ambalazhimin e shitjes me qëllim kodimin e serive dhe informacioneve të tjera si dhe </w:t>
            </w:r>
            <w:proofErr w:type="spellStart"/>
            <w:r w:rsidRPr="00C51AE9">
              <w:rPr>
                <w:rFonts w:ascii="Times New Roman" w:hAnsi="Times New Roman" w:cs="Times New Roman"/>
              </w:rPr>
              <w:t>markimit</w:t>
            </w:r>
            <w:proofErr w:type="spellEnd"/>
            <w:r w:rsidRPr="00C51AE9">
              <w:rPr>
                <w:rFonts w:ascii="Times New Roman" w:hAnsi="Times New Roman" w:cs="Times New Roman"/>
              </w:rPr>
              <w:t>.</w:t>
            </w:r>
          </w:p>
          <w:p w14:paraId="75B749A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Përdorimi i bojërave me substanca shqetësuese pengon riciklimin, pasi ato njësi ambalazhimi nuk mund të riciklohen. Bojërat e </w:t>
            </w:r>
            <w:r w:rsidRPr="00C51AE9">
              <w:rPr>
                <w:rFonts w:ascii="Times New Roman" w:hAnsi="Times New Roman" w:cs="Times New Roman"/>
              </w:rPr>
              <w:lastRenderedPageBreak/>
              <w:t>shtypit, kur çlirohen, mund të ndotin rrjedhën e riciklimit nëpërmjet ujit të larjes. Po kështu, bojërat e shtypit që nuk çlirohen mund të dëmtojnë transparencën e rrjedhës së riciklimit.</w:t>
            </w:r>
          </w:p>
        </w:tc>
      </w:tr>
      <w:tr w:rsidR="00C51AE9" w:rsidRPr="00C51AE9" w14:paraId="386803EA" w14:textId="77777777">
        <w:trPr>
          <w:trHeight w:val="1227"/>
        </w:trPr>
        <w:tc>
          <w:tcPr>
            <w:tcW w:w="2494" w:type="dxa"/>
            <w:tcBorders>
              <w:top w:val="single" w:sz="4" w:space="0" w:color="000000"/>
              <w:left w:val="single" w:sz="4" w:space="0" w:color="000000"/>
              <w:bottom w:val="single" w:sz="4" w:space="0" w:color="000000"/>
              <w:right w:val="single" w:sz="4" w:space="0" w:color="000000"/>
            </w:tcBorders>
            <w:vAlign w:val="center"/>
          </w:tcPr>
          <w:p w14:paraId="7BCB2DB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lastRenderedPageBreak/>
              <w:t>Mbetje të produktit / lehtësi e zbrazjes</w:t>
            </w:r>
          </w:p>
        </w:tc>
        <w:tc>
          <w:tcPr>
            <w:tcW w:w="6531" w:type="dxa"/>
            <w:tcBorders>
              <w:top w:val="single" w:sz="4" w:space="0" w:color="000000"/>
              <w:left w:val="single" w:sz="4" w:space="0" w:color="000000"/>
              <w:bottom w:val="single" w:sz="4" w:space="0" w:color="000000"/>
              <w:right w:val="single" w:sz="4" w:space="0" w:color="000000"/>
            </w:tcBorders>
            <w:vAlign w:val="center"/>
          </w:tcPr>
          <w:p w14:paraId="3CA59C3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Mbetjet e përmbajtjes së ambalazhimit mund të ndikojnë në mundësinë e tij për t’u klasifikuar dhe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ambalazhimit. Projektimi i ambalazhimit duhet të mundësojë zbrazjen e lehtë të përmbajtjes së tij dhe, kur hidhet, duhet të jetë në gjendje plotësisht të kulluar.</w:t>
            </w:r>
          </w:p>
        </w:tc>
      </w:tr>
      <w:tr w:rsidR="00C51AE9" w:rsidRPr="00C51AE9" w14:paraId="00BB80ED" w14:textId="77777777">
        <w:trPr>
          <w:trHeight w:val="885"/>
        </w:trPr>
        <w:tc>
          <w:tcPr>
            <w:tcW w:w="2494" w:type="dxa"/>
            <w:tcBorders>
              <w:top w:val="single" w:sz="4" w:space="0" w:color="000000"/>
              <w:left w:val="single" w:sz="4" w:space="0" w:color="000000"/>
              <w:bottom w:val="single" w:sz="4" w:space="0" w:color="000000"/>
              <w:right w:val="single" w:sz="4" w:space="0" w:color="000000"/>
            </w:tcBorders>
            <w:vAlign w:val="center"/>
          </w:tcPr>
          <w:p w14:paraId="096AF87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Lehtësia e çmontimit</w:t>
            </w:r>
          </w:p>
        </w:tc>
        <w:tc>
          <w:tcPr>
            <w:tcW w:w="6531" w:type="dxa"/>
            <w:tcBorders>
              <w:top w:val="single" w:sz="4" w:space="0" w:color="000000"/>
              <w:left w:val="single" w:sz="4" w:space="0" w:color="000000"/>
              <w:bottom w:val="single" w:sz="4" w:space="0" w:color="000000"/>
              <w:right w:val="single" w:sz="4" w:space="0" w:color="000000"/>
            </w:tcBorders>
            <w:vAlign w:val="center"/>
          </w:tcPr>
          <w:p w14:paraId="67CB63A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Komponentët që janë të bashkangjitur fort me njëri-tjetrin mund të ndikojnë në </w:t>
            </w:r>
            <w:proofErr w:type="spellStart"/>
            <w:r w:rsidRPr="00C51AE9">
              <w:rPr>
                <w:rFonts w:ascii="Times New Roman" w:hAnsi="Times New Roman" w:cs="Times New Roman"/>
              </w:rPr>
              <w:t>renditshmërinë</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e ambalazhit. Projektimi i ambalazhit mund të lehtësojë mundësinë e ndarjes së komponentëve të ndryshëm në rrjedha të ndryshme materialesh.</w:t>
            </w:r>
          </w:p>
        </w:tc>
      </w:tr>
    </w:tbl>
    <w:p w14:paraId="344DA37E" w14:textId="77777777" w:rsidR="00767CD0" w:rsidRPr="00C51AE9" w:rsidRDefault="00767CD0">
      <w:pPr>
        <w:jc w:val="both"/>
        <w:rPr>
          <w:rFonts w:ascii="Times New Roman" w:hAnsi="Times New Roman" w:cs="Times New Roman"/>
          <w:w w:val="90"/>
        </w:rPr>
      </w:pPr>
    </w:p>
    <w:p w14:paraId="2185F6BD" w14:textId="77777777" w:rsidR="00767CD0" w:rsidRPr="00C51AE9" w:rsidRDefault="00767CD0">
      <w:pPr>
        <w:jc w:val="both"/>
        <w:rPr>
          <w:rFonts w:ascii="Times New Roman" w:hAnsi="Times New Roman" w:cs="Times New Roman"/>
          <w:w w:val="90"/>
        </w:rPr>
      </w:pPr>
    </w:p>
    <w:p w14:paraId="2B576719" w14:textId="77777777" w:rsidR="00767CD0" w:rsidRPr="00C51AE9" w:rsidRDefault="00C51AE9">
      <w:pPr>
        <w:jc w:val="both"/>
        <w:rPr>
          <w:rFonts w:ascii="Times New Roman" w:hAnsi="Times New Roman" w:cs="Times New Roman"/>
          <w:i/>
          <w:iCs/>
          <w:w w:val="90"/>
        </w:rPr>
      </w:pPr>
      <w:r w:rsidRPr="00C51AE9">
        <w:br w:type="page"/>
      </w:r>
    </w:p>
    <w:p w14:paraId="531AEF47" w14:textId="77777777" w:rsidR="00767CD0" w:rsidRPr="00C51AE9" w:rsidRDefault="00C51AE9">
      <w:pPr>
        <w:jc w:val="center"/>
        <w:rPr>
          <w:rFonts w:ascii="Times New Roman" w:hAnsi="Times New Roman" w:cs="Times New Roman"/>
          <w:b/>
          <w:bCs/>
          <w:w w:val="90"/>
        </w:rPr>
      </w:pPr>
      <w:r w:rsidRPr="00C51AE9">
        <w:rPr>
          <w:rFonts w:ascii="Times New Roman" w:hAnsi="Times New Roman" w:cs="Times New Roman"/>
          <w:b/>
          <w:bCs/>
          <w:w w:val="90"/>
        </w:rPr>
        <w:lastRenderedPageBreak/>
        <w:t>SHTOJCA III</w:t>
      </w:r>
    </w:p>
    <w:p w14:paraId="4B5A5A09" w14:textId="77777777" w:rsidR="00767CD0" w:rsidRPr="00C51AE9" w:rsidRDefault="00C51AE9">
      <w:pPr>
        <w:ind w:left="2790" w:firstLine="90"/>
        <w:contextualSpacing/>
        <w:rPr>
          <w:rFonts w:ascii="Times New Roman" w:hAnsi="Times New Roman" w:cs="Times New Roman"/>
        </w:rPr>
      </w:pPr>
      <w:r w:rsidRPr="00C51AE9">
        <w:rPr>
          <w:rFonts w:ascii="Times New Roman" w:hAnsi="Times New Roman" w:cs="Times New Roman"/>
        </w:rPr>
        <w:t xml:space="preserve">Ambalazh i </w:t>
      </w:r>
      <w:proofErr w:type="spellStart"/>
      <w:r w:rsidRPr="00C51AE9">
        <w:rPr>
          <w:rFonts w:ascii="Times New Roman" w:hAnsi="Times New Roman" w:cs="Times New Roman"/>
        </w:rPr>
        <w:t>kompostueshëm</w:t>
      </w:r>
      <w:proofErr w:type="spellEnd"/>
    </w:p>
    <w:p w14:paraId="643CE854" w14:textId="77777777" w:rsidR="00767CD0" w:rsidRPr="00C51AE9" w:rsidRDefault="00767CD0">
      <w:pPr>
        <w:ind w:left="720"/>
        <w:contextualSpacing/>
        <w:rPr>
          <w:rFonts w:ascii="Times New Roman" w:hAnsi="Times New Roman" w:cs="Times New Roman"/>
        </w:rPr>
      </w:pPr>
    </w:p>
    <w:p w14:paraId="0FA9CF49"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 xml:space="preserve">Kushtet që duhen marrë parasysh kur urdhërohet ose prezantohet përdorimi i formatit të ambalazhimit të </w:t>
      </w:r>
      <w:proofErr w:type="spellStart"/>
      <w:r w:rsidRPr="00C51AE9">
        <w:rPr>
          <w:rFonts w:ascii="Times New Roman" w:hAnsi="Times New Roman" w:cs="Times New Roman"/>
        </w:rPr>
        <w:t>kompostueshëm</w:t>
      </w:r>
      <w:proofErr w:type="spellEnd"/>
      <w:r w:rsidRPr="00C51AE9">
        <w:rPr>
          <w:rFonts w:ascii="Times New Roman" w:hAnsi="Times New Roman" w:cs="Times New Roman"/>
        </w:rPr>
        <w:t>:</w:t>
      </w:r>
    </w:p>
    <w:p w14:paraId="0081E529"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 xml:space="preserve">nuk mund të ishte projektuar si ambalazh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ose produktet nuk mund të vendoseshin në treg pa ambalazh;</w:t>
      </w:r>
    </w:p>
    <w:p w14:paraId="12410DDE"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është projektuar të hyjë në rrjedhën e mbetjeve organike në fund të jetës së tij;</w:t>
      </w:r>
    </w:p>
    <w:p w14:paraId="64BDCB6C"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 xml:space="preserve">është e një natyre të tillë të </w:t>
      </w:r>
      <w:proofErr w:type="spellStart"/>
      <w:r w:rsidRPr="00C51AE9">
        <w:rPr>
          <w:rFonts w:ascii="Times New Roman" w:hAnsi="Times New Roman" w:cs="Times New Roman"/>
        </w:rPr>
        <w:t>biodegradueshme</w:t>
      </w:r>
      <w:proofErr w:type="spellEnd"/>
      <w:r w:rsidRPr="00C51AE9">
        <w:rPr>
          <w:rFonts w:ascii="Times New Roman" w:hAnsi="Times New Roman" w:cs="Times New Roman"/>
        </w:rPr>
        <w:t xml:space="preserve"> që i lejon ambalazhimit t’i nënshtrohet dekompozimit fizik ose biologjik, duke përfshirë tretjen anaerobe, duke rezultuar përfundimisht në shndërrimin në </w:t>
      </w:r>
      <w:proofErr w:type="spellStart"/>
      <w:r w:rsidRPr="00C51AE9">
        <w:rPr>
          <w:rFonts w:ascii="Times New Roman" w:hAnsi="Times New Roman" w:cs="Times New Roman"/>
        </w:rPr>
        <w:t>dioksid</w:t>
      </w:r>
      <w:proofErr w:type="spellEnd"/>
      <w:r w:rsidRPr="00C51AE9">
        <w:rPr>
          <w:rFonts w:ascii="Times New Roman" w:hAnsi="Times New Roman" w:cs="Times New Roman"/>
        </w:rPr>
        <w:t xml:space="preserve"> karboni dhe ujë, biomasë të re </w:t>
      </w:r>
      <w:proofErr w:type="spellStart"/>
      <w:r w:rsidRPr="00C51AE9">
        <w:rPr>
          <w:rFonts w:ascii="Times New Roman" w:hAnsi="Times New Roman" w:cs="Times New Roman"/>
        </w:rPr>
        <w:t>mikrobike</w:t>
      </w:r>
      <w:proofErr w:type="spellEnd"/>
      <w:r w:rsidRPr="00C51AE9">
        <w:rPr>
          <w:rFonts w:ascii="Times New Roman" w:hAnsi="Times New Roman" w:cs="Times New Roman"/>
        </w:rPr>
        <w:t>, kripëra minerale dhe, në mungesë të oksigjenit, metan;</w:t>
      </w:r>
    </w:p>
    <w:p w14:paraId="6031E867" w14:textId="77777777" w:rsidR="00767CD0" w:rsidRPr="00C51AE9" w:rsidRDefault="00C51AE9">
      <w:pPr>
        <w:ind w:left="720" w:hanging="360"/>
        <w:jc w:val="both"/>
        <w:rPr>
          <w:rFonts w:ascii="Times New Roman" w:hAnsi="Times New Roman" w:cs="Times New Roman"/>
        </w:rPr>
      </w:pPr>
      <w:r w:rsidRPr="00C51AE9">
        <w:rPr>
          <w:rFonts w:ascii="Times New Roman" w:hAnsi="Times New Roman" w:cs="Times New Roman"/>
        </w:rPr>
        <w:t xml:space="preserve">ç) </w:t>
      </w:r>
      <w:r w:rsidRPr="00C51AE9">
        <w:rPr>
          <w:rFonts w:ascii="Times New Roman" w:hAnsi="Times New Roman" w:cs="Times New Roman"/>
        </w:rPr>
        <w:tab/>
        <w:t xml:space="preserve">përdorimi i tij rrit ndjeshëm grumbullimin e mbetjeve organike krahasuar me përdorimin e materialeve të ambalazhimit jo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w:t>
      </w:r>
    </w:p>
    <w:p w14:paraId="75ADAACE"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 xml:space="preserve">përdorimi i tij ul ndjeshëm ndotjen e </w:t>
      </w:r>
      <w:proofErr w:type="spellStart"/>
      <w:r w:rsidRPr="00C51AE9">
        <w:rPr>
          <w:rFonts w:ascii="Times New Roman" w:hAnsi="Times New Roman" w:cs="Times New Roman"/>
        </w:rPr>
        <w:t>kompostit</w:t>
      </w:r>
      <w:proofErr w:type="spellEnd"/>
      <w:r w:rsidRPr="00C51AE9">
        <w:rPr>
          <w:rFonts w:ascii="Times New Roman" w:hAnsi="Times New Roman" w:cs="Times New Roman"/>
        </w:rPr>
        <w:t xml:space="preserve"> me ambalazhe jo të </w:t>
      </w:r>
      <w:proofErr w:type="spellStart"/>
      <w:r w:rsidRPr="00C51AE9">
        <w:rPr>
          <w:rFonts w:ascii="Times New Roman" w:hAnsi="Times New Roman" w:cs="Times New Roman"/>
        </w:rPr>
        <w:t>kompostueshme</w:t>
      </w:r>
      <w:proofErr w:type="spellEnd"/>
      <w:r w:rsidRPr="00C51AE9">
        <w:rPr>
          <w:rFonts w:ascii="Times New Roman" w:hAnsi="Times New Roman" w:cs="Times New Roman"/>
        </w:rPr>
        <w:t xml:space="preserve"> dhe nuk shkakton asnjë problem në përpunimin e </w:t>
      </w:r>
      <w:proofErr w:type="spellStart"/>
      <w:r w:rsidRPr="00C51AE9">
        <w:rPr>
          <w:rFonts w:ascii="Times New Roman" w:hAnsi="Times New Roman" w:cs="Times New Roman"/>
        </w:rPr>
        <w:t>bio</w:t>
      </w:r>
      <w:proofErr w:type="spellEnd"/>
      <w:r w:rsidRPr="00C51AE9">
        <w:rPr>
          <w:rFonts w:ascii="Times New Roman" w:hAnsi="Times New Roman" w:cs="Times New Roman"/>
        </w:rPr>
        <w:t>-mbetjeve;</w:t>
      </w:r>
    </w:p>
    <w:p w14:paraId="227E968D" w14:textId="77777777" w:rsidR="00767CD0" w:rsidRPr="00C51AE9" w:rsidRDefault="00C51AE9" w:rsidP="00F635BF">
      <w:pPr>
        <w:numPr>
          <w:ilvl w:val="0"/>
          <w:numId w:val="48"/>
        </w:numPr>
        <w:contextualSpacing/>
        <w:jc w:val="both"/>
        <w:rPr>
          <w:rFonts w:ascii="Times New Roman" w:hAnsi="Times New Roman" w:cs="Times New Roman"/>
        </w:rPr>
      </w:pPr>
      <w:r w:rsidRPr="00C51AE9">
        <w:rPr>
          <w:rFonts w:ascii="Times New Roman" w:hAnsi="Times New Roman" w:cs="Times New Roman"/>
        </w:rPr>
        <w:t>përdorimi i tij nuk rrit ndotjen e rrjedhave të mbetjeve të ambalazhimit që nuk kompostohen.</w:t>
      </w:r>
    </w:p>
    <w:p w14:paraId="6D62607C" w14:textId="77777777" w:rsidR="00767CD0" w:rsidRPr="00C51AE9" w:rsidRDefault="00767CD0">
      <w:pPr>
        <w:jc w:val="both"/>
        <w:rPr>
          <w:rFonts w:ascii="Times New Roman" w:hAnsi="Times New Roman" w:cs="Times New Roman"/>
          <w:w w:val="90"/>
        </w:rPr>
      </w:pPr>
    </w:p>
    <w:p w14:paraId="721C56E7" w14:textId="77777777" w:rsidR="00767CD0" w:rsidRPr="00C51AE9" w:rsidRDefault="00767CD0">
      <w:pPr>
        <w:jc w:val="both"/>
        <w:rPr>
          <w:rFonts w:ascii="Times New Roman" w:hAnsi="Times New Roman" w:cs="Times New Roman"/>
          <w:w w:val="90"/>
        </w:rPr>
      </w:pPr>
    </w:p>
    <w:p w14:paraId="443EBE73" w14:textId="77777777" w:rsidR="00767CD0" w:rsidRPr="00C51AE9" w:rsidRDefault="00C51AE9">
      <w:pPr>
        <w:jc w:val="both"/>
        <w:rPr>
          <w:rFonts w:ascii="Times New Roman" w:hAnsi="Times New Roman" w:cs="Times New Roman"/>
          <w:i/>
          <w:iCs/>
          <w:w w:val="90"/>
        </w:rPr>
      </w:pPr>
      <w:r w:rsidRPr="00C51AE9">
        <w:br w:type="page"/>
      </w:r>
    </w:p>
    <w:p w14:paraId="361D1639"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 xml:space="preserve"> IV</w:t>
      </w:r>
    </w:p>
    <w:p w14:paraId="14EA5762"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Metodologjia për vlerësimin e minimizimit të ambalazhimit</w:t>
      </w:r>
    </w:p>
    <w:p w14:paraId="7D2719CC" w14:textId="77777777" w:rsidR="00767CD0" w:rsidRPr="00C51AE9" w:rsidRDefault="00767CD0">
      <w:pPr>
        <w:jc w:val="center"/>
        <w:rPr>
          <w:rFonts w:ascii="Times New Roman" w:hAnsi="Times New Roman" w:cs="Times New Roman"/>
        </w:rPr>
      </w:pPr>
    </w:p>
    <w:p w14:paraId="6015A716"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Pjesa A.   Kriteret e </w:t>
      </w:r>
      <w:proofErr w:type="spellStart"/>
      <w:r w:rsidRPr="00C51AE9">
        <w:rPr>
          <w:rFonts w:ascii="Times New Roman" w:hAnsi="Times New Roman" w:cs="Times New Roman"/>
        </w:rPr>
        <w:t>performancës</w:t>
      </w:r>
      <w:proofErr w:type="spellEnd"/>
    </w:p>
    <w:p w14:paraId="39B7DA1F"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 xml:space="preserve">Mbrojtja e produktit: projektimi i ambalazhimit duhet të sigurojë mbrojtjen e produktit, nga momenti i ambalazhimit ose mbushjes deri në përdorimin e tij përfundimtar, me qëllim parandalimin e dëmtimit të konsiderueshëm të produktit, humbjes, përkeqësimit ose shpërdorimit. Kërkesat mund të konsistojnë në mbrojtje kundër dëmtimeve mekanike ose kimike, dridhjeve, </w:t>
      </w:r>
      <w:proofErr w:type="spellStart"/>
      <w:r w:rsidRPr="00C51AE9">
        <w:rPr>
          <w:rFonts w:ascii="Times New Roman" w:hAnsi="Times New Roman" w:cs="Times New Roman"/>
        </w:rPr>
        <w:t>kompresimit</w:t>
      </w:r>
      <w:proofErr w:type="spellEnd"/>
      <w:r w:rsidRPr="00C51AE9">
        <w:rPr>
          <w:rFonts w:ascii="Times New Roman" w:hAnsi="Times New Roman" w:cs="Times New Roman"/>
        </w:rPr>
        <w:t xml:space="preserve">, lagështisë, humbjes së lagështisë, oksidimit, dritës, oksigjenit, infeksionit mikrobiologjik, dëmtuesve, përkeqësimit të vetive </w:t>
      </w:r>
      <w:proofErr w:type="spellStart"/>
      <w:r w:rsidRPr="00C51AE9">
        <w:rPr>
          <w:rFonts w:ascii="Times New Roman" w:hAnsi="Times New Roman" w:cs="Times New Roman"/>
        </w:rPr>
        <w:t>organoleptike</w:t>
      </w:r>
      <w:proofErr w:type="spellEnd"/>
      <w:r w:rsidRPr="00C51AE9">
        <w:rPr>
          <w:rFonts w:ascii="Times New Roman" w:hAnsi="Times New Roman" w:cs="Times New Roman"/>
        </w:rPr>
        <w:t>, etj. dhe të përfshijnë referenca ndaj legjislacionit specifik të BE-së që përcakton kërkesa për cilësinë e produktit.</w:t>
      </w:r>
    </w:p>
    <w:p w14:paraId="5D37BD03"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 xml:space="preserve">Proceset e prodhimit të ambalazhimit: projektimi i ambalazhimit duhet të jetë i përputhshëm me proceset e prodhimit dhe mbushjes së ambalazhimit. Proceset e prodhimit të ambalazhimit mund të përcaktojnë elemente të projektimit të ambalazhimit, të tilla si forma e një </w:t>
      </w:r>
      <w:proofErr w:type="spellStart"/>
      <w:r w:rsidRPr="00C51AE9">
        <w:rPr>
          <w:rFonts w:ascii="Times New Roman" w:hAnsi="Times New Roman" w:cs="Times New Roman"/>
        </w:rPr>
        <w:t>konteineri</w:t>
      </w:r>
      <w:proofErr w:type="spellEnd"/>
      <w:r w:rsidRPr="00C51AE9">
        <w:rPr>
          <w:rFonts w:ascii="Times New Roman" w:hAnsi="Times New Roman" w:cs="Times New Roman"/>
        </w:rPr>
        <w:t>, tolerancat e trashësisë, madhësia, realizueshmëria e veglave, ose specifikime që minimizojnë mbetjet në prodhim. Proceset e operuara nga prodhuesi i produkteve mund të kërkojnë gjithashtu elemente të caktuara të projektimit të ambalazhimit, si rezistenca ndaj goditjes dhe stresit, fortësia mekanike, shpejtësia dhe efikasiteti i linjës së ambalazhimit, stabiliteti gjatë transportimit, rezistenca ndaj nxehtësisë, mbyllja efektive, hapësira minimale e sipërme, ose higjiena.</w:t>
      </w:r>
    </w:p>
    <w:p w14:paraId="3E5B0F8E"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 xml:space="preserve">Logjistika: projektimi i ambalazhimit duhet të sigurojë shpërndarje, transport, trajtim dhe magazinim të përshtatshëm dhe të sigurt të produktit të ambalazhuar. Kërkesat mund të përbëhen nga koordinimi </w:t>
      </w:r>
      <w:proofErr w:type="spellStart"/>
      <w:r w:rsidRPr="00C51AE9">
        <w:rPr>
          <w:rFonts w:ascii="Times New Roman" w:hAnsi="Times New Roman" w:cs="Times New Roman"/>
        </w:rPr>
        <w:t>dimensional</w:t>
      </w:r>
      <w:proofErr w:type="spellEnd"/>
      <w:r w:rsidRPr="00C51AE9">
        <w:rPr>
          <w:rFonts w:ascii="Times New Roman" w:hAnsi="Times New Roman" w:cs="Times New Roman"/>
        </w:rPr>
        <w:t xml:space="preserve"> për shfrytëzimin optimal të hapësirës, përputhshmëria me sistemet e </w:t>
      </w:r>
      <w:proofErr w:type="spellStart"/>
      <w:r w:rsidRPr="00C51AE9">
        <w:rPr>
          <w:rFonts w:ascii="Times New Roman" w:hAnsi="Times New Roman" w:cs="Times New Roman"/>
        </w:rPr>
        <w:t>paletizimit</w:t>
      </w:r>
      <w:proofErr w:type="spellEnd"/>
      <w:r w:rsidRPr="00C51AE9">
        <w:rPr>
          <w:rFonts w:ascii="Times New Roman" w:hAnsi="Times New Roman" w:cs="Times New Roman"/>
        </w:rPr>
        <w:t xml:space="preserve"> dhe </w:t>
      </w:r>
      <w:proofErr w:type="spellStart"/>
      <w:r w:rsidRPr="00C51AE9">
        <w:rPr>
          <w:rFonts w:ascii="Times New Roman" w:hAnsi="Times New Roman" w:cs="Times New Roman"/>
        </w:rPr>
        <w:t>çpaletizimit</w:t>
      </w:r>
      <w:proofErr w:type="spellEnd"/>
      <w:r w:rsidRPr="00C51AE9">
        <w:rPr>
          <w:rFonts w:ascii="Times New Roman" w:hAnsi="Times New Roman" w:cs="Times New Roman"/>
        </w:rPr>
        <w:t>, sistemin e trajtimit dhe të magazinimit, si dhe integriteti i sistemit të ambalazhimit gjatë transportit dhe trajtimit.</w:t>
      </w:r>
    </w:p>
    <w:p w14:paraId="467090E7"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 xml:space="preserve">Funksionaliteti i ambalazhimit: dizajni i ambalazhimit duhet të sigurojë funksionalitetin e tij, duke marrë parasysh qëllimin e produktit dhe veçoritë që çojnë në shitjen e tij, siç janë shitjet për qëllime dhuratash, ose me rastin e ngjarjeve </w:t>
      </w:r>
      <w:proofErr w:type="spellStart"/>
      <w:r w:rsidRPr="00C51AE9">
        <w:rPr>
          <w:rFonts w:ascii="Times New Roman" w:hAnsi="Times New Roman" w:cs="Times New Roman"/>
        </w:rPr>
        <w:t>sezonale</w:t>
      </w:r>
      <w:proofErr w:type="spellEnd"/>
      <w:r w:rsidRPr="00C51AE9">
        <w:rPr>
          <w:rFonts w:ascii="Times New Roman" w:hAnsi="Times New Roman" w:cs="Times New Roman"/>
        </w:rPr>
        <w:t>.</w:t>
      </w:r>
    </w:p>
    <w:p w14:paraId="6773D159"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Kërkesat për informacion: projektimi i ambalazhimit duhet të sigurojë që çdo informacion i nevojshëm lidhur me vetë produktin e ambalazhuar, përdorimin, ruajtjen dhe kujdesin për të, duke përfshirë udhëzimet e sigurisë, mund t’u jepet përdoruesve fundorë. Kërkesat mund të përfshijnë dhënien e informacionit për produktin, udhëzimeve për ruajtjen, aplikimin dhe përdorimin, kodeve me shirita dhe datës së afatit të përdorimit.</w:t>
      </w:r>
    </w:p>
    <w:p w14:paraId="61331E98"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Higjiena dhe siguria: projektimi i ambalazhimit duhet të sigurojë sigurinë e përdoruesit dhe konsumatorit si edhe sigurinë dhe higjienën e produktit përgjatë shpërndarjes, përdorimit përfundimtar dhe asgjësimit të produktit të ambalazhuar. Kërkesat mund të përfshijnë ato për projektim për trajtim të sigurt, rezistencë ndaj fëmijëve, kundër manipulimit, kundër vjedhjes, kundër falsifikimit, paralajmërime rreziku, identifikim të qartë të përmbajtjes, mekanizëm të sigurt hapjeje ose mbyllje për çlirimin e presionit.</w:t>
      </w:r>
    </w:p>
    <w:p w14:paraId="01299034"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lastRenderedPageBreak/>
        <w:t>Kërkesat ligjore: projektimi i ambalazhimit duhet të sigurojë që ambalazhimi dhe produkti i ambalazhuar mund të jenë në përputhje me ligjin e zbatueshëm.</w:t>
      </w:r>
    </w:p>
    <w:p w14:paraId="328DCC58" w14:textId="77777777" w:rsidR="00767CD0" w:rsidRPr="00C51AE9" w:rsidRDefault="00C51AE9">
      <w:pPr>
        <w:widowControl w:val="0"/>
        <w:numPr>
          <w:ilvl w:val="0"/>
          <w:numId w:val="1"/>
        </w:numPr>
        <w:spacing w:after="0"/>
        <w:contextualSpacing/>
        <w:jc w:val="both"/>
        <w:rPr>
          <w:rFonts w:ascii="Times New Roman" w:hAnsi="Times New Roman" w:cs="Times New Roman"/>
        </w:rPr>
      </w:pPr>
      <w:r w:rsidRPr="00C51AE9">
        <w:rPr>
          <w:rFonts w:ascii="Times New Roman" w:hAnsi="Times New Roman" w:cs="Times New Roman"/>
        </w:rPr>
        <w:t xml:space="preserve">Përmbajtja e ricikluar, </w:t>
      </w:r>
      <w:proofErr w:type="spellStart"/>
      <w:r w:rsidRPr="00C51AE9">
        <w:rPr>
          <w:rFonts w:ascii="Times New Roman" w:hAnsi="Times New Roman" w:cs="Times New Roman"/>
        </w:rPr>
        <w:t>riciklueshmëria</w:t>
      </w:r>
      <w:proofErr w:type="spellEnd"/>
      <w:r w:rsidRPr="00C51AE9">
        <w:rPr>
          <w:rFonts w:ascii="Times New Roman" w:hAnsi="Times New Roman" w:cs="Times New Roman"/>
        </w:rPr>
        <w:t xml:space="preserve"> dhe ripërdorimi: projektimi i ambalazhimit duhet të sigurojë </w:t>
      </w:r>
      <w:proofErr w:type="spellStart"/>
      <w:r w:rsidRPr="00C51AE9">
        <w:rPr>
          <w:rFonts w:ascii="Times New Roman" w:hAnsi="Times New Roman" w:cs="Times New Roman"/>
        </w:rPr>
        <w:t>ripërdorshmëri</w:t>
      </w:r>
      <w:proofErr w:type="spellEnd"/>
      <w:r w:rsidRPr="00C51AE9">
        <w:rPr>
          <w:rFonts w:ascii="Times New Roman" w:hAnsi="Times New Roman" w:cs="Times New Roman"/>
        </w:rPr>
        <w:t xml:space="preserve">, </w:t>
      </w:r>
      <w:proofErr w:type="spellStart"/>
      <w:r w:rsidRPr="00C51AE9">
        <w:rPr>
          <w:rFonts w:ascii="Times New Roman" w:hAnsi="Times New Roman" w:cs="Times New Roman"/>
        </w:rPr>
        <w:t>riciklueshmëri</w:t>
      </w:r>
      <w:proofErr w:type="spellEnd"/>
      <w:r w:rsidRPr="00C51AE9">
        <w:rPr>
          <w:rFonts w:ascii="Times New Roman" w:hAnsi="Times New Roman" w:cs="Times New Roman"/>
        </w:rPr>
        <w:t xml:space="preserve"> dhe përfshirjen e përmbajtjes së ricikluar siç kërkohet sipas këtij Vendimi. Nëse ambalazhimi është menduar për ripërdorim, ai duhet të përmbushë kërkesat e përcaktuara në nenin 17. Pesha ose vëllimi i ambalazhimit duhet të rritet sipas faktorëve të tjerë të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në mënyrë që të mundësohet, ,një numër i lartë riciklimi, të lehtësohet përfshirja e përmbajtjes së ricikluar për të rritur </w:t>
      </w:r>
      <w:proofErr w:type="spellStart"/>
      <w:r w:rsidRPr="00C51AE9">
        <w:rPr>
          <w:rFonts w:ascii="Times New Roman" w:hAnsi="Times New Roman" w:cs="Times New Roman"/>
        </w:rPr>
        <w:t>riciklueshmërinë</w:t>
      </w:r>
      <w:proofErr w:type="spellEnd"/>
      <w:r w:rsidRPr="00C51AE9">
        <w:rPr>
          <w:rFonts w:ascii="Times New Roman" w:hAnsi="Times New Roman" w:cs="Times New Roman"/>
        </w:rPr>
        <w:t xml:space="preserve"> (për shembull kur kalohet në një mono-material ose përmbajtje të ricikluar pas konsumit).</w:t>
      </w:r>
    </w:p>
    <w:p w14:paraId="04E52151" w14:textId="77777777" w:rsidR="00767CD0" w:rsidRPr="00C51AE9" w:rsidRDefault="00767CD0">
      <w:pPr>
        <w:jc w:val="both"/>
        <w:rPr>
          <w:rFonts w:ascii="Times New Roman" w:hAnsi="Times New Roman" w:cs="Times New Roman"/>
          <w:w w:val="90"/>
        </w:rPr>
      </w:pPr>
    </w:p>
    <w:p w14:paraId="653BDB21" w14:textId="77777777" w:rsidR="00767CD0" w:rsidRPr="00C51AE9" w:rsidRDefault="00C51AE9">
      <w:pPr>
        <w:ind w:left="360"/>
        <w:jc w:val="both"/>
        <w:rPr>
          <w:rFonts w:ascii="Times New Roman" w:hAnsi="Times New Roman" w:cs="Times New Roman"/>
        </w:rPr>
      </w:pPr>
      <w:r w:rsidRPr="00C51AE9">
        <w:rPr>
          <w:rFonts w:ascii="Times New Roman" w:hAnsi="Times New Roman" w:cs="Times New Roman"/>
        </w:rPr>
        <w:t>Pjesa B Metodologjia e vlerësimit dhe përcaktimi i vëllimit dhe peshës minimale të ambalazhimit</w:t>
      </w:r>
    </w:p>
    <w:p w14:paraId="44527A1C" w14:textId="77777777" w:rsidR="00767CD0" w:rsidRPr="00C51AE9" w:rsidRDefault="00C51AE9" w:rsidP="00F635BF">
      <w:pPr>
        <w:numPr>
          <w:ilvl w:val="0"/>
          <w:numId w:val="74"/>
        </w:numPr>
        <w:contextualSpacing/>
        <w:jc w:val="both"/>
        <w:rPr>
          <w:rFonts w:ascii="Times New Roman" w:hAnsi="Times New Roman" w:cs="Times New Roman"/>
        </w:rPr>
      </w:pPr>
      <w:r w:rsidRPr="00C51AE9">
        <w:rPr>
          <w:rFonts w:ascii="Times New Roman" w:hAnsi="Times New Roman" w:cs="Times New Roman"/>
        </w:rPr>
        <w:t>Vlerësimi i vëllimit dhe peshës minimale të ambalazhimit të nevojshme për të siguruar funksionalitetin e ambalazhimit siç përshkruhet në nenin 3, pika 1, shpjegohet në dokumentacionin teknik dhe  përfshijnë të paktën:</w:t>
      </w:r>
    </w:p>
    <w:p w14:paraId="2B2362BC" w14:textId="77777777" w:rsidR="00767CD0" w:rsidRPr="00C51AE9" w:rsidRDefault="00C51AE9" w:rsidP="00F635BF">
      <w:pPr>
        <w:numPr>
          <w:ilvl w:val="0"/>
          <w:numId w:val="49"/>
        </w:numPr>
        <w:ind w:left="1170"/>
        <w:contextualSpacing/>
        <w:jc w:val="both"/>
        <w:rPr>
          <w:rFonts w:ascii="Times New Roman" w:hAnsi="Times New Roman" w:cs="Times New Roman"/>
        </w:rPr>
      </w:pPr>
      <w:r w:rsidRPr="00C51AE9">
        <w:rPr>
          <w:rFonts w:ascii="Times New Roman" w:hAnsi="Times New Roman" w:cs="Times New Roman"/>
        </w:rPr>
        <w:t>përshkrimi i rezultatit të vlerësimit, duke përfshirë detajet e llogaritjes së peshës dhe vëllimit minimal të nevojshëm për ambalazhimin; variacionet e mundshme ndërmjet serive të prodhimit për të njëjtin ama duhet të merren në konsideratë dhe të dokumentohen;</w:t>
      </w:r>
    </w:p>
    <w:p w14:paraId="078F829E" w14:textId="77777777" w:rsidR="00767CD0" w:rsidRPr="00C51AE9" w:rsidRDefault="00C51AE9" w:rsidP="00F635BF">
      <w:pPr>
        <w:numPr>
          <w:ilvl w:val="0"/>
          <w:numId w:val="49"/>
        </w:numPr>
        <w:ind w:left="1170"/>
        <w:contextualSpacing/>
        <w:jc w:val="both"/>
        <w:rPr>
          <w:rFonts w:ascii="Times New Roman" w:hAnsi="Times New Roman" w:cs="Times New Roman"/>
        </w:rPr>
      </w:pPr>
      <w:r w:rsidRPr="00C51AE9">
        <w:rPr>
          <w:rFonts w:ascii="Times New Roman" w:hAnsi="Times New Roman" w:cs="Times New Roman"/>
        </w:rPr>
        <w:t xml:space="preserve">për secilin kriter të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siç renditet në Pjesën A, një përshkrim i cili shpjegon kërkesën e projektimit që pengon zvogëlimin e mëtejshëm të peshës ose vëllimit të ambalazhimit pa vënë në rrezik funksionalitetin e ambalazhimit, duke përfshirë sigurinë dhe higjienën, për produktin e ambalazhuar, ambalazhimin dhe përdoruesin; metoda e përdorur për identifikimin e këtyre kërkesave të projektimit duhet të përshkruhet, dhe arsyet që pengojnë zvogëlimin e mëtejshëm të peshës ose vëllimit të ambalazhimit duhet të shpjegohen; duhet të shqyrtohen të gjitha mundësitë e zvogëlimit me një material të caktuar ambalazhimi, të tilla si zvogëlimi i çdo shtrese të tepërt që nuk kryen funksion ambalazhimi; zëvendësimi i një materiali ambalazhimi me një tjetër nuk duhet të konsiderohet i mjaftueshëm;</w:t>
      </w:r>
    </w:p>
    <w:p w14:paraId="2792A358" w14:textId="77777777" w:rsidR="00767CD0" w:rsidRPr="00C51AE9" w:rsidRDefault="00C51AE9" w:rsidP="00F635BF">
      <w:pPr>
        <w:numPr>
          <w:ilvl w:val="0"/>
          <w:numId w:val="49"/>
        </w:numPr>
        <w:ind w:left="1170"/>
        <w:contextualSpacing/>
        <w:jc w:val="both"/>
        <w:rPr>
          <w:rFonts w:ascii="Times New Roman" w:hAnsi="Times New Roman" w:cs="Times New Roman"/>
        </w:rPr>
      </w:pPr>
      <w:r w:rsidRPr="00C51AE9">
        <w:rPr>
          <w:rFonts w:ascii="Times New Roman" w:hAnsi="Times New Roman" w:cs="Times New Roman"/>
        </w:rPr>
        <w:t>çdo rezultat testimi, hulumtim tregu ose studim që janë përdorur për vlerësimin e kryer sipas pikave (a) dhe (b).</w:t>
      </w:r>
    </w:p>
    <w:p w14:paraId="3F91266F" w14:textId="77777777" w:rsidR="00767CD0" w:rsidRPr="00C51AE9" w:rsidRDefault="00767CD0">
      <w:pPr>
        <w:jc w:val="both"/>
        <w:rPr>
          <w:rFonts w:ascii="Times New Roman" w:hAnsi="Times New Roman" w:cs="Times New Roman"/>
          <w:w w:val="90"/>
        </w:rPr>
      </w:pPr>
    </w:p>
    <w:p w14:paraId="3E7C4465" w14:textId="77777777" w:rsidR="00767CD0" w:rsidRPr="00C51AE9" w:rsidRDefault="00C51AE9">
      <w:pPr>
        <w:jc w:val="both"/>
        <w:rPr>
          <w:rFonts w:ascii="Times New Roman" w:hAnsi="Times New Roman" w:cs="Times New Roman"/>
          <w:w w:val="90"/>
        </w:rPr>
      </w:pPr>
      <w:r w:rsidRPr="00C51AE9">
        <w:br w:type="page"/>
      </w:r>
    </w:p>
    <w:p w14:paraId="4058A8E3"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 xml:space="preserve"> V</w:t>
      </w:r>
    </w:p>
    <w:p w14:paraId="2453F045"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Kufizime në përdorimin e formateve të ambalazhimit</w:t>
      </w:r>
    </w:p>
    <w:p w14:paraId="43355ECF" w14:textId="77777777" w:rsidR="00767CD0" w:rsidRPr="00C51AE9" w:rsidRDefault="00767CD0">
      <w:pPr>
        <w:widowControl w:val="0"/>
        <w:spacing w:after="0"/>
        <w:jc w:val="both"/>
        <w:rPr>
          <w:rFonts w:ascii="Times New Roman" w:eastAsia="Cambria" w:hAnsi="Times New Roman" w:cs="Times New Roman"/>
          <w:kern w:val="0"/>
          <w14:ligatures w14:val="none"/>
        </w:rPr>
      </w:pPr>
    </w:p>
    <w:tbl>
      <w:tblPr>
        <w:tblW w:w="5000" w:type="pct"/>
        <w:tblLayout w:type="fixed"/>
        <w:tblCellMar>
          <w:left w:w="5" w:type="dxa"/>
          <w:right w:w="5" w:type="dxa"/>
        </w:tblCellMar>
        <w:tblLook w:val="01E0" w:firstRow="1" w:lastRow="1" w:firstColumn="1" w:lastColumn="1" w:noHBand="0" w:noVBand="0"/>
      </w:tblPr>
      <w:tblGrid>
        <w:gridCol w:w="550"/>
        <w:gridCol w:w="2220"/>
        <w:gridCol w:w="4465"/>
        <w:gridCol w:w="1781"/>
      </w:tblGrid>
      <w:tr w:rsidR="00C51AE9" w:rsidRPr="00C51AE9" w14:paraId="11B8244D" w14:textId="77777777">
        <w:trPr>
          <w:trHeight w:val="438"/>
        </w:trPr>
        <w:tc>
          <w:tcPr>
            <w:tcW w:w="551" w:type="dxa"/>
            <w:tcBorders>
              <w:top w:val="single" w:sz="4" w:space="0" w:color="000000"/>
              <w:left w:val="single" w:sz="4" w:space="0" w:color="000000"/>
              <w:bottom w:val="single" w:sz="4" w:space="0" w:color="000000"/>
              <w:right w:val="single" w:sz="4" w:space="0" w:color="000000"/>
            </w:tcBorders>
            <w:vAlign w:val="center"/>
          </w:tcPr>
          <w:p w14:paraId="7182F992"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Nr.</w:t>
            </w:r>
          </w:p>
        </w:tc>
        <w:tc>
          <w:tcPr>
            <w:tcW w:w="2222" w:type="dxa"/>
            <w:tcBorders>
              <w:top w:val="single" w:sz="4" w:space="0" w:color="000000"/>
              <w:left w:val="single" w:sz="4" w:space="0" w:color="000000"/>
              <w:bottom w:val="single" w:sz="4" w:space="0" w:color="000000"/>
              <w:right w:val="single" w:sz="4" w:space="0" w:color="000000"/>
            </w:tcBorders>
            <w:vAlign w:val="center"/>
          </w:tcPr>
          <w:p w14:paraId="48AD5617"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Formati i ambalazhimit</w:t>
            </w:r>
          </w:p>
        </w:tc>
        <w:tc>
          <w:tcPr>
            <w:tcW w:w="4469" w:type="dxa"/>
            <w:tcBorders>
              <w:top w:val="single" w:sz="4" w:space="0" w:color="000000"/>
              <w:left w:val="single" w:sz="4" w:space="0" w:color="000000"/>
              <w:bottom w:val="single" w:sz="4" w:space="0" w:color="000000"/>
              <w:right w:val="single" w:sz="4" w:space="0" w:color="000000"/>
            </w:tcBorders>
            <w:vAlign w:val="center"/>
          </w:tcPr>
          <w:p w14:paraId="3CCC9A88"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Përdorim i kufizuar</w:t>
            </w:r>
          </w:p>
        </w:tc>
        <w:tc>
          <w:tcPr>
            <w:tcW w:w="1783" w:type="dxa"/>
            <w:tcBorders>
              <w:top w:val="single" w:sz="4" w:space="0" w:color="000000"/>
              <w:left w:val="single" w:sz="4" w:space="0" w:color="000000"/>
              <w:bottom w:val="single" w:sz="4" w:space="0" w:color="000000"/>
              <w:right w:val="single" w:sz="4" w:space="0" w:color="000000"/>
            </w:tcBorders>
            <w:vAlign w:val="center"/>
          </w:tcPr>
          <w:p w14:paraId="105115A5" w14:textId="77777777" w:rsidR="00767CD0" w:rsidRPr="00C51AE9" w:rsidRDefault="00C51AE9">
            <w:pPr>
              <w:spacing w:after="0"/>
              <w:jc w:val="center"/>
              <w:rPr>
                <w:rFonts w:ascii="Times New Roman" w:hAnsi="Times New Roman" w:cs="Times New Roman"/>
                <w:b/>
                <w:bCs/>
              </w:rPr>
            </w:pPr>
            <w:r w:rsidRPr="00C51AE9">
              <w:rPr>
                <w:rFonts w:ascii="Times New Roman" w:hAnsi="Times New Roman" w:cs="Times New Roman"/>
                <w:b/>
                <w:bCs/>
              </w:rPr>
              <w:t>Shembull ilustrues</w:t>
            </w:r>
          </w:p>
        </w:tc>
      </w:tr>
      <w:tr w:rsidR="00C51AE9" w:rsidRPr="00C51AE9" w14:paraId="7BB632BE" w14:textId="77777777">
        <w:trPr>
          <w:trHeight w:val="1695"/>
        </w:trPr>
        <w:tc>
          <w:tcPr>
            <w:tcW w:w="551" w:type="dxa"/>
            <w:tcBorders>
              <w:top w:val="single" w:sz="4" w:space="0" w:color="000000"/>
              <w:left w:val="single" w:sz="4" w:space="0" w:color="000000"/>
              <w:bottom w:val="single" w:sz="4" w:space="0" w:color="000000"/>
              <w:right w:val="single" w:sz="4" w:space="0" w:color="000000"/>
            </w:tcBorders>
            <w:vAlign w:val="center"/>
          </w:tcPr>
          <w:p w14:paraId="60554AC7"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1.</w:t>
            </w:r>
          </w:p>
        </w:tc>
        <w:tc>
          <w:tcPr>
            <w:tcW w:w="2222" w:type="dxa"/>
            <w:tcBorders>
              <w:top w:val="single" w:sz="4" w:space="0" w:color="000000"/>
              <w:left w:val="single" w:sz="4" w:space="0" w:color="000000"/>
              <w:bottom w:val="single" w:sz="4" w:space="0" w:color="000000"/>
              <w:right w:val="single" w:sz="4" w:space="0" w:color="000000"/>
            </w:tcBorders>
            <w:vAlign w:val="center"/>
          </w:tcPr>
          <w:p w14:paraId="4322A5F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Ambalazhim i grupuar prej plastike </w:t>
            </w:r>
            <w:proofErr w:type="spellStart"/>
            <w:r w:rsidRPr="00C51AE9">
              <w:rPr>
                <w:rFonts w:ascii="Times New Roman" w:hAnsi="Times New Roman" w:cs="Times New Roman"/>
              </w:rPr>
              <w:t>njëpërdorimëshe</w:t>
            </w:r>
            <w:proofErr w:type="spellEnd"/>
          </w:p>
        </w:tc>
        <w:tc>
          <w:tcPr>
            <w:tcW w:w="4469" w:type="dxa"/>
            <w:tcBorders>
              <w:top w:val="single" w:sz="4" w:space="0" w:color="000000"/>
              <w:left w:val="single" w:sz="4" w:space="0" w:color="000000"/>
              <w:bottom w:val="single" w:sz="4" w:space="0" w:color="000000"/>
              <w:right w:val="single" w:sz="4" w:space="0" w:color="000000"/>
            </w:tcBorders>
            <w:vAlign w:val="center"/>
          </w:tcPr>
          <w:p w14:paraId="234596E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 plastik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i përdorur në pikën e shitjes për të grupuar mallra të shitura në shishe, </w:t>
            </w:r>
            <w:proofErr w:type="spellStart"/>
            <w:r w:rsidRPr="00C51AE9">
              <w:rPr>
                <w:rFonts w:ascii="Times New Roman" w:hAnsi="Times New Roman" w:cs="Times New Roman"/>
              </w:rPr>
              <w:t>kanaçe</w:t>
            </w:r>
            <w:proofErr w:type="spellEnd"/>
            <w:r w:rsidRPr="00C51AE9">
              <w:rPr>
                <w:rFonts w:ascii="Times New Roman" w:hAnsi="Times New Roman" w:cs="Times New Roman"/>
              </w:rPr>
              <w:t xml:space="preserve">, kuti metalike, kavanoza, tasa dhe pako, i projektuar si ambalazh </w:t>
            </w:r>
            <w:proofErr w:type="spellStart"/>
            <w:r w:rsidRPr="00C51AE9">
              <w:rPr>
                <w:rFonts w:ascii="Times New Roman" w:hAnsi="Times New Roman" w:cs="Times New Roman"/>
              </w:rPr>
              <w:t>komoditeti</w:t>
            </w:r>
            <w:proofErr w:type="spellEnd"/>
            <w:r w:rsidRPr="00C51AE9">
              <w:rPr>
                <w:rFonts w:ascii="Times New Roman" w:hAnsi="Times New Roman" w:cs="Times New Roman"/>
              </w:rPr>
              <w:t xml:space="preserve"> për t’u mundësuar ose nxitur konsumatorëve të blejnë më shumë se një produkt. Kjo përjashton ambalazhin e grupuar të nevojshëm për të lehtësuar trajtimin.</w:t>
            </w:r>
          </w:p>
        </w:tc>
        <w:tc>
          <w:tcPr>
            <w:tcW w:w="1783" w:type="dxa"/>
            <w:tcBorders>
              <w:top w:val="single" w:sz="4" w:space="0" w:color="000000"/>
              <w:left w:val="single" w:sz="4" w:space="0" w:color="000000"/>
              <w:bottom w:val="single" w:sz="4" w:space="0" w:color="000000"/>
              <w:right w:val="single" w:sz="4" w:space="0" w:color="000000"/>
            </w:tcBorders>
            <w:vAlign w:val="center"/>
          </w:tcPr>
          <w:p w14:paraId="3FBAC8C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Filma për </w:t>
            </w:r>
            <w:proofErr w:type="spellStart"/>
            <w:r w:rsidRPr="00C51AE9">
              <w:rPr>
                <w:rFonts w:ascii="Times New Roman" w:hAnsi="Times New Roman" w:cs="Times New Roman"/>
              </w:rPr>
              <w:t>kolacionim</w:t>
            </w:r>
            <w:proofErr w:type="spellEnd"/>
            <w:r w:rsidRPr="00C51AE9">
              <w:rPr>
                <w:rFonts w:ascii="Times New Roman" w:hAnsi="Times New Roman" w:cs="Times New Roman"/>
              </w:rPr>
              <w:t>, mbështjellës tkurrës</w:t>
            </w:r>
          </w:p>
        </w:tc>
      </w:tr>
      <w:tr w:rsidR="00C51AE9" w:rsidRPr="00C51AE9" w14:paraId="5F18AFA4" w14:textId="77777777">
        <w:trPr>
          <w:trHeight w:val="3438"/>
        </w:trPr>
        <w:tc>
          <w:tcPr>
            <w:tcW w:w="551" w:type="dxa"/>
            <w:tcBorders>
              <w:top w:val="single" w:sz="4" w:space="0" w:color="000000"/>
              <w:left w:val="single" w:sz="4" w:space="0" w:color="000000"/>
              <w:bottom w:val="single" w:sz="4" w:space="0" w:color="000000"/>
              <w:right w:val="single" w:sz="4" w:space="0" w:color="000000"/>
            </w:tcBorders>
            <w:vAlign w:val="center"/>
          </w:tcPr>
          <w:p w14:paraId="17C58DCD"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2.</w:t>
            </w:r>
          </w:p>
        </w:tc>
        <w:tc>
          <w:tcPr>
            <w:tcW w:w="2222" w:type="dxa"/>
            <w:tcBorders>
              <w:top w:val="single" w:sz="4" w:space="0" w:color="000000"/>
              <w:left w:val="single" w:sz="4" w:space="0" w:color="000000"/>
              <w:bottom w:val="single" w:sz="4" w:space="0" w:color="000000"/>
              <w:right w:val="single" w:sz="4" w:space="0" w:color="000000"/>
            </w:tcBorders>
            <w:vAlign w:val="center"/>
          </w:tcPr>
          <w:p w14:paraId="10DD9EC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fruta dhe perime të freskëta të papërpunuara</w:t>
            </w:r>
          </w:p>
        </w:tc>
        <w:tc>
          <w:tcPr>
            <w:tcW w:w="4469" w:type="dxa"/>
            <w:tcBorders>
              <w:top w:val="single" w:sz="4" w:space="0" w:color="000000"/>
              <w:left w:val="single" w:sz="4" w:space="0" w:color="000000"/>
              <w:bottom w:val="single" w:sz="4" w:space="0" w:color="000000"/>
              <w:right w:val="single" w:sz="4" w:space="0" w:color="000000"/>
            </w:tcBorders>
            <w:vAlign w:val="center"/>
          </w:tcPr>
          <w:p w14:paraId="21221A8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 plastik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për fruta dhe perime të freskëta të </w:t>
            </w:r>
            <w:proofErr w:type="spellStart"/>
            <w:r w:rsidRPr="00C51AE9">
              <w:rPr>
                <w:rFonts w:ascii="Times New Roman" w:hAnsi="Times New Roman" w:cs="Times New Roman"/>
              </w:rPr>
              <w:t>paraambalazhuara</w:t>
            </w:r>
            <w:proofErr w:type="spellEnd"/>
            <w:r w:rsidRPr="00C51AE9">
              <w:rPr>
                <w:rFonts w:ascii="Times New Roman" w:hAnsi="Times New Roman" w:cs="Times New Roman"/>
              </w:rPr>
              <w:t xml:space="preserve"> me më pak se 1,5 kg. Ministria përgjegjëse për mjedisin  mund të përcaktojë përjashtime në lidhje me këtë kufizim nëse ka</w:t>
            </w:r>
          </w:p>
          <w:p w14:paraId="34618BA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një nevojë të dëshmuar për të shmangur humbjen e ujit, ose humbjen e freskisë, rreziqet mikrobiologjike ose goditjet fizike, oksidimin, ose nëse nuk ka asnjë mundësi tjetër për të shmangur përzierjen e frutave dhe perimeve organike me</w:t>
            </w:r>
          </w:p>
          <w:p w14:paraId="1D369BB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fruta dhe perime joorganike në përputhje me kërkesat në Rregulloren (BE) 2018/848 të the </w:t>
            </w:r>
            <w:bookmarkStart w:id="84" w:name="_bookmark152"/>
            <w:bookmarkEnd w:id="84"/>
            <w:r w:rsidRPr="00C51AE9">
              <w:rPr>
                <w:rFonts w:ascii="Times New Roman" w:hAnsi="Times New Roman" w:cs="Times New Roman"/>
              </w:rPr>
              <w:t xml:space="preserve">Kuvendi Evropian dhe i Këshillit </w:t>
            </w:r>
            <w:r w:rsidRPr="00C51AE9">
              <w:rPr>
                <w:rStyle w:val="FootnoteReference"/>
                <w:rFonts w:ascii="Times New Roman" w:hAnsi="Times New Roman" w:cs="Times New Roman"/>
              </w:rPr>
              <w:footnoteReference w:id="3"/>
            </w:r>
            <w:hyperlink w:anchor="_bookmark153">
              <w:r w:rsidRPr="00C51AE9">
                <w:rPr>
                  <w:rFonts w:ascii="Times New Roman" w:hAnsi="Times New Roman" w:cs="Times New Roman"/>
                  <w:u w:val="single"/>
                </w:rPr>
                <w:t>(1)</w:t>
              </w:r>
            </w:hyperlink>
            <w:r w:rsidRPr="00C51AE9">
              <w:rPr>
                <w:rFonts w:ascii="Times New Roman" w:hAnsi="Times New Roman" w:cs="Times New Roman"/>
              </w:rPr>
              <w:t xml:space="preserve"> mbi certifikimin ose etiketimin, pa sjellë kosto ekonomike dhe administrative </w:t>
            </w:r>
            <w:proofErr w:type="spellStart"/>
            <w:r w:rsidRPr="00C51AE9">
              <w:rPr>
                <w:rFonts w:ascii="Times New Roman" w:hAnsi="Times New Roman" w:cs="Times New Roman"/>
              </w:rPr>
              <w:t>joproporcionale</w:t>
            </w:r>
            <w:proofErr w:type="spellEnd"/>
            <w:r w:rsidRPr="00C51AE9">
              <w:rPr>
                <w:rFonts w:ascii="Times New Roman" w:hAnsi="Times New Roman" w:cs="Times New Roman"/>
              </w:rPr>
              <w:t>.</w:t>
            </w:r>
          </w:p>
        </w:tc>
        <w:tc>
          <w:tcPr>
            <w:tcW w:w="1783" w:type="dxa"/>
            <w:tcBorders>
              <w:top w:val="single" w:sz="4" w:space="0" w:color="000000"/>
              <w:left w:val="single" w:sz="4" w:space="0" w:color="000000"/>
              <w:bottom w:val="single" w:sz="4" w:space="0" w:color="000000"/>
              <w:right w:val="single" w:sz="4" w:space="0" w:color="000000"/>
            </w:tcBorders>
            <w:vAlign w:val="center"/>
          </w:tcPr>
          <w:p w14:paraId="5300C1D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Rrjeta, çanta, tabaka, kontejnerë</w:t>
            </w:r>
          </w:p>
        </w:tc>
      </w:tr>
      <w:tr w:rsidR="00C51AE9" w:rsidRPr="00C51AE9" w14:paraId="41F6F8DF" w14:textId="77777777">
        <w:trPr>
          <w:trHeight w:val="2640"/>
        </w:trPr>
        <w:tc>
          <w:tcPr>
            <w:tcW w:w="551" w:type="dxa"/>
            <w:tcBorders>
              <w:top w:val="single" w:sz="4" w:space="0" w:color="000000"/>
              <w:left w:val="single" w:sz="4" w:space="0" w:color="000000"/>
              <w:bottom w:val="single" w:sz="4" w:space="0" w:color="000000"/>
              <w:right w:val="single" w:sz="4" w:space="0" w:color="000000"/>
            </w:tcBorders>
            <w:vAlign w:val="center"/>
          </w:tcPr>
          <w:p w14:paraId="5117074F"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lastRenderedPageBreak/>
              <w:t>3.</w:t>
            </w:r>
          </w:p>
        </w:tc>
        <w:tc>
          <w:tcPr>
            <w:tcW w:w="2222" w:type="dxa"/>
            <w:tcBorders>
              <w:top w:val="single" w:sz="4" w:space="0" w:color="000000"/>
              <w:left w:val="single" w:sz="4" w:space="0" w:color="000000"/>
              <w:bottom w:val="single" w:sz="4" w:space="0" w:color="000000"/>
              <w:right w:val="single" w:sz="4" w:space="0" w:color="000000"/>
            </w:tcBorders>
            <w:vAlign w:val="center"/>
          </w:tcPr>
          <w:p w14:paraId="7B804EA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 plastik </w:t>
            </w:r>
            <w:proofErr w:type="spellStart"/>
            <w:r w:rsidRPr="00C51AE9">
              <w:rPr>
                <w:rFonts w:ascii="Times New Roman" w:hAnsi="Times New Roman" w:cs="Times New Roman"/>
              </w:rPr>
              <w:t>njëpërdorimësh</w:t>
            </w:r>
            <w:proofErr w:type="spellEnd"/>
          </w:p>
        </w:tc>
        <w:tc>
          <w:tcPr>
            <w:tcW w:w="4469" w:type="dxa"/>
            <w:tcBorders>
              <w:top w:val="single" w:sz="4" w:space="0" w:color="000000"/>
              <w:left w:val="single" w:sz="4" w:space="0" w:color="000000"/>
              <w:bottom w:val="single" w:sz="4" w:space="0" w:color="000000"/>
              <w:right w:val="single" w:sz="4" w:space="0" w:color="000000"/>
            </w:tcBorders>
            <w:vAlign w:val="center"/>
          </w:tcPr>
          <w:p w14:paraId="0455EDD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për ushqime dhe pije të mbushura dhe të konsumuara brenda ambienteve në sektorin , të cilat përfshijnë të gjitha zonat e ngrënies brenda dhe jashtë një vendi biznesi, të pajisura me tavolina dhe stola, zona për qëndrim në këmbë, dhe zona ngrënieje të ofruara për përdoruesit fundorë bashkërisht nga disa operatorë ekonomikë ose nga një palë e tretë për qëllimin e konsumimit të ushqimit dhe pijeve. Njësitë në sektorin  që nuk kanë </w:t>
            </w:r>
            <w:proofErr w:type="spellStart"/>
            <w:r w:rsidRPr="00C51AE9">
              <w:rPr>
                <w:rFonts w:ascii="Times New Roman" w:hAnsi="Times New Roman" w:cs="Times New Roman"/>
              </w:rPr>
              <w:t>akses</w:t>
            </w:r>
            <w:proofErr w:type="spellEnd"/>
            <w:r w:rsidRPr="00C51AE9">
              <w:rPr>
                <w:rFonts w:ascii="Times New Roman" w:hAnsi="Times New Roman" w:cs="Times New Roman"/>
              </w:rPr>
              <w:t xml:space="preserve"> në ujë të pijshëm </w:t>
            </w:r>
            <w:proofErr w:type="spellStart"/>
            <w:r w:rsidRPr="00C51AE9">
              <w:rPr>
                <w:rFonts w:ascii="Times New Roman" w:hAnsi="Times New Roman" w:cs="Times New Roman"/>
              </w:rPr>
              <w:t>përjashtohen.HORECAHORECA</w:t>
            </w:r>
            <w:proofErr w:type="spellEnd"/>
          </w:p>
        </w:tc>
        <w:tc>
          <w:tcPr>
            <w:tcW w:w="1783" w:type="dxa"/>
            <w:tcBorders>
              <w:top w:val="single" w:sz="4" w:space="0" w:color="000000"/>
              <w:left w:val="single" w:sz="4" w:space="0" w:color="000000"/>
              <w:bottom w:val="single" w:sz="4" w:space="0" w:color="000000"/>
              <w:right w:val="single" w:sz="4" w:space="0" w:color="000000"/>
            </w:tcBorders>
            <w:vAlign w:val="center"/>
          </w:tcPr>
          <w:p w14:paraId="6F91A86B"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Tabaka, pjata dhe gota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qese, kuti</w:t>
            </w:r>
          </w:p>
        </w:tc>
      </w:tr>
      <w:tr w:rsidR="00C51AE9" w:rsidRPr="00C51AE9" w14:paraId="0DEC8913" w14:textId="77777777">
        <w:trPr>
          <w:trHeight w:val="3697"/>
        </w:trPr>
        <w:tc>
          <w:tcPr>
            <w:tcW w:w="551" w:type="dxa"/>
            <w:tcBorders>
              <w:top w:val="single" w:sz="4" w:space="0" w:color="000000"/>
              <w:left w:val="single" w:sz="4" w:space="0" w:color="000000"/>
              <w:bottom w:val="single" w:sz="4" w:space="0" w:color="000000"/>
              <w:right w:val="single" w:sz="4" w:space="0" w:color="000000"/>
            </w:tcBorders>
            <w:vAlign w:val="center"/>
          </w:tcPr>
          <w:p w14:paraId="3AB66159"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4.</w:t>
            </w:r>
          </w:p>
        </w:tc>
        <w:tc>
          <w:tcPr>
            <w:tcW w:w="2222" w:type="dxa"/>
            <w:tcBorders>
              <w:top w:val="single" w:sz="4" w:space="0" w:color="000000"/>
              <w:left w:val="single" w:sz="4" w:space="0" w:color="000000"/>
              <w:bottom w:val="single" w:sz="4" w:space="0" w:color="000000"/>
              <w:right w:val="single" w:sz="4" w:space="0" w:color="000000"/>
            </w:tcBorders>
            <w:vAlign w:val="center"/>
          </w:tcPr>
          <w:p w14:paraId="01C1611D"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 plastik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për erëza, konserva, salca, krem për kafe, sheqer dhe aromatizues në  sektor HORECA</w:t>
            </w:r>
          </w:p>
        </w:tc>
        <w:tc>
          <w:tcPr>
            <w:tcW w:w="4469" w:type="dxa"/>
            <w:tcBorders>
              <w:top w:val="single" w:sz="4" w:space="0" w:color="000000"/>
              <w:left w:val="single" w:sz="4" w:space="0" w:color="000000"/>
              <w:bottom w:val="single" w:sz="4" w:space="0" w:color="000000"/>
              <w:right w:val="single" w:sz="4" w:space="0" w:color="000000"/>
            </w:tcBorders>
            <w:vAlign w:val="center"/>
          </w:tcPr>
          <w:p w14:paraId="72B7377A"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Ambalazhe plastike </w:t>
            </w:r>
            <w:proofErr w:type="spellStart"/>
            <w:r w:rsidRPr="00C51AE9">
              <w:rPr>
                <w:rFonts w:ascii="Times New Roman" w:hAnsi="Times New Roman" w:cs="Times New Roman"/>
              </w:rPr>
              <w:t>njëpërdorimëshe</w:t>
            </w:r>
            <w:proofErr w:type="spellEnd"/>
            <w:r w:rsidRPr="00C51AE9">
              <w:rPr>
                <w:rFonts w:ascii="Times New Roman" w:hAnsi="Times New Roman" w:cs="Times New Roman"/>
              </w:rPr>
              <w:t xml:space="preserve"> në sektorin  , që përmbajnë porcione ose racione individuale, të përdorura për erëza, konserva, salca, zbardhues kafeje, sheqer dhe </w:t>
            </w:r>
            <w:proofErr w:type="spellStart"/>
            <w:r w:rsidRPr="00C51AE9">
              <w:rPr>
                <w:rFonts w:ascii="Times New Roman" w:hAnsi="Times New Roman" w:cs="Times New Roman"/>
              </w:rPr>
              <w:t>kondimente</w:t>
            </w:r>
            <w:proofErr w:type="spellEnd"/>
            <w:r w:rsidRPr="00C51AE9">
              <w:rPr>
                <w:rFonts w:ascii="Times New Roman" w:hAnsi="Times New Roman" w:cs="Times New Roman"/>
              </w:rPr>
              <w:t>, përveç në rastet e mëposhtme: HORECA</w:t>
            </w:r>
          </w:p>
          <w:p w14:paraId="79D8280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një ambalazhim i tillë sigurohet së bashku me ushqim të gatshëm për marrje me vete, të përgatitur paraprakisht, i destinuar për konsum të menjëhershëm pa nevojën e ndonjë përgatitjeje të mëtejshme;</w:t>
            </w:r>
          </w:p>
          <w:p w14:paraId="748463E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një ambalazhim i tillë kërkohet për të garantuar sigurinë dhe higjienën në institucionet ku ekziston një kërkesë mjekësore për kujdes të individualizuar, siç janë spitalet, klinikat ose shtëpitë e kujdesit </w:t>
            </w:r>
            <w:proofErr w:type="spellStart"/>
            <w:r w:rsidRPr="00C51AE9">
              <w:rPr>
                <w:rFonts w:ascii="Times New Roman" w:hAnsi="Times New Roman" w:cs="Times New Roman"/>
              </w:rPr>
              <w:t>infermieror</w:t>
            </w:r>
            <w:proofErr w:type="spellEnd"/>
            <w:r w:rsidRPr="00C51AE9">
              <w:rPr>
                <w:rFonts w:ascii="Times New Roman" w:hAnsi="Times New Roman" w:cs="Times New Roman"/>
              </w:rPr>
              <w:t>.</w:t>
            </w:r>
          </w:p>
        </w:tc>
        <w:tc>
          <w:tcPr>
            <w:tcW w:w="1783" w:type="dxa"/>
            <w:tcBorders>
              <w:top w:val="single" w:sz="4" w:space="0" w:color="000000"/>
              <w:left w:val="single" w:sz="4" w:space="0" w:color="000000"/>
              <w:bottom w:val="single" w:sz="4" w:space="0" w:color="000000"/>
              <w:right w:val="single" w:sz="4" w:space="0" w:color="000000"/>
            </w:tcBorders>
            <w:vAlign w:val="center"/>
          </w:tcPr>
          <w:p w14:paraId="15F9097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Qeska, vaska, tabaka, kuti</w:t>
            </w:r>
          </w:p>
        </w:tc>
      </w:tr>
      <w:tr w:rsidR="00C51AE9" w:rsidRPr="00C51AE9" w14:paraId="60C5EB45" w14:textId="77777777">
        <w:trPr>
          <w:trHeight w:val="1695"/>
        </w:trPr>
        <w:tc>
          <w:tcPr>
            <w:tcW w:w="551" w:type="dxa"/>
            <w:tcBorders>
              <w:top w:val="single" w:sz="4" w:space="0" w:color="000000"/>
              <w:left w:val="single" w:sz="4" w:space="0" w:color="000000"/>
              <w:bottom w:val="single" w:sz="4" w:space="0" w:color="000000"/>
              <w:right w:val="single" w:sz="4" w:space="0" w:color="000000"/>
            </w:tcBorders>
            <w:vAlign w:val="center"/>
          </w:tcPr>
          <w:p w14:paraId="465360E3"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5.</w:t>
            </w:r>
          </w:p>
        </w:tc>
        <w:tc>
          <w:tcPr>
            <w:tcW w:w="2222" w:type="dxa"/>
            <w:tcBorders>
              <w:top w:val="single" w:sz="4" w:space="0" w:color="000000"/>
              <w:left w:val="single" w:sz="4" w:space="0" w:color="000000"/>
              <w:bottom w:val="single" w:sz="4" w:space="0" w:color="000000"/>
              <w:right w:val="single" w:sz="4" w:space="0" w:color="000000"/>
            </w:tcBorders>
            <w:vAlign w:val="center"/>
          </w:tcPr>
          <w:p w14:paraId="07B8CD25"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Ambalazh i sektorit të akomodimit për një përdorim, i synuar për një rezervim individual</w:t>
            </w:r>
          </w:p>
        </w:tc>
        <w:tc>
          <w:tcPr>
            <w:tcW w:w="4469" w:type="dxa"/>
            <w:tcBorders>
              <w:top w:val="single" w:sz="4" w:space="0" w:color="000000"/>
              <w:left w:val="single" w:sz="4" w:space="0" w:color="000000"/>
              <w:bottom w:val="single" w:sz="4" w:space="0" w:color="000000"/>
              <w:right w:val="single" w:sz="4" w:space="0" w:color="000000"/>
            </w:tcBorders>
            <w:vAlign w:val="center"/>
          </w:tcPr>
          <w:p w14:paraId="57A2AE6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Ambalazh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për kozmetikë, higjienë dhe produkte tualeti për përdorim në sektorin e akomodimit, siç përshkruhet në NVE </w:t>
            </w:r>
            <w:proofErr w:type="spellStart"/>
            <w:r w:rsidRPr="00C51AE9">
              <w:rPr>
                <w:rFonts w:ascii="Times New Roman" w:hAnsi="Times New Roman" w:cs="Times New Roman"/>
              </w:rPr>
              <w:t>Rev</w:t>
            </w:r>
            <w:proofErr w:type="spellEnd"/>
            <w:r w:rsidRPr="00C51AE9">
              <w:rPr>
                <w:rFonts w:ascii="Times New Roman" w:hAnsi="Times New Roman" w:cs="Times New Roman"/>
              </w:rPr>
              <w:t>. 2 – klasifikimi statistikor i veprimtarive ekonomike, i destinuar vetëm për një rezervim individual dhe i destinuar të hidhet përpara se të mbërrijë mysafiri i radhës.</w:t>
            </w:r>
          </w:p>
        </w:tc>
        <w:tc>
          <w:tcPr>
            <w:tcW w:w="1783" w:type="dxa"/>
            <w:tcBorders>
              <w:top w:val="single" w:sz="4" w:space="0" w:color="000000"/>
              <w:left w:val="single" w:sz="4" w:space="0" w:color="000000"/>
              <w:bottom w:val="single" w:sz="4" w:space="0" w:color="000000"/>
              <w:right w:val="single" w:sz="4" w:space="0" w:color="000000"/>
            </w:tcBorders>
            <w:vAlign w:val="center"/>
          </w:tcPr>
          <w:p w14:paraId="1709747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Shishe </w:t>
            </w:r>
            <w:proofErr w:type="spellStart"/>
            <w:r w:rsidRPr="00C51AE9">
              <w:rPr>
                <w:rFonts w:ascii="Times New Roman" w:hAnsi="Times New Roman" w:cs="Times New Roman"/>
              </w:rPr>
              <w:t>shampoje</w:t>
            </w:r>
            <w:proofErr w:type="spellEnd"/>
            <w:r w:rsidRPr="00C51AE9">
              <w:rPr>
                <w:rFonts w:ascii="Times New Roman" w:hAnsi="Times New Roman" w:cs="Times New Roman"/>
              </w:rPr>
              <w:t xml:space="preserve">, shishe </w:t>
            </w:r>
            <w:proofErr w:type="spellStart"/>
            <w:r w:rsidRPr="00C51AE9">
              <w:rPr>
                <w:rFonts w:ascii="Times New Roman" w:hAnsi="Times New Roman" w:cs="Times New Roman"/>
              </w:rPr>
              <w:t>locioni</w:t>
            </w:r>
            <w:proofErr w:type="spellEnd"/>
            <w:r w:rsidRPr="00C51AE9">
              <w:rPr>
                <w:rFonts w:ascii="Times New Roman" w:hAnsi="Times New Roman" w:cs="Times New Roman"/>
              </w:rPr>
              <w:t xml:space="preserve"> për duar dhe trup, qeska rreth sapunit në formë blloku</w:t>
            </w:r>
          </w:p>
        </w:tc>
      </w:tr>
      <w:tr w:rsidR="00C51AE9" w:rsidRPr="00C51AE9" w14:paraId="1CC3FF74" w14:textId="77777777">
        <w:trPr>
          <w:trHeight w:val="1164"/>
        </w:trPr>
        <w:tc>
          <w:tcPr>
            <w:tcW w:w="551" w:type="dxa"/>
            <w:tcBorders>
              <w:top w:val="single" w:sz="4" w:space="0" w:color="000000"/>
              <w:left w:val="single" w:sz="4" w:space="0" w:color="000000"/>
              <w:bottom w:val="single" w:sz="4" w:space="0" w:color="000000"/>
              <w:right w:val="single" w:sz="4" w:space="0" w:color="000000"/>
            </w:tcBorders>
            <w:vAlign w:val="center"/>
          </w:tcPr>
          <w:p w14:paraId="23DFA171"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6.</w:t>
            </w:r>
          </w:p>
        </w:tc>
        <w:tc>
          <w:tcPr>
            <w:tcW w:w="2222" w:type="dxa"/>
            <w:tcBorders>
              <w:top w:val="single" w:sz="4" w:space="0" w:color="000000"/>
              <w:left w:val="single" w:sz="4" w:space="0" w:color="000000"/>
              <w:bottom w:val="single" w:sz="4" w:space="0" w:color="000000"/>
              <w:right w:val="single" w:sz="4" w:space="0" w:color="000000"/>
            </w:tcBorders>
            <w:vAlign w:val="center"/>
          </w:tcPr>
          <w:p w14:paraId="55412AB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mbajtëse plastike shumë të lehta</w:t>
            </w:r>
          </w:p>
        </w:tc>
        <w:tc>
          <w:tcPr>
            <w:tcW w:w="4469" w:type="dxa"/>
            <w:tcBorders>
              <w:top w:val="single" w:sz="4" w:space="0" w:color="000000"/>
              <w:left w:val="single" w:sz="4" w:space="0" w:color="000000"/>
              <w:bottom w:val="single" w:sz="4" w:space="0" w:color="000000"/>
              <w:right w:val="single" w:sz="4" w:space="0" w:color="000000"/>
            </w:tcBorders>
            <w:vAlign w:val="center"/>
          </w:tcPr>
          <w:p w14:paraId="400F9C72"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Qese plastike shumë të lehta për mbajtje, me përjashtim të qeseve plastike shumë të lehta për mbajtje që kërkohen për arsye higjienike ose ofrohen si ambalazh shitjeje për ushqime </w:t>
            </w:r>
            <w:r w:rsidRPr="00C51AE9">
              <w:rPr>
                <w:rFonts w:ascii="Times New Roman" w:hAnsi="Times New Roman" w:cs="Times New Roman"/>
              </w:rPr>
              <w:lastRenderedPageBreak/>
              <w:t>të shthurura kur kjo ndihmon për të parandaluar shpërdorimin e ushqimit.</w:t>
            </w:r>
          </w:p>
        </w:tc>
        <w:tc>
          <w:tcPr>
            <w:tcW w:w="1783" w:type="dxa"/>
            <w:tcBorders>
              <w:top w:val="single" w:sz="4" w:space="0" w:color="000000"/>
              <w:left w:val="single" w:sz="4" w:space="0" w:color="000000"/>
              <w:bottom w:val="single" w:sz="4" w:space="0" w:color="000000"/>
              <w:right w:val="single" w:sz="4" w:space="0" w:color="000000"/>
            </w:tcBorders>
            <w:vAlign w:val="center"/>
          </w:tcPr>
          <w:p w14:paraId="31F19A94"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lastRenderedPageBreak/>
              <w:t>Qese shumë të holla të ofruara për ushqime me shumicë</w:t>
            </w:r>
          </w:p>
        </w:tc>
      </w:tr>
    </w:tbl>
    <w:p w14:paraId="262BB6E5" w14:textId="77777777" w:rsidR="00767CD0" w:rsidRPr="00C51AE9" w:rsidRDefault="00767CD0">
      <w:pPr>
        <w:jc w:val="both"/>
        <w:rPr>
          <w:rFonts w:ascii="Times New Roman" w:hAnsi="Times New Roman" w:cs="Times New Roman"/>
          <w:w w:val="90"/>
        </w:rPr>
      </w:pPr>
    </w:p>
    <w:p w14:paraId="76143A0B" w14:textId="77777777" w:rsidR="00767CD0" w:rsidRPr="00C51AE9" w:rsidRDefault="00C51AE9">
      <w:pPr>
        <w:jc w:val="both"/>
        <w:rPr>
          <w:rFonts w:ascii="Times New Roman" w:hAnsi="Times New Roman" w:cs="Times New Roman"/>
          <w:w w:val="90"/>
        </w:rPr>
      </w:pPr>
      <w:r w:rsidRPr="00C51AE9">
        <w:br w:type="page"/>
      </w:r>
    </w:p>
    <w:p w14:paraId="0103A373"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 xml:space="preserve"> VI</w:t>
      </w:r>
    </w:p>
    <w:p w14:paraId="03A2122D" w14:textId="77777777" w:rsidR="00767CD0" w:rsidRPr="00C51AE9" w:rsidRDefault="00C51AE9">
      <w:pPr>
        <w:rPr>
          <w:rFonts w:ascii="Times New Roman" w:hAnsi="Times New Roman" w:cs="Times New Roman"/>
          <w:b/>
          <w:bCs/>
          <w:w w:val="90"/>
        </w:rPr>
      </w:pPr>
      <w:r w:rsidRPr="00C51AE9">
        <w:rPr>
          <w:rFonts w:ascii="Times New Roman" w:hAnsi="Times New Roman" w:cs="Times New Roman"/>
        </w:rPr>
        <w:t>Kërkesa specifike për sistemet e ripërdorimit dhe stacionet e rimbushjes</w:t>
      </w:r>
    </w:p>
    <w:p w14:paraId="7B9FFFF1" w14:textId="77777777" w:rsidR="00767CD0" w:rsidRPr="00C51AE9" w:rsidRDefault="00C51AE9" w:rsidP="00F635BF">
      <w:pPr>
        <w:numPr>
          <w:ilvl w:val="0"/>
          <w:numId w:val="112"/>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 qëllimet e kësaj shtojce, zbatohen përkufizimet e mëposhtme:</w:t>
      </w:r>
    </w:p>
    <w:p w14:paraId="442AC3B5" w14:textId="77777777" w:rsidR="00767CD0" w:rsidRPr="00C51AE9" w:rsidRDefault="00C51AE9" w:rsidP="00F635BF">
      <w:pPr>
        <w:widowControl w:val="0"/>
        <w:numPr>
          <w:ilvl w:val="0"/>
          <w:numId w:val="71"/>
        </w:numPr>
        <w:tabs>
          <w:tab w:val="left" w:pos="450"/>
        </w:tabs>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‘udhëzime qeverisëse’ nënkupton strukturën qeverisëse të një sistemi ripërdorimi që  përcakton rolin e pjesëmarrësve të sistemit, pronësinë dhe çdo zhvendosje dhe transferim të parashikuar të pronësisë së ambalazhit, si dhe elemente të tjera përkatëse qeverisëse të sistemit të ripërdorimit siç përcaktohen në këtë shtojcë;</w:t>
      </w:r>
    </w:p>
    <w:p w14:paraId="37A2DAC9" w14:textId="77777777" w:rsidR="00767CD0" w:rsidRPr="00C51AE9" w:rsidRDefault="00C51AE9" w:rsidP="00F635BF">
      <w:pPr>
        <w:widowControl w:val="0"/>
        <w:numPr>
          <w:ilvl w:val="0"/>
          <w:numId w:val="71"/>
        </w:numPr>
        <w:tabs>
          <w:tab w:val="left" w:pos="450"/>
        </w:tabs>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‘sistem me qark të mbyllur’ është një sistem ripërdorimi në të cilin ambalazhimi i </w:t>
      </w:r>
      <w:proofErr w:type="spellStart"/>
      <w:r w:rsidRPr="00C51AE9">
        <w:rPr>
          <w:rFonts w:ascii="Times New Roman" w:eastAsia="Cambria" w:hAnsi="Times New Roman" w:cs="Times New Roman"/>
          <w:spacing w:val="-5"/>
          <w:kern w:val="0"/>
          <w14:ligatures w14:val="none"/>
        </w:rPr>
        <w:t>ripërdorshëm</w:t>
      </w:r>
      <w:proofErr w:type="spellEnd"/>
      <w:r w:rsidRPr="00C51AE9">
        <w:rPr>
          <w:rFonts w:ascii="Times New Roman" w:eastAsia="Cambria" w:hAnsi="Times New Roman" w:cs="Times New Roman"/>
          <w:spacing w:val="-5"/>
          <w:kern w:val="0"/>
          <w14:ligatures w14:val="none"/>
        </w:rPr>
        <w:t xml:space="preserve"> qarkullon nga një operator sistemi ose një grup bashkëpunues pjesëmarrësish të sistemit pa ndryshimin e pronësisë së ambalazhimit;</w:t>
      </w:r>
    </w:p>
    <w:p w14:paraId="7DB0174D" w14:textId="77777777" w:rsidR="00767CD0" w:rsidRPr="00C51AE9" w:rsidRDefault="00C51AE9" w:rsidP="00F635BF">
      <w:pPr>
        <w:widowControl w:val="0"/>
        <w:numPr>
          <w:ilvl w:val="0"/>
          <w:numId w:val="71"/>
        </w:numPr>
        <w:tabs>
          <w:tab w:val="left" w:pos="450"/>
        </w:tabs>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‘sistem me qark të hapur’ nënkupton një sistem ripërdorimi në të cilin ambalazhimi i </w:t>
      </w:r>
      <w:proofErr w:type="spellStart"/>
      <w:r w:rsidRPr="00C51AE9">
        <w:rPr>
          <w:rFonts w:ascii="Times New Roman" w:eastAsia="Cambria" w:hAnsi="Times New Roman" w:cs="Times New Roman"/>
          <w:spacing w:val="-5"/>
          <w:kern w:val="0"/>
          <w14:ligatures w14:val="none"/>
        </w:rPr>
        <w:t>ripërdorshëm</w:t>
      </w:r>
      <w:proofErr w:type="spellEnd"/>
      <w:r w:rsidRPr="00C51AE9">
        <w:rPr>
          <w:rFonts w:ascii="Times New Roman" w:eastAsia="Cambria" w:hAnsi="Times New Roman" w:cs="Times New Roman"/>
          <w:spacing w:val="-5"/>
          <w:kern w:val="0"/>
          <w14:ligatures w14:val="none"/>
        </w:rPr>
        <w:t xml:space="preserve"> qarkullon midis një numri të papërcaktuar pjesëmarrësish të sistemit, dhe pronësia e ambalazhimit ndryshon në një ose më shumë pika në procesin e ripërdorimit;</w:t>
      </w:r>
    </w:p>
    <w:p w14:paraId="677ACD58" w14:textId="77777777" w:rsidR="00767CD0" w:rsidRPr="00C51AE9" w:rsidRDefault="00C51AE9">
      <w:pPr>
        <w:widowControl w:val="0"/>
        <w:tabs>
          <w:tab w:val="left" w:pos="450"/>
        </w:tabs>
        <w:spacing w:after="0"/>
        <w:ind w:left="1170" w:hanging="450"/>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ç.  ‘operator sistemi’ nënkupton çdo person fizik ose juridik që është pjesëmarrës në sistem dhe menaxhon një sistem ripërdorimi;</w:t>
      </w:r>
    </w:p>
    <w:p w14:paraId="6D24AA38" w14:textId="77777777" w:rsidR="00767CD0" w:rsidRPr="00C51AE9" w:rsidRDefault="00C51AE9" w:rsidP="00F635BF">
      <w:pPr>
        <w:widowControl w:val="0"/>
        <w:numPr>
          <w:ilvl w:val="0"/>
          <w:numId w:val="71"/>
        </w:numPr>
        <w:tabs>
          <w:tab w:val="left" w:pos="450"/>
        </w:tabs>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‘pjesëmarrës i sistemit’ është çdo person fizik ose juridik që merr pjesë në një sistem ripërdorimi dhe kryen të paktën një nga veprimet e mëposhtme: mbledh ambalazhimin ose nga përdoruesit fundorë ose nga pjesëmarrës të tjerë të sistemit, e </w:t>
      </w:r>
      <w:proofErr w:type="spellStart"/>
      <w:r w:rsidRPr="00C51AE9">
        <w:rPr>
          <w:rFonts w:ascii="Times New Roman" w:eastAsia="Cambria" w:hAnsi="Times New Roman" w:cs="Times New Roman"/>
          <w:spacing w:val="-5"/>
          <w:kern w:val="0"/>
          <w14:ligatures w14:val="none"/>
        </w:rPr>
        <w:t>rikondicionon</w:t>
      </w:r>
      <w:proofErr w:type="spellEnd"/>
      <w:r w:rsidRPr="00C51AE9">
        <w:rPr>
          <w:rFonts w:ascii="Times New Roman" w:eastAsia="Cambria" w:hAnsi="Times New Roman" w:cs="Times New Roman"/>
          <w:spacing w:val="-5"/>
          <w:kern w:val="0"/>
          <w14:ligatures w14:val="none"/>
        </w:rPr>
        <w:t xml:space="preserve"> atë, e shpërndan atë ndërmjet pjesëmarrësve të sistemit, e transporton atë, e mbush atë me produkte, e ambalazhon atë ose ua ofron atë përdoruesve fundorë; një sistem ripërdorimi mund të përfshijë një ose më shumë pjesëmarrës të sistemit.</w:t>
      </w:r>
    </w:p>
    <w:p w14:paraId="32A30CD9" w14:textId="77777777" w:rsidR="00767CD0" w:rsidRPr="00C51AE9" w:rsidRDefault="00767CD0">
      <w:pPr>
        <w:jc w:val="both"/>
        <w:rPr>
          <w:rFonts w:ascii="Times New Roman" w:hAnsi="Times New Roman" w:cs="Times New Roman"/>
          <w:w w:val="90"/>
        </w:rPr>
      </w:pPr>
    </w:p>
    <w:p w14:paraId="3430A6E4" w14:textId="77777777" w:rsidR="00767CD0" w:rsidRPr="00C51AE9" w:rsidRDefault="00C51AE9">
      <w:pPr>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Pjesa A Kërkesat për sistemet e ripërdorimit</w:t>
      </w:r>
    </w:p>
    <w:p w14:paraId="497F4C4C" w14:textId="77777777" w:rsidR="00767CD0" w:rsidRPr="00C51AE9" w:rsidRDefault="00C51AE9">
      <w:pPr>
        <w:widowControl w:val="0"/>
        <w:numPr>
          <w:ilvl w:val="1"/>
          <w:numId w:val="6"/>
        </w:numPr>
        <w:spacing w:after="0"/>
        <w:ind w:left="720" w:hanging="36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Kërkesat e përgjithshme për sistemet e ripërdorimit ku të gjitha sistemet e ripërdorimit duhet të:</w:t>
      </w:r>
    </w:p>
    <w:p w14:paraId="339EE6C9" w14:textId="77777777" w:rsidR="00767CD0" w:rsidRPr="00C51AE9" w:rsidRDefault="00C51AE9" w:rsidP="00F635BF">
      <w:pPr>
        <w:widowControl w:val="0"/>
        <w:numPr>
          <w:ilvl w:val="0"/>
          <w:numId w:val="13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të ketë një strukturë qeverisjeje të përcaktuar qartë siç përshkruhet në udhëzimet për qeverisjen;</w:t>
      </w:r>
    </w:p>
    <w:p w14:paraId="72088B6D" w14:textId="77777777" w:rsidR="00767CD0" w:rsidRPr="00C51AE9" w:rsidRDefault="00C51AE9" w:rsidP="00F635BF">
      <w:pPr>
        <w:widowControl w:val="0"/>
        <w:numPr>
          <w:ilvl w:val="0"/>
          <w:numId w:val="13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kanë një strukturë qeverisjeje që:</w:t>
      </w:r>
    </w:p>
    <w:p w14:paraId="4CD9CFB4" w14:textId="77777777" w:rsidR="00767CD0" w:rsidRPr="00C51AE9" w:rsidRDefault="00C51AE9" w:rsidP="00F635BF">
      <w:pPr>
        <w:widowControl w:val="0"/>
        <w:numPr>
          <w:ilvl w:val="0"/>
          <w:numId w:val="132"/>
        </w:numPr>
        <w:spacing w:after="0"/>
        <w:ind w:left="162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siguron që objektivat e sistemit në udhëzimet e qeverisjes dhe, sipas rastit, objektivat e ripërdorimit dhe çdo objektiv tjetër i sistemit të mund të përmbushen;</w:t>
      </w:r>
    </w:p>
    <w:p w14:paraId="5B021703" w14:textId="77777777" w:rsidR="00767CD0" w:rsidRPr="00C51AE9" w:rsidRDefault="00C51AE9" w:rsidP="00F635BF">
      <w:pPr>
        <w:widowControl w:val="0"/>
        <w:numPr>
          <w:ilvl w:val="0"/>
          <w:numId w:val="132"/>
        </w:numPr>
        <w:spacing w:after="0"/>
        <w:ind w:left="162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lejon </w:t>
      </w:r>
      <w:proofErr w:type="spellStart"/>
      <w:r w:rsidRPr="00C51AE9">
        <w:rPr>
          <w:rFonts w:ascii="Times New Roman" w:eastAsia="Cambria" w:hAnsi="Times New Roman" w:cs="Times New Roman"/>
          <w:spacing w:val="-5"/>
          <w:kern w:val="0"/>
          <w14:ligatures w14:val="none"/>
        </w:rPr>
        <w:t>akses</w:t>
      </w:r>
      <w:proofErr w:type="spellEnd"/>
      <w:r w:rsidRPr="00C51AE9">
        <w:rPr>
          <w:rFonts w:ascii="Times New Roman" w:eastAsia="Cambria" w:hAnsi="Times New Roman" w:cs="Times New Roman"/>
          <w:spacing w:val="-5"/>
          <w:kern w:val="0"/>
          <w14:ligatures w14:val="none"/>
        </w:rPr>
        <w:t xml:space="preserve"> të barabartë dhe kushte të drejta për të gjithë operatorët ekonomikë që dëshirojnë të bëhen pjesë e sistemit;</w:t>
      </w:r>
    </w:p>
    <w:p w14:paraId="7A39BA22" w14:textId="77777777" w:rsidR="00767CD0" w:rsidRPr="00C51AE9" w:rsidRDefault="00C51AE9" w:rsidP="00F635BF">
      <w:pPr>
        <w:widowControl w:val="0"/>
        <w:numPr>
          <w:ilvl w:val="0"/>
          <w:numId w:val="132"/>
        </w:numPr>
        <w:spacing w:after="0"/>
        <w:ind w:left="162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lejon </w:t>
      </w:r>
      <w:proofErr w:type="spellStart"/>
      <w:r w:rsidRPr="00C51AE9">
        <w:rPr>
          <w:rFonts w:ascii="Times New Roman" w:eastAsia="Cambria" w:hAnsi="Times New Roman" w:cs="Times New Roman"/>
          <w:spacing w:val="-5"/>
          <w:kern w:val="0"/>
          <w14:ligatures w14:val="none"/>
        </w:rPr>
        <w:t>akses</w:t>
      </w:r>
      <w:proofErr w:type="spellEnd"/>
      <w:r w:rsidRPr="00C51AE9">
        <w:rPr>
          <w:rFonts w:ascii="Times New Roman" w:eastAsia="Cambria" w:hAnsi="Times New Roman" w:cs="Times New Roman"/>
          <w:spacing w:val="-5"/>
          <w:kern w:val="0"/>
          <w14:ligatures w14:val="none"/>
        </w:rPr>
        <w:t xml:space="preserve"> të barabartë dhe kushte të drejta për të gjithë përdoruesit fundorë;</w:t>
      </w:r>
    </w:p>
    <w:p w14:paraId="13A6A7B6" w14:textId="77777777" w:rsidR="00767CD0" w:rsidRPr="00C51AE9" w:rsidRDefault="00C51AE9" w:rsidP="00F635BF">
      <w:pPr>
        <w:widowControl w:val="0"/>
        <w:numPr>
          <w:ilvl w:val="0"/>
          <w:numId w:val="13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të projektohen për të siguruar që ambalazhi i </w:t>
      </w:r>
      <w:proofErr w:type="spellStart"/>
      <w:r w:rsidRPr="00C51AE9">
        <w:rPr>
          <w:rFonts w:ascii="Times New Roman" w:eastAsia="Cambria" w:hAnsi="Times New Roman" w:cs="Times New Roman"/>
          <w:spacing w:val="-5"/>
          <w:kern w:val="0"/>
          <w14:ligatures w14:val="none"/>
        </w:rPr>
        <w:t>ripërdorshëm</w:t>
      </w:r>
      <w:proofErr w:type="spellEnd"/>
      <w:r w:rsidRPr="00C51AE9">
        <w:rPr>
          <w:rFonts w:ascii="Times New Roman" w:eastAsia="Cambria" w:hAnsi="Times New Roman" w:cs="Times New Roman"/>
          <w:spacing w:val="-5"/>
          <w:kern w:val="0"/>
          <w14:ligatures w14:val="none"/>
        </w:rPr>
        <w:t xml:space="preserve"> që qarkullon brenda tyre të përfundojë të paktën numrin minimal të synuar të qarkullimeve siç përcaktohet në aktin e deleguar të miratuar në përputhje me pikën 2 të nenit 17;</w:t>
      </w:r>
    </w:p>
    <w:p w14:paraId="7B7CA03E" w14:textId="77777777" w:rsidR="00767CD0" w:rsidRPr="00C51AE9" w:rsidRDefault="00C51AE9" w:rsidP="00F635BF">
      <w:pPr>
        <w:widowControl w:val="0"/>
        <w:numPr>
          <w:ilvl w:val="0"/>
          <w:numId w:val="13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kanë rregulla që përcaktojnë funksionimin e tyre, duke përfshirë kërkesat për përdorimin e ambalazhimit, që pranohen nga të gjithë pjesëmarrësit e sistemit dhe të cilat:</w:t>
      </w:r>
    </w:p>
    <w:p w14:paraId="771C7463"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përcaktojnë llojet dhe projektimin e ambalazhimit që lejohen të qarkullojnë në sistem;</w:t>
      </w:r>
    </w:p>
    <w:p w14:paraId="19AA0290"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përshkruani produktet që synohen të përdoren, të mbushen ose të transportohen përmes sistemit;</w:t>
      </w:r>
    </w:p>
    <w:p w14:paraId="2A3106E3"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lastRenderedPageBreak/>
        <w:t>përcaktojnë kushtet dhe termat për trajtimin e duhur dhe përdorimin e ambalazhimit;</w:t>
      </w:r>
    </w:p>
    <w:p w14:paraId="35E1EB43"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specifikoni kërkesa të hollësishme për </w:t>
      </w:r>
      <w:proofErr w:type="spellStart"/>
      <w:r w:rsidRPr="00C51AE9">
        <w:rPr>
          <w:rFonts w:ascii="Times New Roman" w:eastAsia="Cambria" w:hAnsi="Times New Roman" w:cs="Times New Roman"/>
          <w:spacing w:val="-5"/>
          <w:kern w:val="0"/>
          <w14:ligatures w14:val="none"/>
        </w:rPr>
        <w:t>rikondicionimin</w:t>
      </w:r>
      <w:proofErr w:type="spellEnd"/>
      <w:r w:rsidRPr="00C51AE9">
        <w:rPr>
          <w:rFonts w:ascii="Times New Roman" w:eastAsia="Cambria" w:hAnsi="Times New Roman" w:cs="Times New Roman"/>
          <w:spacing w:val="-5"/>
          <w:kern w:val="0"/>
          <w14:ligatures w14:val="none"/>
        </w:rPr>
        <w:t xml:space="preserve"> e ambalazhimit;</w:t>
      </w:r>
    </w:p>
    <w:p w14:paraId="370B370B"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përcaktojnë kërkesat për grumbullimin e ambalazheve;</w:t>
      </w:r>
    </w:p>
    <w:p w14:paraId="444B6255"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përcaktojnë kërkesat për ruajtjen e ambalazhimit;</w:t>
      </w:r>
    </w:p>
    <w:p w14:paraId="1B083FB5"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përcaktojnë kërkesat për mbushjen e ambalazhimit ose ngarkim;</w:t>
      </w:r>
    </w:p>
    <w:p w14:paraId="2680BAA7"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përcaktojnë rregulla për të siguruar grumbullimin efektiv dhe </w:t>
      </w:r>
      <w:proofErr w:type="spellStart"/>
      <w:r w:rsidRPr="00C51AE9">
        <w:rPr>
          <w:rFonts w:ascii="Times New Roman" w:eastAsia="Cambria" w:hAnsi="Times New Roman" w:cs="Times New Roman"/>
          <w:spacing w:val="-5"/>
          <w:kern w:val="0"/>
          <w14:ligatures w14:val="none"/>
        </w:rPr>
        <w:t>efiçent</w:t>
      </w:r>
      <w:proofErr w:type="spellEnd"/>
      <w:r w:rsidRPr="00C51AE9">
        <w:rPr>
          <w:rFonts w:ascii="Times New Roman" w:eastAsia="Cambria" w:hAnsi="Times New Roman" w:cs="Times New Roman"/>
          <w:spacing w:val="-5"/>
          <w:kern w:val="0"/>
          <w14:ligatures w14:val="none"/>
        </w:rPr>
        <w:t xml:space="preserve"> të ambalazheve të </w:t>
      </w:r>
      <w:proofErr w:type="spellStart"/>
      <w:r w:rsidRPr="00C51AE9">
        <w:rPr>
          <w:rFonts w:ascii="Times New Roman" w:eastAsia="Cambria" w:hAnsi="Times New Roman" w:cs="Times New Roman"/>
          <w:spacing w:val="-5"/>
          <w:kern w:val="0"/>
          <w14:ligatures w14:val="none"/>
        </w:rPr>
        <w:t>ripërdorshme</w:t>
      </w:r>
      <w:proofErr w:type="spellEnd"/>
      <w:r w:rsidRPr="00C51AE9">
        <w:rPr>
          <w:rFonts w:ascii="Times New Roman" w:eastAsia="Cambria" w:hAnsi="Times New Roman" w:cs="Times New Roman"/>
          <w:spacing w:val="-5"/>
          <w:kern w:val="0"/>
          <w14:ligatures w14:val="none"/>
        </w:rPr>
        <w:t>, duke përfshirë edhe parashikimin e stimujve për përdoruesit fundorë që t’i kthejnë ambalazhet në pikat e grumbullimit ose në sistemin e grumbullimit të grupuar;</w:t>
      </w:r>
    </w:p>
    <w:p w14:paraId="33855F7A" w14:textId="77777777" w:rsidR="00767CD0" w:rsidRPr="00C51AE9" w:rsidRDefault="00C51AE9" w:rsidP="00F635BF">
      <w:pPr>
        <w:widowControl w:val="0"/>
        <w:numPr>
          <w:ilvl w:val="0"/>
          <w:numId w:val="133"/>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të përcaktojnë rregulla për të siguruar </w:t>
      </w:r>
      <w:proofErr w:type="spellStart"/>
      <w:r w:rsidRPr="00C51AE9">
        <w:rPr>
          <w:rFonts w:ascii="Times New Roman" w:eastAsia="Cambria" w:hAnsi="Times New Roman" w:cs="Times New Roman"/>
          <w:spacing w:val="-5"/>
          <w:kern w:val="0"/>
          <w14:ligatures w14:val="none"/>
        </w:rPr>
        <w:t>akses</w:t>
      </w:r>
      <w:proofErr w:type="spellEnd"/>
      <w:r w:rsidRPr="00C51AE9">
        <w:rPr>
          <w:rFonts w:ascii="Times New Roman" w:eastAsia="Cambria" w:hAnsi="Times New Roman" w:cs="Times New Roman"/>
          <w:spacing w:val="-5"/>
          <w:kern w:val="0"/>
          <w14:ligatures w14:val="none"/>
        </w:rPr>
        <w:t xml:space="preserve"> të barabartë dhe të drejtë në sistemin e ripërdorimit, duke përfshirë edhe për konsumatorët </w:t>
      </w:r>
      <w:proofErr w:type="spellStart"/>
      <w:r w:rsidRPr="00C51AE9">
        <w:rPr>
          <w:rFonts w:ascii="Times New Roman" w:eastAsia="Cambria" w:hAnsi="Times New Roman" w:cs="Times New Roman"/>
          <w:spacing w:val="-5"/>
          <w:kern w:val="0"/>
          <w14:ligatures w14:val="none"/>
        </w:rPr>
        <w:t>vulnerabël</w:t>
      </w:r>
      <w:proofErr w:type="spellEnd"/>
      <w:r w:rsidRPr="00C51AE9">
        <w:rPr>
          <w:rFonts w:ascii="Times New Roman" w:eastAsia="Cambria" w:hAnsi="Times New Roman" w:cs="Times New Roman"/>
          <w:spacing w:val="-5"/>
          <w:kern w:val="0"/>
          <w14:ligatures w14:val="none"/>
        </w:rPr>
        <w:t>;</w:t>
      </w:r>
    </w:p>
    <w:p w14:paraId="1EAC97C0" w14:textId="77777777" w:rsidR="00767CD0" w:rsidRPr="00C51AE9" w:rsidRDefault="00C51AE9" w:rsidP="00F635BF">
      <w:pPr>
        <w:widowControl w:val="0"/>
        <w:numPr>
          <w:ilvl w:val="0"/>
          <w:numId w:val="7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kanë një operator sistemi që kontrollon funksionimin e duhur të sistemit dhe verifikon nëse ripërdorimi është aktivizuar siç duhet;</w:t>
      </w:r>
    </w:p>
    <w:p w14:paraId="5E465EB7" w14:textId="77777777" w:rsidR="00767CD0" w:rsidRPr="00C51AE9" w:rsidRDefault="00C51AE9" w:rsidP="00F635BF">
      <w:pPr>
        <w:widowControl w:val="0"/>
        <w:numPr>
          <w:ilvl w:val="0"/>
          <w:numId w:val="7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të ketë rregulla raportimi që lejojnë </w:t>
      </w:r>
      <w:proofErr w:type="spellStart"/>
      <w:r w:rsidRPr="00C51AE9">
        <w:rPr>
          <w:rFonts w:ascii="Times New Roman" w:eastAsia="Cambria" w:hAnsi="Times New Roman" w:cs="Times New Roman"/>
          <w:spacing w:val="-5"/>
          <w:kern w:val="0"/>
          <w14:ligatures w14:val="none"/>
        </w:rPr>
        <w:t>aksesin</w:t>
      </w:r>
      <w:proofErr w:type="spellEnd"/>
      <w:r w:rsidRPr="00C51AE9">
        <w:rPr>
          <w:rFonts w:ascii="Times New Roman" w:eastAsia="Cambria" w:hAnsi="Times New Roman" w:cs="Times New Roman"/>
          <w:spacing w:val="-5"/>
          <w:kern w:val="0"/>
          <w14:ligatures w14:val="none"/>
        </w:rPr>
        <w:t xml:space="preserve"> në të dhëna mbi numrin e mbushjeve ose ripërdorimeve (d.m.th. rotacionet për kategori) dhe refuzimeve, normën e grumbullimit (d.m.th. normat e kthimit), njësitë e shitjes ose njësitë ekuivalente, përfshirë materialin dhe për kategori, ose një vlerësim mesatar nëse llogaritja nuk është e realizueshme, numrin e njësive të ambalazhimit të </w:t>
      </w:r>
      <w:proofErr w:type="spellStart"/>
      <w:r w:rsidRPr="00C51AE9">
        <w:rPr>
          <w:rFonts w:ascii="Times New Roman" w:eastAsia="Cambria" w:hAnsi="Times New Roman" w:cs="Times New Roman"/>
          <w:spacing w:val="-5"/>
          <w:kern w:val="0"/>
          <w14:ligatures w14:val="none"/>
        </w:rPr>
        <w:t>ripërdorshëm</w:t>
      </w:r>
      <w:proofErr w:type="spellEnd"/>
      <w:r w:rsidRPr="00C51AE9">
        <w:rPr>
          <w:rFonts w:ascii="Times New Roman" w:eastAsia="Cambria" w:hAnsi="Times New Roman" w:cs="Times New Roman"/>
          <w:spacing w:val="-5"/>
          <w:kern w:val="0"/>
          <w14:ligatures w14:val="none"/>
        </w:rPr>
        <w:t xml:space="preserve"> ose të </w:t>
      </w:r>
      <w:proofErr w:type="spellStart"/>
      <w:r w:rsidRPr="00C51AE9">
        <w:rPr>
          <w:rFonts w:ascii="Times New Roman" w:eastAsia="Cambria" w:hAnsi="Times New Roman" w:cs="Times New Roman"/>
          <w:spacing w:val="-5"/>
          <w:kern w:val="0"/>
          <w14:ligatures w14:val="none"/>
        </w:rPr>
        <w:t>rimbushshëm</w:t>
      </w:r>
      <w:proofErr w:type="spellEnd"/>
      <w:r w:rsidRPr="00C51AE9">
        <w:rPr>
          <w:rFonts w:ascii="Times New Roman" w:eastAsia="Cambria" w:hAnsi="Times New Roman" w:cs="Times New Roman"/>
          <w:spacing w:val="-5"/>
          <w:kern w:val="0"/>
          <w14:ligatures w14:val="none"/>
        </w:rPr>
        <w:t xml:space="preserve"> të shtuara në sistem, dhe numrin e njësive të ambalazhimit që janë trajtuar nga plani i fund</w:t>
      </w:r>
      <w:r w:rsidRPr="00C51AE9">
        <w:rPr>
          <w:rFonts w:ascii="Times New Roman" w:eastAsia="Cambria" w:hAnsi="Times New Roman" w:cs="Times New Roman"/>
          <w:spacing w:val="-5"/>
          <w:kern w:val="0"/>
          <w14:ligatures w14:val="none"/>
        </w:rPr>
        <w:noBreakHyphen/>
        <w:t>jetës;</w:t>
      </w:r>
    </w:p>
    <w:p w14:paraId="4CAC74A3" w14:textId="77777777" w:rsidR="00767CD0" w:rsidRPr="00C51AE9" w:rsidRDefault="00C51AE9" w:rsidP="00F635BF">
      <w:pPr>
        <w:widowControl w:val="0"/>
        <w:numPr>
          <w:ilvl w:val="0"/>
          <w:numId w:val="7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sigurohuni që projekti i ambalazhimit të përcaktohet në përputhje me specifikimet ose standardet e </w:t>
      </w:r>
      <w:proofErr w:type="spellStart"/>
      <w:r w:rsidRPr="00C51AE9">
        <w:rPr>
          <w:rFonts w:ascii="Times New Roman" w:eastAsia="Cambria" w:hAnsi="Times New Roman" w:cs="Times New Roman"/>
          <w:spacing w:val="-5"/>
          <w:kern w:val="0"/>
          <w14:ligatures w14:val="none"/>
        </w:rPr>
        <w:t>dakordësuara</w:t>
      </w:r>
      <w:proofErr w:type="spellEnd"/>
      <w:r w:rsidRPr="00C51AE9">
        <w:rPr>
          <w:rFonts w:ascii="Times New Roman" w:eastAsia="Cambria" w:hAnsi="Times New Roman" w:cs="Times New Roman"/>
          <w:spacing w:val="-5"/>
          <w:kern w:val="0"/>
          <w14:ligatures w14:val="none"/>
        </w:rPr>
        <w:t xml:space="preserve"> reciprokisht;</w:t>
      </w:r>
    </w:p>
    <w:p w14:paraId="0F03691C" w14:textId="77777777" w:rsidR="00767CD0" w:rsidRPr="00C51AE9" w:rsidRDefault="00C51AE9" w:rsidP="00F635BF">
      <w:pPr>
        <w:widowControl w:val="0"/>
        <w:numPr>
          <w:ilvl w:val="0"/>
          <w:numId w:val="7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sigurojnë një shpërndarje të drejtë të kostove dhe përfitimeve për të gjithë pjesëmarrësit e sistemit;</w:t>
      </w:r>
    </w:p>
    <w:p w14:paraId="10E40D20" w14:textId="77777777" w:rsidR="00767CD0" w:rsidRPr="00C51AE9" w:rsidRDefault="00C51AE9" w:rsidP="00F635BF">
      <w:pPr>
        <w:widowControl w:val="0"/>
        <w:numPr>
          <w:ilvl w:val="0"/>
          <w:numId w:val="71"/>
        </w:numPr>
        <w:spacing w:after="0"/>
        <w:ind w:left="108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sigurojnë zbatimin e detyrimeve të përgjegjësisë së zgjeruar të prodhuesit për ambalazhet e </w:t>
      </w:r>
      <w:proofErr w:type="spellStart"/>
      <w:r w:rsidRPr="00C51AE9">
        <w:rPr>
          <w:rFonts w:ascii="Times New Roman" w:eastAsia="Cambria" w:hAnsi="Times New Roman" w:cs="Times New Roman"/>
          <w:spacing w:val="-5"/>
          <w:kern w:val="0"/>
          <w14:ligatures w14:val="none"/>
        </w:rPr>
        <w:t>ripërdorshme</w:t>
      </w:r>
      <w:proofErr w:type="spellEnd"/>
      <w:r w:rsidRPr="00C51AE9">
        <w:rPr>
          <w:rFonts w:ascii="Times New Roman" w:eastAsia="Cambria" w:hAnsi="Times New Roman" w:cs="Times New Roman"/>
          <w:spacing w:val="-5"/>
          <w:kern w:val="0"/>
          <w14:ligatures w14:val="none"/>
        </w:rPr>
        <w:t xml:space="preserve"> të përdorura në sistem dhe që janë bërë mbetje.</w:t>
      </w:r>
    </w:p>
    <w:p w14:paraId="17D82FB6" w14:textId="77777777" w:rsidR="00767CD0" w:rsidRPr="00C51AE9" w:rsidRDefault="00767CD0">
      <w:pPr>
        <w:widowControl w:val="0"/>
        <w:spacing w:after="0"/>
        <w:jc w:val="both"/>
        <w:rPr>
          <w:rFonts w:ascii="Times New Roman" w:eastAsia="Cambria" w:hAnsi="Times New Roman" w:cs="Times New Roman"/>
          <w:spacing w:val="-5"/>
          <w:kern w:val="0"/>
          <w14:ligatures w14:val="none"/>
        </w:rPr>
      </w:pPr>
    </w:p>
    <w:p w14:paraId="5BAB1D9A" w14:textId="77777777" w:rsidR="00767CD0" w:rsidRPr="00C51AE9" w:rsidRDefault="00C51AE9">
      <w:pPr>
        <w:widowControl w:val="0"/>
        <w:spacing w:after="0"/>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Sistemet me qark të hapur, të cilat nuk kanë një operator sistemi, përjashtohen nga pikat (b)(i), (e), (f) dhe (h)</w:t>
      </w:r>
    </w:p>
    <w:p w14:paraId="4E9B7788" w14:textId="77777777" w:rsidR="00767CD0" w:rsidRPr="00C51AE9" w:rsidRDefault="00C51AE9">
      <w:pPr>
        <w:widowControl w:val="0"/>
        <w:spacing w:after="0"/>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Sistemet me qark të hapur të krijuara përpara hyrjes në fuqi të këtij Vendimi përjashtohen nga kërkesat sipas pikave (a), (b)(i) dhe (</w:t>
      </w:r>
      <w:proofErr w:type="spellStart"/>
      <w:r w:rsidRPr="00C51AE9">
        <w:rPr>
          <w:rFonts w:ascii="Times New Roman" w:eastAsia="Cambria" w:hAnsi="Times New Roman" w:cs="Times New Roman"/>
          <w:spacing w:val="-5"/>
          <w:kern w:val="0"/>
          <w14:ligatures w14:val="none"/>
        </w:rPr>
        <w:t>ii</w:t>
      </w:r>
      <w:proofErr w:type="spellEnd"/>
      <w:r w:rsidRPr="00C51AE9">
        <w:rPr>
          <w:rFonts w:ascii="Times New Roman" w:eastAsia="Cambria" w:hAnsi="Times New Roman" w:cs="Times New Roman"/>
          <w:spacing w:val="-5"/>
          <w:kern w:val="0"/>
          <w14:ligatures w14:val="none"/>
        </w:rPr>
        <w:t>), (e), (f) dhe (h).</w:t>
      </w:r>
    </w:p>
    <w:p w14:paraId="3D458D66" w14:textId="77777777" w:rsidR="00767CD0" w:rsidRPr="00C51AE9" w:rsidRDefault="00767CD0">
      <w:pPr>
        <w:widowControl w:val="0"/>
        <w:spacing w:after="0"/>
        <w:jc w:val="both"/>
        <w:rPr>
          <w:rFonts w:ascii="Times New Roman" w:eastAsia="Cambria" w:hAnsi="Times New Roman" w:cs="Times New Roman"/>
          <w:spacing w:val="-5"/>
          <w:kern w:val="0"/>
          <w14:ligatures w14:val="none"/>
        </w:rPr>
      </w:pPr>
    </w:p>
    <w:p w14:paraId="304E5899" w14:textId="77777777" w:rsidR="00767CD0" w:rsidRPr="00C51AE9" w:rsidRDefault="00C51AE9">
      <w:pPr>
        <w:widowControl w:val="0"/>
        <w:numPr>
          <w:ilvl w:val="0"/>
          <w:numId w:val="10"/>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Kërkesat për sistemet me qark të mbyllur, përveç kërkesave të përgjithshme për sistemet e ripërdorimit të renditura në pikën 1, duhet të plotësojnë kërkesat e mëposhtme:</w:t>
      </w:r>
    </w:p>
    <w:p w14:paraId="48A9B78E" w14:textId="77777777" w:rsidR="00767CD0" w:rsidRPr="00C51AE9" w:rsidRDefault="00C51AE9" w:rsidP="00F635BF">
      <w:pPr>
        <w:numPr>
          <w:ilvl w:val="0"/>
          <w:numId w:val="50"/>
        </w:numPr>
        <w:spacing w:after="0"/>
        <w:contextualSpacing/>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Të kenë  logjistikë të kundërt që lehtëson zhvendosjen  e ambalazhimit nga përdoruesit fundorë te pjesëmarrësit e sistemit;</w:t>
      </w:r>
    </w:p>
    <w:p w14:paraId="31F3917D" w14:textId="77777777" w:rsidR="00767CD0" w:rsidRPr="00C51AE9" w:rsidRDefault="00C51AE9" w:rsidP="00F635BF">
      <w:pPr>
        <w:numPr>
          <w:ilvl w:val="0"/>
          <w:numId w:val="50"/>
        </w:numPr>
        <w:contextualSpacing/>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sistemi siguron grumbullimin, </w:t>
      </w:r>
      <w:proofErr w:type="spellStart"/>
      <w:r w:rsidRPr="00C51AE9">
        <w:rPr>
          <w:rFonts w:ascii="Times New Roman" w:eastAsia="Cambria" w:hAnsi="Times New Roman" w:cs="Times New Roman"/>
          <w:spacing w:val="-5"/>
          <w:kern w:val="0"/>
          <w14:ligatures w14:val="none"/>
        </w:rPr>
        <w:t>rikondicionimin</w:t>
      </w:r>
      <w:proofErr w:type="spellEnd"/>
      <w:r w:rsidRPr="00C51AE9">
        <w:rPr>
          <w:rFonts w:ascii="Times New Roman" w:eastAsia="Cambria" w:hAnsi="Times New Roman" w:cs="Times New Roman"/>
          <w:spacing w:val="-5"/>
          <w:kern w:val="0"/>
          <w14:ligatures w14:val="none"/>
        </w:rPr>
        <w:t xml:space="preserve"> dhe rishpërndarjen e ambalazhit;</w:t>
      </w:r>
    </w:p>
    <w:p w14:paraId="68212626" w14:textId="77777777" w:rsidR="00767CD0" w:rsidRPr="00C51AE9" w:rsidRDefault="00C51AE9" w:rsidP="00F635BF">
      <w:pPr>
        <w:numPr>
          <w:ilvl w:val="0"/>
          <w:numId w:val="50"/>
        </w:numPr>
        <w:contextualSpacing/>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pjesëmarrësit e sistemit janë të detyruar të marrin ambalazhin mbrapsht nga pika e grumbullimit nëse ai është përdorur, grumbulluar dhe ruajtur në përputhje me rregullat e sistemit.</w:t>
      </w:r>
    </w:p>
    <w:p w14:paraId="5AC1736B" w14:textId="77777777" w:rsidR="00767CD0" w:rsidRPr="00C51AE9" w:rsidRDefault="00C51AE9">
      <w:pPr>
        <w:widowControl w:val="0"/>
        <w:numPr>
          <w:ilvl w:val="0"/>
          <w:numId w:val="10"/>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Kërkesa për sistemet me qark të hapur, përveç kërkesave të përgjithshme për sistemet e ripërdorimit të renditura në pikën 1, sistemet me qark të hapur duhet të plotësojnë kërkesat e mëposhtme:</w:t>
      </w:r>
    </w:p>
    <w:p w14:paraId="4A75B420" w14:textId="77777777" w:rsidR="00767CD0" w:rsidRPr="00C51AE9" w:rsidRDefault="00C51AE9" w:rsidP="00F635BF">
      <w:pPr>
        <w:widowControl w:val="0"/>
        <w:numPr>
          <w:ilvl w:val="0"/>
          <w:numId w:val="134"/>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pasi ambalazhimi përdoret, pjesëmarrësi i sistemit vendos nëse do ta ripërdorë </w:t>
      </w:r>
      <w:r w:rsidRPr="00C51AE9">
        <w:rPr>
          <w:rFonts w:ascii="Times New Roman" w:eastAsia="Cambria" w:hAnsi="Times New Roman" w:cs="Times New Roman"/>
          <w:spacing w:val="-5"/>
          <w:kern w:val="0"/>
          <w14:ligatures w14:val="none"/>
        </w:rPr>
        <w:lastRenderedPageBreak/>
        <w:t>ambalazhimin ose do t’ia kalojë atë një pjesëmarrësi tjetër të sistemit për ripërdorim;</w:t>
      </w:r>
    </w:p>
    <w:p w14:paraId="208C0AD1" w14:textId="77777777" w:rsidR="00767CD0" w:rsidRPr="00C51AE9" w:rsidRDefault="00C51AE9" w:rsidP="00F635BF">
      <w:pPr>
        <w:widowControl w:val="0"/>
        <w:numPr>
          <w:ilvl w:val="0"/>
          <w:numId w:val="134"/>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sistemi siguron që grumbullimi, </w:t>
      </w:r>
      <w:proofErr w:type="spellStart"/>
      <w:r w:rsidRPr="00C51AE9">
        <w:rPr>
          <w:rFonts w:ascii="Times New Roman" w:eastAsia="Cambria" w:hAnsi="Times New Roman" w:cs="Times New Roman"/>
          <w:spacing w:val="-5"/>
          <w:kern w:val="0"/>
          <w14:ligatures w14:val="none"/>
        </w:rPr>
        <w:t>rikondicionimi</w:t>
      </w:r>
      <w:proofErr w:type="spellEnd"/>
      <w:r w:rsidRPr="00C51AE9">
        <w:rPr>
          <w:rFonts w:ascii="Times New Roman" w:eastAsia="Cambria" w:hAnsi="Times New Roman" w:cs="Times New Roman"/>
          <w:spacing w:val="-5"/>
          <w:kern w:val="0"/>
          <w14:ligatures w14:val="none"/>
        </w:rPr>
        <w:t xml:space="preserve"> dhe rishpërndarja e ambalazheve janë vendosur dhe janë përgjithësisht të </w:t>
      </w:r>
      <w:proofErr w:type="spellStart"/>
      <w:r w:rsidRPr="00C51AE9">
        <w:rPr>
          <w:rFonts w:ascii="Times New Roman" w:eastAsia="Cambria" w:hAnsi="Times New Roman" w:cs="Times New Roman"/>
          <w:spacing w:val="-5"/>
          <w:kern w:val="0"/>
          <w14:ligatures w14:val="none"/>
        </w:rPr>
        <w:t>disponueshme</w:t>
      </w:r>
      <w:proofErr w:type="spellEnd"/>
      <w:r w:rsidRPr="00C51AE9">
        <w:rPr>
          <w:rFonts w:ascii="Times New Roman" w:eastAsia="Cambria" w:hAnsi="Times New Roman" w:cs="Times New Roman"/>
          <w:spacing w:val="-5"/>
          <w:kern w:val="0"/>
          <w14:ligatures w14:val="none"/>
        </w:rPr>
        <w:t>;</w:t>
      </w:r>
    </w:p>
    <w:p w14:paraId="3787A993" w14:textId="77777777" w:rsidR="00767CD0" w:rsidRPr="00C51AE9" w:rsidRDefault="00C51AE9" w:rsidP="00F635BF">
      <w:pPr>
        <w:widowControl w:val="0"/>
        <w:numPr>
          <w:ilvl w:val="0"/>
          <w:numId w:val="134"/>
        </w:numPr>
        <w:spacing w:after="0"/>
        <w:contextualSpacing/>
        <w:jc w:val="both"/>
        <w:rPr>
          <w:rFonts w:ascii="Times New Roman" w:eastAsia="Cambria" w:hAnsi="Times New Roman" w:cs="Times New Roman"/>
          <w:spacing w:val="-5"/>
          <w:kern w:val="0"/>
          <w14:ligatures w14:val="none"/>
        </w:rPr>
      </w:pPr>
      <w:proofErr w:type="spellStart"/>
      <w:r w:rsidRPr="00C51AE9">
        <w:rPr>
          <w:rFonts w:ascii="Times New Roman" w:eastAsia="Cambria" w:hAnsi="Times New Roman" w:cs="Times New Roman"/>
          <w:spacing w:val="-5"/>
          <w:kern w:val="0"/>
          <w14:ligatures w14:val="none"/>
        </w:rPr>
        <w:t>rikondicionimi</w:t>
      </w:r>
      <w:proofErr w:type="spellEnd"/>
      <w:r w:rsidRPr="00C51AE9">
        <w:rPr>
          <w:rFonts w:ascii="Times New Roman" w:eastAsia="Cambria" w:hAnsi="Times New Roman" w:cs="Times New Roman"/>
          <w:spacing w:val="-5"/>
          <w:kern w:val="0"/>
          <w14:ligatures w14:val="none"/>
        </w:rPr>
        <w:t xml:space="preserve"> që plotëson kërkesat sipas Pjesës B është pjesë e sistemit.</w:t>
      </w:r>
    </w:p>
    <w:p w14:paraId="6A814856" w14:textId="77777777" w:rsidR="00767CD0" w:rsidRPr="00C51AE9" w:rsidRDefault="00767CD0">
      <w:pPr>
        <w:jc w:val="both"/>
        <w:rPr>
          <w:rFonts w:ascii="Times New Roman" w:eastAsia="Cambria" w:hAnsi="Times New Roman" w:cs="Times New Roman"/>
          <w:spacing w:val="-5"/>
          <w:kern w:val="0"/>
          <w14:ligatures w14:val="none"/>
        </w:rPr>
      </w:pPr>
    </w:p>
    <w:p w14:paraId="7CC10692" w14:textId="77777777" w:rsidR="00767CD0" w:rsidRPr="00C51AE9" w:rsidRDefault="00C51AE9">
      <w:pPr>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Pjesa B </w:t>
      </w:r>
      <w:proofErr w:type="spellStart"/>
      <w:r w:rsidRPr="00C51AE9">
        <w:rPr>
          <w:rFonts w:ascii="Times New Roman" w:eastAsia="Cambria" w:hAnsi="Times New Roman" w:cs="Times New Roman"/>
          <w:spacing w:val="-5"/>
          <w:kern w:val="0"/>
          <w14:ligatures w14:val="none"/>
        </w:rPr>
        <w:t>Rikondicionimi</w:t>
      </w:r>
      <w:proofErr w:type="spellEnd"/>
    </w:p>
    <w:p w14:paraId="14260E7F" w14:textId="77777777" w:rsidR="00767CD0" w:rsidRPr="00C51AE9" w:rsidRDefault="00C51AE9" w:rsidP="00F635BF">
      <w:pPr>
        <w:numPr>
          <w:ilvl w:val="0"/>
          <w:numId w:val="135"/>
        </w:numPr>
        <w:spacing w:after="0"/>
        <w:contextualSpacing/>
        <w:jc w:val="both"/>
        <w:rPr>
          <w:rFonts w:ascii="Times New Roman" w:hAnsi="Times New Roman" w:cs="Times New Roman"/>
        </w:rPr>
      </w:pPr>
      <w:r w:rsidRPr="00C51AE9">
        <w:rPr>
          <w:rFonts w:ascii="Times New Roman" w:hAnsi="Times New Roman" w:cs="Times New Roman"/>
        </w:rPr>
        <w:t xml:space="preserve">Procesi i </w:t>
      </w:r>
      <w:proofErr w:type="spellStart"/>
      <w:r w:rsidRPr="00C51AE9">
        <w:rPr>
          <w:rFonts w:ascii="Times New Roman" w:hAnsi="Times New Roman" w:cs="Times New Roman"/>
        </w:rPr>
        <w:t>rikondicionimit</w:t>
      </w:r>
      <w:proofErr w:type="spellEnd"/>
      <w:r w:rsidRPr="00C51AE9">
        <w:rPr>
          <w:rFonts w:ascii="Times New Roman" w:hAnsi="Times New Roman" w:cs="Times New Roman"/>
        </w:rPr>
        <w:t xml:space="preserve"> nuk duhet të krijojë rreziqe për shëndetin dhe sigurinë e atyre që janë përgjegjës për kryerjen e </w:t>
      </w:r>
      <w:proofErr w:type="spellStart"/>
      <w:r w:rsidRPr="00C51AE9">
        <w:rPr>
          <w:rFonts w:ascii="Times New Roman" w:hAnsi="Times New Roman" w:cs="Times New Roman"/>
        </w:rPr>
        <w:t>rikondicionimit</w:t>
      </w:r>
      <w:proofErr w:type="spellEnd"/>
      <w:r w:rsidRPr="00C51AE9">
        <w:rPr>
          <w:rFonts w:ascii="Times New Roman" w:hAnsi="Times New Roman" w:cs="Times New Roman"/>
        </w:rPr>
        <w:t xml:space="preserve"> të ambalazhit dhe duhet të minimizojë ndikimin e atij procesi në mjedis. Ai duhet të kryhet në përputhje me ligjet e zbatueshme për materialet e ndjeshme ndaj kontaktit, mbetjet dhe emetimet industriale.</w:t>
      </w:r>
    </w:p>
    <w:p w14:paraId="1306D091" w14:textId="77777777" w:rsidR="00767CD0" w:rsidRPr="00C51AE9" w:rsidRDefault="00C51AE9" w:rsidP="00F635BF">
      <w:pPr>
        <w:numPr>
          <w:ilvl w:val="0"/>
          <w:numId w:val="135"/>
        </w:numPr>
        <w:spacing w:after="0"/>
        <w:contextualSpacing/>
        <w:jc w:val="both"/>
        <w:rPr>
          <w:rFonts w:ascii="Times New Roman" w:hAnsi="Times New Roman" w:cs="Times New Roman"/>
        </w:rPr>
      </w:pPr>
      <w:proofErr w:type="spellStart"/>
      <w:r w:rsidRPr="00C51AE9">
        <w:rPr>
          <w:rFonts w:ascii="Times New Roman" w:hAnsi="Times New Roman" w:cs="Times New Roman"/>
        </w:rPr>
        <w:t>Rikondicionimi</w:t>
      </w:r>
      <w:proofErr w:type="spellEnd"/>
      <w:r w:rsidRPr="00C51AE9">
        <w:rPr>
          <w:rFonts w:ascii="Times New Roman" w:hAnsi="Times New Roman" w:cs="Times New Roman"/>
        </w:rPr>
        <w:t xml:space="preserve"> mbulon operacionet e mëposhtme të përshtatura me formatin e ambalazhimit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dhe përdorimin e tij të synuar:</w:t>
      </w:r>
    </w:p>
    <w:p w14:paraId="077C0785" w14:textId="77777777" w:rsidR="00767CD0" w:rsidRPr="00C51AE9" w:rsidRDefault="00C51AE9" w:rsidP="00F635BF">
      <w:pPr>
        <w:numPr>
          <w:ilvl w:val="0"/>
          <w:numId w:val="72"/>
        </w:numPr>
        <w:spacing w:after="0"/>
        <w:ind w:left="1080"/>
        <w:contextualSpacing/>
        <w:jc w:val="both"/>
        <w:rPr>
          <w:rFonts w:ascii="Times New Roman" w:hAnsi="Times New Roman" w:cs="Times New Roman"/>
        </w:rPr>
      </w:pPr>
      <w:r w:rsidRPr="00C51AE9">
        <w:rPr>
          <w:rFonts w:ascii="Times New Roman" w:hAnsi="Times New Roman" w:cs="Times New Roman"/>
        </w:rPr>
        <w:t>vlerësimi i gjendjes së ambalazhimit;</w:t>
      </w:r>
    </w:p>
    <w:p w14:paraId="3C393FAD" w14:textId="77777777" w:rsidR="00767CD0" w:rsidRPr="00C51AE9" w:rsidRDefault="00C51AE9" w:rsidP="00F635BF">
      <w:pPr>
        <w:numPr>
          <w:ilvl w:val="0"/>
          <w:numId w:val="72"/>
        </w:numPr>
        <w:spacing w:after="0"/>
        <w:ind w:left="1080"/>
        <w:contextualSpacing/>
        <w:jc w:val="both"/>
        <w:rPr>
          <w:rFonts w:ascii="Times New Roman" w:hAnsi="Times New Roman" w:cs="Times New Roman"/>
        </w:rPr>
      </w:pPr>
      <w:r w:rsidRPr="00C51AE9">
        <w:rPr>
          <w:rFonts w:ascii="Times New Roman" w:hAnsi="Times New Roman" w:cs="Times New Roman"/>
        </w:rPr>
        <w:t>heqja e përbërësve të dëmtuar ose të papërdorshëm të ambalazhimit;</w:t>
      </w:r>
    </w:p>
    <w:p w14:paraId="7B4C98D3" w14:textId="77777777" w:rsidR="00767CD0" w:rsidRPr="00C51AE9" w:rsidRDefault="00C51AE9" w:rsidP="00F635BF">
      <w:pPr>
        <w:numPr>
          <w:ilvl w:val="0"/>
          <w:numId w:val="72"/>
        </w:numPr>
        <w:spacing w:after="0"/>
        <w:ind w:left="1080"/>
        <w:contextualSpacing/>
        <w:jc w:val="both"/>
        <w:rPr>
          <w:rFonts w:ascii="Times New Roman" w:hAnsi="Times New Roman" w:cs="Times New Roman"/>
        </w:rPr>
      </w:pPr>
      <w:r w:rsidRPr="00C51AE9">
        <w:rPr>
          <w:rFonts w:ascii="Times New Roman" w:hAnsi="Times New Roman" w:cs="Times New Roman"/>
        </w:rPr>
        <w:t>transportimi i komponentëve të hequr të ambalazhimit drejt një procesi të përshtatshëm rikuperimi;</w:t>
      </w:r>
    </w:p>
    <w:p w14:paraId="448FD3B5" w14:textId="77777777" w:rsidR="00767CD0" w:rsidRPr="00C51AE9" w:rsidRDefault="00C51AE9">
      <w:pPr>
        <w:spacing w:after="0"/>
        <w:ind w:left="720"/>
        <w:jc w:val="both"/>
        <w:rPr>
          <w:rFonts w:ascii="Times New Roman" w:hAnsi="Times New Roman" w:cs="Times New Roman"/>
        </w:rPr>
      </w:pPr>
      <w:r w:rsidRPr="00C51AE9">
        <w:rPr>
          <w:rFonts w:ascii="Times New Roman" w:hAnsi="Times New Roman" w:cs="Times New Roman"/>
        </w:rPr>
        <w:t>ç.   pastrimi dhe larja e ambalazhit sipas kushteve të kërkuara higjienike;</w:t>
      </w:r>
    </w:p>
    <w:p w14:paraId="5CB9A6BC" w14:textId="77777777" w:rsidR="00767CD0" w:rsidRPr="00C51AE9" w:rsidRDefault="00C51AE9" w:rsidP="00F635BF">
      <w:pPr>
        <w:numPr>
          <w:ilvl w:val="0"/>
          <w:numId w:val="72"/>
        </w:numPr>
        <w:spacing w:after="0"/>
        <w:ind w:left="1080"/>
        <w:contextualSpacing/>
        <w:jc w:val="both"/>
        <w:rPr>
          <w:rFonts w:ascii="Times New Roman" w:hAnsi="Times New Roman" w:cs="Times New Roman"/>
        </w:rPr>
      </w:pPr>
      <w:r w:rsidRPr="00C51AE9">
        <w:rPr>
          <w:rFonts w:ascii="Times New Roman" w:hAnsi="Times New Roman" w:cs="Times New Roman"/>
        </w:rPr>
        <w:t>riparimi i ambalazhimit;</w:t>
      </w:r>
    </w:p>
    <w:p w14:paraId="593E6E49" w14:textId="77777777" w:rsidR="00767CD0" w:rsidRPr="00C51AE9" w:rsidRDefault="00C51AE9" w:rsidP="00F635BF">
      <w:pPr>
        <w:numPr>
          <w:ilvl w:val="0"/>
          <w:numId w:val="72"/>
        </w:numPr>
        <w:spacing w:after="0"/>
        <w:ind w:left="1080"/>
        <w:contextualSpacing/>
        <w:jc w:val="both"/>
        <w:rPr>
          <w:rFonts w:ascii="Times New Roman" w:hAnsi="Times New Roman" w:cs="Times New Roman"/>
        </w:rPr>
      </w:pPr>
      <w:r w:rsidRPr="00C51AE9">
        <w:rPr>
          <w:rFonts w:ascii="Times New Roman" w:hAnsi="Times New Roman" w:cs="Times New Roman"/>
        </w:rPr>
        <w:t>inspektimi dhe vlerësimi i përshtatshmërisë për qëllimin e ambalazhimit.</w:t>
      </w:r>
    </w:p>
    <w:p w14:paraId="4B19C740" w14:textId="77777777" w:rsidR="00767CD0" w:rsidRPr="00C51AE9" w:rsidRDefault="00C51AE9" w:rsidP="00F635BF">
      <w:pPr>
        <w:widowControl w:val="0"/>
        <w:numPr>
          <w:ilvl w:val="0"/>
          <w:numId w:val="136"/>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Kur është e nevojshme, proceset e pastrimit dhe larjes kryhen në faza të ndryshme të </w:t>
      </w:r>
      <w:proofErr w:type="spellStart"/>
      <w:r w:rsidRPr="00C51AE9">
        <w:rPr>
          <w:rFonts w:ascii="Times New Roman" w:eastAsia="Cambria" w:hAnsi="Times New Roman" w:cs="Times New Roman"/>
          <w:spacing w:val="-5"/>
          <w:kern w:val="0"/>
          <w14:ligatures w14:val="none"/>
        </w:rPr>
        <w:t>rikondicionimit</w:t>
      </w:r>
      <w:proofErr w:type="spellEnd"/>
      <w:r w:rsidRPr="00C51AE9">
        <w:rPr>
          <w:rFonts w:ascii="Times New Roman" w:eastAsia="Cambria" w:hAnsi="Times New Roman" w:cs="Times New Roman"/>
          <w:spacing w:val="-5"/>
          <w:kern w:val="0"/>
          <w14:ligatures w14:val="none"/>
        </w:rPr>
        <w:t xml:space="preserve"> dhe përsëriten.</w:t>
      </w:r>
    </w:p>
    <w:p w14:paraId="36FDCF32" w14:textId="77777777" w:rsidR="00767CD0" w:rsidRPr="00C51AE9" w:rsidRDefault="00C51AE9" w:rsidP="00F635BF">
      <w:pPr>
        <w:widowControl w:val="0"/>
        <w:numPr>
          <w:ilvl w:val="0"/>
          <w:numId w:val="136"/>
        </w:numPr>
        <w:spacing w:after="0"/>
        <w:contextualSpacing/>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 xml:space="preserve">Produkti i </w:t>
      </w:r>
      <w:proofErr w:type="spellStart"/>
      <w:r w:rsidRPr="00C51AE9">
        <w:rPr>
          <w:rFonts w:ascii="Times New Roman" w:eastAsia="Cambria" w:hAnsi="Times New Roman" w:cs="Times New Roman"/>
          <w:spacing w:val="-5"/>
          <w:kern w:val="0"/>
          <w14:ligatures w14:val="none"/>
        </w:rPr>
        <w:t>rikondicionuar</w:t>
      </w:r>
      <w:proofErr w:type="spellEnd"/>
      <w:r w:rsidRPr="00C51AE9">
        <w:rPr>
          <w:rFonts w:ascii="Times New Roman" w:eastAsia="Cambria" w:hAnsi="Times New Roman" w:cs="Times New Roman"/>
          <w:spacing w:val="-5"/>
          <w:kern w:val="0"/>
          <w14:ligatures w14:val="none"/>
        </w:rPr>
        <w:t xml:space="preserve"> duhet të përmbushë kërkesat e shëndetit dhe sigurisë të zbatueshme për të.</w:t>
      </w:r>
    </w:p>
    <w:p w14:paraId="42028F0D" w14:textId="77777777" w:rsidR="00767CD0" w:rsidRPr="00C51AE9" w:rsidRDefault="00767CD0">
      <w:pPr>
        <w:jc w:val="both"/>
        <w:rPr>
          <w:rFonts w:ascii="Times New Roman" w:eastAsia="Cambria" w:hAnsi="Times New Roman" w:cs="Times New Roman"/>
          <w:spacing w:val="-5"/>
          <w:kern w:val="0"/>
          <w14:ligatures w14:val="none"/>
        </w:rPr>
      </w:pPr>
    </w:p>
    <w:p w14:paraId="7736B00C" w14:textId="77777777" w:rsidR="00767CD0" w:rsidRPr="00C51AE9" w:rsidRDefault="00C51AE9">
      <w:pPr>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Pjesa C Kërkesat për rimbushje</w:t>
      </w:r>
    </w:p>
    <w:p w14:paraId="080CC3C2" w14:textId="77777777" w:rsidR="00767CD0" w:rsidRPr="00C51AE9" w:rsidRDefault="00C51AE9" w:rsidP="00F635BF">
      <w:pPr>
        <w:numPr>
          <w:ilvl w:val="1"/>
          <w:numId w:val="131"/>
        </w:numPr>
        <w:spacing w:after="0"/>
        <w:contextualSpacing/>
        <w:jc w:val="both"/>
        <w:rPr>
          <w:rFonts w:ascii="Times New Roman" w:hAnsi="Times New Roman" w:cs="Times New Roman"/>
        </w:rPr>
      </w:pPr>
      <w:r w:rsidRPr="00C51AE9">
        <w:rPr>
          <w:rFonts w:ascii="Times New Roman" w:hAnsi="Times New Roman" w:cs="Times New Roman"/>
        </w:rPr>
        <w:t>Stacionet e rimbushjes duhet të plotësojnë kërkesat e mëposhtme:</w:t>
      </w:r>
    </w:p>
    <w:p w14:paraId="6CBEA5A4" w14:textId="77777777" w:rsidR="00767CD0" w:rsidRPr="00C51AE9" w:rsidRDefault="00C51AE9" w:rsidP="00F635BF">
      <w:pPr>
        <w:numPr>
          <w:ilvl w:val="0"/>
          <w:numId w:val="137"/>
        </w:numPr>
        <w:spacing w:after="0"/>
        <w:ind w:left="990"/>
        <w:contextualSpacing/>
        <w:jc w:val="both"/>
        <w:rPr>
          <w:rFonts w:ascii="Times New Roman" w:hAnsi="Times New Roman" w:cs="Times New Roman"/>
        </w:rPr>
      </w:pPr>
      <w:r w:rsidRPr="00C51AE9">
        <w:rPr>
          <w:rFonts w:ascii="Times New Roman" w:hAnsi="Times New Roman" w:cs="Times New Roman"/>
        </w:rPr>
        <w:t>stacioni i rimbushjes shfaq informacion të qartë dhe të saktë mbi:</w:t>
      </w:r>
    </w:p>
    <w:p w14:paraId="68E57F4F" w14:textId="77777777" w:rsidR="00767CD0" w:rsidRPr="00C51AE9" w:rsidRDefault="00C51AE9" w:rsidP="00F635BF">
      <w:pPr>
        <w:numPr>
          <w:ilvl w:val="0"/>
          <w:numId w:val="138"/>
        </w:numPr>
        <w:spacing w:after="0"/>
        <w:ind w:left="1530"/>
        <w:contextualSpacing/>
        <w:jc w:val="both"/>
        <w:rPr>
          <w:rFonts w:ascii="Times New Roman" w:hAnsi="Times New Roman" w:cs="Times New Roman"/>
        </w:rPr>
      </w:pPr>
      <w:r w:rsidRPr="00C51AE9">
        <w:rPr>
          <w:rFonts w:ascii="Times New Roman" w:hAnsi="Times New Roman" w:cs="Times New Roman"/>
        </w:rPr>
        <w:t>standardet e higjienës që kontejneri i përdoruesit përfundimtar duhet të përmbushë në mënyrë që të përdoret për të blerë produkte në stacionin e rimbushjes;</w:t>
      </w:r>
    </w:p>
    <w:p w14:paraId="4751E7EB" w14:textId="77777777" w:rsidR="00767CD0" w:rsidRPr="00C51AE9" w:rsidRDefault="00C51AE9" w:rsidP="00F635BF">
      <w:pPr>
        <w:numPr>
          <w:ilvl w:val="0"/>
          <w:numId w:val="138"/>
        </w:numPr>
        <w:spacing w:after="0"/>
        <w:ind w:left="1530"/>
        <w:contextualSpacing/>
        <w:jc w:val="both"/>
        <w:rPr>
          <w:rFonts w:ascii="Times New Roman" w:hAnsi="Times New Roman" w:cs="Times New Roman"/>
        </w:rPr>
      </w:pPr>
      <w:r w:rsidRPr="00C51AE9">
        <w:rPr>
          <w:rFonts w:ascii="Times New Roman" w:hAnsi="Times New Roman" w:cs="Times New Roman"/>
        </w:rPr>
        <w:t>llojet dhe karakteristikat e enëve që mund të përdoren për të blerë produkte përmes rimbushjes;</w:t>
      </w:r>
    </w:p>
    <w:p w14:paraId="2C3B03A1" w14:textId="77777777" w:rsidR="00767CD0" w:rsidRPr="00C51AE9" w:rsidRDefault="00C51AE9" w:rsidP="00F635BF">
      <w:pPr>
        <w:numPr>
          <w:ilvl w:val="0"/>
          <w:numId w:val="138"/>
        </w:numPr>
        <w:spacing w:after="0"/>
        <w:ind w:left="1530"/>
        <w:contextualSpacing/>
        <w:jc w:val="both"/>
        <w:rPr>
          <w:rFonts w:ascii="Times New Roman" w:hAnsi="Times New Roman" w:cs="Times New Roman"/>
        </w:rPr>
      </w:pPr>
      <w:r w:rsidRPr="00C51AE9">
        <w:rPr>
          <w:rFonts w:ascii="Times New Roman" w:hAnsi="Times New Roman" w:cs="Times New Roman"/>
        </w:rPr>
        <w:t>të dhënat e kontaktit të shpërndarësit përfundimtar për të siguruar pajtueshmërinë me standardet e higjienës sipas ligjit të zbatueshëm;</w:t>
      </w:r>
    </w:p>
    <w:p w14:paraId="6F07087C" w14:textId="77777777" w:rsidR="00767CD0" w:rsidRPr="00C51AE9" w:rsidRDefault="00C51AE9" w:rsidP="00F635BF">
      <w:pPr>
        <w:numPr>
          <w:ilvl w:val="0"/>
          <w:numId w:val="137"/>
        </w:numPr>
        <w:spacing w:after="0"/>
        <w:ind w:left="1080"/>
        <w:contextualSpacing/>
        <w:jc w:val="both"/>
        <w:rPr>
          <w:rFonts w:ascii="Times New Roman" w:hAnsi="Times New Roman" w:cs="Times New Roman"/>
        </w:rPr>
      </w:pPr>
      <w:r w:rsidRPr="00C51AE9">
        <w:rPr>
          <w:rFonts w:ascii="Times New Roman" w:hAnsi="Times New Roman" w:cs="Times New Roman"/>
        </w:rPr>
        <w:t>stacioni i rimbushjes përfshin një pajisje matëse ose ofron mjete alternative për të siguruar që përdoruesi fundor mund të zgjedhë një sasi të specifikuar të produktit për blerje;</w:t>
      </w:r>
    </w:p>
    <w:p w14:paraId="7BDD6472" w14:textId="77777777" w:rsidR="00767CD0" w:rsidRPr="00C51AE9" w:rsidRDefault="00C51AE9" w:rsidP="00F635BF">
      <w:pPr>
        <w:numPr>
          <w:ilvl w:val="0"/>
          <w:numId w:val="137"/>
        </w:numPr>
        <w:spacing w:after="0"/>
        <w:ind w:left="1080"/>
        <w:contextualSpacing/>
        <w:jc w:val="both"/>
        <w:rPr>
          <w:rFonts w:ascii="Times New Roman" w:hAnsi="Times New Roman" w:cs="Times New Roman"/>
        </w:rPr>
      </w:pPr>
      <w:r w:rsidRPr="00C51AE9">
        <w:rPr>
          <w:rFonts w:ascii="Times New Roman" w:hAnsi="Times New Roman" w:cs="Times New Roman"/>
        </w:rPr>
        <w:t>çmimi i paguar nga përdoruesit fundorë nuk përfshin peshën e kontejnerit.</w:t>
      </w:r>
    </w:p>
    <w:p w14:paraId="77635CBA" w14:textId="77777777" w:rsidR="00767CD0" w:rsidRPr="00C51AE9" w:rsidRDefault="00767CD0">
      <w:pPr>
        <w:jc w:val="both"/>
        <w:rPr>
          <w:rFonts w:ascii="Times New Roman" w:eastAsia="Cambria" w:hAnsi="Times New Roman" w:cs="Times New Roman"/>
          <w:spacing w:val="-5"/>
          <w:kern w:val="0"/>
          <w14:ligatures w14:val="none"/>
        </w:rPr>
      </w:pPr>
    </w:p>
    <w:p w14:paraId="39E93A64" w14:textId="77777777" w:rsidR="00767CD0" w:rsidRPr="00C51AE9" w:rsidRDefault="00C51AE9">
      <w:pPr>
        <w:jc w:val="both"/>
        <w:rPr>
          <w:rFonts w:ascii="Times New Roman" w:eastAsia="Cambria" w:hAnsi="Times New Roman" w:cs="Times New Roman"/>
          <w:spacing w:val="-5"/>
          <w:kern w:val="0"/>
          <w14:ligatures w14:val="none"/>
        </w:rPr>
      </w:pPr>
      <w:r w:rsidRPr="00C51AE9">
        <w:br w:type="page"/>
      </w:r>
    </w:p>
    <w:p w14:paraId="4371DAAE"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 xml:space="preserve"> VII</w:t>
      </w:r>
    </w:p>
    <w:p w14:paraId="01DF2293" w14:textId="77777777" w:rsidR="00767CD0" w:rsidRPr="00C51AE9" w:rsidRDefault="00C51AE9">
      <w:pPr>
        <w:jc w:val="center"/>
        <w:rPr>
          <w:rFonts w:ascii="Times New Roman" w:hAnsi="Times New Roman" w:cs="Times New Roman"/>
          <w:b/>
          <w:bCs/>
          <w:w w:val="90"/>
        </w:rPr>
      </w:pPr>
      <w:r w:rsidRPr="00C51AE9">
        <w:rPr>
          <w:rFonts w:ascii="Times New Roman" w:hAnsi="Times New Roman" w:cs="Times New Roman"/>
        </w:rPr>
        <w:t>Procedurë e vlerësimit të përputhshmërisë</w:t>
      </w:r>
    </w:p>
    <w:p w14:paraId="683E2150"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Moduli A</w:t>
      </w:r>
    </w:p>
    <w:p w14:paraId="3290F7F2" w14:textId="77777777" w:rsidR="00767CD0" w:rsidRPr="00C51AE9" w:rsidRDefault="00C51AE9">
      <w:pPr>
        <w:spacing w:after="120"/>
        <w:jc w:val="both"/>
        <w:rPr>
          <w:rFonts w:ascii="Times New Roman" w:hAnsi="Times New Roman" w:cs="Times New Roman"/>
          <w:b/>
          <w:bCs/>
        </w:rPr>
      </w:pPr>
      <w:r w:rsidRPr="00C51AE9">
        <w:rPr>
          <w:rFonts w:ascii="Times New Roman" w:hAnsi="Times New Roman" w:cs="Times New Roman"/>
          <w:b/>
          <w:bCs/>
        </w:rPr>
        <w:t>Kontrolli i brendshëm i prodhimit</w:t>
      </w:r>
    </w:p>
    <w:p w14:paraId="7E84CF62" w14:textId="77777777" w:rsidR="00767CD0" w:rsidRPr="00C51AE9" w:rsidRDefault="00C51AE9">
      <w:pPr>
        <w:widowControl w:val="0"/>
        <w:numPr>
          <w:ilvl w:val="0"/>
          <w:numId w:val="3"/>
        </w:numPr>
        <w:spacing w:after="0"/>
        <w:contextualSpacing/>
        <w:jc w:val="both"/>
        <w:rPr>
          <w:rFonts w:ascii="Times New Roman" w:hAnsi="Times New Roman" w:cs="Times New Roman"/>
        </w:rPr>
      </w:pPr>
      <w:r w:rsidRPr="00C51AE9">
        <w:rPr>
          <w:rFonts w:ascii="Times New Roman" w:hAnsi="Times New Roman" w:cs="Times New Roman"/>
        </w:rPr>
        <w:t>Kontrolli i brendshëm i prodhimit është procedura e vlerësimit të përputhshmërisë me anë të së cilës prodhuesi përmbush detyrimet e përcaktuara në pikat 2, 3 dhe 4 dhe siguron dhe deklaron nën përgjegjësinë e tij të vetme se ambalazhi në fjalë plotëson kërkesat e neneve 11 deri në 18 të këtij Vendimi që zbatohen për të.</w:t>
      </w:r>
    </w:p>
    <w:p w14:paraId="4814E5F3" w14:textId="77777777" w:rsidR="00767CD0" w:rsidRPr="00C51AE9" w:rsidRDefault="00767CD0">
      <w:pPr>
        <w:widowControl w:val="0"/>
        <w:spacing w:after="0"/>
        <w:jc w:val="both"/>
        <w:rPr>
          <w:rFonts w:ascii="Times New Roman" w:hAnsi="Times New Roman" w:cs="Times New Roman"/>
        </w:rPr>
      </w:pPr>
    </w:p>
    <w:p w14:paraId="64C68526" w14:textId="77777777" w:rsidR="00767CD0" w:rsidRPr="00C51AE9" w:rsidRDefault="00C51AE9">
      <w:pPr>
        <w:widowControl w:val="0"/>
        <w:spacing w:after="120"/>
        <w:jc w:val="both"/>
        <w:rPr>
          <w:rFonts w:ascii="Times New Roman" w:hAnsi="Times New Roman" w:cs="Times New Roman"/>
        </w:rPr>
      </w:pPr>
      <w:r w:rsidRPr="00C51AE9">
        <w:rPr>
          <w:rFonts w:ascii="Times New Roman" w:hAnsi="Times New Roman" w:cs="Times New Roman"/>
          <w:b/>
          <w:bCs/>
        </w:rPr>
        <w:t>Dokumentacioni teknik</w:t>
      </w:r>
    </w:p>
    <w:p w14:paraId="2EEEF5E5" w14:textId="77777777" w:rsidR="00767CD0" w:rsidRPr="00C51AE9" w:rsidRDefault="00C51AE9">
      <w:pPr>
        <w:widowControl w:val="0"/>
        <w:numPr>
          <w:ilvl w:val="0"/>
          <w:numId w:val="3"/>
        </w:numPr>
        <w:spacing w:after="0"/>
        <w:contextualSpacing/>
        <w:jc w:val="both"/>
        <w:rPr>
          <w:rFonts w:ascii="Times New Roman" w:hAnsi="Times New Roman" w:cs="Times New Roman"/>
        </w:rPr>
      </w:pPr>
      <w:r w:rsidRPr="00C51AE9">
        <w:rPr>
          <w:rFonts w:ascii="Times New Roman" w:hAnsi="Times New Roman" w:cs="Times New Roman"/>
        </w:rPr>
        <w:t>Prodhuesi harton dokumentacionin teknik. Ky dokumentacion shërben për të vlerësuar përputhshmërinë e ambalazhit me kërkesat e këtij vendimi dhe përfshin një analizë vlerësimi të përshtatshëm të rreziqeve që vijnë nga mospërputhshmëria. Dokumentacioni teknik duhet të specifikojë kërkesat e zbatueshme dhe duhet të mbulojë, për aq sa është e rëndësishme për vlerësimin, projektimin, prodhimin dhe funksionimin e ambalazhimit. Dokumentacioni teknik duhet të përmbajë, kur është e zbatueshme, të paktën elementet e mëposhtme:</w:t>
      </w:r>
    </w:p>
    <w:p w14:paraId="205C2C08" w14:textId="77777777" w:rsidR="00767CD0" w:rsidRPr="00C51AE9" w:rsidRDefault="00C51AE9" w:rsidP="00F635BF">
      <w:pPr>
        <w:widowControl w:val="0"/>
        <w:numPr>
          <w:ilvl w:val="0"/>
          <w:numId w:val="139"/>
        </w:numPr>
        <w:spacing w:after="0"/>
        <w:ind w:left="810"/>
        <w:contextualSpacing/>
        <w:jc w:val="both"/>
        <w:rPr>
          <w:rFonts w:ascii="Times New Roman" w:hAnsi="Times New Roman" w:cs="Times New Roman"/>
        </w:rPr>
      </w:pPr>
      <w:r w:rsidRPr="00C51AE9">
        <w:rPr>
          <w:rFonts w:ascii="Times New Roman" w:hAnsi="Times New Roman" w:cs="Times New Roman"/>
        </w:rPr>
        <w:t>një përshkrim i përgjithshëm i ambalazhimit dhe përdorimit të tij të synuar;</w:t>
      </w:r>
    </w:p>
    <w:p w14:paraId="0B120095" w14:textId="77777777" w:rsidR="00767CD0" w:rsidRPr="00C51AE9" w:rsidRDefault="00C51AE9" w:rsidP="00F635BF">
      <w:pPr>
        <w:widowControl w:val="0"/>
        <w:numPr>
          <w:ilvl w:val="0"/>
          <w:numId w:val="139"/>
        </w:numPr>
        <w:spacing w:after="0"/>
        <w:ind w:left="810"/>
        <w:contextualSpacing/>
        <w:jc w:val="both"/>
        <w:rPr>
          <w:rFonts w:ascii="Times New Roman" w:hAnsi="Times New Roman" w:cs="Times New Roman"/>
        </w:rPr>
      </w:pPr>
      <w:r w:rsidRPr="00C51AE9">
        <w:rPr>
          <w:rFonts w:ascii="Times New Roman" w:hAnsi="Times New Roman" w:cs="Times New Roman"/>
        </w:rPr>
        <w:t xml:space="preserve">projektim </w:t>
      </w:r>
      <w:proofErr w:type="spellStart"/>
      <w:r w:rsidRPr="00C51AE9">
        <w:rPr>
          <w:rFonts w:ascii="Times New Roman" w:hAnsi="Times New Roman" w:cs="Times New Roman"/>
        </w:rPr>
        <w:t>konceptual</w:t>
      </w:r>
      <w:proofErr w:type="spellEnd"/>
      <w:r w:rsidRPr="00C51AE9">
        <w:rPr>
          <w:rFonts w:ascii="Times New Roman" w:hAnsi="Times New Roman" w:cs="Times New Roman"/>
        </w:rPr>
        <w:t>, vizatime prodhimi dhe materiale të komponentëve;</w:t>
      </w:r>
    </w:p>
    <w:p w14:paraId="4CAD0728" w14:textId="77777777" w:rsidR="00767CD0" w:rsidRPr="00C51AE9" w:rsidRDefault="00C51AE9" w:rsidP="00F635BF">
      <w:pPr>
        <w:widowControl w:val="0"/>
        <w:numPr>
          <w:ilvl w:val="0"/>
          <w:numId w:val="139"/>
        </w:numPr>
        <w:spacing w:after="0"/>
        <w:ind w:left="810"/>
        <w:contextualSpacing/>
        <w:jc w:val="both"/>
        <w:rPr>
          <w:rFonts w:ascii="Times New Roman" w:hAnsi="Times New Roman" w:cs="Times New Roman"/>
        </w:rPr>
      </w:pPr>
      <w:r w:rsidRPr="00C51AE9">
        <w:rPr>
          <w:rFonts w:ascii="Times New Roman" w:hAnsi="Times New Roman" w:cs="Times New Roman"/>
        </w:rPr>
        <w:t>përshkrimet dhe shpjegimet e nevojshme për kuptimin e vizatimeve të parashikuara sipas pikës dhe skemave dhe funksionimi</w:t>
      </w:r>
      <w:r w:rsidRPr="00C51AE9">
        <w:rPr>
          <w:rFonts w:ascii="Times New Roman" w:hAnsi="Times New Roman" w:cs="Times New Roman"/>
          <w:w w:val="90"/>
        </w:rPr>
        <w:t>t të ambalazhimit;</w:t>
      </w:r>
    </w:p>
    <w:p w14:paraId="24F857C2" w14:textId="77777777" w:rsidR="00767CD0" w:rsidRPr="00C51AE9" w:rsidRDefault="00C51AE9" w:rsidP="00F635BF">
      <w:pPr>
        <w:widowControl w:val="0"/>
        <w:numPr>
          <w:ilvl w:val="0"/>
          <w:numId w:val="139"/>
        </w:numPr>
        <w:spacing w:after="0"/>
        <w:ind w:left="810"/>
        <w:contextualSpacing/>
        <w:jc w:val="both"/>
        <w:rPr>
          <w:rFonts w:ascii="Times New Roman" w:hAnsi="Times New Roman" w:cs="Times New Roman"/>
        </w:rPr>
      </w:pPr>
      <w:r w:rsidRPr="00C51AE9">
        <w:rPr>
          <w:rFonts w:ascii="Times New Roman" w:hAnsi="Times New Roman" w:cs="Times New Roman"/>
        </w:rPr>
        <w:t>një listë e:</w:t>
      </w:r>
    </w:p>
    <w:p w14:paraId="664B793A" w14:textId="77777777" w:rsidR="00767CD0" w:rsidRPr="00C51AE9" w:rsidRDefault="00C51AE9" w:rsidP="00F635BF">
      <w:pPr>
        <w:widowControl w:val="0"/>
        <w:numPr>
          <w:ilvl w:val="0"/>
          <w:numId w:val="140"/>
        </w:numPr>
        <w:spacing w:after="0"/>
        <w:ind w:left="1350"/>
        <w:contextualSpacing/>
        <w:jc w:val="both"/>
        <w:rPr>
          <w:rFonts w:ascii="Times New Roman" w:hAnsi="Times New Roman" w:cs="Times New Roman"/>
        </w:rPr>
      </w:pPr>
      <w:r w:rsidRPr="00C51AE9">
        <w:rPr>
          <w:rFonts w:ascii="Times New Roman" w:hAnsi="Times New Roman" w:cs="Times New Roman"/>
        </w:rPr>
        <w:t>standardet e harmonizuara, të përmendura në nenin 41, të zbatuara plotësisht ose pjesërisht;</w:t>
      </w:r>
    </w:p>
    <w:p w14:paraId="78769868" w14:textId="77777777" w:rsidR="00767CD0" w:rsidRPr="00C51AE9" w:rsidRDefault="00C51AE9" w:rsidP="00F635BF">
      <w:pPr>
        <w:widowControl w:val="0"/>
        <w:numPr>
          <w:ilvl w:val="0"/>
          <w:numId w:val="140"/>
        </w:numPr>
        <w:spacing w:after="0"/>
        <w:ind w:left="1350"/>
        <w:contextualSpacing/>
        <w:jc w:val="both"/>
        <w:rPr>
          <w:rFonts w:ascii="Times New Roman" w:hAnsi="Times New Roman" w:cs="Times New Roman"/>
        </w:rPr>
      </w:pPr>
      <w:r w:rsidRPr="00C51AE9">
        <w:rPr>
          <w:rFonts w:ascii="Times New Roman" w:hAnsi="Times New Roman" w:cs="Times New Roman"/>
        </w:rPr>
        <w:t>specifikimet e përbashkëta, të përmendura në nenin 42, të zbatuara plotësisht ose pjesërisht;</w:t>
      </w:r>
    </w:p>
    <w:p w14:paraId="78C1D506" w14:textId="77777777" w:rsidR="00767CD0" w:rsidRPr="00C51AE9" w:rsidRDefault="00C51AE9" w:rsidP="00F635BF">
      <w:pPr>
        <w:widowControl w:val="0"/>
        <w:numPr>
          <w:ilvl w:val="0"/>
          <w:numId w:val="140"/>
        </w:numPr>
        <w:spacing w:after="0"/>
        <w:ind w:left="1350"/>
        <w:contextualSpacing/>
        <w:jc w:val="both"/>
        <w:rPr>
          <w:rFonts w:ascii="Times New Roman" w:hAnsi="Times New Roman" w:cs="Times New Roman"/>
        </w:rPr>
      </w:pPr>
      <w:r w:rsidRPr="00C51AE9">
        <w:rPr>
          <w:rFonts w:ascii="Times New Roman" w:hAnsi="Times New Roman" w:cs="Times New Roman"/>
        </w:rPr>
        <w:t>specifikime të tjera teknike përkatëse të përdorura për qëllime matjeje ose llogaritjeje;</w:t>
      </w:r>
    </w:p>
    <w:p w14:paraId="3F164223" w14:textId="77777777" w:rsidR="00767CD0" w:rsidRPr="00C51AE9" w:rsidRDefault="00C51AE9" w:rsidP="00F635BF">
      <w:pPr>
        <w:widowControl w:val="0"/>
        <w:numPr>
          <w:ilvl w:val="0"/>
          <w:numId w:val="140"/>
        </w:numPr>
        <w:spacing w:after="0"/>
        <w:ind w:left="1350"/>
        <w:contextualSpacing/>
        <w:jc w:val="both"/>
        <w:rPr>
          <w:rFonts w:ascii="Times New Roman" w:hAnsi="Times New Roman" w:cs="Times New Roman"/>
        </w:rPr>
      </w:pPr>
      <w:r w:rsidRPr="00C51AE9">
        <w:rPr>
          <w:rFonts w:ascii="Times New Roman" w:hAnsi="Times New Roman" w:cs="Times New Roman"/>
        </w:rPr>
        <w:t>në rast të standardeve të harmonizuara ose specifikimeve të përbashkëta të zbatuara pjesërisht, një tregim i pjesëve që janë zbatuar;</w:t>
      </w:r>
    </w:p>
    <w:p w14:paraId="53F41566" w14:textId="77777777" w:rsidR="00767CD0" w:rsidRPr="00C51AE9" w:rsidRDefault="00C51AE9" w:rsidP="00F635BF">
      <w:pPr>
        <w:widowControl w:val="0"/>
        <w:numPr>
          <w:ilvl w:val="0"/>
          <w:numId w:val="140"/>
        </w:numPr>
        <w:spacing w:after="0"/>
        <w:ind w:left="1350"/>
        <w:contextualSpacing/>
        <w:jc w:val="both"/>
        <w:rPr>
          <w:rFonts w:ascii="Times New Roman" w:hAnsi="Times New Roman" w:cs="Times New Roman"/>
        </w:rPr>
      </w:pPr>
      <w:r w:rsidRPr="00C51AE9">
        <w:rPr>
          <w:rFonts w:ascii="Times New Roman" w:hAnsi="Times New Roman" w:cs="Times New Roman"/>
        </w:rPr>
        <w:t>në rast se standardet e harmonizuara ose specifikimet e përbashkëta nuk zbatohen, një përshkrim i zgjidhjeve të miratuara për të përmbushur kërkesat e përmendura në pikën 1;</w:t>
      </w:r>
    </w:p>
    <w:p w14:paraId="55E5DE58" w14:textId="77777777" w:rsidR="00767CD0" w:rsidRPr="00C51AE9" w:rsidRDefault="00C51AE9" w:rsidP="00F635BF">
      <w:pPr>
        <w:widowControl w:val="0"/>
        <w:numPr>
          <w:ilvl w:val="0"/>
          <w:numId w:val="139"/>
        </w:numPr>
        <w:spacing w:after="0"/>
        <w:contextualSpacing/>
        <w:jc w:val="both"/>
        <w:rPr>
          <w:rFonts w:ascii="Times New Roman" w:hAnsi="Times New Roman" w:cs="Times New Roman"/>
        </w:rPr>
      </w:pPr>
      <w:r w:rsidRPr="00C51AE9">
        <w:rPr>
          <w:rFonts w:ascii="Times New Roman" w:hAnsi="Times New Roman" w:cs="Times New Roman"/>
        </w:rPr>
        <w:t>një përshkrim cilësor i mënyrës se si janë kryer vlerësimet e parashikuara në nenet 12, 16 dhe 17; dhe</w:t>
      </w:r>
    </w:p>
    <w:p w14:paraId="6E8FAC35" w14:textId="77777777" w:rsidR="00767CD0" w:rsidRPr="00C51AE9" w:rsidRDefault="00C51AE9" w:rsidP="00F635BF">
      <w:pPr>
        <w:widowControl w:val="0"/>
        <w:numPr>
          <w:ilvl w:val="0"/>
          <w:numId w:val="139"/>
        </w:numPr>
        <w:spacing w:after="0"/>
        <w:contextualSpacing/>
        <w:jc w:val="both"/>
        <w:rPr>
          <w:rFonts w:ascii="Times New Roman" w:hAnsi="Times New Roman" w:cs="Times New Roman"/>
        </w:rPr>
      </w:pPr>
      <w:r w:rsidRPr="00C51AE9">
        <w:rPr>
          <w:rFonts w:ascii="Times New Roman" w:hAnsi="Times New Roman" w:cs="Times New Roman"/>
        </w:rPr>
        <w:t>raporte testimi.</w:t>
      </w:r>
    </w:p>
    <w:p w14:paraId="18CE7015" w14:textId="77777777" w:rsidR="00767CD0" w:rsidRPr="00C51AE9" w:rsidRDefault="00767CD0">
      <w:pPr>
        <w:widowControl w:val="0"/>
        <w:spacing w:after="0"/>
        <w:jc w:val="both"/>
        <w:rPr>
          <w:rFonts w:ascii="Times New Roman" w:hAnsi="Times New Roman" w:cs="Times New Roman"/>
        </w:rPr>
      </w:pPr>
    </w:p>
    <w:p w14:paraId="42AE8ECD" w14:textId="77777777" w:rsidR="00767CD0" w:rsidRPr="00C51AE9" w:rsidRDefault="00C51AE9">
      <w:pPr>
        <w:widowControl w:val="0"/>
        <w:numPr>
          <w:ilvl w:val="0"/>
          <w:numId w:val="3"/>
        </w:numPr>
        <w:spacing w:after="0"/>
        <w:ind w:left="450"/>
        <w:contextualSpacing/>
        <w:jc w:val="both"/>
        <w:rPr>
          <w:rFonts w:ascii="Times New Roman" w:hAnsi="Times New Roman" w:cs="Times New Roman"/>
          <w:b/>
          <w:bCs/>
        </w:rPr>
      </w:pPr>
      <w:r w:rsidRPr="00C51AE9">
        <w:rPr>
          <w:rFonts w:ascii="Times New Roman" w:hAnsi="Times New Roman" w:cs="Times New Roman"/>
        </w:rPr>
        <w:t>Prodhuesi duhet të marrë të gjitha masat e nevojshme në mënyrë që procesi i prodhimit dhe monitorimi i tij të sigurojnë përputhshmërinë e ambalazhit të prodhuar me dokumentacionin teknik të përmendur në pikën 2 dhe me kërkesat e përmendura në pikën.</w:t>
      </w:r>
    </w:p>
    <w:p w14:paraId="3DA918A7" w14:textId="77777777" w:rsidR="00767CD0" w:rsidRPr="00C51AE9" w:rsidRDefault="00767CD0">
      <w:pPr>
        <w:widowControl w:val="0"/>
        <w:spacing w:after="0"/>
        <w:ind w:left="450"/>
        <w:contextualSpacing/>
        <w:jc w:val="both"/>
        <w:rPr>
          <w:rFonts w:ascii="Times New Roman" w:hAnsi="Times New Roman" w:cs="Times New Roman"/>
          <w:b/>
          <w:bCs/>
        </w:rPr>
      </w:pPr>
    </w:p>
    <w:p w14:paraId="1B2391C4" w14:textId="77777777" w:rsidR="00767CD0" w:rsidRPr="00C51AE9" w:rsidRDefault="00C51AE9">
      <w:pPr>
        <w:widowControl w:val="0"/>
        <w:numPr>
          <w:ilvl w:val="0"/>
          <w:numId w:val="3"/>
        </w:numPr>
        <w:spacing w:after="0"/>
        <w:contextualSpacing/>
        <w:jc w:val="both"/>
        <w:rPr>
          <w:rFonts w:ascii="Times New Roman" w:hAnsi="Times New Roman" w:cs="Times New Roman"/>
          <w:b/>
          <w:bCs/>
        </w:rPr>
      </w:pPr>
      <w:r w:rsidRPr="00C51AE9">
        <w:rPr>
          <w:rFonts w:ascii="Times New Roman" w:hAnsi="Times New Roman" w:cs="Times New Roman"/>
          <w:b/>
          <w:bCs/>
        </w:rPr>
        <w:lastRenderedPageBreak/>
        <w:t>Deklaratë e Përputhshmërisë</w:t>
      </w:r>
    </w:p>
    <w:p w14:paraId="3E9BD08A" w14:textId="77777777" w:rsidR="00767CD0" w:rsidRPr="00C51AE9" w:rsidRDefault="00C51AE9" w:rsidP="00F635BF">
      <w:pPr>
        <w:widowControl w:val="0"/>
        <w:numPr>
          <w:ilvl w:val="0"/>
          <w:numId w:val="141"/>
        </w:numPr>
        <w:spacing w:after="0"/>
        <w:contextualSpacing/>
        <w:jc w:val="both"/>
        <w:rPr>
          <w:rFonts w:ascii="Times New Roman" w:hAnsi="Times New Roman" w:cs="Times New Roman"/>
        </w:rPr>
      </w:pPr>
      <w:r w:rsidRPr="00C51AE9">
        <w:rPr>
          <w:rFonts w:ascii="Times New Roman" w:hAnsi="Times New Roman" w:cs="Times New Roman"/>
        </w:rPr>
        <w:t xml:space="preserve">Prodhuesi harton një deklaratë me shkrim të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për çdo lloj ambalazhi dhe e mban atë së bashku me dokumentacionin teknik në dispozicion të autoriteteve kombëtare për 5 vjet pasi ambalazhi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është vendosur në treg, dhe 10 vjet pasi i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ambalazhi është vendosur në treg. Deklarata e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identifikon ambalazhin për të cilin është hartuar.</w:t>
      </w:r>
    </w:p>
    <w:p w14:paraId="7A9C0AC8" w14:textId="77777777" w:rsidR="00767CD0" w:rsidRPr="00C51AE9" w:rsidRDefault="00C51AE9" w:rsidP="00F635BF">
      <w:pPr>
        <w:widowControl w:val="0"/>
        <w:numPr>
          <w:ilvl w:val="0"/>
          <w:numId w:val="141"/>
        </w:numPr>
        <w:spacing w:after="0"/>
        <w:contextualSpacing/>
        <w:jc w:val="both"/>
        <w:rPr>
          <w:rFonts w:ascii="Times New Roman" w:hAnsi="Times New Roman" w:cs="Times New Roman"/>
        </w:rPr>
      </w:pPr>
      <w:r w:rsidRPr="00C51AE9">
        <w:rPr>
          <w:rFonts w:ascii="Times New Roman" w:hAnsi="Times New Roman" w:cs="Times New Roman"/>
        </w:rPr>
        <w:t xml:space="preserve">Një kopje e deklaratës së </w:t>
      </w:r>
      <w:proofErr w:type="spellStart"/>
      <w:r w:rsidRPr="00C51AE9">
        <w:rPr>
          <w:rFonts w:ascii="Times New Roman" w:hAnsi="Times New Roman" w:cs="Times New Roman"/>
        </w:rPr>
        <w:t>konformitetit</w:t>
      </w:r>
      <w:proofErr w:type="spellEnd"/>
      <w:r w:rsidRPr="00C51AE9">
        <w:rPr>
          <w:rFonts w:ascii="Times New Roman" w:hAnsi="Times New Roman" w:cs="Times New Roman"/>
        </w:rPr>
        <w:t xml:space="preserve"> vihet në dispozicion të autoriteteve përkatëse sipas kërkesës.</w:t>
      </w:r>
    </w:p>
    <w:p w14:paraId="4F5693E4" w14:textId="77777777" w:rsidR="00767CD0" w:rsidRPr="00C51AE9" w:rsidRDefault="00767CD0">
      <w:pPr>
        <w:widowControl w:val="0"/>
        <w:spacing w:after="0"/>
        <w:jc w:val="both"/>
        <w:rPr>
          <w:rFonts w:ascii="Times New Roman" w:hAnsi="Times New Roman" w:cs="Times New Roman"/>
          <w:b/>
          <w:bCs/>
        </w:rPr>
      </w:pPr>
    </w:p>
    <w:p w14:paraId="477467C5" w14:textId="77777777" w:rsidR="00767CD0" w:rsidRPr="00C51AE9" w:rsidRDefault="00C51AE9">
      <w:pPr>
        <w:widowControl w:val="0"/>
        <w:numPr>
          <w:ilvl w:val="0"/>
          <w:numId w:val="3"/>
        </w:numPr>
        <w:spacing w:after="0"/>
        <w:contextualSpacing/>
        <w:jc w:val="both"/>
        <w:rPr>
          <w:rFonts w:ascii="Times New Roman" w:hAnsi="Times New Roman" w:cs="Times New Roman"/>
          <w:b/>
          <w:bCs/>
        </w:rPr>
      </w:pPr>
      <w:r w:rsidRPr="00C51AE9">
        <w:rPr>
          <w:rFonts w:ascii="Times New Roman" w:hAnsi="Times New Roman" w:cs="Times New Roman"/>
          <w:b/>
          <w:bCs/>
        </w:rPr>
        <w:t>Përfaqësues i autorizuar</w:t>
      </w:r>
    </w:p>
    <w:p w14:paraId="57BDD784" w14:textId="77777777" w:rsidR="00767CD0" w:rsidRPr="00C51AE9" w:rsidRDefault="00C51AE9" w:rsidP="00F635BF">
      <w:pPr>
        <w:widowControl w:val="0"/>
        <w:numPr>
          <w:ilvl w:val="0"/>
          <w:numId w:val="142"/>
        </w:numPr>
        <w:spacing w:after="0"/>
        <w:contextualSpacing/>
        <w:jc w:val="both"/>
        <w:rPr>
          <w:rFonts w:ascii="Times New Roman" w:hAnsi="Times New Roman" w:cs="Times New Roman"/>
          <w:b/>
          <w:bCs/>
        </w:rPr>
      </w:pPr>
      <w:r w:rsidRPr="00C51AE9">
        <w:rPr>
          <w:rFonts w:ascii="Times New Roman" w:hAnsi="Times New Roman" w:cs="Times New Roman"/>
        </w:rPr>
        <w:t>Detyrimet e prodhuesit të përcaktuara në pikën 4 për sa i përket mbajtjes së dokumentacionit teknik mund të përmbushen nga përfaqësuesi i tij i autorizuar, në emër të tij dhe nën përgjegjësinë e tij, me kusht që këto detyrime të jenë të përcaktuara në mandat.</w:t>
      </w:r>
    </w:p>
    <w:p w14:paraId="2901D2D3" w14:textId="77777777" w:rsidR="00767CD0" w:rsidRPr="00C51AE9" w:rsidRDefault="00767CD0">
      <w:pPr>
        <w:jc w:val="both"/>
        <w:rPr>
          <w:rFonts w:ascii="Times New Roman" w:hAnsi="Times New Roman" w:cs="Times New Roman"/>
          <w:w w:val="90"/>
        </w:rPr>
      </w:pPr>
    </w:p>
    <w:p w14:paraId="4601A365" w14:textId="77777777" w:rsidR="00767CD0" w:rsidRPr="00C51AE9" w:rsidRDefault="00C51AE9">
      <w:pPr>
        <w:jc w:val="both"/>
        <w:rPr>
          <w:rFonts w:ascii="Times New Roman" w:hAnsi="Times New Roman" w:cs="Times New Roman"/>
          <w:i/>
          <w:iCs/>
          <w:w w:val="90"/>
        </w:rPr>
      </w:pPr>
      <w:r w:rsidRPr="00C51AE9">
        <w:br w:type="page"/>
      </w:r>
    </w:p>
    <w:p w14:paraId="47E6431E"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VIII</w:t>
      </w:r>
    </w:p>
    <w:p w14:paraId="67A99F2D"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 xml:space="preserve">Deklarata e </w:t>
      </w:r>
      <w:proofErr w:type="spellStart"/>
      <w:r w:rsidRPr="00C51AE9">
        <w:rPr>
          <w:rFonts w:ascii="Times New Roman" w:hAnsi="Times New Roman" w:cs="Times New Roman"/>
        </w:rPr>
        <w:t>konformitetit</w:t>
      </w:r>
      <w:proofErr w:type="spellEnd"/>
    </w:p>
    <w:p w14:paraId="714C73E9" w14:textId="77777777" w:rsidR="00767CD0" w:rsidRPr="00C51AE9" w:rsidRDefault="00767CD0">
      <w:pPr>
        <w:jc w:val="center"/>
        <w:rPr>
          <w:rFonts w:ascii="Times New Roman" w:hAnsi="Times New Roman" w:cs="Times New Roman"/>
        </w:rPr>
      </w:pPr>
    </w:p>
    <w:p w14:paraId="1D07A76F"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Nr. … (identifikimi unik i ambalazhimit);</w:t>
      </w:r>
    </w:p>
    <w:p w14:paraId="49AF157B"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Emri dhe adresa e prodhuesit dhe, kur është e zbatueshme, përfaqësuesit të autorizuar të prodhuesit;</w:t>
      </w:r>
    </w:p>
    <w:p w14:paraId="5CD7E673"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Kjo deklaratë e përputhshmërisë lëshohet nën përgjegjësinë e vetme të prodhuesit;</w:t>
      </w:r>
    </w:p>
    <w:p w14:paraId="61B0B0A7"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 xml:space="preserve">Objekti i deklaratës (identifikimi i ambalazhit që lejon </w:t>
      </w:r>
      <w:proofErr w:type="spellStart"/>
      <w:r w:rsidRPr="00C51AE9">
        <w:rPr>
          <w:rFonts w:ascii="Times New Roman" w:hAnsi="Times New Roman" w:cs="Times New Roman"/>
        </w:rPr>
        <w:t>gjurmueshmërinë</w:t>
      </w:r>
      <w:proofErr w:type="spellEnd"/>
      <w:r w:rsidRPr="00C51AE9">
        <w:rPr>
          <w:rFonts w:ascii="Times New Roman" w:hAnsi="Times New Roman" w:cs="Times New Roman"/>
        </w:rPr>
        <w:t>): përshkrimi i ambalazhit;</w:t>
      </w:r>
    </w:p>
    <w:p w14:paraId="5275DF91"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Objekti i deklaratës së përmendur në pikën 4 është në përputhje me kërkesat e këtij vendimi;</w:t>
      </w:r>
    </w:p>
    <w:p w14:paraId="0F0EA2E8"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Referencat ndaj standardeve përkatëse të harmonizuara ose specifikimeve të përbashkëta të përdorura ose referencat ndaj specifikimeve të tjera teknike në lidhje me të cilat deklarohet përputhshmëria;</w:t>
      </w:r>
    </w:p>
    <w:p w14:paraId="3F8C60F8"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Kur është e zbatueshme, organi i njoftuar … (emri, adresa, numri) … KREU … (përshkrimi i ndërhyrjes) … dhe lëshoi certifikatën(at): … (hollësi, përfshirë datën e certifikatës(</w:t>
      </w:r>
      <w:proofErr w:type="spellStart"/>
      <w:r w:rsidRPr="00C51AE9">
        <w:rPr>
          <w:rFonts w:ascii="Times New Roman" w:hAnsi="Times New Roman" w:cs="Times New Roman"/>
        </w:rPr>
        <w:t>ave</w:t>
      </w:r>
      <w:proofErr w:type="spellEnd"/>
      <w:r w:rsidRPr="00C51AE9">
        <w:rPr>
          <w:rFonts w:ascii="Times New Roman" w:hAnsi="Times New Roman" w:cs="Times New Roman"/>
        </w:rPr>
        <w:t>), dhe, kur është e përshtatshme, informacion mbi kohëzgjatjen dhe kushtet e vlefshmërisë);</w:t>
      </w:r>
    </w:p>
    <w:p w14:paraId="0770D6E6" w14:textId="77777777" w:rsidR="00767CD0" w:rsidRPr="00C51AE9" w:rsidRDefault="00C51AE9" w:rsidP="00F635BF">
      <w:pPr>
        <w:numPr>
          <w:ilvl w:val="0"/>
          <w:numId w:val="143"/>
        </w:numPr>
        <w:contextualSpacing/>
        <w:jc w:val="both"/>
        <w:rPr>
          <w:rFonts w:ascii="Times New Roman" w:hAnsi="Times New Roman" w:cs="Times New Roman"/>
        </w:rPr>
      </w:pPr>
      <w:r w:rsidRPr="00C51AE9">
        <w:rPr>
          <w:rFonts w:ascii="Times New Roman" w:hAnsi="Times New Roman" w:cs="Times New Roman"/>
        </w:rPr>
        <w:t>Informacion shtesë;</w:t>
      </w:r>
    </w:p>
    <w:p w14:paraId="0EF0F001" w14:textId="77777777" w:rsidR="00767CD0" w:rsidRPr="00C51AE9" w:rsidRDefault="00C51AE9" w:rsidP="00F635BF">
      <w:pPr>
        <w:numPr>
          <w:ilvl w:val="0"/>
          <w:numId w:val="144"/>
        </w:numPr>
        <w:contextualSpacing/>
        <w:jc w:val="both"/>
        <w:rPr>
          <w:rFonts w:ascii="Times New Roman" w:hAnsi="Times New Roman" w:cs="Times New Roman"/>
        </w:rPr>
      </w:pPr>
      <w:r w:rsidRPr="00C51AE9">
        <w:rPr>
          <w:rFonts w:ascii="Times New Roman" w:hAnsi="Times New Roman" w:cs="Times New Roman"/>
        </w:rPr>
        <w:t>Nënshkruar për dhe në emër të;</w:t>
      </w:r>
    </w:p>
    <w:p w14:paraId="4C33FD8D" w14:textId="77777777" w:rsidR="00767CD0" w:rsidRPr="00C51AE9" w:rsidRDefault="00C51AE9" w:rsidP="00F635BF">
      <w:pPr>
        <w:numPr>
          <w:ilvl w:val="0"/>
          <w:numId w:val="144"/>
        </w:numPr>
        <w:contextualSpacing/>
        <w:jc w:val="both"/>
        <w:rPr>
          <w:rFonts w:ascii="Times New Roman" w:hAnsi="Times New Roman" w:cs="Times New Roman"/>
        </w:rPr>
      </w:pPr>
      <w:r w:rsidRPr="00C51AE9">
        <w:rPr>
          <w:rFonts w:ascii="Times New Roman" w:hAnsi="Times New Roman" w:cs="Times New Roman"/>
        </w:rPr>
        <w:t>(vendi dhe data e lëshimit);</w:t>
      </w:r>
    </w:p>
    <w:p w14:paraId="0192E3FE" w14:textId="77777777" w:rsidR="00767CD0" w:rsidRPr="00C51AE9" w:rsidRDefault="00C51AE9" w:rsidP="00F635BF">
      <w:pPr>
        <w:numPr>
          <w:ilvl w:val="0"/>
          <w:numId w:val="144"/>
        </w:numPr>
        <w:contextualSpacing/>
        <w:jc w:val="both"/>
        <w:rPr>
          <w:rFonts w:ascii="Times New Roman" w:hAnsi="Times New Roman" w:cs="Times New Roman"/>
        </w:rPr>
      </w:pPr>
      <w:r w:rsidRPr="00C51AE9">
        <w:rPr>
          <w:rFonts w:ascii="Times New Roman" w:hAnsi="Times New Roman" w:cs="Times New Roman"/>
        </w:rPr>
        <w:t>(emri, funksioni) (nënshkrimi);</w:t>
      </w:r>
    </w:p>
    <w:p w14:paraId="7B412B9C" w14:textId="77777777" w:rsidR="00767CD0" w:rsidRPr="00C51AE9" w:rsidRDefault="00767CD0">
      <w:pPr>
        <w:jc w:val="both"/>
        <w:rPr>
          <w:rFonts w:ascii="Times New Roman" w:hAnsi="Times New Roman" w:cs="Times New Roman"/>
          <w:w w:val="90"/>
        </w:rPr>
      </w:pPr>
    </w:p>
    <w:p w14:paraId="0E33038D" w14:textId="77777777" w:rsidR="00767CD0" w:rsidRPr="00C51AE9" w:rsidRDefault="00767CD0">
      <w:pPr>
        <w:jc w:val="both"/>
        <w:rPr>
          <w:rFonts w:ascii="Times New Roman" w:hAnsi="Times New Roman" w:cs="Times New Roman"/>
          <w:w w:val="90"/>
        </w:rPr>
      </w:pPr>
    </w:p>
    <w:p w14:paraId="561BEB3F" w14:textId="77777777" w:rsidR="00767CD0" w:rsidRPr="00C51AE9" w:rsidRDefault="00C51AE9">
      <w:pPr>
        <w:jc w:val="both"/>
        <w:rPr>
          <w:rFonts w:ascii="Times New Roman" w:hAnsi="Times New Roman" w:cs="Times New Roman"/>
          <w:i/>
          <w:iCs/>
          <w:strike/>
          <w:w w:val="90"/>
        </w:rPr>
      </w:pPr>
      <w:r w:rsidRPr="00C51AE9">
        <w:br w:type="page"/>
      </w:r>
    </w:p>
    <w:p w14:paraId="081CC47B"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lastRenderedPageBreak/>
        <w:t>SHTOJCA</w:t>
      </w:r>
      <w:r w:rsidRPr="00C51AE9">
        <w:rPr>
          <w:rFonts w:ascii="Times New Roman" w:hAnsi="Times New Roman" w:cs="Times New Roman"/>
          <w:b/>
          <w:bCs/>
        </w:rPr>
        <w:t xml:space="preserve"> IX</w:t>
      </w:r>
    </w:p>
    <w:p w14:paraId="52AA4812" w14:textId="77777777" w:rsidR="00767CD0" w:rsidRPr="00C51AE9" w:rsidRDefault="00C51AE9">
      <w:pPr>
        <w:jc w:val="center"/>
        <w:rPr>
          <w:rFonts w:ascii="Times New Roman" w:hAnsi="Times New Roman" w:cs="Times New Roman"/>
        </w:rPr>
      </w:pPr>
      <w:r w:rsidRPr="00C51AE9">
        <w:rPr>
          <w:rFonts w:ascii="Times New Roman" w:hAnsi="Times New Roman" w:cs="Times New Roman"/>
        </w:rPr>
        <w:t>Kërkesat minimale për sistemet e depozitimit dhe kthimit</w:t>
      </w:r>
    </w:p>
    <w:p w14:paraId="699BCCE1"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Për qëllimet e kësaj shtojce, zbatohet përkufizimi i mëposhtëm:</w:t>
      </w:r>
    </w:p>
    <w:p w14:paraId="190FB4A0"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‘operator sistemi’ është çdo person fizik ose juridik të cilit i është besuar përgjegjësia për të krijuar ose operuar një sistem depozitimi dhe kthimi në Shqipëri.</w:t>
      </w:r>
    </w:p>
    <w:p w14:paraId="0A910C49"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Kërkesat minimale të përgjithshme për sistemet e depozitimit dhe kthimit</w:t>
      </w:r>
    </w:p>
    <w:p w14:paraId="7990FBCC"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Sistemet e depozitimit dhe kthimit të krijuara në territorin e Shqipërisë përmbushin kërkesat minimale të mëposhtme:</w:t>
      </w:r>
    </w:p>
    <w:p w14:paraId="4A18B28D"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është krijuar dhe autorizuar një operator i vetëm sistemi për funksionim;</w:t>
      </w:r>
    </w:p>
    <w:p w14:paraId="3086A55D"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 xml:space="preserve">qeverisja dhe rregullat përkatëse </w:t>
      </w:r>
      <w:proofErr w:type="spellStart"/>
      <w:r w:rsidRPr="00C51AE9">
        <w:rPr>
          <w:rFonts w:ascii="Times New Roman" w:hAnsi="Times New Roman" w:cs="Times New Roman"/>
        </w:rPr>
        <w:t>operacionale</w:t>
      </w:r>
      <w:proofErr w:type="spellEnd"/>
      <w:r w:rsidRPr="00C51AE9">
        <w:rPr>
          <w:rFonts w:ascii="Times New Roman" w:hAnsi="Times New Roman" w:cs="Times New Roman"/>
        </w:rPr>
        <w:t xml:space="preserve"> të sistemit lejojnë </w:t>
      </w:r>
      <w:proofErr w:type="spellStart"/>
      <w:r w:rsidRPr="00C51AE9">
        <w:rPr>
          <w:rFonts w:ascii="Times New Roman" w:hAnsi="Times New Roman" w:cs="Times New Roman"/>
        </w:rPr>
        <w:t>akses</w:t>
      </w:r>
      <w:proofErr w:type="spellEnd"/>
      <w:r w:rsidRPr="00C51AE9">
        <w:rPr>
          <w:rFonts w:ascii="Times New Roman" w:hAnsi="Times New Roman" w:cs="Times New Roman"/>
        </w:rPr>
        <w:t xml:space="preserve"> të barabartë dhe kushte të drejta të </w:t>
      </w:r>
      <w:proofErr w:type="spellStart"/>
      <w:r w:rsidRPr="00C51AE9">
        <w:rPr>
          <w:rFonts w:ascii="Times New Roman" w:hAnsi="Times New Roman" w:cs="Times New Roman"/>
        </w:rPr>
        <w:t>të</w:t>
      </w:r>
      <w:proofErr w:type="spellEnd"/>
      <w:r w:rsidRPr="00C51AE9">
        <w:rPr>
          <w:rFonts w:ascii="Times New Roman" w:hAnsi="Times New Roman" w:cs="Times New Roman"/>
        </w:rPr>
        <w:t xml:space="preserve"> gjithë operatorëve ekonomikë që dëshirojnë të bëhen pjesë e sistemit, me kusht që ata të bëjnë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treg ambalazhe që i përkasin një lloji ose kategorie ambalazhimi të përfshirë në sistem;</w:t>
      </w:r>
    </w:p>
    <w:p w14:paraId="3882A7F8"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procedurat e kontrollit dhe sistemet e raportimit janë ngritur duke i lejuar operatorit të sistemit të marrë të dhëna mbi grumbullimin e ambalazheve të mbuluara nga sistemi i depozitimit dhe kthimit;</w:t>
      </w:r>
    </w:p>
    <w:p w14:paraId="07729E01"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vendoset një nivel minimal depozitimi, i cili është i mjaftueshëm për të arritur normat e kërkuara të grumbullimit;</w:t>
      </w:r>
    </w:p>
    <w:p w14:paraId="532435B9"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kërkesat minimale për kapacitetin financiar të operatorit të sistemit përcaktohen duke i lejuar operatorit të sistemit të kryejë funksionet e tij;</w:t>
      </w:r>
    </w:p>
    <w:p w14:paraId="2F2DDE3D"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operatori i sistemit është një person juridik jofitimprurës dhe i pavarur;</w:t>
      </w:r>
    </w:p>
    <w:p w14:paraId="0DB39072"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operatori i sistemit kryen ekskluzivisht role që rrjedhin nga rregullat e këtij Vendimi;</w:t>
      </w:r>
    </w:p>
    <w:p w14:paraId="3CB9276D"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operatori i sistemit koordinon funksionimin e sistemit të depozitimit dhe kthimit;</w:t>
      </w:r>
    </w:p>
    <w:p w14:paraId="262A5B6A" w14:textId="77777777" w:rsidR="00767CD0" w:rsidRPr="00C51AE9" w:rsidRDefault="00C51AE9" w:rsidP="00F635BF">
      <w:pPr>
        <w:numPr>
          <w:ilvl w:val="0"/>
          <w:numId w:val="73"/>
        </w:numPr>
        <w:contextualSpacing/>
        <w:jc w:val="both"/>
        <w:rPr>
          <w:rFonts w:ascii="Times New Roman" w:hAnsi="Times New Roman" w:cs="Times New Roman"/>
        </w:rPr>
      </w:pPr>
      <w:r w:rsidRPr="00C51AE9">
        <w:rPr>
          <w:rFonts w:ascii="Times New Roman" w:hAnsi="Times New Roman" w:cs="Times New Roman"/>
        </w:rPr>
        <w:t>operatori i sistemit mban me shkrim:</w:t>
      </w:r>
    </w:p>
    <w:p w14:paraId="4201AAAE" w14:textId="77777777" w:rsidR="00767CD0" w:rsidRPr="00C51AE9" w:rsidRDefault="00C51AE9" w:rsidP="00F635BF">
      <w:pPr>
        <w:numPr>
          <w:ilvl w:val="0"/>
          <w:numId w:val="145"/>
        </w:numPr>
        <w:ind w:left="1350"/>
        <w:contextualSpacing/>
        <w:jc w:val="both"/>
        <w:rPr>
          <w:rFonts w:ascii="Times New Roman" w:hAnsi="Times New Roman" w:cs="Times New Roman"/>
        </w:rPr>
      </w:pPr>
      <w:r w:rsidRPr="00C51AE9">
        <w:rPr>
          <w:rFonts w:ascii="Times New Roman" w:hAnsi="Times New Roman" w:cs="Times New Roman"/>
        </w:rPr>
        <w:t>një statut që përcakton organizimin e brendshëm të sistemit;</w:t>
      </w:r>
    </w:p>
    <w:p w14:paraId="54FD9F64" w14:textId="77777777" w:rsidR="00767CD0" w:rsidRPr="00C51AE9" w:rsidRDefault="00C51AE9" w:rsidP="00F635BF">
      <w:pPr>
        <w:numPr>
          <w:ilvl w:val="0"/>
          <w:numId w:val="145"/>
        </w:numPr>
        <w:ind w:left="1350"/>
        <w:contextualSpacing/>
        <w:jc w:val="both"/>
        <w:rPr>
          <w:rFonts w:ascii="Times New Roman" w:hAnsi="Times New Roman" w:cs="Times New Roman"/>
        </w:rPr>
      </w:pPr>
      <w:r w:rsidRPr="00C51AE9">
        <w:rPr>
          <w:rFonts w:ascii="Times New Roman" w:hAnsi="Times New Roman" w:cs="Times New Roman"/>
        </w:rPr>
        <w:t>provë e sistemit të financimit të sistemit;</w:t>
      </w:r>
    </w:p>
    <w:p w14:paraId="20D8926D" w14:textId="77777777" w:rsidR="00767CD0" w:rsidRPr="00C51AE9" w:rsidRDefault="00C51AE9" w:rsidP="00F635BF">
      <w:pPr>
        <w:numPr>
          <w:ilvl w:val="0"/>
          <w:numId w:val="145"/>
        </w:numPr>
        <w:ind w:left="1350"/>
        <w:contextualSpacing/>
        <w:jc w:val="both"/>
        <w:rPr>
          <w:rFonts w:ascii="Times New Roman" w:hAnsi="Times New Roman" w:cs="Times New Roman"/>
        </w:rPr>
      </w:pPr>
      <w:r w:rsidRPr="00C51AE9">
        <w:rPr>
          <w:rFonts w:ascii="Times New Roman" w:hAnsi="Times New Roman" w:cs="Times New Roman"/>
        </w:rPr>
        <w:t>një deklaratë që provon përputhshmërinë e sistemit me kërkesat e përcaktuara në këtë Vendim;</w:t>
      </w:r>
    </w:p>
    <w:p w14:paraId="2F7623EF"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një shumë e mjaftueshme e xhiros vjetore të operatorit të sistemit përdoret për fushata të ndërgjegjësimit publik për menaxhimin e mbetjeve të ambalazhimit;</w:t>
      </w:r>
    </w:p>
    <w:p w14:paraId="624D5479"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operatorët e sistemit ofrojnë çdo informacion të kërkuar nga autoritetet kompetente në Shqipëri për qëllimet e monitorimit të pajtueshmërisë me kërkesat në këtë shtojcë;</w:t>
      </w:r>
    </w:p>
    <w:p w14:paraId="4BAE9F31"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 xml:space="preserve">Shpërndarësit fundorë janë të detyruar të pranojnë ambalazhin me depozitë të materialit dhe formatit të ambalazhimit që ata shpërndajnë dhe t’u japin përdoruesve fundorë depozitat e </w:t>
      </w:r>
      <w:proofErr w:type="spellStart"/>
      <w:r w:rsidRPr="00C51AE9">
        <w:rPr>
          <w:rFonts w:ascii="Times New Roman" w:hAnsi="Times New Roman" w:cs="Times New Roman"/>
        </w:rPr>
        <w:t>rimbursuara</w:t>
      </w:r>
      <w:proofErr w:type="spellEnd"/>
      <w:r w:rsidRPr="00C51AE9">
        <w:rPr>
          <w:rFonts w:ascii="Times New Roman" w:hAnsi="Times New Roman" w:cs="Times New Roman"/>
        </w:rPr>
        <w:t xml:space="preserve"> kur ambalazhi me depozitë kthehet, përveç rasteve kur përdoruesit fundorë kanë mjete po aq të </w:t>
      </w:r>
      <w:proofErr w:type="spellStart"/>
      <w:r w:rsidRPr="00C51AE9">
        <w:rPr>
          <w:rFonts w:ascii="Times New Roman" w:hAnsi="Times New Roman" w:cs="Times New Roman"/>
        </w:rPr>
        <w:t>aksesueshme</w:t>
      </w:r>
      <w:proofErr w:type="spellEnd"/>
      <w:r w:rsidRPr="00C51AE9">
        <w:rPr>
          <w:rFonts w:ascii="Times New Roman" w:hAnsi="Times New Roman" w:cs="Times New Roman"/>
        </w:rPr>
        <w:t xml:space="preserve"> për të </w:t>
      </w:r>
      <w:proofErr w:type="spellStart"/>
      <w:r w:rsidRPr="00C51AE9">
        <w:rPr>
          <w:rFonts w:ascii="Times New Roman" w:hAnsi="Times New Roman" w:cs="Times New Roman"/>
        </w:rPr>
        <w:t>rimbursuar</w:t>
      </w:r>
      <w:proofErr w:type="spellEnd"/>
      <w:r w:rsidRPr="00C51AE9">
        <w:rPr>
          <w:rFonts w:ascii="Times New Roman" w:hAnsi="Times New Roman" w:cs="Times New Roman"/>
        </w:rPr>
        <w:t xml:space="preserve"> depozitën pas përdorimit të ambalazhit me depozitë, përmes njërit prej kanaleve të grumbullimit që, për ambalazhimin e ushqimit, sigurojnë riciklim të gradës ushqimore dhe që janë të autorizuara për atë qëllim nga autoritetet kombëtare. Ky detyrim nuk zbatohet kur sipërfaqja e shitjes nuk bën të mundur që përdoruesit fundorë të kthejnë ambalazhin me depozitë. Megjithatë, shpërndarësit përfundimtarë duhet gjithmonë të pranojnë kthimin </w:t>
      </w:r>
      <w:r w:rsidRPr="00C51AE9">
        <w:rPr>
          <w:rFonts w:ascii="Times New Roman" w:hAnsi="Times New Roman" w:cs="Times New Roman"/>
        </w:rPr>
        <w:lastRenderedPageBreak/>
        <w:t>e ambalazhit bosh të produkteve që ata shesin;</w:t>
      </w:r>
    </w:p>
    <w:p w14:paraId="051DF099"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përdoruesi fundor është në gjendje të kthejë ambalazhimin me depozitë pa pasur nevojë të blejë ndonjë mall; depozita i kthehet përdoruesit fundor;</w:t>
      </w:r>
    </w:p>
    <w:p w14:paraId="68A3D03B"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 xml:space="preserve">të gjitha ambalazhimet me depozitë mblidhen nga një sistem depozitimi dhe kthimi janë të </w:t>
      </w:r>
      <w:proofErr w:type="spellStart"/>
      <w:r w:rsidRPr="00C51AE9">
        <w:rPr>
          <w:rFonts w:ascii="Times New Roman" w:hAnsi="Times New Roman" w:cs="Times New Roman"/>
        </w:rPr>
        <w:t>etiketuara</w:t>
      </w:r>
      <w:proofErr w:type="spellEnd"/>
      <w:r w:rsidRPr="00C51AE9">
        <w:rPr>
          <w:rFonts w:ascii="Times New Roman" w:hAnsi="Times New Roman" w:cs="Times New Roman"/>
        </w:rPr>
        <w:t xml:space="preserve"> qartë, në mënyrë që përdoruesit fundorë të mund të identifikojnë lehtësisht nevojën për të kthyer ambalazhim të tillë;</w:t>
      </w:r>
    </w:p>
    <w:p w14:paraId="6F785F8B" w14:textId="77777777" w:rsidR="00767CD0" w:rsidRPr="00C51AE9" w:rsidRDefault="00C51AE9" w:rsidP="00F635BF">
      <w:pPr>
        <w:widowControl w:val="0"/>
        <w:numPr>
          <w:ilvl w:val="0"/>
          <w:numId w:val="73"/>
        </w:numPr>
        <w:spacing w:after="0"/>
        <w:contextualSpacing/>
        <w:jc w:val="both"/>
        <w:rPr>
          <w:rFonts w:ascii="Times New Roman" w:hAnsi="Times New Roman" w:cs="Times New Roman"/>
        </w:rPr>
      </w:pPr>
      <w:r w:rsidRPr="00C51AE9">
        <w:rPr>
          <w:rFonts w:ascii="Times New Roman" w:hAnsi="Times New Roman" w:cs="Times New Roman"/>
        </w:rPr>
        <w:t>Tarifat janë transparente.</w:t>
      </w:r>
    </w:p>
    <w:p w14:paraId="77F637DA" w14:textId="77777777" w:rsidR="00767CD0" w:rsidRPr="00C51AE9" w:rsidRDefault="00C51AE9">
      <w:pPr>
        <w:ind w:left="720"/>
        <w:contextualSpacing/>
        <w:jc w:val="both"/>
        <w:rPr>
          <w:rFonts w:ascii="Times New Roman" w:hAnsi="Times New Roman" w:cs="Times New Roman"/>
        </w:rPr>
      </w:pPr>
      <w:r w:rsidRPr="00C51AE9">
        <w:rPr>
          <w:rFonts w:ascii="Times New Roman" w:hAnsi="Times New Roman" w:cs="Times New Roman"/>
        </w:rPr>
        <w:t>Përveç kërkesave minimale, pas konsultimeve me sektorët industrialë përkatës, Ministria  përgjegjëse për mjedisin mund të nisë vendosjen e kërkesave shtesë, sipas rastit, me qëllim që të sigurohet përmbushja e objektivave të këtij Vendimi, në veçanti për të rritur pastërtinë e mbetjeve të mbledhura të ambalazheve, për të reduktuar hedhjen e mbeturinave ose për të promovuar objektiva të tjerë të ekonomisë qarkulluese.</w:t>
      </w:r>
    </w:p>
    <w:p w14:paraId="3BC996D0" w14:textId="77777777" w:rsidR="00767CD0" w:rsidRPr="00C51AE9" w:rsidRDefault="00767CD0">
      <w:pPr>
        <w:ind w:left="720"/>
        <w:contextualSpacing/>
        <w:jc w:val="both"/>
        <w:rPr>
          <w:rFonts w:ascii="Times New Roman" w:hAnsi="Times New Roman" w:cs="Times New Roman"/>
          <w:w w:val="90"/>
        </w:rPr>
      </w:pPr>
    </w:p>
    <w:p w14:paraId="3FAB83B4" w14:textId="77777777" w:rsidR="00767CD0" w:rsidRPr="00C51AE9" w:rsidRDefault="00767CD0">
      <w:pPr>
        <w:ind w:left="720"/>
        <w:contextualSpacing/>
        <w:jc w:val="both"/>
        <w:rPr>
          <w:rFonts w:ascii="Times New Roman" w:hAnsi="Times New Roman" w:cs="Times New Roman"/>
          <w:w w:val="90"/>
        </w:rPr>
      </w:pPr>
    </w:p>
    <w:p w14:paraId="31E85793" w14:textId="77777777" w:rsidR="00767CD0" w:rsidRPr="00C51AE9" w:rsidRDefault="00767CD0">
      <w:pPr>
        <w:jc w:val="both"/>
        <w:rPr>
          <w:rFonts w:ascii="Times New Roman" w:hAnsi="Times New Roman" w:cs="Times New Roman"/>
          <w:w w:val="90"/>
        </w:rPr>
      </w:pPr>
    </w:p>
    <w:p w14:paraId="39746B4F" w14:textId="77777777" w:rsidR="00767CD0" w:rsidRPr="00C51AE9" w:rsidRDefault="00C51AE9">
      <w:pPr>
        <w:jc w:val="both"/>
        <w:rPr>
          <w:rFonts w:ascii="Times New Roman" w:hAnsi="Times New Roman" w:cs="Times New Roman"/>
          <w:i/>
          <w:iCs/>
          <w:w w:val="90"/>
        </w:rPr>
      </w:pPr>
      <w:r w:rsidRPr="00C51AE9">
        <w:br w:type="page"/>
      </w:r>
    </w:p>
    <w:p w14:paraId="4245856C" w14:textId="77777777" w:rsidR="00767CD0" w:rsidRPr="00C51AE9" w:rsidRDefault="00767CD0">
      <w:pPr>
        <w:jc w:val="both"/>
        <w:rPr>
          <w:rFonts w:ascii="Times New Roman" w:hAnsi="Times New Roman" w:cs="Times New Roman"/>
          <w:w w:val="90"/>
        </w:rPr>
      </w:pPr>
    </w:p>
    <w:p w14:paraId="001C6445" w14:textId="77777777" w:rsidR="00767CD0" w:rsidRPr="00C51AE9" w:rsidRDefault="00C51AE9">
      <w:pPr>
        <w:jc w:val="center"/>
        <w:rPr>
          <w:rFonts w:ascii="Times New Roman" w:hAnsi="Times New Roman" w:cs="Times New Roman"/>
          <w:b/>
          <w:bCs/>
        </w:rPr>
      </w:pPr>
      <w:r w:rsidRPr="00C51AE9">
        <w:rPr>
          <w:rFonts w:ascii="Times New Roman" w:hAnsi="Times New Roman" w:cs="Times New Roman"/>
          <w:b/>
          <w:bCs/>
          <w:w w:val="90"/>
        </w:rPr>
        <w:t>SHTOJCA</w:t>
      </w:r>
      <w:r w:rsidRPr="00C51AE9">
        <w:rPr>
          <w:rFonts w:ascii="Times New Roman" w:hAnsi="Times New Roman" w:cs="Times New Roman"/>
          <w:b/>
          <w:bCs/>
        </w:rPr>
        <w:t xml:space="preserve"> X</w:t>
      </w:r>
    </w:p>
    <w:p w14:paraId="5C3F4AFC" w14:textId="77777777" w:rsidR="00767CD0" w:rsidRPr="00C51AE9" w:rsidRDefault="00C51AE9">
      <w:pPr>
        <w:jc w:val="both"/>
        <w:rPr>
          <w:rFonts w:ascii="Times New Roman" w:hAnsi="Times New Roman" w:cs="Times New Roman"/>
          <w:b/>
          <w:bCs/>
          <w:w w:val="90"/>
        </w:rPr>
      </w:pPr>
      <w:r w:rsidRPr="00C51AE9">
        <w:rPr>
          <w:rFonts w:ascii="Times New Roman" w:hAnsi="Times New Roman" w:cs="Times New Roman"/>
        </w:rPr>
        <w:t>Të dhëna që do të përfshihen në bazën e të dhënave për ambalazhimet dhe mbetjet e ambalazhimit (në përputhje me Tabelat 1 deri në 4)</w:t>
      </w:r>
    </w:p>
    <w:p w14:paraId="032C8DED" w14:textId="77777777" w:rsidR="00767CD0" w:rsidRPr="00C51AE9" w:rsidRDefault="00C51AE9">
      <w:pPr>
        <w:widowControl w:val="0"/>
        <w:numPr>
          <w:ilvl w:val="0"/>
          <w:numId w:val="2"/>
        </w:numPr>
        <w:spacing w:after="0"/>
        <w:contextualSpacing/>
        <w:jc w:val="both"/>
        <w:rPr>
          <w:rFonts w:ascii="Times New Roman" w:hAnsi="Times New Roman" w:cs="Times New Roman"/>
        </w:rPr>
      </w:pPr>
      <w:r w:rsidRPr="00C51AE9">
        <w:rPr>
          <w:rFonts w:ascii="Times New Roman" w:hAnsi="Times New Roman" w:cs="Times New Roman"/>
        </w:rPr>
        <w:t>Për shitje, ambalazhimi i grupuar dhe i transportit:</w:t>
      </w:r>
    </w:p>
    <w:p w14:paraId="5F4D7FEF" w14:textId="77777777" w:rsidR="00767CD0" w:rsidRPr="00C51AE9" w:rsidRDefault="00C51AE9" w:rsidP="00F635BF">
      <w:pPr>
        <w:widowControl w:val="0"/>
        <w:numPr>
          <w:ilvl w:val="0"/>
          <w:numId w:val="146"/>
        </w:numPr>
        <w:spacing w:after="0"/>
        <w:ind w:left="720"/>
        <w:contextualSpacing/>
        <w:jc w:val="both"/>
        <w:rPr>
          <w:rFonts w:ascii="Times New Roman" w:hAnsi="Times New Roman" w:cs="Times New Roman"/>
        </w:rPr>
      </w:pPr>
      <w:r w:rsidRPr="00C51AE9">
        <w:rPr>
          <w:rFonts w:ascii="Times New Roman" w:hAnsi="Times New Roman" w:cs="Times New Roman"/>
        </w:rPr>
        <w:t xml:space="preserve">sasitë, për secilën kategori ambalazhimi të ambalazhimit të </w:t>
      </w:r>
      <w:proofErr w:type="spellStart"/>
      <w:r w:rsidRPr="00C51AE9">
        <w:rPr>
          <w:rFonts w:ascii="Times New Roman" w:hAnsi="Times New Roman" w:cs="Times New Roman"/>
        </w:rPr>
        <w:t>gjeneruar</w:t>
      </w:r>
      <w:proofErr w:type="spellEnd"/>
      <w:r w:rsidRPr="00C51AE9">
        <w:rPr>
          <w:rFonts w:ascii="Times New Roman" w:hAnsi="Times New Roman" w:cs="Times New Roman"/>
        </w:rPr>
        <w:t xml:space="preserve"> brenda Shqipërisë (tonazhi i prodhuar, i importuar dhe i ruajtur, minus tonazhi i eksportuar) (Tabela 1);</w:t>
      </w:r>
    </w:p>
    <w:p w14:paraId="3B31CE91" w14:textId="77777777" w:rsidR="00767CD0" w:rsidRPr="00C51AE9" w:rsidRDefault="00C51AE9" w:rsidP="00F635BF">
      <w:pPr>
        <w:widowControl w:val="0"/>
        <w:numPr>
          <w:ilvl w:val="0"/>
          <w:numId w:val="146"/>
        </w:numPr>
        <w:spacing w:after="0"/>
        <w:ind w:left="720"/>
        <w:contextualSpacing/>
        <w:jc w:val="both"/>
        <w:rPr>
          <w:rFonts w:ascii="Times New Roman" w:hAnsi="Times New Roman" w:cs="Times New Roman"/>
        </w:rPr>
      </w:pPr>
      <w:r w:rsidRPr="00C51AE9">
        <w:rPr>
          <w:rFonts w:ascii="Times New Roman" w:hAnsi="Times New Roman" w:cs="Times New Roman"/>
        </w:rPr>
        <w:t xml:space="preserve">sasi të ambalazhimit të </w:t>
      </w:r>
      <w:proofErr w:type="spellStart"/>
      <w:r w:rsidRPr="00C51AE9">
        <w:rPr>
          <w:rFonts w:ascii="Times New Roman" w:hAnsi="Times New Roman" w:cs="Times New Roman"/>
        </w:rPr>
        <w:t>ripërdorshëm</w:t>
      </w:r>
      <w:proofErr w:type="spellEnd"/>
      <w:r w:rsidRPr="00C51AE9">
        <w:rPr>
          <w:rFonts w:ascii="Times New Roman" w:hAnsi="Times New Roman" w:cs="Times New Roman"/>
        </w:rPr>
        <w:t xml:space="preserve"> (Tabela 2).</w:t>
      </w:r>
    </w:p>
    <w:p w14:paraId="00CE59E3" w14:textId="77777777" w:rsidR="00767CD0" w:rsidRPr="00C51AE9" w:rsidRDefault="00C51AE9">
      <w:pPr>
        <w:widowControl w:val="0"/>
        <w:numPr>
          <w:ilvl w:val="0"/>
          <w:numId w:val="2"/>
        </w:numPr>
        <w:spacing w:after="0"/>
        <w:contextualSpacing/>
        <w:jc w:val="both"/>
        <w:rPr>
          <w:rFonts w:ascii="Times New Roman" w:hAnsi="Times New Roman" w:cs="Times New Roman"/>
        </w:rPr>
      </w:pPr>
      <w:r w:rsidRPr="00C51AE9">
        <w:rPr>
          <w:rFonts w:ascii="Times New Roman" w:hAnsi="Times New Roman" w:cs="Times New Roman"/>
        </w:rPr>
        <w:t>Për mbetjet e ambalazhimit të shitjes, të grupuara dhe të transportit:</w:t>
      </w:r>
    </w:p>
    <w:p w14:paraId="075AF857" w14:textId="77777777" w:rsidR="00767CD0" w:rsidRPr="00C51AE9" w:rsidRDefault="00C51AE9" w:rsidP="00F635BF">
      <w:pPr>
        <w:widowControl w:val="0"/>
        <w:numPr>
          <w:ilvl w:val="0"/>
          <w:numId w:val="147"/>
        </w:numPr>
        <w:spacing w:after="0"/>
        <w:ind w:left="720"/>
        <w:contextualSpacing/>
        <w:jc w:val="both"/>
        <w:rPr>
          <w:rFonts w:ascii="Times New Roman" w:hAnsi="Times New Roman" w:cs="Times New Roman"/>
        </w:rPr>
      </w:pPr>
      <w:r w:rsidRPr="00C51AE9">
        <w:rPr>
          <w:rFonts w:ascii="Times New Roman" w:hAnsi="Times New Roman" w:cs="Times New Roman"/>
        </w:rPr>
        <w:t>për secilën kategori ambalazhimi (Tabela 3):</w:t>
      </w:r>
    </w:p>
    <w:p w14:paraId="47F5CECA" w14:textId="77777777" w:rsidR="00767CD0" w:rsidRPr="00C51AE9" w:rsidRDefault="00C51AE9" w:rsidP="00F635BF">
      <w:pPr>
        <w:widowControl w:val="0"/>
        <w:numPr>
          <w:ilvl w:val="0"/>
          <w:numId w:val="148"/>
        </w:numPr>
        <w:spacing w:after="0"/>
        <w:ind w:left="1260"/>
        <w:contextualSpacing/>
        <w:jc w:val="both"/>
        <w:rPr>
          <w:rFonts w:ascii="Times New Roman" w:hAnsi="Times New Roman" w:cs="Times New Roman"/>
        </w:rPr>
      </w:pPr>
      <w:r w:rsidRPr="00C51AE9">
        <w:rPr>
          <w:rFonts w:ascii="Times New Roman" w:hAnsi="Times New Roman" w:cs="Times New Roman"/>
        </w:rPr>
        <w:t xml:space="preserve">sasi të ambalazhimit të </w:t>
      </w:r>
      <w:proofErr w:type="spellStart"/>
      <w:r w:rsidRPr="00C51AE9">
        <w:rPr>
          <w:rFonts w:ascii="Times New Roman" w:hAnsi="Times New Roman" w:cs="Times New Roman"/>
        </w:rPr>
        <w:t>disponueshme</w:t>
      </w:r>
      <w:proofErr w:type="spellEnd"/>
      <w:r w:rsidRPr="00C51AE9">
        <w:rPr>
          <w:rFonts w:ascii="Times New Roman" w:hAnsi="Times New Roman" w:cs="Times New Roman"/>
        </w:rPr>
        <w:t xml:space="preserve"> në territorin e Shqipërisë për herë të parë ose të ambalazhimit nga i cili produktet u shpaketuan nga një prodhues që nuk është përdorues fundor;</w:t>
      </w:r>
    </w:p>
    <w:p w14:paraId="3C0AEEAB" w14:textId="77777777" w:rsidR="00767CD0" w:rsidRPr="00C51AE9" w:rsidRDefault="00C51AE9" w:rsidP="00F635BF">
      <w:pPr>
        <w:widowControl w:val="0"/>
        <w:numPr>
          <w:ilvl w:val="0"/>
          <w:numId w:val="148"/>
        </w:numPr>
        <w:spacing w:after="0"/>
        <w:ind w:left="1260"/>
        <w:contextualSpacing/>
        <w:jc w:val="both"/>
        <w:rPr>
          <w:rFonts w:ascii="Times New Roman" w:hAnsi="Times New Roman" w:cs="Times New Roman"/>
        </w:rPr>
      </w:pPr>
      <w:r w:rsidRPr="00C51AE9">
        <w:rPr>
          <w:rFonts w:ascii="Times New Roman" w:hAnsi="Times New Roman" w:cs="Times New Roman"/>
        </w:rPr>
        <w:t xml:space="preserve">sasi të mbetjeve të ambalazhimit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w:t>
      </w:r>
    </w:p>
    <w:p w14:paraId="0A72D8A9" w14:textId="77777777" w:rsidR="00767CD0" w:rsidRPr="00C51AE9" w:rsidRDefault="00C51AE9" w:rsidP="00F635BF">
      <w:pPr>
        <w:widowControl w:val="0"/>
        <w:numPr>
          <w:ilvl w:val="0"/>
          <w:numId w:val="148"/>
        </w:numPr>
        <w:spacing w:after="0"/>
        <w:ind w:left="1260"/>
        <w:contextualSpacing/>
        <w:jc w:val="both"/>
        <w:rPr>
          <w:rFonts w:ascii="Times New Roman" w:hAnsi="Times New Roman" w:cs="Times New Roman"/>
        </w:rPr>
      </w:pPr>
      <w:r w:rsidRPr="00C51AE9">
        <w:rPr>
          <w:rFonts w:ascii="Times New Roman" w:hAnsi="Times New Roman" w:cs="Times New Roman"/>
        </w:rPr>
        <w:t xml:space="preserve">sasi të ambalazheve të asgjësuara,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xml:space="preserve"> dhe të ricikluara;</w:t>
      </w:r>
    </w:p>
    <w:p w14:paraId="72EE8A42" w14:textId="77777777" w:rsidR="00767CD0" w:rsidRPr="00C51AE9" w:rsidRDefault="00C51AE9" w:rsidP="00F635BF">
      <w:pPr>
        <w:widowControl w:val="0"/>
        <w:numPr>
          <w:ilvl w:val="0"/>
          <w:numId w:val="147"/>
        </w:numPr>
        <w:spacing w:after="0"/>
        <w:ind w:left="720"/>
        <w:contextualSpacing/>
        <w:jc w:val="both"/>
        <w:rPr>
          <w:rFonts w:ascii="Times New Roman" w:hAnsi="Times New Roman" w:cs="Times New Roman"/>
        </w:rPr>
      </w:pPr>
      <w:r w:rsidRPr="00C51AE9">
        <w:rPr>
          <w:rFonts w:ascii="Times New Roman" w:hAnsi="Times New Roman" w:cs="Times New Roman"/>
        </w:rPr>
        <w:t>konsumi vjetor për frymë i qeseve  mbajtëse plastike shumë të lehta, qeseve  mbajtëse plastike të lehta dhe qeseve  mbajtëse plastike të trasha, veçmas për secilën kategori, siç përcaktohet në shkronja b e pikës 1 të nenit 66, (Tabela 4);</w:t>
      </w:r>
    </w:p>
    <w:p w14:paraId="443AEF07" w14:textId="77777777" w:rsidR="00767CD0" w:rsidRPr="00C51AE9" w:rsidRDefault="00C51AE9" w:rsidP="00F635BF">
      <w:pPr>
        <w:widowControl w:val="0"/>
        <w:numPr>
          <w:ilvl w:val="0"/>
          <w:numId w:val="147"/>
        </w:numPr>
        <w:spacing w:after="0"/>
        <w:ind w:left="720"/>
        <w:contextualSpacing/>
        <w:jc w:val="both"/>
        <w:rPr>
          <w:rFonts w:ascii="Times New Roman" w:hAnsi="Times New Roman" w:cs="Times New Roman"/>
        </w:rPr>
      </w:pPr>
      <w:r w:rsidRPr="00C51AE9">
        <w:rPr>
          <w:rFonts w:ascii="Times New Roman" w:hAnsi="Times New Roman" w:cs="Times New Roman"/>
        </w:rPr>
        <w:t>shkalla e grumbullimit të veçantë të formateve të ambalazhimit të mbuluara nga sistemet e kthimit të depozitës, siç përcaktohet në pikën 1 të nenit 60, (Tabela 5).</w:t>
      </w:r>
    </w:p>
    <w:p w14:paraId="23F0AC7F" w14:textId="77777777" w:rsidR="00767CD0" w:rsidRPr="00C51AE9" w:rsidRDefault="00767CD0">
      <w:pPr>
        <w:jc w:val="both"/>
        <w:rPr>
          <w:rFonts w:ascii="Times New Roman" w:hAnsi="Times New Roman" w:cs="Times New Roman"/>
        </w:rPr>
      </w:pPr>
    </w:p>
    <w:p w14:paraId="63164C84"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Tabela 1</w:t>
      </w:r>
    </w:p>
    <w:p w14:paraId="69824F9F"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Sasia e ambalazhit (shitjes, të grupuar dhe të transportit) të </w:t>
      </w:r>
      <w:proofErr w:type="spellStart"/>
      <w:r w:rsidRPr="00C51AE9">
        <w:rPr>
          <w:rFonts w:ascii="Times New Roman" w:hAnsi="Times New Roman" w:cs="Times New Roman"/>
        </w:rPr>
        <w:t>gjeneruar</w:t>
      </w:r>
      <w:proofErr w:type="spellEnd"/>
      <w:r w:rsidRPr="00C51AE9">
        <w:rPr>
          <w:rFonts w:ascii="Times New Roman" w:hAnsi="Times New Roman" w:cs="Times New Roman"/>
        </w:rPr>
        <w:t xml:space="preserve"> në territorin e Shqipërisë</w:t>
      </w:r>
    </w:p>
    <w:p w14:paraId="473587A3" w14:textId="77777777" w:rsidR="00767CD0" w:rsidRPr="00C51AE9" w:rsidRDefault="00767CD0">
      <w:pPr>
        <w:jc w:val="both"/>
        <w:rPr>
          <w:rFonts w:ascii="Times New Roman" w:hAnsi="Times New Roman" w:cs="Times New Roman"/>
          <w:w w:val="90"/>
        </w:rPr>
      </w:pPr>
    </w:p>
    <w:tbl>
      <w:tblPr>
        <w:tblW w:w="5000" w:type="pct"/>
        <w:tblLayout w:type="fixed"/>
        <w:tblCellMar>
          <w:left w:w="5" w:type="dxa"/>
          <w:right w:w="5" w:type="dxa"/>
        </w:tblCellMar>
        <w:tblLook w:val="01E0" w:firstRow="1" w:lastRow="1" w:firstColumn="1" w:lastColumn="1" w:noHBand="0" w:noVBand="0"/>
      </w:tblPr>
      <w:tblGrid>
        <w:gridCol w:w="2489"/>
        <w:gridCol w:w="1304"/>
        <w:gridCol w:w="1306"/>
        <w:gridCol w:w="1304"/>
        <w:gridCol w:w="1304"/>
        <w:gridCol w:w="1309"/>
      </w:tblGrid>
      <w:tr w:rsidR="00C51AE9" w:rsidRPr="00C51AE9" w14:paraId="4DD60FA5" w14:textId="77777777">
        <w:trPr>
          <w:trHeight w:val="627"/>
        </w:trPr>
        <w:tc>
          <w:tcPr>
            <w:tcW w:w="2493" w:type="dxa"/>
            <w:tcBorders>
              <w:top w:val="single" w:sz="4" w:space="0" w:color="000000"/>
              <w:left w:val="single" w:sz="4" w:space="0" w:color="000000"/>
              <w:bottom w:val="single" w:sz="4" w:space="0" w:color="000000"/>
              <w:right w:val="single" w:sz="4" w:space="0" w:color="000000"/>
            </w:tcBorders>
            <w:vAlign w:val="center"/>
          </w:tcPr>
          <w:p w14:paraId="6BA1623C" w14:textId="77777777" w:rsidR="00767CD0" w:rsidRPr="00C51AE9" w:rsidRDefault="00767CD0">
            <w:pPr>
              <w:spacing w:after="0"/>
              <w:jc w:val="cente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94298D3"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Tonazhi i prodhuar</w:t>
            </w:r>
          </w:p>
        </w:tc>
        <w:tc>
          <w:tcPr>
            <w:tcW w:w="1307" w:type="dxa"/>
            <w:tcBorders>
              <w:top w:val="single" w:sz="4" w:space="0" w:color="000000"/>
              <w:left w:val="single" w:sz="4" w:space="0" w:color="000000"/>
              <w:bottom w:val="single" w:sz="4" w:space="0" w:color="000000"/>
              <w:right w:val="single" w:sz="4" w:space="0" w:color="000000"/>
            </w:tcBorders>
            <w:vAlign w:val="center"/>
          </w:tcPr>
          <w:p w14:paraId="7AEDA865"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 Tonazhi i eksportuar</w:t>
            </w:r>
          </w:p>
        </w:tc>
        <w:tc>
          <w:tcPr>
            <w:tcW w:w="1305" w:type="dxa"/>
            <w:tcBorders>
              <w:top w:val="single" w:sz="4" w:space="0" w:color="000000"/>
              <w:left w:val="single" w:sz="4" w:space="0" w:color="000000"/>
              <w:bottom w:val="single" w:sz="4" w:space="0" w:color="000000"/>
              <w:right w:val="single" w:sz="4" w:space="0" w:color="000000"/>
            </w:tcBorders>
            <w:vAlign w:val="center"/>
          </w:tcPr>
          <w:p w14:paraId="0A62316B"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 Tonazhi i importuar</w:t>
            </w:r>
          </w:p>
        </w:tc>
        <w:tc>
          <w:tcPr>
            <w:tcW w:w="1305" w:type="dxa"/>
            <w:tcBorders>
              <w:top w:val="single" w:sz="4" w:space="0" w:color="000000"/>
              <w:left w:val="single" w:sz="4" w:space="0" w:color="000000"/>
              <w:bottom w:val="single" w:sz="4" w:space="0" w:color="000000"/>
              <w:right w:val="single" w:sz="4" w:space="0" w:color="000000"/>
            </w:tcBorders>
            <w:vAlign w:val="center"/>
          </w:tcPr>
          <w:p w14:paraId="740E79C2"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 Tonazhi i ruajtur</w:t>
            </w:r>
          </w:p>
        </w:tc>
        <w:tc>
          <w:tcPr>
            <w:tcW w:w="1310" w:type="dxa"/>
            <w:tcBorders>
              <w:top w:val="single" w:sz="4" w:space="0" w:color="000000"/>
              <w:left w:val="single" w:sz="4" w:space="0" w:color="000000"/>
              <w:bottom w:val="single" w:sz="4" w:space="0" w:color="000000"/>
              <w:right w:val="single" w:sz="4" w:space="0" w:color="000000"/>
            </w:tcBorders>
            <w:vAlign w:val="center"/>
          </w:tcPr>
          <w:p w14:paraId="6A6207E7"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 Totali</w:t>
            </w:r>
          </w:p>
        </w:tc>
      </w:tr>
      <w:tr w:rsidR="00C51AE9" w:rsidRPr="00C51AE9" w14:paraId="28E07418" w14:textId="77777777">
        <w:trPr>
          <w:trHeight w:val="509"/>
        </w:trPr>
        <w:tc>
          <w:tcPr>
            <w:tcW w:w="2493" w:type="dxa"/>
            <w:tcBorders>
              <w:top w:val="single" w:sz="4" w:space="0" w:color="000000"/>
              <w:left w:val="single" w:sz="4" w:space="0" w:color="000000"/>
              <w:bottom w:val="single" w:sz="4" w:space="0" w:color="000000"/>
              <w:right w:val="single" w:sz="4" w:space="0" w:color="000000"/>
            </w:tcBorders>
            <w:vAlign w:val="center"/>
          </w:tcPr>
          <w:p w14:paraId="282307E8"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Qelq</w:t>
            </w:r>
          </w:p>
        </w:tc>
        <w:tc>
          <w:tcPr>
            <w:tcW w:w="1305" w:type="dxa"/>
            <w:tcBorders>
              <w:top w:val="single" w:sz="4" w:space="0" w:color="000000"/>
              <w:left w:val="single" w:sz="4" w:space="0" w:color="000000"/>
              <w:bottom w:val="single" w:sz="4" w:space="0" w:color="000000"/>
              <w:right w:val="single" w:sz="4" w:space="0" w:color="000000"/>
            </w:tcBorders>
          </w:tcPr>
          <w:p w14:paraId="62F31663"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22AEBC44"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2479508D"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5D13EE83"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60B207C1" w14:textId="77777777" w:rsidR="00767CD0" w:rsidRPr="00C51AE9" w:rsidRDefault="00767CD0">
            <w:pPr>
              <w:rPr>
                <w:rFonts w:ascii="Times New Roman" w:hAnsi="Times New Roman" w:cs="Times New Roman"/>
              </w:rPr>
            </w:pPr>
          </w:p>
        </w:tc>
      </w:tr>
      <w:tr w:rsidR="00C51AE9" w:rsidRPr="00C51AE9" w14:paraId="7F09EA5A" w14:textId="77777777">
        <w:trPr>
          <w:trHeight w:val="507"/>
        </w:trPr>
        <w:tc>
          <w:tcPr>
            <w:tcW w:w="2493" w:type="dxa"/>
            <w:tcBorders>
              <w:top w:val="single" w:sz="4" w:space="0" w:color="000000"/>
              <w:left w:val="single" w:sz="4" w:space="0" w:color="000000"/>
              <w:bottom w:val="single" w:sz="4" w:space="0" w:color="000000"/>
              <w:right w:val="single" w:sz="4" w:space="0" w:color="000000"/>
            </w:tcBorders>
            <w:vAlign w:val="center"/>
          </w:tcPr>
          <w:p w14:paraId="45D295A9"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Plastik</w:t>
            </w:r>
          </w:p>
        </w:tc>
        <w:tc>
          <w:tcPr>
            <w:tcW w:w="1305" w:type="dxa"/>
            <w:tcBorders>
              <w:top w:val="single" w:sz="4" w:space="0" w:color="000000"/>
              <w:left w:val="single" w:sz="4" w:space="0" w:color="000000"/>
              <w:bottom w:val="single" w:sz="4" w:space="0" w:color="000000"/>
              <w:right w:val="single" w:sz="4" w:space="0" w:color="000000"/>
            </w:tcBorders>
          </w:tcPr>
          <w:p w14:paraId="3AC43F2C"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15B85F77"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5D3321F5"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0DAAAA05"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67493883" w14:textId="77777777" w:rsidR="00767CD0" w:rsidRPr="00C51AE9" w:rsidRDefault="00767CD0">
            <w:pPr>
              <w:rPr>
                <w:rFonts w:ascii="Times New Roman" w:hAnsi="Times New Roman" w:cs="Times New Roman"/>
              </w:rPr>
            </w:pPr>
          </w:p>
        </w:tc>
      </w:tr>
      <w:tr w:rsidR="00C51AE9" w:rsidRPr="00C51AE9" w14:paraId="5BBA29E6" w14:textId="77777777">
        <w:trPr>
          <w:trHeight w:val="507"/>
        </w:trPr>
        <w:tc>
          <w:tcPr>
            <w:tcW w:w="2493" w:type="dxa"/>
            <w:tcBorders>
              <w:top w:val="single" w:sz="4" w:space="0" w:color="000000"/>
              <w:left w:val="single" w:sz="4" w:space="0" w:color="000000"/>
              <w:bottom w:val="single" w:sz="4" w:space="0" w:color="000000"/>
              <w:right w:val="single" w:sz="4" w:space="0" w:color="000000"/>
            </w:tcBorders>
            <w:vAlign w:val="center"/>
          </w:tcPr>
          <w:p w14:paraId="3A708D0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Letër/karton</w:t>
            </w:r>
          </w:p>
        </w:tc>
        <w:tc>
          <w:tcPr>
            <w:tcW w:w="1305" w:type="dxa"/>
            <w:tcBorders>
              <w:top w:val="single" w:sz="4" w:space="0" w:color="000000"/>
              <w:left w:val="single" w:sz="4" w:space="0" w:color="000000"/>
              <w:bottom w:val="single" w:sz="4" w:space="0" w:color="000000"/>
              <w:right w:val="single" w:sz="4" w:space="0" w:color="000000"/>
            </w:tcBorders>
          </w:tcPr>
          <w:p w14:paraId="0AE056CA"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5B6E2ACB"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2C6C9C6B"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5DB97336"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2E85BD41" w14:textId="77777777" w:rsidR="00767CD0" w:rsidRPr="00C51AE9" w:rsidRDefault="00767CD0">
            <w:pPr>
              <w:rPr>
                <w:rFonts w:ascii="Times New Roman" w:hAnsi="Times New Roman" w:cs="Times New Roman"/>
              </w:rPr>
            </w:pPr>
          </w:p>
        </w:tc>
      </w:tr>
      <w:tr w:rsidR="00C51AE9" w:rsidRPr="00C51AE9" w14:paraId="66ACF111" w14:textId="77777777">
        <w:trPr>
          <w:trHeight w:val="507"/>
        </w:trPr>
        <w:tc>
          <w:tcPr>
            <w:tcW w:w="2493" w:type="dxa"/>
            <w:tcBorders>
              <w:top w:val="single" w:sz="4" w:space="0" w:color="000000"/>
              <w:left w:val="single" w:sz="4" w:space="0" w:color="000000"/>
              <w:bottom w:val="single" w:sz="4" w:space="0" w:color="000000"/>
              <w:right w:val="single" w:sz="4" w:space="0" w:color="000000"/>
            </w:tcBorders>
            <w:vAlign w:val="center"/>
          </w:tcPr>
          <w:p w14:paraId="0FE63AB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metal hekuri</w:t>
            </w:r>
          </w:p>
        </w:tc>
        <w:tc>
          <w:tcPr>
            <w:tcW w:w="1305" w:type="dxa"/>
            <w:tcBorders>
              <w:top w:val="single" w:sz="4" w:space="0" w:color="000000"/>
              <w:left w:val="single" w:sz="4" w:space="0" w:color="000000"/>
              <w:bottom w:val="single" w:sz="4" w:space="0" w:color="000000"/>
              <w:right w:val="single" w:sz="4" w:space="0" w:color="000000"/>
            </w:tcBorders>
          </w:tcPr>
          <w:p w14:paraId="0E684ADE"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520CD0D5"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50B45F55"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32BA258F"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2A3FA515" w14:textId="77777777" w:rsidR="00767CD0" w:rsidRPr="00C51AE9" w:rsidRDefault="00767CD0">
            <w:pPr>
              <w:rPr>
                <w:rFonts w:ascii="Times New Roman" w:hAnsi="Times New Roman" w:cs="Times New Roman"/>
              </w:rPr>
            </w:pPr>
          </w:p>
        </w:tc>
      </w:tr>
      <w:tr w:rsidR="00C51AE9" w:rsidRPr="00C51AE9" w14:paraId="70D256A2" w14:textId="77777777">
        <w:trPr>
          <w:trHeight w:val="507"/>
        </w:trPr>
        <w:tc>
          <w:tcPr>
            <w:tcW w:w="2493" w:type="dxa"/>
            <w:tcBorders>
              <w:top w:val="single" w:sz="4" w:space="0" w:color="000000"/>
              <w:left w:val="single" w:sz="4" w:space="0" w:color="000000"/>
              <w:bottom w:val="single" w:sz="4" w:space="0" w:color="000000"/>
              <w:right w:val="single" w:sz="4" w:space="0" w:color="000000"/>
            </w:tcBorders>
            <w:vAlign w:val="center"/>
          </w:tcPr>
          <w:p w14:paraId="13A8FC3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Alumini</w:t>
            </w:r>
          </w:p>
        </w:tc>
        <w:tc>
          <w:tcPr>
            <w:tcW w:w="1305" w:type="dxa"/>
            <w:tcBorders>
              <w:top w:val="single" w:sz="4" w:space="0" w:color="000000"/>
              <w:left w:val="single" w:sz="4" w:space="0" w:color="000000"/>
              <w:bottom w:val="single" w:sz="4" w:space="0" w:color="000000"/>
              <w:right w:val="single" w:sz="4" w:space="0" w:color="000000"/>
            </w:tcBorders>
          </w:tcPr>
          <w:p w14:paraId="54E14238"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60B62F90"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484BA39E"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18D0CB5A"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1D160534" w14:textId="77777777" w:rsidR="00767CD0" w:rsidRPr="00C51AE9" w:rsidRDefault="00767CD0">
            <w:pPr>
              <w:rPr>
                <w:rFonts w:ascii="Times New Roman" w:hAnsi="Times New Roman" w:cs="Times New Roman"/>
              </w:rPr>
            </w:pPr>
          </w:p>
        </w:tc>
      </w:tr>
      <w:tr w:rsidR="00C51AE9" w:rsidRPr="00C51AE9" w14:paraId="78057A90" w14:textId="77777777">
        <w:trPr>
          <w:trHeight w:val="509"/>
        </w:trPr>
        <w:tc>
          <w:tcPr>
            <w:tcW w:w="2493" w:type="dxa"/>
            <w:tcBorders>
              <w:top w:val="single" w:sz="4" w:space="0" w:color="000000"/>
              <w:left w:val="single" w:sz="4" w:space="0" w:color="000000"/>
              <w:bottom w:val="single" w:sz="4" w:space="0" w:color="000000"/>
              <w:right w:val="single" w:sz="4" w:space="0" w:color="000000"/>
            </w:tcBorders>
            <w:vAlign w:val="center"/>
          </w:tcPr>
          <w:p w14:paraId="50526E46"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Dru</w:t>
            </w:r>
          </w:p>
        </w:tc>
        <w:tc>
          <w:tcPr>
            <w:tcW w:w="1305" w:type="dxa"/>
            <w:tcBorders>
              <w:top w:val="single" w:sz="4" w:space="0" w:color="000000"/>
              <w:left w:val="single" w:sz="4" w:space="0" w:color="000000"/>
              <w:bottom w:val="single" w:sz="4" w:space="0" w:color="000000"/>
              <w:right w:val="single" w:sz="4" w:space="0" w:color="000000"/>
            </w:tcBorders>
          </w:tcPr>
          <w:p w14:paraId="055D6327"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6AB17BF9"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35EDF120"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04482129"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5E2CCEC6" w14:textId="77777777" w:rsidR="00767CD0" w:rsidRPr="00C51AE9" w:rsidRDefault="00767CD0">
            <w:pPr>
              <w:rPr>
                <w:rFonts w:ascii="Times New Roman" w:hAnsi="Times New Roman" w:cs="Times New Roman"/>
              </w:rPr>
            </w:pPr>
          </w:p>
        </w:tc>
      </w:tr>
      <w:tr w:rsidR="00C51AE9" w:rsidRPr="00C51AE9" w14:paraId="13C361DF" w14:textId="77777777">
        <w:trPr>
          <w:trHeight w:val="512"/>
        </w:trPr>
        <w:tc>
          <w:tcPr>
            <w:tcW w:w="2493" w:type="dxa"/>
            <w:tcBorders>
              <w:top w:val="single" w:sz="4" w:space="0" w:color="000000"/>
              <w:left w:val="single" w:sz="4" w:space="0" w:color="000000"/>
              <w:bottom w:val="single" w:sz="4" w:space="0" w:color="000000"/>
              <w:right w:val="single" w:sz="4" w:space="0" w:color="000000"/>
            </w:tcBorders>
            <w:vAlign w:val="center"/>
          </w:tcPr>
          <w:p w14:paraId="053BD11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Tjetër</w:t>
            </w:r>
          </w:p>
        </w:tc>
        <w:tc>
          <w:tcPr>
            <w:tcW w:w="1305" w:type="dxa"/>
            <w:tcBorders>
              <w:top w:val="single" w:sz="4" w:space="0" w:color="000000"/>
              <w:left w:val="single" w:sz="4" w:space="0" w:color="000000"/>
              <w:bottom w:val="single" w:sz="4" w:space="0" w:color="000000"/>
              <w:right w:val="single" w:sz="4" w:space="0" w:color="000000"/>
            </w:tcBorders>
          </w:tcPr>
          <w:p w14:paraId="62D10CAF"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08E091A9"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2A40AC14"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0E165123"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09336557" w14:textId="77777777" w:rsidR="00767CD0" w:rsidRPr="00C51AE9" w:rsidRDefault="00767CD0">
            <w:pPr>
              <w:rPr>
                <w:rFonts w:ascii="Times New Roman" w:hAnsi="Times New Roman" w:cs="Times New Roman"/>
              </w:rPr>
            </w:pPr>
          </w:p>
        </w:tc>
      </w:tr>
      <w:tr w:rsidR="00C51AE9" w:rsidRPr="00C51AE9" w14:paraId="67C1E5DD" w14:textId="77777777">
        <w:trPr>
          <w:trHeight w:val="509"/>
        </w:trPr>
        <w:tc>
          <w:tcPr>
            <w:tcW w:w="2493" w:type="dxa"/>
            <w:tcBorders>
              <w:top w:val="single" w:sz="4" w:space="0" w:color="000000"/>
              <w:left w:val="single" w:sz="4" w:space="0" w:color="000000"/>
              <w:bottom w:val="single" w:sz="4" w:space="0" w:color="000000"/>
              <w:right w:val="single" w:sz="4" w:space="0" w:color="000000"/>
            </w:tcBorders>
            <w:vAlign w:val="center"/>
          </w:tcPr>
          <w:p w14:paraId="498E6261"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Gjithsej</w:t>
            </w:r>
          </w:p>
        </w:tc>
        <w:tc>
          <w:tcPr>
            <w:tcW w:w="1305" w:type="dxa"/>
            <w:tcBorders>
              <w:top w:val="single" w:sz="4" w:space="0" w:color="000000"/>
              <w:left w:val="single" w:sz="4" w:space="0" w:color="000000"/>
              <w:bottom w:val="single" w:sz="4" w:space="0" w:color="000000"/>
              <w:right w:val="single" w:sz="4" w:space="0" w:color="000000"/>
            </w:tcBorders>
          </w:tcPr>
          <w:p w14:paraId="7661102E" w14:textId="77777777" w:rsidR="00767CD0" w:rsidRPr="00C51AE9" w:rsidRDefault="00767CD0">
            <w:pPr>
              <w:rPr>
                <w:rFonts w:ascii="Times New Roman" w:hAnsi="Times New Roman" w:cs="Times New Roman"/>
              </w:rPr>
            </w:pPr>
          </w:p>
        </w:tc>
        <w:tc>
          <w:tcPr>
            <w:tcW w:w="1307" w:type="dxa"/>
            <w:tcBorders>
              <w:top w:val="single" w:sz="4" w:space="0" w:color="000000"/>
              <w:left w:val="single" w:sz="4" w:space="0" w:color="000000"/>
              <w:bottom w:val="single" w:sz="4" w:space="0" w:color="000000"/>
              <w:right w:val="single" w:sz="4" w:space="0" w:color="000000"/>
            </w:tcBorders>
          </w:tcPr>
          <w:p w14:paraId="04B6B8F7"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70E27FC5" w14:textId="77777777" w:rsidR="00767CD0" w:rsidRPr="00C51AE9" w:rsidRDefault="00767CD0">
            <w:pPr>
              <w:rPr>
                <w:rFonts w:ascii="Times New Roman" w:hAnsi="Times New Roman" w:cs="Times New Roman"/>
              </w:rPr>
            </w:pPr>
          </w:p>
        </w:tc>
        <w:tc>
          <w:tcPr>
            <w:tcW w:w="1305" w:type="dxa"/>
            <w:tcBorders>
              <w:top w:val="single" w:sz="4" w:space="0" w:color="000000"/>
              <w:left w:val="single" w:sz="4" w:space="0" w:color="000000"/>
              <w:bottom w:val="single" w:sz="4" w:space="0" w:color="000000"/>
              <w:right w:val="single" w:sz="4" w:space="0" w:color="000000"/>
            </w:tcBorders>
          </w:tcPr>
          <w:p w14:paraId="3C4C9091" w14:textId="77777777" w:rsidR="00767CD0" w:rsidRPr="00C51AE9" w:rsidRDefault="00767CD0">
            <w:pPr>
              <w:rPr>
                <w:rFonts w:ascii="Times New Roman" w:hAnsi="Times New Roman" w:cs="Times New Roman"/>
              </w:rPr>
            </w:pPr>
          </w:p>
        </w:tc>
        <w:tc>
          <w:tcPr>
            <w:tcW w:w="1310" w:type="dxa"/>
            <w:tcBorders>
              <w:top w:val="single" w:sz="4" w:space="0" w:color="000000"/>
              <w:left w:val="single" w:sz="4" w:space="0" w:color="000000"/>
              <w:bottom w:val="single" w:sz="4" w:space="0" w:color="000000"/>
              <w:right w:val="single" w:sz="4" w:space="0" w:color="000000"/>
            </w:tcBorders>
          </w:tcPr>
          <w:p w14:paraId="6052E902" w14:textId="77777777" w:rsidR="00767CD0" w:rsidRPr="00C51AE9" w:rsidRDefault="00767CD0">
            <w:pPr>
              <w:rPr>
                <w:rFonts w:ascii="Times New Roman" w:hAnsi="Times New Roman" w:cs="Times New Roman"/>
              </w:rPr>
            </w:pPr>
          </w:p>
        </w:tc>
      </w:tr>
    </w:tbl>
    <w:p w14:paraId="149C3DF5" w14:textId="77777777" w:rsidR="00767CD0" w:rsidRPr="00C51AE9" w:rsidRDefault="00767CD0">
      <w:pPr>
        <w:jc w:val="both"/>
        <w:rPr>
          <w:rFonts w:ascii="Times New Roman" w:hAnsi="Times New Roman" w:cs="Times New Roman"/>
          <w:w w:val="90"/>
        </w:rPr>
      </w:pPr>
    </w:p>
    <w:p w14:paraId="49019E58" w14:textId="77777777" w:rsidR="00767CD0" w:rsidRPr="00C51AE9" w:rsidRDefault="00C51AE9">
      <w:pPr>
        <w:jc w:val="both"/>
        <w:rPr>
          <w:rFonts w:ascii="Times New Roman" w:hAnsi="Times New Roman" w:cs="Times New Roman"/>
        </w:rPr>
      </w:pPr>
      <w:r w:rsidRPr="00C51AE9">
        <w:rPr>
          <w:rFonts w:ascii="Times New Roman" w:hAnsi="Times New Roman" w:cs="Times New Roman"/>
        </w:rPr>
        <w:lastRenderedPageBreak/>
        <w:t>Tabela 2</w:t>
      </w:r>
    </w:p>
    <w:p w14:paraId="5E24749A"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Sasia e përgjithshme e ambalazheve të </w:t>
      </w:r>
      <w:proofErr w:type="spellStart"/>
      <w:r w:rsidRPr="00C51AE9">
        <w:rPr>
          <w:rFonts w:ascii="Times New Roman" w:hAnsi="Times New Roman" w:cs="Times New Roman"/>
        </w:rPr>
        <w:t>ripërdorshme</w:t>
      </w:r>
      <w:proofErr w:type="spellEnd"/>
      <w:r w:rsidRPr="00C51AE9">
        <w:rPr>
          <w:rFonts w:ascii="Times New Roman" w:hAnsi="Times New Roman" w:cs="Times New Roman"/>
        </w:rPr>
        <w:t xml:space="preserve"> (shitje, të grupuara dhe transporti) e vënë në dispozicion në territorin e Shqipërisë për herë të parë</w:t>
      </w:r>
    </w:p>
    <w:p w14:paraId="379A2198" w14:textId="77777777" w:rsidR="00767CD0" w:rsidRPr="00C51AE9" w:rsidRDefault="00767CD0">
      <w:pPr>
        <w:jc w:val="both"/>
        <w:rPr>
          <w:rFonts w:ascii="Times New Roman" w:hAnsi="Times New Roman" w:cs="Times New Roman"/>
          <w:w w:val="90"/>
        </w:rPr>
      </w:pPr>
    </w:p>
    <w:tbl>
      <w:tblPr>
        <w:tblW w:w="5000" w:type="pct"/>
        <w:tblLayout w:type="fixed"/>
        <w:tblCellMar>
          <w:left w:w="5" w:type="dxa"/>
          <w:right w:w="5" w:type="dxa"/>
        </w:tblCellMar>
        <w:tblLook w:val="01E0" w:firstRow="1" w:lastRow="1" w:firstColumn="1" w:lastColumn="1" w:noHBand="0" w:noVBand="0"/>
      </w:tblPr>
      <w:tblGrid>
        <w:gridCol w:w="1554"/>
        <w:gridCol w:w="1977"/>
        <w:gridCol w:w="1323"/>
        <w:gridCol w:w="1322"/>
        <w:gridCol w:w="1276"/>
        <w:gridCol w:w="1564"/>
      </w:tblGrid>
      <w:tr w:rsidR="00C51AE9" w:rsidRPr="00C51AE9" w14:paraId="47F52D58" w14:textId="77777777">
        <w:trPr>
          <w:trHeight w:val="440"/>
        </w:trPr>
        <w:tc>
          <w:tcPr>
            <w:tcW w:w="1556" w:type="dxa"/>
            <w:vMerge w:val="restart"/>
            <w:tcBorders>
              <w:top w:val="single" w:sz="4" w:space="0" w:color="000000"/>
              <w:left w:val="single" w:sz="4" w:space="0" w:color="000000"/>
              <w:bottom w:val="single" w:sz="4" w:space="0" w:color="000000"/>
              <w:right w:val="single" w:sz="4" w:space="0" w:color="000000"/>
            </w:tcBorders>
            <w:vAlign w:val="center"/>
          </w:tcPr>
          <w:p w14:paraId="2F07A268" w14:textId="77777777" w:rsidR="00767CD0" w:rsidRPr="00C51AE9" w:rsidRDefault="00767CD0">
            <w:pPr>
              <w:spacing w:after="0"/>
              <w:rPr>
                <w:rFonts w:ascii="Times New Roman" w:hAnsi="Times New Roman" w:cs="Times New Roman"/>
                <w:sz w:val="22"/>
                <w:szCs w:val="22"/>
              </w:rPr>
            </w:pPr>
          </w:p>
        </w:tc>
        <w:tc>
          <w:tcPr>
            <w:tcW w:w="1979" w:type="dxa"/>
            <w:vMerge w:val="restart"/>
            <w:tcBorders>
              <w:top w:val="single" w:sz="4" w:space="0" w:color="000000"/>
              <w:left w:val="single" w:sz="4" w:space="0" w:color="000000"/>
              <w:bottom w:val="single" w:sz="4" w:space="0" w:color="000000"/>
              <w:right w:val="single" w:sz="4" w:space="0" w:color="000000"/>
            </w:tcBorders>
            <w:vAlign w:val="center"/>
          </w:tcPr>
          <w:p w14:paraId="52EE2F9F"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Tonazhi i ambalazheve të vëna në dispozicion në territorin e Shqipërisë për herë të parë</w:t>
            </w:r>
          </w:p>
        </w:tc>
        <w:tc>
          <w:tcPr>
            <w:tcW w:w="2647" w:type="dxa"/>
            <w:gridSpan w:val="2"/>
            <w:tcBorders>
              <w:top w:val="single" w:sz="4" w:space="0" w:color="000000"/>
              <w:left w:val="single" w:sz="4" w:space="0" w:color="000000"/>
              <w:bottom w:val="single" w:sz="4" w:space="0" w:color="000000"/>
              <w:right w:val="single" w:sz="4" w:space="0" w:color="000000"/>
            </w:tcBorders>
            <w:vAlign w:val="center"/>
          </w:tcPr>
          <w:p w14:paraId="16A5B750"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 xml:space="preserve">Ambalazh i </w:t>
            </w:r>
            <w:proofErr w:type="spellStart"/>
            <w:r w:rsidRPr="00C51AE9">
              <w:rPr>
                <w:rFonts w:ascii="Times New Roman" w:hAnsi="Times New Roman" w:cs="Times New Roman"/>
                <w:sz w:val="22"/>
                <w:szCs w:val="22"/>
              </w:rPr>
              <w:t>ripërdorshëm</w:t>
            </w:r>
            <w:proofErr w:type="spellEnd"/>
          </w:p>
        </w:tc>
        <w:tc>
          <w:tcPr>
            <w:tcW w:w="2843" w:type="dxa"/>
            <w:gridSpan w:val="2"/>
            <w:tcBorders>
              <w:top w:val="single" w:sz="4" w:space="0" w:color="000000"/>
              <w:left w:val="single" w:sz="4" w:space="0" w:color="000000"/>
              <w:bottom w:val="single" w:sz="4" w:space="0" w:color="000000"/>
              <w:right w:val="single" w:sz="4" w:space="0" w:color="000000"/>
            </w:tcBorders>
            <w:vAlign w:val="center"/>
          </w:tcPr>
          <w:p w14:paraId="6E7635A7"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 xml:space="preserve">ambalazh shitjeje i </w:t>
            </w:r>
            <w:proofErr w:type="spellStart"/>
            <w:r w:rsidRPr="00C51AE9">
              <w:rPr>
                <w:rFonts w:ascii="Times New Roman" w:hAnsi="Times New Roman" w:cs="Times New Roman"/>
                <w:sz w:val="22"/>
                <w:szCs w:val="22"/>
              </w:rPr>
              <w:t>ripërdorshëm</w:t>
            </w:r>
            <w:proofErr w:type="spellEnd"/>
          </w:p>
        </w:tc>
      </w:tr>
      <w:tr w:rsidR="00C51AE9" w:rsidRPr="00C51AE9" w14:paraId="24B15902" w14:textId="77777777">
        <w:trPr>
          <w:trHeight w:val="811"/>
        </w:trPr>
        <w:tc>
          <w:tcPr>
            <w:tcW w:w="1556" w:type="dxa"/>
            <w:vMerge/>
            <w:tcBorders>
              <w:top w:val="single" w:sz="4" w:space="0" w:color="000000"/>
              <w:left w:val="single" w:sz="4" w:space="0" w:color="000000"/>
              <w:bottom w:val="single" w:sz="4" w:space="0" w:color="000000"/>
              <w:right w:val="single" w:sz="4" w:space="0" w:color="000000"/>
            </w:tcBorders>
            <w:vAlign w:val="center"/>
          </w:tcPr>
          <w:p w14:paraId="23D9758B" w14:textId="77777777" w:rsidR="00767CD0" w:rsidRPr="00C51AE9" w:rsidRDefault="00767CD0">
            <w:pPr>
              <w:spacing w:after="0"/>
              <w:rPr>
                <w:rFonts w:ascii="Times New Roman" w:hAnsi="Times New Roman" w:cs="Times New Roman"/>
                <w:sz w:val="22"/>
                <w:szCs w:val="22"/>
              </w:rPr>
            </w:pPr>
          </w:p>
        </w:tc>
        <w:tc>
          <w:tcPr>
            <w:tcW w:w="1979" w:type="dxa"/>
            <w:vMerge/>
            <w:tcBorders>
              <w:top w:val="single" w:sz="4" w:space="0" w:color="000000"/>
              <w:left w:val="single" w:sz="4" w:space="0" w:color="000000"/>
              <w:bottom w:val="single" w:sz="4" w:space="0" w:color="000000"/>
              <w:right w:val="single" w:sz="4" w:space="0" w:color="000000"/>
            </w:tcBorders>
            <w:vAlign w:val="center"/>
          </w:tcPr>
          <w:p w14:paraId="687F108A" w14:textId="77777777" w:rsidR="00767CD0" w:rsidRPr="00C51AE9" w:rsidRDefault="00767CD0">
            <w:pPr>
              <w:spacing w:after="0"/>
              <w:jc w:val="center"/>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6DAA5D11"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Tonazh</w:t>
            </w:r>
          </w:p>
        </w:tc>
        <w:tc>
          <w:tcPr>
            <w:tcW w:w="1323" w:type="dxa"/>
            <w:tcBorders>
              <w:top w:val="single" w:sz="4" w:space="0" w:color="000000"/>
              <w:left w:val="single" w:sz="4" w:space="0" w:color="000000"/>
              <w:bottom w:val="single" w:sz="4" w:space="0" w:color="000000"/>
              <w:right w:val="single" w:sz="4" w:space="0" w:color="000000"/>
            </w:tcBorders>
            <w:vAlign w:val="center"/>
          </w:tcPr>
          <w:p w14:paraId="3BC13456"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 xml:space="preserve">Përqindja e ambalazhimit total të </w:t>
            </w:r>
            <w:proofErr w:type="spellStart"/>
            <w:r w:rsidRPr="00C51AE9">
              <w:rPr>
                <w:rFonts w:ascii="Times New Roman" w:hAnsi="Times New Roman" w:cs="Times New Roman"/>
                <w:sz w:val="22"/>
                <w:szCs w:val="22"/>
              </w:rPr>
              <w:t>ripërdorshëm</w:t>
            </w:r>
            <w:proofErr w:type="spellEnd"/>
          </w:p>
        </w:tc>
        <w:tc>
          <w:tcPr>
            <w:tcW w:w="1277" w:type="dxa"/>
            <w:tcBorders>
              <w:top w:val="single" w:sz="4" w:space="0" w:color="000000"/>
              <w:left w:val="single" w:sz="4" w:space="0" w:color="000000"/>
              <w:bottom w:val="single" w:sz="4" w:space="0" w:color="000000"/>
              <w:right w:val="single" w:sz="4" w:space="0" w:color="000000"/>
            </w:tcBorders>
            <w:vAlign w:val="center"/>
          </w:tcPr>
          <w:p w14:paraId="7E019517"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Tonazh</w:t>
            </w:r>
          </w:p>
        </w:tc>
        <w:tc>
          <w:tcPr>
            <w:tcW w:w="1566" w:type="dxa"/>
            <w:tcBorders>
              <w:top w:val="single" w:sz="4" w:space="0" w:color="000000"/>
              <w:left w:val="single" w:sz="4" w:space="0" w:color="000000"/>
              <w:bottom w:val="single" w:sz="4" w:space="0" w:color="000000"/>
              <w:right w:val="single" w:sz="4" w:space="0" w:color="000000"/>
            </w:tcBorders>
            <w:vAlign w:val="center"/>
          </w:tcPr>
          <w:p w14:paraId="1DC188FF" w14:textId="77777777" w:rsidR="00767CD0" w:rsidRPr="00C51AE9" w:rsidRDefault="00C51AE9">
            <w:pPr>
              <w:spacing w:after="0"/>
              <w:jc w:val="center"/>
              <w:rPr>
                <w:rFonts w:ascii="Times New Roman" w:hAnsi="Times New Roman" w:cs="Times New Roman"/>
                <w:sz w:val="22"/>
                <w:szCs w:val="22"/>
              </w:rPr>
            </w:pPr>
            <w:r w:rsidRPr="00C51AE9">
              <w:rPr>
                <w:rFonts w:ascii="Times New Roman" w:hAnsi="Times New Roman" w:cs="Times New Roman"/>
                <w:sz w:val="22"/>
                <w:szCs w:val="22"/>
              </w:rPr>
              <w:t xml:space="preserve">Përqindja e totalit të ambalazhimit të shitjes të </w:t>
            </w:r>
            <w:proofErr w:type="spellStart"/>
            <w:r w:rsidRPr="00C51AE9">
              <w:rPr>
                <w:rFonts w:ascii="Times New Roman" w:hAnsi="Times New Roman" w:cs="Times New Roman"/>
                <w:sz w:val="22"/>
                <w:szCs w:val="22"/>
              </w:rPr>
              <w:t>ripërdorshëm</w:t>
            </w:r>
            <w:proofErr w:type="spellEnd"/>
          </w:p>
        </w:tc>
      </w:tr>
      <w:tr w:rsidR="00C51AE9" w:rsidRPr="00C51AE9" w14:paraId="41F501B6" w14:textId="77777777">
        <w:trPr>
          <w:trHeight w:val="461"/>
        </w:trPr>
        <w:tc>
          <w:tcPr>
            <w:tcW w:w="1556" w:type="dxa"/>
            <w:tcBorders>
              <w:top w:val="single" w:sz="4" w:space="0" w:color="000000"/>
              <w:left w:val="single" w:sz="4" w:space="0" w:color="000000"/>
              <w:bottom w:val="single" w:sz="4" w:space="0" w:color="000000"/>
              <w:right w:val="single" w:sz="4" w:space="0" w:color="000000"/>
            </w:tcBorders>
            <w:vAlign w:val="center"/>
          </w:tcPr>
          <w:p w14:paraId="42B0684F"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Gotë</w:t>
            </w:r>
          </w:p>
        </w:tc>
        <w:tc>
          <w:tcPr>
            <w:tcW w:w="1979" w:type="dxa"/>
            <w:tcBorders>
              <w:top w:val="single" w:sz="4" w:space="0" w:color="000000"/>
              <w:left w:val="single" w:sz="4" w:space="0" w:color="000000"/>
              <w:bottom w:val="single" w:sz="4" w:space="0" w:color="000000"/>
              <w:right w:val="single" w:sz="4" w:space="0" w:color="000000"/>
            </w:tcBorders>
            <w:vAlign w:val="center"/>
          </w:tcPr>
          <w:p w14:paraId="049E7C97"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4F1E50D2"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590F6952"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3F48513F"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5461AB49" w14:textId="77777777" w:rsidR="00767CD0" w:rsidRPr="00C51AE9" w:rsidRDefault="00767CD0">
            <w:pPr>
              <w:spacing w:after="0"/>
              <w:rPr>
                <w:rFonts w:ascii="Times New Roman" w:hAnsi="Times New Roman" w:cs="Times New Roman"/>
                <w:sz w:val="22"/>
                <w:szCs w:val="22"/>
              </w:rPr>
            </w:pPr>
          </w:p>
        </w:tc>
      </w:tr>
      <w:tr w:rsidR="00C51AE9" w:rsidRPr="00C51AE9" w14:paraId="1932ECB4" w14:textId="77777777">
        <w:trPr>
          <w:trHeight w:val="461"/>
        </w:trPr>
        <w:tc>
          <w:tcPr>
            <w:tcW w:w="1556" w:type="dxa"/>
            <w:tcBorders>
              <w:top w:val="single" w:sz="4" w:space="0" w:color="000000"/>
              <w:left w:val="single" w:sz="4" w:space="0" w:color="000000"/>
              <w:bottom w:val="single" w:sz="4" w:space="0" w:color="000000"/>
              <w:right w:val="single" w:sz="4" w:space="0" w:color="000000"/>
            </w:tcBorders>
            <w:vAlign w:val="center"/>
          </w:tcPr>
          <w:p w14:paraId="6F4F760F"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Plastik</w:t>
            </w:r>
          </w:p>
        </w:tc>
        <w:tc>
          <w:tcPr>
            <w:tcW w:w="1979" w:type="dxa"/>
            <w:tcBorders>
              <w:top w:val="single" w:sz="4" w:space="0" w:color="000000"/>
              <w:left w:val="single" w:sz="4" w:space="0" w:color="000000"/>
              <w:bottom w:val="single" w:sz="4" w:space="0" w:color="000000"/>
              <w:right w:val="single" w:sz="4" w:space="0" w:color="000000"/>
            </w:tcBorders>
            <w:vAlign w:val="center"/>
          </w:tcPr>
          <w:p w14:paraId="56712093"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4CFB7C72"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66E20178"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075F538E"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6F1524D5" w14:textId="77777777" w:rsidR="00767CD0" w:rsidRPr="00C51AE9" w:rsidRDefault="00767CD0">
            <w:pPr>
              <w:spacing w:after="0"/>
              <w:rPr>
                <w:rFonts w:ascii="Times New Roman" w:hAnsi="Times New Roman" w:cs="Times New Roman"/>
                <w:sz w:val="22"/>
                <w:szCs w:val="22"/>
              </w:rPr>
            </w:pPr>
          </w:p>
        </w:tc>
      </w:tr>
      <w:tr w:rsidR="00C51AE9" w:rsidRPr="00C51AE9" w14:paraId="6724A74F" w14:textId="77777777">
        <w:trPr>
          <w:trHeight w:val="461"/>
        </w:trPr>
        <w:tc>
          <w:tcPr>
            <w:tcW w:w="1556" w:type="dxa"/>
            <w:tcBorders>
              <w:top w:val="single" w:sz="4" w:space="0" w:color="000000"/>
              <w:left w:val="single" w:sz="4" w:space="0" w:color="000000"/>
              <w:bottom w:val="single" w:sz="4" w:space="0" w:color="000000"/>
              <w:right w:val="single" w:sz="4" w:space="0" w:color="000000"/>
            </w:tcBorders>
            <w:vAlign w:val="center"/>
          </w:tcPr>
          <w:p w14:paraId="51AF6977"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Letër/karton</w:t>
            </w:r>
          </w:p>
        </w:tc>
        <w:tc>
          <w:tcPr>
            <w:tcW w:w="1979" w:type="dxa"/>
            <w:tcBorders>
              <w:top w:val="single" w:sz="4" w:space="0" w:color="000000"/>
              <w:left w:val="single" w:sz="4" w:space="0" w:color="000000"/>
              <w:bottom w:val="single" w:sz="4" w:space="0" w:color="000000"/>
              <w:right w:val="single" w:sz="4" w:space="0" w:color="000000"/>
            </w:tcBorders>
            <w:vAlign w:val="center"/>
          </w:tcPr>
          <w:p w14:paraId="516DDD49"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7ECF184D"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69E4398E"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7380F8E4"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35D929C8" w14:textId="77777777" w:rsidR="00767CD0" w:rsidRPr="00C51AE9" w:rsidRDefault="00767CD0">
            <w:pPr>
              <w:spacing w:after="0"/>
              <w:rPr>
                <w:rFonts w:ascii="Times New Roman" w:hAnsi="Times New Roman" w:cs="Times New Roman"/>
                <w:sz w:val="22"/>
                <w:szCs w:val="22"/>
              </w:rPr>
            </w:pPr>
          </w:p>
        </w:tc>
      </w:tr>
      <w:tr w:rsidR="00C51AE9" w:rsidRPr="00C51AE9" w14:paraId="541FEE53" w14:textId="77777777">
        <w:trPr>
          <w:trHeight w:val="674"/>
        </w:trPr>
        <w:tc>
          <w:tcPr>
            <w:tcW w:w="1556" w:type="dxa"/>
            <w:tcBorders>
              <w:top w:val="single" w:sz="4" w:space="0" w:color="000000"/>
              <w:left w:val="single" w:sz="4" w:space="0" w:color="000000"/>
              <w:bottom w:val="single" w:sz="4" w:space="0" w:color="000000"/>
              <w:right w:val="single" w:sz="4" w:space="0" w:color="000000"/>
            </w:tcBorders>
            <w:vAlign w:val="center"/>
          </w:tcPr>
          <w:p w14:paraId="043370BF"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metal hekuri (duke përfshirë llamarinë të kallajisur)</w:t>
            </w:r>
          </w:p>
        </w:tc>
        <w:tc>
          <w:tcPr>
            <w:tcW w:w="1979" w:type="dxa"/>
            <w:tcBorders>
              <w:top w:val="single" w:sz="4" w:space="0" w:color="000000"/>
              <w:left w:val="single" w:sz="4" w:space="0" w:color="000000"/>
              <w:bottom w:val="single" w:sz="4" w:space="0" w:color="000000"/>
              <w:right w:val="single" w:sz="4" w:space="0" w:color="000000"/>
            </w:tcBorders>
            <w:vAlign w:val="center"/>
          </w:tcPr>
          <w:p w14:paraId="44790A35"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72895D48"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1ACC7EAE"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3224A5DD"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42FBE228" w14:textId="77777777" w:rsidR="00767CD0" w:rsidRPr="00C51AE9" w:rsidRDefault="00767CD0">
            <w:pPr>
              <w:spacing w:after="0"/>
              <w:rPr>
                <w:rFonts w:ascii="Times New Roman" w:hAnsi="Times New Roman" w:cs="Times New Roman"/>
                <w:sz w:val="22"/>
                <w:szCs w:val="22"/>
              </w:rPr>
            </w:pPr>
          </w:p>
        </w:tc>
      </w:tr>
      <w:tr w:rsidR="00C51AE9" w:rsidRPr="00C51AE9" w14:paraId="1BD2503F" w14:textId="77777777">
        <w:trPr>
          <w:trHeight w:val="463"/>
        </w:trPr>
        <w:tc>
          <w:tcPr>
            <w:tcW w:w="1556" w:type="dxa"/>
            <w:tcBorders>
              <w:top w:val="single" w:sz="4" w:space="0" w:color="000000"/>
              <w:left w:val="single" w:sz="4" w:space="0" w:color="000000"/>
              <w:bottom w:val="single" w:sz="4" w:space="0" w:color="000000"/>
              <w:right w:val="single" w:sz="4" w:space="0" w:color="000000"/>
            </w:tcBorders>
            <w:vAlign w:val="center"/>
          </w:tcPr>
          <w:p w14:paraId="6806BF2A"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alumin</w:t>
            </w:r>
          </w:p>
        </w:tc>
        <w:tc>
          <w:tcPr>
            <w:tcW w:w="1979" w:type="dxa"/>
            <w:tcBorders>
              <w:top w:val="single" w:sz="4" w:space="0" w:color="000000"/>
              <w:left w:val="single" w:sz="4" w:space="0" w:color="000000"/>
              <w:bottom w:val="single" w:sz="4" w:space="0" w:color="000000"/>
              <w:right w:val="single" w:sz="4" w:space="0" w:color="000000"/>
            </w:tcBorders>
            <w:vAlign w:val="center"/>
          </w:tcPr>
          <w:p w14:paraId="65E0A65E"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765B4481"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265FF955"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4AECFE15"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00DC3B0F" w14:textId="77777777" w:rsidR="00767CD0" w:rsidRPr="00C51AE9" w:rsidRDefault="00767CD0">
            <w:pPr>
              <w:spacing w:after="0"/>
              <w:rPr>
                <w:rFonts w:ascii="Times New Roman" w:hAnsi="Times New Roman" w:cs="Times New Roman"/>
                <w:sz w:val="22"/>
                <w:szCs w:val="22"/>
              </w:rPr>
            </w:pPr>
          </w:p>
        </w:tc>
      </w:tr>
      <w:tr w:rsidR="00C51AE9" w:rsidRPr="00C51AE9" w14:paraId="3ABC3022" w14:textId="77777777">
        <w:trPr>
          <w:trHeight w:val="461"/>
        </w:trPr>
        <w:tc>
          <w:tcPr>
            <w:tcW w:w="1556" w:type="dxa"/>
            <w:tcBorders>
              <w:top w:val="single" w:sz="4" w:space="0" w:color="000000"/>
              <w:left w:val="single" w:sz="4" w:space="0" w:color="000000"/>
              <w:bottom w:val="single" w:sz="4" w:space="0" w:color="000000"/>
              <w:right w:val="single" w:sz="4" w:space="0" w:color="000000"/>
            </w:tcBorders>
            <w:vAlign w:val="center"/>
          </w:tcPr>
          <w:p w14:paraId="6E5D314A"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Dru</w:t>
            </w:r>
          </w:p>
        </w:tc>
        <w:tc>
          <w:tcPr>
            <w:tcW w:w="1979" w:type="dxa"/>
            <w:tcBorders>
              <w:top w:val="single" w:sz="4" w:space="0" w:color="000000"/>
              <w:left w:val="single" w:sz="4" w:space="0" w:color="000000"/>
              <w:bottom w:val="single" w:sz="4" w:space="0" w:color="000000"/>
              <w:right w:val="single" w:sz="4" w:space="0" w:color="000000"/>
            </w:tcBorders>
            <w:vAlign w:val="center"/>
          </w:tcPr>
          <w:p w14:paraId="0838D644"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078099A4"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6B92DF20"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7C86B174"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56529F75" w14:textId="77777777" w:rsidR="00767CD0" w:rsidRPr="00C51AE9" w:rsidRDefault="00767CD0">
            <w:pPr>
              <w:spacing w:after="0"/>
              <w:rPr>
                <w:rFonts w:ascii="Times New Roman" w:hAnsi="Times New Roman" w:cs="Times New Roman"/>
                <w:sz w:val="22"/>
                <w:szCs w:val="22"/>
              </w:rPr>
            </w:pPr>
          </w:p>
        </w:tc>
      </w:tr>
      <w:tr w:rsidR="00C51AE9" w:rsidRPr="00C51AE9" w14:paraId="37B6AA8D" w14:textId="77777777">
        <w:trPr>
          <w:trHeight w:val="463"/>
        </w:trPr>
        <w:tc>
          <w:tcPr>
            <w:tcW w:w="1556" w:type="dxa"/>
            <w:tcBorders>
              <w:top w:val="single" w:sz="4" w:space="0" w:color="000000"/>
              <w:left w:val="single" w:sz="4" w:space="0" w:color="000000"/>
              <w:bottom w:val="single" w:sz="4" w:space="0" w:color="000000"/>
              <w:right w:val="single" w:sz="4" w:space="0" w:color="000000"/>
            </w:tcBorders>
            <w:vAlign w:val="center"/>
          </w:tcPr>
          <w:p w14:paraId="608F6004"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Tjetër</w:t>
            </w:r>
          </w:p>
        </w:tc>
        <w:tc>
          <w:tcPr>
            <w:tcW w:w="1979" w:type="dxa"/>
            <w:tcBorders>
              <w:top w:val="single" w:sz="4" w:space="0" w:color="000000"/>
              <w:left w:val="single" w:sz="4" w:space="0" w:color="000000"/>
              <w:bottom w:val="single" w:sz="4" w:space="0" w:color="000000"/>
              <w:right w:val="single" w:sz="4" w:space="0" w:color="000000"/>
            </w:tcBorders>
            <w:vAlign w:val="center"/>
          </w:tcPr>
          <w:p w14:paraId="77636738"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3B7BD385"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186E58AE"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5C4CCA00"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08EE4416" w14:textId="77777777" w:rsidR="00767CD0" w:rsidRPr="00C51AE9" w:rsidRDefault="00767CD0">
            <w:pPr>
              <w:spacing w:after="0"/>
              <w:rPr>
                <w:rFonts w:ascii="Times New Roman" w:hAnsi="Times New Roman" w:cs="Times New Roman"/>
                <w:sz w:val="22"/>
                <w:szCs w:val="22"/>
              </w:rPr>
            </w:pPr>
          </w:p>
        </w:tc>
      </w:tr>
      <w:tr w:rsidR="00C51AE9" w:rsidRPr="00C51AE9" w14:paraId="6D994B14" w14:textId="77777777">
        <w:trPr>
          <w:trHeight w:val="463"/>
        </w:trPr>
        <w:tc>
          <w:tcPr>
            <w:tcW w:w="1556" w:type="dxa"/>
            <w:tcBorders>
              <w:top w:val="single" w:sz="4" w:space="0" w:color="000000"/>
              <w:left w:val="single" w:sz="4" w:space="0" w:color="000000"/>
              <w:bottom w:val="single" w:sz="4" w:space="0" w:color="000000"/>
              <w:right w:val="single" w:sz="4" w:space="0" w:color="000000"/>
            </w:tcBorders>
            <w:vAlign w:val="center"/>
          </w:tcPr>
          <w:p w14:paraId="75B9C3A7" w14:textId="77777777" w:rsidR="00767CD0" w:rsidRPr="00C51AE9" w:rsidRDefault="00C51AE9">
            <w:pPr>
              <w:spacing w:after="0"/>
              <w:rPr>
                <w:rFonts w:ascii="Times New Roman" w:hAnsi="Times New Roman" w:cs="Times New Roman"/>
                <w:sz w:val="22"/>
                <w:szCs w:val="22"/>
              </w:rPr>
            </w:pPr>
            <w:r w:rsidRPr="00C51AE9">
              <w:rPr>
                <w:rFonts w:ascii="Times New Roman" w:hAnsi="Times New Roman" w:cs="Times New Roman"/>
                <w:sz w:val="22"/>
                <w:szCs w:val="22"/>
              </w:rPr>
              <w:t>Totali</w:t>
            </w:r>
          </w:p>
        </w:tc>
        <w:tc>
          <w:tcPr>
            <w:tcW w:w="1979" w:type="dxa"/>
            <w:tcBorders>
              <w:top w:val="single" w:sz="4" w:space="0" w:color="000000"/>
              <w:left w:val="single" w:sz="4" w:space="0" w:color="000000"/>
              <w:bottom w:val="single" w:sz="4" w:space="0" w:color="000000"/>
              <w:right w:val="single" w:sz="4" w:space="0" w:color="000000"/>
            </w:tcBorders>
            <w:vAlign w:val="center"/>
          </w:tcPr>
          <w:p w14:paraId="7293D51A" w14:textId="77777777" w:rsidR="00767CD0" w:rsidRPr="00C51AE9" w:rsidRDefault="00767CD0">
            <w:pPr>
              <w:spacing w:after="0"/>
              <w:rPr>
                <w:rFonts w:ascii="Times New Roman" w:hAnsi="Times New Roman" w:cs="Times New Roman"/>
                <w:sz w:val="22"/>
                <w:szCs w:val="22"/>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2C6334F7" w14:textId="77777777" w:rsidR="00767CD0" w:rsidRPr="00C51AE9" w:rsidRDefault="00767CD0">
            <w:pPr>
              <w:spacing w:after="0"/>
              <w:rPr>
                <w:rFonts w:ascii="Times New Roman" w:hAnsi="Times New Roman" w:cs="Times New Roman"/>
                <w:sz w:val="22"/>
                <w:szCs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14:paraId="74F3BE92" w14:textId="77777777" w:rsidR="00767CD0" w:rsidRPr="00C51AE9" w:rsidRDefault="00767CD0">
            <w:pPr>
              <w:spacing w:after="0"/>
              <w:rPr>
                <w:rFonts w:ascii="Times New Roman" w:hAnsi="Times New Roman" w:cs="Times New Roman"/>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45E2D4E2" w14:textId="77777777" w:rsidR="00767CD0" w:rsidRPr="00C51AE9" w:rsidRDefault="00767CD0">
            <w:pPr>
              <w:spacing w:after="0"/>
              <w:rPr>
                <w:rFonts w:ascii="Times New Roman" w:hAnsi="Times New Roman" w:cs="Times New Roman"/>
                <w:sz w:val="22"/>
                <w:szCs w:val="22"/>
              </w:rPr>
            </w:pPr>
          </w:p>
        </w:tc>
        <w:tc>
          <w:tcPr>
            <w:tcW w:w="1566" w:type="dxa"/>
            <w:tcBorders>
              <w:top w:val="single" w:sz="4" w:space="0" w:color="000000"/>
              <w:left w:val="single" w:sz="4" w:space="0" w:color="000000"/>
              <w:bottom w:val="single" w:sz="4" w:space="0" w:color="000000"/>
              <w:right w:val="single" w:sz="4" w:space="0" w:color="000000"/>
            </w:tcBorders>
            <w:vAlign w:val="center"/>
          </w:tcPr>
          <w:p w14:paraId="2A0DC708" w14:textId="77777777" w:rsidR="00767CD0" w:rsidRPr="00C51AE9" w:rsidRDefault="00767CD0">
            <w:pPr>
              <w:spacing w:after="0"/>
              <w:rPr>
                <w:rFonts w:ascii="Times New Roman" w:hAnsi="Times New Roman" w:cs="Times New Roman"/>
                <w:sz w:val="22"/>
                <w:szCs w:val="22"/>
              </w:rPr>
            </w:pPr>
          </w:p>
        </w:tc>
      </w:tr>
    </w:tbl>
    <w:p w14:paraId="2CE241EB" w14:textId="77777777" w:rsidR="00767CD0" w:rsidRPr="00C51AE9" w:rsidRDefault="00767CD0">
      <w:pPr>
        <w:jc w:val="both"/>
        <w:rPr>
          <w:rFonts w:ascii="Times New Roman" w:hAnsi="Times New Roman" w:cs="Times New Roman"/>
          <w:w w:val="90"/>
        </w:rPr>
        <w:sectPr w:rsidR="00767CD0" w:rsidRPr="00C51AE9">
          <w:headerReference w:type="default" r:id="rId13"/>
          <w:footerReference w:type="default" r:id="rId14"/>
          <w:footerReference w:type="first" r:id="rId15"/>
          <w:pgSz w:w="11906" w:h="16838"/>
          <w:pgMar w:top="1440" w:right="1440" w:bottom="1440" w:left="1440" w:header="720" w:footer="720" w:gutter="0"/>
          <w:cols w:space="720"/>
          <w:formProt w:val="0"/>
          <w:docGrid w:linePitch="360"/>
        </w:sectPr>
      </w:pPr>
    </w:p>
    <w:p w14:paraId="7F078D63" w14:textId="77777777" w:rsidR="00767CD0" w:rsidRPr="00C51AE9" w:rsidRDefault="00C51AE9">
      <w:pPr>
        <w:jc w:val="both"/>
        <w:rPr>
          <w:rFonts w:ascii="Times New Roman" w:hAnsi="Times New Roman" w:cs="Times New Roman"/>
        </w:rPr>
      </w:pPr>
      <w:r w:rsidRPr="00C51AE9">
        <w:rPr>
          <w:rFonts w:ascii="Times New Roman" w:hAnsi="Times New Roman" w:cs="Times New Roman"/>
        </w:rPr>
        <w:lastRenderedPageBreak/>
        <w:t>Tabela 3</w:t>
      </w:r>
    </w:p>
    <w:p w14:paraId="5FC817EF" w14:textId="77777777" w:rsidR="00767CD0" w:rsidRPr="00C51AE9" w:rsidRDefault="00C51AE9">
      <w:pPr>
        <w:jc w:val="both"/>
        <w:rPr>
          <w:rFonts w:ascii="Times New Roman" w:hAnsi="Times New Roman" w:cs="Times New Roman"/>
        </w:rPr>
      </w:pPr>
      <w:r w:rsidRPr="00C51AE9">
        <w:rPr>
          <w:rFonts w:ascii="Times New Roman" w:hAnsi="Times New Roman" w:cs="Times New Roman"/>
        </w:rPr>
        <w:t xml:space="preserve">Sasia për kategori ambalazhimi, siç përcaktohet në Tabelën 2 të Shtojcës II, e: ambalazhimit të vënë në dispozicion në territorin e Shqipërisë për herë të parë; ambalazhimit nga i cili produktet u shpaketuan nga një prodhues që nuk është përdorues fundor; mbetjeve të ambalazhimit të </w:t>
      </w:r>
      <w:proofErr w:type="spellStart"/>
      <w:r w:rsidRPr="00C51AE9">
        <w:rPr>
          <w:rFonts w:ascii="Times New Roman" w:hAnsi="Times New Roman" w:cs="Times New Roman"/>
        </w:rPr>
        <w:t>gjeneruara</w:t>
      </w:r>
      <w:proofErr w:type="spellEnd"/>
      <w:r w:rsidRPr="00C51AE9">
        <w:rPr>
          <w:rFonts w:ascii="Times New Roman" w:hAnsi="Times New Roman" w:cs="Times New Roman"/>
        </w:rPr>
        <w:t xml:space="preserve">; dhe mbetjeve të ambalazhimit të asgjësuara, të </w:t>
      </w:r>
      <w:proofErr w:type="spellStart"/>
      <w:r w:rsidRPr="00C51AE9">
        <w:rPr>
          <w:rFonts w:ascii="Times New Roman" w:hAnsi="Times New Roman" w:cs="Times New Roman"/>
        </w:rPr>
        <w:t>rikuperuara</w:t>
      </w:r>
      <w:proofErr w:type="spellEnd"/>
      <w:r w:rsidRPr="00C51AE9">
        <w:rPr>
          <w:rFonts w:ascii="Times New Roman" w:hAnsi="Times New Roman" w:cs="Times New Roman"/>
        </w:rPr>
        <w:t xml:space="preserve"> dhe të ricikluara në territorin e Shqipërisë dhe të eksportuara</w:t>
      </w:r>
    </w:p>
    <w:tbl>
      <w:tblPr>
        <w:tblW w:w="5000" w:type="pct"/>
        <w:tblLayout w:type="fixed"/>
        <w:tblCellMar>
          <w:left w:w="5" w:type="dxa"/>
          <w:right w:w="5" w:type="dxa"/>
        </w:tblCellMar>
        <w:tblLook w:val="01E0" w:firstRow="1" w:lastRow="1" w:firstColumn="1" w:lastColumn="1" w:noHBand="0" w:noVBand="0"/>
      </w:tblPr>
      <w:tblGrid>
        <w:gridCol w:w="1405"/>
        <w:gridCol w:w="1926"/>
        <w:gridCol w:w="1556"/>
        <w:gridCol w:w="1292"/>
        <w:gridCol w:w="1295"/>
        <w:gridCol w:w="1294"/>
        <w:gridCol w:w="1297"/>
        <w:gridCol w:w="1293"/>
        <w:gridCol w:w="1294"/>
        <w:gridCol w:w="1296"/>
      </w:tblGrid>
      <w:tr w:rsidR="00C51AE9" w:rsidRPr="00C51AE9" w14:paraId="6DCB6E72" w14:textId="77777777">
        <w:trPr>
          <w:trHeight w:val="814"/>
          <w:tblHeader/>
        </w:trPr>
        <w:tc>
          <w:tcPr>
            <w:tcW w:w="1405" w:type="dxa"/>
            <w:vMerge w:val="restart"/>
            <w:tcBorders>
              <w:top w:val="single" w:sz="4" w:space="0" w:color="000000"/>
              <w:left w:val="single" w:sz="4" w:space="0" w:color="000000"/>
              <w:bottom w:val="single" w:sz="4" w:space="0" w:color="000000"/>
              <w:right w:val="single" w:sz="4" w:space="0" w:color="000000"/>
            </w:tcBorders>
            <w:vAlign w:val="center"/>
          </w:tcPr>
          <w:p w14:paraId="1A4B072A" w14:textId="77777777" w:rsidR="00767CD0" w:rsidRPr="00C51AE9" w:rsidRDefault="00767CD0">
            <w:pPr>
              <w:spacing w:after="0"/>
              <w:contextualSpacing/>
              <w:jc w:val="center"/>
              <w:rPr>
                <w:rFonts w:ascii="Times New Roman" w:hAnsi="Times New Roman" w:cs="Times New Roman"/>
                <w:sz w:val="22"/>
                <w:szCs w:val="22"/>
              </w:rPr>
            </w:pPr>
          </w:p>
          <w:p w14:paraId="4B5E99D8" w14:textId="77777777" w:rsidR="00767CD0" w:rsidRPr="00C51AE9" w:rsidRDefault="00767CD0">
            <w:pPr>
              <w:spacing w:after="0"/>
              <w:contextualSpacing/>
              <w:jc w:val="center"/>
              <w:rPr>
                <w:rFonts w:ascii="Times New Roman" w:hAnsi="Times New Roman" w:cs="Times New Roman"/>
                <w:sz w:val="22"/>
                <w:szCs w:val="22"/>
              </w:rPr>
            </w:pPr>
          </w:p>
          <w:p w14:paraId="0740C72B"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Material</w:t>
            </w:r>
          </w:p>
        </w:tc>
        <w:tc>
          <w:tcPr>
            <w:tcW w:w="1926" w:type="dxa"/>
            <w:vMerge w:val="restart"/>
            <w:tcBorders>
              <w:top w:val="single" w:sz="4" w:space="0" w:color="000000"/>
              <w:left w:val="single" w:sz="4" w:space="0" w:color="000000"/>
              <w:bottom w:val="single" w:sz="4" w:space="0" w:color="000000"/>
              <w:right w:val="single" w:sz="4" w:space="0" w:color="000000"/>
            </w:tcBorders>
            <w:vAlign w:val="center"/>
          </w:tcPr>
          <w:p w14:paraId="5B256BF9" w14:textId="77777777" w:rsidR="00767CD0" w:rsidRPr="00C51AE9" w:rsidRDefault="00767CD0">
            <w:pPr>
              <w:spacing w:after="0"/>
              <w:contextualSpacing/>
              <w:jc w:val="center"/>
              <w:rPr>
                <w:rFonts w:ascii="Times New Roman" w:hAnsi="Times New Roman" w:cs="Times New Roman"/>
                <w:sz w:val="22"/>
                <w:szCs w:val="22"/>
              </w:rPr>
            </w:pPr>
          </w:p>
          <w:p w14:paraId="45AC27DE" w14:textId="77777777" w:rsidR="00767CD0" w:rsidRPr="00C51AE9" w:rsidRDefault="00767CD0">
            <w:pPr>
              <w:spacing w:after="0"/>
              <w:contextualSpacing/>
              <w:jc w:val="center"/>
              <w:rPr>
                <w:rFonts w:ascii="Times New Roman" w:hAnsi="Times New Roman" w:cs="Times New Roman"/>
                <w:sz w:val="22"/>
                <w:szCs w:val="22"/>
              </w:rPr>
            </w:pPr>
          </w:p>
          <w:p w14:paraId="78824583"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Kategori</w:t>
            </w:r>
          </w:p>
        </w:tc>
        <w:tc>
          <w:tcPr>
            <w:tcW w:w="1557" w:type="dxa"/>
            <w:vMerge w:val="restart"/>
            <w:tcBorders>
              <w:top w:val="single" w:sz="4" w:space="0" w:color="000000"/>
              <w:left w:val="single" w:sz="4" w:space="0" w:color="000000"/>
              <w:bottom w:val="single" w:sz="4" w:space="0" w:color="000000"/>
              <w:right w:val="single" w:sz="4" w:space="0" w:color="000000"/>
            </w:tcBorders>
            <w:vAlign w:val="center"/>
          </w:tcPr>
          <w:p w14:paraId="38B1B8F0"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 xml:space="preserve">Ambalazh i </w:t>
            </w:r>
            <w:proofErr w:type="spellStart"/>
            <w:r w:rsidRPr="00C51AE9">
              <w:rPr>
                <w:rFonts w:ascii="Times New Roman" w:hAnsi="Times New Roman" w:cs="Times New Roman"/>
                <w:sz w:val="22"/>
                <w:szCs w:val="22"/>
              </w:rPr>
              <w:t>disponueshëm</w:t>
            </w:r>
            <w:proofErr w:type="spellEnd"/>
            <w:r w:rsidRPr="00C51AE9">
              <w:rPr>
                <w:rFonts w:ascii="Times New Roman" w:hAnsi="Times New Roman" w:cs="Times New Roman"/>
                <w:sz w:val="22"/>
                <w:szCs w:val="22"/>
              </w:rPr>
              <w:t xml:space="preserve"> në territorin e Shqipërisë për herë të parë ose i paambalazhuar (t)</w:t>
            </w:r>
          </w:p>
        </w:tc>
        <w:tc>
          <w:tcPr>
            <w:tcW w:w="1293" w:type="dxa"/>
            <w:vMerge w:val="restart"/>
            <w:tcBorders>
              <w:top w:val="single" w:sz="4" w:space="0" w:color="000000"/>
              <w:left w:val="single" w:sz="4" w:space="0" w:color="000000"/>
              <w:bottom w:val="single" w:sz="4" w:space="0" w:color="000000"/>
              <w:right w:val="single" w:sz="4" w:space="0" w:color="000000"/>
            </w:tcBorders>
            <w:vAlign w:val="center"/>
          </w:tcPr>
          <w:p w14:paraId="15109CE4"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Gjenerimi i mbetjeve të ambalazhimit (t)</w:t>
            </w:r>
          </w:p>
        </w:tc>
        <w:tc>
          <w:tcPr>
            <w:tcW w:w="1296" w:type="dxa"/>
            <w:tcBorders>
              <w:top w:val="single" w:sz="4" w:space="0" w:color="000000"/>
              <w:left w:val="single" w:sz="4" w:space="0" w:color="000000"/>
              <w:bottom w:val="single" w:sz="4" w:space="0" w:color="000000"/>
              <w:right w:val="single" w:sz="4" w:space="0" w:color="000000"/>
            </w:tcBorders>
            <w:vAlign w:val="center"/>
          </w:tcPr>
          <w:p w14:paraId="395F982B"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Gjithsej mbetje ambalazhimi të asgjësuara (t)</w:t>
            </w:r>
          </w:p>
        </w:tc>
        <w:tc>
          <w:tcPr>
            <w:tcW w:w="1295" w:type="dxa"/>
            <w:tcBorders>
              <w:top w:val="single" w:sz="4" w:space="0" w:color="000000"/>
              <w:left w:val="single" w:sz="4" w:space="0" w:color="000000"/>
              <w:bottom w:val="single" w:sz="4" w:space="0" w:color="000000"/>
              <w:right w:val="single" w:sz="4" w:space="0" w:color="000000"/>
            </w:tcBorders>
            <w:vAlign w:val="center"/>
          </w:tcPr>
          <w:p w14:paraId="235D6C16"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Mbetje totale të ambalazhimit</w:t>
            </w:r>
          </w:p>
          <w:p w14:paraId="52083FE3"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rikuperuar (t)</w:t>
            </w:r>
          </w:p>
        </w:tc>
        <w:tc>
          <w:tcPr>
            <w:tcW w:w="1298" w:type="dxa"/>
            <w:tcBorders>
              <w:top w:val="single" w:sz="4" w:space="0" w:color="000000"/>
              <w:left w:val="single" w:sz="4" w:space="0" w:color="000000"/>
              <w:bottom w:val="single" w:sz="4" w:space="0" w:color="000000"/>
              <w:right w:val="single" w:sz="4" w:space="0" w:color="000000"/>
            </w:tcBorders>
            <w:vAlign w:val="center"/>
          </w:tcPr>
          <w:p w14:paraId="2187D4A3"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Gjithsej mbetje ambalazhimi të ricikluara (t)</w:t>
            </w:r>
          </w:p>
        </w:tc>
        <w:tc>
          <w:tcPr>
            <w:tcW w:w="1294" w:type="dxa"/>
            <w:tcBorders>
              <w:top w:val="single" w:sz="4" w:space="0" w:color="000000"/>
              <w:left w:val="single" w:sz="4" w:space="0" w:color="000000"/>
              <w:bottom w:val="single" w:sz="4" w:space="0" w:color="000000"/>
              <w:right w:val="single" w:sz="4" w:space="0" w:color="000000"/>
            </w:tcBorders>
            <w:vAlign w:val="center"/>
          </w:tcPr>
          <w:p w14:paraId="72F53DA4"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Totali i mbetjeve të ambalazhimit të asgjësuara (t)</w:t>
            </w:r>
          </w:p>
        </w:tc>
        <w:tc>
          <w:tcPr>
            <w:tcW w:w="1295" w:type="dxa"/>
            <w:tcBorders>
              <w:top w:val="single" w:sz="4" w:space="0" w:color="000000"/>
              <w:left w:val="single" w:sz="4" w:space="0" w:color="000000"/>
              <w:bottom w:val="single" w:sz="4" w:space="0" w:color="000000"/>
              <w:right w:val="single" w:sz="4" w:space="0" w:color="000000"/>
            </w:tcBorders>
            <w:vAlign w:val="center"/>
          </w:tcPr>
          <w:p w14:paraId="454AA0E8"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 xml:space="preserve">Mbetjet totale të ambalazheve të </w:t>
            </w:r>
            <w:proofErr w:type="spellStart"/>
            <w:r w:rsidRPr="00C51AE9">
              <w:rPr>
                <w:rFonts w:ascii="Times New Roman" w:hAnsi="Times New Roman" w:cs="Times New Roman"/>
                <w:sz w:val="22"/>
                <w:szCs w:val="22"/>
              </w:rPr>
              <w:t>rikuperuara</w:t>
            </w:r>
            <w:proofErr w:type="spellEnd"/>
            <w:r w:rsidRPr="00C51AE9">
              <w:rPr>
                <w:rFonts w:ascii="Times New Roman" w:hAnsi="Times New Roman" w:cs="Times New Roman"/>
                <w:sz w:val="22"/>
                <w:szCs w:val="22"/>
              </w:rPr>
              <w:t xml:space="preserve"> (t)</w:t>
            </w:r>
          </w:p>
        </w:tc>
        <w:tc>
          <w:tcPr>
            <w:tcW w:w="1297" w:type="dxa"/>
            <w:tcBorders>
              <w:top w:val="single" w:sz="4" w:space="0" w:color="000000"/>
              <w:left w:val="single" w:sz="4" w:space="0" w:color="000000"/>
              <w:bottom w:val="single" w:sz="4" w:space="0" w:color="000000"/>
              <w:right w:val="single" w:sz="4" w:space="0" w:color="000000"/>
            </w:tcBorders>
            <w:vAlign w:val="center"/>
          </w:tcPr>
          <w:p w14:paraId="5B0BC683"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Mbetjet totale të ambalazhimit të ricikluara (t)</w:t>
            </w:r>
          </w:p>
        </w:tc>
      </w:tr>
      <w:tr w:rsidR="00C51AE9" w:rsidRPr="00C51AE9" w14:paraId="63AF0A00" w14:textId="77777777">
        <w:trPr>
          <w:trHeight w:val="550"/>
          <w:tblHeader/>
        </w:trPr>
        <w:tc>
          <w:tcPr>
            <w:tcW w:w="1405" w:type="dxa"/>
            <w:vMerge/>
            <w:tcBorders>
              <w:top w:val="single" w:sz="4" w:space="0" w:color="000000"/>
              <w:left w:val="single" w:sz="4" w:space="0" w:color="000000"/>
              <w:bottom w:val="single" w:sz="4" w:space="0" w:color="000000"/>
              <w:right w:val="single" w:sz="4" w:space="0" w:color="000000"/>
            </w:tcBorders>
            <w:vAlign w:val="center"/>
          </w:tcPr>
          <w:p w14:paraId="305909F8" w14:textId="77777777" w:rsidR="00767CD0" w:rsidRPr="00C51AE9" w:rsidRDefault="00767CD0">
            <w:pPr>
              <w:spacing w:after="0"/>
              <w:contextualSpacing/>
              <w:jc w:val="center"/>
              <w:rPr>
                <w:rFonts w:ascii="Times New Roman" w:hAnsi="Times New Roman" w:cs="Times New Roman"/>
                <w:sz w:val="22"/>
                <w:szCs w:val="22"/>
              </w:rPr>
            </w:pPr>
          </w:p>
        </w:tc>
        <w:tc>
          <w:tcPr>
            <w:tcW w:w="1926" w:type="dxa"/>
            <w:vMerge/>
            <w:tcBorders>
              <w:top w:val="single" w:sz="4" w:space="0" w:color="000000"/>
              <w:left w:val="single" w:sz="4" w:space="0" w:color="000000"/>
              <w:bottom w:val="single" w:sz="4" w:space="0" w:color="000000"/>
              <w:right w:val="single" w:sz="4" w:space="0" w:color="000000"/>
            </w:tcBorders>
            <w:vAlign w:val="center"/>
          </w:tcPr>
          <w:p w14:paraId="62E040FD" w14:textId="77777777" w:rsidR="00767CD0" w:rsidRPr="00C51AE9" w:rsidRDefault="00767CD0">
            <w:pPr>
              <w:spacing w:after="0"/>
              <w:contextualSpacing/>
              <w:jc w:val="center"/>
              <w:rPr>
                <w:rFonts w:ascii="Times New Roman" w:hAnsi="Times New Roman" w:cs="Times New Roman"/>
                <w:sz w:val="22"/>
                <w:szCs w:val="22"/>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14:paraId="502A1834" w14:textId="77777777" w:rsidR="00767CD0" w:rsidRPr="00C51AE9" w:rsidRDefault="00767CD0">
            <w:pPr>
              <w:spacing w:after="0"/>
              <w:contextualSpacing/>
              <w:jc w:val="center"/>
              <w:rPr>
                <w:rFonts w:ascii="Times New Roman" w:hAnsi="Times New Roman" w:cs="Times New Roman"/>
                <w:sz w:val="22"/>
                <w:szCs w:val="22"/>
              </w:rPr>
            </w:pPr>
          </w:p>
        </w:tc>
        <w:tc>
          <w:tcPr>
            <w:tcW w:w="1293" w:type="dxa"/>
            <w:vMerge/>
            <w:tcBorders>
              <w:top w:val="single" w:sz="4" w:space="0" w:color="000000"/>
              <w:left w:val="single" w:sz="4" w:space="0" w:color="000000"/>
              <w:bottom w:val="single" w:sz="4" w:space="0" w:color="000000"/>
              <w:right w:val="single" w:sz="4" w:space="0" w:color="000000"/>
            </w:tcBorders>
            <w:vAlign w:val="center"/>
          </w:tcPr>
          <w:p w14:paraId="79EF6B1D" w14:textId="77777777" w:rsidR="00767CD0" w:rsidRPr="00C51AE9" w:rsidRDefault="00767CD0">
            <w:pPr>
              <w:spacing w:after="0"/>
              <w:contextualSpacing/>
              <w:jc w:val="center"/>
              <w:rPr>
                <w:rFonts w:ascii="Times New Roman" w:hAnsi="Times New Roman" w:cs="Times New Roman"/>
                <w:sz w:val="22"/>
                <w:szCs w:val="22"/>
              </w:rPr>
            </w:pPr>
          </w:p>
        </w:tc>
        <w:tc>
          <w:tcPr>
            <w:tcW w:w="3889" w:type="dxa"/>
            <w:gridSpan w:val="3"/>
            <w:tcBorders>
              <w:top w:val="single" w:sz="4" w:space="0" w:color="000000"/>
              <w:left w:val="single" w:sz="4" w:space="0" w:color="000000"/>
              <w:bottom w:val="single" w:sz="4" w:space="0" w:color="000000"/>
              <w:right w:val="single" w:sz="4" w:space="0" w:color="000000"/>
            </w:tcBorders>
            <w:vAlign w:val="center"/>
          </w:tcPr>
          <w:p w14:paraId="70ED2AC6"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Në territorin e Shqipërisë</w:t>
            </w:r>
          </w:p>
        </w:tc>
        <w:tc>
          <w:tcPr>
            <w:tcW w:w="3886" w:type="dxa"/>
            <w:gridSpan w:val="3"/>
            <w:tcBorders>
              <w:top w:val="single" w:sz="4" w:space="0" w:color="000000"/>
              <w:left w:val="single" w:sz="4" w:space="0" w:color="000000"/>
              <w:bottom w:val="single" w:sz="4" w:space="0" w:color="000000"/>
              <w:right w:val="single" w:sz="4" w:space="0" w:color="000000"/>
            </w:tcBorders>
            <w:vAlign w:val="center"/>
          </w:tcPr>
          <w:p w14:paraId="558ED5DB" w14:textId="77777777" w:rsidR="00767CD0" w:rsidRPr="00C51AE9" w:rsidRDefault="00C51AE9">
            <w:pPr>
              <w:spacing w:after="0"/>
              <w:contextualSpacing/>
              <w:jc w:val="center"/>
              <w:rPr>
                <w:rFonts w:ascii="Times New Roman" w:hAnsi="Times New Roman" w:cs="Times New Roman"/>
                <w:sz w:val="22"/>
                <w:szCs w:val="22"/>
              </w:rPr>
            </w:pPr>
            <w:r w:rsidRPr="00C51AE9">
              <w:rPr>
                <w:rFonts w:ascii="Times New Roman" w:hAnsi="Times New Roman" w:cs="Times New Roman"/>
                <w:sz w:val="22"/>
                <w:szCs w:val="22"/>
              </w:rPr>
              <w:t>Jashtë territorit të Shqipërisë</w:t>
            </w:r>
          </w:p>
        </w:tc>
      </w:tr>
      <w:tr w:rsidR="00C51AE9" w:rsidRPr="00C51AE9" w14:paraId="36E05353" w14:textId="77777777">
        <w:trPr>
          <w:trHeight w:val="554"/>
        </w:trPr>
        <w:tc>
          <w:tcPr>
            <w:tcW w:w="1405" w:type="dxa"/>
            <w:vMerge w:val="restart"/>
            <w:tcBorders>
              <w:top w:val="single" w:sz="4" w:space="0" w:color="000000"/>
              <w:left w:val="single" w:sz="4" w:space="0" w:color="000000"/>
              <w:bottom w:val="single" w:sz="4" w:space="0" w:color="000000"/>
              <w:right w:val="single" w:sz="4" w:space="0" w:color="000000"/>
            </w:tcBorders>
            <w:vAlign w:val="center"/>
          </w:tcPr>
          <w:p w14:paraId="4D1F7ADD"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Plastik</w:t>
            </w:r>
          </w:p>
        </w:tc>
        <w:tc>
          <w:tcPr>
            <w:tcW w:w="1926" w:type="dxa"/>
            <w:tcBorders>
              <w:top w:val="single" w:sz="4" w:space="0" w:color="000000"/>
              <w:left w:val="single" w:sz="4" w:space="0" w:color="000000"/>
              <w:bottom w:val="single" w:sz="4" w:space="0" w:color="000000"/>
              <w:right w:val="single" w:sz="4" w:space="0" w:color="000000"/>
            </w:tcBorders>
            <w:vAlign w:val="center"/>
          </w:tcPr>
          <w:p w14:paraId="4BB95A75"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PET i ngurtë</w:t>
            </w:r>
          </w:p>
        </w:tc>
        <w:tc>
          <w:tcPr>
            <w:tcW w:w="1557" w:type="dxa"/>
            <w:tcBorders>
              <w:top w:val="single" w:sz="4" w:space="0" w:color="000000"/>
              <w:left w:val="single" w:sz="4" w:space="0" w:color="000000"/>
              <w:bottom w:val="single" w:sz="4" w:space="0" w:color="000000"/>
              <w:right w:val="single" w:sz="4" w:space="0" w:color="000000"/>
            </w:tcBorders>
          </w:tcPr>
          <w:p w14:paraId="20D0231B"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6BDF8C29"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A10FA6D"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78641969"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332FCE0D"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4C009AC5"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4E3E4D6F"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472D7B4F"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57E7B995" w14:textId="77777777">
        <w:trPr>
          <w:trHeight w:val="76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56E977E2"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55A9060C"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 xml:space="preserve">PE i ngurtë, PP i ngurtë, </w:t>
            </w:r>
            <w:proofErr w:type="spellStart"/>
            <w:r w:rsidRPr="00C51AE9">
              <w:rPr>
                <w:rFonts w:ascii="Times New Roman" w:hAnsi="Times New Roman" w:cs="Times New Roman"/>
                <w:sz w:val="22"/>
                <w:szCs w:val="22"/>
              </w:rPr>
              <w:t>HdPE</w:t>
            </w:r>
            <w:proofErr w:type="spellEnd"/>
            <w:r w:rsidRPr="00C51AE9">
              <w:rPr>
                <w:rFonts w:ascii="Times New Roman" w:hAnsi="Times New Roman" w:cs="Times New Roman"/>
                <w:sz w:val="22"/>
                <w:szCs w:val="22"/>
              </w:rPr>
              <w:t xml:space="preserve"> dhe PP i ngurtë</w:t>
            </w:r>
          </w:p>
        </w:tc>
        <w:tc>
          <w:tcPr>
            <w:tcW w:w="1557" w:type="dxa"/>
            <w:tcBorders>
              <w:top w:val="single" w:sz="4" w:space="0" w:color="000000"/>
              <w:left w:val="single" w:sz="4" w:space="0" w:color="000000"/>
              <w:bottom w:val="single" w:sz="4" w:space="0" w:color="000000"/>
              <w:right w:val="single" w:sz="4" w:space="0" w:color="000000"/>
            </w:tcBorders>
          </w:tcPr>
          <w:p w14:paraId="5059D83E"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21C9B338"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51ED2603"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1D8238C"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2BD87F43"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2B96F92B"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59E1B991"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4398CC70"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565060B8" w14:textId="77777777">
        <w:trPr>
          <w:trHeight w:val="55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6FC75B3F"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4E048316"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Filma/</w:t>
            </w:r>
            <w:proofErr w:type="spellStart"/>
            <w:r w:rsidRPr="00C51AE9">
              <w:rPr>
                <w:rFonts w:ascii="Times New Roman" w:hAnsi="Times New Roman" w:cs="Times New Roman"/>
                <w:sz w:val="22"/>
                <w:szCs w:val="22"/>
              </w:rPr>
              <w:t>fleksibël</w:t>
            </w:r>
            <w:proofErr w:type="spellEnd"/>
          </w:p>
        </w:tc>
        <w:tc>
          <w:tcPr>
            <w:tcW w:w="1557" w:type="dxa"/>
            <w:tcBorders>
              <w:top w:val="single" w:sz="4" w:space="0" w:color="000000"/>
              <w:left w:val="single" w:sz="4" w:space="0" w:color="000000"/>
              <w:bottom w:val="single" w:sz="4" w:space="0" w:color="000000"/>
              <w:right w:val="single" w:sz="4" w:space="0" w:color="000000"/>
            </w:tcBorders>
          </w:tcPr>
          <w:p w14:paraId="1E25BEEE"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291A856E"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97DA60C"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64581970"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22D4B9ED"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55ED8393"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3DD8D60"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35854FBA"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008BC285" w14:textId="77777777">
        <w:trPr>
          <w:trHeight w:val="55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649B5DFD"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3771A95F"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PS, XPS, EPS</w:t>
            </w:r>
          </w:p>
        </w:tc>
        <w:tc>
          <w:tcPr>
            <w:tcW w:w="1557" w:type="dxa"/>
            <w:tcBorders>
              <w:top w:val="single" w:sz="4" w:space="0" w:color="000000"/>
              <w:left w:val="single" w:sz="4" w:space="0" w:color="000000"/>
              <w:bottom w:val="single" w:sz="4" w:space="0" w:color="000000"/>
              <w:right w:val="single" w:sz="4" w:space="0" w:color="000000"/>
            </w:tcBorders>
          </w:tcPr>
          <w:p w14:paraId="1E7B8206"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0337D1DC"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0F7AA8CF"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6FAAD667"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07F03006"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246EFA5F"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5087DE16"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075FC817"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514C9C7C" w14:textId="77777777">
        <w:trPr>
          <w:trHeight w:val="55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0CB22995"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29F1F4A0"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Plastika të tjera të ngurta</w:t>
            </w:r>
          </w:p>
        </w:tc>
        <w:tc>
          <w:tcPr>
            <w:tcW w:w="1557" w:type="dxa"/>
            <w:tcBorders>
              <w:top w:val="single" w:sz="4" w:space="0" w:color="000000"/>
              <w:left w:val="single" w:sz="4" w:space="0" w:color="000000"/>
              <w:bottom w:val="single" w:sz="4" w:space="0" w:color="000000"/>
              <w:right w:val="single" w:sz="4" w:space="0" w:color="000000"/>
            </w:tcBorders>
          </w:tcPr>
          <w:p w14:paraId="424265A5"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08424007"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09EF680"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D6381EA"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0D7BB9C4"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5E9239D1"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2AC0E7CF"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4589C4B8"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17825C32" w14:textId="77777777">
        <w:trPr>
          <w:trHeight w:val="76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031C327E"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6BC9BF66" w14:textId="77777777" w:rsidR="00767CD0" w:rsidRPr="00C51AE9" w:rsidRDefault="00C51AE9">
            <w:pPr>
              <w:spacing w:after="0"/>
              <w:contextualSpacing/>
              <w:rPr>
                <w:rFonts w:ascii="Times New Roman" w:hAnsi="Times New Roman" w:cs="Times New Roman"/>
                <w:sz w:val="22"/>
                <w:szCs w:val="22"/>
              </w:rPr>
            </w:pPr>
            <w:proofErr w:type="spellStart"/>
            <w:r w:rsidRPr="00C51AE9">
              <w:rPr>
                <w:rFonts w:ascii="Times New Roman" w:hAnsi="Times New Roman" w:cs="Times New Roman"/>
                <w:sz w:val="22"/>
                <w:szCs w:val="22"/>
              </w:rPr>
              <w:t>Biodegradueshme</w:t>
            </w:r>
            <w:proofErr w:type="spellEnd"/>
            <w:r w:rsidRPr="00C51AE9">
              <w:rPr>
                <w:rFonts w:ascii="Times New Roman" w:hAnsi="Times New Roman" w:cs="Times New Roman"/>
                <w:sz w:val="22"/>
                <w:szCs w:val="22"/>
              </w:rPr>
              <w:t xml:space="preserve"> (të ngurta dhe </w:t>
            </w:r>
            <w:proofErr w:type="spellStart"/>
            <w:r w:rsidRPr="00C51AE9">
              <w:rPr>
                <w:rFonts w:ascii="Times New Roman" w:hAnsi="Times New Roman" w:cs="Times New Roman"/>
                <w:sz w:val="22"/>
                <w:szCs w:val="22"/>
              </w:rPr>
              <w:t>fleksibël</w:t>
            </w:r>
            <w:proofErr w:type="spellEnd"/>
            <w:r w:rsidRPr="00C51AE9">
              <w:rPr>
                <w:rFonts w:ascii="Times New Roman" w:hAnsi="Times New Roman" w:cs="Times New Roman"/>
                <w:sz w:val="22"/>
                <w:szCs w:val="22"/>
              </w:rPr>
              <w:t>)</w:t>
            </w:r>
          </w:p>
        </w:tc>
        <w:tc>
          <w:tcPr>
            <w:tcW w:w="1557" w:type="dxa"/>
            <w:tcBorders>
              <w:top w:val="single" w:sz="4" w:space="0" w:color="000000"/>
              <w:left w:val="single" w:sz="4" w:space="0" w:color="000000"/>
              <w:bottom w:val="single" w:sz="4" w:space="0" w:color="000000"/>
              <w:right w:val="single" w:sz="4" w:space="0" w:color="000000"/>
            </w:tcBorders>
          </w:tcPr>
          <w:p w14:paraId="35C08BAB"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36BAE0FC"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3A55F06D"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0DF54703"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15B20786"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69D75374"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04A976B1"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743B06D7"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378033D8" w14:textId="77777777">
        <w:trPr>
          <w:trHeight w:val="762"/>
        </w:trPr>
        <w:tc>
          <w:tcPr>
            <w:tcW w:w="1405" w:type="dxa"/>
            <w:vMerge w:val="restart"/>
            <w:tcBorders>
              <w:top w:val="single" w:sz="4" w:space="0" w:color="000000"/>
              <w:left w:val="single" w:sz="4" w:space="0" w:color="000000"/>
              <w:bottom w:val="single" w:sz="4" w:space="0" w:color="000000"/>
              <w:right w:val="single" w:sz="4" w:space="0" w:color="000000"/>
            </w:tcBorders>
            <w:vAlign w:val="center"/>
          </w:tcPr>
          <w:p w14:paraId="7F17A7D4"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Letër/karton</w:t>
            </w:r>
          </w:p>
        </w:tc>
        <w:tc>
          <w:tcPr>
            <w:tcW w:w="1926" w:type="dxa"/>
            <w:tcBorders>
              <w:top w:val="single" w:sz="4" w:space="0" w:color="000000"/>
              <w:left w:val="single" w:sz="4" w:space="0" w:color="000000"/>
              <w:bottom w:val="single" w:sz="4" w:space="0" w:color="000000"/>
              <w:right w:val="single" w:sz="4" w:space="0" w:color="000000"/>
            </w:tcBorders>
            <w:vAlign w:val="center"/>
          </w:tcPr>
          <w:p w14:paraId="498E5CA9"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Letër/karton (përveç kartonit për ambalazhim të lëngjeve)</w:t>
            </w:r>
          </w:p>
        </w:tc>
        <w:tc>
          <w:tcPr>
            <w:tcW w:w="1557" w:type="dxa"/>
            <w:tcBorders>
              <w:top w:val="single" w:sz="4" w:space="0" w:color="000000"/>
              <w:left w:val="single" w:sz="4" w:space="0" w:color="000000"/>
              <w:bottom w:val="single" w:sz="4" w:space="0" w:color="000000"/>
              <w:right w:val="single" w:sz="4" w:space="0" w:color="000000"/>
            </w:tcBorders>
          </w:tcPr>
          <w:p w14:paraId="7585A7EB"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2387CB1F"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2B883BB4"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24674142"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283F44CA"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1E3EBB9F"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67B08C1D"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7AFC2E11"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659874BF" w14:textId="77777777">
        <w:trPr>
          <w:trHeight w:val="552"/>
        </w:trPr>
        <w:tc>
          <w:tcPr>
            <w:tcW w:w="1405" w:type="dxa"/>
            <w:vMerge/>
            <w:tcBorders>
              <w:top w:val="single" w:sz="4" w:space="0" w:color="000000"/>
              <w:left w:val="single" w:sz="4" w:space="0" w:color="000000"/>
              <w:bottom w:val="single" w:sz="4" w:space="0" w:color="000000"/>
              <w:right w:val="single" w:sz="4" w:space="0" w:color="000000"/>
            </w:tcBorders>
          </w:tcPr>
          <w:p w14:paraId="4C51AE13"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748FE91D"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karton ambalazhimi për lëngje</w:t>
            </w:r>
          </w:p>
        </w:tc>
        <w:tc>
          <w:tcPr>
            <w:tcW w:w="1557" w:type="dxa"/>
            <w:tcBorders>
              <w:top w:val="single" w:sz="4" w:space="0" w:color="000000"/>
              <w:left w:val="single" w:sz="4" w:space="0" w:color="000000"/>
              <w:bottom w:val="single" w:sz="4" w:space="0" w:color="000000"/>
              <w:right w:val="single" w:sz="4" w:space="0" w:color="000000"/>
            </w:tcBorders>
          </w:tcPr>
          <w:p w14:paraId="4FEEF20C"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1CC8A196"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57EBA832"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06A0628E"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51F193A3"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3BB9BAF1"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5F458A83"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09DFB110"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16330848" w14:textId="77777777">
        <w:trPr>
          <w:trHeight w:val="552"/>
        </w:trPr>
        <w:tc>
          <w:tcPr>
            <w:tcW w:w="1405" w:type="dxa"/>
            <w:vMerge w:val="restart"/>
            <w:tcBorders>
              <w:top w:val="single" w:sz="4" w:space="0" w:color="000000"/>
              <w:left w:val="single" w:sz="4" w:space="0" w:color="000000"/>
              <w:bottom w:val="single" w:sz="4" w:space="0" w:color="000000"/>
              <w:right w:val="single" w:sz="4" w:space="0" w:color="000000"/>
            </w:tcBorders>
            <w:vAlign w:val="center"/>
          </w:tcPr>
          <w:p w14:paraId="24C3BD99"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Metal</w:t>
            </w:r>
          </w:p>
        </w:tc>
        <w:tc>
          <w:tcPr>
            <w:tcW w:w="1926" w:type="dxa"/>
            <w:tcBorders>
              <w:top w:val="single" w:sz="4" w:space="0" w:color="000000"/>
              <w:left w:val="single" w:sz="4" w:space="0" w:color="000000"/>
              <w:bottom w:val="single" w:sz="4" w:space="0" w:color="000000"/>
              <w:right w:val="single" w:sz="4" w:space="0" w:color="000000"/>
            </w:tcBorders>
            <w:vAlign w:val="center"/>
          </w:tcPr>
          <w:p w14:paraId="044D53E1"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alumini</w:t>
            </w:r>
          </w:p>
        </w:tc>
        <w:tc>
          <w:tcPr>
            <w:tcW w:w="1557" w:type="dxa"/>
            <w:tcBorders>
              <w:top w:val="single" w:sz="4" w:space="0" w:color="000000"/>
              <w:left w:val="single" w:sz="4" w:space="0" w:color="000000"/>
              <w:bottom w:val="single" w:sz="4" w:space="0" w:color="000000"/>
              <w:right w:val="single" w:sz="4" w:space="0" w:color="000000"/>
            </w:tcBorders>
          </w:tcPr>
          <w:p w14:paraId="2597822E"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4069F554"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3BF57075"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51E80348"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4CD2C5A2"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4CF4C7F2"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65A75E90"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60E3975F"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01B016DA" w14:textId="77777777">
        <w:trPr>
          <w:trHeight w:val="552"/>
        </w:trPr>
        <w:tc>
          <w:tcPr>
            <w:tcW w:w="1405" w:type="dxa"/>
            <w:vMerge/>
            <w:tcBorders>
              <w:top w:val="single" w:sz="4" w:space="0" w:color="000000"/>
              <w:left w:val="single" w:sz="4" w:space="0" w:color="000000"/>
              <w:bottom w:val="single" w:sz="4" w:space="0" w:color="000000"/>
              <w:right w:val="single" w:sz="4" w:space="0" w:color="000000"/>
            </w:tcBorders>
            <w:vAlign w:val="center"/>
          </w:tcPr>
          <w:p w14:paraId="3ED173CB" w14:textId="77777777" w:rsidR="00767CD0" w:rsidRPr="00C51AE9" w:rsidRDefault="00767CD0">
            <w:pPr>
              <w:spacing w:after="0"/>
              <w:contextualSpacing/>
              <w:rPr>
                <w:rFonts w:ascii="Times New Roman" w:hAnsi="Times New Roman" w:cs="Times New Roman"/>
                <w:sz w:val="22"/>
                <w:szCs w:val="22"/>
              </w:rPr>
            </w:pPr>
          </w:p>
        </w:tc>
        <w:tc>
          <w:tcPr>
            <w:tcW w:w="1926" w:type="dxa"/>
            <w:tcBorders>
              <w:top w:val="single" w:sz="4" w:space="0" w:color="000000"/>
              <w:left w:val="single" w:sz="4" w:space="0" w:color="000000"/>
              <w:bottom w:val="single" w:sz="4" w:space="0" w:color="000000"/>
              <w:right w:val="single" w:sz="4" w:space="0" w:color="000000"/>
            </w:tcBorders>
            <w:vAlign w:val="center"/>
          </w:tcPr>
          <w:p w14:paraId="04541116"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Çelik</w:t>
            </w:r>
          </w:p>
        </w:tc>
        <w:tc>
          <w:tcPr>
            <w:tcW w:w="1557" w:type="dxa"/>
            <w:tcBorders>
              <w:top w:val="single" w:sz="4" w:space="0" w:color="000000"/>
              <w:left w:val="single" w:sz="4" w:space="0" w:color="000000"/>
              <w:bottom w:val="single" w:sz="4" w:space="0" w:color="000000"/>
              <w:right w:val="single" w:sz="4" w:space="0" w:color="000000"/>
            </w:tcBorders>
          </w:tcPr>
          <w:p w14:paraId="28202068"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7387FE16"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432B76B2"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7575694C"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34557242"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4D0D2C50"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0D69C6D7"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2DFDEE6A"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574425DD" w14:textId="77777777">
        <w:trPr>
          <w:trHeight w:val="552"/>
        </w:trPr>
        <w:tc>
          <w:tcPr>
            <w:tcW w:w="1405" w:type="dxa"/>
            <w:tcBorders>
              <w:top w:val="single" w:sz="4" w:space="0" w:color="000000"/>
              <w:left w:val="single" w:sz="4" w:space="0" w:color="000000"/>
              <w:bottom w:val="single" w:sz="4" w:space="0" w:color="000000"/>
              <w:right w:val="single" w:sz="4" w:space="0" w:color="000000"/>
            </w:tcBorders>
            <w:vAlign w:val="center"/>
          </w:tcPr>
          <w:p w14:paraId="5B696177"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Xham</w:t>
            </w:r>
          </w:p>
        </w:tc>
        <w:tc>
          <w:tcPr>
            <w:tcW w:w="1926" w:type="dxa"/>
            <w:tcBorders>
              <w:top w:val="single" w:sz="4" w:space="0" w:color="000000"/>
              <w:left w:val="single" w:sz="4" w:space="0" w:color="000000"/>
              <w:bottom w:val="single" w:sz="4" w:space="0" w:color="000000"/>
              <w:right w:val="single" w:sz="4" w:space="0" w:color="000000"/>
            </w:tcBorders>
            <w:vAlign w:val="center"/>
          </w:tcPr>
          <w:p w14:paraId="74CCFBE1"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Xham</w:t>
            </w:r>
          </w:p>
        </w:tc>
        <w:tc>
          <w:tcPr>
            <w:tcW w:w="1557" w:type="dxa"/>
            <w:tcBorders>
              <w:top w:val="single" w:sz="4" w:space="0" w:color="000000"/>
              <w:left w:val="single" w:sz="4" w:space="0" w:color="000000"/>
              <w:bottom w:val="single" w:sz="4" w:space="0" w:color="000000"/>
              <w:right w:val="single" w:sz="4" w:space="0" w:color="000000"/>
            </w:tcBorders>
          </w:tcPr>
          <w:p w14:paraId="76E7DBEC"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37ECF03C"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17C8FF3F"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4F4D860"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101D8F1A"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5907A313"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507E673"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6B207562"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1CFAC3D0" w14:textId="77777777">
        <w:trPr>
          <w:trHeight w:val="552"/>
        </w:trPr>
        <w:tc>
          <w:tcPr>
            <w:tcW w:w="1405" w:type="dxa"/>
            <w:tcBorders>
              <w:top w:val="single" w:sz="4" w:space="0" w:color="000000"/>
              <w:left w:val="single" w:sz="4" w:space="0" w:color="000000"/>
              <w:bottom w:val="single" w:sz="4" w:space="0" w:color="000000"/>
              <w:right w:val="single" w:sz="4" w:space="0" w:color="000000"/>
            </w:tcBorders>
            <w:vAlign w:val="center"/>
          </w:tcPr>
          <w:p w14:paraId="6C6D7376"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Dru</w:t>
            </w:r>
          </w:p>
        </w:tc>
        <w:tc>
          <w:tcPr>
            <w:tcW w:w="1926" w:type="dxa"/>
            <w:tcBorders>
              <w:top w:val="single" w:sz="4" w:space="0" w:color="000000"/>
              <w:left w:val="single" w:sz="4" w:space="0" w:color="000000"/>
              <w:bottom w:val="single" w:sz="4" w:space="0" w:color="000000"/>
              <w:right w:val="single" w:sz="4" w:space="0" w:color="000000"/>
            </w:tcBorders>
            <w:vAlign w:val="center"/>
          </w:tcPr>
          <w:p w14:paraId="3DF37073"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Dru, tapë</w:t>
            </w:r>
          </w:p>
        </w:tc>
        <w:tc>
          <w:tcPr>
            <w:tcW w:w="1557" w:type="dxa"/>
            <w:tcBorders>
              <w:top w:val="single" w:sz="4" w:space="0" w:color="000000"/>
              <w:left w:val="single" w:sz="4" w:space="0" w:color="000000"/>
              <w:bottom w:val="single" w:sz="4" w:space="0" w:color="000000"/>
              <w:right w:val="single" w:sz="4" w:space="0" w:color="000000"/>
            </w:tcBorders>
          </w:tcPr>
          <w:p w14:paraId="3F2DCBE9"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5AF48535"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1A71ABE"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32B9D8B8"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1EBBE1B0"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28CDE46C"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7DC0C1A5"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66D1E2E8" w14:textId="77777777" w:rsidR="00767CD0" w:rsidRPr="00C51AE9" w:rsidRDefault="00767CD0">
            <w:pPr>
              <w:spacing w:after="0"/>
              <w:contextualSpacing/>
              <w:rPr>
                <w:rFonts w:ascii="Times New Roman" w:hAnsi="Times New Roman" w:cs="Times New Roman"/>
                <w:sz w:val="22"/>
                <w:szCs w:val="22"/>
              </w:rPr>
            </w:pPr>
          </w:p>
        </w:tc>
      </w:tr>
      <w:tr w:rsidR="00C51AE9" w:rsidRPr="00C51AE9" w14:paraId="1EC8C938" w14:textId="77777777">
        <w:trPr>
          <w:trHeight w:val="552"/>
        </w:trPr>
        <w:tc>
          <w:tcPr>
            <w:tcW w:w="1405" w:type="dxa"/>
            <w:tcBorders>
              <w:top w:val="single" w:sz="4" w:space="0" w:color="000000"/>
              <w:left w:val="single" w:sz="4" w:space="0" w:color="000000"/>
              <w:bottom w:val="single" w:sz="4" w:space="0" w:color="000000"/>
              <w:right w:val="single" w:sz="4" w:space="0" w:color="000000"/>
            </w:tcBorders>
            <w:vAlign w:val="center"/>
          </w:tcPr>
          <w:p w14:paraId="5B36BAC2"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Të tjerë</w:t>
            </w:r>
          </w:p>
        </w:tc>
        <w:tc>
          <w:tcPr>
            <w:tcW w:w="1926" w:type="dxa"/>
            <w:tcBorders>
              <w:top w:val="single" w:sz="4" w:space="0" w:color="000000"/>
              <w:left w:val="single" w:sz="4" w:space="0" w:color="000000"/>
              <w:bottom w:val="single" w:sz="4" w:space="0" w:color="000000"/>
              <w:right w:val="single" w:sz="4" w:space="0" w:color="000000"/>
            </w:tcBorders>
            <w:vAlign w:val="center"/>
          </w:tcPr>
          <w:p w14:paraId="5DA78728" w14:textId="77777777" w:rsidR="00767CD0" w:rsidRPr="00C51AE9" w:rsidRDefault="00C51AE9">
            <w:pPr>
              <w:spacing w:after="0"/>
              <w:contextualSpacing/>
              <w:rPr>
                <w:rFonts w:ascii="Times New Roman" w:hAnsi="Times New Roman" w:cs="Times New Roman"/>
                <w:sz w:val="22"/>
                <w:szCs w:val="22"/>
              </w:rPr>
            </w:pPr>
            <w:r w:rsidRPr="00C51AE9">
              <w:rPr>
                <w:rFonts w:ascii="Times New Roman" w:hAnsi="Times New Roman" w:cs="Times New Roman"/>
                <w:sz w:val="22"/>
                <w:szCs w:val="22"/>
              </w:rPr>
              <w:t>Tekstile, qeramikë/porcelan dhe të tjera</w:t>
            </w:r>
          </w:p>
        </w:tc>
        <w:tc>
          <w:tcPr>
            <w:tcW w:w="1557" w:type="dxa"/>
            <w:tcBorders>
              <w:top w:val="single" w:sz="4" w:space="0" w:color="000000"/>
              <w:left w:val="single" w:sz="4" w:space="0" w:color="000000"/>
              <w:bottom w:val="single" w:sz="4" w:space="0" w:color="000000"/>
              <w:right w:val="single" w:sz="4" w:space="0" w:color="000000"/>
            </w:tcBorders>
          </w:tcPr>
          <w:p w14:paraId="7EF8EBD5" w14:textId="77777777" w:rsidR="00767CD0" w:rsidRPr="00C51AE9" w:rsidRDefault="00767CD0">
            <w:pPr>
              <w:spacing w:after="0"/>
              <w:contextualSpacing/>
              <w:rPr>
                <w:rFonts w:ascii="Times New Roman" w:hAnsi="Times New Roman" w:cs="Times New Roman"/>
                <w:sz w:val="22"/>
                <w:szCs w:val="22"/>
              </w:rPr>
            </w:pPr>
          </w:p>
        </w:tc>
        <w:tc>
          <w:tcPr>
            <w:tcW w:w="1293" w:type="dxa"/>
            <w:tcBorders>
              <w:top w:val="single" w:sz="4" w:space="0" w:color="000000"/>
              <w:left w:val="single" w:sz="4" w:space="0" w:color="000000"/>
              <w:bottom w:val="single" w:sz="4" w:space="0" w:color="000000"/>
              <w:right w:val="single" w:sz="4" w:space="0" w:color="000000"/>
            </w:tcBorders>
          </w:tcPr>
          <w:p w14:paraId="2E7C5692" w14:textId="77777777" w:rsidR="00767CD0" w:rsidRPr="00C51AE9" w:rsidRDefault="00767CD0">
            <w:pPr>
              <w:spacing w:after="0"/>
              <w:contextualSpacing/>
              <w:rPr>
                <w:rFonts w:ascii="Times New Roman" w:hAnsi="Times New Roman" w:cs="Times New Roman"/>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311F32E"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12AB2B3E" w14:textId="77777777" w:rsidR="00767CD0" w:rsidRPr="00C51AE9" w:rsidRDefault="00767CD0">
            <w:pPr>
              <w:spacing w:after="0"/>
              <w:contextualSpacing/>
              <w:rPr>
                <w:rFonts w:ascii="Times New Roman" w:hAnsi="Times New Roman" w:cs="Times New Roman"/>
                <w:sz w:val="22"/>
                <w:szCs w:val="22"/>
              </w:rPr>
            </w:pPr>
          </w:p>
        </w:tc>
        <w:tc>
          <w:tcPr>
            <w:tcW w:w="1298" w:type="dxa"/>
            <w:tcBorders>
              <w:top w:val="single" w:sz="4" w:space="0" w:color="000000"/>
              <w:left w:val="single" w:sz="4" w:space="0" w:color="000000"/>
              <w:bottom w:val="single" w:sz="4" w:space="0" w:color="000000"/>
              <w:right w:val="single" w:sz="4" w:space="0" w:color="000000"/>
            </w:tcBorders>
          </w:tcPr>
          <w:p w14:paraId="4BA6A2FE" w14:textId="77777777" w:rsidR="00767CD0" w:rsidRPr="00C51AE9" w:rsidRDefault="00767CD0">
            <w:pPr>
              <w:spacing w:after="0"/>
              <w:contextualSpacing/>
              <w:rPr>
                <w:rFonts w:ascii="Times New Roman" w:hAnsi="Times New Roman" w:cs="Times New Roman"/>
                <w:sz w:val="22"/>
                <w:szCs w:val="22"/>
              </w:rPr>
            </w:pPr>
          </w:p>
        </w:tc>
        <w:tc>
          <w:tcPr>
            <w:tcW w:w="1294" w:type="dxa"/>
            <w:tcBorders>
              <w:top w:val="single" w:sz="4" w:space="0" w:color="000000"/>
              <w:left w:val="single" w:sz="4" w:space="0" w:color="000000"/>
              <w:bottom w:val="single" w:sz="4" w:space="0" w:color="000000"/>
              <w:right w:val="single" w:sz="4" w:space="0" w:color="000000"/>
            </w:tcBorders>
          </w:tcPr>
          <w:p w14:paraId="52C7D053" w14:textId="77777777" w:rsidR="00767CD0" w:rsidRPr="00C51AE9" w:rsidRDefault="00767CD0">
            <w:pPr>
              <w:spacing w:after="0"/>
              <w:contextualSpacing/>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tcPr>
          <w:p w14:paraId="568FE920" w14:textId="77777777" w:rsidR="00767CD0" w:rsidRPr="00C51AE9" w:rsidRDefault="00767CD0">
            <w:pPr>
              <w:spacing w:after="0"/>
              <w:contextualSpacing/>
              <w:rPr>
                <w:rFonts w:ascii="Times New Roman" w:hAnsi="Times New Roman" w:cs="Times New Roman"/>
                <w:sz w:val="22"/>
                <w:szCs w:val="22"/>
              </w:rPr>
            </w:pPr>
          </w:p>
        </w:tc>
        <w:tc>
          <w:tcPr>
            <w:tcW w:w="1297" w:type="dxa"/>
            <w:tcBorders>
              <w:top w:val="single" w:sz="4" w:space="0" w:color="000000"/>
              <w:left w:val="single" w:sz="4" w:space="0" w:color="000000"/>
              <w:bottom w:val="single" w:sz="4" w:space="0" w:color="000000"/>
              <w:right w:val="single" w:sz="4" w:space="0" w:color="000000"/>
            </w:tcBorders>
          </w:tcPr>
          <w:p w14:paraId="69EF5CD2" w14:textId="77777777" w:rsidR="00767CD0" w:rsidRPr="00C51AE9" w:rsidRDefault="00767CD0">
            <w:pPr>
              <w:spacing w:after="0"/>
              <w:contextualSpacing/>
              <w:rPr>
                <w:rFonts w:ascii="Times New Roman" w:hAnsi="Times New Roman" w:cs="Times New Roman"/>
                <w:sz w:val="22"/>
                <w:szCs w:val="22"/>
              </w:rPr>
            </w:pPr>
          </w:p>
        </w:tc>
      </w:tr>
    </w:tbl>
    <w:p w14:paraId="17DC3686" w14:textId="77777777" w:rsidR="00767CD0" w:rsidRPr="00C51AE9" w:rsidRDefault="00767CD0">
      <w:pPr>
        <w:jc w:val="both"/>
        <w:rPr>
          <w:rFonts w:ascii="Times New Roman" w:hAnsi="Times New Roman" w:cs="Times New Roman"/>
          <w:w w:val="90"/>
        </w:rPr>
      </w:pPr>
    </w:p>
    <w:p w14:paraId="76246999" w14:textId="77777777" w:rsidR="00767CD0" w:rsidRPr="00C51AE9" w:rsidRDefault="00767CD0">
      <w:pPr>
        <w:jc w:val="both"/>
        <w:rPr>
          <w:rFonts w:ascii="Times New Roman" w:hAnsi="Times New Roman" w:cs="Times New Roman"/>
          <w:w w:val="90"/>
        </w:rPr>
        <w:sectPr w:rsidR="00767CD0" w:rsidRPr="00C51AE9">
          <w:headerReference w:type="default" r:id="rId16"/>
          <w:footerReference w:type="default" r:id="rId17"/>
          <w:headerReference w:type="first" r:id="rId18"/>
          <w:footerReference w:type="first" r:id="rId19"/>
          <w:pgSz w:w="16838" w:h="11906" w:orient="landscape"/>
          <w:pgMar w:top="1440" w:right="1440" w:bottom="1440" w:left="1440" w:header="720" w:footer="720" w:gutter="0"/>
          <w:cols w:space="720"/>
          <w:formProt w:val="0"/>
          <w:docGrid w:linePitch="360"/>
        </w:sectPr>
      </w:pPr>
    </w:p>
    <w:p w14:paraId="6DF41840" w14:textId="77777777" w:rsidR="00767CD0" w:rsidRPr="00C51AE9" w:rsidRDefault="00C51AE9">
      <w:pPr>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lastRenderedPageBreak/>
        <w:t>Tabela 4</w:t>
      </w:r>
    </w:p>
    <w:p w14:paraId="48535140" w14:textId="77777777" w:rsidR="00767CD0" w:rsidRPr="00C51AE9" w:rsidRDefault="00C51AE9">
      <w:pPr>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Sasia e qeseve plastike të bartjes shumë të lehta, qeseve plastike të bartjes të lehta, qeseve plastike të bartjes të trasha dhe qeseve plastike të bartjes shumë të trasha për frymë, të konsumuara në territorin e Shqipërisë</w:t>
      </w:r>
    </w:p>
    <w:p w14:paraId="3F60E3C9" w14:textId="77777777" w:rsidR="00767CD0" w:rsidRPr="00C51AE9" w:rsidRDefault="00767CD0">
      <w:pPr>
        <w:widowControl w:val="0"/>
        <w:spacing w:before="1" w:after="0"/>
        <w:jc w:val="both"/>
        <w:rPr>
          <w:rFonts w:ascii="Times New Roman" w:eastAsia="Cambria" w:hAnsi="Times New Roman" w:cs="Times New Roman"/>
          <w:kern w:val="0"/>
          <w14:ligatures w14:val="none"/>
        </w:rPr>
      </w:pPr>
    </w:p>
    <w:tbl>
      <w:tblPr>
        <w:tblW w:w="5000" w:type="pct"/>
        <w:tblLayout w:type="fixed"/>
        <w:tblCellMar>
          <w:left w:w="5" w:type="dxa"/>
          <w:right w:w="5" w:type="dxa"/>
        </w:tblCellMar>
        <w:tblLook w:val="01E0" w:firstRow="1" w:lastRow="1" w:firstColumn="1" w:lastColumn="1" w:noHBand="0" w:noVBand="0"/>
      </w:tblPr>
      <w:tblGrid>
        <w:gridCol w:w="4436"/>
        <w:gridCol w:w="2288"/>
        <w:gridCol w:w="2292"/>
      </w:tblGrid>
      <w:tr w:rsidR="00C51AE9" w:rsidRPr="00C51AE9" w14:paraId="5C305976" w14:textId="77777777">
        <w:trPr>
          <w:trHeight w:val="440"/>
        </w:trPr>
        <w:tc>
          <w:tcPr>
            <w:tcW w:w="4440" w:type="dxa"/>
            <w:vMerge w:val="restart"/>
            <w:tcBorders>
              <w:top w:val="single" w:sz="4" w:space="0" w:color="000000"/>
              <w:left w:val="single" w:sz="4" w:space="0" w:color="000000"/>
              <w:bottom w:val="single" w:sz="4" w:space="0" w:color="000000"/>
              <w:right w:val="single" w:sz="4" w:space="0" w:color="000000"/>
            </w:tcBorders>
          </w:tcPr>
          <w:p w14:paraId="030F6034" w14:textId="77777777" w:rsidR="00767CD0" w:rsidRPr="00C51AE9" w:rsidRDefault="00767CD0">
            <w:pPr>
              <w:spacing w:after="0"/>
              <w:rPr>
                <w:rFonts w:ascii="Times New Roman" w:hAnsi="Times New Roman" w:cs="Times New Roman"/>
              </w:rPr>
            </w:pPr>
          </w:p>
        </w:tc>
        <w:tc>
          <w:tcPr>
            <w:tcW w:w="4586" w:type="dxa"/>
            <w:gridSpan w:val="2"/>
            <w:tcBorders>
              <w:top w:val="single" w:sz="4" w:space="0" w:color="000000"/>
              <w:left w:val="single" w:sz="4" w:space="0" w:color="000000"/>
              <w:bottom w:val="single" w:sz="4" w:space="0" w:color="000000"/>
              <w:right w:val="single" w:sz="4" w:space="0" w:color="000000"/>
            </w:tcBorders>
            <w:vAlign w:val="center"/>
          </w:tcPr>
          <w:p w14:paraId="7FEA579F"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Qese  mbajtëse plastike të konsumuara në territorin e Shqipërisë</w:t>
            </w:r>
          </w:p>
        </w:tc>
      </w:tr>
      <w:tr w:rsidR="00C51AE9" w:rsidRPr="00C51AE9" w14:paraId="6C6352F9" w14:textId="77777777">
        <w:trPr>
          <w:trHeight w:val="443"/>
        </w:trPr>
        <w:tc>
          <w:tcPr>
            <w:tcW w:w="4440" w:type="dxa"/>
            <w:vMerge/>
            <w:tcBorders>
              <w:top w:val="single" w:sz="4" w:space="0" w:color="000000"/>
              <w:left w:val="single" w:sz="4" w:space="0" w:color="000000"/>
              <w:bottom w:val="single" w:sz="4" w:space="0" w:color="000000"/>
              <w:right w:val="single" w:sz="4" w:space="0" w:color="000000"/>
            </w:tcBorders>
          </w:tcPr>
          <w:p w14:paraId="45E4E799" w14:textId="77777777" w:rsidR="00767CD0" w:rsidRPr="00C51AE9" w:rsidRDefault="00767CD0">
            <w:pPr>
              <w:spacing w:after="0"/>
              <w:rPr>
                <w:rFonts w:ascii="Times New Roman" w:hAnsi="Times New Roman" w:cs="Times New Roman"/>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7995A95A"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Numri për frymë</w:t>
            </w:r>
          </w:p>
        </w:tc>
        <w:tc>
          <w:tcPr>
            <w:tcW w:w="2295" w:type="dxa"/>
            <w:tcBorders>
              <w:top w:val="single" w:sz="4" w:space="0" w:color="000000"/>
              <w:left w:val="single" w:sz="4" w:space="0" w:color="000000"/>
              <w:bottom w:val="single" w:sz="4" w:space="0" w:color="000000"/>
              <w:right w:val="single" w:sz="4" w:space="0" w:color="000000"/>
            </w:tcBorders>
            <w:vAlign w:val="center"/>
          </w:tcPr>
          <w:p w14:paraId="7D8EDA8D"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Ton për frymë</w:t>
            </w:r>
          </w:p>
        </w:tc>
      </w:tr>
      <w:tr w:rsidR="00C51AE9" w:rsidRPr="00C51AE9" w14:paraId="5F31D30C" w14:textId="77777777">
        <w:trPr>
          <w:trHeight w:val="802"/>
        </w:trPr>
        <w:tc>
          <w:tcPr>
            <w:tcW w:w="4440" w:type="dxa"/>
            <w:tcBorders>
              <w:top w:val="single" w:sz="4" w:space="0" w:color="000000"/>
              <w:left w:val="single" w:sz="4" w:space="0" w:color="000000"/>
              <w:bottom w:val="single" w:sz="4" w:space="0" w:color="000000"/>
              <w:right w:val="single" w:sz="4" w:space="0" w:color="000000"/>
            </w:tcBorders>
            <w:vAlign w:val="center"/>
          </w:tcPr>
          <w:p w14:paraId="39730F1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transporti plastike shumë të lehta</w:t>
            </w:r>
          </w:p>
          <w:p w14:paraId="0E17EB10"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mbajtëse plastike me trashësi muri nën 15 mikronë</w:t>
            </w:r>
          </w:p>
        </w:tc>
        <w:tc>
          <w:tcPr>
            <w:tcW w:w="2291" w:type="dxa"/>
            <w:tcBorders>
              <w:top w:val="single" w:sz="4" w:space="0" w:color="000000"/>
              <w:left w:val="single" w:sz="4" w:space="0" w:color="000000"/>
              <w:bottom w:val="single" w:sz="4" w:space="0" w:color="000000"/>
              <w:right w:val="single" w:sz="4" w:space="0" w:color="000000"/>
            </w:tcBorders>
          </w:tcPr>
          <w:p w14:paraId="46A16D46" w14:textId="77777777" w:rsidR="00767CD0" w:rsidRPr="00C51AE9" w:rsidRDefault="00767CD0">
            <w:pPr>
              <w:spacing w:after="0"/>
              <w:rPr>
                <w:rFonts w:ascii="Times New Roman" w:hAnsi="Times New Roman" w:cs="Times New Roman"/>
              </w:rPr>
            </w:pPr>
          </w:p>
        </w:tc>
        <w:tc>
          <w:tcPr>
            <w:tcW w:w="2295" w:type="dxa"/>
            <w:tcBorders>
              <w:top w:val="single" w:sz="4" w:space="0" w:color="000000"/>
              <w:left w:val="single" w:sz="4" w:space="0" w:color="000000"/>
              <w:bottom w:val="single" w:sz="4" w:space="0" w:color="000000"/>
              <w:right w:val="single" w:sz="4" w:space="0" w:color="000000"/>
            </w:tcBorders>
          </w:tcPr>
          <w:p w14:paraId="39E9F391" w14:textId="77777777" w:rsidR="00767CD0" w:rsidRPr="00C51AE9" w:rsidRDefault="00767CD0">
            <w:pPr>
              <w:spacing w:after="0"/>
              <w:rPr>
                <w:rFonts w:ascii="Times New Roman" w:hAnsi="Times New Roman" w:cs="Times New Roman"/>
              </w:rPr>
            </w:pPr>
          </w:p>
        </w:tc>
      </w:tr>
      <w:tr w:rsidR="00C51AE9" w:rsidRPr="00C51AE9" w14:paraId="5E4D95C7" w14:textId="77777777">
        <w:trPr>
          <w:trHeight w:val="799"/>
        </w:trPr>
        <w:tc>
          <w:tcPr>
            <w:tcW w:w="4440" w:type="dxa"/>
            <w:tcBorders>
              <w:top w:val="single" w:sz="4" w:space="0" w:color="000000"/>
              <w:left w:val="single" w:sz="4" w:space="0" w:color="000000"/>
              <w:bottom w:val="single" w:sz="4" w:space="0" w:color="000000"/>
              <w:right w:val="single" w:sz="4" w:space="0" w:color="000000"/>
            </w:tcBorders>
            <w:vAlign w:val="center"/>
          </w:tcPr>
          <w:p w14:paraId="157A573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plastike të lehta për bartje</w:t>
            </w:r>
          </w:p>
          <w:p w14:paraId="11719DDF"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mbajtëse plastike me trashësi muri nën 70mikronë</w:t>
            </w:r>
          </w:p>
        </w:tc>
        <w:tc>
          <w:tcPr>
            <w:tcW w:w="2291" w:type="dxa"/>
            <w:tcBorders>
              <w:top w:val="single" w:sz="4" w:space="0" w:color="000000"/>
              <w:left w:val="single" w:sz="4" w:space="0" w:color="000000"/>
              <w:bottom w:val="single" w:sz="4" w:space="0" w:color="000000"/>
              <w:right w:val="single" w:sz="4" w:space="0" w:color="000000"/>
            </w:tcBorders>
          </w:tcPr>
          <w:p w14:paraId="4EC23E44" w14:textId="77777777" w:rsidR="00767CD0" w:rsidRPr="00C51AE9" w:rsidRDefault="00767CD0">
            <w:pPr>
              <w:spacing w:after="0"/>
              <w:rPr>
                <w:rFonts w:ascii="Times New Roman" w:hAnsi="Times New Roman" w:cs="Times New Roman"/>
              </w:rPr>
            </w:pPr>
          </w:p>
        </w:tc>
        <w:tc>
          <w:tcPr>
            <w:tcW w:w="2295" w:type="dxa"/>
            <w:tcBorders>
              <w:top w:val="single" w:sz="4" w:space="0" w:color="000000"/>
              <w:left w:val="single" w:sz="4" w:space="0" w:color="000000"/>
              <w:bottom w:val="single" w:sz="4" w:space="0" w:color="000000"/>
              <w:right w:val="single" w:sz="4" w:space="0" w:color="000000"/>
            </w:tcBorders>
          </w:tcPr>
          <w:p w14:paraId="0CDB90C5" w14:textId="77777777" w:rsidR="00767CD0" w:rsidRPr="00C51AE9" w:rsidRDefault="00767CD0">
            <w:pPr>
              <w:spacing w:after="0"/>
              <w:rPr>
                <w:rFonts w:ascii="Times New Roman" w:hAnsi="Times New Roman" w:cs="Times New Roman"/>
              </w:rPr>
            </w:pPr>
          </w:p>
        </w:tc>
      </w:tr>
      <w:tr w:rsidR="00C51AE9" w:rsidRPr="00C51AE9" w14:paraId="202A5649" w14:textId="77777777">
        <w:trPr>
          <w:trHeight w:val="1010"/>
        </w:trPr>
        <w:tc>
          <w:tcPr>
            <w:tcW w:w="4440" w:type="dxa"/>
            <w:tcBorders>
              <w:top w:val="single" w:sz="4" w:space="0" w:color="000000"/>
              <w:left w:val="single" w:sz="4" w:space="0" w:color="000000"/>
              <w:bottom w:val="single" w:sz="4" w:space="0" w:color="000000"/>
              <w:right w:val="single" w:sz="4" w:space="0" w:color="000000"/>
            </w:tcBorders>
            <w:vAlign w:val="center"/>
          </w:tcPr>
          <w:p w14:paraId="6177E6AE"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mbajtëse plastike të trasha</w:t>
            </w:r>
          </w:p>
          <w:p w14:paraId="4FD996EC"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qese  mbajtëse plastike me trashësi muri ndërmjet 70 dhe 99 mikronë</w:t>
            </w:r>
          </w:p>
        </w:tc>
        <w:tc>
          <w:tcPr>
            <w:tcW w:w="2291" w:type="dxa"/>
            <w:tcBorders>
              <w:top w:val="single" w:sz="4" w:space="0" w:color="000000"/>
              <w:left w:val="single" w:sz="4" w:space="0" w:color="000000"/>
              <w:bottom w:val="single" w:sz="4" w:space="0" w:color="000000"/>
              <w:right w:val="single" w:sz="4" w:space="0" w:color="000000"/>
            </w:tcBorders>
          </w:tcPr>
          <w:p w14:paraId="697FC348" w14:textId="77777777" w:rsidR="00767CD0" w:rsidRPr="00C51AE9" w:rsidRDefault="00767CD0">
            <w:pPr>
              <w:spacing w:after="0"/>
              <w:rPr>
                <w:rFonts w:ascii="Times New Roman" w:hAnsi="Times New Roman" w:cs="Times New Roman"/>
              </w:rPr>
            </w:pPr>
          </w:p>
        </w:tc>
        <w:tc>
          <w:tcPr>
            <w:tcW w:w="2295" w:type="dxa"/>
            <w:tcBorders>
              <w:top w:val="single" w:sz="4" w:space="0" w:color="000000"/>
              <w:left w:val="single" w:sz="4" w:space="0" w:color="000000"/>
              <w:bottom w:val="single" w:sz="4" w:space="0" w:color="000000"/>
              <w:right w:val="single" w:sz="4" w:space="0" w:color="000000"/>
            </w:tcBorders>
          </w:tcPr>
          <w:p w14:paraId="6573A268" w14:textId="77777777" w:rsidR="00767CD0" w:rsidRPr="00C51AE9" w:rsidRDefault="00767CD0">
            <w:pPr>
              <w:spacing w:after="0"/>
              <w:rPr>
                <w:rFonts w:ascii="Times New Roman" w:hAnsi="Times New Roman" w:cs="Times New Roman"/>
              </w:rPr>
            </w:pPr>
          </w:p>
        </w:tc>
      </w:tr>
    </w:tbl>
    <w:p w14:paraId="133CF495" w14:textId="77777777" w:rsidR="00767CD0" w:rsidRPr="00C51AE9" w:rsidRDefault="00767CD0">
      <w:pPr>
        <w:widowControl w:val="0"/>
        <w:spacing w:before="106" w:after="0"/>
        <w:jc w:val="both"/>
        <w:rPr>
          <w:rFonts w:ascii="Times New Roman" w:eastAsia="Cambria" w:hAnsi="Times New Roman" w:cs="Times New Roman"/>
          <w:kern w:val="0"/>
          <w14:ligatures w14:val="none"/>
        </w:rPr>
      </w:pPr>
    </w:p>
    <w:p w14:paraId="247FA53D" w14:textId="77777777" w:rsidR="00767CD0" w:rsidRPr="00C51AE9" w:rsidRDefault="00C51AE9">
      <w:pPr>
        <w:widowControl w:val="0"/>
        <w:spacing w:before="140" w:after="0"/>
        <w:ind w:left="-1"/>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Tabela 5</w:t>
      </w:r>
    </w:p>
    <w:p w14:paraId="4FF2D5F9" w14:textId="77777777" w:rsidR="00767CD0" w:rsidRPr="00C51AE9" w:rsidRDefault="00C51AE9">
      <w:pPr>
        <w:widowControl w:val="0"/>
        <w:spacing w:before="140" w:after="0"/>
        <w:ind w:left="-1"/>
        <w:jc w:val="both"/>
        <w:rPr>
          <w:rFonts w:ascii="Times New Roman" w:eastAsia="Cambria" w:hAnsi="Times New Roman" w:cs="Times New Roman"/>
          <w:spacing w:val="-5"/>
          <w:kern w:val="0"/>
          <w14:ligatures w14:val="none"/>
        </w:rPr>
      </w:pPr>
      <w:r w:rsidRPr="00C51AE9">
        <w:rPr>
          <w:rFonts w:ascii="Times New Roman" w:eastAsia="Cambria" w:hAnsi="Times New Roman" w:cs="Times New Roman"/>
          <w:spacing w:val="-5"/>
          <w:kern w:val="0"/>
          <w14:ligatures w14:val="none"/>
        </w:rPr>
        <w:t>Shkalla e grumbullimit të ndarë të formateve të ambalazheve të mbuluara nga sistemet e kthimit të depozitës, siç parashikohet në pikën 1 të nenit 60.</w:t>
      </w:r>
    </w:p>
    <w:p w14:paraId="32078FDE" w14:textId="77777777" w:rsidR="00767CD0" w:rsidRPr="00C51AE9" w:rsidRDefault="00767CD0">
      <w:pPr>
        <w:widowControl w:val="0"/>
        <w:spacing w:before="10" w:after="0"/>
        <w:jc w:val="both"/>
        <w:rPr>
          <w:rFonts w:ascii="Times New Roman" w:eastAsia="Cambria" w:hAnsi="Times New Roman" w:cs="Times New Roman"/>
          <w:kern w:val="0"/>
          <w14:ligatures w14:val="none"/>
        </w:rPr>
      </w:pPr>
    </w:p>
    <w:tbl>
      <w:tblPr>
        <w:tblW w:w="5000" w:type="pct"/>
        <w:tblLayout w:type="fixed"/>
        <w:tblCellMar>
          <w:left w:w="5" w:type="dxa"/>
          <w:right w:w="5" w:type="dxa"/>
        </w:tblCellMar>
        <w:tblLook w:val="01E0" w:firstRow="1" w:lastRow="1" w:firstColumn="1" w:lastColumn="1" w:noHBand="0" w:noVBand="0"/>
      </w:tblPr>
      <w:tblGrid>
        <w:gridCol w:w="4436"/>
        <w:gridCol w:w="2288"/>
        <w:gridCol w:w="2292"/>
      </w:tblGrid>
      <w:tr w:rsidR="00C51AE9" w:rsidRPr="00C51AE9" w14:paraId="455BED41" w14:textId="77777777">
        <w:trPr>
          <w:trHeight w:val="811"/>
        </w:trPr>
        <w:tc>
          <w:tcPr>
            <w:tcW w:w="4440" w:type="dxa"/>
            <w:tcBorders>
              <w:top w:val="single" w:sz="4" w:space="0" w:color="000000"/>
              <w:left w:val="single" w:sz="4" w:space="0" w:color="000000"/>
              <w:bottom w:val="single" w:sz="4" w:space="0" w:color="000000"/>
              <w:right w:val="single" w:sz="4" w:space="0" w:color="000000"/>
            </w:tcBorders>
          </w:tcPr>
          <w:p w14:paraId="67270C64" w14:textId="77777777" w:rsidR="00767CD0" w:rsidRPr="00C51AE9" w:rsidRDefault="00767CD0">
            <w:pPr>
              <w:spacing w:after="0"/>
              <w:rPr>
                <w:rFonts w:ascii="Times New Roman" w:hAnsi="Times New Roman" w:cs="Times New Roman"/>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601342E0"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 xml:space="preserve">Ambalazhim i </w:t>
            </w:r>
            <w:proofErr w:type="spellStart"/>
            <w:r w:rsidRPr="00C51AE9">
              <w:rPr>
                <w:rFonts w:ascii="Times New Roman" w:hAnsi="Times New Roman" w:cs="Times New Roman"/>
              </w:rPr>
              <w:t>disponueshëm</w:t>
            </w:r>
            <w:proofErr w:type="spellEnd"/>
            <w:r w:rsidRPr="00C51AE9">
              <w:rPr>
                <w:rFonts w:ascii="Times New Roman" w:hAnsi="Times New Roman" w:cs="Times New Roman"/>
              </w:rPr>
              <w:t xml:space="preserve"> në territorin e Shqipërisë për herë të parë (t)</w:t>
            </w:r>
          </w:p>
        </w:tc>
        <w:tc>
          <w:tcPr>
            <w:tcW w:w="2295" w:type="dxa"/>
            <w:tcBorders>
              <w:top w:val="single" w:sz="4" w:space="0" w:color="000000"/>
              <w:left w:val="single" w:sz="4" w:space="0" w:color="000000"/>
              <w:bottom w:val="single" w:sz="4" w:space="0" w:color="000000"/>
              <w:right w:val="single" w:sz="4" w:space="0" w:color="000000"/>
            </w:tcBorders>
            <w:vAlign w:val="center"/>
          </w:tcPr>
          <w:p w14:paraId="5DF97074" w14:textId="77777777" w:rsidR="00767CD0" w:rsidRPr="00C51AE9" w:rsidRDefault="00C51AE9">
            <w:pPr>
              <w:spacing w:after="0"/>
              <w:jc w:val="center"/>
              <w:rPr>
                <w:rFonts w:ascii="Times New Roman" w:hAnsi="Times New Roman" w:cs="Times New Roman"/>
              </w:rPr>
            </w:pPr>
            <w:r w:rsidRPr="00C51AE9">
              <w:rPr>
                <w:rFonts w:ascii="Times New Roman" w:hAnsi="Times New Roman" w:cs="Times New Roman"/>
              </w:rPr>
              <w:t>Të grumbulluara në mënyrë të diferencuar në territorin e Shqipërisë nga sistemi i depozitimit dhe kthimit (t)</w:t>
            </w:r>
          </w:p>
        </w:tc>
      </w:tr>
      <w:tr w:rsidR="00C51AE9" w:rsidRPr="00C51AE9" w14:paraId="31E600B5" w14:textId="77777777">
        <w:trPr>
          <w:trHeight w:val="671"/>
        </w:trPr>
        <w:tc>
          <w:tcPr>
            <w:tcW w:w="4440" w:type="dxa"/>
            <w:tcBorders>
              <w:top w:val="single" w:sz="4" w:space="0" w:color="000000"/>
              <w:left w:val="single" w:sz="4" w:space="0" w:color="000000"/>
              <w:bottom w:val="single" w:sz="4" w:space="0" w:color="000000"/>
              <w:right w:val="single" w:sz="4" w:space="0" w:color="000000"/>
            </w:tcBorders>
            <w:vAlign w:val="center"/>
          </w:tcPr>
          <w:p w14:paraId="72A9ABA7"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Shishe pijesh plastike </w:t>
            </w:r>
            <w:proofErr w:type="spellStart"/>
            <w:r w:rsidRPr="00C51AE9">
              <w:rPr>
                <w:rFonts w:ascii="Times New Roman" w:hAnsi="Times New Roman" w:cs="Times New Roman"/>
              </w:rPr>
              <w:t>njëpërdorimshe</w:t>
            </w:r>
            <w:proofErr w:type="spellEnd"/>
            <w:r w:rsidRPr="00C51AE9">
              <w:rPr>
                <w:rFonts w:ascii="Times New Roman" w:hAnsi="Times New Roman" w:cs="Times New Roman"/>
              </w:rPr>
              <w:t xml:space="preserve"> me një kapacitet deri në 3 litra</w:t>
            </w:r>
          </w:p>
        </w:tc>
        <w:tc>
          <w:tcPr>
            <w:tcW w:w="2291" w:type="dxa"/>
            <w:tcBorders>
              <w:top w:val="single" w:sz="4" w:space="0" w:color="000000"/>
              <w:left w:val="single" w:sz="4" w:space="0" w:color="000000"/>
              <w:bottom w:val="single" w:sz="4" w:space="0" w:color="000000"/>
              <w:right w:val="single" w:sz="4" w:space="0" w:color="000000"/>
            </w:tcBorders>
          </w:tcPr>
          <w:p w14:paraId="722B2C16" w14:textId="77777777" w:rsidR="00767CD0" w:rsidRPr="00C51AE9" w:rsidRDefault="00767CD0">
            <w:pPr>
              <w:spacing w:after="0"/>
              <w:rPr>
                <w:rFonts w:ascii="Times New Roman" w:hAnsi="Times New Roman" w:cs="Times New Roman"/>
              </w:rPr>
            </w:pPr>
          </w:p>
        </w:tc>
        <w:tc>
          <w:tcPr>
            <w:tcW w:w="2295" w:type="dxa"/>
            <w:tcBorders>
              <w:top w:val="single" w:sz="4" w:space="0" w:color="000000"/>
              <w:left w:val="single" w:sz="4" w:space="0" w:color="000000"/>
              <w:bottom w:val="single" w:sz="4" w:space="0" w:color="000000"/>
              <w:right w:val="single" w:sz="4" w:space="0" w:color="000000"/>
            </w:tcBorders>
          </w:tcPr>
          <w:p w14:paraId="7D474319" w14:textId="77777777" w:rsidR="00767CD0" w:rsidRPr="00C51AE9" w:rsidRDefault="00767CD0">
            <w:pPr>
              <w:spacing w:after="0"/>
              <w:rPr>
                <w:rFonts w:ascii="Times New Roman" w:hAnsi="Times New Roman" w:cs="Times New Roman"/>
              </w:rPr>
            </w:pPr>
          </w:p>
        </w:tc>
      </w:tr>
      <w:tr w:rsidR="00C51AE9" w:rsidRPr="00C51AE9" w14:paraId="441DE53A" w14:textId="77777777">
        <w:trPr>
          <w:trHeight w:val="671"/>
        </w:trPr>
        <w:tc>
          <w:tcPr>
            <w:tcW w:w="4440" w:type="dxa"/>
            <w:tcBorders>
              <w:top w:val="single" w:sz="4" w:space="0" w:color="000000"/>
              <w:left w:val="single" w:sz="4" w:space="0" w:color="000000"/>
              <w:bottom w:val="single" w:sz="4" w:space="0" w:color="000000"/>
              <w:right w:val="single" w:sz="4" w:space="0" w:color="000000"/>
            </w:tcBorders>
            <w:vAlign w:val="center"/>
          </w:tcPr>
          <w:p w14:paraId="5FB5E583" w14:textId="77777777" w:rsidR="00767CD0" w:rsidRPr="00C51AE9" w:rsidRDefault="00C51AE9">
            <w:pPr>
              <w:spacing w:after="0"/>
              <w:rPr>
                <w:rFonts w:ascii="Times New Roman" w:hAnsi="Times New Roman" w:cs="Times New Roman"/>
              </w:rPr>
            </w:pPr>
            <w:r w:rsidRPr="00C51AE9">
              <w:rPr>
                <w:rFonts w:ascii="Times New Roman" w:hAnsi="Times New Roman" w:cs="Times New Roman"/>
              </w:rPr>
              <w:t xml:space="preserve">Kontejnerë metalikë </w:t>
            </w:r>
            <w:proofErr w:type="spellStart"/>
            <w:r w:rsidRPr="00C51AE9">
              <w:rPr>
                <w:rFonts w:ascii="Times New Roman" w:hAnsi="Times New Roman" w:cs="Times New Roman"/>
              </w:rPr>
              <w:t>njëpërdorimësh</w:t>
            </w:r>
            <w:proofErr w:type="spellEnd"/>
            <w:r w:rsidRPr="00C51AE9">
              <w:rPr>
                <w:rFonts w:ascii="Times New Roman" w:hAnsi="Times New Roman" w:cs="Times New Roman"/>
              </w:rPr>
              <w:t xml:space="preserve"> për pije me kapacitet deri në 3 litra</w:t>
            </w:r>
          </w:p>
        </w:tc>
        <w:tc>
          <w:tcPr>
            <w:tcW w:w="2291" w:type="dxa"/>
            <w:tcBorders>
              <w:top w:val="single" w:sz="4" w:space="0" w:color="000000"/>
              <w:left w:val="single" w:sz="4" w:space="0" w:color="000000"/>
              <w:bottom w:val="single" w:sz="4" w:space="0" w:color="000000"/>
              <w:right w:val="single" w:sz="4" w:space="0" w:color="000000"/>
            </w:tcBorders>
          </w:tcPr>
          <w:p w14:paraId="6032B08C" w14:textId="77777777" w:rsidR="00767CD0" w:rsidRPr="00C51AE9" w:rsidRDefault="00767CD0">
            <w:pPr>
              <w:spacing w:after="0"/>
              <w:rPr>
                <w:rFonts w:ascii="Times New Roman" w:hAnsi="Times New Roman" w:cs="Times New Roman"/>
              </w:rPr>
            </w:pPr>
          </w:p>
        </w:tc>
        <w:tc>
          <w:tcPr>
            <w:tcW w:w="2295" w:type="dxa"/>
            <w:tcBorders>
              <w:top w:val="single" w:sz="4" w:space="0" w:color="000000"/>
              <w:left w:val="single" w:sz="4" w:space="0" w:color="000000"/>
              <w:bottom w:val="single" w:sz="4" w:space="0" w:color="000000"/>
              <w:right w:val="single" w:sz="4" w:space="0" w:color="000000"/>
            </w:tcBorders>
          </w:tcPr>
          <w:p w14:paraId="13ABE286" w14:textId="77777777" w:rsidR="00767CD0" w:rsidRPr="00C51AE9" w:rsidRDefault="00767CD0">
            <w:pPr>
              <w:spacing w:after="0"/>
              <w:rPr>
                <w:rFonts w:ascii="Times New Roman" w:hAnsi="Times New Roman" w:cs="Times New Roman"/>
              </w:rPr>
            </w:pPr>
          </w:p>
        </w:tc>
      </w:tr>
    </w:tbl>
    <w:p w14:paraId="49EFC4E7" w14:textId="77777777" w:rsidR="00767CD0" w:rsidRPr="00C51AE9" w:rsidRDefault="00767CD0">
      <w:pPr>
        <w:widowControl w:val="0"/>
        <w:spacing w:after="0"/>
        <w:jc w:val="both"/>
        <w:rPr>
          <w:rFonts w:ascii="Times New Roman" w:eastAsia="Cambria" w:hAnsi="Times New Roman" w:cs="Times New Roman"/>
          <w:kern w:val="0"/>
          <w14:ligatures w14:val="none"/>
        </w:rPr>
      </w:pPr>
    </w:p>
    <w:p w14:paraId="0E619BCD" w14:textId="77777777" w:rsidR="00767CD0" w:rsidRPr="00C51AE9" w:rsidRDefault="00767CD0">
      <w:pPr>
        <w:widowControl w:val="0"/>
        <w:spacing w:after="0"/>
        <w:jc w:val="both"/>
        <w:rPr>
          <w:rFonts w:ascii="Times New Roman" w:eastAsia="Cambria" w:hAnsi="Times New Roman" w:cs="Times New Roman"/>
          <w:kern w:val="0"/>
          <w14:ligatures w14:val="none"/>
        </w:rPr>
      </w:pPr>
    </w:p>
    <w:p w14:paraId="51A2BEB2" w14:textId="77777777" w:rsidR="00767CD0" w:rsidRPr="00C51AE9" w:rsidRDefault="00767CD0">
      <w:pPr>
        <w:widowControl w:val="0"/>
        <w:spacing w:after="0"/>
        <w:jc w:val="both"/>
        <w:rPr>
          <w:rFonts w:ascii="Times New Roman" w:eastAsia="Cambria" w:hAnsi="Times New Roman" w:cs="Times New Roman"/>
          <w:kern w:val="0"/>
          <w14:ligatures w14:val="none"/>
        </w:rPr>
      </w:pPr>
    </w:p>
    <w:p w14:paraId="6B7A877B" w14:textId="77777777" w:rsidR="00767CD0" w:rsidRPr="00C51AE9" w:rsidRDefault="00767CD0">
      <w:pPr>
        <w:widowControl w:val="0"/>
        <w:spacing w:after="0"/>
        <w:jc w:val="both"/>
        <w:rPr>
          <w:rFonts w:ascii="Times New Roman" w:eastAsia="Cambria" w:hAnsi="Times New Roman" w:cs="Times New Roman"/>
          <w:kern w:val="0"/>
          <w14:ligatures w14:val="none"/>
        </w:rPr>
      </w:pPr>
    </w:p>
    <w:p w14:paraId="56AC6B33" w14:textId="77777777" w:rsidR="00767CD0" w:rsidRPr="00C51AE9" w:rsidRDefault="00767CD0"/>
    <w:p w14:paraId="2F996490" w14:textId="77777777" w:rsidR="00767CD0" w:rsidRPr="00C51AE9" w:rsidRDefault="00C51AE9">
      <w:r w:rsidRPr="00C51AE9">
        <w:br w:type="page"/>
      </w:r>
    </w:p>
    <w:p w14:paraId="2AB3A468" w14:textId="77777777" w:rsidR="00767CD0" w:rsidRPr="00C51AE9" w:rsidRDefault="00C51AE9">
      <w:pPr>
        <w:jc w:val="center"/>
      </w:pPr>
      <w:r w:rsidRPr="00C51AE9">
        <w:rPr>
          <w:rFonts w:ascii="Times New Roman" w:hAnsi="Times New Roman" w:cs="Times New Roman"/>
          <w:b/>
          <w:bCs/>
          <w:w w:val="90"/>
        </w:rPr>
        <w:lastRenderedPageBreak/>
        <w:t>SHTOJCA XI</w:t>
      </w:r>
    </w:p>
    <w:p w14:paraId="48B6F72F" w14:textId="77777777" w:rsidR="00767CD0" w:rsidRPr="00C51AE9" w:rsidRDefault="00C51AE9">
      <w:pPr>
        <w:jc w:val="both"/>
      </w:pPr>
      <w:r w:rsidRPr="00C51AE9">
        <w:rPr>
          <w:rFonts w:ascii="Times New Roman" w:hAnsi="Times New Roman" w:cs="Times New Roman"/>
        </w:rPr>
        <w:t>Plani i zbatimit që paraqitet sipas shkronjës "ç" të pikës 2 të nenit 62</w:t>
      </w:r>
    </w:p>
    <w:p w14:paraId="2E3591E7" w14:textId="77777777" w:rsidR="00767CD0" w:rsidRPr="00C51AE9" w:rsidRDefault="00C51AE9">
      <w:pPr>
        <w:jc w:val="both"/>
      </w:pPr>
      <w:r w:rsidRPr="00C51AE9">
        <w:rPr>
          <w:rFonts w:ascii="Times New Roman" w:hAnsi="Times New Roman" w:cs="Times New Roman"/>
        </w:rPr>
        <w:t>Plani i zbatimit, i paraqitur sipas shkronjës "ç" të pikës 2 të nenit 62 të këtij vendimi, përmban:</w:t>
      </w:r>
    </w:p>
    <w:p w14:paraId="582B1DDD" w14:textId="77777777" w:rsidR="00767CD0" w:rsidRPr="00C51AE9" w:rsidRDefault="00C51AE9">
      <w:pPr>
        <w:jc w:val="both"/>
      </w:pPr>
      <w:r w:rsidRPr="00C51AE9">
        <w:rPr>
          <w:rFonts w:ascii="Times New Roman" w:hAnsi="Times New Roman" w:cs="Times New Roman"/>
        </w:rPr>
        <w:t xml:space="preserve">a. vlerësimin e normave të kaluara, aktuale dhe të parashikuara të riciklimit, të depozitimit në </w:t>
      </w:r>
      <w:proofErr w:type="spellStart"/>
      <w:r w:rsidRPr="00C51AE9">
        <w:rPr>
          <w:rFonts w:ascii="Times New Roman" w:hAnsi="Times New Roman" w:cs="Times New Roman"/>
        </w:rPr>
        <w:t>landfill</w:t>
      </w:r>
      <w:proofErr w:type="spellEnd"/>
      <w:r w:rsidRPr="00C51AE9">
        <w:rPr>
          <w:rFonts w:ascii="Times New Roman" w:hAnsi="Times New Roman" w:cs="Times New Roman"/>
        </w:rPr>
        <w:t xml:space="preserve"> dhe të trajtimeve të tjera të mbetjeve të ambalazheve dhe të rrymave përbërëse të tyre;</w:t>
      </w:r>
    </w:p>
    <w:p w14:paraId="0925840D" w14:textId="77777777" w:rsidR="00767CD0" w:rsidRPr="00C51AE9" w:rsidRDefault="00C51AE9">
      <w:pPr>
        <w:jc w:val="both"/>
      </w:pPr>
      <w:r w:rsidRPr="00C51AE9">
        <w:rPr>
          <w:rFonts w:ascii="Times New Roman" w:hAnsi="Times New Roman" w:cs="Times New Roman"/>
        </w:rPr>
        <w:t>b. vlerësimin e zbatimit të planeve të menaxhimit të mbetjeve dhe të programeve të parandalimit të mbetjeve;</w:t>
      </w:r>
    </w:p>
    <w:p w14:paraId="7F479540" w14:textId="77777777" w:rsidR="00767CD0" w:rsidRPr="00C51AE9" w:rsidRDefault="00C51AE9">
      <w:pPr>
        <w:jc w:val="both"/>
      </w:pPr>
      <w:r w:rsidRPr="00C51AE9">
        <w:rPr>
          <w:rFonts w:ascii="Times New Roman" w:hAnsi="Times New Roman" w:cs="Times New Roman"/>
        </w:rPr>
        <w:t>c. arsyet për të cilat vlerësohet se objektivi përkatës nuk mund të arrihet brenda afatit, si dhe vlerësimin e zgjatjes së afatit që nevojitet për arritjen e tij;</w:t>
      </w:r>
    </w:p>
    <w:p w14:paraId="7835B0BB" w14:textId="77777777" w:rsidR="00767CD0" w:rsidRPr="00C51AE9" w:rsidRDefault="00C51AE9">
      <w:pPr>
        <w:jc w:val="both"/>
      </w:pPr>
      <w:r w:rsidRPr="00C51AE9">
        <w:rPr>
          <w:rFonts w:ascii="Times New Roman" w:hAnsi="Times New Roman" w:cs="Times New Roman"/>
        </w:rPr>
        <w:t>ç. masat e nevojshme për arritjen e objektivave gjatë periudhës së zgjatjes, përfshirë instrumentet ekonomike të përshtatshme dhe masat e tjera për nxitjen e zbatimit të hierarkisë së mbetjeve;</w:t>
      </w:r>
    </w:p>
    <w:p w14:paraId="3EC9F922" w14:textId="77777777" w:rsidR="00767CD0" w:rsidRPr="00C51AE9" w:rsidRDefault="00C51AE9">
      <w:pPr>
        <w:jc w:val="both"/>
      </w:pPr>
      <w:r w:rsidRPr="00C51AE9">
        <w:rPr>
          <w:rFonts w:ascii="Times New Roman" w:hAnsi="Times New Roman" w:cs="Times New Roman"/>
        </w:rPr>
        <w:t>d. kalendarin e zbatimit të masave, institucionin përgjegjës për zbatimin e tyre dhe vlerësimin e kontributit të secilës masë në arritjen e objektivave;</w:t>
      </w:r>
    </w:p>
    <w:p w14:paraId="65676949" w14:textId="77777777" w:rsidR="00767CD0" w:rsidRPr="00C51AE9" w:rsidRDefault="00C51AE9">
      <w:pPr>
        <w:jc w:val="both"/>
      </w:pPr>
      <w:r w:rsidRPr="00C51AE9">
        <w:rPr>
          <w:rFonts w:ascii="Times New Roman" w:hAnsi="Times New Roman" w:cs="Times New Roman"/>
        </w:rPr>
        <w:t>dh. informacionin mbi financimin e menaxhimit të mbetjeve, në përputhje me parimin "ndotësi paguan";</w:t>
      </w:r>
    </w:p>
    <w:p w14:paraId="4B3F10DA" w14:textId="77777777" w:rsidR="00767CD0" w:rsidRPr="00C51AE9" w:rsidRDefault="00C51AE9">
      <w:pPr>
        <w:jc w:val="both"/>
      </w:pPr>
      <w:r w:rsidRPr="00C51AE9">
        <w:rPr>
          <w:rFonts w:ascii="Times New Roman" w:hAnsi="Times New Roman" w:cs="Times New Roman"/>
        </w:rPr>
        <w:t xml:space="preserve">e. masat për përmirësimin e cilësisë së të dhënave, sipas nevojës, me qëllim planifikimin dhe monitorimin më të mirë të </w:t>
      </w:r>
      <w:proofErr w:type="spellStart"/>
      <w:r w:rsidRPr="00C51AE9">
        <w:rPr>
          <w:rFonts w:ascii="Times New Roman" w:hAnsi="Times New Roman" w:cs="Times New Roman"/>
        </w:rPr>
        <w:t>performancës</w:t>
      </w:r>
      <w:proofErr w:type="spellEnd"/>
      <w:r w:rsidRPr="00C51AE9">
        <w:rPr>
          <w:rFonts w:ascii="Times New Roman" w:hAnsi="Times New Roman" w:cs="Times New Roman"/>
        </w:rPr>
        <w:t xml:space="preserve"> në menaxhimin e mbetjeve.</w:t>
      </w:r>
    </w:p>
    <w:sectPr w:rsidR="00767CD0" w:rsidRPr="00C51AE9">
      <w:headerReference w:type="default" r:id="rId20"/>
      <w:footerReference w:type="default" r:id="rId21"/>
      <w:headerReference w:type="first" r:id="rId22"/>
      <w:footerReference w:type="first" r:id="rId23"/>
      <w:pgSz w:w="11906" w:h="16838"/>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4F314" w14:textId="77777777" w:rsidR="00FE65AF" w:rsidRDefault="00FE65AF">
      <w:pPr>
        <w:spacing w:after="0" w:line="240" w:lineRule="auto"/>
      </w:pPr>
      <w:r>
        <w:separator/>
      </w:r>
    </w:p>
  </w:endnote>
  <w:endnote w:type="continuationSeparator" w:id="0">
    <w:p w14:paraId="34514295" w14:textId="77777777" w:rsidR="00FE65AF" w:rsidRDefault="00FE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EUAlbertina">
    <w:altName w:val="EU Alberti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52980"/>
      <w:docPartObj>
        <w:docPartGallery w:val="Page Numbers (Bottom of Page)"/>
        <w:docPartUnique/>
      </w:docPartObj>
    </w:sdtPr>
    <w:sdtContent>
      <w:p w14:paraId="30C72BE3" w14:textId="77777777" w:rsidR="00C51AE9" w:rsidRDefault="00C51AE9">
        <w:pPr>
          <w:pStyle w:val="Footer"/>
          <w:tabs>
            <w:tab w:val="clear" w:pos="4513"/>
            <w:tab w:val="clear" w:pos="9026"/>
          </w:tabs>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847211">
          <w:rPr>
            <w:noProof/>
            <w:sz w:val="20"/>
            <w:szCs w:val="20"/>
          </w:rPr>
          <w:t>86</w:t>
        </w:r>
        <w:r>
          <w:rPr>
            <w:sz w:val="20"/>
            <w:szCs w:val="20"/>
          </w:rPr>
          <w:fldChar w:fldCharType="end"/>
        </w:r>
      </w:p>
      <w:p w14:paraId="63EB65A0" w14:textId="77777777" w:rsidR="00C51AE9"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81422"/>
      <w:docPartObj>
        <w:docPartGallery w:val="Page Numbers (Bottom of Page)"/>
        <w:docPartUnique/>
      </w:docPartObj>
    </w:sdtPr>
    <w:sdtContent>
      <w:p w14:paraId="0983CFAC" w14:textId="77777777" w:rsidR="00C51AE9" w:rsidRDefault="00C51AE9">
        <w:pPr>
          <w:pStyle w:val="Footer"/>
          <w:tabs>
            <w:tab w:val="clear" w:pos="4513"/>
            <w:tab w:val="clear" w:pos="9026"/>
          </w:tabs>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8</w:t>
        </w:r>
        <w:r>
          <w:rPr>
            <w:sz w:val="20"/>
            <w:szCs w:val="20"/>
          </w:rPr>
          <w:t>8</w:t>
        </w:r>
        <w:r>
          <w:rPr>
            <w:sz w:val="20"/>
            <w:szCs w:val="20"/>
          </w:rPr>
          <w:fldChar w:fldCharType="end"/>
        </w:r>
      </w:p>
      <w:p w14:paraId="20C29E0D" w14:textId="77777777" w:rsidR="00C51AE9" w:rsidRDefault="00000000">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419461"/>
      <w:docPartObj>
        <w:docPartGallery w:val="Page Numbers (Bottom of Page)"/>
        <w:docPartUnique/>
      </w:docPartObj>
    </w:sdtPr>
    <w:sdtContent>
      <w:p w14:paraId="692DA7C7" w14:textId="77777777" w:rsidR="00C51AE9" w:rsidRDefault="00C51AE9">
        <w:pPr>
          <w:pStyle w:val="Footer"/>
          <w:tabs>
            <w:tab w:val="clear" w:pos="4513"/>
            <w:tab w:val="clear" w:pos="9026"/>
          </w:tabs>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847211">
          <w:rPr>
            <w:noProof/>
            <w:sz w:val="20"/>
            <w:szCs w:val="20"/>
          </w:rPr>
          <w:t>9</w:t>
        </w:r>
        <w:r w:rsidR="00847211">
          <w:rPr>
            <w:noProof/>
            <w:sz w:val="20"/>
            <w:szCs w:val="20"/>
          </w:rPr>
          <w:t>2</w:t>
        </w:r>
        <w:r>
          <w:rPr>
            <w:sz w:val="20"/>
            <w:szCs w:val="20"/>
          </w:rPr>
          <w:fldChar w:fldCharType="end"/>
        </w:r>
      </w:p>
      <w:p w14:paraId="178A740F" w14:textId="77777777" w:rsidR="00C51AE9" w:rsidRDefault="00000000">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BA5D" w14:textId="77777777" w:rsidR="00C51AE9" w:rsidRDefault="00C51AE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E630" w14:textId="77777777" w:rsidR="00C51AE9" w:rsidRDefault="00C51A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BEC6" w14:textId="77777777" w:rsidR="00C51AE9" w:rsidRDefault="00C51AE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7F793" w14:textId="77777777" w:rsidR="00C51AE9" w:rsidRDefault="00C51A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9C71" w14:textId="77777777" w:rsidR="00C51AE9" w:rsidRDefault="00C51AE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CEC2E" w14:textId="77777777" w:rsidR="00C51AE9" w:rsidRDefault="00C51AE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55BD" w14:textId="77777777" w:rsidR="00C51AE9" w:rsidRDefault="00C51A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4D0E" w14:textId="77777777" w:rsidR="00FE65AF" w:rsidRDefault="00FE65AF">
      <w:pPr>
        <w:rPr>
          <w:sz w:val="12"/>
        </w:rPr>
      </w:pPr>
      <w:r>
        <w:separator/>
      </w:r>
    </w:p>
  </w:footnote>
  <w:footnote w:type="continuationSeparator" w:id="0">
    <w:p w14:paraId="30775250" w14:textId="77777777" w:rsidR="00FE65AF" w:rsidRDefault="00FE65AF">
      <w:pPr>
        <w:rPr>
          <w:sz w:val="12"/>
        </w:rPr>
      </w:pPr>
      <w:r>
        <w:continuationSeparator/>
      </w:r>
    </w:p>
  </w:footnote>
  <w:footnote w:id="1">
    <w:p w14:paraId="0AC08DE6" w14:textId="77777777" w:rsidR="00C51AE9" w:rsidRDefault="00C51AE9">
      <w:pPr>
        <w:pStyle w:val="ColorfulList-Accent11"/>
        <w:spacing w:line="276" w:lineRule="auto"/>
        <w:ind w:left="0"/>
        <w:jc w:val="both"/>
        <w:rPr>
          <w:sz w:val="20"/>
          <w:szCs w:val="20"/>
        </w:rPr>
      </w:pPr>
      <w:r>
        <w:rPr>
          <w:rStyle w:val="FootnoteCharacters"/>
        </w:rPr>
        <w:footnoteRef/>
      </w:r>
      <w:r>
        <w:rPr>
          <w:sz w:val="20"/>
          <w:szCs w:val="20"/>
        </w:rPr>
        <w:t xml:space="preserve"> Ky projektvendim përafron tërësisht Rregulloren (BE) 2025/40 të Parlamentit Evropian dhe të Këshillit të datës 19 dhjetor 2024 “Për ambalazhet dhe mbetjet e ambalazheve”, e cila ndryshon rregulloren (BE) 2019/1020 dhe direktivën (BE) 2019/904.</w:t>
      </w:r>
    </w:p>
    <w:p w14:paraId="1810715F" w14:textId="77777777" w:rsidR="00C51AE9" w:rsidRDefault="00C51AE9">
      <w:pPr>
        <w:pStyle w:val="FootnoteText"/>
        <w:rPr>
          <w:lang w:val="sq-AL"/>
        </w:rPr>
      </w:pPr>
      <w:r>
        <w:rPr>
          <w:rFonts w:ascii="Times New Roman" w:hAnsi="Times New Roman" w:cs="Times New Roman"/>
          <w:lang w:val="sq-AL"/>
        </w:rPr>
        <w:t>Direktivën (BE) 2015/720 të Parlamentit Evropian dhe të Këshillit, datë 29 prill 2015, "Për ndryshimin e Direktivës 94/62/KE për sa i përket reduktimit të konsumit të qeseve  mbajtëse plastike të lehta", CELEX: 32015L0720, Fletorja Zyrtare e Bashkimit Evropian, seria L, nr. 115, datë 6.5.2015, faqe 11–15.</w:t>
      </w:r>
    </w:p>
  </w:footnote>
  <w:footnote w:id="2">
    <w:p w14:paraId="49DA018F" w14:textId="77777777" w:rsidR="00C51AE9" w:rsidRDefault="00C51AE9">
      <w:pPr>
        <w:jc w:val="both"/>
        <w:rPr>
          <w:rFonts w:ascii="Times New Roman" w:hAnsi="Times New Roman" w:cs="Times New Roman"/>
          <w:sz w:val="20"/>
          <w:szCs w:val="20"/>
        </w:rPr>
      </w:pPr>
      <w:r>
        <w:rPr>
          <w:rStyle w:val="FootnoteCharacters"/>
        </w:rPr>
        <w:footnoteRef/>
      </w:r>
      <w:r>
        <w:rPr>
          <w:rFonts w:ascii="Times New Roman" w:hAnsi="Times New Roman" w:cs="Times New Roman"/>
          <w:sz w:val="20"/>
          <w:szCs w:val="20"/>
        </w:rPr>
        <w:t xml:space="preserve"> </w:t>
      </w:r>
      <w:r>
        <w:rPr>
          <w:rFonts w:ascii="Times New Roman" w:hAnsi="Times New Roman" w:cs="Times New Roman"/>
          <w:sz w:val="20"/>
          <w:szCs w:val="20"/>
        </w:rPr>
        <w:t xml:space="preserve">Ju lutemi vini re se kjo kategori përmban plastikë që janë lehtësisht të </w:t>
      </w:r>
      <w:proofErr w:type="spellStart"/>
      <w:r>
        <w:rPr>
          <w:rFonts w:ascii="Times New Roman" w:hAnsi="Times New Roman" w:cs="Times New Roman"/>
          <w:sz w:val="20"/>
          <w:szCs w:val="20"/>
        </w:rPr>
        <w:t>biodegradueshme</w:t>
      </w:r>
      <w:proofErr w:type="spellEnd"/>
      <w:r>
        <w:rPr>
          <w:rFonts w:ascii="Times New Roman" w:hAnsi="Times New Roman" w:cs="Times New Roman"/>
          <w:sz w:val="20"/>
          <w:szCs w:val="20"/>
        </w:rPr>
        <w:t xml:space="preserve"> ( është një aftësi e provuar për të shndërruar &gt;90 % të materialit origjinal në CO2, ujë dhe minerale me procese biologjike brenda 6 muajve) dhe pavarësisht nga lënda e parë e përdorur për prodhimin e tyre. </w:t>
      </w:r>
      <w:proofErr w:type="spellStart"/>
      <w:r>
        <w:rPr>
          <w:rFonts w:ascii="Times New Roman" w:hAnsi="Times New Roman" w:cs="Times New Roman"/>
          <w:sz w:val="20"/>
          <w:szCs w:val="20"/>
        </w:rPr>
        <w:t>Polimerët</w:t>
      </w:r>
      <w:proofErr w:type="spellEnd"/>
      <w:r>
        <w:rPr>
          <w:rFonts w:ascii="Times New Roman" w:hAnsi="Times New Roman" w:cs="Times New Roman"/>
          <w:sz w:val="20"/>
          <w:szCs w:val="20"/>
        </w:rPr>
        <w:t xml:space="preserve"> me bazë biologjike që nuk janë lehtësisht të </w:t>
      </w:r>
      <w:proofErr w:type="spellStart"/>
      <w:r>
        <w:rPr>
          <w:rFonts w:ascii="Times New Roman" w:hAnsi="Times New Roman" w:cs="Times New Roman"/>
          <w:sz w:val="20"/>
          <w:szCs w:val="20"/>
        </w:rPr>
        <w:t>biodegradueshëm</w:t>
      </w:r>
      <w:proofErr w:type="spellEnd"/>
      <w:r>
        <w:rPr>
          <w:rFonts w:ascii="Times New Roman" w:hAnsi="Times New Roman" w:cs="Times New Roman"/>
          <w:sz w:val="20"/>
          <w:szCs w:val="20"/>
        </w:rPr>
        <w:t xml:space="preserve"> mbulohen nga kategoritë e tjera përkatëse të plastikës.</w:t>
      </w:r>
    </w:p>
  </w:footnote>
  <w:footnote w:id="3">
    <w:p w14:paraId="4B7A9FB1" w14:textId="77777777" w:rsidR="00C51AE9" w:rsidRDefault="00C51AE9">
      <w:pPr>
        <w:pStyle w:val="FootnoteText"/>
        <w:jc w:val="both"/>
        <w:rPr>
          <w:rFonts w:ascii="Times New Roman" w:hAnsi="Times New Roman" w:cs="Times New Roman"/>
          <w:lang w:val="sq-AL"/>
        </w:rPr>
      </w:pPr>
      <w:r>
        <w:rPr>
          <w:rStyle w:val="FootnoteCharacters"/>
        </w:rPr>
        <w:footnoteRef/>
      </w:r>
      <w:r>
        <w:rPr>
          <w:rFonts w:ascii="Times New Roman" w:hAnsi="Times New Roman" w:cs="Times New Roman"/>
          <w:sz w:val="24"/>
          <w:szCs w:val="24"/>
          <w:lang w:val="sq-AL"/>
        </w:rPr>
        <w:t xml:space="preserve"> </w:t>
      </w:r>
      <w:r>
        <w:rPr>
          <w:rFonts w:ascii="Times New Roman" w:hAnsi="Times New Roman" w:cs="Times New Roman"/>
          <w:lang w:val="sq-AL"/>
        </w:rPr>
        <w:t>Rregullorja (BE) 2018/848 e Parlamentit Evropian dhe e Këshillit e 30 majit 2018 për prodhimin organik dhe etiketimin e produkteve organike dhe që shfuqizon Rregulloren e Këshillit (EC) Nr. 834/2007 (OJ L 150, 14.6.2018, f.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DBE4" w14:textId="77777777" w:rsidR="00C51AE9" w:rsidRDefault="00C51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8226" w14:textId="77777777" w:rsidR="00C51AE9" w:rsidRDefault="00C51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7016" w14:textId="77777777" w:rsidR="00C51AE9" w:rsidRDefault="00C51AE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311C" w14:textId="77777777" w:rsidR="00C51AE9" w:rsidRDefault="00C51AE9">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B61A" w14:textId="77777777" w:rsidR="00C51AE9" w:rsidRDefault="00C51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5E22"/>
    <w:multiLevelType w:val="multilevel"/>
    <w:tmpl w:val="0346E5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700" w:hanging="72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146338"/>
    <w:multiLevelType w:val="multilevel"/>
    <w:tmpl w:val="30EC5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F9331E"/>
    <w:multiLevelType w:val="multilevel"/>
    <w:tmpl w:val="682280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3C42CAC"/>
    <w:multiLevelType w:val="multilevel"/>
    <w:tmpl w:val="D8561CD6"/>
    <w:lvl w:ilvl="0">
      <w:start w:val="1"/>
      <w:numFmt w:val="low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4" w15:restartNumberingAfterBreak="0">
    <w:nsid w:val="04C22443"/>
    <w:multiLevelType w:val="multilevel"/>
    <w:tmpl w:val="B58C41A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4D0489E"/>
    <w:multiLevelType w:val="multilevel"/>
    <w:tmpl w:val="2CCE5AB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5BA69CA"/>
    <w:multiLevelType w:val="multilevel"/>
    <w:tmpl w:val="574EE3B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05E83E73"/>
    <w:multiLevelType w:val="multilevel"/>
    <w:tmpl w:val="21062F9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8A27273"/>
    <w:multiLevelType w:val="multilevel"/>
    <w:tmpl w:val="FCDE7A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8D44D5C"/>
    <w:multiLevelType w:val="multilevel"/>
    <w:tmpl w:val="E966B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9441E2C"/>
    <w:multiLevelType w:val="multilevel"/>
    <w:tmpl w:val="544691A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1" w15:restartNumberingAfterBreak="0">
    <w:nsid w:val="09A65D65"/>
    <w:multiLevelType w:val="multilevel"/>
    <w:tmpl w:val="78360EFA"/>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0B2D6E40"/>
    <w:multiLevelType w:val="multilevel"/>
    <w:tmpl w:val="DCE86B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B6A0810"/>
    <w:multiLevelType w:val="multilevel"/>
    <w:tmpl w:val="F8C8BDE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BD63928"/>
    <w:multiLevelType w:val="multilevel"/>
    <w:tmpl w:val="D0945004"/>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5" w15:restartNumberingAfterBreak="0">
    <w:nsid w:val="0BDB7049"/>
    <w:multiLevelType w:val="multilevel"/>
    <w:tmpl w:val="FC70DF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C210116"/>
    <w:multiLevelType w:val="multilevel"/>
    <w:tmpl w:val="B3CC3AC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 w15:restartNumberingAfterBreak="0">
    <w:nsid w:val="0C444C67"/>
    <w:multiLevelType w:val="multilevel"/>
    <w:tmpl w:val="B3E60B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DAE794F"/>
    <w:multiLevelType w:val="multilevel"/>
    <w:tmpl w:val="59848236"/>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E8773C5"/>
    <w:multiLevelType w:val="multilevel"/>
    <w:tmpl w:val="2CB2095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E8E7DC4"/>
    <w:multiLevelType w:val="multilevel"/>
    <w:tmpl w:val="1B8E8D56"/>
    <w:lvl w:ilvl="0">
      <w:start w:val="1"/>
      <w:numFmt w:val="lowerLetter"/>
      <w:lvlText w:val="%1."/>
      <w:lvlJc w:val="lef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21" w15:restartNumberingAfterBreak="0">
    <w:nsid w:val="0F071F33"/>
    <w:multiLevelType w:val="multilevel"/>
    <w:tmpl w:val="36AA8B4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11477460"/>
    <w:multiLevelType w:val="multilevel"/>
    <w:tmpl w:val="C8329A8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14A94027"/>
    <w:multiLevelType w:val="multilevel"/>
    <w:tmpl w:val="BBB248DA"/>
    <w:lvl w:ilvl="0">
      <w:start w:val="1"/>
      <w:numFmt w:val="lowerLetter"/>
      <w:lvlText w:val="%1."/>
      <w:lvlJc w:val="left"/>
      <w:pPr>
        <w:tabs>
          <w:tab w:val="num" w:pos="0"/>
        </w:tabs>
        <w:ind w:left="1020" w:hanging="360"/>
      </w:pPr>
    </w:lvl>
    <w:lvl w:ilvl="1">
      <w:start w:val="1"/>
      <w:numFmt w:val="lowerLetter"/>
      <w:lvlText w:val="%2."/>
      <w:lvlJc w:val="left"/>
      <w:pPr>
        <w:tabs>
          <w:tab w:val="num" w:pos="0"/>
        </w:tabs>
        <w:ind w:left="1740" w:hanging="360"/>
      </w:pPr>
    </w:lvl>
    <w:lvl w:ilvl="2">
      <w:start w:val="1"/>
      <w:numFmt w:val="lowerRoman"/>
      <w:lvlText w:val="%3."/>
      <w:lvlJc w:val="right"/>
      <w:pPr>
        <w:tabs>
          <w:tab w:val="num" w:pos="0"/>
        </w:tabs>
        <w:ind w:left="2460" w:hanging="180"/>
      </w:pPr>
    </w:lvl>
    <w:lvl w:ilvl="3">
      <w:start w:val="1"/>
      <w:numFmt w:val="decimal"/>
      <w:lvlText w:val="%4."/>
      <w:lvlJc w:val="left"/>
      <w:pPr>
        <w:tabs>
          <w:tab w:val="num" w:pos="0"/>
        </w:tabs>
        <w:ind w:left="3180" w:hanging="360"/>
      </w:pPr>
    </w:lvl>
    <w:lvl w:ilvl="4">
      <w:start w:val="1"/>
      <w:numFmt w:val="lowerLetter"/>
      <w:lvlText w:val="%5."/>
      <w:lvlJc w:val="left"/>
      <w:pPr>
        <w:tabs>
          <w:tab w:val="num" w:pos="0"/>
        </w:tabs>
        <w:ind w:left="3900" w:hanging="360"/>
      </w:pPr>
    </w:lvl>
    <w:lvl w:ilvl="5">
      <w:start w:val="1"/>
      <w:numFmt w:val="lowerRoman"/>
      <w:lvlText w:val="%6."/>
      <w:lvlJc w:val="right"/>
      <w:pPr>
        <w:tabs>
          <w:tab w:val="num" w:pos="0"/>
        </w:tabs>
        <w:ind w:left="4620" w:hanging="180"/>
      </w:pPr>
    </w:lvl>
    <w:lvl w:ilvl="6">
      <w:start w:val="1"/>
      <w:numFmt w:val="decimal"/>
      <w:lvlText w:val="%7."/>
      <w:lvlJc w:val="left"/>
      <w:pPr>
        <w:tabs>
          <w:tab w:val="num" w:pos="0"/>
        </w:tabs>
        <w:ind w:left="5340" w:hanging="360"/>
      </w:pPr>
    </w:lvl>
    <w:lvl w:ilvl="7">
      <w:start w:val="1"/>
      <w:numFmt w:val="lowerLetter"/>
      <w:lvlText w:val="%8."/>
      <w:lvlJc w:val="left"/>
      <w:pPr>
        <w:tabs>
          <w:tab w:val="num" w:pos="0"/>
        </w:tabs>
        <w:ind w:left="6060" w:hanging="360"/>
      </w:pPr>
    </w:lvl>
    <w:lvl w:ilvl="8">
      <w:start w:val="1"/>
      <w:numFmt w:val="lowerRoman"/>
      <w:lvlText w:val="%9."/>
      <w:lvlJc w:val="right"/>
      <w:pPr>
        <w:tabs>
          <w:tab w:val="num" w:pos="0"/>
        </w:tabs>
        <w:ind w:left="6780" w:hanging="180"/>
      </w:pPr>
    </w:lvl>
  </w:abstractNum>
  <w:abstractNum w:abstractNumId="24" w15:restartNumberingAfterBreak="0">
    <w:nsid w:val="15615F39"/>
    <w:multiLevelType w:val="multilevel"/>
    <w:tmpl w:val="9C3E86A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5" w15:restartNumberingAfterBreak="0">
    <w:nsid w:val="16310D77"/>
    <w:multiLevelType w:val="multilevel"/>
    <w:tmpl w:val="839A3E8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6" w15:restartNumberingAfterBreak="0">
    <w:nsid w:val="16DC33EC"/>
    <w:multiLevelType w:val="multilevel"/>
    <w:tmpl w:val="326A84E2"/>
    <w:lvl w:ilvl="0">
      <w:start w:val="1"/>
      <w:numFmt w:val="decimal"/>
      <w:lvlText w:val="%1."/>
      <w:lvlJc w:val="left"/>
      <w:pPr>
        <w:tabs>
          <w:tab w:val="num" w:pos="0"/>
        </w:tabs>
        <w:ind w:left="360" w:hanging="360"/>
      </w:pPr>
    </w:lvl>
    <w:lvl w:ilvl="1">
      <w:start w:val="1"/>
      <w:numFmt w:val="lowerRoman"/>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18116A2F"/>
    <w:multiLevelType w:val="multilevel"/>
    <w:tmpl w:val="9B9ADC3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8" w15:restartNumberingAfterBreak="0">
    <w:nsid w:val="1A043015"/>
    <w:multiLevelType w:val="multilevel"/>
    <w:tmpl w:val="C7AEDAE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1A1D0B82"/>
    <w:multiLevelType w:val="multilevel"/>
    <w:tmpl w:val="456C8D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AFD20F8"/>
    <w:multiLevelType w:val="multilevel"/>
    <w:tmpl w:val="1D1E6F8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1" w15:restartNumberingAfterBreak="0">
    <w:nsid w:val="1B705045"/>
    <w:multiLevelType w:val="multilevel"/>
    <w:tmpl w:val="60309F5A"/>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1B9142AE"/>
    <w:multiLevelType w:val="multilevel"/>
    <w:tmpl w:val="AE0EC49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3" w15:restartNumberingAfterBreak="0">
    <w:nsid w:val="1CF1058F"/>
    <w:multiLevelType w:val="multilevel"/>
    <w:tmpl w:val="D8E0AD9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4" w15:restartNumberingAfterBreak="0">
    <w:nsid w:val="1D782A2D"/>
    <w:multiLevelType w:val="multilevel"/>
    <w:tmpl w:val="569E46F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5" w15:restartNumberingAfterBreak="0">
    <w:nsid w:val="204A62D4"/>
    <w:multiLevelType w:val="multilevel"/>
    <w:tmpl w:val="3E4EB0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205230CD"/>
    <w:multiLevelType w:val="multilevel"/>
    <w:tmpl w:val="CF5C76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20602DAA"/>
    <w:multiLevelType w:val="multilevel"/>
    <w:tmpl w:val="2B887BEE"/>
    <w:lvl w:ilvl="0">
      <w:start w:val="1"/>
      <w:numFmt w:val="decimal"/>
      <w:lvlText w:val="%1."/>
      <w:lvlJc w:val="left"/>
      <w:pPr>
        <w:tabs>
          <w:tab w:val="num" w:pos="360"/>
        </w:tabs>
        <w:ind w:left="360" w:hanging="360"/>
      </w:pPr>
    </w:lvl>
    <w:lvl w:ilvl="1">
      <w:start w:val="1"/>
      <w:numFmt w:val="bullet"/>
      <w:lvlText w:val="o"/>
      <w:lvlJc w:val="left"/>
      <w:pPr>
        <w:tabs>
          <w:tab w:val="num" w:pos="540"/>
        </w:tabs>
        <w:ind w:left="540" w:hanging="360"/>
      </w:pPr>
      <w:rPr>
        <w:rFonts w:ascii="Courier New" w:hAnsi="Courier New" w:cs="Courier New" w:hint="default"/>
        <w:sz w:val="20"/>
      </w:rPr>
    </w:lvl>
    <w:lvl w:ilvl="2">
      <w:start w:val="1"/>
      <w:numFmt w:val="decimal"/>
      <w:lvlText w:val="%3."/>
      <w:lvlJc w:val="left"/>
      <w:pPr>
        <w:tabs>
          <w:tab w:val="num" w:pos="1260"/>
        </w:tabs>
        <w:ind w:left="1260" w:hanging="360"/>
      </w:pPr>
    </w:lvl>
    <w:lvl w:ilvl="3">
      <w:start w:val="1"/>
      <w:numFmt w:val="decimal"/>
      <w:lvlText w:val="%4."/>
      <w:lvlJc w:val="left"/>
      <w:pPr>
        <w:tabs>
          <w:tab w:val="num" w:pos="1980"/>
        </w:tabs>
        <w:ind w:left="1980" w:hanging="360"/>
      </w:pPr>
    </w:lvl>
    <w:lvl w:ilvl="4">
      <w:start w:val="1"/>
      <w:numFmt w:val="decimal"/>
      <w:lvlText w:val="%5."/>
      <w:lvlJc w:val="left"/>
      <w:pPr>
        <w:tabs>
          <w:tab w:val="num" w:pos="2700"/>
        </w:tabs>
        <w:ind w:left="270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4140"/>
        </w:tabs>
        <w:ind w:left="4140" w:hanging="360"/>
      </w:pPr>
    </w:lvl>
    <w:lvl w:ilvl="7">
      <w:start w:val="1"/>
      <w:numFmt w:val="decimal"/>
      <w:lvlText w:val="%8."/>
      <w:lvlJc w:val="left"/>
      <w:pPr>
        <w:tabs>
          <w:tab w:val="num" w:pos="4860"/>
        </w:tabs>
        <w:ind w:left="4860" w:hanging="360"/>
      </w:pPr>
    </w:lvl>
    <w:lvl w:ilvl="8">
      <w:start w:val="1"/>
      <w:numFmt w:val="decimal"/>
      <w:lvlText w:val="%9."/>
      <w:lvlJc w:val="left"/>
      <w:pPr>
        <w:tabs>
          <w:tab w:val="num" w:pos="5580"/>
        </w:tabs>
        <w:ind w:left="5580" w:hanging="360"/>
      </w:pPr>
    </w:lvl>
  </w:abstractNum>
  <w:abstractNum w:abstractNumId="38" w15:restartNumberingAfterBreak="0">
    <w:nsid w:val="21057416"/>
    <w:multiLevelType w:val="multilevel"/>
    <w:tmpl w:val="833649D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9" w15:restartNumberingAfterBreak="0">
    <w:nsid w:val="217D5EBC"/>
    <w:multiLevelType w:val="multilevel"/>
    <w:tmpl w:val="527A7D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233841F6"/>
    <w:multiLevelType w:val="multilevel"/>
    <w:tmpl w:val="86B40D5E"/>
    <w:lvl w:ilvl="0">
      <w:start w:val="1"/>
      <w:numFmt w:val="bullet"/>
      <w:lvlText w:val=""/>
      <w:lvlJc w:val="left"/>
      <w:pPr>
        <w:tabs>
          <w:tab w:val="num" w:pos="0"/>
        </w:tabs>
        <w:ind w:left="1440" w:hanging="360"/>
      </w:pPr>
      <w:rPr>
        <w:rFonts w:ascii="Symbol" w:hAnsi="Symbol" w:cs="Symbol" w:hint="default"/>
        <w:b w:val="0"/>
        <w:bCs w:val="0"/>
        <w:i w:val="0"/>
        <w:iCs w:val="0"/>
        <w:color w:val="231F20"/>
        <w:spacing w:val="0"/>
        <w:w w:val="73"/>
        <w:sz w:val="19"/>
        <w:szCs w:val="19"/>
        <w:lang w:val="en-US" w:eastAsia="en-US" w:bidi="ar-SA"/>
      </w:rPr>
    </w:lvl>
    <w:lvl w:ilvl="1">
      <w:start w:val="1"/>
      <w:numFmt w:val="decimal"/>
      <w:lvlText w:val="%2."/>
      <w:lvlJc w:val="left"/>
      <w:pPr>
        <w:tabs>
          <w:tab w:val="num" w:pos="0"/>
        </w:tabs>
        <w:ind w:left="2520" w:hanging="720"/>
      </w:pPr>
    </w:lvl>
    <w:lvl w:ilvl="2">
      <w:start w:val="1"/>
      <w:numFmt w:val="lowerLetter"/>
      <w:lvlText w:val="%3)"/>
      <w:lvlJc w:val="left"/>
      <w:pPr>
        <w:tabs>
          <w:tab w:val="num" w:pos="0"/>
        </w:tabs>
        <w:ind w:left="3060" w:hanging="36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23F76721"/>
    <w:multiLevelType w:val="multilevel"/>
    <w:tmpl w:val="38F09E7E"/>
    <w:lvl w:ilvl="0">
      <w:start w:val="1"/>
      <w:numFmt w:val="decimal"/>
      <w:lvlText w:val="%1."/>
      <w:lvlJc w:val="left"/>
      <w:pPr>
        <w:tabs>
          <w:tab w:val="num" w:pos="720"/>
        </w:tabs>
        <w:ind w:left="720" w:hanging="360"/>
      </w:pPr>
    </w:lvl>
    <w:lvl w:ilvl="1">
      <w:start w:val="1"/>
      <w:numFmt w:val="decimal"/>
      <w:lvlText w:val="%2."/>
      <w:lvlJc w:val="left"/>
      <w:pPr>
        <w:tabs>
          <w:tab w:val="num" w:pos="0"/>
        </w:tabs>
        <w:ind w:left="1440" w:hanging="360"/>
      </w:pPr>
      <w:rPr>
        <w:rFonts w:ascii="Times New Roman" w:eastAsiaTheme="minorHAnsi"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24481DB5"/>
    <w:multiLevelType w:val="multilevel"/>
    <w:tmpl w:val="CA12C0F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25696896"/>
    <w:multiLevelType w:val="multilevel"/>
    <w:tmpl w:val="FF9A72C8"/>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25EC148B"/>
    <w:multiLevelType w:val="multilevel"/>
    <w:tmpl w:val="7E2E185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265F3CC7"/>
    <w:multiLevelType w:val="multilevel"/>
    <w:tmpl w:val="C7DA9462"/>
    <w:lvl w:ilvl="0">
      <w:start w:val="1"/>
      <w:numFmt w:val="decimal"/>
      <w:lvlText w:val="%1."/>
      <w:lvlJc w:val="left"/>
      <w:pPr>
        <w:tabs>
          <w:tab w:val="num" w:pos="0"/>
        </w:tabs>
        <w:ind w:left="360" w:hanging="360"/>
      </w:pPr>
    </w:lvl>
    <w:lvl w:ilvl="1">
      <w:start w:val="1"/>
      <w:numFmt w:val="decimal"/>
      <w:lvlText w:val="%2."/>
      <w:lvlJc w:val="left"/>
      <w:pPr>
        <w:tabs>
          <w:tab w:val="num" w:pos="0"/>
        </w:tabs>
        <w:ind w:left="63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6" w15:restartNumberingAfterBreak="0">
    <w:nsid w:val="266F3901"/>
    <w:multiLevelType w:val="multilevel"/>
    <w:tmpl w:val="DF64B4C8"/>
    <w:lvl w:ilvl="0">
      <w:start w:val="1"/>
      <w:numFmt w:val="decimal"/>
      <w:lvlText w:val="%1."/>
      <w:lvlJc w:val="left"/>
      <w:pPr>
        <w:tabs>
          <w:tab w:val="num" w:pos="0"/>
        </w:tabs>
        <w:ind w:left="630" w:hanging="360"/>
      </w:pPr>
    </w:lvl>
    <w:lvl w:ilvl="1">
      <w:start w:val="1"/>
      <w:numFmt w:val="lowerLetter"/>
      <w:lvlText w:val="%2."/>
      <w:lvlJc w:val="left"/>
      <w:pPr>
        <w:tabs>
          <w:tab w:val="num" w:pos="0"/>
        </w:tabs>
        <w:ind w:left="720" w:hanging="360"/>
      </w:pPr>
      <w:rPr>
        <w:sz w:val="22"/>
      </w:rPr>
    </w:lvl>
    <w:lvl w:ilvl="2">
      <w:start w:val="1"/>
      <w:numFmt w:val="lowerRoman"/>
      <w:lvlText w:val="%3."/>
      <w:lvlJc w:val="left"/>
      <w:pPr>
        <w:tabs>
          <w:tab w:val="num" w:pos="0"/>
        </w:tabs>
        <w:ind w:left="2700" w:hanging="72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27117C46"/>
    <w:multiLevelType w:val="multilevel"/>
    <w:tmpl w:val="DC762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2951368D"/>
    <w:multiLevelType w:val="multilevel"/>
    <w:tmpl w:val="F6DACC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29C22155"/>
    <w:multiLevelType w:val="multilevel"/>
    <w:tmpl w:val="E52449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2C516A26"/>
    <w:multiLevelType w:val="multilevel"/>
    <w:tmpl w:val="E5B87278"/>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2C7532E6"/>
    <w:multiLevelType w:val="multilevel"/>
    <w:tmpl w:val="AE14EB74"/>
    <w:lvl w:ilvl="0">
      <w:start w:val="1"/>
      <w:numFmt w:val="lowerRoman"/>
      <w:lvlText w:val="%1."/>
      <w:lvlJc w:val="righ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52" w15:restartNumberingAfterBreak="0">
    <w:nsid w:val="2D640FC1"/>
    <w:multiLevelType w:val="multilevel"/>
    <w:tmpl w:val="0F50B47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3" w15:restartNumberingAfterBreak="0">
    <w:nsid w:val="2D7C209C"/>
    <w:multiLevelType w:val="multilevel"/>
    <w:tmpl w:val="4B7408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2DDD4258"/>
    <w:multiLevelType w:val="multilevel"/>
    <w:tmpl w:val="F488870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2E4E2136"/>
    <w:multiLevelType w:val="multilevel"/>
    <w:tmpl w:val="73E4721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6" w15:restartNumberingAfterBreak="0">
    <w:nsid w:val="2EFF280C"/>
    <w:multiLevelType w:val="multilevel"/>
    <w:tmpl w:val="FA5AE2A2"/>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2F476A71"/>
    <w:multiLevelType w:val="multilevel"/>
    <w:tmpl w:val="606C9D3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2F4B0259"/>
    <w:multiLevelType w:val="multilevel"/>
    <w:tmpl w:val="A1CE0AE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2F5D3116"/>
    <w:multiLevelType w:val="multilevel"/>
    <w:tmpl w:val="C5EEB846"/>
    <w:lvl w:ilvl="0">
      <w:start w:val="1"/>
      <w:numFmt w:val="lowerLetter"/>
      <w:lvlText w:val="%1."/>
      <w:lvlJc w:val="left"/>
      <w:pPr>
        <w:tabs>
          <w:tab w:val="num" w:pos="0"/>
        </w:tabs>
        <w:ind w:left="360" w:hanging="360"/>
      </w:pPr>
    </w:lvl>
    <w:lvl w:ilvl="1">
      <w:start w:val="1"/>
      <w:numFmt w:val="decimal"/>
      <w:lvlText w:val="%2."/>
      <w:lvlJc w:val="left"/>
      <w:pPr>
        <w:tabs>
          <w:tab w:val="num" w:pos="0"/>
        </w:tabs>
        <w:ind w:left="63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0" w15:restartNumberingAfterBreak="0">
    <w:nsid w:val="2F977C03"/>
    <w:multiLevelType w:val="multilevel"/>
    <w:tmpl w:val="BE928B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302E1ED5"/>
    <w:multiLevelType w:val="multilevel"/>
    <w:tmpl w:val="1592C200"/>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62" w15:restartNumberingAfterBreak="0">
    <w:nsid w:val="30526AD4"/>
    <w:multiLevelType w:val="multilevel"/>
    <w:tmpl w:val="0CAC7D48"/>
    <w:lvl w:ilvl="0">
      <w:start w:val="1"/>
      <w:numFmt w:val="decimal"/>
      <w:lvlText w:val="%1."/>
      <w:lvlJc w:val="left"/>
      <w:pPr>
        <w:tabs>
          <w:tab w:val="num" w:pos="0"/>
        </w:tabs>
        <w:ind w:left="63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311E0F2F"/>
    <w:multiLevelType w:val="multilevel"/>
    <w:tmpl w:val="43BE29F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3199700F"/>
    <w:multiLevelType w:val="multilevel"/>
    <w:tmpl w:val="81949256"/>
    <w:lvl w:ilvl="0">
      <w:start w:val="1"/>
      <w:numFmt w:val="lowerLetter"/>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65" w15:restartNumberingAfterBreak="0">
    <w:nsid w:val="3222741C"/>
    <w:multiLevelType w:val="multilevel"/>
    <w:tmpl w:val="5B6A48A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6" w15:restartNumberingAfterBreak="0">
    <w:nsid w:val="32552188"/>
    <w:multiLevelType w:val="multilevel"/>
    <w:tmpl w:val="09FEB4E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7" w15:restartNumberingAfterBreak="0">
    <w:nsid w:val="32C43646"/>
    <w:multiLevelType w:val="multilevel"/>
    <w:tmpl w:val="99500946"/>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33335B12"/>
    <w:multiLevelType w:val="multilevel"/>
    <w:tmpl w:val="16541C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9" w15:restartNumberingAfterBreak="0">
    <w:nsid w:val="336C6FCD"/>
    <w:multiLevelType w:val="multilevel"/>
    <w:tmpl w:val="D2963E5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0" w15:restartNumberingAfterBreak="0">
    <w:nsid w:val="33B43E2A"/>
    <w:multiLevelType w:val="multilevel"/>
    <w:tmpl w:val="14043C28"/>
    <w:lvl w:ilvl="0">
      <w:start w:val="1"/>
      <w:numFmt w:val="decimal"/>
      <w:lvlText w:val="%1."/>
      <w:lvlJc w:val="left"/>
      <w:pPr>
        <w:tabs>
          <w:tab w:val="num" w:pos="0"/>
        </w:tabs>
        <w:ind w:left="360" w:hanging="360"/>
      </w:pPr>
    </w:lvl>
    <w:lvl w:ilvl="1">
      <w:start w:val="1"/>
      <w:numFmt w:val="lowerLetter"/>
      <w:lvlText w:val="%2."/>
      <w:lvlJc w:val="left"/>
      <w:pPr>
        <w:tabs>
          <w:tab w:val="num" w:pos="0"/>
        </w:tabs>
        <w:ind w:left="63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1" w15:restartNumberingAfterBreak="0">
    <w:nsid w:val="340550D8"/>
    <w:multiLevelType w:val="multilevel"/>
    <w:tmpl w:val="770EB6DE"/>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2" w15:restartNumberingAfterBreak="0">
    <w:nsid w:val="3518207C"/>
    <w:multiLevelType w:val="multilevel"/>
    <w:tmpl w:val="FE8261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35BD4F75"/>
    <w:multiLevelType w:val="multilevel"/>
    <w:tmpl w:val="DDA0F616"/>
    <w:lvl w:ilvl="0">
      <w:start w:val="1"/>
      <w:numFmt w:val="lowerLetter"/>
      <w:lvlText w:val="%1."/>
      <w:lvlJc w:val="lef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74" w15:restartNumberingAfterBreak="0">
    <w:nsid w:val="3636026C"/>
    <w:multiLevelType w:val="multilevel"/>
    <w:tmpl w:val="2AD0DDF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5" w15:restartNumberingAfterBreak="0">
    <w:nsid w:val="37AB6804"/>
    <w:multiLevelType w:val="multilevel"/>
    <w:tmpl w:val="595EF728"/>
    <w:lvl w:ilvl="0">
      <w:start w:val="1"/>
      <w:numFmt w:val="lowerRoman"/>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6" w15:restartNumberingAfterBreak="0">
    <w:nsid w:val="37E5004C"/>
    <w:multiLevelType w:val="multilevel"/>
    <w:tmpl w:val="2DC2BD8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393E40E9"/>
    <w:multiLevelType w:val="multilevel"/>
    <w:tmpl w:val="D68A15A2"/>
    <w:lvl w:ilvl="0">
      <w:start w:val="1"/>
      <w:numFmt w:val="lowerLetter"/>
      <w:lvlText w:val="%1."/>
      <w:lvlJc w:val="left"/>
      <w:pPr>
        <w:tabs>
          <w:tab w:val="num" w:pos="0"/>
        </w:tabs>
        <w:ind w:left="1080" w:hanging="360"/>
      </w:pPr>
      <w:rPr>
        <w:b w:val="0"/>
        <w:bCs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8" w15:restartNumberingAfterBreak="0">
    <w:nsid w:val="394375EC"/>
    <w:multiLevelType w:val="multilevel"/>
    <w:tmpl w:val="48B6C19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9" w15:restartNumberingAfterBreak="0">
    <w:nsid w:val="3B1962B0"/>
    <w:multiLevelType w:val="multilevel"/>
    <w:tmpl w:val="83BC3D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3C8C7780"/>
    <w:multiLevelType w:val="multilevel"/>
    <w:tmpl w:val="7F4C09A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3CEA17C4"/>
    <w:multiLevelType w:val="multilevel"/>
    <w:tmpl w:val="FD266866"/>
    <w:lvl w:ilvl="0">
      <w:start w:val="1"/>
      <w:numFmt w:val="lowerLetter"/>
      <w:lvlText w:val="%1."/>
      <w:lvlJc w:val="left"/>
      <w:pPr>
        <w:tabs>
          <w:tab w:val="num" w:pos="0"/>
        </w:tabs>
        <w:ind w:left="3600" w:hanging="360"/>
      </w:pPr>
    </w:lvl>
    <w:lvl w:ilvl="1">
      <w:start w:val="1"/>
      <w:numFmt w:val="lowerLetter"/>
      <w:lvlText w:val="%2."/>
      <w:lvlJc w:val="left"/>
      <w:pPr>
        <w:tabs>
          <w:tab w:val="num" w:pos="0"/>
        </w:tabs>
        <w:ind w:left="4320" w:hanging="360"/>
      </w:pPr>
    </w:lvl>
    <w:lvl w:ilvl="2">
      <w:start w:val="1"/>
      <w:numFmt w:val="lowerRoman"/>
      <w:lvlText w:val="%3."/>
      <w:lvlJc w:val="right"/>
      <w:pPr>
        <w:tabs>
          <w:tab w:val="num" w:pos="0"/>
        </w:tabs>
        <w:ind w:left="5040" w:hanging="180"/>
      </w:pPr>
    </w:lvl>
    <w:lvl w:ilvl="3">
      <w:start w:val="1"/>
      <w:numFmt w:val="decimal"/>
      <w:lvlText w:val="%4."/>
      <w:lvlJc w:val="left"/>
      <w:pPr>
        <w:tabs>
          <w:tab w:val="num" w:pos="0"/>
        </w:tabs>
        <w:ind w:left="5760" w:hanging="360"/>
      </w:pPr>
    </w:lvl>
    <w:lvl w:ilvl="4">
      <w:start w:val="1"/>
      <w:numFmt w:val="lowerLetter"/>
      <w:lvlText w:val="%5."/>
      <w:lvlJc w:val="left"/>
      <w:pPr>
        <w:tabs>
          <w:tab w:val="num" w:pos="0"/>
        </w:tabs>
        <w:ind w:left="6480" w:hanging="360"/>
      </w:pPr>
    </w:lvl>
    <w:lvl w:ilvl="5">
      <w:start w:val="1"/>
      <w:numFmt w:val="lowerRoman"/>
      <w:lvlText w:val="%6."/>
      <w:lvlJc w:val="right"/>
      <w:pPr>
        <w:tabs>
          <w:tab w:val="num" w:pos="0"/>
        </w:tabs>
        <w:ind w:left="7200" w:hanging="180"/>
      </w:pPr>
    </w:lvl>
    <w:lvl w:ilvl="6">
      <w:start w:val="1"/>
      <w:numFmt w:val="decimal"/>
      <w:lvlText w:val="%7."/>
      <w:lvlJc w:val="left"/>
      <w:pPr>
        <w:tabs>
          <w:tab w:val="num" w:pos="0"/>
        </w:tabs>
        <w:ind w:left="7920" w:hanging="360"/>
      </w:pPr>
    </w:lvl>
    <w:lvl w:ilvl="7">
      <w:start w:val="1"/>
      <w:numFmt w:val="lowerLetter"/>
      <w:lvlText w:val="%8."/>
      <w:lvlJc w:val="left"/>
      <w:pPr>
        <w:tabs>
          <w:tab w:val="num" w:pos="0"/>
        </w:tabs>
        <w:ind w:left="8640" w:hanging="360"/>
      </w:pPr>
    </w:lvl>
    <w:lvl w:ilvl="8">
      <w:start w:val="1"/>
      <w:numFmt w:val="lowerRoman"/>
      <w:lvlText w:val="%9."/>
      <w:lvlJc w:val="right"/>
      <w:pPr>
        <w:tabs>
          <w:tab w:val="num" w:pos="0"/>
        </w:tabs>
        <w:ind w:left="9360" w:hanging="180"/>
      </w:pPr>
    </w:lvl>
  </w:abstractNum>
  <w:abstractNum w:abstractNumId="82" w15:restartNumberingAfterBreak="0">
    <w:nsid w:val="3DBC1E1B"/>
    <w:multiLevelType w:val="multilevel"/>
    <w:tmpl w:val="732A7B7E"/>
    <w:lvl w:ilvl="0">
      <w:start w:val="1"/>
      <w:numFmt w:val="lowerLetter"/>
      <w:lvlText w:val="%1."/>
      <w:lvlJc w:val="left"/>
      <w:pPr>
        <w:tabs>
          <w:tab w:val="num" w:pos="0"/>
        </w:tabs>
        <w:ind w:left="360" w:hanging="360"/>
      </w:pPr>
    </w:lvl>
    <w:lvl w:ilvl="1">
      <w:start w:val="1"/>
      <w:numFmt w:val="decimal"/>
      <w:lvlText w:val="%2."/>
      <w:lvlJc w:val="left"/>
      <w:pPr>
        <w:tabs>
          <w:tab w:val="num" w:pos="0"/>
        </w:tabs>
        <w:ind w:left="63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3" w15:restartNumberingAfterBreak="0">
    <w:nsid w:val="3DC873A2"/>
    <w:multiLevelType w:val="multilevel"/>
    <w:tmpl w:val="A9629B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3DE95264"/>
    <w:multiLevelType w:val="multilevel"/>
    <w:tmpl w:val="36164652"/>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5" w15:restartNumberingAfterBreak="0">
    <w:nsid w:val="3EB86B7F"/>
    <w:multiLevelType w:val="multilevel"/>
    <w:tmpl w:val="521A0F82"/>
    <w:lvl w:ilvl="0">
      <w:start w:val="1"/>
      <w:numFmt w:val="lowerRoman"/>
      <w:lvlText w:val="%1."/>
      <w:lvlJc w:val="right"/>
      <w:pPr>
        <w:tabs>
          <w:tab w:val="num" w:pos="0"/>
        </w:tabs>
        <w:ind w:left="108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3F4B5538"/>
    <w:multiLevelType w:val="multilevel"/>
    <w:tmpl w:val="381E27B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7" w15:restartNumberingAfterBreak="0">
    <w:nsid w:val="3F66603F"/>
    <w:multiLevelType w:val="multilevel"/>
    <w:tmpl w:val="5806723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405F4598"/>
    <w:multiLevelType w:val="multilevel"/>
    <w:tmpl w:val="204C6E3C"/>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89" w15:restartNumberingAfterBreak="0">
    <w:nsid w:val="40820A89"/>
    <w:multiLevelType w:val="multilevel"/>
    <w:tmpl w:val="938AAD06"/>
    <w:lvl w:ilvl="0">
      <w:start w:val="1"/>
      <w:numFmt w:val="lowerRoman"/>
      <w:lvlText w:val="%1."/>
      <w:lvlJc w:val="right"/>
      <w:pPr>
        <w:tabs>
          <w:tab w:val="num" w:pos="0"/>
        </w:tabs>
        <w:ind w:left="1710" w:hanging="360"/>
      </w:pPr>
    </w:lvl>
    <w:lvl w:ilvl="1">
      <w:start w:val="1"/>
      <w:numFmt w:val="lowerLetter"/>
      <w:lvlText w:val="%2."/>
      <w:lvlJc w:val="left"/>
      <w:pPr>
        <w:tabs>
          <w:tab w:val="num" w:pos="0"/>
        </w:tabs>
        <w:ind w:left="2430" w:hanging="360"/>
      </w:pPr>
    </w:lvl>
    <w:lvl w:ilvl="2">
      <w:start w:val="1"/>
      <w:numFmt w:val="lowerRoman"/>
      <w:lvlText w:val="%3."/>
      <w:lvlJc w:val="right"/>
      <w:pPr>
        <w:tabs>
          <w:tab w:val="num" w:pos="0"/>
        </w:tabs>
        <w:ind w:left="3150" w:hanging="180"/>
      </w:pPr>
    </w:lvl>
    <w:lvl w:ilvl="3">
      <w:start w:val="1"/>
      <w:numFmt w:val="decimal"/>
      <w:lvlText w:val="%4."/>
      <w:lvlJc w:val="left"/>
      <w:pPr>
        <w:tabs>
          <w:tab w:val="num" w:pos="0"/>
        </w:tabs>
        <w:ind w:left="3870" w:hanging="360"/>
      </w:pPr>
    </w:lvl>
    <w:lvl w:ilvl="4">
      <w:start w:val="1"/>
      <w:numFmt w:val="lowerLetter"/>
      <w:lvlText w:val="%5."/>
      <w:lvlJc w:val="left"/>
      <w:pPr>
        <w:tabs>
          <w:tab w:val="num" w:pos="0"/>
        </w:tabs>
        <w:ind w:left="4590" w:hanging="360"/>
      </w:pPr>
    </w:lvl>
    <w:lvl w:ilvl="5">
      <w:start w:val="1"/>
      <w:numFmt w:val="lowerRoman"/>
      <w:lvlText w:val="%6."/>
      <w:lvlJc w:val="right"/>
      <w:pPr>
        <w:tabs>
          <w:tab w:val="num" w:pos="0"/>
        </w:tabs>
        <w:ind w:left="5310" w:hanging="180"/>
      </w:pPr>
    </w:lvl>
    <w:lvl w:ilvl="6">
      <w:start w:val="1"/>
      <w:numFmt w:val="decimal"/>
      <w:lvlText w:val="%7."/>
      <w:lvlJc w:val="left"/>
      <w:pPr>
        <w:tabs>
          <w:tab w:val="num" w:pos="0"/>
        </w:tabs>
        <w:ind w:left="6030" w:hanging="360"/>
      </w:pPr>
    </w:lvl>
    <w:lvl w:ilvl="7">
      <w:start w:val="1"/>
      <w:numFmt w:val="lowerLetter"/>
      <w:lvlText w:val="%8."/>
      <w:lvlJc w:val="left"/>
      <w:pPr>
        <w:tabs>
          <w:tab w:val="num" w:pos="0"/>
        </w:tabs>
        <w:ind w:left="6750" w:hanging="360"/>
      </w:pPr>
    </w:lvl>
    <w:lvl w:ilvl="8">
      <w:start w:val="1"/>
      <w:numFmt w:val="lowerRoman"/>
      <w:lvlText w:val="%9."/>
      <w:lvlJc w:val="right"/>
      <w:pPr>
        <w:tabs>
          <w:tab w:val="num" w:pos="0"/>
        </w:tabs>
        <w:ind w:left="7470" w:hanging="180"/>
      </w:pPr>
    </w:lvl>
  </w:abstractNum>
  <w:abstractNum w:abstractNumId="90" w15:restartNumberingAfterBreak="0">
    <w:nsid w:val="40BF21BF"/>
    <w:multiLevelType w:val="multilevel"/>
    <w:tmpl w:val="C1ECF814"/>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91" w15:restartNumberingAfterBreak="0">
    <w:nsid w:val="41964D8D"/>
    <w:multiLevelType w:val="multilevel"/>
    <w:tmpl w:val="C47AFA0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2" w15:restartNumberingAfterBreak="0">
    <w:nsid w:val="41CC7B22"/>
    <w:multiLevelType w:val="multilevel"/>
    <w:tmpl w:val="0EC63C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41E95C66"/>
    <w:multiLevelType w:val="multilevel"/>
    <w:tmpl w:val="23F26A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43334F7B"/>
    <w:multiLevelType w:val="multilevel"/>
    <w:tmpl w:val="DC369EC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44C03395"/>
    <w:multiLevelType w:val="multilevel"/>
    <w:tmpl w:val="4862303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6" w15:restartNumberingAfterBreak="0">
    <w:nsid w:val="44E67585"/>
    <w:multiLevelType w:val="multilevel"/>
    <w:tmpl w:val="7A78C67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7" w15:restartNumberingAfterBreak="0">
    <w:nsid w:val="4508102D"/>
    <w:multiLevelType w:val="multilevel"/>
    <w:tmpl w:val="60620A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15:restartNumberingAfterBreak="0">
    <w:nsid w:val="4532583F"/>
    <w:multiLevelType w:val="multilevel"/>
    <w:tmpl w:val="849E3B7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457E2618"/>
    <w:multiLevelType w:val="multilevel"/>
    <w:tmpl w:val="1AE2B48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45C676A6"/>
    <w:multiLevelType w:val="multilevel"/>
    <w:tmpl w:val="43E62F6E"/>
    <w:lvl w:ilvl="0">
      <w:start w:val="1"/>
      <w:numFmt w:val="lowerLetter"/>
      <w:lvlText w:val="%1."/>
      <w:lvlJc w:val="left"/>
      <w:pPr>
        <w:tabs>
          <w:tab w:val="num" w:pos="0"/>
        </w:tabs>
        <w:ind w:left="360" w:hanging="360"/>
      </w:pPr>
    </w:lvl>
    <w:lvl w:ilvl="1">
      <w:start w:val="1"/>
      <w:numFmt w:val="decimal"/>
      <w:lvlText w:val="%2."/>
      <w:lvlJc w:val="left"/>
      <w:pPr>
        <w:tabs>
          <w:tab w:val="num" w:pos="0"/>
        </w:tabs>
        <w:ind w:left="63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1" w15:restartNumberingAfterBreak="0">
    <w:nsid w:val="45EE705A"/>
    <w:multiLevelType w:val="multilevel"/>
    <w:tmpl w:val="F96C28A6"/>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02" w15:restartNumberingAfterBreak="0">
    <w:nsid w:val="460B5530"/>
    <w:multiLevelType w:val="multilevel"/>
    <w:tmpl w:val="9E443E6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460D2817"/>
    <w:multiLevelType w:val="multilevel"/>
    <w:tmpl w:val="5FA490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463F1DE4"/>
    <w:multiLevelType w:val="multilevel"/>
    <w:tmpl w:val="B9DEFF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47903597"/>
    <w:multiLevelType w:val="multilevel"/>
    <w:tmpl w:val="222A2B1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6" w15:restartNumberingAfterBreak="0">
    <w:nsid w:val="48827916"/>
    <w:multiLevelType w:val="multilevel"/>
    <w:tmpl w:val="27647092"/>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7" w15:restartNumberingAfterBreak="0">
    <w:nsid w:val="49480AE3"/>
    <w:multiLevelType w:val="multilevel"/>
    <w:tmpl w:val="C29A1AC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8" w15:restartNumberingAfterBreak="0">
    <w:nsid w:val="49B730FF"/>
    <w:multiLevelType w:val="multilevel"/>
    <w:tmpl w:val="D81A13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4A4D26E2"/>
    <w:multiLevelType w:val="multilevel"/>
    <w:tmpl w:val="E28464D2"/>
    <w:lvl w:ilvl="0">
      <w:start w:val="1"/>
      <w:numFmt w:val="low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10" w15:restartNumberingAfterBreak="0">
    <w:nsid w:val="4B89114A"/>
    <w:multiLevelType w:val="multilevel"/>
    <w:tmpl w:val="0834FDB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1" w15:restartNumberingAfterBreak="0">
    <w:nsid w:val="4C3F5A51"/>
    <w:multiLevelType w:val="multilevel"/>
    <w:tmpl w:val="37C4C9B6"/>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12" w15:restartNumberingAfterBreak="0">
    <w:nsid w:val="4C5938BF"/>
    <w:multiLevelType w:val="multilevel"/>
    <w:tmpl w:val="63D2E298"/>
    <w:lvl w:ilvl="0">
      <w:start w:val="1"/>
      <w:numFmt w:val="lowerRoman"/>
      <w:lvlText w:val="%1."/>
      <w:lvlJc w:val="righ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3" w15:restartNumberingAfterBreak="0">
    <w:nsid w:val="4C6F1332"/>
    <w:multiLevelType w:val="multilevel"/>
    <w:tmpl w:val="4A285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4CAF2A09"/>
    <w:multiLevelType w:val="multilevel"/>
    <w:tmpl w:val="9BA4806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5" w15:restartNumberingAfterBreak="0">
    <w:nsid w:val="4E1548DA"/>
    <w:multiLevelType w:val="multilevel"/>
    <w:tmpl w:val="33D82BFC"/>
    <w:lvl w:ilvl="0">
      <w:start w:val="1"/>
      <w:numFmt w:val="decimal"/>
      <w:lvlText w:val="%1."/>
      <w:lvlJc w:val="left"/>
      <w:pPr>
        <w:tabs>
          <w:tab w:val="num" w:pos="0"/>
        </w:tabs>
        <w:ind w:left="63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4E265405"/>
    <w:multiLevelType w:val="multilevel"/>
    <w:tmpl w:val="20887B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4E2765D2"/>
    <w:multiLevelType w:val="multilevel"/>
    <w:tmpl w:val="C98C8F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E8E592F"/>
    <w:multiLevelType w:val="multilevel"/>
    <w:tmpl w:val="64E08570"/>
    <w:lvl w:ilvl="0">
      <w:start w:val="1"/>
      <w:numFmt w:val="decimal"/>
      <w:lvlText w:val="%1."/>
      <w:lvlJc w:val="left"/>
      <w:pPr>
        <w:tabs>
          <w:tab w:val="num" w:pos="0"/>
        </w:tabs>
        <w:ind w:left="720" w:hanging="360"/>
      </w:pPr>
      <w:rPr>
        <w:rFonts w:ascii="Times New Roman" w:eastAsiaTheme="minorHAnsi" w:hAnsi="Times New Roman" w:cs="Times New Roman"/>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9" w15:restartNumberingAfterBreak="0">
    <w:nsid w:val="4EA7258A"/>
    <w:multiLevelType w:val="multilevel"/>
    <w:tmpl w:val="B5A28854"/>
    <w:lvl w:ilvl="0">
      <w:start w:val="1"/>
      <w:numFmt w:val="decimal"/>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0" w15:restartNumberingAfterBreak="0">
    <w:nsid w:val="51CD67A6"/>
    <w:multiLevelType w:val="multilevel"/>
    <w:tmpl w:val="24BA68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51D52F97"/>
    <w:multiLevelType w:val="multilevel"/>
    <w:tmpl w:val="F8241524"/>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2" w15:restartNumberingAfterBreak="0">
    <w:nsid w:val="5226523B"/>
    <w:multiLevelType w:val="multilevel"/>
    <w:tmpl w:val="B58EB1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15:restartNumberingAfterBreak="0">
    <w:nsid w:val="52A4226E"/>
    <w:multiLevelType w:val="multilevel"/>
    <w:tmpl w:val="11B485D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52B7008F"/>
    <w:multiLevelType w:val="multilevel"/>
    <w:tmpl w:val="1A0A3EB4"/>
    <w:lvl w:ilvl="0">
      <w:start w:val="1"/>
      <w:numFmt w:val="low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25" w15:restartNumberingAfterBreak="0">
    <w:nsid w:val="537867AB"/>
    <w:multiLevelType w:val="multilevel"/>
    <w:tmpl w:val="AD204848"/>
    <w:lvl w:ilvl="0">
      <w:start w:val="1"/>
      <w:numFmt w:val="decimal"/>
      <w:lvlText w:val="%1."/>
      <w:lvlJc w:val="left"/>
      <w:pPr>
        <w:tabs>
          <w:tab w:val="num" w:pos="0"/>
        </w:tabs>
        <w:ind w:left="36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26" w15:restartNumberingAfterBreak="0">
    <w:nsid w:val="56C45653"/>
    <w:multiLevelType w:val="multilevel"/>
    <w:tmpl w:val="FCD2C12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15:restartNumberingAfterBreak="0">
    <w:nsid w:val="59EB5B98"/>
    <w:multiLevelType w:val="multilevel"/>
    <w:tmpl w:val="65BC618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8" w15:restartNumberingAfterBreak="0">
    <w:nsid w:val="5A9F4E39"/>
    <w:multiLevelType w:val="multilevel"/>
    <w:tmpl w:val="7212987A"/>
    <w:lvl w:ilvl="0">
      <w:start w:val="2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5B661FD7"/>
    <w:multiLevelType w:val="multilevel"/>
    <w:tmpl w:val="8A4A9FA4"/>
    <w:lvl w:ilvl="0">
      <w:start w:val="1"/>
      <w:numFmt w:val="lowerRoman"/>
      <w:lvlText w:val="%1."/>
      <w:lvlJc w:val="righ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130" w15:restartNumberingAfterBreak="0">
    <w:nsid w:val="5B78538C"/>
    <w:multiLevelType w:val="multilevel"/>
    <w:tmpl w:val="BACEDEF0"/>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31" w15:restartNumberingAfterBreak="0">
    <w:nsid w:val="5CC64F32"/>
    <w:multiLevelType w:val="multilevel"/>
    <w:tmpl w:val="DF2A0382"/>
    <w:lvl w:ilvl="0">
      <w:start w:val="1"/>
      <w:numFmt w:val="decimal"/>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5E484CBD"/>
    <w:multiLevelType w:val="multilevel"/>
    <w:tmpl w:val="8E1425FC"/>
    <w:lvl w:ilvl="0">
      <w:start w:val="1"/>
      <w:numFmt w:val="decimal"/>
      <w:lvlText w:val="%1."/>
      <w:lvlJc w:val="left"/>
      <w:pPr>
        <w:tabs>
          <w:tab w:val="num" w:pos="0"/>
        </w:tabs>
        <w:ind w:left="3600" w:hanging="360"/>
      </w:pPr>
    </w:lvl>
    <w:lvl w:ilvl="1">
      <w:start w:val="1"/>
      <w:numFmt w:val="lowerLetter"/>
      <w:lvlText w:val="%2."/>
      <w:lvlJc w:val="left"/>
      <w:pPr>
        <w:tabs>
          <w:tab w:val="num" w:pos="0"/>
        </w:tabs>
        <w:ind w:left="4320" w:hanging="360"/>
      </w:pPr>
    </w:lvl>
    <w:lvl w:ilvl="2">
      <w:start w:val="1"/>
      <w:numFmt w:val="lowerRoman"/>
      <w:lvlText w:val="%3."/>
      <w:lvlJc w:val="right"/>
      <w:pPr>
        <w:tabs>
          <w:tab w:val="num" w:pos="0"/>
        </w:tabs>
        <w:ind w:left="5040" w:hanging="180"/>
      </w:pPr>
    </w:lvl>
    <w:lvl w:ilvl="3">
      <w:start w:val="1"/>
      <w:numFmt w:val="decimal"/>
      <w:lvlText w:val="%4."/>
      <w:lvlJc w:val="left"/>
      <w:pPr>
        <w:tabs>
          <w:tab w:val="num" w:pos="0"/>
        </w:tabs>
        <w:ind w:left="5760" w:hanging="360"/>
      </w:pPr>
    </w:lvl>
    <w:lvl w:ilvl="4">
      <w:start w:val="1"/>
      <w:numFmt w:val="lowerLetter"/>
      <w:lvlText w:val="%5."/>
      <w:lvlJc w:val="left"/>
      <w:pPr>
        <w:tabs>
          <w:tab w:val="num" w:pos="0"/>
        </w:tabs>
        <w:ind w:left="6480" w:hanging="360"/>
      </w:pPr>
    </w:lvl>
    <w:lvl w:ilvl="5">
      <w:start w:val="1"/>
      <w:numFmt w:val="lowerRoman"/>
      <w:lvlText w:val="%6."/>
      <w:lvlJc w:val="right"/>
      <w:pPr>
        <w:tabs>
          <w:tab w:val="num" w:pos="0"/>
        </w:tabs>
        <w:ind w:left="7200" w:hanging="180"/>
      </w:pPr>
    </w:lvl>
    <w:lvl w:ilvl="6">
      <w:start w:val="1"/>
      <w:numFmt w:val="decimal"/>
      <w:lvlText w:val="%7."/>
      <w:lvlJc w:val="left"/>
      <w:pPr>
        <w:tabs>
          <w:tab w:val="num" w:pos="0"/>
        </w:tabs>
        <w:ind w:left="7920" w:hanging="360"/>
      </w:pPr>
    </w:lvl>
    <w:lvl w:ilvl="7">
      <w:start w:val="1"/>
      <w:numFmt w:val="lowerLetter"/>
      <w:lvlText w:val="%8."/>
      <w:lvlJc w:val="left"/>
      <w:pPr>
        <w:tabs>
          <w:tab w:val="num" w:pos="0"/>
        </w:tabs>
        <w:ind w:left="8640" w:hanging="360"/>
      </w:pPr>
    </w:lvl>
    <w:lvl w:ilvl="8">
      <w:start w:val="1"/>
      <w:numFmt w:val="lowerRoman"/>
      <w:lvlText w:val="%9."/>
      <w:lvlJc w:val="right"/>
      <w:pPr>
        <w:tabs>
          <w:tab w:val="num" w:pos="0"/>
        </w:tabs>
        <w:ind w:left="9360" w:hanging="180"/>
      </w:pPr>
    </w:lvl>
  </w:abstractNum>
  <w:abstractNum w:abstractNumId="133" w15:restartNumberingAfterBreak="0">
    <w:nsid w:val="5F213D5B"/>
    <w:multiLevelType w:val="multilevel"/>
    <w:tmpl w:val="F822EE7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4" w15:restartNumberingAfterBreak="0">
    <w:nsid w:val="60113723"/>
    <w:multiLevelType w:val="multilevel"/>
    <w:tmpl w:val="11BCD484"/>
    <w:lvl w:ilvl="0">
      <w:start w:val="1"/>
      <w:numFmt w:val="decimal"/>
      <w:lvlText w:val="%1."/>
      <w:lvlJc w:val="left"/>
      <w:pPr>
        <w:tabs>
          <w:tab w:val="num" w:pos="0"/>
        </w:tabs>
        <w:ind w:left="90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5" w15:restartNumberingAfterBreak="0">
    <w:nsid w:val="60597FB4"/>
    <w:multiLevelType w:val="multilevel"/>
    <w:tmpl w:val="01740052"/>
    <w:lvl w:ilvl="0">
      <w:start w:val="1"/>
      <w:numFmt w:val="lowerRoman"/>
      <w:lvlText w:val="%1."/>
      <w:lvlJc w:val="righ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136" w15:restartNumberingAfterBreak="0">
    <w:nsid w:val="60D804D7"/>
    <w:multiLevelType w:val="multilevel"/>
    <w:tmpl w:val="9A5089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618C0662"/>
    <w:multiLevelType w:val="multilevel"/>
    <w:tmpl w:val="13F88BA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900" w:hanging="360"/>
      </w:pPr>
      <w:rPr>
        <w:rFonts w:ascii="Times New Roman" w:hAnsi="Times New Roman" w:cs="Times New Roman"/>
      </w:r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8" w15:restartNumberingAfterBreak="0">
    <w:nsid w:val="61B36304"/>
    <w:multiLevelType w:val="multilevel"/>
    <w:tmpl w:val="97AC09D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63F46356"/>
    <w:multiLevelType w:val="multilevel"/>
    <w:tmpl w:val="3B767DE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0" w15:restartNumberingAfterBreak="0">
    <w:nsid w:val="64333AAA"/>
    <w:multiLevelType w:val="multilevel"/>
    <w:tmpl w:val="BADAD0FE"/>
    <w:lvl w:ilvl="0">
      <w:start w:val="2"/>
      <w:numFmt w:val="decimal"/>
      <w:lvlText w:val="%1."/>
      <w:lvlJc w:val="left"/>
      <w:pPr>
        <w:tabs>
          <w:tab w:val="num" w:pos="0"/>
        </w:tabs>
        <w:ind w:left="360" w:hanging="360"/>
      </w:pPr>
    </w:lvl>
    <w:lvl w:ilvl="1">
      <w:start w:val="4"/>
      <w:numFmt w:val="lowerLetter"/>
      <w:lvlText w:val="%2."/>
      <w:lvlJc w:val="left"/>
      <w:pPr>
        <w:tabs>
          <w:tab w:val="num" w:pos="0"/>
        </w:tabs>
        <w:ind w:left="36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41" w15:restartNumberingAfterBreak="0">
    <w:nsid w:val="64875F26"/>
    <w:multiLevelType w:val="multilevel"/>
    <w:tmpl w:val="0546B3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64BC3D77"/>
    <w:multiLevelType w:val="multilevel"/>
    <w:tmpl w:val="6264319A"/>
    <w:lvl w:ilvl="0">
      <w:start w:val="1"/>
      <w:numFmt w:val="decimal"/>
      <w:lvlText w:val="%1."/>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15:restartNumberingAfterBreak="0">
    <w:nsid w:val="65E36F97"/>
    <w:multiLevelType w:val="multilevel"/>
    <w:tmpl w:val="613EFB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4" w15:restartNumberingAfterBreak="0">
    <w:nsid w:val="66227E8C"/>
    <w:multiLevelType w:val="multilevel"/>
    <w:tmpl w:val="496C38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5" w15:restartNumberingAfterBreak="0">
    <w:nsid w:val="671F5130"/>
    <w:multiLevelType w:val="multilevel"/>
    <w:tmpl w:val="A418D672"/>
    <w:lvl w:ilvl="0">
      <w:start w:val="1"/>
      <w:numFmt w:val="decimal"/>
      <w:lvlText w:val="%1."/>
      <w:lvlJc w:val="left"/>
      <w:pPr>
        <w:tabs>
          <w:tab w:val="num" w:pos="0"/>
        </w:tabs>
        <w:ind w:left="2160" w:hanging="360"/>
      </w:pPr>
      <w:rPr>
        <w:rFonts w:ascii="Times New Roman" w:eastAsiaTheme="minorHAnsi" w:hAnsi="Times New Roman" w:cs="Times New Roman"/>
      </w:r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146" w15:restartNumberingAfterBreak="0">
    <w:nsid w:val="677D73F8"/>
    <w:multiLevelType w:val="multilevel"/>
    <w:tmpl w:val="A8DCA86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7" w15:restartNumberingAfterBreak="0">
    <w:nsid w:val="684437F5"/>
    <w:multiLevelType w:val="multilevel"/>
    <w:tmpl w:val="D30ADDCE"/>
    <w:lvl w:ilvl="0">
      <w:start w:val="1"/>
      <w:numFmt w:val="lowerRoman"/>
      <w:lvlText w:val="%1."/>
      <w:lvlJc w:val="righ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48" w15:restartNumberingAfterBreak="0">
    <w:nsid w:val="68EA22C7"/>
    <w:multiLevelType w:val="multilevel"/>
    <w:tmpl w:val="E6FE1E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9" w15:restartNumberingAfterBreak="0">
    <w:nsid w:val="69564DB8"/>
    <w:multiLevelType w:val="multilevel"/>
    <w:tmpl w:val="B99AE1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959518F"/>
    <w:multiLevelType w:val="multilevel"/>
    <w:tmpl w:val="358493E6"/>
    <w:lvl w:ilvl="0">
      <w:start w:val="1"/>
      <w:numFmt w:val="lowerLetter"/>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51" w15:restartNumberingAfterBreak="0">
    <w:nsid w:val="69AA5F44"/>
    <w:multiLevelType w:val="multilevel"/>
    <w:tmpl w:val="1862ECA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69EF474A"/>
    <w:multiLevelType w:val="multilevel"/>
    <w:tmpl w:val="669848DC"/>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6A185E6C"/>
    <w:multiLevelType w:val="multilevel"/>
    <w:tmpl w:val="22B28508"/>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54" w15:restartNumberingAfterBreak="0">
    <w:nsid w:val="6C3E4B58"/>
    <w:multiLevelType w:val="multilevel"/>
    <w:tmpl w:val="57DCE7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5" w15:restartNumberingAfterBreak="0">
    <w:nsid w:val="6C5D71B7"/>
    <w:multiLevelType w:val="multilevel"/>
    <w:tmpl w:val="B448A5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6" w15:restartNumberingAfterBreak="0">
    <w:nsid w:val="6C66632B"/>
    <w:multiLevelType w:val="multilevel"/>
    <w:tmpl w:val="4734088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57" w15:restartNumberingAfterBreak="0">
    <w:nsid w:val="6DB579D1"/>
    <w:multiLevelType w:val="multilevel"/>
    <w:tmpl w:val="487C0D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6F5F55EE"/>
    <w:multiLevelType w:val="multilevel"/>
    <w:tmpl w:val="CB02C0B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59" w15:restartNumberingAfterBreak="0">
    <w:nsid w:val="6F8B7D9A"/>
    <w:multiLevelType w:val="multilevel"/>
    <w:tmpl w:val="B82C28B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0" w15:restartNumberingAfterBreak="0">
    <w:nsid w:val="6FFC775A"/>
    <w:multiLevelType w:val="multilevel"/>
    <w:tmpl w:val="34ECD10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1" w15:restartNumberingAfterBreak="0">
    <w:nsid w:val="71133FA2"/>
    <w:multiLevelType w:val="multilevel"/>
    <w:tmpl w:val="D95EA7B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71C8568D"/>
    <w:multiLevelType w:val="multilevel"/>
    <w:tmpl w:val="5768AB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73DB707B"/>
    <w:multiLevelType w:val="multilevel"/>
    <w:tmpl w:val="DBCE007A"/>
    <w:lvl w:ilvl="0">
      <w:start w:val="1"/>
      <w:numFmt w:val="lowerRoman"/>
      <w:lvlText w:val="%1."/>
      <w:lvlJc w:val="right"/>
      <w:pPr>
        <w:tabs>
          <w:tab w:val="num" w:pos="0"/>
        </w:tabs>
        <w:ind w:left="2070" w:hanging="360"/>
      </w:pPr>
    </w:lvl>
    <w:lvl w:ilvl="1">
      <w:start w:val="1"/>
      <w:numFmt w:val="lowerLetter"/>
      <w:lvlText w:val="%2."/>
      <w:lvlJc w:val="left"/>
      <w:pPr>
        <w:tabs>
          <w:tab w:val="num" w:pos="0"/>
        </w:tabs>
        <w:ind w:left="2790" w:hanging="360"/>
      </w:pPr>
    </w:lvl>
    <w:lvl w:ilvl="2">
      <w:start w:val="1"/>
      <w:numFmt w:val="lowerRoman"/>
      <w:lvlText w:val="%3."/>
      <w:lvlJc w:val="right"/>
      <w:pPr>
        <w:tabs>
          <w:tab w:val="num" w:pos="0"/>
        </w:tabs>
        <w:ind w:left="3510" w:hanging="180"/>
      </w:pPr>
    </w:lvl>
    <w:lvl w:ilvl="3">
      <w:start w:val="1"/>
      <w:numFmt w:val="decimal"/>
      <w:lvlText w:val="%4."/>
      <w:lvlJc w:val="left"/>
      <w:pPr>
        <w:tabs>
          <w:tab w:val="num" w:pos="0"/>
        </w:tabs>
        <w:ind w:left="4230" w:hanging="360"/>
      </w:pPr>
    </w:lvl>
    <w:lvl w:ilvl="4">
      <w:start w:val="1"/>
      <w:numFmt w:val="lowerLetter"/>
      <w:lvlText w:val="%5."/>
      <w:lvlJc w:val="left"/>
      <w:pPr>
        <w:tabs>
          <w:tab w:val="num" w:pos="0"/>
        </w:tabs>
        <w:ind w:left="4950" w:hanging="360"/>
      </w:pPr>
    </w:lvl>
    <w:lvl w:ilvl="5">
      <w:start w:val="1"/>
      <w:numFmt w:val="lowerRoman"/>
      <w:lvlText w:val="%6."/>
      <w:lvlJc w:val="right"/>
      <w:pPr>
        <w:tabs>
          <w:tab w:val="num" w:pos="0"/>
        </w:tabs>
        <w:ind w:left="5670" w:hanging="180"/>
      </w:pPr>
    </w:lvl>
    <w:lvl w:ilvl="6">
      <w:start w:val="1"/>
      <w:numFmt w:val="decimal"/>
      <w:lvlText w:val="%7."/>
      <w:lvlJc w:val="left"/>
      <w:pPr>
        <w:tabs>
          <w:tab w:val="num" w:pos="0"/>
        </w:tabs>
        <w:ind w:left="6390" w:hanging="360"/>
      </w:pPr>
    </w:lvl>
    <w:lvl w:ilvl="7">
      <w:start w:val="1"/>
      <w:numFmt w:val="lowerLetter"/>
      <w:lvlText w:val="%8."/>
      <w:lvlJc w:val="left"/>
      <w:pPr>
        <w:tabs>
          <w:tab w:val="num" w:pos="0"/>
        </w:tabs>
        <w:ind w:left="7110" w:hanging="360"/>
      </w:pPr>
    </w:lvl>
    <w:lvl w:ilvl="8">
      <w:start w:val="1"/>
      <w:numFmt w:val="lowerRoman"/>
      <w:lvlText w:val="%9."/>
      <w:lvlJc w:val="right"/>
      <w:pPr>
        <w:tabs>
          <w:tab w:val="num" w:pos="0"/>
        </w:tabs>
        <w:ind w:left="7830" w:hanging="180"/>
      </w:pPr>
    </w:lvl>
  </w:abstractNum>
  <w:abstractNum w:abstractNumId="164" w15:restartNumberingAfterBreak="0">
    <w:nsid w:val="745C2C31"/>
    <w:multiLevelType w:val="multilevel"/>
    <w:tmpl w:val="3508020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5" w15:restartNumberingAfterBreak="0">
    <w:nsid w:val="751F04B4"/>
    <w:multiLevelType w:val="multilevel"/>
    <w:tmpl w:val="3886E400"/>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6" w15:restartNumberingAfterBreak="0">
    <w:nsid w:val="75FC25CD"/>
    <w:multiLevelType w:val="multilevel"/>
    <w:tmpl w:val="D526ADA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7" w15:restartNumberingAfterBreak="0">
    <w:nsid w:val="76765682"/>
    <w:multiLevelType w:val="multilevel"/>
    <w:tmpl w:val="E72AB9B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8" w15:restartNumberingAfterBreak="0">
    <w:nsid w:val="76903323"/>
    <w:multiLevelType w:val="multilevel"/>
    <w:tmpl w:val="07C2F2EC"/>
    <w:lvl w:ilvl="0">
      <w:start w:val="2"/>
      <w:numFmt w:val="decimal"/>
      <w:lvlText w:val="%1."/>
      <w:lvlJc w:val="left"/>
      <w:pPr>
        <w:tabs>
          <w:tab w:val="num" w:pos="0"/>
        </w:tabs>
        <w:ind w:left="63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7710607B"/>
    <w:multiLevelType w:val="multilevel"/>
    <w:tmpl w:val="21C01F02"/>
    <w:lvl w:ilvl="0">
      <w:start w:val="1"/>
      <w:numFmt w:val="decimal"/>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0" w15:restartNumberingAfterBreak="0">
    <w:nsid w:val="771360AD"/>
    <w:multiLevelType w:val="multilevel"/>
    <w:tmpl w:val="37FC50BA"/>
    <w:lvl w:ilvl="0">
      <w:start w:val="1"/>
      <w:numFmt w:val="lowerRoman"/>
      <w:lvlText w:val="%1."/>
      <w:lvlJc w:val="right"/>
      <w:pPr>
        <w:tabs>
          <w:tab w:val="num" w:pos="0"/>
        </w:tabs>
        <w:ind w:left="1620" w:hanging="360"/>
      </w:p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171" w15:restartNumberingAfterBreak="0">
    <w:nsid w:val="77250EE7"/>
    <w:multiLevelType w:val="multilevel"/>
    <w:tmpl w:val="F27E6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2" w15:restartNumberingAfterBreak="0">
    <w:nsid w:val="77280C10"/>
    <w:multiLevelType w:val="multilevel"/>
    <w:tmpl w:val="CD4C7B2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73" w15:restartNumberingAfterBreak="0">
    <w:nsid w:val="78187A13"/>
    <w:multiLevelType w:val="multilevel"/>
    <w:tmpl w:val="EC04EBA4"/>
    <w:lvl w:ilvl="0">
      <w:start w:val="1"/>
      <w:numFmt w:val="decimal"/>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74" w15:restartNumberingAfterBreak="0">
    <w:nsid w:val="79F32652"/>
    <w:multiLevelType w:val="multilevel"/>
    <w:tmpl w:val="AA840582"/>
    <w:lvl w:ilvl="0">
      <w:start w:val="1"/>
      <w:numFmt w:val="decimal"/>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75" w15:restartNumberingAfterBreak="0">
    <w:nsid w:val="7A107BDB"/>
    <w:multiLevelType w:val="multilevel"/>
    <w:tmpl w:val="BBBEF74A"/>
    <w:lvl w:ilvl="0">
      <w:start w:val="1"/>
      <w:numFmt w:val="decimal"/>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76" w15:restartNumberingAfterBreak="0">
    <w:nsid w:val="7AE505FA"/>
    <w:multiLevelType w:val="multilevel"/>
    <w:tmpl w:val="E2DC8D7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7" w15:restartNumberingAfterBreak="0">
    <w:nsid w:val="7B2F0C18"/>
    <w:multiLevelType w:val="multilevel"/>
    <w:tmpl w:val="63CAD218"/>
    <w:lvl w:ilvl="0">
      <w:start w:val="2"/>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isLgl/>
      <w:lvlText w:val="%1.%2.%3."/>
      <w:lvlJc w:val="left"/>
      <w:pPr>
        <w:tabs>
          <w:tab w:val="num" w:pos="0"/>
        </w:tabs>
        <w:ind w:left="1440" w:hanging="720"/>
      </w:pPr>
    </w:lvl>
    <w:lvl w:ilvl="3">
      <w:start w:val="1"/>
      <w:numFmt w:val="decimal"/>
      <w:isLgl/>
      <w:lvlText w:val="%1.%2.%3.%4."/>
      <w:lvlJc w:val="left"/>
      <w:pPr>
        <w:tabs>
          <w:tab w:val="num" w:pos="0"/>
        </w:tabs>
        <w:ind w:left="1800" w:hanging="720"/>
      </w:pPr>
    </w:lvl>
    <w:lvl w:ilvl="4">
      <w:start w:val="1"/>
      <w:numFmt w:val="decimal"/>
      <w:isLgl/>
      <w:lvlText w:val="%1.%2.%3.%4.%5."/>
      <w:lvlJc w:val="left"/>
      <w:pPr>
        <w:tabs>
          <w:tab w:val="num" w:pos="0"/>
        </w:tabs>
        <w:ind w:left="2520" w:hanging="1080"/>
      </w:pPr>
    </w:lvl>
    <w:lvl w:ilvl="5">
      <w:start w:val="1"/>
      <w:numFmt w:val="decimal"/>
      <w:isLgl/>
      <w:lvlText w:val="%1.%2.%3.%4.%5.%6."/>
      <w:lvlJc w:val="left"/>
      <w:pPr>
        <w:tabs>
          <w:tab w:val="num" w:pos="0"/>
        </w:tabs>
        <w:ind w:left="2880" w:hanging="1080"/>
      </w:pPr>
    </w:lvl>
    <w:lvl w:ilvl="6">
      <w:start w:val="1"/>
      <w:numFmt w:val="decimal"/>
      <w:isLgl/>
      <w:lvlText w:val="%1.%2.%3.%4.%5.%6.%7."/>
      <w:lvlJc w:val="left"/>
      <w:pPr>
        <w:tabs>
          <w:tab w:val="num" w:pos="0"/>
        </w:tabs>
        <w:ind w:left="3600" w:hanging="144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680" w:hanging="1800"/>
      </w:pPr>
    </w:lvl>
  </w:abstractNum>
  <w:abstractNum w:abstractNumId="178" w15:restartNumberingAfterBreak="0">
    <w:nsid w:val="7B7638A3"/>
    <w:multiLevelType w:val="multilevel"/>
    <w:tmpl w:val="201AD0D6"/>
    <w:lvl w:ilvl="0">
      <w:start w:val="1"/>
      <w:numFmt w:val="lowerLetter"/>
      <w:lvlText w:val="%1."/>
      <w:lvlJc w:val="left"/>
      <w:pPr>
        <w:tabs>
          <w:tab w:val="num" w:pos="-90"/>
        </w:tabs>
        <w:ind w:left="630" w:hanging="360"/>
      </w:pPr>
    </w:lvl>
    <w:lvl w:ilvl="1">
      <w:start w:val="1"/>
      <w:numFmt w:val="lowerLetter"/>
      <w:lvlText w:val="%2."/>
      <w:lvlJc w:val="left"/>
      <w:pPr>
        <w:tabs>
          <w:tab w:val="num" w:pos="-90"/>
        </w:tabs>
        <w:ind w:left="1350" w:hanging="360"/>
      </w:pPr>
    </w:lvl>
    <w:lvl w:ilvl="2">
      <w:start w:val="1"/>
      <w:numFmt w:val="lowerRoman"/>
      <w:lvlText w:val="%3."/>
      <w:lvlJc w:val="right"/>
      <w:pPr>
        <w:tabs>
          <w:tab w:val="num" w:pos="-90"/>
        </w:tabs>
        <w:ind w:left="2070" w:hanging="180"/>
      </w:pPr>
    </w:lvl>
    <w:lvl w:ilvl="3">
      <w:start w:val="1"/>
      <w:numFmt w:val="decimal"/>
      <w:lvlText w:val="%4."/>
      <w:lvlJc w:val="left"/>
      <w:pPr>
        <w:tabs>
          <w:tab w:val="num" w:pos="-90"/>
        </w:tabs>
        <w:ind w:left="2790" w:hanging="360"/>
      </w:pPr>
    </w:lvl>
    <w:lvl w:ilvl="4">
      <w:start w:val="1"/>
      <w:numFmt w:val="lowerLetter"/>
      <w:lvlText w:val="%5."/>
      <w:lvlJc w:val="left"/>
      <w:pPr>
        <w:tabs>
          <w:tab w:val="num" w:pos="-90"/>
        </w:tabs>
        <w:ind w:left="3510" w:hanging="360"/>
      </w:pPr>
    </w:lvl>
    <w:lvl w:ilvl="5">
      <w:start w:val="1"/>
      <w:numFmt w:val="lowerRoman"/>
      <w:lvlText w:val="%6."/>
      <w:lvlJc w:val="right"/>
      <w:pPr>
        <w:tabs>
          <w:tab w:val="num" w:pos="-90"/>
        </w:tabs>
        <w:ind w:left="4230" w:hanging="180"/>
      </w:pPr>
    </w:lvl>
    <w:lvl w:ilvl="6">
      <w:start w:val="1"/>
      <w:numFmt w:val="decimal"/>
      <w:lvlText w:val="%7."/>
      <w:lvlJc w:val="left"/>
      <w:pPr>
        <w:tabs>
          <w:tab w:val="num" w:pos="-90"/>
        </w:tabs>
        <w:ind w:left="4950" w:hanging="360"/>
      </w:pPr>
    </w:lvl>
    <w:lvl w:ilvl="7">
      <w:start w:val="1"/>
      <w:numFmt w:val="lowerLetter"/>
      <w:lvlText w:val="%8."/>
      <w:lvlJc w:val="left"/>
      <w:pPr>
        <w:tabs>
          <w:tab w:val="num" w:pos="-90"/>
        </w:tabs>
        <w:ind w:left="5670" w:hanging="360"/>
      </w:pPr>
    </w:lvl>
    <w:lvl w:ilvl="8">
      <w:start w:val="1"/>
      <w:numFmt w:val="lowerRoman"/>
      <w:lvlText w:val="%9."/>
      <w:lvlJc w:val="right"/>
      <w:pPr>
        <w:tabs>
          <w:tab w:val="num" w:pos="-90"/>
        </w:tabs>
        <w:ind w:left="6390" w:hanging="180"/>
      </w:pPr>
    </w:lvl>
  </w:abstractNum>
  <w:abstractNum w:abstractNumId="179" w15:restartNumberingAfterBreak="0">
    <w:nsid w:val="7BC63636"/>
    <w:multiLevelType w:val="multilevel"/>
    <w:tmpl w:val="C760248C"/>
    <w:lvl w:ilvl="0">
      <w:start w:val="1"/>
      <w:numFmt w:val="lowerLetter"/>
      <w:lvlText w:val="%1."/>
      <w:lvlJc w:val="lef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180" w15:restartNumberingAfterBreak="0">
    <w:nsid w:val="7CBD3AF0"/>
    <w:multiLevelType w:val="multilevel"/>
    <w:tmpl w:val="A90E1F4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1" w15:restartNumberingAfterBreak="0">
    <w:nsid w:val="7DAD1CC8"/>
    <w:multiLevelType w:val="multilevel"/>
    <w:tmpl w:val="DC5C63A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7DE17231"/>
    <w:multiLevelType w:val="multilevel"/>
    <w:tmpl w:val="19B8F2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3" w15:restartNumberingAfterBreak="0">
    <w:nsid w:val="7DF27AEA"/>
    <w:multiLevelType w:val="multilevel"/>
    <w:tmpl w:val="6D42E5C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4" w15:restartNumberingAfterBreak="0">
    <w:nsid w:val="7F3C6FA7"/>
    <w:multiLevelType w:val="multilevel"/>
    <w:tmpl w:val="6FEC2EC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5" w15:restartNumberingAfterBreak="0">
    <w:nsid w:val="7FA06099"/>
    <w:multiLevelType w:val="multilevel"/>
    <w:tmpl w:val="0E6C8336"/>
    <w:lvl w:ilvl="0">
      <w:start w:val="1"/>
      <w:numFmt w:val="decimal"/>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569315707">
    <w:abstractNumId w:val="15"/>
  </w:num>
  <w:num w:numId="2" w16cid:durableId="867983515">
    <w:abstractNumId w:val="143"/>
  </w:num>
  <w:num w:numId="3" w16cid:durableId="576205997">
    <w:abstractNumId w:val="166"/>
  </w:num>
  <w:num w:numId="4" w16cid:durableId="1492865523">
    <w:abstractNumId w:val="91"/>
  </w:num>
  <w:num w:numId="5" w16cid:durableId="419644692">
    <w:abstractNumId w:val="125"/>
  </w:num>
  <w:num w:numId="6" w16cid:durableId="1161579699">
    <w:abstractNumId w:val="40"/>
  </w:num>
  <w:num w:numId="7" w16cid:durableId="1268469746">
    <w:abstractNumId w:val="45"/>
  </w:num>
  <w:num w:numId="8" w16cid:durableId="1711025730">
    <w:abstractNumId w:val="183"/>
  </w:num>
  <w:num w:numId="9" w16cid:durableId="176819509">
    <w:abstractNumId w:val="172"/>
  </w:num>
  <w:num w:numId="10" w16cid:durableId="322664735">
    <w:abstractNumId w:val="140"/>
  </w:num>
  <w:num w:numId="11" w16cid:durableId="339620863">
    <w:abstractNumId w:val="26"/>
  </w:num>
  <w:num w:numId="12" w16cid:durableId="1183593194">
    <w:abstractNumId w:val="75"/>
  </w:num>
  <w:num w:numId="13" w16cid:durableId="375277916">
    <w:abstractNumId w:val="79"/>
  </w:num>
  <w:num w:numId="14" w16cid:durableId="1953896180">
    <w:abstractNumId w:val="148"/>
  </w:num>
  <w:num w:numId="15" w16cid:durableId="1033383999">
    <w:abstractNumId w:val="97"/>
  </w:num>
  <w:num w:numId="16" w16cid:durableId="1523125308">
    <w:abstractNumId w:val="142"/>
  </w:num>
  <w:num w:numId="17" w16cid:durableId="708994263">
    <w:abstractNumId w:val="37"/>
  </w:num>
  <w:num w:numId="18" w16cid:durableId="1735935733">
    <w:abstractNumId w:val="162"/>
  </w:num>
  <w:num w:numId="19" w16cid:durableId="1054423330">
    <w:abstractNumId w:val="105"/>
  </w:num>
  <w:num w:numId="20" w16cid:durableId="467167448">
    <w:abstractNumId w:val="154"/>
  </w:num>
  <w:num w:numId="21" w16cid:durableId="996803410">
    <w:abstractNumId w:val="121"/>
  </w:num>
  <w:num w:numId="22" w16cid:durableId="620957823">
    <w:abstractNumId w:val="83"/>
  </w:num>
  <w:num w:numId="23" w16cid:durableId="1354304259">
    <w:abstractNumId w:val="39"/>
  </w:num>
  <w:num w:numId="24" w16cid:durableId="64108747">
    <w:abstractNumId w:val="93"/>
  </w:num>
  <w:num w:numId="25" w16cid:durableId="1428620615">
    <w:abstractNumId w:val="2"/>
  </w:num>
  <w:num w:numId="26" w16cid:durableId="36853854">
    <w:abstractNumId w:val="176"/>
  </w:num>
  <w:num w:numId="27" w16cid:durableId="1097216888">
    <w:abstractNumId w:val="17"/>
  </w:num>
  <w:num w:numId="28" w16cid:durableId="1324580652">
    <w:abstractNumId w:val="46"/>
  </w:num>
  <w:num w:numId="29" w16cid:durableId="107238493">
    <w:abstractNumId w:val="41"/>
  </w:num>
  <w:num w:numId="30" w16cid:durableId="1994677411">
    <w:abstractNumId w:val="174"/>
  </w:num>
  <w:num w:numId="31" w16cid:durableId="1862888852">
    <w:abstractNumId w:val="134"/>
  </w:num>
  <w:num w:numId="32" w16cid:durableId="435946710">
    <w:abstractNumId w:val="72"/>
  </w:num>
  <w:num w:numId="33" w16cid:durableId="1216433749">
    <w:abstractNumId w:val="14"/>
  </w:num>
  <w:num w:numId="34" w16cid:durableId="1804612069">
    <w:abstractNumId w:val="35"/>
  </w:num>
  <w:num w:numId="35" w16cid:durableId="2025396477">
    <w:abstractNumId w:val="56"/>
  </w:num>
  <w:num w:numId="36" w16cid:durableId="1681589565">
    <w:abstractNumId w:val="8"/>
  </w:num>
  <w:num w:numId="37" w16cid:durableId="521827117">
    <w:abstractNumId w:val="104"/>
  </w:num>
  <w:num w:numId="38" w16cid:durableId="678236927">
    <w:abstractNumId w:val="184"/>
  </w:num>
  <w:num w:numId="39" w16cid:durableId="962886081">
    <w:abstractNumId w:val="71"/>
  </w:num>
  <w:num w:numId="40" w16cid:durableId="2084258668">
    <w:abstractNumId w:val="182"/>
  </w:num>
  <w:num w:numId="41" w16cid:durableId="966085757">
    <w:abstractNumId w:val="12"/>
  </w:num>
  <w:num w:numId="42" w16cid:durableId="1314682291">
    <w:abstractNumId w:val="169"/>
  </w:num>
  <w:num w:numId="43" w16cid:durableId="1613779773">
    <w:abstractNumId w:val="157"/>
  </w:num>
  <w:num w:numId="44" w16cid:durableId="2054033230">
    <w:abstractNumId w:val="152"/>
  </w:num>
  <w:num w:numId="45" w16cid:durableId="299697560">
    <w:abstractNumId w:val="118"/>
  </w:num>
  <w:num w:numId="46" w16cid:durableId="1434596392">
    <w:abstractNumId w:val="119"/>
  </w:num>
  <w:num w:numId="47" w16cid:durableId="253363024">
    <w:abstractNumId w:val="115"/>
  </w:num>
  <w:num w:numId="48" w16cid:durableId="513420746">
    <w:abstractNumId w:val="151"/>
  </w:num>
  <w:num w:numId="49" w16cid:durableId="1697735173">
    <w:abstractNumId w:val="102"/>
  </w:num>
  <w:num w:numId="50" w16cid:durableId="2082823642">
    <w:abstractNumId w:val="94"/>
  </w:num>
  <w:num w:numId="51" w16cid:durableId="775560554">
    <w:abstractNumId w:val="177"/>
  </w:num>
  <w:num w:numId="52" w16cid:durableId="1094472307">
    <w:abstractNumId w:val="112"/>
  </w:num>
  <w:num w:numId="53" w16cid:durableId="1701277933">
    <w:abstractNumId w:val="54"/>
  </w:num>
  <w:num w:numId="54" w16cid:durableId="628635849">
    <w:abstractNumId w:val="108"/>
  </w:num>
  <w:num w:numId="55" w16cid:durableId="137117651">
    <w:abstractNumId w:val="107"/>
  </w:num>
  <w:num w:numId="56" w16cid:durableId="345785937">
    <w:abstractNumId w:val="149"/>
  </w:num>
  <w:num w:numId="57" w16cid:durableId="1747609402">
    <w:abstractNumId w:val="131"/>
  </w:num>
  <w:num w:numId="58" w16cid:durableId="1092747922">
    <w:abstractNumId w:val="185"/>
  </w:num>
  <w:num w:numId="59" w16cid:durableId="1627931593">
    <w:abstractNumId w:val="44"/>
  </w:num>
  <w:num w:numId="60" w16cid:durableId="1356077091">
    <w:abstractNumId w:val="181"/>
  </w:num>
  <w:num w:numId="61" w16cid:durableId="983508722">
    <w:abstractNumId w:val="61"/>
  </w:num>
  <w:num w:numId="62" w16cid:durableId="871847460">
    <w:abstractNumId w:val="179"/>
  </w:num>
  <w:num w:numId="63" w16cid:durableId="333456101">
    <w:abstractNumId w:val="90"/>
  </w:num>
  <w:num w:numId="64" w16cid:durableId="2027052643">
    <w:abstractNumId w:val="145"/>
  </w:num>
  <w:num w:numId="65" w16cid:durableId="1218711640">
    <w:abstractNumId w:val="88"/>
  </w:num>
  <w:num w:numId="66" w16cid:durableId="976764323">
    <w:abstractNumId w:val="100"/>
  </w:num>
  <w:num w:numId="67" w16cid:durableId="1705404367">
    <w:abstractNumId w:val="161"/>
  </w:num>
  <w:num w:numId="68" w16cid:durableId="517082223">
    <w:abstractNumId w:val="86"/>
  </w:num>
  <w:num w:numId="69" w16cid:durableId="68960899">
    <w:abstractNumId w:val="180"/>
  </w:num>
  <w:num w:numId="70" w16cid:durableId="1653828687">
    <w:abstractNumId w:val="103"/>
  </w:num>
  <w:num w:numId="71" w16cid:durableId="786388990">
    <w:abstractNumId w:val="82"/>
  </w:num>
  <w:num w:numId="72" w16cid:durableId="936979718">
    <w:abstractNumId w:val="13"/>
  </w:num>
  <w:num w:numId="73" w16cid:durableId="553541883">
    <w:abstractNumId w:val="99"/>
  </w:num>
  <w:num w:numId="74" w16cid:durableId="834342299">
    <w:abstractNumId w:val="155"/>
  </w:num>
  <w:num w:numId="75" w16cid:durableId="1092437991">
    <w:abstractNumId w:val="173"/>
  </w:num>
  <w:num w:numId="76" w16cid:durableId="1406101409">
    <w:abstractNumId w:val="117"/>
  </w:num>
  <w:num w:numId="77" w16cid:durableId="606159913">
    <w:abstractNumId w:val="136"/>
  </w:num>
  <w:num w:numId="78" w16cid:durableId="2129273201">
    <w:abstractNumId w:val="28"/>
  </w:num>
  <w:num w:numId="79" w16cid:durableId="886527231">
    <w:abstractNumId w:val="63"/>
  </w:num>
  <w:num w:numId="80" w16cid:durableId="480539340">
    <w:abstractNumId w:val="78"/>
  </w:num>
  <w:num w:numId="81" w16cid:durableId="241722418">
    <w:abstractNumId w:val="38"/>
  </w:num>
  <w:num w:numId="82" w16cid:durableId="1599944052">
    <w:abstractNumId w:val="29"/>
  </w:num>
  <w:num w:numId="83" w16cid:durableId="1667708296">
    <w:abstractNumId w:val="1"/>
  </w:num>
  <w:num w:numId="84" w16cid:durableId="153768962">
    <w:abstractNumId w:val="116"/>
  </w:num>
  <w:num w:numId="85" w16cid:durableId="460195083">
    <w:abstractNumId w:val="20"/>
  </w:num>
  <w:num w:numId="86" w16cid:durableId="1884369844">
    <w:abstractNumId w:val="138"/>
  </w:num>
  <w:num w:numId="87" w16cid:durableId="335810615">
    <w:abstractNumId w:val="64"/>
  </w:num>
  <w:num w:numId="88" w16cid:durableId="783043258">
    <w:abstractNumId w:val="58"/>
  </w:num>
  <w:num w:numId="89" w16cid:durableId="346713639">
    <w:abstractNumId w:val="76"/>
  </w:num>
  <w:num w:numId="90" w16cid:durableId="2076390920">
    <w:abstractNumId w:val="7"/>
  </w:num>
  <w:num w:numId="91" w16cid:durableId="117651709">
    <w:abstractNumId w:val="21"/>
  </w:num>
  <w:num w:numId="92" w16cid:durableId="1202399924">
    <w:abstractNumId w:val="120"/>
  </w:num>
  <w:num w:numId="93" w16cid:durableId="1952205936">
    <w:abstractNumId w:val="6"/>
  </w:num>
  <w:num w:numId="94" w16cid:durableId="635531858">
    <w:abstractNumId w:val="85"/>
  </w:num>
  <w:num w:numId="95" w16cid:durableId="1955671422">
    <w:abstractNumId w:val="69"/>
  </w:num>
  <w:num w:numId="96" w16cid:durableId="2025351927">
    <w:abstractNumId w:val="153"/>
  </w:num>
  <w:num w:numId="97" w16cid:durableId="1161392288">
    <w:abstractNumId w:val="5"/>
  </w:num>
  <w:num w:numId="98" w16cid:durableId="1757482938">
    <w:abstractNumId w:val="101"/>
  </w:num>
  <w:num w:numId="99" w16cid:durableId="1725641374">
    <w:abstractNumId w:val="163"/>
  </w:num>
  <w:num w:numId="100" w16cid:durableId="1064184349">
    <w:abstractNumId w:val="135"/>
  </w:num>
  <w:num w:numId="101" w16cid:durableId="935484921">
    <w:abstractNumId w:val="129"/>
  </w:num>
  <w:num w:numId="102" w16cid:durableId="1331176895">
    <w:abstractNumId w:val="170"/>
  </w:num>
  <w:num w:numId="103" w16cid:durableId="1447849954">
    <w:abstractNumId w:val="51"/>
  </w:num>
  <w:num w:numId="104" w16cid:durableId="249243117">
    <w:abstractNumId w:val="65"/>
  </w:num>
  <w:num w:numId="105" w16cid:durableId="1059717315">
    <w:abstractNumId w:val="150"/>
  </w:num>
  <w:num w:numId="106" w16cid:durableId="1585529597">
    <w:abstractNumId w:val="57"/>
  </w:num>
  <w:num w:numId="107" w16cid:durableId="1812556399">
    <w:abstractNumId w:val="30"/>
  </w:num>
  <w:num w:numId="108" w16cid:durableId="1611814079">
    <w:abstractNumId w:val="168"/>
  </w:num>
  <w:num w:numId="109" w16cid:durableId="809176719">
    <w:abstractNumId w:val="156"/>
  </w:num>
  <w:num w:numId="110" w16cid:durableId="1459762280">
    <w:abstractNumId w:val="27"/>
  </w:num>
  <w:num w:numId="111" w16cid:durableId="1698043852">
    <w:abstractNumId w:val="95"/>
  </w:num>
  <w:num w:numId="112" w16cid:durableId="207500887">
    <w:abstractNumId w:val="53"/>
  </w:num>
  <w:num w:numId="113" w16cid:durableId="1999576478">
    <w:abstractNumId w:val="130"/>
  </w:num>
  <w:num w:numId="114" w16cid:durableId="1540508577">
    <w:abstractNumId w:val="16"/>
  </w:num>
  <w:num w:numId="115" w16cid:durableId="619265363">
    <w:abstractNumId w:val="147"/>
  </w:num>
  <w:num w:numId="116" w16cid:durableId="898248445">
    <w:abstractNumId w:val="139"/>
  </w:num>
  <w:num w:numId="117" w16cid:durableId="1483084436">
    <w:abstractNumId w:val="114"/>
  </w:num>
  <w:num w:numId="118" w16cid:durableId="358942333">
    <w:abstractNumId w:val="32"/>
  </w:num>
  <w:num w:numId="119" w16cid:durableId="840047878">
    <w:abstractNumId w:val="167"/>
  </w:num>
  <w:num w:numId="120" w16cid:durableId="144784523">
    <w:abstractNumId w:val="110"/>
  </w:num>
  <w:num w:numId="121" w16cid:durableId="294144026">
    <w:abstractNumId w:val="164"/>
  </w:num>
  <w:num w:numId="122" w16cid:durableId="1637830786">
    <w:abstractNumId w:val="74"/>
  </w:num>
  <w:num w:numId="123" w16cid:durableId="2142534991">
    <w:abstractNumId w:val="127"/>
  </w:num>
  <w:num w:numId="124" w16cid:durableId="1595167736">
    <w:abstractNumId w:val="146"/>
  </w:num>
  <w:num w:numId="125" w16cid:durableId="121004813">
    <w:abstractNumId w:val="96"/>
  </w:num>
  <w:num w:numId="126" w16cid:durableId="751778404">
    <w:abstractNumId w:val="111"/>
  </w:num>
  <w:num w:numId="127" w16cid:durableId="1375693286">
    <w:abstractNumId w:val="141"/>
  </w:num>
  <w:num w:numId="128" w16cid:durableId="151413526">
    <w:abstractNumId w:val="33"/>
  </w:num>
  <w:num w:numId="129" w16cid:durableId="945700889">
    <w:abstractNumId w:val="24"/>
  </w:num>
  <w:num w:numId="130" w16cid:durableId="200633168">
    <w:abstractNumId w:val="25"/>
  </w:num>
  <w:num w:numId="131" w16cid:durableId="1717465828">
    <w:abstractNumId w:val="59"/>
  </w:num>
  <w:num w:numId="132" w16cid:durableId="1660687980">
    <w:abstractNumId w:val="3"/>
  </w:num>
  <w:num w:numId="133" w16cid:durableId="2057509934">
    <w:abstractNumId w:val="124"/>
  </w:num>
  <w:num w:numId="134" w16cid:durableId="306935685">
    <w:abstractNumId w:val="144"/>
  </w:num>
  <w:num w:numId="135" w16cid:durableId="1374034120">
    <w:abstractNumId w:val="92"/>
  </w:num>
  <w:num w:numId="136" w16cid:durableId="1764108097">
    <w:abstractNumId w:val="67"/>
  </w:num>
  <w:num w:numId="137" w16cid:durableId="1242329782">
    <w:abstractNumId w:val="22"/>
  </w:num>
  <w:num w:numId="138" w16cid:durableId="2014065336">
    <w:abstractNumId w:val="89"/>
  </w:num>
  <w:num w:numId="139" w16cid:durableId="1038892932">
    <w:abstractNumId w:val="66"/>
  </w:num>
  <w:num w:numId="140" w16cid:durableId="679509873">
    <w:abstractNumId w:val="18"/>
  </w:num>
  <w:num w:numId="141" w16cid:durableId="444889172">
    <w:abstractNumId w:val="159"/>
  </w:num>
  <w:num w:numId="142" w16cid:durableId="965816843">
    <w:abstractNumId w:val="77"/>
  </w:num>
  <w:num w:numId="143" w16cid:durableId="882253179">
    <w:abstractNumId w:val="52"/>
  </w:num>
  <w:num w:numId="144" w16cid:durableId="35207031">
    <w:abstractNumId w:val="123"/>
  </w:num>
  <w:num w:numId="145" w16cid:durableId="1190071921">
    <w:abstractNumId w:val="11"/>
  </w:num>
  <w:num w:numId="146" w16cid:durableId="725686056">
    <w:abstractNumId w:val="158"/>
  </w:num>
  <w:num w:numId="147" w16cid:durableId="836925036">
    <w:abstractNumId w:val="133"/>
  </w:num>
  <w:num w:numId="148" w16cid:durableId="1511484152">
    <w:abstractNumId w:val="109"/>
  </w:num>
  <w:num w:numId="149" w16cid:durableId="1591618254">
    <w:abstractNumId w:val="23"/>
  </w:num>
  <w:num w:numId="150" w16cid:durableId="1289166514">
    <w:abstractNumId w:val="34"/>
  </w:num>
  <w:num w:numId="151" w16cid:durableId="1659990330">
    <w:abstractNumId w:val="122"/>
  </w:num>
  <w:num w:numId="152" w16cid:durableId="2055301230">
    <w:abstractNumId w:val="49"/>
  </w:num>
  <w:num w:numId="153" w16cid:durableId="1041133365">
    <w:abstractNumId w:val="68"/>
  </w:num>
  <w:num w:numId="154" w16cid:durableId="1462383769">
    <w:abstractNumId w:val="50"/>
  </w:num>
  <w:num w:numId="155" w16cid:durableId="510146192">
    <w:abstractNumId w:val="175"/>
  </w:num>
  <w:num w:numId="156" w16cid:durableId="1132668947">
    <w:abstractNumId w:val="87"/>
  </w:num>
  <w:num w:numId="157" w16cid:durableId="596525143">
    <w:abstractNumId w:val="47"/>
  </w:num>
  <w:num w:numId="158" w16cid:durableId="1294479699">
    <w:abstractNumId w:val="42"/>
  </w:num>
  <w:num w:numId="159" w16cid:durableId="70154156">
    <w:abstractNumId w:val="80"/>
  </w:num>
  <w:num w:numId="160" w16cid:durableId="2099865202">
    <w:abstractNumId w:val="60"/>
  </w:num>
  <w:num w:numId="161" w16cid:durableId="475227643">
    <w:abstractNumId w:val="126"/>
  </w:num>
  <w:num w:numId="162" w16cid:durableId="1724061373">
    <w:abstractNumId w:val="73"/>
  </w:num>
  <w:num w:numId="163" w16cid:durableId="1850216040">
    <w:abstractNumId w:val="55"/>
  </w:num>
  <w:num w:numId="164" w16cid:durableId="420562088">
    <w:abstractNumId w:val="165"/>
  </w:num>
  <w:num w:numId="165" w16cid:durableId="1104955416">
    <w:abstractNumId w:val="48"/>
  </w:num>
  <w:num w:numId="166" w16cid:durableId="72826150">
    <w:abstractNumId w:val="70"/>
  </w:num>
  <w:num w:numId="167" w16cid:durableId="1660308394">
    <w:abstractNumId w:val="31"/>
  </w:num>
  <w:num w:numId="168" w16cid:durableId="2007856104">
    <w:abstractNumId w:val="132"/>
  </w:num>
  <w:num w:numId="169" w16cid:durableId="2046560133">
    <w:abstractNumId w:val="81"/>
  </w:num>
  <w:num w:numId="170" w16cid:durableId="1574849938">
    <w:abstractNumId w:val="98"/>
  </w:num>
  <w:num w:numId="171" w16cid:durableId="496460126">
    <w:abstractNumId w:val="10"/>
  </w:num>
  <w:num w:numId="172" w16cid:durableId="20784338">
    <w:abstractNumId w:val="43"/>
  </w:num>
  <w:num w:numId="173" w16cid:durableId="1064599515">
    <w:abstractNumId w:val="0"/>
  </w:num>
  <w:num w:numId="174" w16cid:durableId="82530734">
    <w:abstractNumId w:val="178"/>
  </w:num>
  <w:num w:numId="175" w16cid:durableId="1392926382">
    <w:abstractNumId w:val="62"/>
  </w:num>
  <w:num w:numId="176" w16cid:durableId="1005280179">
    <w:abstractNumId w:val="137"/>
  </w:num>
  <w:num w:numId="177" w16cid:durableId="1926836761">
    <w:abstractNumId w:val="9"/>
  </w:num>
  <w:num w:numId="178" w16cid:durableId="213204405">
    <w:abstractNumId w:val="160"/>
  </w:num>
  <w:num w:numId="179" w16cid:durableId="70590595">
    <w:abstractNumId w:val="36"/>
  </w:num>
  <w:num w:numId="180" w16cid:durableId="1249075981">
    <w:abstractNumId w:val="128"/>
  </w:num>
  <w:num w:numId="181" w16cid:durableId="647050563">
    <w:abstractNumId w:val="171"/>
  </w:num>
  <w:num w:numId="182" w16cid:durableId="720205132">
    <w:abstractNumId w:val="113"/>
  </w:num>
  <w:num w:numId="183" w16cid:durableId="1017579547">
    <w:abstractNumId w:val="84"/>
  </w:num>
  <w:num w:numId="184" w16cid:durableId="259140188">
    <w:abstractNumId w:val="4"/>
  </w:num>
  <w:num w:numId="185" w16cid:durableId="1200556665">
    <w:abstractNumId w:val="19"/>
  </w:num>
  <w:num w:numId="186" w16cid:durableId="1725986707">
    <w:abstractNumId w:val="106"/>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CD0"/>
    <w:rsid w:val="000D2F8B"/>
    <w:rsid w:val="00121712"/>
    <w:rsid w:val="002762E7"/>
    <w:rsid w:val="00375507"/>
    <w:rsid w:val="006575A2"/>
    <w:rsid w:val="006B7650"/>
    <w:rsid w:val="00767CD0"/>
    <w:rsid w:val="00847211"/>
    <w:rsid w:val="009B7AD1"/>
    <w:rsid w:val="00C51AE9"/>
    <w:rsid w:val="00F635BF"/>
    <w:rsid w:val="00FE65A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E885"/>
  <w15:docId w15:val="{DA14EDF1-1385-4030-A4D3-3D07093AF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rPr>
      <w:lang w:val="sq-AL"/>
    </w:rPr>
  </w:style>
  <w:style w:type="paragraph" w:styleId="Heading1">
    <w:name w:val="heading 1"/>
    <w:basedOn w:val="Normal"/>
    <w:next w:val="Normal"/>
    <w:link w:val="Heading1Char"/>
    <w:uiPriority w:val="9"/>
    <w:qFormat/>
    <w:rsid w:val="00C30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30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0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30BFF"/>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qFormat/>
    <w:rsid w:val="00C30BFF"/>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qFormat/>
    <w:rsid w:val="00C30BFF"/>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qFormat/>
    <w:rsid w:val="00C30BFF"/>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qFormat/>
    <w:rsid w:val="00C30BFF"/>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qFormat/>
    <w:rsid w:val="00C30BFF"/>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qFormat/>
    <w:rsid w:val="00C30BFF"/>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qFormat/>
    <w:rsid w:val="00C30BFF"/>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qFormat/>
    <w:rsid w:val="00C30BFF"/>
    <w:rPr>
      <w:rFonts w:eastAsiaTheme="majorEastAsia" w:cstheme="majorBidi"/>
      <w:color w:val="272727" w:themeColor="text1" w:themeTint="D8"/>
      <w:lang w:val="sq-AL"/>
    </w:rPr>
  </w:style>
  <w:style w:type="character" w:customStyle="1" w:styleId="TitleChar">
    <w:name w:val="Title Char"/>
    <w:basedOn w:val="DefaultParagraphFont"/>
    <w:link w:val="Title"/>
    <w:uiPriority w:val="10"/>
    <w:qFormat/>
    <w:rsid w:val="00C30BFF"/>
    <w:rPr>
      <w:rFonts w:asciiTheme="majorHAnsi" w:eastAsiaTheme="majorEastAsia" w:hAnsiTheme="majorHAnsi" w:cstheme="majorBidi"/>
      <w:spacing w:val="-10"/>
      <w:kern w:val="2"/>
      <w:sz w:val="56"/>
      <w:szCs w:val="56"/>
      <w:lang w:val="sq-AL"/>
    </w:rPr>
  </w:style>
  <w:style w:type="character" w:customStyle="1" w:styleId="SubtitleChar">
    <w:name w:val="Subtitle Char"/>
    <w:basedOn w:val="DefaultParagraphFont"/>
    <w:link w:val="Subtitle"/>
    <w:uiPriority w:val="11"/>
    <w:qFormat/>
    <w:rsid w:val="00C30BFF"/>
    <w:rPr>
      <w:rFonts w:eastAsiaTheme="majorEastAsia" w:cstheme="majorBidi"/>
      <w:color w:val="595959" w:themeColor="text1" w:themeTint="A6"/>
      <w:spacing w:val="15"/>
      <w:sz w:val="28"/>
      <w:szCs w:val="28"/>
      <w:lang w:val="sq-AL"/>
    </w:rPr>
  </w:style>
  <w:style w:type="character" w:customStyle="1" w:styleId="QuoteChar">
    <w:name w:val="Quote Char"/>
    <w:basedOn w:val="DefaultParagraphFont"/>
    <w:link w:val="Quote"/>
    <w:uiPriority w:val="29"/>
    <w:qFormat/>
    <w:rsid w:val="00C30BFF"/>
    <w:rPr>
      <w:i/>
      <w:iCs/>
      <w:color w:val="404040" w:themeColor="text1" w:themeTint="BF"/>
      <w:lang w:val="sq-AL"/>
    </w:rPr>
  </w:style>
  <w:style w:type="character" w:styleId="IntenseEmphasis">
    <w:name w:val="Intense Emphasis"/>
    <w:basedOn w:val="DefaultParagraphFont"/>
    <w:uiPriority w:val="21"/>
    <w:qFormat/>
    <w:rsid w:val="00C30BFF"/>
    <w:rPr>
      <w:i/>
      <w:iCs/>
      <w:color w:val="0F4761" w:themeColor="accent1" w:themeShade="BF"/>
    </w:rPr>
  </w:style>
  <w:style w:type="character" w:customStyle="1" w:styleId="IntenseQuoteChar">
    <w:name w:val="Intense Quote Char"/>
    <w:basedOn w:val="DefaultParagraphFont"/>
    <w:link w:val="IntenseQuote"/>
    <w:uiPriority w:val="30"/>
    <w:qFormat/>
    <w:rsid w:val="00C30BFF"/>
    <w:rPr>
      <w:i/>
      <w:iCs/>
      <w:color w:val="0F4761" w:themeColor="accent1" w:themeShade="BF"/>
      <w:lang w:val="sq-AL"/>
    </w:rPr>
  </w:style>
  <w:style w:type="character" w:styleId="IntenseReference">
    <w:name w:val="Intense Reference"/>
    <w:basedOn w:val="DefaultParagraphFont"/>
    <w:uiPriority w:val="32"/>
    <w:qFormat/>
    <w:rsid w:val="00C30BFF"/>
    <w:rPr>
      <w:b/>
      <w:bCs/>
      <w:smallCaps/>
      <w:color w:val="0F4761" w:themeColor="accent1" w:themeShade="BF"/>
      <w:spacing w:val="5"/>
    </w:rPr>
  </w:style>
  <w:style w:type="character" w:customStyle="1" w:styleId="HeaderChar">
    <w:name w:val="Header Char"/>
    <w:basedOn w:val="DefaultParagraphFont"/>
    <w:link w:val="Header"/>
    <w:uiPriority w:val="99"/>
    <w:qFormat/>
    <w:rsid w:val="00C30BFF"/>
    <w:rPr>
      <w:lang w:val="sq-AL"/>
    </w:rPr>
  </w:style>
  <w:style w:type="character" w:customStyle="1" w:styleId="FooterChar">
    <w:name w:val="Footer Char"/>
    <w:basedOn w:val="DefaultParagraphFont"/>
    <w:link w:val="Footer"/>
    <w:uiPriority w:val="99"/>
    <w:qFormat/>
    <w:rsid w:val="00C30BFF"/>
    <w:rPr>
      <w:lang w:val="sq-AL"/>
    </w:rPr>
  </w:style>
  <w:style w:type="character" w:customStyle="1" w:styleId="BodyTextChar">
    <w:name w:val="Body Text Char"/>
    <w:basedOn w:val="DefaultParagraphFont"/>
    <w:link w:val="BodyText"/>
    <w:uiPriority w:val="1"/>
    <w:qFormat/>
    <w:rsid w:val="00C30BFF"/>
    <w:rPr>
      <w:rFonts w:ascii="Aptos" w:eastAsia="Cambria" w:hAnsi="Aptos" w:cs="Cambria"/>
      <w:kern w:val="0"/>
      <w:sz w:val="19"/>
      <w:szCs w:val="19"/>
      <w14:ligatures w14:val="none"/>
    </w:rPr>
  </w:style>
  <w:style w:type="character" w:customStyle="1" w:styleId="FootnoteTextChar">
    <w:name w:val="Footnote Text Char"/>
    <w:basedOn w:val="DefaultParagraphFont"/>
    <w:link w:val="FootnoteText"/>
    <w:uiPriority w:val="99"/>
    <w:semiHidden/>
    <w:qFormat/>
    <w:rsid w:val="00C30BFF"/>
    <w:rPr>
      <w:rFonts w:ascii="Aptos" w:eastAsia="Cambria" w:hAnsi="Aptos" w:cs="Cambria"/>
      <w:kern w:val="0"/>
      <w:sz w:val="20"/>
      <w:szCs w:val="20"/>
      <w14:ligatures w14:val="none"/>
    </w:rPr>
  </w:style>
  <w:style w:type="character" w:customStyle="1" w:styleId="FootnoteCharacters">
    <w:name w:val="Footnote Characters"/>
    <w:basedOn w:val="DefaultParagraphFont"/>
    <w:uiPriority w:val="99"/>
    <w:semiHidden/>
    <w:unhideWhenUsed/>
    <w:qFormat/>
    <w:rsid w:val="00C30BFF"/>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30BFF"/>
    <w:rPr>
      <w:color w:val="467886" w:themeColor="hyperlink"/>
      <w:u w:val="single"/>
    </w:rPr>
  </w:style>
  <w:style w:type="character" w:customStyle="1" w:styleId="UnresolvedMention1">
    <w:name w:val="Unresolved Mention1"/>
    <w:basedOn w:val="DefaultParagraphFont"/>
    <w:uiPriority w:val="99"/>
    <w:semiHidden/>
    <w:unhideWhenUsed/>
    <w:qFormat/>
    <w:rsid w:val="00C30BFF"/>
    <w:rPr>
      <w:color w:val="605E5C"/>
      <w:shd w:val="clear" w:color="auto" w:fill="E1DFDD"/>
    </w:rPr>
  </w:style>
  <w:style w:type="character" w:styleId="CommentReference">
    <w:name w:val="annotation reference"/>
    <w:basedOn w:val="DefaultParagraphFont"/>
    <w:uiPriority w:val="99"/>
    <w:semiHidden/>
    <w:unhideWhenUsed/>
    <w:qFormat/>
    <w:rsid w:val="00C30BFF"/>
    <w:rPr>
      <w:sz w:val="16"/>
      <w:szCs w:val="16"/>
    </w:rPr>
  </w:style>
  <w:style w:type="character" w:customStyle="1" w:styleId="CommentTextChar">
    <w:name w:val="Comment Text Char"/>
    <w:basedOn w:val="DefaultParagraphFont"/>
    <w:link w:val="CommentText"/>
    <w:uiPriority w:val="99"/>
    <w:qFormat/>
    <w:rsid w:val="00C30BFF"/>
    <w:rPr>
      <w:sz w:val="20"/>
      <w:szCs w:val="20"/>
    </w:rPr>
  </w:style>
  <w:style w:type="character" w:customStyle="1" w:styleId="CommentSubjectChar">
    <w:name w:val="Comment Subject Char"/>
    <w:basedOn w:val="CommentTextChar"/>
    <w:link w:val="CommentSubject"/>
    <w:uiPriority w:val="99"/>
    <w:semiHidden/>
    <w:qFormat/>
    <w:rsid w:val="00C30BFF"/>
    <w:rPr>
      <w:b/>
      <w:bCs/>
      <w:sz w:val="20"/>
      <w:szCs w:val="20"/>
      <w:lang w:val="en-GB"/>
    </w:rPr>
  </w:style>
  <w:style w:type="character" w:styleId="Strong">
    <w:name w:val="Strong"/>
    <w:basedOn w:val="DefaultParagraphFont"/>
    <w:uiPriority w:val="22"/>
    <w:qFormat/>
    <w:rsid w:val="00C30BFF"/>
    <w:rPr>
      <w:b/>
      <w:bCs/>
    </w:rPr>
  </w:style>
  <w:style w:type="character" w:customStyle="1" w:styleId="t286pc">
    <w:name w:val="t286pc"/>
    <w:basedOn w:val="DefaultParagraphFont"/>
    <w:qFormat/>
    <w:rsid w:val="00C30BFF"/>
  </w:style>
  <w:style w:type="character" w:styleId="Emphasis">
    <w:name w:val="Emphasis"/>
    <w:basedOn w:val="DefaultParagraphFont"/>
    <w:uiPriority w:val="20"/>
    <w:qFormat/>
    <w:rsid w:val="00C30BFF"/>
    <w:rPr>
      <w:i/>
      <w:iCs/>
    </w:rPr>
  </w:style>
  <w:style w:type="character" w:customStyle="1" w:styleId="NoSpacingChar">
    <w:name w:val="No Spacing Char"/>
    <w:basedOn w:val="DefaultParagraphFont"/>
    <w:link w:val="NoSpacing"/>
    <w:uiPriority w:val="1"/>
    <w:qFormat/>
    <w:rsid w:val="00C30BFF"/>
    <w:rPr>
      <w:lang w:val="sq-AL"/>
    </w:rPr>
  </w:style>
  <w:style w:type="character" w:customStyle="1" w:styleId="editChar">
    <w:name w:val="edit Char"/>
    <w:basedOn w:val="NoSpacingChar"/>
    <w:link w:val="edit"/>
    <w:qFormat/>
    <w:rsid w:val="00C30BFF"/>
    <w:rPr>
      <w:rFonts w:ascii="Times New Roman" w:hAnsi="Times New Roman" w:cs="Times New Roman"/>
      <w:lang w:val="sq-AL"/>
    </w:rPr>
  </w:style>
  <w:style w:type="character" w:customStyle="1" w:styleId="inqyif">
    <w:name w:val="inqyif"/>
    <w:basedOn w:val="DefaultParagraphFont"/>
    <w:qFormat/>
    <w:rsid w:val="00C30BFF"/>
  </w:style>
  <w:style w:type="character" w:customStyle="1" w:styleId="BalloonTextChar">
    <w:name w:val="Balloon Text Char"/>
    <w:basedOn w:val="DefaultParagraphFont"/>
    <w:link w:val="BalloonText"/>
    <w:uiPriority w:val="99"/>
    <w:semiHidden/>
    <w:qFormat/>
    <w:rsid w:val="00C30BFF"/>
    <w:rPr>
      <w:rFonts w:ascii="Segoe UI" w:hAnsi="Segoe UI" w:cs="Segoe UI"/>
      <w:sz w:val="18"/>
      <w:szCs w:val="18"/>
      <w:lang w:val="sq-AL"/>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1"/>
    <w:qFormat/>
    <w:rsid w:val="00C30BFF"/>
    <w:pPr>
      <w:widowControl w:val="0"/>
      <w:spacing w:after="0" w:line="240" w:lineRule="auto"/>
    </w:pPr>
    <w:rPr>
      <w:rFonts w:ascii="Aptos" w:eastAsia="Cambria" w:hAnsi="Aptos" w:cs="Cambria"/>
      <w:kern w:val="0"/>
      <w:sz w:val="19"/>
      <w:szCs w:val="19"/>
      <w:lang w:val="en-US"/>
      <w14:ligatures w14:val="none"/>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C30BFF"/>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30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BFF"/>
    <w:pPr>
      <w:spacing w:before="160"/>
      <w:jc w:val="center"/>
    </w:pPr>
    <w:rPr>
      <w:i/>
      <w:iCs/>
      <w:color w:val="404040" w:themeColor="text1" w:themeTint="BF"/>
    </w:rPr>
  </w:style>
  <w:style w:type="paragraph" w:styleId="ListParagraph">
    <w:name w:val="List Paragraph"/>
    <w:basedOn w:val="Normal"/>
    <w:uiPriority w:val="1"/>
    <w:qFormat/>
    <w:rsid w:val="00C30BFF"/>
    <w:pPr>
      <w:ind w:left="720"/>
      <w:contextualSpacing/>
    </w:pPr>
  </w:style>
  <w:style w:type="paragraph" w:styleId="IntenseQuote">
    <w:name w:val="Intense Quote"/>
    <w:basedOn w:val="Normal"/>
    <w:next w:val="Normal"/>
    <w:link w:val="IntenseQuoteChar"/>
    <w:uiPriority w:val="30"/>
    <w:qFormat/>
    <w:rsid w:val="00C30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30BFF"/>
    <w:pPr>
      <w:tabs>
        <w:tab w:val="center" w:pos="4513"/>
        <w:tab w:val="right" w:pos="9026"/>
      </w:tabs>
      <w:spacing w:after="0" w:line="240" w:lineRule="auto"/>
    </w:pPr>
  </w:style>
  <w:style w:type="paragraph" w:styleId="Footer">
    <w:name w:val="footer"/>
    <w:basedOn w:val="Normal"/>
    <w:link w:val="FooterChar"/>
    <w:uiPriority w:val="99"/>
    <w:unhideWhenUsed/>
    <w:rsid w:val="00C30BFF"/>
    <w:pPr>
      <w:tabs>
        <w:tab w:val="center" w:pos="4513"/>
        <w:tab w:val="right" w:pos="9026"/>
      </w:tabs>
      <w:spacing w:after="0" w:line="240" w:lineRule="auto"/>
    </w:pPr>
  </w:style>
  <w:style w:type="paragraph" w:styleId="Revision">
    <w:name w:val="Revision"/>
    <w:uiPriority w:val="99"/>
    <w:semiHidden/>
    <w:qFormat/>
    <w:rsid w:val="00C30BFF"/>
    <w:rPr>
      <w:lang w:val="en-GB"/>
    </w:rPr>
  </w:style>
  <w:style w:type="paragraph" w:customStyle="1" w:styleId="TableParagraph">
    <w:name w:val="Table Paragraph"/>
    <w:basedOn w:val="Normal"/>
    <w:uiPriority w:val="1"/>
    <w:qFormat/>
    <w:rsid w:val="00C30BFF"/>
    <w:pPr>
      <w:widowControl w:val="0"/>
      <w:spacing w:after="0" w:line="240" w:lineRule="auto"/>
    </w:pPr>
    <w:rPr>
      <w:rFonts w:ascii="Aptos" w:eastAsia="Cambria" w:hAnsi="Aptos" w:cs="Cambria"/>
      <w:kern w:val="0"/>
      <w:sz w:val="22"/>
      <w:szCs w:val="22"/>
      <w:lang w:val="en-US"/>
      <w14:ligatures w14:val="none"/>
    </w:rPr>
  </w:style>
  <w:style w:type="paragraph" w:styleId="FootnoteText">
    <w:name w:val="footnote text"/>
    <w:basedOn w:val="Normal"/>
    <w:link w:val="FootnoteTextChar"/>
    <w:uiPriority w:val="99"/>
    <w:semiHidden/>
    <w:unhideWhenUsed/>
    <w:rsid w:val="00C30BFF"/>
    <w:pPr>
      <w:widowControl w:val="0"/>
      <w:spacing w:after="0" w:line="240" w:lineRule="auto"/>
    </w:pPr>
    <w:rPr>
      <w:rFonts w:ascii="Aptos" w:eastAsia="Cambria" w:hAnsi="Aptos" w:cs="Cambria"/>
      <w:kern w:val="0"/>
      <w:sz w:val="20"/>
      <w:szCs w:val="20"/>
      <w:lang w:val="en-US"/>
      <w14:ligatures w14:val="none"/>
    </w:rPr>
  </w:style>
  <w:style w:type="paragraph" w:styleId="IndexHeading">
    <w:name w:val="index heading"/>
    <w:basedOn w:val="Heading"/>
  </w:style>
  <w:style w:type="paragraph" w:styleId="TOCHeading">
    <w:name w:val="TOC Heading"/>
    <w:basedOn w:val="Heading1"/>
    <w:next w:val="Normal"/>
    <w:uiPriority w:val="39"/>
    <w:unhideWhenUsed/>
    <w:qFormat/>
    <w:rsid w:val="00C30BFF"/>
    <w:pPr>
      <w:spacing w:before="240" w:after="0" w:line="259" w:lineRule="auto"/>
      <w:outlineLvl w:val="9"/>
    </w:pPr>
    <w:rPr>
      <w:b/>
      <w:kern w:val="0"/>
      <w:sz w:val="32"/>
      <w:szCs w:val="32"/>
      <w:lang w:val="en-US"/>
      <w14:ligatures w14:val="none"/>
    </w:rPr>
  </w:style>
  <w:style w:type="paragraph" w:styleId="TOC1">
    <w:name w:val="toc 1"/>
    <w:basedOn w:val="Normal"/>
    <w:next w:val="Normal"/>
    <w:autoRedefine/>
    <w:uiPriority w:val="39"/>
    <w:unhideWhenUsed/>
    <w:rsid w:val="00C30BFF"/>
    <w:pPr>
      <w:widowControl w:val="0"/>
      <w:spacing w:after="100" w:line="240" w:lineRule="auto"/>
    </w:pPr>
    <w:rPr>
      <w:rFonts w:ascii="Aptos" w:eastAsia="Cambria" w:hAnsi="Aptos" w:cs="Cambria"/>
      <w:kern w:val="0"/>
      <w:sz w:val="22"/>
      <w:szCs w:val="22"/>
      <w:lang w:val="en-US"/>
      <w14:ligatures w14:val="none"/>
    </w:rPr>
  </w:style>
  <w:style w:type="paragraph" w:styleId="TOC2">
    <w:name w:val="toc 2"/>
    <w:basedOn w:val="Normal"/>
    <w:next w:val="Normal"/>
    <w:autoRedefine/>
    <w:uiPriority w:val="39"/>
    <w:unhideWhenUsed/>
    <w:rsid w:val="00C30BFF"/>
    <w:pPr>
      <w:widowControl w:val="0"/>
      <w:spacing w:after="100" w:line="240" w:lineRule="auto"/>
      <w:ind w:left="220"/>
    </w:pPr>
    <w:rPr>
      <w:rFonts w:ascii="Aptos" w:eastAsia="Cambria" w:hAnsi="Aptos" w:cs="Cambria"/>
      <w:kern w:val="0"/>
      <w:sz w:val="22"/>
      <w:szCs w:val="22"/>
      <w:lang w:val="en-US"/>
      <w14:ligatures w14:val="none"/>
    </w:rPr>
  </w:style>
  <w:style w:type="paragraph" w:styleId="TOC3">
    <w:name w:val="toc 3"/>
    <w:basedOn w:val="Normal"/>
    <w:next w:val="Normal"/>
    <w:autoRedefine/>
    <w:uiPriority w:val="39"/>
    <w:unhideWhenUsed/>
    <w:rsid w:val="00C30BFF"/>
    <w:pPr>
      <w:spacing w:after="100"/>
      <w:ind w:left="480"/>
    </w:pPr>
    <w:rPr>
      <w:rFonts w:eastAsiaTheme="minorEastAsia"/>
      <w:lang w:val="en-US"/>
    </w:rPr>
  </w:style>
  <w:style w:type="paragraph" w:styleId="TOC4">
    <w:name w:val="toc 4"/>
    <w:basedOn w:val="Normal"/>
    <w:next w:val="Normal"/>
    <w:autoRedefine/>
    <w:uiPriority w:val="39"/>
    <w:unhideWhenUsed/>
    <w:rsid w:val="00C30BFF"/>
    <w:pPr>
      <w:spacing w:after="100"/>
      <w:ind w:left="720"/>
    </w:pPr>
    <w:rPr>
      <w:rFonts w:eastAsiaTheme="minorEastAsia"/>
      <w:lang w:val="en-US"/>
    </w:rPr>
  </w:style>
  <w:style w:type="paragraph" w:styleId="TOC5">
    <w:name w:val="toc 5"/>
    <w:basedOn w:val="Normal"/>
    <w:next w:val="Normal"/>
    <w:autoRedefine/>
    <w:uiPriority w:val="39"/>
    <w:unhideWhenUsed/>
    <w:rsid w:val="00C30BFF"/>
    <w:pPr>
      <w:spacing w:after="100"/>
      <w:ind w:left="960"/>
    </w:pPr>
    <w:rPr>
      <w:rFonts w:eastAsiaTheme="minorEastAsia"/>
      <w:lang w:val="en-US"/>
    </w:rPr>
  </w:style>
  <w:style w:type="paragraph" w:styleId="TOC6">
    <w:name w:val="toc 6"/>
    <w:basedOn w:val="Normal"/>
    <w:next w:val="Normal"/>
    <w:autoRedefine/>
    <w:uiPriority w:val="39"/>
    <w:unhideWhenUsed/>
    <w:rsid w:val="00C30BFF"/>
    <w:pPr>
      <w:spacing w:after="100"/>
      <w:ind w:left="1200"/>
    </w:pPr>
    <w:rPr>
      <w:rFonts w:eastAsiaTheme="minorEastAsia"/>
      <w:lang w:val="en-US"/>
    </w:rPr>
  </w:style>
  <w:style w:type="paragraph" w:styleId="TOC7">
    <w:name w:val="toc 7"/>
    <w:basedOn w:val="Normal"/>
    <w:next w:val="Normal"/>
    <w:autoRedefine/>
    <w:uiPriority w:val="39"/>
    <w:unhideWhenUsed/>
    <w:rsid w:val="00C30BFF"/>
    <w:pPr>
      <w:spacing w:after="100"/>
      <w:ind w:left="1440"/>
    </w:pPr>
    <w:rPr>
      <w:rFonts w:eastAsiaTheme="minorEastAsia"/>
      <w:lang w:val="en-US"/>
    </w:rPr>
  </w:style>
  <w:style w:type="paragraph" w:styleId="TOC8">
    <w:name w:val="toc 8"/>
    <w:basedOn w:val="Normal"/>
    <w:next w:val="Normal"/>
    <w:autoRedefine/>
    <w:uiPriority w:val="39"/>
    <w:unhideWhenUsed/>
    <w:rsid w:val="00C30BFF"/>
    <w:pPr>
      <w:spacing w:after="100"/>
      <w:ind w:left="1680"/>
    </w:pPr>
    <w:rPr>
      <w:rFonts w:eastAsiaTheme="minorEastAsia"/>
      <w:lang w:val="en-US"/>
    </w:rPr>
  </w:style>
  <w:style w:type="paragraph" w:styleId="TOC9">
    <w:name w:val="toc 9"/>
    <w:basedOn w:val="Normal"/>
    <w:next w:val="Normal"/>
    <w:autoRedefine/>
    <w:uiPriority w:val="39"/>
    <w:unhideWhenUsed/>
    <w:rsid w:val="00C30BFF"/>
    <w:pPr>
      <w:spacing w:after="100"/>
      <w:ind w:left="1920"/>
    </w:pPr>
    <w:rPr>
      <w:rFonts w:eastAsiaTheme="minorEastAsia"/>
      <w:lang w:val="en-US"/>
    </w:rPr>
  </w:style>
  <w:style w:type="paragraph" w:styleId="CommentText">
    <w:name w:val="annotation text"/>
    <w:basedOn w:val="Normal"/>
    <w:link w:val="CommentTextChar"/>
    <w:uiPriority w:val="99"/>
    <w:unhideWhenUsed/>
    <w:rsid w:val="00C30BFF"/>
    <w:pPr>
      <w:spacing w:line="240" w:lineRule="auto"/>
    </w:pPr>
    <w:rPr>
      <w:sz w:val="20"/>
      <w:szCs w:val="20"/>
      <w:lang w:val="en-US"/>
    </w:rPr>
  </w:style>
  <w:style w:type="paragraph" w:styleId="CommentSubject">
    <w:name w:val="annotation subject"/>
    <w:basedOn w:val="CommentText"/>
    <w:next w:val="CommentText"/>
    <w:link w:val="CommentSubjectChar"/>
    <w:uiPriority w:val="99"/>
    <w:semiHidden/>
    <w:unhideWhenUsed/>
    <w:qFormat/>
    <w:rsid w:val="00C30BFF"/>
    <w:rPr>
      <w:b/>
      <w:bCs/>
      <w:lang w:val="en-GB"/>
    </w:rPr>
  </w:style>
  <w:style w:type="paragraph" w:styleId="NormalWeb">
    <w:name w:val="Normal (Web)"/>
    <w:basedOn w:val="Normal"/>
    <w:uiPriority w:val="99"/>
    <w:unhideWhenUsed/>
    <w:qFormat/>
    <w:rsid w:val="00C30BFF"/>
    <w:pPr>
      <w:spacing w:beforeAutospacing="1" w:afterAutospacing="1" w:line="240" w:lineRule="auto"/>
    </w:pPr>
    <w:rPr>
      <w:rFonts w:ascii="Times New Roman" w:eastAsia="Times New Roman" w:hAnsi="Times New Roman" w:cs="Times New Roman"/>
      <w:kern w:val="0"/>
      <w:lang w:val="en-US"/>
      <w14:ligatures w14:val="none"/>
    </w:rPr>
  </w:style>
  <w:style w:type="paragraph" w:customStyle="1" w:styleId="z1qcye">
    <w:name w:val="z1qcye"/>
    <w:basedOn w:val="Normal"/>
    <w:qFormat/>
    <w:rsid w:val="00C30BFF"/>
    <w:pPr>
      <w:spacing w:beforeAutospacing="1" w:afterAutospacing="1" w:line="240" w:lineRule="auto"/>
    </w:pPr>
    <w:rPr>
      <w:rFonts w:ascii="Times New Roman" w:eastAsia="Times New Roman" w:hAnsi="Times New Roman" w:cs="Times New Roman"/>
      <w:kern w:val="0"/>
      <w:lang w:val="en-US"/>
      <w14:ligatures w14:val="none"/>
    </w:rPr>
  </w:style>
  <w:style w:type="paragraph" w:styleId="NoSpacing">
    <w:name w:val="No Spacing"/>
    <w:link w:val="NoSpacingChar"/>
    <w:uiPriority w:val="1"/>
    <w:qFormat/>
    <w:rsid w:val="00C30BFF"/>
    <w:rPr>
      <w:lang w:val="sq-AL"/>
    </w:rPr>
  </w:style>
  <w:style w:type="paragraph" w:customStyle="1" w:styleId="edit">
    <w:name w:val="edit"/>
    <w:basedOn w:val="NoSpacing"/>
    <w:link w:val="editChar"/>
    <w:qFormat/>
    <w:rsid w:val="00C30BFF"/>
    <w:pPr>
      <w:ind w:left="630"/>
    </w:pPr>
    <w:rPr>
      <w:rFonts w:ascii="Times New Roman" w:hAnsi="Times New Roman" w:cs="Times New Roman"/>
    </w:rPr>
  </w:style>
  <w:style w:type="paragraph" w:customStyle="1" w:styleId="ColorfulList-Accent11">
    <w:name w:val="Colorful List - Accent 11"/>
    <w:basedOn w:val="Normal"/>
    <w:uiPriority w:val="34"/>
    <w:qFormat/>
    <w:rsid w:val="00C30BFF"/>
    <w:pPr>
      <w:spacing w:after="0" w:line="240" w:lineRule="auto"/>
      <w:ind w:left="720"/>
      <w:contextualSpacing/>
    </w:pPr>
    <w:rPr>
      <w:rFonts w:ascii="Times New Roman" w:eastAsia="Times New Roman" w:hAnsi="Times New Roman" w:cs="Times New Roman"/>
      <w:kern w:val="0"/>
      <w14:ligatures w14:val="none"/>
    </w:rPr>
  </w:style>
  <w:style w:type="paragraph" w:customStyle="1" w:styleId="isselectedend">
    <w:name w:val="isselectedend"/>
    <w:basedOn w:val="Normal"/>
    <w:qFormat/>
    <w:rsid w:val="00C30BFF"/>
    <w:pPr>
      <w:spacing w:beforeAutospacing="1" w:afterAutospacing="1" w:line="240" w:lineRule="auto"/>
    </w:pPr>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C30BFF"/>
    <w:pPr>
      <w:spacing w:after="0" w:line="240" w:lineRule="auto"/>
    </w:pPr>
    <w:rPr>
      <w:rFonts w:ascii="Segoe UI" w:hAnsi="Segoe UI" w:cs="Segoe UI"/>
      <w:sz w:val="18"/>
      <w:szCs w:val="18"/>
    </w:rPr>
  </w:style>
  <w:style w:type="paragraph" w:customStyle="1" w:styleId="FrameContents">
    <w:name w:val="Frame Contents"/>
    <w:basedOn w:val="Normal"/>
    <w:qFormat/>
  </w:style>
  <w:style w:type="paragraph" w:customStyle="1" w:styleId="HeaderLeft">
    <w:name w:val="Header Left"/>
    <w:basedOn w:val="Header"/>
    <w:qFormat/>
  </w:style>
  <w:style w:type="numbering" w:customStyle="1" w:styleId="CurrentList1">
    <w:name w:val="Current List1"/>
    <w:uiPriority w:val="99"/>
    <w:qFormat/>
    <w:rsid w:val="00C30BFF"/>
  </w:style>
  <w:style w:type="table" w:styleId="PlainTable2">
    <w:name w:val="Plain Table 2"/>
    <w:basedOn w:val="TableNormal"/>
    <w:uiPriority w:val="99"/>
    <w:rsid w:val="00C30BFF"/>
    <w:rPr>
      <w:rFonts w:eastAsiaTheme="minorEastAsia"/>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Grid">
    <w:name w:val="Table Grid"/>
    <w:basedOn w:val="TableNormal"/>
    <w:uiPriority w:val="39"/>
    <w:rsid w:val="00C30BFF"/>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30BFF"/>
    <w:rPr>
      <w:lang w:val="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0.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D20F8-7551-466B-AA5A-08C41EFAC90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113</Pages>
  <Words>40352</Words>
  <Characters>230012</Characters>
  <Application>Microsoft Office Word</Application>
  <DocSecurity>0</DocSecurity>
  <Lines>1916</Lines>
  <Paragraphs>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 Vardhami</dc:creator>
  <dc:description/>
  <cp:lastModifiedBy>Edit Vardhami</cp:lastModifiedBy>
  <cp:revision>3</cp:revision>
  <dcterms:created xsi:type="dcterms:W3CDTF">2026-10-22T12:27:00Z</dcterms:created>
  <dcterms:modified xsi:type="dcterms:W3CDTF">2026-10-22T12:29:00Z</dcterms:modified>
  <dc:language>en-US</dc:language>
</cp:coreProperties>
</file>