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193E" w14:textId="75EE6B62" w:rsidR="00C7773E" w:rsidRPr="00510F7A" w:rsidRDefault="00155341" w:rsidP="00155341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510F7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</w:t>
      </w:r>
      <w:r w:rsidR="00C7773E" w:rsidRPr="00510F7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për rezultatet e konsultimeve publike</w:t>
      </w:r>
    </w:p>
    <w:p w14:paraId="03D83146" w14:textId="77777777" w:rsidR="00C7773E" w:rsidRPr="00510F7A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7E7046D" w14:textId="77777777" w:rsidR="00C7773E" w:rsidRPr="00510F7A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4A193B4" w14:textId="0353DBED" w:rsidR="00C7773E" w:rsidRPr="00510F7A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Titulli i draft</w:t>
      </w:r>
      <w:r w:rsidR="00C7773E" w:rsidRPr="00510F7A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74000867" w14:textId="77777777" w:rsidR="00155341" w:rsidRDefault="00155341" w:rsidP="007A6541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A6541">
        <w:rPr>
          <w:rFonts w:ascii="Times New Roman" w:hAnsi="Times New Roman"/>
          <w:sz w:val="24"/>
          <w:szCs w:val="24"/>
          <w:lang w:val="sq-AL"/>
        </w:rPr>
        <w:t>Projektligji “Për disa shtesa dhe ndryshime në ligjin nr. 173/2014 “Për disiplinën në Forcat e Armatosura të Republikës së Shqipërisë”.</w:t>
      </w:r>
    </w:p>
    <w:p w14:paraId="381468D3" w14:textId="77777777" w:rsidR="003A04A1" w:rsidRPr="007A6541" w:rsidRDefault="003A04A1" w:rsidP="007A6541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14:paraId="15AC2C85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34B2C7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B96111" w14:textId="77777777" w:rsidR="00221040" w:rsidRPr="00510F7A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AD4257E" w14:textId="7F093A87" w:rsidR="00221040" w:rsidRPr="00510F7A" w:rsidRDefault="00221040" w:rsidP="0022104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510F7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210CF6" w:rsidRPr="00510F7A">
        <w:rPr>
          <w:rFonts w:ascii="Times New Roman" w:hAnsi="Times New Roman"/>
          <w:iCs/>
          <w:sz w:val="24"/>
          <w:szCs w:val="24"/>
          <w:lang w:val="sq-AL"/>
        </w:rPr>
        <w:t>12.2</w:t>
      </w:r>
      <w:r w:rsidR="00984BFB" w:rsidRPr="00510F7A">
        <w:rPr>
          <w:rFonts w:ascii="Times New Roman" w:hAnsi="Times New Roman"/>
          <w:iCs/>
          <w:sz w:val="24"/>
          <w:szCs w:val="24"/>
          <w:lang w:val="sq-AL"/>
        </w:rPr>
        <w:t>.20</w:t>
      </w:r>
      <w:r w:rsidR="00210CF6" w:rsidRPr="00510F7A">
        <w:rPr>
          <w:rFonts w:ascii="Times New Roman" w:hAnsi="Times New Roman"/>
          <w:iCs/>
          <w:sz w:val="24"/>
          <w:szCs w:val="24"/>
          <w:lang w:val="sq-AL"/>
        </w:rPr>
        <w:t>20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, me d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rgimin e draftit fillestar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hartuar nga grupi i pun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s,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gjitha strukturat e Forcave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Armatosura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Republik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s 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Shqip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ris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4A84">
        <w:rPr>
          <w:rFonts w:ascii="Times New Roman" w:hAnsi="Times New Roman"/>
          <w:iCs/>
          <w:sz w:val="24"/>
          <w:szCs w:val="24"/>
          <w:lang w:val="sq-AL"/>
        </w:rPr>
        <w:t xml:space="preserve"> (</w:t>
      </w:r>
      <w:r w:rsidR="00ED0FA4">
        <w:rPr>
          <w:rFonts w:ascii="Times New Roman" w:hAnsi="Times New Roman"/>
          <w:iCs/>
          <w:sz w:val="24"/>
          <w:szCs w:val="24"/>
          <w:lang w:val="sq-AL"/>
        </w:rPr>
        <w:t xml:space="preserve">Shtabi i Përgjithshëm i FA, </w:t>
      </w:r>
      <w:r w:rsidR="00994A84">
        <w:rPr>
          <w:rFonts w:ascii="Times New Roman" w:hAnsi="Times New Roman"/>
          <w:iCs/>
          <w:sz w:val="24"/>
          <w:szCs w:val="24"/>
          <w:lang w:val="sq-AL"/>
        </w:rPr>
        <w:t>Komandat e Forcave, Komanda Mbështetëse dhe Komanda e Doktrinës dhe Stërvitjes)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,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t p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rb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jn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dhe grupin kryesor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interesit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k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projektligj. Pas marrjes 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mendimeve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strukturave dhe reflektimit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nj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pjese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sugjerimeve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tyre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rmbajtjen e projektligjit u vijua me publikimin e draftit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RENJK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 xml:space="preserve">, më 29.6.2020 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dhe </w:t>
      </w:r>
      <w:r w:rsidR="00994A84">
        <w:rPr>
          <w:rFonts w:ascii="Times New Roman" w:hAnsi="Times New Roman"/>
          <w:iCs/>
          <w:sz w:val="24"/>
          <w:szCs w:val="24"/>
          <w:lang w:val="sq-AL"/>
        </w:rPr>
        <w:t xml:space="preserve">përfundimisht 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 faq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en zyrtare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Ministris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Mbrojtjes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 xml:space="preserve">, më 1.9.2020. 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Konsultimi publik 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mbyllur m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F369C" w:rsidRPr="00510F7A">
        <w:rPr>
          <w:rFonts w:ascii="Times New Roman" w:hAnsi="Times New Roman"/>
          <w:iCs/>
          <w:sz w:val="24"/>
          <w:szCs w:val="24"/>
          <w:lang w:val="sq-AL"/>
        </w:rPr>
        <w:t xml:space="preserve"> 30.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>9</w:t>
      </w:r>
      <w:r w:rsidR="004F369C" w:rsidRPr="00510F7A">
        <w:rPr>
          <w:rFonts w:ascii="Times New Roman" w:hAnsi="Times New Roman"/>
          <w:iCs/>
          <w:sz w:val="24"/>
          <w:szCs w:val="24"/>
          <w:lang w:val="sq-AL"/>
        </w:rPr>
        <w:t>.2020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, 30 dit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pas publikimit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draftit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>faqen zyrtare të Ministrisë së Mbrojtjes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45BB2235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71C21A6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D43A157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1C64BBF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1EDBBCF0" w14:textId="77777777" w:rsidR="00221040" w:rsidRPr="00510F7A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D08493" w14:textId="7B8B43F1" w:rsidR="00AD49F8" w:rsidRPr="00315A5E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Drejtpërdrejtë, gjatë zhvillimit të takimeve:</w:t>
      </w:r>
    </w:p>
    <w:p w14:paraId="6C510720" w14:textId="4F382E47" w:rsidR="00AD49F8" w:rsidRPr="00510F7A" w:rsidRDefault="00AD49F8" w:rsidP="00210CF6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>Grupi i pun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s, i ngritur me urdh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ministrit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Mbrojtjes 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zhvilloi nj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takimesh </w:t>
      </w:r>
      <w:r w:rsidR="00AD70C4">
        <w:rPr>
          <w:rFonts w:ascii="Times New Roman" w:hAnsi="Times New Roman"/>
          <w:sz w:val="24"/>
          <w:szCs w:val="24"/>
          <w:lang w:val="sq-AL"/>
        </w:rPr>
        <w:t xml:space="preserve">paraprake 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ku u trajtuan problematikat kryesore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hasura nd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 vite me zbatimin e ligjit nr. 173/2014 “Për disiplinën në Forcat e Armatosura të Republikës së Shqipërisë”. Pas hartimit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draftit fillestar, grupi i pun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s d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rgoi draftin p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 mendim dhe vler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sim n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gjitha strukturat e Forcave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Armatosura,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t p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rb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jn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grupin e interesit 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tij projektligji. Komanda e Doktrin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s dhe St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rvitjes, Shtabi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i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rgjithsh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m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Forcave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4F369C" w:rsidRPr="00510F7A">
        <w:rPr>
          <w:rFonts w:ascii="Times New Roman" w:hAnsi="Times New Roman"/>
          <w:sz w:val="24"/>
          <w:szCs w:val="24"/>
          <w:lang w:val="sq-AL"/>
        </w:rPr>
        <w:t xml:space="preserve"> Armatosura, 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si dhe Komandat e Forcave d</w:t>
      </w:r>
      <w:r w:rsidR="00B57711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rguan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sugjerime,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 xml:space="preserve"> cilat </w:t>
      </w:r>
      <w:r w:rsidRPr="00510F7A">
        <w:rPr>
          <w:rFonts w:ascii="Times New Roman" w:hAnsi="Times New Roman"/>
          <w:sz w:val="24"/>
          <w:szCs w:val="24"/>
          <w:lang w:val="sq-AL"/>
        </w:rPr>
        <w:t>u vler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suan nga GP, </w:t>
      </w:r>
      <w:r w:rsidR="00210CF6" w:rsidRPr="00510F7A">
        <w:rPr>
          <w:rFonts w:ascii="Times New Roman" w:hAnsi="Times New Roman"/>
          <w:sz w:val="24"/>
          <w:szCs w:val="24"/>
          <w:lang w:val="sq-AL"/>
        </w:rPr>
        <w:t>dhe u vendos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se do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rfshiheshin ose jo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rmbajtjen e projektligjit.</w:t>
      </w:r>
      <w:r w:rsidR="002E4815" w:rsidRPr="00510F7A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11EB796" w14:textId="1CC436E3" w:rsidR="00AD49F8" w:rsidRPr="00315A5E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BA1E468" w14:textId="1BEF0810" w:rsidR="00AD49F8" w:rsidRPr="00510F7A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1275AEBE" w14:textId="3E274071" w:rsidR="00AD49F8" w:rsidRPr="00510F7A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 xml:space="preserve">Nëpërmjet adresës së emailit: </w:t>
      </w:r>
      <w:hyperlink r:id="rId8" w:history="1">
        <w:r w:rsidRPr="00510F7A">
          <w:rPr>
            <w:rStyle w:val="Hyperlink"/>
            <w:rFonts w:ascii="Times New Roman" w:hAnsi="Times New Roman"/>
            <w:sz w:val="24"/>
            <w:szCs w:val="24"/>
            <w:lang w:val="sq-AL"/>
          </w:rPr>
          <w:t>konsultim.publik@mod.gov.al</w:t>
        </w:r>
      </w:hyperlink>
      <w:r w:rsidR="002E4815" w:rsidRPr="00510F7A">
        <w:rPr>
          <w:rFonts w:ascii="Times New Roman" w:hAnsi="Times New Roman"/>
          <w:sz w:val="24"/>
          <w:szCs w:val="24"/>
          <w:lang w:val="sq-AL"/>
        </w:rPr>
        <w:t>:</w:t>
      </w:r>
    </w:p>
    <w:p w14:paraId="7838F87D" w14:textId="069362EE" w:rsidR="00AD49F8" w:rsidRPr="00510F7A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lastRenderedPageBreak/>
        <w:t>M</w:t>
      </w:r>
      <w:r w:rsidR="008F7BD8" w:rsidRPr="00510F7A">
        <w:rPr>
          <w:rFonts w:ascii="Times New Roman" w:hAnsi="Times New Roman"/>
          <w:sz w:val="24"/>
          <w:szCs w:val="24"/>
          <w:lang w:val="sq-AL"/>
        </w:rPr>
        <w:t>e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510F7A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02DFFE7B" w14:textId="1B23CBFF" w:rsidR="002E4815" w:rsidRPr="00315A5E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</w:t>
      </w:r>
      <w:r w:rsidR="002E4815" w:rsidRPr="00315A5E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2F548C52" w14:textId="0AC2AD51" w:rsidR="00C7773E" w:rsidRPr="00510F7A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997E687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373B77D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1220A41" w14:textId="77777777" w:rsidR="00C7773E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1F86D6CB" w14:textId="77777777" w:rsidR="008F30DC" w:rsidRPr="00510F7A" w:rsidRDefault="008F30DC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9D99BFD" w14:textId="739ED873" w:rsidR="00A70A48" w:rsidRDefault="008F30DC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Palët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>e interesuar</w:t>
      </w:r>
      <w:r w:rsidR="00F05FB0">
        <w:rPr>
          <w:rFonts w:ascii="Times New Roman" w:hAnsi="Times New Roman"/>
          <w:iCs/>
          <w:sz w:val="24"/>
          <w:szCs w:val="24"/>
          <w:lang w:val="sq-AL"/>
        </w:rPr>
        <w:t>a,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të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cilat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morën pjesë në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hartimin e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këtij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projektakti </w:t>
      </w:r>
      <w:r>
        <w:rPr>
          <w:rFonts w:ascii="Times New Roman" w:hAnsi="Times New Roman"/>
          <w:iCs/>
          <w:sz w:val="24"/>
          <w:szCs w:val="24"/>
          <w:lang w:val="sq-AL"/>
        </w:rPr>
        <w:t>janë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5ED701A3" w14:textId="77777777" w:rsidR="00315A5E" w:rsidRPr="00315A5E" w:rsidRDefault="00315A5E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1C420F4E" w14:textId="65610B37" w:rsidR="00A70A48" w:rsidRPr="00510F7A" w:rsidRDefault="00A70A48" w:rsidP="00984B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>Ushtarak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t aktiv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Forcave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Armatosura</w:t>
      </w:r>
      <w:r w:rsidR="00684EBE" w:rsidRPr="00510F7A">
        <w:rPr>
          <w:rFonts w:ascii="Times New Roman" w:hAnsi="Times New Roman"/>
          <w:sz w:val="24"/>
          <w:szCs w:val="24"/>
          <w:lang w:val="sq-AL"/>
        </w:rPr>
        <w:t>;</w:t>
      </w:r>
    </w:p>
    <w:p w14:paraId="0D3F9159" w14:textId="437895F0" w:rsidR="00684EBE" w:rsidRPr="00510F7A" w:rsidRDefault="00684EBE" w:rsidP="00984BFB">
      <w:pPr>
        <w:pStyle w:val="ListParagraph"/>
        <w:numPr>
          <w:ilvl w:val="0"/>
          <w:numId w:val="2"/>
        </w:numPr>
        <w:tabs>
          <w:tab w:val="left" w:pos="7552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e interesuar.</w:t>
      </w:r>
    </w:p>
    <w:p w14:paraId="11F021C7" w14:textId="5AB7C5CB" w:rsidR="00C7773E" w:rsidRPr="00510F7A" w:rsidRDefault="00C7773E" w:rsidP="00684EBE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ab/>
      </w:r>
    </w:p>
    <w:p w14:paraId="444C91AE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87DA301" w14:textId="5122396D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510F7A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6E336FB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5C0F7F4" w14:textId="77777777" w:rsidR="00C7773E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5B77357C" w14:textId="77777777" w:rsidR="00B70301" w:rsidRPr="00510F7A" w:rsidRDefault="00B70301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F50B07" w14:textId="5D053AB7" w:rsidR="00C7773E" w:rsidRPr="003A19ED" w:rsidRDefault="008F30DC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tabelën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sz w:val="24"/>
          <w:szCs w:val="24"/>
          <w:lang w:val="sq-AL"/>
        </w:rPr>
        <w:t xml:space="preserve">mëposhtme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paraqiten komentet e pranuara </w:t>
      </w:r>
      <w:r>
        <w:rPr>
          <w:rFonts w:ascii="Times New Roman" w:hAnsi="Times New Roman"/>
          <w:sz w:val="24"/>
          <w:szCs w:val="24"/>
          <w:lang w:val="sq-AL"/>
        </w:rPr>
        <w:t xml:space="preserve">plotësisht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dhe </w:t>
      </w:r>
      <w:r>
        <w:rPr>
          <w:rFonts w:ascii="Times New Roman" w:hAnsi="Times New Roman"/>
          <w:sz w:val="24"/>
          <w:szCs w:val="24"/>
          <w:lang w:val="sq-AL"/>
        </w:rPr>
        <w:t xml:space="preserve">pjesërisht në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lidhje me </w:t>
      </w:r>
      <w:r>
        <w:rPr>
          <w:rFonts w:ascii="Times New Roman" w:hAnsi="Times New Roman"/>
          <w:sz w:val="24"/>
          <w:szCs w:val="24"/>
          <w:lang w:val="sq-AL"/>
        </w:rPr>
        <w:t xml:space="preserve">këtë </w:t>
      </w:r>
      <w:r w:rsidR="00315A5E">
        <w:rPr>
          <w:rFonts w:ascii="Times New Roman" w:hAnsi="Times New Roman"/>
          <w:sz w:val="24"/>
          <w:szCs w:val="24"/>
          <w:lang w:val="sq-AL"/>
        </w:rPr>
        <w:t>projektakt: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4"/>
        <w:gridCol w:w="1702"/>
        <w:gridCol w:w="1179"/>
        <w:gridCol w:w="3214"/>
      </w:tblGrid>
      <w:tr w:rsidR="00D678C7" w:rsidRPr="00510F7A" w14:paraId="6596004C" w14:textId="77777777" w:rsidTr="00467F6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F02" w14:textId="77777777" w:rsidR="00C7773E" w:rsidRPr="00510F7A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10F7A">
              <w:rPr>
                <w:rFonts w:ascii="Times New Roman" w:hAnsi="Times New Roman"/>
                <w:szCs w:val="22"/>
                <w:lang w:val="sq-AL"/>
              </w:rPr>
              <w:t>Çështja e  adresuar</w:t>
            </w:r>
          </w:p>
          <w:p w14:paraId="07A7C61F" w14:textId="77777777" w:rsidR="00C7773E" w:rsidRPr="00510F7A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Cs w:val="22"/>
                <w:lang w:val="sq-AL"/>
              </w:rPr>
            </w:pPr>
            <w:r w:rsidRPr="00510F7A">
              <w:rPr>
                <w:rFonts w:ascii="Times New Roman" w:hAnsi="Times New Roman"/>
                <w:szCs w:val="22"/>
                <w:lang w:val="sq-AL"/>
              </w:rPr>
              <w:t>(psh. përkufizimi i ri i…, kushtet për regjistrimin e…, rregullimi i…, etj.)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74C" w14:textId="77777777" w:rsidR="00C7773E" w:rsidRPr="00510F7A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10F7A">
              <w:rPr>
                <w:rFonts w:ascii="Times New Roman" w:hAnsi="Times New Roman"/>
                <w:szCs w:val="22"/>
                <w:lang w:val="sq-AL"/>
              </w:rPr>
              <w:t>Komenti</w:t>
            </w:r>
          </w:p>
          <w:p w14:paraId="1FE9D5C1" w14:textId="77777777" w:rsidR="00C7773E" w:rsidRPr="00510F7A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Cs w:val="22"/>
                <w:lang w:val="sq-AL"/>
              </w:rPr>
            </w:pPr>
            <w:r w:rsidRPr="00510F7A">
              <w:rPr>
                <w:rFonts w:ascii="Times New Roman" w:hAnsi="Times New Roman"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0A1A" w14:textId="77777777" w:rsidR="00C7773E" w:rsidRPr="00510F7A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510F7A">
              <w:rPr>
                <w:rFonts w:ascii="Times New Roman" w:hAnsi="Times New Roman"/>
                <w:szCs w:val="22"/>
                <w:lang w:val="sq-AL"/>
              </w:rPr>
              <w:t xml:space="preserve">Palët e interesuara </w:t>
            </w:r>
            <w:r w:rsidRPr="00510F7A">
              <w:rPr>
                <w:rFonts w:ascii="Times New Roman" w:hAnsi="Times New Roman"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821A" w14:textId="550D17B8" w:rsidR="00C7773E" w:rsidRPr="00E24BAD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E24BAD">
              <w:rPr>
                <w:rFonts w:ascii="Times New Roman" w:hAnsi="Times New Roman"/>
                <w:szCs w:val="22"/>
                <w:lang w:val="sq-AL"/>
              </w:rPr>
              <w:t>Vendimi (</w:t>
            </w:r>
            <w:r w:rsidR="00FA03E9" w:rsidRPr="00E24BAD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E24BAD">
              <w:rPr>
                <w:rFonts w:ascii="Times New Roman" w:hAnsi="Times New Roman"/>
                <w:szCs w:val="22"/>
                <w:lang w:val="sq-AL"/>
              </w:rPr>
              <w:t xml:space="preserve"> pranuar/</w:t>
            </w:r>
            <w:r w:rsidR="00FA03E9" w:rsidRPr="00E24BAD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E24BAD">
              <w:rPr>
                <w:rFonts w:ascii="Times New Roman" w:hAnsi="Times New Roman"/>
                <w:szCs w:val="22"/>
                <w:lang w:val="sq-AL"/>
              </w:rPr>
              <w:t xml:space="preserve"> pranuar pjesërisht/</w:t>
            </w:r>
            <w:r w:rsidR="00FA03E9" w:rsidRPr="00E24BAD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E24BAD">
              <w:rPr>
                <w:rFonts w:ascii="Times New Roman" w:hAnsi="Times New Roman"/>
                <w:szCs w:val="22"/>
                <w:lang w:val="sq-AL"/>
              </w:rPr>
              <w:t xml:space="preserve"> refuzuar)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068B" w14:textId="77777777" w:rsidR="00C7773E" w:rsidRPr="00E24BAD" w:rsidRDefault="00C7773E" w:rsidP="00E24BAD">
            <w:pPr>
              <w:pStyle w:val="BodyText"/>
              <w:spacing w:after="0"/>
              <w:jc w:val="center"/>
              <w:rPr>
                <w:rFonts w:ascii="Times New Roman" w:hAnsi="Times New Roman"/>
                <w:szCs w:val="22"/>
                <w:lang w:val="sq-AL"/>
              </w:rPr>
            </w:pPr>
            <w:r w:rsidRPr="00E24BAD">
              <w:rPr>
                <w:rFonts w:ascii="Times New Roman" w:hAnsi="Times New Roman"/>
                <w:szCs w:val="22"/>
                <w:lang w:val="sq-AL"/>
              </w:rPr>
              <w:t>Justifikimi</w:t>
            </w:r>
          </w:p>
        </w:tc>
      </w:tr>
      <w:tr w:rsidR="009867FF" w:rsidRPr="00510F7A" w14:paraId="3629BEF2" w14:textId="77777777" w:rsidTr="00467F6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150" w14:textId="77777777" w:rsidR="00D3328A" w:rsidRPr="009F3853" w:rsidRDefault="009F3853" w:rsidP="0031728D">
            <w:pPr>
              <w:pStyle w:val="BodyText"/>
              <w:jc w:val="both"/>
              <w:rPr>
                <w:rFonts w:ascii="Times New Roman" w:hAnsi="Times New Roman"/>
                <w:lang w:val="sq-AL"/>
              </w:rPr>
            </w:pPr>
            <w:r w:rsidRPr="009F3853">
              <w:rPr>
                <w:rFonts w:ascii="Times New Roman" w:hAnsi="Times New Roman"/>
                <w:lang w:val="sq-AL"/>
              </w:rPr>
              <w:t>Pika 3 e nenit 17</w:t>
            </w:r>
          </w:p>
          <w:p w14:paraId="1B369A28" w14:textId="78E3D94E" w:rsidR="009F3853" w:rsidRPr="00510F7A" w:rsidRDefault="009F3853" w:rsidP="0031728D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Pas </w:t>
            </w:r>
            <w:r w:rsidRPr="009F3853">
              <w:rPr>
                <w:rFonts w:ascii="Times New Roman" w:hAnsi="Times New Roman"/>
                <w:lang w:val="sq-AL"/>
              </w:rPr>
              <w:t>fjalës “personalisht”, të shtohet togfjalëshi “ose me anë të një ndihmësi”.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937" w14:textId="25CDB32E" w:rsidR="00D3328A" w:rsidRPr="009F3853" w:rsidRDefault="009F3853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9F3853">
              <w:rPr>
                <w:rFonts w:ascii="Times New Roman" w:hAnsi="Times New Roman"/>
                <w:lang w:val="sq-AL"/>
              </w:rPr>
              <w:t>Mungesa e të drejtës për të patur ndihmës në proces.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94D" w14:textId="01F6EC0D" w:rsidR="00984BFB" w:rsidRPr="00510F7A" w:rsidRDefault="004D101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SHPFA/</w:t>
            </w:r>
            <w:r w:rsidR="009F3853">
              <w:rPr>
                <w:rFonts w:ascii="Times New Roman" w:hAnsi="Times New Roman"/>
                <w:szCs w:val="22"/>
                <w:lang w:val="sq-AL"/>
              </w:rPr>
              <w:t>MM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7A6" w14:textId="6B6D5EC4" w:rsidR="00D3328A" w:rsidRPr="00510F7A" w:rsidRDefault="00D3328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733" w14:textId="73CB89CA" w:rsidR="0031728D" w:rsidRPr="004D101A" w:rsidRDefault="00DB5736" w:rsidP="00FA03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Pranuar. </w:t>
            </w:r>
            <w:r w:rsidR="004D101A" w:rsidRPr="004D101A">
              <w:rPr>
                <w:rFonts w:ascii="Times New Roman" w:hAnsi="Times New Roman"/>
                <w:sz w:val="24"/>
                <w:szCs w:val="24"/>
                <w:lang w:val="sq-AL"/>
              </w:rPr>
              <w:t>Dhënia e të drejtës për të patur ndihmës në proces gjyqësor për t’u dëgjuar dhe për të parashtruar prova e fakte, i  cili e ndihmon atë në çështje specifike, të nevojshme për procedimin disiplinor.</w:t>
            </w:r>
          </w:p>
        </w:tc>
      </w:tr>
    </w:tbl>
    <w:p w14:paraId="17B2C5B5" w14:textId="77777777" w:rsidR="00C7773E" w:rsidRPr="003A19ED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0577264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466A4DC9" w14:textId="77777777" w:rsidR="00C7773E" w:rsidRPr="003A19ED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3A19E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884295" w16cid:durableId="234B9515"/>
  <w16cid:commentId w16cid:paraId="50F421DD" w16cid:durableId="234B9551"/>
  <w16cid:commentId w16cid:paraId="2F1AE921" w16cid:durableId="234B95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11C7" w14:textId="77777777" w:rsidR="00C02DCD" w:rsidRDefault="00C02DCD" w:rsidP="002E4815">
      <w:r>
        <w:separator/>
      </w:r>
    </w:p>
  </w:endnote>
  <w:endnote w:type="continuationSeparator" w:id="0">
    <w:p w14:paraId="5992BAC5" w14:textId="77777777" w:rsidR="00C02DCD" w:rsidRDefault="00C02DCD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5F67" w14:textId="77777777" w:rsidR="00C02DCD" w:rsidRDefault="00C02DCD" w:rsidP="002E4815">
      <w:r>
        <w:separator/>
      </w:r>
    </w:p>
  </w:footnote>
  <w:footnote w:type="continuationSeparator" w:id="0">
    <w:p w14:paraId="62D82064" w14:textId="77777777" w:rsidR="00C02DCD" w:rsidRDefault="00C02DCD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3CA"/>
    <w:multiLevelType w:val="hybridMultilevel"/>
    <w:tmpl w:val="F9E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35806"/>
    <w:rsid w:val="00147663"/>
    <w:rsid w:val="00155341"/>
    <w:rsid w:val="00165E4B"/>
    <w:rsid w:val="001A235D"/>
    <w:rsid w:val="001B6141"/>
    <w:rsid w:val="00210CF6"/>
    <w:rsid w:val="00216E92"/>
    <w:rsid w:val="00221040"/>
    <w:rsid w:val="00264A1A"/>
    <w:rsid w:val="00270375"/>
    <w:rsid w:val="002D5D0C"/>
    <w:rsid w:val="002E4815"/>
    <w:rsid w:val="00315A5E"/>
    <w:rsid w:val="0031728D"/>
    <w:rsid w:val="003443FF"/>
    <w:rsid w:val="00365667"/>
    <w:rsid w:val="003A04A1"/>
    <w:rsid w:val="003A19ED"/>
    <w:rsid w:val="00426D3F"/>
    <w:rsid w:val="00467F6A"/>
    <w:rsid w:val="004D101A"/>
    <w:rsid w:val="004F369C"/>
    <w:rsid w:val="00510F7A"/>
    <w:rsid w:val="005413D9"/>
    <w:rsid w:val="00553ADD"/>
    <w:rsid w:val="005A7C7D"/>
    <w:rsid w:val="005B160F"/>
    <w:rsid w:val="005B25B1"/>
    <w:rsid w:val="005F29B9"/>
    <w:rsid w:val="0066695F"/>
    <w:rsid w:val="00684EBE"/>
    <w:rsid w:val="006D1CA6"/>
    <w:rsid w:val="006F43B1"/>
    <w:rsid w:val="00702BF7"/>
    <w:rsid w:val="007630B7"/>
    <w:rsid w:val="007A11A3"/>
    <w:rsid w:val="007A6541"/>
    <w:rsid w:val="00803AFB"/>
    <w:rsid w:val="008D05D4"/>
    <w:rsid w:val="008F30DC"/>
    <w:rsid w:val="008F7BD8"/>
    <w:rsid w:val="00984BFB"/>
    <w:rsid w:val="009867FF"/>
    <w:rsid w:val="00994A84"/>
    <w:rsid w:val="00994E6F"/>
    <w:rsid w:val="009B3F8B"/>
    <w:rsid w:val="009F3853"/>
    <w:rsid w:val="00A22CEC"/>
    <w:rsid w:val="00A70A48"/>
    <w:rsid w:val="00A75AF4"/>
    <w:rsid w:val="00AD49F8"/>
    <w:rsid w:val="00AD70C4"/>
    <w:rsid w:val="00B26839"/>
    <w:rsid w:val="00B57711"/>
    <w:rsid w:val="00B70301"/>
    <w:rsid w:val="00B81668"/>
    <w:rsid w:val="00B8476D"/>
    <w:rsid w:val="00C02DCD"/>
    <w:rsid w:val="00C244F3"/>
    <w:rsid w:val="00C45848"/>
    <w:rsid w:val="00C7773E"/>
    <w:rsid w:val="00CA76FF"/>
    <w:rsid w:val="00CD0024"/>
    <w:rsid w:val="00D32616"/>
    <w:rsid w:val="00D3328A"/>
    <w:rsid w:val="00D37FAB"/>
    <w:rsid w:val="00D678C7"/>
    <w:rsid w:val="00D91B0E"/>
    <w:rsid w:val="00DB5736"/>
    <w:rsid w:val="00DE3933"/>
    <w:rsid w:val="00E20F11"/>
    <w:rsid w:val="00E24BAD"/>
    <w:rsid w:val="00E96B2B"/>
    <w:rsid w:val="00ED0FA4"/>
    <w:rsid w:val="00EF0309"/>
    <w:rsid w:val="00F05FB0"/>
    <w:rsid w:val="00F077CE"/>
    <w:rsid w:val="00F34E7A"/>
    <w:rsid w:val="00FA03E9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  <w15:docId w15:val="{3DD6E12C-F140-4734-816C-E6CDA04A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C023-C920-4A8A-9A12-FB4200BE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spkom DPSHARR</cp:lastModifiedBy>
  <cp:revision>14</cp:revision>
  <cp:lastPrinted>2020-11-02T08:54:00Z</cp:lastPrinted>
  <dcterms:created xsi:type="dcterms:W3CDTF">2020-11-04T09:21:00Z</dcterms:created>
  <dcterms:modified xsi:type="dcterms:W3CDTF">2022-11-09T10:09:00Z</dcterms:modified>
</cp:coreProperties>
</file>