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FD292" w14:textId="07FB7058" w:rsidR="00E93729" w:rsidRDefault="008F0C02" w:rsidP="008F0C0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2D7A">
        <w:rPr>
          <w:rFonts w:ascii="Times New Roman" w:hAnsi="Times New Roman" w:cs="Times New Roman"/>
          <w:sz w:val="24"/>
          <w:szCs w:val="24"/>
        </w:rPr>
        <w:t xml:space="preserve">  </w:t>
      </w:r>
      <w:r w:rsidR="00F27A26" w:rsidRPr="008F0C02">
        <w:rPr>
          <w:rFonts w:ascii="Times New Roman" w:hAnsi="Times New Roman" w:cs="Times New Roman"/>
          <w:sz w:val="24"/>
          <w:szCs w:val="24"/>
        </w:rPr>
        <w:t>PROJEKTLIGJ</w:t>
      </w:r>
      <w:r w:rsidR="00E93729" w:rsidRPr="008F0C02">
        <w:rPr>
          <w:rFonts w:ascii="Times New Roman" w:hAnsi="Times New Roman" w:cs="Times New Roman"/>
          <w:sz w:val="24"/>
          <w:szCs w:val="24"/>
        </w:rPr>
        <w:t xml:space="preserve"> “</w:t>
      </w:r>
      <w:r w:rsidR="00EE1A78" w:rsidRPr="008F0C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E1A78" w:rsidRPr="008F0C02">
        <w:rPr>
          <w:rFonts w:ascii="Times New Roman" w:hAnsi="Times New Roman" w:cs="Times New Roman"/>
          <w:sz w:val="24"/>
          <w:szCs w:val="24"/>
        </w:rPr>
        <w:t>R D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E1A78" w:rsidRPr="008F0C02">
        <w:rPr>
          <w:rFonts w:ascii="Times New Roman" w:hAnsi="Times New Roman" w:cs="Times New Roman"/>
          <w:sz w:val="24"/>
          <w:szCs w:val="24"/>
        </w:rPr>
        <w:t>FTESAT TREG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E1A78" w:rsidRPr="008F0C02">
        <w:rPr>
          <w:rFonts w:ascii="Times New Roman" w:hAnsi="Times New Roman" w:cs="Times New Roman"/>
          <w:sz w:val="24"/>
          <w:szCs w:val="24"/>
        </w:rPr>
        <w:t>TARE MBI PRODUKTET BUJQ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E1A78" w:rsidRPr="008F0C02">
        <w:rPr>
          <w:rFonts w:ascii="Times New Roman" w:hAnsi="Times New Roman" w:cs="Times New Roman"/>
          <w:sz w:val="24"/>
          <w:szCs w:val="24"/>
        </w:rPr>
        <w:t>SORE</w:t>
      </w:r>
      <w:r w:rsidR="00E93729" w:rsidRPr="008F0C02">
        <w:rPr>
          <w:rFonts w:ascii="Times New Roman" w:hAnsi="Times New Roman" w:cs="Times New Roman"/>
          <w:sz w:val="24"/>
          <w:szCs w:val="24"/>
        </w:rPr>
        <w:t>”</w:t>
      </w:r>
    </w:p>
    <w:p w14:paraId="0F5C6491" w14:textId="07F9A1AD" w:rsidR="00F27A26" w:rsidRDefault="00F27A26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14:paraId="0EBC2F4F" w14:textId="77777777" w:rsidR="00274B83" w:rsidRDefault="00274B83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</w:p>
    <w:p w14:paraId="0BB8A95D" w14:textId="44492BF2" w:rsidR="005B6D2B" w:rsidRDefault="00750190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2A3FAE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KONSULTIMIT PUBLIK</w:t>
      </w:r>
    </w:p>
    <w:p w14:paraId="0BB8A95E" w14:textId="77777777" w:rsidR="005B6D2B" w:rsidRPr="002A3FAE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0BB8A961" w14:textId="70679744" w:rsidR="00A121AB" w:rsidRPr="00537061" w:rsidRDefault="003F5E5B" w:rsidP="00537061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5370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537061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  <w:r w:rsidR="008F0C02" w:rsidRPr="00537061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9114E5" w:rsidRPr="00537061">
        <w:rPr>
          <w:rFonts w:ascii="Times New Roman" w:hAnsi="Times New Roman"/>
          <w:bCs/>
          <w:sz w:val="24"/>
          <w:szCs w:val="24"/>
        </w:rPr>
        <w:t>Projekt</w:t>
      </w:r>
      <w:r w:rsidR="002A3FAE" w:rsidRPr="00537061">
        <w:rPr>
          <w:rFonts w:ascii="Times New Roman" w:hAnsi="Times New Roman"/>
          <w:bCs/>
          <w:sz w:val="24"/>
          <w:szCs w:val="24"/>
        </w:rPr>
        <w:t>ligj</w:t>
      </w:r>
      <w:proofErr w:type="spellEnd"/>
      <w:r w:rsidR="009114E5" w:rsidRPr="00537061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="009114E5" w:rsidRPr="00537061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="009114E5" w:rsidRPr="00537061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Hlk140355303"/>
      <w:proofErr w:type="spellStart"/>
      <w:r w:rsidR="00DC6629" w:rsidRPr="00537061">
        <w:rPr>
          <w:rFonts w:ascii="Times New Roman" w:hAnsi="Times New Roman"/>
          <w:bCs/>
          <w:sz w:val="24"/>
          <w:szCs w:val="24"/>
        </w:rPr>
        <w:t>d</w:t>
      </w:r>
      <w:r w:rsidR="007D4B85" w:rsidRPr="00537061">
        <w:rPr>
          <w:rFonts w:ascii="Times New Roman" w:hAnsi="Times New Roman"/>
          <w:bCs/>
          <w:sz w:val="24"/>
          <w:szCs w:val="24"/>
        </w:rPr>
        <w:t>ë</w:t>
      </w:r>
      <w:r w:rsidR="00DC6629" w:rsidRPr="00537061">
        <w:rPr>
          <w:rFonts w:ascii="Times New Roman" w:hAnsi="Times New Roman"/>
          <w:bCs/>
          <w:sz w:val="24"/>
          <w:szCs w:val="24"/>
        </w:rPr>
        <w:t>ftesat</w:t>
      </w:r>
      <w:proofErr w:type="spellEnd"/>
      <w:r w:rsidR="00DC6629" w:rsidRPr="0053706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629" w:rsidRPr="00537061">
        <w:rPr>
          <w:rFonts w:ascii="Times New Roman" w:hAnsi="Times New Roman"/>
          <w:bCs/>
          <w:sz w:val="24"/>
          <w:szCs w:val="24"/>
        </w:rPr>
        <w:t>treg</w:t>
      </w:r>
      <w:r w:rsidR="007D4B85" w:rsidRPr="00537061">
        <w:rPr>
          <w:rFonts w:ascii="Times New Roman" w:hAnsi="Times New Roman"/>
          <w:bCs/>
          <w:sz w:val="24"/>
          <w:szCs w:val="24"/>
        </w:rPr>
        <w:t>ë</w:t>
      </w:r>
      <w:r w:rsidR="00DC6629" w:rsidRPr="00537061">
        <w:rPr>
          <w:rFonts w:ascii="Times New Roman" w:hAnsi="Times New Roman"/>
          <w:bCs/>
          <w:sz w:val="24"/>
          <w:szCs w:val="24"/>
        </w:rPr>
        <w:t>tare</w:t>
      </w:r>
      <w:proofErr w:type="spellEnd"/>
      <w:r w:rsidR="00DC6629" w:rsidRPr="0053706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629" w:rsidRPr="00537061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="00DC6629" w:rsidRPr="0053706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629" w:rsidRPr="00537061">
        <w:rPr>
          <w:rFonts w:ascii="Times New Roman" w:hAnsi="Times New Roman"/>
          <w:bCs/>
          <w:sz w:val="24"/>
          <w:szCs w:val="24"/>
        </w:rPr>
        <w:t>produktet</w:t>
      </w:r>
      <w:proofErr w:type="spellEnd"/>
      <w:r w:rsidR="00DC6629" w:rsidRPr="0053706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C6629" w:rsidRPr="00537061">
        <w:rPr>
          <w:rFonts w:ascii="Times New Roman" w:hAnsi="Times New Roman"/>
          <w:bCs/>
          <w:sz w:val="24"/>
          <w:szCs w:val="24"/>
        </w:rPr>
        <w:t>bujq</w:t>
      </w:r>
      <w:r w:rsidR="007D4B85" w:rsidRPr="00537061">
        <w:rPr>
          <w:rFonts w:ascii="Times New Roman" w:hAnsi="Times New Roman"/>
          <w:bCs/>
          <w:sz w:val="24"/>
          <w:szCs w:val="24"/>
        </w:rPr>
        <w:t>ë</w:t>
      </w:r>
      <w:r w:rsidR="00DC6629" w:rsidRPr="00537061">
        <w:rPr>
          <w:rFonts w:ascii="Times New Roman" w:hAnsi="Times New Roman"/>
          <w:bCs/>
          <w:sz w:val="24"/>
          <w:szCs w:val="24"/>
        </w:rPr>
        <w:t>sore</w:t>
      </w:r>
      <w:proofErr w:type="spellEnd"/>
      <w:r w:rsidR="009114E5" w:rsidRPr="00537061">
        <w:rPr>
          <w:rFonts w:ascii="Times New Roman" w:hAnsi="Times New Roman"/>
          <w:bCs/>
          <w:sz w:val="24"/>
          <w:szCs w:val="24"/>
        </w:rPr>
        <w:t>”.</w:t>
      </w:r>
    </w:p>
    <w:p w14:paraId="14E1FDC7" w14:textId="77777777" w:rsidR="009114E5" w:rsidRPr="002A3FAE" w:rsidRDefault="009114E5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0BB8A962" w14:textId="7E54244B" w:rsidR="005B6D2B" w:rsidRPr="00537061" w:rsidRDefault="005B6D2B" w:rsidP="00537061">
      <w:p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53706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59A81A47" w14:textId="77777777" w:rsidR="00C377C2" w:rsidRDefault="00C377C2" w:rsidP="00B43C57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E4AF34" w14:textId="61ED62B2" w:rsidR="00B43C57" w:rsidRPr="00C377C2" w:rsidRDefault="008F0C02" w:rsidP="00B43C57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C377C2">
        <w:rPr>
          <w:rFonts w:ascii="Times New Roman" w:hAnsi="Times New Roman"/>
          <w:iCs/>
          <w:sz w:val="24"/>
          <w:szCs w:val="24"/>
        </w:rPr>
        <w:t>Konsultimi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Regjistrin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Ektronik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t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Njoftimeve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Konsultimeve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Publike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u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realizua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r w:rsidRPr="00C377C2">
        <w:rPr>
          <w:rFonts w:ascii="Times New Roman" w:hAnsi="Times New Roman"/>
          <w:iCs/>
          <w:sz w:val="24"/>
          <w:szCs w:val="24"/>
        </w:rPr>
        <w:t>rputhje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r w:rsidRPr="00C377C2">
        <w:rPr>
          <w:rFonts w:ascii="Times New Roman" w:hAnsi="Times New Roman"/>
          <w:iCs/>
          <w:sz w:val="24"/>
          <w:szCs w:val="24"/>
        </w:rPr>
        <w:t>rcaktimet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nenit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15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t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ligjit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</w:t>
      </w:r>
      <w:r w:rsidR="00C377C2">
        <w:rPr>
          <w:rFonts w:ascii="Times New Roman" w:hAnsi="Times New Roman"/>
          <w:iCs/>
          <w:sz w:val="24"/>
          <w:szCs w:val="24"/>
        </w:rPr>
        <w:t>ë</w:t>
      </w:r>
      <w:r w:rsidRPr="00C377C2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Njoftimin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Konsultimin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Publik”</w:t>
      </w:r>
      <w:r w:rsidR="005B6D2B" w:rsidRPr="00C377C2">
        <w:rPr>
          <w:rFonts w:ascii="Times New Roman" w:hAnsi="Times New Roman"/>
          <w:iCs/>
          <w:sz w:val="24"/>
          <w:szCs w:val="24"/>
        </w:rPr>
        <w:t>.</w:t>
      </w:r>
    </w:p>
    <w:p w14:paraId="72FBA540" w14:textId="77777777" w:rsidR="00E92D3D" w:rsidRDefault="00E92D3D" w:rsidP="00B43C57">
      <w:pPr>
        <w:jc w:val="both"/>
        <w:rPr>
          <w:rFonts w:ascii="Times New Roman" w:hAnsi="Times New Roman"/>
          <w:iCs/>
          <w:sz w:val="24"/>
          <w:szCs w:val="24"/>
        </w:rPr>
      </w:pPr>
    </w:p>
    <w:p w14:paraId="06AC2984" w14:textId="74E95A36" w:rsidR="00E92D3D" w:rsidRDefault="00C377C2" w:rsidP="00B43C57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C377C2">
        <w:rPr>
          <w:rFonts w:ascii="Times New Roman" w:hAnsi="Times New Roman"/>
          <w:iCs/>
          <w:sz w:val="24"/>
          <w:szCs w:val="24"/>
        </w:rPr>
        <w:t>Konsultimi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publik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RENJK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periudhën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kohore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respektim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ligjit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data </w:t>
      </w:r>
      <w:r w:rsidR="00537061">
        <w:rPr>
          <w:rFonts w:ascii="Times New Roman" w:hAnsi="Times New Roman"/>
          <w:iCs/>
          <w:sz w:val="24"/>
          <w:szCs w:val="24"/>
        </w:rPr>
        <w:t>03.11.</w:t>
      </w:r>
      <w:r w:rsidRPr="00C377C2">
        <w:rPr>
          <w:rFonts w:ascii="Times New Roman" w:hAnsi="Times New Roman"/>
          <w:iCs/>
          <w:sz w:val="24"/>
          <w:szCs w:val="24"/>
        </w:rPr>
        <w:t xml:space="preserve">2023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deri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më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377C2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Pr="00C377C2">
        <w:rPr>
          <w:rFonts w:ascii="Times New Roman" w:hAnsi="Times New Roman"/>
          <w:iCs/>
          <w:sz w:val="24"/>
          <w:szCs w:val="24"/>
        </w:rPr>
        <w:t xml:space="preserve"> </w:t>
      </w:r>
      <w:r w:rsidR="00537061">
        <w:rPr>
          <w:rFonts w:ascii="Times New Roman" w:hAnsi="Times New Roman"/>
          <w:iCs/>
          <w:sz w:val="24"/>
          <w:szCs w:val="24"/>
        </w:rPr>
        <w:t>05.12.2023</w:t>
      </w:r>
      <w:r w:rsidRPr="00C377C2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Projektligji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ftesat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treg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mbi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produktet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bujq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sore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iCs/>
          <w:sz w:val="24"/>
          <w:szCs w:val="24"/>
        </w:rPr>
        <w:t>propozohet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nga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Ministria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Bujq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sis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Zhvillimit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Rural, </w:t>
      </w:r>
      <w:proofErr w:type="spellStart"/>
      <w:r>
        <w:rPr>
          <w:rFonts w:ascii="Times New Roman" w:hAnsi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institucion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cili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kushton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m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ndje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vecant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mb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shtetjes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ferm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Republik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Shqip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ris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rmes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politikave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masave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tjera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q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nd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rmerr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vazhdimisht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aspekt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370788D9" w14:textId="77777777" w:rsidR="00E92D3D" w:rsidRDefault="00E92D3D" w:rsidP="00B43C57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335A5CA" w14:textId="66C614BD" w:rsidR="00B43C57" w:rsidRPr="00C377C2" w:rsidRDefault="00C377C2" w:rsidP="00B43C57">
      <w:p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V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shtruar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</w:t>
      </w:r>
      <w:r w:rsidR="00E92D3D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pikëpamjen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plotësimit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kuadrit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ligjor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institucional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cili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synon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reflektojë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konsolidojë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qëllimet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politikave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arritjet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reformave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realizuara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përputhje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strategjinë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Bashkimit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Europian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bujqësi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si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nga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sektoriët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më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rëndësishëm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="00E92D3D">
        <w:rPr>
          <w:rFonts w:ascii="Times New Roman" w:hAnsi="Times New Roman"/>
          <w:iCs/>
          <w:sz w:val="24"/>
          <w:szCs w:val="24"/>
        </w:rPr>
        <w:t>përparësi</w:t>
      </w:r>
      <w:proofErr w:type="spellEnd"/>
      <w:r w:rsidR="00E92D3D">
        <w:rPr>
          <w:rFonts w:ascii="Times New Roman" w:hAnsi="Times New Roman"/>
          <w:iCs/>
          <w:sz w:val="24"/>
          <w:szCs w:val="24"/>
        </w:rPr>
        <w:t xml:space="preserve">. </w:t>
      </w:r>
    </w:p>
    <w:p w14:paraId="2686DA9F" w14:textId="77777777" w:rsidR="00C377C2" w:rsidRDefault="00C377C2" w:rsidP="00B43C57">
      <w:pPr>
        <w:spacing w:after="12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BB8A96A" w14:textId="093AF890" w:rsidR="005B6D2B" w:rsidRDefault="005B6D2B" w:rsidP="00537061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53706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537061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7B99481F" w14:textId="5C202418" w:rsidR="00537061" w:rsidRDefault="00537061" w:rsidP="00537061">
      <w:pPr>
        <w:jc w:val="both"/>
        <w:rPr>
          <w:rFonts w:ascii="Times New Roman" w:hAnsi="Times New Roman"/>
          <w:sz w:val="24"/>
          <w:szCs w:val="24"/>
        </w:rPr>
      </w:pPr>
    </w:p>
    <w:p w14:paraId="5815A042" w14:textId="0BDBC5C3" w:rsidR="00537061" w:rsidRDefault="00537061" w:rsidP="00537061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i/>
          <w:iCs/>
          <w:sz w:val="24"/>
          <w:szCs w:val="24"/>
          <w:lang w:val="sq-AL"/>
        </w:rPr>
        <w:t>Metodat e konsultimit publik:</w:t>
      </w:r>
    </w:p>
    <w:p w14:paraId="64016A05" w14:textId="77777777" w:rsidR="00927E8D" w:rsidRPr="002A3FAE" w:rsidRDefault="00927E8D" w:rsidP="000700DB">
      <w:pPr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BB8A96F" w14:textId="098E74CF" w:rsidR="00F8784F" w:rsidRPr="000700DB" w:rsidRDefault="004E59C3" w:rsidP="000700DB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00DB">
        <w:rPr>
          <w:rFonts w:ascii="Times New Roman" w:hAnsi="Times New Roman"/>
          <w:iCs/>
          <w:sz w:val="24"/>
          <w:szCs w:val="24"/>
        </w:rPr>
        <w:t>K</w:t>
      </w:r>
      <w:r w:rsidR="00F8784F" w:rsidRPr="000700DB">
        <w:rPr>
          <w:rFonts w:ascii="Times New Roman" w:hAnsi="Times New Roman"/>
          <w:iCs/>
          <w:sz w:val="24"/>
          <w:szCs w:val="24"/>
        </w:rPr>
        <w:t>onsultimi</w:t>
      </w:r>
      <w:proofErr w:type="spellEnd"/>
      <w:r w:rsidR="00F8784F" w:rsidRPr="000700D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8784F" w:rsidRPr="000700DB">
        <w:rPr>
          <w:rFonts w:ascii="Times New Roman" w:hAnsi="Times New Roman"/>
          <w:iCs/>
          <w:sz w:val="24"/>
          <w:szCs w:val="24"/>
        </w:rPr>
        <w:t>elektronik</w:t>
      </w:r>
      <w:proofErr w:type="spellEnd"/>
      <w:r w:rsidR="00F8784F" w:rsidRPr="000700D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8784F" w:rsidRPr="000700DB">
        <w:rPr>
          <w:rFonts w:ascii="Times New Roman" w:hAnsi="Times New Roman"/>
          <w:iCs/>
          <w:sz w:val="24"/>
          <w:szCs w:val="24"/>
        </w:rPr>
        <w:t>p</w:t>
      </w:r>
      <w:r w:rsidR="00070D6F" w:rsidRPr="000700DB">
        <w:rPr>
          <w:rFonts w:ascii="Times New Roman" w:hAnsi="Times New Roman"/>
          <w:iCs/>
          <w:sz w:val="24"/>
          <w:szCs w:val="24"/>
        </w:rPr>
        <w:t>ë</w:t>
      </w:r>
      <w:r w:rsidR="00F8784F" w:rsidRPr="000700DB">
        <w:rPr>
          <w:rFonts w:ascii="Times New Roman" w:hAnsi="Times New Roman"/>
          <w:iCs/>
          <w:sz w:val="24"/>
          <w:szCs w:val="24"/>
        </w:rPr>
        <w:t>rmes</w:t>
      </w:r>
      <w:proofErr w:type="spellEnd"/>
      <w:r w:rsidR="00F8784F" w:rsidRPr="000700D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8784F" w:rsidRPr="000700DB">
        <w:rPr>
          <w:rFonts w:ascii="Times New Roman" w:hAnsi="Times New Roman"/>
          <w:iCs/>
          <w:sz w:val="24"/>
          <w:szCs w:val="24"/>
        </w:rPr>
        <w:t>Regjistrit</w:t>
      </w:r>
      <w:proofErr w:type="spellEnd"/>
      <w:r w:rsidR="00F8784F" w:rsidRPr="000700D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8784F" w:rsidRPr="000700DB">
        <w:rPr>
          <w:rFonts w:ascii="Times New Roman" w:hAnsi="Times New Roman"/>
          <w:iCs/>
          <w:sz w:val="24"/>
          <w:szCs w:val="24"/>
        </w:rPr>
        <w:t>Elektronik</w:t>
      </w:r>
      <w:proofErr w:type="spellEnd"/>
      <w:r w:rsidR="00F8784F" w:rsidRPr="000700DB">
        <w:rPr>
          <w:rFonts w:ascii="Times New Roman" w:hAnsi="Times New Roman"/>
          <w:iCs/>
          <w:sz w:val="24"/>
          <w:szCs w:val="24"/>
        </w:rPr>
        <w:t>, RENJK</w:t>
      </w:r>
      <w:r w:rsidR="00E36A71" w:rsidRPr="000700DB">
        <w:rPr>
          <w:rFonts w:ascii="Times New Roman" w:hAnsi="Times New Roman"/>
          <w:iCs/>
          <w:sz w:val="24"/>
          <w:szCs w:val="24"/>
        </w:rPr>
        <w:t xml:space="preserve"> (</w:t>
      </w:r>
      <w:r w:rsidR="000700DB">
        <w:rPr>
          <w:rFonts w:ascii="Times New Roman" w:hAnsi="Times New Roman"/>
          <w:iCs/>
          <w:sz w:val="24"/>
          <w:szCs w:val="24"/>
        </w:rPr>
        <w:t>03.11</w:t>
      </w:r>
      <w:r w:rsidR="00E36A71" w:rsidRPr="000700DB">
        <w:rPr>
          <w:rFonts w:ascii="Times New Roman" w:hAnsi="Times New Roman"/>
          <w:iCs/>
          <w:sz w:val="24"/>
          <w:szCs w:val="24"/>
        </w:rPr>
        <w:t>.202</w:t>
      </w:r>
      <w:r w:rsidR="009114E5" w:rsidRPr="000700DB">
        <w:rPr>
          <w:rFonts w:ascii="Times New Roman" w:hAnsi="Times New Roman"/>
          <w:iCs/>
          <w:sz w:val="24"/>
          <w:szCs w:val="24"/>
        </w:rPr>
        <w:t>3</w:t>
      </w:r>
      <w:r w:rsidR="00E36A71" w:rsidRPr="000700DB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E36A71" w:rsidRPr="000700DB">
        <w:rPr>
          <w:rFonts w:ascii="Times New Roman" w:hAnsi="Times New Roman"/>
          <w:iCs/>
          <w:sz w:val="24"/>
          <w:szCs w:val="24"/>
        </w:rPr>
        <w:t xml:space="preserve">– </w:t>
      </w:r>
      <w:r w:rsidR="00927E8D" w:rsidRPr="000700DB">
        <w:rPr>
          <w:rFonts w:ascii="Times New Roman" w:hAnsi="Times New Roman"/>
          <w:iCs/>
          <w:sz w:val="24"/>
          <w:szCs w:val="24"/>
        </w:rPr>
        <w:t xml:space="preserve"> </w:t>
      </w:r>
      <w:r w:rsidR="000700DB">
        <w:rPr>
          <w:rFonts w:ascii="Times New Roman" w:hAnsi="Times New Roman"/>
          <w:iCs/>
          <w:sz w:val="24"/>
          <w:szCs w:val="24"/>
        </w:rPr>
        <w:t>05.12.2023</w:t>
      </w:r>
      <w:proofErr w:type="gramEnd"/>
      <w:r w:rsidR="00E36A71" w:rsidRPr="000700DB">
        <w:rPr>
          <w:rFonts w:ascii="Times New Roman" w:hAnsi="Times New Roman"/>
          <w:iCs/>
          <w:sz w:val="24"/>
          <w:szCs w:val="24"/>
        </w:rPr>
        <w:t>);</w:t>
      </w:r>
    </w:p>
    <w:p w14:paraId="2B97D7BF" w14:textId="3BE888FA" w:rsidR="00B44387" w:rsidRPr="00B447DB" w:rsidRDefault="000700DB" w:rsidP="00B44387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Tryeza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B5635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Cs/>
          <w:sz w:val="24"/>
          <w:szCs w:val="24"/>
        </w:rPr>
        <w:t>ekspert</w:t>
      </w:r>
      <w:r w:rsidR="00B5635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grupet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interesit</w:t>
      </w:r>
      <w:proofErr w:type="spellEnd"/>
      <w:r>
        <w:rPr>
          <w:rStyle w:val="FootnoteReference"/>
          <w:rFonts w:ascii="Times New Roman" w:hAnsi="Times New Roman"/>
          <w:iCs/>
          <w:sz w:val="24"/>
          <w:szCs w:val="24"/>
        </w:rPr>
        <w:footnoteReference w:id="1"/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406C23E" w14:textId="77777777" w:rsidR="000877F6" w:rsidRDefault="00B65410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Nisma </w:t>
      </w:r>
      <w:proofErr w:type="spellStart"/>
      <w:r>
        <w:rPr>
          <w:rFonts w:ascii="Times New Roman" w:hAnsi="Times New Roman"/>
          <w:iCs/>
          <w:sz w:val="24"/>
          <w:szCs w:val="24"/>
        </w:rPr>
        <w:t>ligjore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dëftesat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tregëtare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fillimisht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Cs/>
          <w:sz w:val="24"/>
          <w:szCs w:val="24"/>
        </w:rPr>
        <w:t>takime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konsultative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paraprake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Cs/>
          <w:sz w:val="24"/>
          <w:szCs w:val="24"/>
        </w:rPr>
        <w:t>ekspertë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individualë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grupe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interesi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cilat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vazhduar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me pas </w:t>
      </w:r>
      <w:proofErr w:type="spellStart"/>
      <w:r>
        <w:rPr>
          <w:rFonts w:ascii="Times New Roman" w:hAnsi="Times New Roman"/>
          <w:iCs/>
          <w:sz w:val="24"/>
          <w:szCs w:val="24"/>
        </w:rPr>
        <w:t>edhe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përmes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publikimit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RNJK. </w:t>
      </w:r>
    </w:p>
    <w:p w14:paraId="3CBECD38" w14:textId="77777777" w:rsidR="000877F6" w:rsidRDefault="000877F6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9096BE9" w14:textId="08A903F5" w:rsidR="00B44387" w:rsidRDefault="00B65410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Takime </w:t>
      </w:r>
      <w:proofErr w:type="spellStart"/>
      <w:r>
        <w:rPr>
          <w:rFonts w:ascii="Times New Roman" w:hAnsi="Times New Roman"/>
          <w:iCs/>
          <w:sz w:val="24"/>
          <w:szCs w:val="24"/>
        </w:rPr>
        <w:t>jan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zhvilluar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0877F6">
        <w:rPr>
          <w:rFonts w:ascii="Times New Roman" w:hAnsi="Times New Roman"/>
          <w:iCs/>
          <w:sz w:val="24"/>
          <w:szCs w:val="24"/>
        </w:rPr>
        <w:t>me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pal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interesuara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siç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jan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Shoqata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Bankave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Dhoma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Komb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tare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rmbaruesve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Gjyq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sor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Privat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operator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privat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sektorit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bujq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sis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etj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1035B9D5" w14:textId="77777777" w:rsidR="000877F6" w:rsidRDefault="000877F6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10F0A7E" w14:textId="1A93E973" w:rsidR="002D6334" w:rsidRDefault="000877F6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Gjat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faz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kan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ardhur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komente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nga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Rrjeti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Shqiptar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Zhvillimin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Rural (ANRD)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Regjistri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Cs/>
          <w:sz w:val="24"/>
          <w:szCs w:val="24"/>
        </w:rPr>
        <w:t>Barr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r>
        <w:rPr>
          <w:rFonts w:ascii="Times New Roman" w:hAnsi="Times New Roman"/>
          <w:iCs/>
          <w:sz w:val="24"/>
          <w:szCs w:val="24"/>
        </w:rPr>
        <w:t>v</w:t>
      </w:r>
      <w:r w:rsidR="002D6334"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Siguruese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(RBS).</w:t>
      </w:r>
      <w:r w:rsidR="002D6334">
        <w:rPr>
          <w:rFonts w:ascii="Times New Roman" w:hAnsi="Times New Roman"/>
          <w:iCs/>
          <w:sz w:val="24"/>
          <w:szCs w:val="24"/>
        </w:rPr>
        <w:t xml:space="preserve"> </w:t>
      </w:r>
    </w:p>
    <w:p w14:paraId="61D1B3DE" w14:textId="77777777" w:rsidR="002D6334" w:rsidRDefault="002D6334" w:rsidP="00B44387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5A0279A" w14:textId="201D7808" w:rsidR="002D6334" w:rsidRPr="00B56354" w:rsidRDefault="002D6334" w:rsidP="00B56354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Komentet</w:t>
      </w:r>
      <w:proofErr w:type="spellEnd"/>
      <w:r w:rsidR="006629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62994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66299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62994">
        <w:rPr>
          <w:rFonts w:ascii="Times New Roman" w:hAnsi="Times New Roman"/>
          <w:iCs/>
          <w:sz w:val="24"/>
          <w:szCs w:val="24"/>
        </w:rPr>
        <w:t>sugjerimet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62994">
        <w:rPr>
          <w:rFonts w:ascii="Times New Roman" w:hAnsi="Times New Roman"/>
          <w:iCs/>
          <w:sz w:val="24"/>
          <w:szCs w:val="24"/>
        </w:rPr>
        <w:t>ardhura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kuadër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procesit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përmirësimit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përmbajtjes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projekligjit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janë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përcjellë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përmes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adresës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postës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elektronike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662994">
        <w:rPr>
          <w:rFonts w:ascii="Times New Roman" w:hAnsi="Times New Roman"/>
          <w:iCs/>
          <w:sz w:val="24"/>
          <w:szCs w:val="24"/>
        </w:rPr>
        <w:t>t</w:t>
      </w:r>
      <w:r>
        <w:rPr>
          <w:rFonts w:ascii="Times New Roman" w:hAnsi="Times New Roman"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Koordinatorit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Publik </w:t>
      </w:r>
      <w:proofErr w:type="spellStart"/>
      <w:r>
        <w:rPr>
          <w:rFonts w:ascii="Times New Roman" w:hAnsi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edhe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pjesëtarëve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grupit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punës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që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punon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hartimin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projektligjit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14:paraId="46D7F92C" w14:textId="15E1666C" w:rsidR="00922D7A" w:rsidRPr="00922D7A" w:rsidRDefault="00922D7A" w:rsidP="00922D7A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22D7A">
        <w:lastRenderedPageBreak/>
        <w:t xml:space="preserve"> </w:t>
      </w:r>
      <w:r>
        <w:t xml:space="preserve">   “</w:t>
      </w:r>
      <w:r w:rsidRPr="00922D7A">
        <w:rPr>
          <w:rFonts w:ascii="Times New Roman" w:hAnsi="Times New Roman" w:cs="Times New Roman"/>
          <w:sz w:val="24"/>
          <w:szCs w:val="24"/>
        </w:rPr>
        <w:t>PROJEKTLIGJ “PËR DËFTESAT TREGËTARE MBI PRODUKTET BUJQËSORE”</w:t>
      </w:r>
    </w:p>
    <w:p w14:paraId="725EBAE9" w14:textId="350629DB" w:rsidR="00922D7A" w:rsidRDefault="00922D7A" w:rsidP="000877F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8095A4" w14:textId="77777777" w:rsidR="00274B83" w:rsidRDefault="00274B83" w:rsidP="000877F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8A976" w14:textId="03230AB7" w:rsidR="005B6D2B" w:rsidRPr="000877F6" w:rsidRDefault="005B6D2B" w:rsidP="000877F6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877F6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0877F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0877F6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0877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77F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0877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77F6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1937886F" w14:textId="77777777" w:rsidR="00662994" w:rsidRDefault="00662994" w:rsidP="000877F6">
      <w:pPr>
        <w:jc w:val="both"/>
        <w:rPr>
          <w:rFonts w:ascii="Times New Roman" w:hAnsi="Times New Roman"/>
          <w:i/>
          <w:sz w:val="24"/>
          <w:szCs w:val="24"/>
        </w:rPr>
      </w:pPr>
    </w:p>
    <w:p w14:paraId="34ECBAD3" w14:textId="75BC1E0D" w:rsidR="00D84360" w:rsidRDefault="00D84360" w:rsidP="000877F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D52">
        <w:rPr>
          <w:rFonts w:ascii="Times New Roman" w:hAnsi="Times New Roman"/>
          <w:sz w:val="24"/>
          <w:szCs w:val="24"/>
        </w:rPr>
        <w:t>Draftimi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projektligjit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82D52">
        <w:rPr>
          <w:rFonts w:ascii="Times New Roman" w:hAnsi="Times New Roman"/>
          <w:sz w:val="24"/>
          <w:szCs w:val="24"/>
        </w:rPr>
        <w:t>P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r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d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ftesat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treg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tare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mbi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produktin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bujq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sor</w:t>
      </w:r>
      <w:proofErr w:type="spellEnd"/>
      <w:r w:rsidRPr="00282D52">
        <w:rPr>
          <w:rFonts w:ascii="Times New Roman" w:hAnsi="Times New Roman"/>
          <w:sz w:val="24"/>
          <w:szCs w:val="24"/>
        </w:rPr>
        <w:t>”</w:t>
      </w:r>
      <w:r w:rsidR="001B3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sht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kryer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nga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grupi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pun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47DB">
        <w:rPr>
          <w:rFonts w:ascii="Times New Roman" w:hAnsi="Times New Roman"/>
          <w:sz w:val="24"/>
          <w:szCs w:val="24"/>
        </w:rPr>
        <w:t>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ngritur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MBZHR </w:t>
      </w:r>
      <w:proofErr w:type="spellStart"/>
      <w:r w:rsidRPr="00282D52">
        <w:rPr>
          <w:rFonts w:ascii="Times New Roman" w:hAnsi="Times New Roman"/>
          <w:sz w:val="24"/>
          <w:szCs w:val="24"/>
        </w:rPr>
        <w:t>p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r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k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q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llim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bashk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punim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ekspert</w:t>
      </w:r>
      <w:r w:rsidR="00282D52">
        <w:rPr>
          <w:rFonts w:ascii="Times New Roman" w:hAnsi="Times New Roman"/>
          <w:sz w:val="24"/>
          <w:szCs w:val="24"/>
        </w:rPr>
        <w:t>ë</w:t>
      </w:r>
      <w:r w:rsidR="00282D52" w:rsidRPr="00282D52">
        <w:rPr>
          <w:rFonts w:ascii="Times New Roman" w:hAnsi="Times New Roman"/>
          <w:sz w:val="24"/>
          <w:szCs w:val="24"/>
        </w:rPr>
        <w:t>t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e International Financial Corporation (</w:t>
      </w:r>
      <w:r w:rsidR="00282D52">
        <w:rPr>
          <w:rFonts w:ascii="Times New Roman" w:hAnsi="Times New Roman"/>
          <w:sz w:val="24"/>
          <w:szCs w:val="24"/>
        </w:rPr>
        <w:t>Ë</w:t>
      </w:r>
      <w:r w:rsidR="00282D52" w:rsidRPr="00282D52">
        <w:rPr>
          <w:rFonts w:ascii="Times New Roman" w:hAnsi="Times New Roman"/>
          <w:sz w:val="24"/>
          <w:szCs w:val="24"/>
        </w:rPr>
        <w:t xml:space="preserve">EB/IFC)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dhe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State Secretariat for Economic Affairs (SEECO)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si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edhe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ekspert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nga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 Banka e </w:t>
      </w:r>
      <w:proofErr w:type="spellStart"/>
      <w:r w:rsidR="00282D52" w:rsidRPr="00282D52">
        <w:rPr>
          <w:rFonts w:ascii="Times New Roman" w:hAnsi="Times New Roman"/>
          <w:sz w:val="24"/>
          <w:szCs w:val="24"/>
        </w:rPr>
        <w:t>Shqip</w:t>
      </w:r>
      <w:r w:rsidR="00282D52">
        <w:rPr>
          <w:rFonts w:ascii="Times New Roman" w:hAnsi="Times New Roman"/>
          <w:sz w:val="24"/>
          <w:szCs w:val="24"/>
        </w:rPr>
        <w:t>ë</w:t>
      </w:r>
      <w:r w:rsidR="00282D52" w:rsidRPr="00282D52">
        <w:rPr>
          <w:rFonts w:ascii="Times New Roman" w:hAnsi="Times New Roman"/>
          <w:sz w:val="24"/>
          <w:szCs w:val="24"/>
        </w:rPr>
        <w:t>ris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282D52" w:rsidRPr="00282D52">
        <w:rPr>
          <w:rFonts w:ascii="Times New Roman" w:hAnsi="Times New Roman"/>
          <w:sz w:val="24"/>
          <w:szCs w:val="24"/>
        </w:rPr>
        <w:t xml:space="preserve">. </w:t>
      </w:r>
    </w:p>
    <w:p w14:paraId="0E8EEB6A" w14:textId="77777777" w:rsidR="00282D52" w:rsidRPr="00282D52" w:rsidRDefault="00282D52" w:rsidP="000877F6">
      <w:pPr>
        <w:jc w:val="both"/>
        <w:rPr>
          <w:rFonts w:ascii="Times New Roman" w:hAnsi="Times New Roman"/>
          <w:sz w:val="24"/>
          <w:szCs w:val="24"/>
        </w:rPr>
      </w:pPr>
    </w:p>
    <w:p w14:paraId="0BB8A977" w14:textId="2DCC7BF2" w:rsidR="00A63833" w:rsidRPr="00282D52" w:rsidRDefault="00662994" w:rsidP="000877F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D52">
        <w:rPr>
          <w:rFonts w:ascii="Times New Roman" w:hAnsi="Times New Roman"/>
          <w:sz w:val="24"/>
          <w:szCs w:val="24"/>
        </w:rPr>
        <w:t>Procesi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draftimit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projektligjit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sht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shoq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ruar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82D52">
        <w:rPr>
          <w:rFonts w:ascii="Times New Roman" w:hAnsi="Times New Roman"/>
          <w:sz w:val="24"/>
          <w:szCs w:val="24"/>
        </w:rPr>
        <w:t>komunikim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vazhduesh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m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bashk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punimi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nd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rmjet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grupit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pun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dhe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vet</w:t>
      </w:r>
      <w:r w:rsidR="00282D52">
        <w:rPr>
          <w:rFonts w:ascii="Times New Roman" w:hAnsi="Times New Roman"/>
          <w:sz w:val="24"/>
          <w:szCs w:val="24"/>
        </w:rPr>
        <w:t>ë</w:t>
      </w:r>
      <w:r w:rsidR="00D84360" w:rsidRPr="00282D52">
        <w:rPr>
          <w:rFonts w:ascii="Times New Roman" w:hAnsi="Times New Roman"/>
          <w:sz w:val="24"/>
          <w:szCs w:val="24"/>
        </w:rPr>
        <w:t>m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pal</w:t>
      </w:r>
      <w:r w:rsidR="00282D52">
        <w:rPr>
          <w:rFonts w:ascii="Times New Roman" w:hAnsi="Times New Roman"/>
          <w:sz w:val="24"/>
          <w:szCs w:val="24"/>
        </w:rPr>
        <w:t>ë</w:t>
      </w:r>
      <w:r w:rsidR="00D84360" w:rsidRPr="00282D52">
        <w:rPr>
          <w:rFonts w:ascii="Times New Roman" w:hAnsi="Times New Roman"/>
          <w:sz w:val="24"/>
          <w:szCs w:val="24"/>
        </w:rPr>
        <w:t>ve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sip</w:t>
      </w:r>
      <w:r w:rsidR="00282D52">
        <w:rPr>
          <w:rFonts w:ascii="Times New Roman" w:hAnsi="Times New Roman"/>
          <w:sz w:val="24"/>
          <w:szCs w:val="24"/>
        </w:rPr>
        <w:t>ë</w:t>
      </w:r>
      <w:r w:rsidR="00D84360" w:rsidRPr="00282D52">
        <w:rPr>
          <w:rFonts w:ascii="Times New Roman" w:hAnsi="Times New Roman"/>
          <w:sz w:val="24"/>
          <w:szCs w:val="24"/>
        </w:rPr>
        <w:t>rcituara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por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edhe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institucioneve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linj</w:t>
      </w:r>
      <w:r w:rsidR="00282D52">
        <w:rPr>
          <w:rFonts w:ascii="Times New Roman" w:hAnsi="Times New Roman"/>
          <w:sz w:val="24"/>
          <w:szCs w:val="24"/>
        </w:rPr>
        <w:t>ë</w:t>
      </w:r>
      <w:r w:rsidR="00D84360" w:rsidRPr="00282D52">
        <w:rPr>
          <w:rFonts w:ascii="Times New Roman" w:hAnsi="Times New Roman"/>
          <w:sz w:val="24"/>
          <w:szCs w:val="24"/>
        </w:rPr>
        <w:t>s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ku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D52">
        <w:rPr>
          <w:rFonts w:ascii="Times New Roman" w:hAnsi="Times New Roman"/>
          <w:sz w:val="24"/>
          <w:szCs w:val="24"/>
        </w:rPr>
        <w:t>ë</w:t>
      </w:r>
      <w:r w:rsidR="00D84360" w:rsidRPr="00282D52">
        <w:rPr>
          <w:rFonts w:ascii="Times New Roman" w:hAnsi="Times New Roman"/>
          <w:sz w:val="24"/>
          <w:szCs w:val="24"/>
        </w:rPr>
        <w:t>sht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marr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kontributi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577">
        <w:rPr>
          <w:rFonts w:ascii="Times New Roman" w:hAnsi="Times New Roman"/>
          <w:sz w:val="24"/>
          <w:szCs w:val="24"/>
        </w:rPr>
        <w:t>i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 xml:space="preserve"> tyre </w:t>
      </w:r>
      <w:proofErr w:type="spellStart"/>
      <w:r w:rsidR="00D84360" w:rsidRPr="00282D52">
        <w:rPr>
          <w:rFonts w:ascii="Times New Roman" w:hAnsi="Times New Roman"/>
          <w:sz w:val="24"/>
          <w:szCs w:val="24"/>
        </w:rPr>
        <w:t>paraprakisht</w:t>
      </w:r>
      <w:proofErr w:type="spellEnd"/>
      <w:r w:rsidR="00D84360" w:rsidRPr="00282D52">
        <w:rPr>
          <w:rFonts w:ascii="Times New Roman" w:hAnsi="Times New Roman"/>
          <w:sz w:val="24"/>
          <w:szCs w:val="24"/>
        </w:rPr>
        <w:t>.</w:t>
      </w:r>
    </w:p>
    <w:p w14:paraId="7768F0DC" w14:textId="77777777" w:rsidR="00822577" w:rsidRDefault="00D84360" w:rsidP="0082257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D52">
        <w:rPr>
          <w:rFonts w:ascii="Times New Roman" w:hAnsi="Times New Roman"/>
          <w:sz w:val="24"/>
          <w:szCs w:val="24"/>
        </w:rPr>
        <w:t>Pjes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marr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s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n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tryezat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82D52">
        <w:rPr>
          <w:rFonts w:ascii="Times New Roman" w:hAnsi="Times New Roman"/>
          <w:sz w:val="24"/>
          <w:szCs w:val="24"/>
        </w:rPr>
        <w:t>konsultimit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kan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Pr="00282D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D52">
        <w:rPr>
          <w:rFonts w:ascii="Times New Roman" w:hAnsi="Times New Roman"/>
          <w:sz w:val="24"/>
          <w:szCs w:val="24"/>
        </w:rPr>
        <w:t>q</w:t>
      </w:r>
      <w:r w:rsidR="00282D52">
        <w:rPr>
          <w:rFonts w:ascii="Times New Roman" w:hAnsi="Times New Roman"/>
          <w:sz w:val="24"/>
          <w:szCs w:val="24"/>
        </w:rPr>
        <w:t>ë</w:t>
      </w:r>
      <w:r w:rsidRPr="00282D52">
        <w:rPr>
          <w:rFonts w:ascii="Times New Roman" w:hAnsi="Times New Roman"/>
          <w:sz w:val="24"/>
          <w:szCs w:val="24"/>
        </w:rPr>
        <w:t>n</w:t>
      </w:r>
      <w:r w:rsidR="00282D52">
        <w:rPr>
          <w:rFonts w:ascii="Times New Roman" w:hAnsi="Times New Roman"/>
          <w:sz w:val="24"/>
          <w:szCs w:val="24"/>
        </w:rPr>
        <w:t>ë</w:t>
      </w:r>
      <w:proofErr w:type="spellEnd"/>
      <w:r w:rsidR="00822577">
        <w:rPr>
          <w:rFonts w:ascii="Times New Roman" w:hAnsi="Times New Roman"/>
          <w:sz w:val="24"/>
          <w:szCs w:val="24"/>
        </w:rPr>
        <w:t xml:space="preserve">: </w:t>
      </w:r>
    </w:p>
    <w:p w14:paraId="16829850" w14:textId="77777777" w:rsidR="00822577" w:rsidRDefault="00822577" w:rsidP="00822577">
      <w:pPr>
        <w:jc w:val="both"/>
        <w:rPr>
          <w:rFonts w:ascii="Times New Roman" w:hAnsi="Times New Roman"/>
          <w:sz w:val="24"/>
          <w:szCs w:val="24"/>
        </w:rPr>
      </w:pPr>
    </w:p>
    <w:p w14:paraId="1AB5F66C" w14:textId="203D63E4" w:rsidR="00822577" w:rsidRPr="00822577" w:rsidRDefault="00822577" w:rsidP="008225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577">
        <w:rPr>
          <w:rFonts w:ascii="Times New Roman" w:hAnsi="Times New Roman"/>
          <w:sz w:val="24"/>
          <w:szCs w:val="24"/>
        </w:rPr>
        <w:t>Autoriteti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Mbikqyrjes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Financiare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; </w:t>
      </w:r>
    </w:p>
    <w:p w14:paraId="18692F63" w14:textId="6E6EB270" w:rsidR="00822577" w:rsidRPr="00822577" w:rsidRDefault="00822577" w:rsidP="008225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577">
        <w:rPr>
          <w:rFonts w:ascii="Times New Roman" w:hAnsi="Times New Roman"/>
          <w:sz w:val="24"/>
          <w:szCs w:val="24"/>
        </w:rPr>
        <w:t>Dhoma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/>
          <w:sz w:val="24"/>
          <w:szCs w:val="24"/>
        </w:rPr>
        <w:t>ë</w:t>
      </w:r>
      <w:r w:rsidRPr="00822577">
        <w:rPr>
          <w:rFonts w:ascii="Times New Roman" w:hAnsi="Times New Roman"/>
          <w:sz w:val="24"/>
          <w:szCs w:val="24"/>
        </w:rPr>
        <w:t>tare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2257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822577">
        <w:rPr>
          <w:rFonts w:ascii="Times New Roman" w:hAnsi="Times New Roman"/>
          <w:sz w:val="24"/>
          <w:szCs w:val="24"/>
        </w:rPr>
        <w:t>rmbaruesve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Gjyq</w:t>
      </w:r>
      <w:r>
        <w:rPr>
          <w:rFonts w:ascii="Times New Roman" w:hAnsi="Times New Roman"/>
          <w:sz w:val="24"/>
          <w:szCs w:val="24"/>
        </w:rPr>
        <w:t>ë</w:t>
      </w:r>
      <w:r w:rsidRPr="00822577">
        <w:rPr>
          <w:rFonts w:ascii="Times New Roman" w:hAnsi="Times New Roman"/>
          <w:sz w:val="24"/>
          <w:szCs w:val="24"/>
        </w:rPr>
        <w:t>sor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Privat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; </w:t>
      </w:r>
    </w:p>
    <w:p w14:paraId="14144AA2" w14:textId="2FDB6C29" w:rsidR="00822577" w:rsidRPr="00822577" w:rsidRDefault="00822577" w:rsidP="0082257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577">
        <w:rPr>
          <w:rFonts w:ascii="Times New Roman" w:hAnsi="Times New Roman"/>
          <w:sz w:val="24"/>
          <w:szCs w:val="24"/>
        </w:rPr>
        <w:t>Shoqata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Shqiptare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22577">
        <w:rPr>
          <w:rFonts w:ascii="Times New Roman" w:hAnsi="Times New Roman"/>
          <w:sz w:val="24"/>
          <w:szCs w:val="24"/>
        </w:rPr>
        <w:t>Bankave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; </w:t>
      </w:r>
    </w:p>
    <w:p w14:paraId="68AACA93" w14:textId="4ABA4D44" w:rsidR="00A5349F" w:rsidRPr="00B447DB" w:rsidRDefault="00822577" w:rsidP="001B398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2577">
        <w:rPr>
          <w:rFonts w:ascii="Times New Roman" w:hAnsi="Times New Roman"/>
          <w:sz w:val="24"/>
          <w:szCs w:val="24"/>
        </w:rPr>
        <w:t>Regjistri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12C">
        <w:rPr>
          <w:rFonts w:ascii="Times New Roman" w:hAnsi="Times New Roman"/>
          <w:sz w:val="24"/>
          <w:szCs w:val="24"/>
        </w:rPr>
        <w:t>i</w:t>
      </w:r>
      <w:proofErr w:type="spellEnd"/>
      <w:r w:rsidR="009851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12C">
        <w:rPr>
          <w:rFonts w:ascii="Times New Roman" w:hAnsi="Times New Roman"/>
          <w:sz w:val="24"/>
          <w:szCs w:val="24"/>
        </w:rPr>
        <w:t>B</w:t>
      </w:r>
      <w:r w:rsidRPr="00822577">
        <w:rPr>
          <w:rFonts w:ascii="Times New Roman" w:hAnsi="Times New Roman"/>
          <w:sz w:val="24"/>
          <w:szCs w:val="24"/>
        </w:rPr>
        <w:t>arr</w:t>
      </w:r>
      <w:r>
        <w:rPr>
          <w:rFonts w:ascii="Times New Roman" w:hAnsi="Times New Roman"/>
          <w:sz w:val="24"/>
          <w:szCs w:val="24"/>
        </w:rPr>
        <w:t>ë</w:t>
      </w:r>
      <w:r w:rsidRPr="00822577">
        <w:rPr>
          <w:rFonts w:ascii="Times New Roman" w:hAnsi="Times New Roman"/>
          <w:sz w:val="24"/>
          <w:szCs w:val="24"/>
        </w:rPr>
        <w:t>ve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Siguruese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2577">
        <w:rPr>
          <w:rFonts w:ascii="Times New Roman" w:hAnsi="Times New Roman"/>
          <w:sz w:val="24"/>
          <w:szCs w:val="24"/>
        </w:rPr>
        <w:t>etj</w:t>
      </w:r>
      <w:proofErr w:type="spellEnd"/>
      <w:r w:rsidRPr="00822577">
        <w:rPr>
          <w:rFonts w:ascii="Times New Roman" w:hAnsi="Times New Roman"/>
          <w:sz w:val="24"/>
          <w:szCs w:val="24"/>
        </w:rPr>
        <w:t xml:space="preserve">.  </w:t>
      </w:r>
    </w:p>
    <w:p w14:paraId="0B9098E0" w14:textId="77C854EA" w:rsidR="0098512C" w:rsidRPr="0098512C" w:rsidRDefault="0098512C" w:rsidP="00B447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8512C">
        <w:rPr>
          <w:rFonts w:ascii="Times New Roman" w:hAnsi="Times New Roman"/>
          <w:bCs/>
          <w:sz w:val="24"/>
          <w:szCs w:val="24"/>
        </w:rPr>
        <w:t xml:space="preserve">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mbajtur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19 Prill 2022,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mjediset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Rural,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qenë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ftuar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shoqatat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agropërpunuesve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furnizuesve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lëndëve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para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grumbulluesve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institucioneve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mikrofinancës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shoqërive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sigurimit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Nga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shpjegua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praktika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mirë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ndërkombëtare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zbatimin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këtyre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dy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instrumenteve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“Crop Receipts”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Ëarehouse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Receipts”,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përfitimet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sjellin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këto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instrumente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gjithë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operatorët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sektorit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Nga ana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subjekteve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ftuara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shpjeguan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problemet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mëdha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has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sektori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shkak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pamundësisë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t’u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kreditur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mungesë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kolaterali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interesat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larta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kredive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institucioneve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mikrofinancës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sektorin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janë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papërballueshme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ardhurat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modeste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një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mesëm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vogël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>.</w:t>
      </w:r>
    </w:p>
    <w:p w14:paraId="45458DDC" w14:textId="77777777" w:rsidR="0098512C" w:rsidRPr="0098512C" w:rsidRDefault="0098512C" w:rsidP="00B447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Autoritetit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Mbikqyrjes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(AMF)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10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maj.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AMF-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MBZHR-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Shqipërisë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ekspertëve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L.</w:t>
      </w:r>
      <w:proofErr w:type="gramStart"/>
      <w:r w:rsidRPr="0098512C">
        <w:rPr>
          <w:rFonts w:ascii="Times New Roman" w:hAnsi="Times New Roman"/>
          <w:bCs/>
          <w:sz w:val="24"/>
          <w:szCs w:val="24"/>
        </w:rPr>
        <w:t>Qorlazja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. B. Kraja, z. G. Ziu,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A. Gjongecaj.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diskutua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konceptet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sjell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fushveprimi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tij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raport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ligjin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nr. 60/2020 “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tregjet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kapitaleve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”.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Sugjerimet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komentet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ana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AMF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morën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parasysh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reflektuan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draftin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>.</w:t>
      </w:r>
    </w:p>
    <w:p w14:paraId="18600B83" w14:textId="77777777" w:rsidR="0098512C" w:rsidRPr="0098512C" w:rsidRDefault="0098512C" w:rsidP="00B447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18 </w:t>
      </w:r>
      <w:proofErr w:type="spellStart"/>
      <w:proofErr w:type="gramStart"/>
      <w:r w:rsidRPr="0098512C">
        <w:rPr>
          <w:rFonts w:ascii="Times New Roman" w:hAnsi="Times New Roman"/>
          <w:bCs/>
          <w:sz w:val="24"/>
          <w:szCs w:val="24"/>
        </w:rPr>
        <w:t>maj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MBZHR-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Shqipërisë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ekspertëve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L.</w:t>
      </w:r>
      <w:proofErr w:type="gramStart"/>
      <w:r w:rsidRPr="0098512C">
        <w:rPr>
          <w:rFonts w:ascii="Times New Roman" w:hAnsi="Times New Roman"/>
          <w:bCs/>
          <w:sz w:val="24"/>
          <w:szCs w:val="24"/>
        </w:rPr>
        <w:t>Qorlazja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. B. Kraja, z. G. Ziu,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A. Gjongecaj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98512C">
        <w:rPr>
          <w:rFonts w:ascii="Times New Roman" w:hAnsi="Times New Roman"/>
          <w:bCs/>
          <w:sz w:val="24"/>
          <w:szCs w:val="24"/>
        </w:rPr>
        <w:t>ambjentet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 e</w:t>
      </w:r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Ekonomisë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(MFE)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cilët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përfaqësoheshin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Zëvëndësministri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z. Endrit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Yzeiraj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prezantua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diskutua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konceptet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fushëveprimi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këtij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>.</w:t>
      </w:r>
    </w:p>
    <w:p w14:paraId="68E6E8A3" w14:textId="4CD9C60B" w:rsidR="0098512C" w:rsidRDefault="0098512C" w:rsidP="00B447DB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anëtarëve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grupit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punës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A. Gjongecaj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drejtuesve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Agjencisë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Rajonale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Ekstensionit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Tiranë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(AREB)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31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maj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diskutua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mënyrën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ushtrimit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monitorimit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terren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ana e AREB-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kjo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do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jetë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nevojshme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kërkohet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njësia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përgjegjëse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regjistrin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>.</w:t>
      </w:r>
    </w:p>
    <w:p w14:paraId="2F8C7B42" w14:textId="77777777" w:rsidR="0098512C" w:rsidRPr="0098512C" w:rsidRDefault="0098512C" w:rsidP="0098512C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8512C">
        <w:lastRenderedPageBreak/>
        <w:t xml:space="preserve">    </w:t>
      </w:r>
      <w:r w:rsidRPr="0098512C">
        <w:rPr>
          <w:rFonts w:ascii="Times New Roman" w:hAnsi="Times New Roman" w:cs="Times New Roman"/>
          <w:sz w:val="24"/>
          <w:szCs w:val="24"/>
        </w:rPr>
        <w:t>“PROJEKTLIGJ “PËR DËFTESAT TREGËTARE MBI PRODUKTET BUJQËSORE”</w:t>
      </w:r>
    </w:p>
    <w:p w14:paraId="71E27949" w14:textId="77777777" w:rsidR="0098512C" w:rsidRDefault="0098512C" w:rsidP="0098512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E05020" w14:textId="77777777" w:rsidR="0098512C" w:rsidRDefault="0098512C" w:rsidP="0098512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66C19E4" w14:textId="4A89CA79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98512C">
        <w:rPr>
          <w:rFonts w:ascii="Times New Roman" w:hAnsi="Times New Roman"/>
          <w:bCs/>
          <w:sz w:val="24"/>
          <w:szCs w:val="24"/>
        </w:rPr>
        <w:t xml:space="preserve">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mbajtur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Qershor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2022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mjediset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operatorëve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privatë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sektorit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janë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prezantuar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gjetjet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legjislacion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praktikat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faktike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marrëdhëniet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furnizuesve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lëndëve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para,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pikat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grumbullimit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agropërpunuesve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institucioneve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mikrofinancës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operatorët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sqaruan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këto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instrumente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zbatoheshin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“de facto”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mënyrë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sporadike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kreditorët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nuk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kishin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asnjë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garanci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drejta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tyre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kthimin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shkëmbimi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produkte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bujqësore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ishte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garantuar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Rregullimi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tillë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ligjor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këtyre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aspekteve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do ta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intensifikonte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marrëdhënie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tregtare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përfitime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palët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</w:p>
    <w:p w14:paraId="7C29EB6F" w14:textId="77777777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98512C">
        <w:rPr>
          <w:rFonts w:ascii="Times New Roman" w:hAnsi="Times New Roman"/>
          <w:bCs/>
          <w:sz w:val="24"/>
          <w:szCs w:val="24"/>
        </w:rPr>
        <w:t xml:space="preserve">Takim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mbajtur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29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Qershor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2022,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mjediset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Hotel “Plaza”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Tiranë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pranishëm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ishin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Ministrja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Rural,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lartë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operatorëve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privatë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sektorit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përmendur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lart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prezantua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raporti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hartuar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legjislacionin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ekzistues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praktikat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perspektivat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dëftesat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tregtare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produktin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ardhshëm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magazinuar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Shqipëri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”,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miratua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plani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veprimit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vijimin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punës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hartimin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ligjit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zbatimin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efikas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tij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</w:p>
    <w:p w14:paraId="6F39F696" w14:textId="77777777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Takim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19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korrik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MBZHR-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Shqipërisë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ekspertëve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IFC-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L.Qorlazja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Z. V. </w:t>
      </w:r>
      <w:proofErr w:type="gramStart"/>
      <w:r w:rsidRPr="0098512C">
        <w:rPr>
          <w:rFonts w:ascii="Times New Roman" w:hAnsi="Times New Roman"/>
          <w:bCs/>
          <w:sz w:val="24"/>
          <w:szCs w:val="24"/>
        </w:rPr>
        <w:t xml:space="preserve">Hoti,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. B. Kraja, z. G. Ziu,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A. </w:t>
      </w:r>
      <w:proofErr w:type="gramStart"/>
      <w:r w:rsidRPr="0098512C">
        <w:rPr>
          <w:rFonts w:ascii="Times New Roman" w:hAnsi="Times New Roman"/>
          <w:bCs/>
          <w:sz w:val="24"/>
          <w:szCs w:val="24"/>
        </w:rPr>
        <w:t xml:space="preserve">Gjongecaj 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proofErr w:type="gram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ambjentet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Drejtësisë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cilët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përfaqësoheshin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z. B. Beja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E. Rama.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diskutua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konceptet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teknika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legjislative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risia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sjell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kjo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politikë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re,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struktura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draftit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Komentet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sugjerimet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MD-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morën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parasysh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reflektuan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</w:p>
    <w:p w14:paraId="1DB5BCAC" w14:textId="77777777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Kontribut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vijues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ka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dhënë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Shoqata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Shqiptare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Dhoma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Kombëtare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Përmbaruesve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Gjyqësor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Privatë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cilët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dhënë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mendime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shkrim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përmirësimin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</w:p>
    <w:p w14:paraId="6013E6C7" w14:textId="77777777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dërguar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mendim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operatorëve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privatë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gjatë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muajit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Korrik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2023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datën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20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Korrik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2023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është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mbajtur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një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zgjeruar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ta,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mjediset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Ministrisë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Bujqësisë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Rural,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diskutua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variantin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përfundimtar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pranishmit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shprehën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mendimet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tyre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lidhje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problemet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eventuale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mund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ketë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zbatim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instrumentet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financiare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parashikuara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do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jenë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komplet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elektronike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nëpërmjet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e-Albania-s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nganjëherë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pamundësi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objektive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plotësuar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duhet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aplikimet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elektronike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online. </w:t>
      </w:r>
    </w:p>
    <w:p w14:paraId="76894764" w14:textId="77777777" w:rsidR="0098512C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pranishëmve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iu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sërish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një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afat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arsyeshëm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sjellë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komente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apo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sugjerime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mbi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projektligjin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. </w:t>
      </w:r>
    </w:p>
    <w:p w14:paraId="31A7E8E0" w14:textId="0B84C523" w:rsidR="00B35C54" w:rsidRPr="0098512C" w:rsidRDefault="0098512C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512C">
        <w:rPr>
          <w:rFonts w:ascii="Times New Roman" w:hAnsi="Times New Roman"/>
          <w:bCs/>
          <w:sz w:val="24"/>
          <w:szCs w:val="24"/>
        </w:rPr>
        <w:t xml:space="preserve">Nga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zhvilluara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katër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prej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tyre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me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pjesëmarrje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zgjeruar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konsultative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grupeve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interesit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bankave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niveleve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para,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përfaqësues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shoqatave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fermerësh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sipërmarrës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pikave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grumbullimit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etj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takime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këto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që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kanë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patur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edhe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pasqyrimin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përkatës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mediatik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faqet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online,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të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institucioneve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8512C">
        <w:rPr>
          <w:rFonts w:ascii="Times New Roman" w:hAnsi="Times New Roman"/>
          <w:bCs/>
          <w:sz w:val="24"/>
          <w:szCs w:val="24"/>
        </w:rPr>
        <w:t>bashkëorganizuese</w:t>
      </w:r>
      <w:proofErr w:type="spellEnd"/>
      <w:r w:rsidRPr="0098512C">
        <w:rPr>
          <w:rFonts w:ascii="Times New Roman" w:hAnsi="Times New Roman"/>
          <w:bCs/>
          <w:sz w:val="24"/>
          <w:szCs w:val="24"/>
        </w:rPr>
        <w:t>.</w:t>
      </w:r>
    </w:p>
    <w:p w14:paraId="67D1CF18" w14:textId="7702B0B8" w:rsidR="00B35C54" w:rsidRPr="0098512C" w:rsidRDefault="00B35C54" w:rsidP="00DD5E3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CA08E2" w14:textId="6832F395" w:rsidR="00DD5E30" w:rsidRDefault="00DD5E30" w:rsidP="0098512C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5B778B8" w14:textId="77777777" w:rsidR="00B447DB" w:rsidRPr="00B447DB" w:rsidRDefault="00B447DB" w:rsidP="00B447DB"/>
    <w:p w14:paraId="2E286177" w14:textId="45972743" w:rsidR="0098512C" w:rsidRPr="0098512C" w:rsidRDefault="00DD5E30" w:rsidP="0098512C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8512C" w:rsidRPr="0098512C">
        <w:rPr>
          <w:rFonts w:ascii="Times New Roman" w:hAnsi="Times New Roman" w:cs="Times New Roman"/>
          <w:sz w:val="24"/>
          <w:szCs w:val="24"/>
        </w:rPr>
        <w:t>“PROJEKTLIGJ “PËR DËFTESAT TREGËTARE MBI PRODUKTET BUJQËSORE”</w:t>
      </w:r>
    </w:p>
    <w:p w14:paraId="2DF7A42A" w14:textId="646FABC9" w:rsidR="0098512C" w:rsidRDefault="0098512C" w:rsidP="001B39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E1FCD" w14:textId="77777777" w:rsidR="00274B83" w:rsidRDefault="00274B83" w:rsidP="001B398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4586DD" w14:textId="2DF5478E" w:rsidR="00A5349F" w:rsidRDefault="005B6D2B" w:rsidP="001B398A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1B398A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Pr="001B398A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3634796F" w14:textId="77777777" w:rsidR="00A5349F" w:rsidRDefault="00A5349F" w:rsidP="001B398A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B5A388" w14:textId="734DBF7A" w:rsidR="00A5349F" w:rsidRPr="0098512C" w:rsidRDefault="001B398A" w:rsidP="0098512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Nga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konsutlimi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publik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kryer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Regjistrin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zbatim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t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 146/2014 “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r>
        <w:rPr>
          <w:rFonts w:ascii="Times New Roman" w:hAnsi="Times New Roman"/>
          <w:i/>
          <w:iCs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njoftimin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konsultimin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publik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kan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ardhur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sugjerime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Rrjeti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Shqiptar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r>
        <w:rPr>
          <w:rFonts w:ascii="Times New Roman" w:hAnsi="Times New Roman"/>
          <w:i/>
          <w:iCs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Zhvillimin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Rural (ANRD)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5349F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Barr</w:t>
      </w:r>
      <w:r w:rsidR="00A5349F">
        <w:rPr>
          <w:rFonts w:ascii="Times New Roman" w:hAnsi="Times New Roman"/>
          <w:i/>
          <w:iCs/>
          <w:sz w:val="24"/>
          <w:szCs w:val="24"/>
        </w:rPr>
        <w:t>ë</w:t>
      </w:r>
      <w:r>
        <w:rPr>
          <w:rFonts w:ascii="Times New Roman" w:hAnsi="Times New Roman"/>
          <w:i/>
          <w:iCs/>
          <w:sz w:val="24"/>
          <w:szCs w:val="24"/>
        </w:rPr>
        <w:t>ve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Siguruese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5349F">
        <w:rPr>
          <w:rFonts w:ascii="Times New Roman" w:hAnsi="Times New Roman"/>
          <w:i/>
          <w:iCs/>
          <w:sz w:val="24"/>
          <w:szCs w:val="24"/>
        </w:rPr>
        <w:t>(RBS).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Kometet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shqyrtuan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pasqyruan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sëbashku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statusin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përkatës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tabelës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në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shtojcën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42EE9">
        <w:rPr>
          <w:rFonts w:ascii="Times New Roman" w:hAnsi="Times New Roman"/>
          <w:i/>
          <w:iCs/>
          <w:sz w:val="24"/>
          <w:szCs w:val="24"/>
        </w:rPr>
        <w:t>bashkëlidhur</w:t>
      </w:r>
      <w:proofErr w:type="spellEnd"/>
      <w:r w:rsidR="00842EE9">
        <w:rPr>
          <w:rFonts w:ascii="Times New Roman" w:hAnsi="Times New Roman"/>
          <w:i/>
          <w:iCs/>
          <w:sz w:val="24"/>
          <w:szCs w:val="24"/>
        </w:rPr>
        <w:t>.</w:t>
      </w:r>
    </w:p>
    <w:p w14:paraId="48130629" w14:textId="1CE03940" w:rsidR="00A5349F" w:rsidRDefault="00A5349F" w:rsidP="0098512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0072C5" w14:textId="003FE848" w:rsidR="00A5349F" w:rsidRDefault="00A5349F" w:rsidP="00922D7A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C4E8C8E" w14:textId="56E32BC2" w:rsidR="00A5349F" w:rsidRPr="00A5349F" w:rsidRDefault="00A5349F" w:rsidP="005B6D2B">
      <w:pPr>
        <w:ind w:left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</w:t>
      </w:r>
      <w:r w:rsidRPr="00A5349F">
        <w:rPr>
          <w:rFonts w:ascii="Times New Roman" w:hAnsi="Times New Roman"/>
          <w:b/>
          <w:i/>
          <w:iCs/>
          <w:sz w:val="24"/>
          <w:szCs w:val="24"/>
        </w:rPr>
        <w:t>SHTOJC</w:t>
      </w:r>
      <w:r>
        <w:rPr>
          <w:rFonts w:ascii="Times New Roman" w:hAnsi="Times New Roman"/>
          <w:b/>
          <w:i/>
          <w:iCs/>
          <w:sz w:val="24"/>
          <w:szCs w:val="24"/>
        </w:rPr>
        <w:t>Ë</w:t>
      </w:r>
      <w:r w:rsidRPr="00A5349F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14:paraId="3E47046F" w14:textId="77777777" w:rsidR="00A5349F" w:rsidRPr="002A3FAE" w:rsidRDefault="00A5349F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102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775"/>
        <w:gridCol w:w="1390"/>
        <w:gridCol w:w="1376"/>
        <w:gridCol w:w="2243"/>
      </w:tblGrid>
      <w:tr w:rsidR="001B6B3C" w:rsidRPr="001B6B3C" w14:paraId="7A17DA7F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6794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Çështja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e 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76FE8A6E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psh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përkufizimi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…,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kushtet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e…,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rregullimi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…,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8CDB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Komenti</w:t>
            </w:r>
            <w:proofErr w:type="spellEnd"/>
          </w:p>
          <w:p w14:paraId="225580CE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grumbulloni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përmblidhni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komente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identike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ngjashme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palët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ndryshme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interesuara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bashku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311B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Palët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interesuara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renditni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ata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adresuan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çështjen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mënyrë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ngjashme</w:t>
            </w:r>
            <w:proofErr w:type="spellEnd"/>
            <w:r w:rsidRPr="001B6B3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C396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Vendimi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(I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pranuar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/I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pranuar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pjesërisht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/I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refuzuar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FEC1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Justifikimi</w:t>
            </w:r>
            <w:proofErr w:type="spellEnd"/>
          </w:p>
        </w:tc>
      </w:tr>
      <w:tr w:rsidR="001B6B3C" w:rsidRPr="001B6B3C" w14:paraId="545EBD77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6AC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Terminologjia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3C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Terminologjia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qartësisht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kuptueshme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Qartësia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përmbajtjes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funksionalitetin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Terma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ceduesi</w:t>
            </w:r>
            <w:proofErr w:type="spellEnd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”,  “</w:t>
            </w:r>
            <w:proofErr w:type="spellStart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>cesionari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zëvendësuar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shqip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148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F8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F3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hulumtim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terminologjisë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legjislative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ceduesi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”,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cesionari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hasen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civile KC,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504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hartimin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kontratave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3826E1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sëDrejtësisë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kundërshtuar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kuptim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teknikës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legjislative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14:paraId="5D384FE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Megjithatë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grupi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ka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thjeshtimit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kuptueshmërisë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projektdraftit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1B42839F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68E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mënyra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kryerjes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mënyrën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përmbushet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F1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thuhet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: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përmbushet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kryerjen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pagesës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llogarinë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bankare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apo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para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kufirit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lejuar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nr. 9920,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19. 05. 2008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tatimore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Republikën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Blerja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para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përfshin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vogël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krijon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lehtësi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shitësin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blerësin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përcaktim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blerë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para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nr. 9920,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19. 05. 2008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tatimore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Republikën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Shqipërisë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E69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819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Pranuar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D6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17A37C57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4C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Pagesat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dëmtimit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mallrave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magazionuara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09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10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parashikohet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kush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paguan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mallrat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dëmtuara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magazinuara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042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BC6F" w14:textId="7429209C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A9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ngrini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kontratën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dispozitave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Kodit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Civil. </w:t>
            </w:r>
          </w:p>
        </w:tc>
      </w:tr>
      <w:tr w:rsidR="001B6B3C" w:rsidRPr="001B6B3C" w14:paraId="479C9BF9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9A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Garancitë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cesionarit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kreditorit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FB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>Neni 13,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cesionari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magazinuar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shuma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ka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depozituesi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përndryshe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fundit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humbet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pronësisë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magazinuara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emertim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dyfishte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? Ne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titull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Cesionari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ndryshëm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ndërsa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pikën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njëjtë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946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DB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24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2711ABBE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4C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Sistemet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referuese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Brazilit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Ukrainës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shërbyer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model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kësaj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politike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re.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B20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referuese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traditat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Brazilit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Ukrainës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thelbësore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njihen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bankare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ishin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Brazili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Ukraina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momentin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aplikuan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instrumenta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financiarë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krahasohen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situatën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aktuale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ndodhet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Shqipëria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141B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DFF" w14:textId="5D8C7298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>Pranuar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F8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1B6B3C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Grupi i punës së IFC-së  ka hartuar një raport të hollësishëm ku i ka analizuar çështjet që iu shtroni dhe në të cilin është parashtruar dhe përshtatshmëria e këtij instrumenti në kontekstin e sektorit të bujqësisë në Shqipëri. Në Brazil dhe Ukrainë, edhe pse janë tregje të mëdha, numri i fermerëve me sipërfaqe të vogël është i konsiderueshëm (psh në Ukrainë jo më pak se 70% e fermerëve kanë sipërfaqe rreth 2 ha) dhe ky instrument ka shërbyer më së miri për rritjen e financimit për fermerët e vegjël. </w:t>
            </w:r>
          </w:p>
        </w:tc>
      </w:tr>
      <w:tr w:rsidR="001B6B3C" w:rsidRPr="001B6B3C" w14:paraId="117622D8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517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Qëndrime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skeptike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4D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skeptikë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mundësive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shkak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riskut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shoqëron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prodhimin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blegtoral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ardhshëm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paparashikueshme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ecuria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sipërfaqet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kultivuara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fushë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hapur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stabiliteti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tregjet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shitjes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tillë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vështirë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aksesueshëm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vogla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Shqipëri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6BC7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51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8937F" w14:textId="6C2F8F3D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36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Grupi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punës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përbërë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IFC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përfaqësues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MBZHR ka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pasqyruara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dokumentin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RIA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ishte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faqen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jo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linjës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aktorë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zinxhirit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grumbullues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biznesmenë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qëndrimet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pozitive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vlefshme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draftligj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Siç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pasqyruar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RIA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relacion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marrëdhënia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objekt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gjetur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egzistuese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terren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metodë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kolateralin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klasik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sektori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bankar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aktorë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zinxhirit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agropërpunuesit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grumbulluesit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fenomene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fakt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shohim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zbatohen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sot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praktikë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paformalizuar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ekspozon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risqeve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respektimit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marrëveshjeve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fundmi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(insurance)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ulte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risqet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inherente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sektorin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B6B3C" w:rsidRPr="001B6B3C" w14:paraId="75767BDC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E90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Sigurimi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00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negativ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domosdoshmëri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futur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kompanitë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Përfshirja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moment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kolateralit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real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përmbaruesit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gjyqësor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komod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vegjël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paraqiten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grupi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vulnerabël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fjalë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aksesin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Sugjerohet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ndërhyrja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garantues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7221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E5F" w14:textId="12BCF3DB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8F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Shqetësimi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Përveç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parashikuar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kontratën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ndahen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debitorit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përballohen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secili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1B6B3C" w:rsidRPr="001B6B3C" w14:paraId="36271134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FD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Ҫështje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rëndësishme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4F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ekspertëve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magazinuar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ardhshëm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qëndron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kolateral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sepse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gjendje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ndryshueshme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Por,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magazinuar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pranohej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kolateral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nevojitet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detajuar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cdo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fazë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prodhimit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filluar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farave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fidanëve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praktikat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vjeljes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përpunimit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produktit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558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Rrjeti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Shqiptar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per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Zhvillimin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Rural (ANRD)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F5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570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shtohet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hollësishëm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vijim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normative,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element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thelbësor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E6827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propozimin</w:t>
            </w:r>
            <w:proofErr w:type="spellEnd"/>
          </w:p>
        </w:tc>
      </w:tr>
      <w:tr w:rsidR="001B6B3C" w:rsidRPr="001B6B3C" w14:paraId="4BB9CA6C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DC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3D270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tregëtare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40C8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dispozitë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pika 6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vijim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del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qartë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referohet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vijohet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ende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tyre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;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dyfishtë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apo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eliminohet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duke u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mjaftuar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e-Albania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651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D38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E04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3, pika 5, I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njëjti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përsëritur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pikën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6,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projektdraft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B6B3C" w:rsidRPr="001B6B3C" w14:paraId="01198116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934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Zëvëndësimi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Tregëtare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RBS.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CCF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zëvëndësuar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Regjister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ofron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RBS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nr. 8537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18.10.1999,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4E87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5E6" w14:textId="7D0FE47E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</w:t>
            </w:r>
            <w:r w:rsidR="002702E0">
              <w:rPr>
                <w:rFonts w:ascii="Times New Roman" w:hAnsi="Times New Roman"/>
                <w:sz w:val="24"/>
                <w:szCs w:val="24"/>
              </w:rPr>
              <w:t>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5F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Ky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3, pika 13,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</w:p>
        </w:tc>
      </w:tr>
      <w:tr w:rsidR="001B6B3C" w:rsidRPr="001B6B3C" w14:paraId="5FE00116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8F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Nënshkrimi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C3A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Nënshkrimi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shumica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krijojë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problematika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                  Si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veprohet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toka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bashkëpronësi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shfrytëzohet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njeri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investon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gjithcka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investim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cfare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cilësie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nenshkruajnë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deftesen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bujqesore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bashkepronarët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tjerë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kontribut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aktivitet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bujqesor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?                                                 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Sugjerohet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hiqet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pjesa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ngjyrosur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ngjyrë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verdhe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kontrata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dhenies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përdorim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mendoj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nënshkruhet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pjesa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ka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dhene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ngrejë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pretendime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cdo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moment.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E4D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804" w14:textId="5463BFD5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="001B6B3C"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C90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kontrata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dhënien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tokës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përdorim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nënshkruhet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paktën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50%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tokës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bllokuar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tokës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Ky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parashikim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konform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203,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Kodit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Civil. Po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lëshohet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disa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debitorrë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bashkëpronarët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përfshihen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52F6C49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</w:tr>
      <w:tr w:rsidR="001B6B3C" w:rsidRPr="001B6B3C" w14:paraId="365F91C1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7FFC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BBF7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tashmë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posacëm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nr. 8537 dt.18.10.1999 "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F45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A0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99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4, pika 5,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përsëritur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11, pika 4.</w:t>
            </w:r>
          </w:p>
        </w:tc>
      </w:tr>
      <w:tr w:rsidR="001B6B3C" w:rsidRPr="001B6B3C" w14:paraId="30FAA915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92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saktësohet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emri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8C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saktësohet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emri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A811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49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CF7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9, pika 3,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37B4078D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CF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9DF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tashmë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posacëm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 8537 dt.18.10.1999 "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"(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))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56D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924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2C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11, pika 4,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015E986A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757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Kryerja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34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mbahen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17, pika 3.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Serish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sugjeronim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kryhej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miratimit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ana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arsye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E76A794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Shmang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debitimin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dyfishtë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ana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debitorit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1907AD5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r w:rsidRPr="001B6B3C">
              <w:rPr>
                <w:rFonts w:ascii="Times New Roman" w:hAnsi="Times New Roman"/>
                <w:sz w:val="24"/>
                <w:szCs w:val="24"/>
              </w:rPr>
              <w:t xml:space="preserve">2. Jep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saktë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aktual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gjendjen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sendit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barrësuar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apo jo,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deftëseës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menjëhere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marrjes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Rbs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7F08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33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26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17, pika 3,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16DFD5B9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70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Bankat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mikrofinanciare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kryejnë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fshirjet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E9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mbahet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fakti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shpesh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likujduar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bankat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institucionet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mikrofinanciare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kryejnë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fshirjet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regjistruara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ditor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likujdimit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detyrimit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28, pika l)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vijuese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 8537 dt 18.10.1999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ndodhemi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këtyre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rralla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ateherë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pezullim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procedurave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projektligji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deftesat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produktet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barrëmarresi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mëparshem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fshirjen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rikërkim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mënyr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rezultati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dalë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0.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klienti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tarifohet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herë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E66C0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4634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75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DE0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17, pika 3,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merret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konsideratë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reflektuar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draft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propozim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nënligjore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përcaktojnë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afate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qarta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fshirjen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27410B4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B1B8E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0E9AB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2CF9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F30E5A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7A7081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3AEE9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3C" w:rsidRPr="001B6B3C" w14:paraId="24F618F5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CE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Veprimet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komform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Urdhërit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 493 dt 06.07.2006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9FF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Konform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Urdhërit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 493 dt 06.07.2006 “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veprimet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fillestar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mëpasshme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fillestar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vetem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barrëmarresi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kreditori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mungese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person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përfaqëson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barrëmarrësin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përfaqësimi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proofErr w:type="gram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vënd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barrëmarrësit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krijojë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praktikës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deritanishme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konfuzion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personat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ligjshëm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614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12E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B7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17, pika 3.</w:t>
            </w:r>
          </w:p>
          <w:p w14:paraId="2A8DF207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kompetencë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nisur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konsulta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AKSHI-n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automatik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pa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ndërhyrje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njerëzve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zinxhirin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RBS.</w:t>
            </w:r>
          </w:p>
          <w:p w14:paraId="228AADC4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390D0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B56A5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BD1FD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7B303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B3C" w:rsidRPr="001B6B3C" w14:paraId="648A40D3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A7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Saktësimi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Bujqesore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0F8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saktësohet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Bujqesore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rradhë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veprimesh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DT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e-Albania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përfunduar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proces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gjeneruar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Bujqësore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përmbajë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ndonjë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serial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identifikues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datën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etj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.,)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rëndohet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CB76" w14:textId="77777777" w:rsidR="001B6B3C" w:rsidRPr="001B6B3C" w:rsidRDefault="001B6B3C" w:rsidP="001B6B3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0F6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810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18, pika 2,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gërma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“b”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“c”.</w:t>
            </w:r>
          </w:p>
        </w:tc>
      </w:tr>
      <w:tr w:rsidR="001B6B3C" w:rsidRPr="001B6B3C" w14:paraId="7687CB99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7E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Lëshimi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ekstrakteve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përgjegjëse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Tregëtare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MBZHR.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54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Njësia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lëshojë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ekstrakte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institucion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pavarur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funksionon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legjislacionit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Gjithashtu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lëshon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ekstraktime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dokumentacioni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Vertetime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kerkimi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njoftimit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A, C, E);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Vërtetime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ndryshimeve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njoftimeve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B)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Kerkimi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përmes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njoftimeve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D).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lastRenderedPageBreak/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dokumente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gjenerohen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automatikisht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baza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dhënave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asnjëhere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formë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ekstraktuar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cënonte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drejtën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informimit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tretet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DFF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B0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F2D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hequr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kompetencë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6B3C" w:rsidRPr="001B6B3C" w14:paraId="3AEC3BD8" w14:textId="77777777" w:rsidTr="0095159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D02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Ofrimi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RBS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njësinë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përgjegjëse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Tregëtare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MBZHR.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C75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Kërkimi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ana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Njësise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derivojnë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Ndërkohe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rikujtojmë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ofrohen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ana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bërë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nenit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teëUrdhrit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nr 493, date 06.07.2006 "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Rregullores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".</w:t>
            </w:r>
          </w:p>
          <w:p w14:paraId="04A6991C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Kryeregjistruesi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bëjë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marrëveshje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çdo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person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mënyrën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tarifave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Kjo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marrëveshje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parashikojë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depozitimin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shume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mbahet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cila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debitohen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tarifat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4C67E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Tarifat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jepen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Udhëzuesin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Kryeregjistruesit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paguhen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Regjistrit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44F" w14:textId="77777777" w:rsidR="001B6B3C" w:rsidRPr="001B6B3C" w:rsidRDefault="001B6B3C" w:rsidP="001B6B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Regjistri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Barrëve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>Siguruese</w:t>
            </w:r>
            <w:proofErr w:type="spellEnd"/>
            <w:r w:rsidRPr="001B6B3C">
              <w:rPr>
                <w:rFonts w:ascii="Times New Roman" w:hAnsi="Times New Roman"/>
                <w:b/>
                <w:sz w:val="24"/>
                <w:szCs w:val="24"/>
              </w:rPr>
              <w:t xml:space="preserve"> (RBS)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E8B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C8FE26" w14:textId="04B4FA5C" w:rsidR="001B6B3C" w:rsidRPr="001B6B3C" w:rsidRDefault="002702E0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7F9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pagesave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rregulluar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nënligjor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ministrit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gjejë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rregullim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ligj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ndaj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diskutohet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nënligjore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B321213" w14:textId="77777777" w:rsidR="001B6B3C" w:rsidRPr="001B6B3C" w:rsidRDefault="001B6B3C" w:rsidP="001B6B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Synimi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Shteti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t’jua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ofrojë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pa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asnjë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pagesë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shërbime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dëftesat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tregtare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fermerëve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subjekteve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zinxhirin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vlerës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B3C"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 w:rsidRPr="001B6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BB8A9DC" w14:textId="77777777" w:rsidR="005B6D2B" w:rsidRPr="002A3FAE" w:rsidRDefault="005B6D2B">
      <w:pPr>
        <w:rPr>
          <w:rFonts w:ascii="Times New Roman" w:hAnsi="Times New Roman"/>
          <w:sz w:val="24"/>
          <w:szCs w:val="24"/>
        </w:rPr>
      </w:pPr>
    </w:p>
    <w:sectPr w:rsidR="005B6D2B" w:rsidRPr="002A3FAE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81ED1" w14:textId="77777777" w:rsidR="00272ED1" w:rsidRDefault="00272ED1" w:rsidP="00F27A26">
      <w:r>
        <w:separator/>
      </w:r>
    </w:p>
  </w:endnote>
  <w:endnote w:type="continuationSeparator" w:id="0">
    <w:p w14:paraId="3E83DA50" w14:textId="77777777" w:rsidR="00272ED1" w:rsidRDefault="00272ED1" w:rsidP="00F2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4EB0" w14:textId="77777777" w:rsidR="00272ED1" w:rsidRDefault="00272ED1" w:rsidP="00F27A26">
      <w:r>
        <w:separator/>
      </w:r>
    </w:p>
  </w:footnote>
  <w:footnote w:type="continuationSeparator" w:id="0">
    <w:p w14:paraId="08EBC383" w14:textId="77777777" w:rsidR="00272ED1" w:rsidRDefault="00272ED1" w:rsidP="00F27A26">
      <w:r>
        <w:continuationSeparator/>
      </w:r>
    </w:p>
  </w:footnote>
  <w:footnote w:id="1">
    <w:p w14:paraId="5603B05D" w14:textId="43936570" w:rsidR="000700DB" w:rsidRPr="000700DB" w:rsidRDefault="000700D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proofErr w:type="spellStart"/>
      <w:r w:rsidR="00B56354">
        <w:rPr>
          <w:rFonts w:ascii="Times New Roman" w:hAnsi="Times New Roman"/>
        </w:rPr>
        <w:t>Në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Shtojcën</w:t>
      </w:r>
      <w:proofErr w:type="spellEnd"/>
      <w:r w:rsidR="00B56354">
        <w:rPr>
          <w:rFonts w:ascii="Times New Roman" w:hAnsi="Times New Roman"/>
        </w:rPr>
        <w:t xml:space="preserve"> e </w:t>
      </w:r>
      <w:proofErr w:type="spellStart"/>
      <w:r w:rsidR="00B56354">
        <w:rPr>
          <w:rFonts w:ascii="Times New Roman" w:hAnsi="Times New Roman"/>
        </w:rPr>
        <w:t>këtij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raporti</w:t>
      </w:r>
      <w:proofErr w:type="spellEnd"/>
      <w:r w:rsidR="00B56354">
        <w:rPr>
          <w:rFonts w:ascii="Times New Roman" w:hAnsi="Times New Roman"/>
        </w:rPr>
        <w:t xml:space="preserve">, do </w:t>
      </w:r>
      <w:proofErr w:type="spellStart"/>
      <w:r w:rsidR="00B56354">
        <w:rPr>
          <w:rFonts w:ascii="Times New Roman" w:hAnsi="Times New Roman"/>
        </w:rPr>
        <w:t>të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gjeni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në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një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përmbledhje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kronologjike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disa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nga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takimet</w:t>
      </w:r>
      <w:proofErr w:type="spellEnd"/>
      <w:r w:rsidR="00B56354">
        <w:rPr>
          <w:rFonts w:ascii="Times New Roman" w:hAnsi="Times New Roman"/>
        </w:rPr>
        <w:t xml:space="preserve"> </w:t>
      </w:r>
      <w:proofErr w:type="spellStart"/>
      <w:r w:rsidR="00B56354">
        <w:rPr>
          <w:rFonts w:ascii="Times New Roman" w:hAnsi="Times New Roman"/>
        </w:rPr>
        <w:t>konsultative</w:t>
      </w:r>
      <w:proofErr w:type="spellEnd"/>
      <w:r w:rsidR="00B56354">
        <w:rPr>
          <w:rFonts w:ascii="Times New Roman" w:hAnsi="Times New Roman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C0502"/>
    <w:multiLevelType w:val="hybridMultilevel"/>
    <w:tmpl w:val="70F4D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52F"/>
    <w:multiLevelType w:val="hybridMultilevel"/>
    <w:tmpl w:val="E2FA0B06"/>
    <w:lvl w:ilvl="0" w:tplc="FF6456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AE3BD1"/>
    <w:multiLevelType w:val="hybridMultilevel"/>
    <w:tmpl w:val="E3CE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E3169"/>
    <w:multiLevelType w:val="hybridMultilevel"/>
    <w:tmpl w:val="B0C0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022F2"/>
    <w:multiLevelType w:val="hybridMultilevel"/>
    <w:tmpl w:val="8C38D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3F8F"/>
    <w:multiLevelType w:val="hybridMultilevel"/>
    <w:tmpl w:val="2E865938"/>
    <w:lvl w:ilvl="0" w:tplc="8BEA32B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34EF7"/>
    <w:multiLevelType w:val="hybridMultilevel"/>
    <w:tmpl w:val="4B80C568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B6559F"/>
    <w:multiLevelType w:val="hybridMultilevel"/>
    <w:tmpl w:val="E6644368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30A56"/>
    <w:multiLevelType w:val="hybridMultilevel"/>
    <w:tmpl w:val="7C1CE5A4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2999"/>
    <w:multiLevelType w:val="hybridMultilevel"/>
    <w:tmpl w:val="0BBEF33A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6452">
    <w:abstractNumId w:val="0"/>
  </w:num>
  <w:num w:numId="2" w16cid:durableId="987441694">
    <w:abstractNumId w:val="5"/>
  </w:num>
  <w:num w:numId="3" w16cid:durableId="62413433">
    <w:abstractNumId w:val="9"/>
  </w:num>
  <w:num w:numId="4" w16cid:durableId="940458502">
    <w:abstractNumId w:val="3"/>
  </w:num>
  <w:num w:numId="5" w16cid:durableId="2045206688">
    <w:abstractNumId w:val="1"/>
  </w:num>
  <w:num w:numId="6" w16cid:durableId="88545038">
    <w:abstractNumId w:val="12"/>
  </w:num>
  <w:num w:numId="7" w16cid:durableId="660544828">
    <w:abstractNumId w:val="11"/>
  </w:num>
  <w:num w:numId="8" w16cid:durableId="543711935">
    <w:abstractNumId w:val="7"/>
  </w:num>
  <w:num w:numId="9" w16cid:durableId="550384177">
    <w:abstractNumId w:val="6"/>
  </w:num>
  <w:num w:numId="10" w16cid:durableId="1289362774">
    <w:abstractNumId w:val="4"/>
  </w:num>
  <w:num w:numId="11" w16cid:durableId="618413990">
    <w:abstractNumId w:val="2"/>
  </w:num>
  <w:num w:numId="12" w16cid:durableId="1437024273">
    <w:abstractNumId w:val="10"/>
  </w:num>
  <w:num w:numId="13" w16cid:durableId="1314522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7AEB"/>
    <w:rsid w:val="00020075"/>
    <w:rsid w:val="0004166D"/>
    <w:rsid w:val="000700DB"/>
    <w:rsid w:val="00070D6F"/>
    <w:rsid w:val="000877F6"/>
    <w:rsid w:val="00092380"/>
    <w:rsid w:val="00094BF4"/>
    <w:rsid w:val="001202AC"/>
    <w:rsid w:val="0018241C"/>
    <w:rsid w:val="00196392"/>
    <w:rsid w:val="001B398A"/>
    <w:rsid w:val="001B6B3C"/>
    <w:rsid w:val="00260E60"/>
    <w:rsid w:val="002702E0"/>
    <w:rsid w:val="00271EED"/>
    <w:rsid w:val="00272ED1"/>
    <w:rsid w:val="00274B83"/>
    <w:rsid w:val="00282D52"/>
    <w:rsid w:val="002878EE"/>
    <w:rsid w:val="002A3FAE"/>
    <w:rsid w:val="002B161B"/>
    <w:rsid w:val="002D6334"/>
    <w:rsid w:val="00332DB4"/>
    <w:rsid w:val="003B5844"/>
    <w:rsid w:val="003C5BA3"/>
    <w:rsid w:val="003F3C10"/>
    <w:rsid w:val="003F5E5B"/>
    <w:rsid w:val="003F68AF"/>
    <w:rsid w:val="00403769"/>
    <w:rsid w:val="00435429"/>
    <w:rsid w:val="00445CC3"/>
    <w:rsid w:val="00464C53"/>
    <w:rsid w:val="004715FA"/>
    <w:rsid w:val="004B0315"/>
    <w:rsid w:val="004C711D"/>
    <w:rsid w:val="004D7B85"/>
    <w:rsid w:val="004E2542"/>
    <w:rsid w:val="004E59C3"/>
    <w:rsid w:val="00515368"/>
    <w:rsid w:val="00523A47"/>
    <w:rsid w:val="00537061"/>
    <w:rsid w:val="005B1920"/>
    <w:rsid w:val="005B6D2B"/>
    <w:rsid w:val="00656BB0"/>
    <w:rsid w:val="00662994"/>
    <w:rsid w:val="00666D0E"/>
    <w:rsid w:val="006F3BE0"/>
    <w:rsid w:val="00741C60"/>
    <w:rsid w:val="00750190"/>
    <w:rsid w:val="00765F3C"/>
    <w:rsid w:val="007755F2"/>
    <w:rsid w:val="007D4B85"/>
    <w:rsid w:val="007F60D5"/>
    <w:rsid w:val="00822577"/>
    <w:rsid w:val="00842EE9"/>
    <w:rsid w:val="00883BAC"/>
    <w:rsid w:val="008A5003"/>
    <w:rsid w:val="008E4BD0"/>
    <w:rsid w:val="008F0C02"/>
    <w:rsid w:val="008F44B1"/>
    <w:rsid w:val="0091093C"/>
    <w:rsid w:val="009114E5"/>
    <w:rsid w:val="00914C1D"/>
    <w:rsid w:val="00922D7A"/>
    <w:rsid w:val="009252E5"/>
    <w:rsid w:val="00927E8D"/>
    <w:rsid w:val="00963283"/>
    <w:rsid w:val="00965584"/>
    <w:rsid w:val="0098512C"/>
    <w:rsid w:val="00990D4C"/>
    <w:rsid w:val="0099536C"/>
    <w:rsid w:val="009B696C"/>
    <w:rsid w:val="009C5E0B"/>
    <w:rsid w:val="00A06DA1"/>
    <w:rsid w:val="00A121AB"/>
    <w:rsid w:val="00A2686A"/>
    <w:rsid w:val="00A331B3"/>
    <w:rsid w:val="00A3438A"/>
    <w:rsid w:val="00A44276"/>
    <w:rsid w:val="00A5349F"/>
    <w:rsid w:val="00A63833"/>
    <w:rsid w:val="00A7153C"/>
    <w:rsid w:val="00A75A2E"/>
    <w:rsid w:val="00AB71A6"/>
    <w:rsid w:val="00B07307"/>
    <w:rsid w:val="00B103FB"/>
    <w:rsid w:val="00B33196"/>
    <w:rsid w:val="00B35C54"/>
    <w:rsid w:val="00B43C57"/>
    <w:rsid w:val="00B44387"/>
    <w:rsid w:val="00B447DB"/>
    <w:rsid w:val="00B51BE4"/>
    <w:rsid w:val="00B56354"/>
    <w:rsid w:val="00B65410"/>
    <w:rsid w:val="00C20DD3"/>
    <w:rsid w:val="00C36BD9"/>
    <w:rsid w:val="00C377C2"/>
    <w:rsid w:val="00C93970"/>
    <w:rsid w:val="00CA7C50"/>
    <w:rsid w:val="00CB3520"/>
    <w:rsid w:val="00CC6A8E"/>
    <w:rsid w:val="00CD29FF"/>
    <w:rsid w:val="00CE65E4"/>
    <w:rsid w:val="00CF12D9"/>
    <w:rsid w:val="00D62ACB"/>
    <w:rsid w:val="00D67E9D"/>
    <w:rsid w:val="00D744B2"/>
    <w:rsid w:val="00D84360"/>
    <w:rsid w:val="00D849E3"/>
    <w:rsid w:val="00DC6629"/>
    <w:rsid w:val="00DD5D4E"/>
    <w:rsid w:val="00DD5E30"/>
    <w:rsid w:val="00E00453"/>
    <w:rsid w:val="00E36A71"/>
    <w:rsid w:val="00E40086"/>
    <w:rsid w:val="00E43D33"/>
    <w:rsid w:val="00E60450"/>
    <w:rsid w:val="00E92D3D"/>
    <w:rsid w:val="00E93729"/>
    <w:rsid w:val="00EE1A78"/>
    <w:rsid w:val="00EF0386"/>
    <w:rsid w:val="00F03EFF"/>
    <w:rsid w:val="00F04B92"/>
    <w:rsid w:val="00F2160E"/>
    <w:rsid w:val="00F27A26"/>
    <w:rsid w:val="00F446C7"/>
    <w:rsid w:val="00F8784F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A95D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14E5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C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7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26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7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26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F0C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F0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0D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0DB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70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B6E70B5C381664EB05CF985E8620D69" ma:contentTypeVersion="" ma:contentTypeDescription="" ma:contentTypeScope="" ma:versionID="147891e91f2c1e6fcd4c2d1d31cc6d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0x00156835E643CEB34094FB8FE2DF713BA5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1066/6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A5DF-A8EE-4EB0-9B5E-E6053D7C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DCCE-ECDA-491E-BA70-C024028437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A44EF1-D8B4-4C44-93F9-ABA32F6C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konsultimit publik</vt:lpstr>
    </vt:vector>
  </TitlesOfParts>
  <Company/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konsultimit publik</dc:title>
  <dc:subject/>
  <dc:creator>Microsoft Office User</dc:creator>
  <cp:keywords/>
  <dc:description/>
  <cp:lastModifiedBy>Kjara Vogli</cp:lastModifiedBy>
  <cp:revision>2</cp:revision>
  <dcterms:created xsi:type="dcterms:W3CDTF">2026-06-03T07:47:00Z</dcterms:created>
  <dcterms:modified xsi:type="dcterms:W3CDTF">2026-06-03T07:47:00Z</dcterms:modified>
</cp:coreProperties>
</file>