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150B" w14:textId="4B4533F4" w:rsidR="0051258F" w:rsidRDefault="0051258F" w:rsidP="00155341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457F9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8E6F587" wp14:editId="732BFE59">
            <wp:simplePos x="0" y="0"/>
            <wp:positionH relativeFrom="column">
              <wp:posOffset>-857250</wp:posOffset>
            </wp:positionH>
            <wp:positionV relativeFrom="paragraph">
              <wp:posOffset>-828675</wp:posOffset>
            </wp:positionV>
            <wp:extent cx="7560945" cy="1219200"/>
            <wp:effectExtent l="0" t="0" r="1905" b="0"/>
            <wp:wrapNone/>
            <wp:docPr id="2" name="Picture 1" descr="11-ministria-kultures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-ministria-kultures-Grey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CD1374" w14:textId="77777777" w:rsidR="0051258F" w:rsidRDefault="0051258F" w:rsidP="00155341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14:paraId="02817E94" w14:textId="77777777" w:rsidR="0051258F" w:rsidRDefault="0051258F" w:rsidP="0051258F">
      <w:pPr>
        <w:tabs>
          <w:tab w:val="left" w:pos="2115"/>
          <w:tab w:val="center" w:pos="4533"/>
        </w:tabs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ab/>
      </w:r>
    </w:p>
    <w:p w14:paraId="42DF193E" w14:textId="2BD76D1B" w:rsidR="00C7773E" w:rsidRPr="00510F7A" w:rsidRDefault="0051258F" w:rsidP="0051258F">
      <w:pPr>
        <w:tabs>
          <w:tab w:val="left" w:pos="2115"/>
          <w:tab w:val="center" w:pos="4533"/>
        </w:tabs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ab/>
      </w:r>
      <w:r w:rsidR="00155341" w:rsidRPr="00510F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</w:t>
      </w:r>
      <w:r w:rsidR="00C7773E" w:rsidRPr="00510F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p</w:t>
      </w:r>
      <w:r w:rsidR="00095809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ë</w:t>
      </w:r>
      <w:r w:rsidR="00C7773E" w:rsidRPr="00510F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 rezultatet e konsultimeve publike</w:t>
      </w:r>
    </w:p>
    <w:p w14:paraId="03D83146" w14:textId="77777777" w:rsidR="00C7773E" w:rsidRPr="00510F7A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7E7046D" w14:textId="77777777" w:rsidR="00C7773E" w:rsidRPr="00510F7A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p w14:paraId="14A193B4" w14:textId="0353DBED" w:rsidR="00C7773E" w:rsidRPr="00510F7A" w:rsidRDefault="00155341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Titulli i draft</w:t>
      </w:r>
      <w:r w:rsidR="00C7773E" w:rsidRPr="00510F7A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14:paraId="74000867" w14:textId="70CD7F36" w:rsidR="00155341" w:rsidRPr="004F3B88" w:rsidRDefault="00155341" w:rsidP="003721A3">
      <w:pPr>
        <w:ind w:left="360"/>
        <w:jc w:val="both"/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</w:pPr>
      <w:r w:rsidRPr="003721A3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“P</w:t>
      </w:r>
      <w:r w:rsidR="00095809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ë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r disa shtesa dhe ndryshime n</w:t>
      </w:r>
      <w:r w:rsidR="00095809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ë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 xml:space="preserve"> ligjin nr. 9616, dat</w:t>
      </w:r>
      <w:r w:rsidR="00095809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ë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 xml:space="preserve"> 27.9.2006 "P</w:t>
      </w:r>
      <w:r w:rsidR="00095809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ë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r Librin n</w:t>
      </w:r>
      <w:r w:rsidR="00095809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ë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 xml:space="preserve"> Republik</w:t>
      </w:r>
      <w:r w:rsidR="00095809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ë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n e Shqip</w:t>
      </w:r>
      <w:r w:rsidR="00095809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ë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ris</w:t>
      </w:r>
      <w:r w:rsidR="00095809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ë</w:t>
      </w:r>
      <w:r w:rsidR="00FC33B2" w:rsidRPr="004F3B88">
        <w:rPr>
          <w:rFonts w:ascii="Times New Roman" w:eastAsia="Arial Unicode MS" w:hAnsi="Times New Roman"/>
          <w:bCs/>
          <w:color w:val="000000"/>
          <w:kern w:val="36"/>
          <w:sz w:val="24"/>
          <w:szCs w:val="24"/>
          <w:bdr w:val="nil"/>
          <w:lang w:val="sq-AL" w:eastAsia="sq-AL"/>
        </w:rPr>
        <w:t>" i ndryshuar</w:t>
      </w:r>
    </w:p>
    <w:p w14:paraId="36EE190A" w14:textId="77777777" w:rsidR="003721A3" w:rsidRPr="00D85943" w:rsidRDefault="003721A3" w:rsidP="003721A3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5AC2C85" w14:textId="1C9A9931" w:rsidR="00C7773E" w:rsidRPr="00D85943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  <w:r w:rsidRPr="00D85943">
        <w:rPr>
          <w:rFonts w:ascii="Times New Roman" w:hAnsi="Times New Roman"/>
          <w:b/>
          <w:bCs/>
          <w:sz w:val="24"/>
          <w:szCs w:val="24"/>
          <w:lang w:val="sq-AL"/>
        </w:rPr>
        <w:t>Koh</w:t>
      </w:r>
      <w:r w:rsidR="00095809" w:rsidRPr="00D85943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D85943">
        <w:rPr>
          <w:rFonts w:ascii="Times New Roman" w:hAnsi="Times New Roman"/>
          <w:b/>
          <w:bCs/>
          <w:sz w:val="24"/>
          <w:szCs w:val="24"/>
          <w:lang w:val="sq-AL"/>
        </w:rPr>
        <w:t>zgjatja e konsultimeve</w:t>
      </w:r>
    </w:p>
    <w:p w14:paraId="0934B2C7" w14:textId="4019311B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Specifikoni koh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zgjatjen e 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rgjithshme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konsultimeve publike sa i 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rket dit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ve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pun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s, 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rfshir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dat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n e hapjes dhe mbylljes s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konsultimeve publike; n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se koh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zgjatja ishte m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e shkurt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 se 20 dit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pune e parapar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me ligj, jepni arsye 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 shkurtimin e koh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zgjatjes.</w:t>
      </w:r>
    </w:p>
    <w:p w14:paraId="24B96111" w14:textId="77777777" w:rsidR="00221040" w:rsidRPr="00510F7A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25239B11" w14:textId="6C3FF1EF" w:rsidR="00BF1C54" w:rsidRPr="00BF1C54" w:rsidRDefault="00BF1C54" w:rsidP="00BF1C54">
      <w:pPr>
        <w:suppressAutoHyphens/>
        <w:spacing w:after="120"/>
        <w:ind w:left="360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 w:rsidRPr="00BF1C54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Njoftimi paraprak: </w:t>
      </w:r>
      <w:r w:rsidR="00583896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10 muaj</w:t>
      </w:r>
      <w:r w:rsidRPr="00BF1C54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</w:t>
      </w:r>
    </w:p>
    <w:p w14:paraId="62009EE9" w14:textId="0E9601AE" w:rsidR="00BF1C54" w:rsidRPr="00BF1C54" w:rsidRDefault="00BF1C54" w:rsidP="005D41B0">
      <w:pPr>
        <w:suppressAutoHyphens/>
        <w:spacing w:after="120"/>
        <w:ind w:left="360" w:hanging="360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 w:rsidRPr="00BF1C54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</w:t>
      </w:r>
      <w:r w:rsidR="006E6D5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    Konsultimet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6E6D5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portalin e </w:t>
      </w:r>
      <w:r w:rsidR="005D41B0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</w:t>
      </w:r>
      <w:r w:rsidRPr="00BF1C54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egjistrit </w:t>
      </w:r>
      <w:r w:rsidR="005D41B0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E</w:t>
      </w:r>
      <w:r w:rsidRPr="00BF1C54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lektronik</w:t>
      </w:r>
      <w:r w:rsidR="005D41B0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për Njoftimet dhe Konsultimet Publike</w:t>
      </w:r>
      <w:r w:rsidRPr="00BF1C54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: 20</w:t>
      </w:r>
      <w:r w:rsidR="005D41B0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</w:t>
      </w:r>
      <w:r w:rsidRPr="00BF1C54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dit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BF1C54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pune</w:t>
      </w:r>
      <w:r w:rsidRPr="004F3B8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,</w:t>
      </w:r>
      <w:r w:rsidRPr="004F3B88">
        <w:rPr>
          <w:rFonts w:ascii="Times New Roman" w:eastAsia="MS Mincho" w:hAnsi="Times New Roman"/>
          <w:i/>
          <w:iCs/>
          <w:color w:val="000000"/>
          <w:sz w:val="24"/>
          <w:szCs w:val="24"/>
          <w:lang w:val="sq-AL" w:eastAsia="ar-SA"/>
        </w:rPr>
        <w:t xml:space="preserve"> </w:t>
      </w:r>
      <w:r w:rsidR="00782AAD" w:rsidRPr="004F3B88">
        <w:rPr>
          <w:rFonts w:ascii="Times New Roman" w:eastAsia="MS Mincho" w:hAnsi="Times New Roman"/>
          <w:iCs/>
          <w:color w:val="000000"/>
          <w:sz w:val="24"/>
          <w:szCs w:val="24"/>
          <w:lang w:val="sq-AL" w:eastAsia="ar-SA"/>
        </w:rPr>
        <w:t>02.11.2023 - 05.12.2023</w:t>
      </w:r>
      <w:r w:rsidR="004F3B88" w:rsidRPr="004F3B88">
        <w:rPr>
          <w:rFonts w:ascii="Times New Roman" w:eastAsia="MS Mincho" w:hAnsi="Times New Roman"/>
          <w:bCs/>
          <w:iCs/>
          <w:color w:val="000000"/>
          <w:sz w:val="24"/>
          <w:szCs w:val="24"/>
          <w:lang w:val="sq-AL" w:eastAsia="ar-SA"/>
        </w:rPr>
        <w:t>,</w:t>
      </w:r>
      <w:r w:rsidR="004F3B88">
        <w:rPr>
          <w:rFonts w:ascii="Times New Roman" w:eastAsia="MS Mincho" w:hAnsi="Times New Roman"/>
          <w:bCs/>
          <w:iCs/>
          <w:color w:val="000000"/>
          <w:sz w:val="24"/>
          <w:szCs w:val="24"/>
          <w:lang w:val="sq-AL" w:eastAsia="ar-SA"/>
        </w:rPr>
        <w:t xml:space="preserve"> bazuar n</w:t>
      </w:r>
      <w:r w:rsidR="00155142">
        <w:rPr>
          <w:rFonts w:ascii="Times New Roman" w:eastAsia="MS Mincho" w:hAnsi="Times New Roman"/>
          <w:bCs/>
          <w:iCs/>
          <w:color w:val="000000"/>
          <w:sz w:val="24"/>
          <w:szCs w:val="24"/>
          <w:lang w:val="sq-AL" w:eastAsia="ar-SA"/>
        </w:rPr>
        <w:t>ë</w:t>
      </w:r>
      <w:r w:rsidR="004F3B88">
        <w:rPr>
          <w:rFonts w:ascii="Times New Roman" w:eastAsia="MS Mincho" w:hAnsi="Times New Roman"/>
          <w:bCs/>
          <w:iCs/>
          <w:color w:val="000000"/>
          <w:sz w:val="24"/>
          <w:szCs w:val="24"/>
          <w:lang w:val="sq-AL" w:eastAsia="ar-SA"/>
        </w:rPr>
        <w:t xml:space="preserve"> ligjin 146/2014 “P</w:t>
      </w:r>
      <w:r w:rsidR="00465A38">
        <w:rPr>
          <w:rFonts w:ascii="Times New Roman" w:eastAsia="MS Mincho" w:hAnsi="Times New Roman"/>
          <w:bCs/>
          <w:iCs/>
          <w:color w:val="000000"/>
          <w:sz w:val="24"/>
          <w:szCs w:val="24"/>
          <w:lang w:val="sq-AL" w:eastAsia="ar-SA"/>
        </w:rPr>
        <w:t>ë</w:t>
      </w:r>
      <w:r w:rsidR="004F3B88">
        <w:rPr>
          <w:rFonts w:ascii="Times New Roman" w:eastAsia="MS Mincho" w:hAnsi="Times New Roman"/>
          <w:bCs/>
          <w:iCs/>
          <w:color w:val="000000"/>
          <w:sz w:val="24"/>
          <w:szCs w:val="24"/>
          <w:lang w:val="sq-AL" w:eastAsia="ar-SA"/>
        </w:rPr>
        <w:t>r njoftimin dhe konsultimin publik”.</w:t>
      </w:r>
    </w:p>
    <w:p w14:paraId="45BB2235" w14:textId="77777777" w:rsidR="00C7773E" w:rsidRPr="00D85943" w:rsidRDefault="00C7773E" w:rsidP="00C7773E">
      <w:pPr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</w:pPr>
    </w:p>
    <w:p w14:paraId="371C21A6" w14:textId="77777777" w:rsidR="00C7773E" w:rsidRPr="00D85943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85943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D43A157" w14:textId="5C0B73C0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Listoni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gjitha metodat e konsultimit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rdorura,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tilla si konsultimet elektronike (Regjistri Elektronik, posta elektronike, faqet e internetit, etj.), Takimet publike, seancat e organeve k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shilluese…, dhe siguroni informacione 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 afatin kohor, koh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zgjatjen dhe afatet e tyre.</w:t>
      </w:r>
    </w:p>
    <w:p w14:paraId="36915DBF" w14:textId="34ABA283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Shpjegoni se si u shp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rnda informacioni mbi konsultimet e hapura, si u ftuan pal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t e interesuara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kontribuojn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.</w:t>
      </w:r>
    </w:p>
    <w:p w14:paraId="01C64BBF" w14:textId="33017455" w:rsidR="00C7773E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rfshini gjithashtu aktivitete nga konsultimet paraprake n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se jan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organizuar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tilla).</w:t>
      </w:r>
    </w:p>
    <w:p w14:paraId="05450028" w14:textId="4323A38C" w:rsidR="00BF1C54" w:rsidRDefault="00BF1C54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B7B2B8B" w14:textId="611F2879" w:rsidR="00AF2662" w:rsidRPr="00AF2662" w:rsidRDefault="00AF2662" w:rsidP="004F3B88">
      <w:pPr>
        <w:tabs>
          <w:tab w:val="left" w:pos="90"/>
        </w:tabs>
        <w:suppressAutoHyphens/>
        <w:spacing w:after="120"/>
        <w:ind w:firstLine="360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Metodat e konsultimit publik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rdorura si vijon:</w:t>
      </w:r>
    </w:p>
    <w:p w14:paraId="118C41AC" w14:textId="46A95181" w:rsidR="00AF2662" w:rsidRPr="00465A38" w:rsidRDefault="004F3B88" w:rsidP="00465A38">
      <w:pPr>
        <w:suppressAutoHyphens/>
        <w:spacing w:after="120"/>
        <w:ind w:left="360" w:hanging="360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     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a</w:t>
      </w: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. 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Me shkres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n nr. </w:t>
      </w:r>
      <w:r w:rsidR="00AF266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746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prot., dat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</w:t>
      </w:r>
      <w:r w:rsidR="00AF266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13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.0</w:t>
      </w:r>
      <w:r w:rsidR="00AF266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2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.202</w:t>
      </w:r>
      <w:r w:rsidR="00AF266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3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, 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nj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</w:t>
      </w:r>
      <w:r w:rsidR="00AF266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njoftim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paraprak i 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sht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d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rguar nominalisht </w:t>
      </w: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      </w:t>
      </w:r>
      <w:r w:rsid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 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institucioneve si; Shoqata e Botuesve Shqiptar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, Biblioteka Komb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tare Shqiptare, Akademis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Studimeve Albanologjike, Shoq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ris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Librit Shqip, Akademis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Shkencave t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Shqip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ris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, Aleanc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 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Librit Shqip t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cil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t p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rb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jn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dhe grupin kryesor t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interesit n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k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t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projektligj. Me an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t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shkres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 s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d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rguar u prezantua nevoja p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ndryshime dhe p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rmir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sime n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kuadrin ligjor n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fuqi n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fush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 e librit dhe u k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krua t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parashtroheshin pik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pamjet, idet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n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lidhje me ndryshimet e mundshme. </w:t>
      </w:r>
      <w:r w:rsidR="005224F1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Nga ana e institucioneve t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lartp</w:t>
      </w:r>
      <w:r w:rsidR="00095809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 w:rsidRPr="00465A38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rmendura nuk pati komente, sugjerime paraprake.</w:t>
      </w:r>
    </w:p>
    <w:p w14:paraId="2AEEACD3" w14:textId="402CFC1D" w:rsidR="00AF2662" w:rsidRPr="00AF2662" w:rsidRDefault="00AF2662" w:rsidP="00465A38">
      <w:pPr>
        <w:suppressAutoHyphens/>
        <w:spacing w:after="120"/>
        <w:ind w:left="360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b. Konsultimi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portalin “Rregjistri Elektronik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Njoftimet dhe konsultimet Publike”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periudh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n 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02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.1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1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.202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3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– 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05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.1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2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.202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3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, gjat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cil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 nuk jan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rcjell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komente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rmes k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tij protali, por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rrug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elektronike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adres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 e e-mailit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koordinatorit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r njoftimin dhe konsultimin. </w:t>
      </w:r>
    </w:p>
    <w:p w14:paraId="2168E79B" w14:textId="50A551DE" w:rsidR="00AF2662" w:rsidRPr="00AF2662" w:rsidRDefault="00465A38" w:rsidP="00AF2662">
      <w:pPr>
        <w:suppressAutoHyphens/>
        <w:spacing w:after="120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     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Aktivitetet e realizuara: </w:t>
      </w:r>
    </w:p>
    <w:p w14:paraId="5089EDB0" w14:textId="0F15A454" w:rsidR="00AF2662" w:rsidRPr="00AF2662" w:rsidRDefault="00465A38" w:rsidP="00465A38">
      <w:pPr>
        <w:suppressAutoHyphens/>
        <w:spacing w:after="120"/>
        <w:ind w:left="360" w:hanging="360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     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Shkurt 2023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- identifikimi i grupeve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interesit,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rzgjedhja e metodave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konsultimit, nga </w:t>
      </w: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  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struktura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rgjegj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se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r hartimin e projektligjit 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“P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disa shtesa dhe ndryshime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ligjin nr. 9616, dat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27.9.2006 "P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Librin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Republik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 e Shqip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ris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FC33B2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"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.</w:t>
      </w:r>
    </w:p>
    <w:p w14:paraId="5670649C" w14:textId="63BAF99E" w:rsidR="00AF2662" w:rsidRPr="00AF2662" w:rsidRDefault="005224F1" w:rsidP="00465A38">
      <w:pPr>
        <w:tabs>
          <w:tab w:val="left" w:pos="90"/>
        </w:tabs>
        <w:suppressAutoHyphens/>
        <w:ind w:left="360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Shkurt 2023 </w:t>
      </w: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- 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me shkres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 nr. 3678 prot., dat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04.06.2022, ftohen grupet e interesit q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paraqesin:</w:t>
      </w:r>
    </w:p>
    <w:p w14:paraId="30D08F30" w14:textId="24431DD7" w:rsidR="00AF2662" w:rsidRPr="00AF2662" w:rsidRDefault="00AF2662" w:rsidP="00AF2662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çdo informacion ose opinion paraprak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çdo ç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shtje apo problematik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me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cil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 jan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hasur gjat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zbatimit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ligjit</w:t>
      </w:r>
    </w:p>
    <w:p w14:paraId="4C11E819" w14:textId="22542DDC" w:rsidR="00AF2662" w:rsidRPr="00AF2662" w:rsidRDefault="00AF2662" w:rsidP="00AF2662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lastRenderedPageBreak/>
        <w:t>propozime konkrete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ndryshime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ligj me q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llim adresimin e k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tyre ç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shtjeve</w:t>
      </w:r>
    </w:p>
    <w:p w14:paraId="6BC6467D" w14:textId="77EB103A" w:rsidR="005224F1" w:rsidRPr="005224F1" w:rsidRDefault="00AF2662" w:rsidP="005224F1">
      <w:pPr>
        <w:numPr>
          <w:ilvl w:val="0"/>
          <w:numId w:val="4"/>
        </w:numPr>
        <w:suppressAutoHyphens/>
        <w:spacing w:after="120" w:line="276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informacione ose opinione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tjera 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tjera financiare apo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dh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na statistikore 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q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vler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sojn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se i sh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rbejn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rmir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simit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ligjit </w:t>
      </w:r>
      <w:r w:rsidR="005224F1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nr. 9616, dat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27.9.2006 "P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Librin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Republik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 e Shqip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ris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5224F1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"</w:t>
      </w:r>
      <w:r w:rsid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i ndryshuar</w:t>
      </w:r>
      <w:r w:rsidR="005224F1" w:rsidRPr="005224F1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.</w:t>
      </w:r>
    </w:p>
    <w:p w14:paraId="713E2DFB" w14:textId="5FF65636" w:rsidR="00AF2662" w:rsidRPr="00AF2662" w:rsidRDefault="005224F1" w:rsidP="00AF2662">
      <w:pPr>
        <w:numPr>
          <w:ilvl w:val="0"/>
          <w:numId w:val="4"/>
        </w:numPr>
        <w:suppressAutoHyphens/>
        <w:spacing w:after="120" w:line="276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</w:pP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02.11.2023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– </w:t>
      </w:r>
      <w:r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05.12. 2023 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Projektligji,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zbatim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ligjit 146/2014, i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nshtrohet procesit t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konsultimit n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 xml:space="preserve"> portalin e “Regjistrit elektronik p</w:t>
      </w:r>
      <w:r w:rsidR="00095809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ë</w:t>
      </w:r>
      <w:r w:rsidR="00AF2662" w:rsidRPr="00AF2662">
        <w:rPr>
          <w:rFonts w:ascii="Times New Roman" w:eastAsia="MS Mincho" w:hAnsi="Times New Roman"/>
          <w:color w:val="000000"/>
          <w:sz w:val="24"/>
          <w:szCs w:val="24"/>
          <w:lang w:val="sq-AL" w:eastAsia="ar-SA"/>
        </w:rPr>
        <w:t>r Njoftimeve dhe Konsultimeve Publike”</w:t>
      </w:r>
    </w:p>
    <w:p w14:paraId="7976EEF7" w14:textId="6459341E" w:rsidR="00AF2662" w:rsidRPr="00AF2662" w:rsidRDefault="00465A38" w:rsidP="00465A38">
      <w:pPr>
        <w:spacing w:line="276" w:lineRule="auto"/>
        <w:ind w:left="450" w:hanging="180"/>
        <w:jc w:val="both"/>
        <w:rPr>
          <w:rFonts w:ascii="Times New Roman" w:eastAsia="Arial" w:hAnsi="Times New Roman"/>
          <w:color w:val="000000"/>
          <w:sz w:val="24"/>
          <w:szCs w:val="24"/>
          <w:lang w:val="sq-AL"/>
        </w:rPr>
      </w:pPr>
      <w:r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  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Projektligji, relacioni shpjegues, jan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publikuar n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RENJK ku çdo i interesuar 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sht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njohur me dokumentet p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rkat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se. Gjithashtu, institucionet me 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cilat 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sht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kryer konsultimi jan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njohur me k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to dokumente. Kontributet n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kuad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r 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procesit 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konsultimit dhe p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rmir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simit 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p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rmbajtjes s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projektligjit, jan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p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rcjell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n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p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rmjet post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s elektronike  adres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s s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e-mailit 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koordinatorit p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F2662"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r njoftimin dhe konsultimin publik.</w:t>
      </w:r>
    </w:p>
    <w:p w14:paraId="5FCC4B4A" w14:textId="77777777" w:rsidR="005224F1" w:rsidRDefault="005224F1" w:rsidP="00AF2662">
      <w:pPr>
        <w:spacing w:line="276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sq-AL"/>
        </w:rPr>
      </w:pPr>
    </w:p>
    <w:p w14:paraId="2664C7EA" w14:textId="3F7D7E6B" w:rsidR="00BF1C54" w:rsidRPr="00E32AAD" w:rsidRDefault="00AF2662" w:rsidP="00465A38">
      <w:pPr>
        <w:spacing w:line="276" w:lineRule="auto"/>
        <w:ind w:left="450"/>
        <w:jc w:val="both"/>
        <w:rPr>
          <w:rFonts w:ascii="Times New Roman" w:eastAsia="Arial" w:hAnsi="Times New Roman"/>
          <w:color w:val="000000"/>
          <w:sz w:val="24"/>
          <w:szCs w:val="24"/>
          <w:lang w:val="sq-AL"/>
        </w:rPr>
      </w:pP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M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dat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</w:t>
      </w:r>
      <w:r w:rsidR="00E32AAD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24.11.2023 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sht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organizuar takimi konsultativ nga Ministria e </w:t>
      </w:r>
      <w:r w:rsidR="005224F1">
        <w:rPr>
          <w:rFonts w:ascii="Times New Roman" w:eastAsia="Arial" w:hAnsi="Times New Roman"/>
          <w:color w:val="000000"/>
          <w:sz w:val="24"/>
          <w:szCs w:val="24"/>
          <w:lang w:val="sq-AL"/>
        </w:rPr>
        <w:t>Kultur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5224F1">
        <w:rPr>
          <w:rFonts w:ascii="Times New Roman" w:eastAsia="Arial" w:hAnsi="Times New Roman"/>
          <w:color w:val="000000"/>
          <w:sz w:val="24"/>
          <w:szCs w:val="24"/>
          <w:lang w:val="sq-AL"/>
        </w:rPr>
        <w:t>s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n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</w:t>
      </w:r>
      <w:r w:rsidR="00465A38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 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bashk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punim me </w:t>
      </w:r>
      <w:r w:rsidR="005224F1">
        <w:rPr>
          <w:rFonts w:ascii="Times New Roman" w:eastAsia="Arial" w:hAnsi="Times New Roman"/>
          <w:color w:val="000000"/>
          <w:sz w:val="24"/>
          <w:szCs w:val="24"/>
          <w:lang w:val="sq-AL"/>
        </w:rPr>
        <w:t>Qendr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5224F1">
        <w:rPr>
          <w:rFonts w:ascii="Times New Roman" w:eastAsia="Arial" w:hAnsi="Times New Roman"/>
          <w:color w:val="000000"/>
          <w:sz w:val="24"/>
          <w:szCs w:val="24"/>
          <w:lang w:val="sq-AL"/>
        </w:rPr>
        <w:t>n Komb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5224F1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tare </w:t>
      </w:r>
      <w:r w:rsidR="00E32AAD">
        <w:rPr>
          <w:rFonts w:ascii="Times New Roman" w:eastAsia="Arial" w:hAnsi="Times New Roman"/>
          <w:color w:val="000000"/>
          <w:sz w:val="24"/>
          <w:szCs w:val="24"/>
          <w:lang w:val="sq-AL"/>
        </w:rPr>
        <w:t>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Librit dhe Leximit, 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me p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rfaq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>sues 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Pr="00AF2662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</w:t>
      </w:r>
      <w:r w:rsidR="00E32AAD">
        <w:rPr>
          <w:rFonts w:ascii="Times New Roman" w:eastAsia="Arial" w:hAnsi="Times New Roman"/>
          <w:color w:val="000000"/>
          <w:sz w:val="24"/>
          <w:szCs w:val="24"/>
          <w:lang w:val="sq-AL"/>
        </w:rPr>
        <w:t>grupeve t</w:t>
      </w:r>
      <w:r w:rsidR="00095809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interesit.</w:t>
      </w:r>
    </w:p>
    <w:p w14:paraId="1EDBBCF0" w14:textId="77777777" w:rsidR="00221040" w:rsidRPr="00510F7A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45D7C98" w14:textId="78F61E2C" w:rsidR="004F3B88" w:rsidRPr="004F3B88" w:rsidRDefault="00C7773E" w:rsidP="004F3B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F3B88">
        <w:rPr>
          <w:rFonts w:ascii="Times New Roman" w:hAnsi="Times New Roman"/>
          <w:b/>
          <w:bCs/>
          <w:sz w:val="24"/>
          <w:szCs w:val="24"/>
          <w:lang w:val="sq-AL"/>
        </w:rPr>
        <w:t>Pal</w:t>
      </w:r>
      <w:r w:rsidR="00095809" w:rsidRPr="004F3B88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F3B88">
        <w:rPr>
          <w:rFonts w:ascii="Times New Roman" w:hAnsi="Times New Roman"/>
          <w:b/>
          <w:bCs/>
          <w:sz w:val="24"/>
          <w:szCs w:val="24"/>
          <w:lang w:val="sq-AL"/>
        </w:rPr>
        <w:t>t e interesit t</w:t>
      </w:r>
      <w:r w:rsidR="00095809" w:rsidRPr="004F3B88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F3B88">
        <w:rPr>
          <w:rFonts w:ascii="Times New Roman" w:hAnsi="Times New Roman"/>
          <w:b/>
          <w:bCs/>
          <w:sz w:val="24"/>
          <w:szCs w:val="24"/>
          <w:lang w:val="sq-AL"/>
        </w:rPr>
        <w:t xml:space="preserve"> p</w:t>
      </w:r>
      <w:r w:rsidR="00095809" w:rsidRPr="004F3B88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F3B88">
        <w:rPr>
          <w:rFonts w:ascii="Times New Roman" w:hAnsi="Times New Roman"/>
          <w:b/>
          <w:bCs/>
          <w:sz w:val="24"/>
          <w:szCs w:val="24"/>
          <w:lang w:val="sq-AL"/>
        </w:rPr>
        <w:t>rfshira</w:t>
      </w:r>
    </w:p>
    <w:p w14:paraId="3373B77D" w14:textId="15FC4C13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Listoni 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gjith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pal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t e interesuara, qoft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organizata apo individ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, 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cil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t kan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dh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n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komente/kontribut n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konsultimet publike p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rmes metodave 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ndryshme 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konsultimit, gjat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gjith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procesit 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hartimit.</w:t>
      </w:r>
    </w:p>
    <w:p w14:paraId="79530635" w14:textId="2AF20842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P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rmendni gjithashtu numrin dhe struktur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n e pal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ve 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interesuara q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mor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n pjes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n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takime publike ose seanca t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organeve k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shilluese.</w:t>
      </w:r>
    </w:p>
    <w:p w14:paraId="01220A41" w14:textId="595E9FAA" w:rsidR="00C7773E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Specifikoni pal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t e interesuara q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mor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n pjes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n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 xml:space="preserve"> grupin e pun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s p</w:t>
      </w:r>
      <w:r w:rsidR="0009580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sz w:val="24"/>
          <w:szCs w:val="24"/>
          <w:lang w:val="sq-AL"/>
        </w:rPr>
        <w:t>r hartimin e aktit.</w:t>
      </w:r>
    </w:p>
    <w:p w14:paraId="1F86D6CB" w14:textId="77777777" w:rsidR="008F30DC" w:rsidRPr="00510F7A" w:rsidRDefault="008F30DC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9D99BFD" w14:textId="3C8C86C2" w:rsidR="00A70A48" w:rsidRDefault="008F30DC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Pal</w:t>
      </w:r>
      <w:r w:rsidR="00095809">
        <w:rPr>
          <w:rFonts w:ascii="Times New Roman" w:hAnsi="Times New Roman"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t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>e interesuar</w:t>
      </w:r>
      <w:r w:rsidR="00F05FB0">
        <w:rPr>
          <w:rFonts w:ascii="Times New Roman" w:hAnsi="Times New Roman"/>
          <w:iCs/>
          <w:sz w:val="24"/>
          <w:szCs w:val="24"/>
          <w:lang w:val="sq-AL"/>
        </w:rPr>
        <w:t>a,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q-AL"/>
        </w:rPr>
        <w:t>t</w:t>
      </w:r>
      <w:r w:rsidR="00095809">
        <w:rPr>
          <w:rFonts w:ascii="Times New Roman" w:hAnsi="Times New Roman"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cilat </w:t>
      </w:r>
      <w:r>
        <w:rPr>
          <w:rFonts w:ascii="Times New Roman" w:hAnsi="Times New Roman"/>
          <w:iCs/>
          <w:sz w:val="24"/>
          <w:szCs w:val="24"/>
          <w:lang w:val="sq-AL"/>
        </w:rPr>
        <w:t>mor</w:t>
      </w:r>
      <w:r w:rsidR="00095809">
        <w:rPr>
          <w:rFonts w:ascii="Times New Roman" w:hAnsi="Times New Roman"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iCs/>
          <w:sz w:val="24"/>
          <w:szCs w:val="24"/>
          <w:lang w:val="sq-AL"/>
        </w:rPr>
        <w:t>n pjes</w:t>
      </w:r>
      <w:r w:rsidR="00095809">
        <w:rPr>
          <w:rFonts w:ascii="Times New Roman" w:hAnsi="Times New Roman"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095809">
        <w:rPr>
          <w:rFonts w:ascii="Times New Roman" w:hAnsi="Times New Roman"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hartimin e </w:t>
      </w:r>
      <w:r>
        <w:rPr>
          <w:rFonts w:ascii="Times New Roman" w:hAnsi="Times New Roman"/>
          <w:iCs/>
          <w:sz w:val="24"/>
          <w:szCs w:val="24"/>
          <w:lang w:val="sq-AL"/>
        </w:rPr>
        <w:t>k</w:t>
      </w:r>
      <w:r w:rsidR="00095809">
        <w:rPr>
          <w:rFonts w:ascii="Times New Roman" w:hAnsi="Times New Roman"/>
          <w:iCs/>
          <w:sz w:val="24"/>
          <w:szCs w:val="24"/>
          <w:lang w:val="sq-AL"/>
        </w:rPr>
        <w:t>ë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tij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projektakti </w:t>
      </w:r>
      <w:r>
        <w:rPr>
          <w:rFonts w:ascii="Times New Roman" w:hAnsi="Times New Roman"/>
          <w:iCs/>
          <w:sz w:val="24"/>
          <w:szCs w:val="24"/>
          <w:lang w:val="sq-AL"/>
        </w:rPr>
        <w:t>jan</w:t>
      </w:r>
      <w:r w:rsidR="0009580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>:</w:t>
      </w:r>
    </w:p>
    <w:p w14:paraId="5ED701A3" w14:textId="6DFF92D8" w:rsidR="00315A5E" w:rsidRDefault="00315A5E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1C420F4E" w14:textId="1A518DFF" w:rsidR="00A70A48" w:rsidRDefault="002B13AE" w:rsidP="00984B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Qen</w:t>
      </w:r>
      <w:r w:rsidR="00C6227A">
        <w:rPr>
          <w:rFonts w:ascii="Times New Roman" w:hAnsi="Times New Roman"/>
          <w:sz w:val="24"/>
          <w:szCs w:val="24"/>
          <w:lang w:val="sq-AL"/>
        </w:rPr>
        <w:t>d</w:t>
      </w:r>
      <w:r>
        <w:rPr>
          <w:rFonts w:ascii="Times New Roman" w:hAnsi="Times New Roman"/>
          <w:sz w:val="24"/>
          <w:szCs w:val="24"/>
          <w:lang w:val="sq-AL"/>
        </w:rPr>
        <w:t>ra Komb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tare e librit dhe Leximit</w:t>
      </w:r>
    </w:p>
    <w:p w14:paraId="45C1224A" w14:textId="3A2713BD" w:rsidR="00782AAD" w:rsidRDefault="00782AAD" w:rsidP="00984B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782AAD">
        <w:rPr>
          <w:rFonts w:ascii="Times New Roman" w:hAnsi="Times New Roman"/>
          <w:iCs/>
          <w:sz w:val="24"/>
          <w:szCs w:val="24"/>
          <w:lang w:val="sq-AL"/>
        </w:rPr>
        <w:t>Ministria e Kultur</w:t>
      </w:r>
      <w:r w:rsidR="005D41B0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782AAD">
        <w:rPr>
          <w:rFonts w:ascii="Times New Roman" w:hAnsi="Times New Roman"/>
          <w:iCs/>
          <w:sz w:val="24"/>
          <w:szCs w:val="24"/>
          <w:lang w:val="sq-AL"/>
        </w:rPr>
        <w:t>s</w:t>
      </w:r>
    </w:p>
    <w:p w14:paraId="617FA1A8" w14:textId="6CF8E594" w:rsidR="002B13AE" w:rsidRPr="00510F7A" w:rsidRDefault="002B13AE" w:rsidP="00984B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Biblioteka Komb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tare Shqiptare</w:t>
      </w:r>
    </w:p>
    <w:p w14:paraId="2FAA03A2" w14:textId="4FF4D74F" w:rsidR="00E32AAD" w:rsidRDefault="00E32AAD" w:rsidP="00E32AAD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F4E0F7" w14:textId="136759D2" w:rsidR="00E32AAD" w:rsidRDefault="00E32AAD" w:rsidP="00E32AAD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764824" w14:textId="49A2572E" w:rsidR="00E32AAD" w:rsidRPr="00C6227A" w:rsidRDefault="00465A38" w:rsidP="00465A38">
      <w:pPr>
        <w:tabs>
          <w:tab w:val="left" w:pos="7552"/>
        </w:tabs>
        <w:spacing w:line="276" w:lineRule="auto"/>
        <w:ind w:left="360" w:hanging="270"/>
        <w:jc w:val="both"/>
        <w:rPr>
          <w:rFonts w:ascii="Times New Roman" w:eastAsia="Arial" w:hAnsi="Times New Roman"/>
          <w:color w:val="000000"/>
          <w:sz w:val="24"/>
          <w:szCs w:val="24"/>
          <w:lang w:val="sq-AL"/>
        </w:rPr>
      </w:pPr>
      <w:r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    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Hartimi projektligjit ka kaluar p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rmes nj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dialogu t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vazhduesh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m me Qendr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n Komb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tare t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  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Librit dhe Leximit p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r diskutimin e problematikave dhe formulimin e parashikimeve t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duhura ligjore. Projektligji 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sht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hartuar nga MK  n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bashk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punim me QKLL dhe BKSH. </w:t>
      </w:r>
    </w:p>
    <w:p w14:paraId="5CBA578E" w14:textId="77777777" w:rsidR="00E32AAD" w:rsidRPr="00C6227A" w:rsidRDefault="00E32AAD" w:rsidP="00E32AAD">
      <w:pPr>
        <w:tabs>
          <w:tab w:val="left" w:pos="7552"/>
        </w:tabs>
        <w:spacing w:line="276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sq-AL"/>
        </w:rPr>
      </w:pPr>
    </w:p>
    <w:p w14:paraId="79CD9C9F" w14:textId="6C7AE34A" w:rsidR="00E32AAD" w:rsidRPr="00C6227A" w:rsidRDefault="00465A38" w:rsidP="00465A38">
      <w:pPr>
        <w:tabs>
          <w:tab w:val="left" w:pos="7552"/>
        </w:tabs>
        <w:spacing w:line="276" w:lineRule="auto"/>
        <w:ind w:left="360" w:hanging="360"/>
        <w:jc w:val="both"/>
        <w:rPr>
          <w:rFonts w:ascii="Times New Roman" w:eastAsia="Arial" w:hAnsi="Times New Roman"/>
          <w:color w:val="000000"/>
          <w:sz w:val="24"/>
          <w:szCs w:val="24"/>
          <w:lang w:val="sq-AL"/>
        </w:rPr>
      </w:pPr>
      <w:r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     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Projektligji i 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sht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n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nshtruar konsultimit publik p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rmes publikimit t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tij n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Regjistrin Elektronik </w:t>
      </w:r>
      <w:r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     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p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E32AAD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r Njoftimet dhe Konsultimet Publike </w:t>
      </w:r>
      <w:r w:rsidR="00AE503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n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E503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p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E503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rmjet t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E503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 xml:space="preserve"> cilit nuk u p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E503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rcoll</w:t>
      </w:r>
      <w:r w:rsidR="0009580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ë</w:t>
      </w:r>
      <w:r w:rsidR="00AE5039" w:rsidRPr="00C6227A">
        <w:rPr>
          <w:rFonts w:ascii="Times New Roman" w:eastAsia="Arial" w:hAnsi="Times New Roman"/>
          <w:color w:val="000000"/>
          <w:sz w:val="24"/>
          <w:szCs w:val="24"/>
          <w:lang w:val="sq-AL"/>
        </w:rPr>
        <w:t>n komente.</w:t>
      </w:r>
    </w:p>
    <w:p w14:paraId="11F021C7" w14:textId="37294C35" w:rsidR="00C7773E" w:rsidRPr="00D85943" w:rsidRDefault="00C7773E" w:rsidP="00D85943">
      <w:pPr>
        <w:tabs>
          <w:tab w:val="left" w:pos="7552"/>
        </w:tabs>
        <w:spacing w:line="276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ab/>
      </w:r>
    </w:p>
    <w:p w14:paraId="444C91AE" w14:textId="71CD1EDE" w:rsidR="00C7773E" w:rsidRPr="004F3B88" w:rsidRDefault="004F3B88" w:rsidP="004F3B88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1.</w:t>
      </w:r>
      <w:r w:rsidR="00C7773E" w:rsidRPr="004F3B88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</w:t>
      </w:r>
      <w:r w:rsidR="00095809" w:rsidRPr="004F3B88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C7773E" w:rsidRPr="004F3B88">
        <w:rPr>
          <w:rFonts w:ascii="Times New Roman" w:hAnsi="Times New Roman"/>
          <w:b/>
          <w:bCs/>
          <w:sz w:val="24"/>
          <w:szCs w:val="24"/>
          <w:lang w:val="sq-AL"/>
        </w:rPr>
        <w:t xml:space="preserve"> pranuara me arsyetimin e komenteve t</w:t>
      </w:r>
      <w:r w:rsidR="00095809" w:rsidRPr="004F3B88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C7773E" w:rsidRPr="004F3B88">
        <w:rPr>
          <w:rFonts w:ascii="Times New Roman" w:hAnsi="Times New Roman"/>
          <w:b/>
          <w:bCs/>
          <w:sz w:val="24"/>
          <w:szCs w:val="24"/>
          <w:lang w:val="sq-AL"/>
        </w:rPr>
        <w:t xml:space="preserve"> pranuara/ refuzuara</w:t>
      </w:r>
    </w:p>
    <w:p w14:paraId="487DA301" w14:textId="4665D8A9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994E6F" w:rsidRPr="00510F7A">
        <w:rPr>
          <w:rFonts w:ascii="Times New Roman" w:hAnsi="Times New Roman"/>
          <w:i/>
          <w:iCs/>
          <w:sz w:val="24"/>
          <w:szCs w:val="24"/>
          <w:lang w:val="sq-AL"/>
        </w:rPr>
        <w:t>i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t e pranuara sipas ç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shtjes q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ato ngrit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n;</w:t>
      </w:r>
    </w:p>
    <w:p w14:paraId="16E336FB" w14:textId="05D8FE41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Gruponi komente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ngjashme s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bashku dhe renditni pal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t e interesuara q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i ngrit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n ato;</w:t>
      </w:r>
    </w:p>
    <w:p w14:paraId="25C0F7F4" w14:textId="54E10D25" w:rsidR="00C7773E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 xml:space="preserve"> dhe sqaroni shkurtimisht arsyet p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r t</w:t>
      </w:r>
      <w:r w:rsidR="00095809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.</w:t>
      </w:r>
    </w:p>
    <w:p w14:paraId="5B77357C" w14:textId="77777777" w:rsidR="00B70301" w:rsidRPr="00510F7A" w:rsidRDefault="00B70301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F50B07" w14:textId="6908A544" w:rsidR="00C7773E" w:rsidRPr="003A19ED" w:rsidRDefault="00465A38" w:rsidP="00D85943">
      <w:pPr>
        <w:pStyle w:val="BodyText"/>
        <w:tabs>
          <w:tab w:val="left" w:pos="90"/>
        </w:tabs>
        <w:ind w:left="360" w:hanging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</w:t>
      </w:r>
      <w:r w:rsidR="00D8594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F30DC">
        <w:rPr>
          <w:rFonts w:ascii="Times New Roman" w:hAnsi="Times New Roman"/>
          <w:sz w:val="24"/>
          <w:szCs w:val="24"/>
          <w:lang w:val="sq-AL"/>
        </w:rPr>
        <w:t>N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 w:rsidR="008F30DC">
        <w:rPr>
          <w:rFonts w:ascii="Times New Roman" w:hAnsi="Times New Roman"/>
          <w:sz w:val="24"/>
          <w:szCs w:val="24"/>
          <w:lang w:val="sq-AL"/>
        </w:rPr>
        <w:t xml:space="preserve"> tabel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 w:rsidR="008F30DC"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e </w:t>
      </w:r>
      <w:r w:rsidR="008F30DC">
        <w:rPr>
          <w:rFonts w:ascii="Times New Roman" w:hAnsi="Times New Roman"/>
          <w:sz w:val="24"/>
          <w:szCs w:val="24"/>
          <w:lang w:val="sq-AL"/>
        </w:rPr>
        <w:t>m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 w:rsidR="008F30DC">
        <w:rPr>
          <w:rFonts w:ascii="Times New Roman" w:hAnsi="Times New Roman"/>
          <w:sz w:val="24"/>
          <w:szCs w:val="24"/>
          <w:lang w:val="sq-AL"/>
        </w:rPr>
        <w:t xml:space="preserve">poshtme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paraqiten komentet e pranuara </w:t>
      </w:r>
      <w:r w:rsidR="008F30DC">
        <w:rPr>
          <w:rFonts w:ascii="Times New Roman" w:hAnsi="Times New Roman"/>
          <w:sz w:val="24"/>
          <w:szCs w:val="24"/>
          <w:lang w:val="sq-AL"/>
        </w:rPr>
        <w:t>plot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 w:rsidR="008F30DC">
        <w:rPr>
          <w:rFonts w:ascii="Times New Roman" w:hAnsi="Times New Roman"/>
          <w:sz w:val="24"/>
          <w:szCs w:val="24"/>
          <w:lang w:val="sq-AL"/>
        </w:rPr>
        <w:t xml:space="preserve">sisht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8F30DC">
        <w:rPr>
          <w:rFonts w:ascii="Times New Roman" w:hAnsi="Times New Roman"/>
          <w:sz w:val="24"/>
          <w:szCs w:val="24"/>
          <w:lang w:val="sq-AL"/>
        </w:rPr>
        <w:t>pjes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 w:rsidR="008F30DC">
        <w:rPr>
          <w:rFonts w:ascii="Times New Roman" w:hAnsi="Times New Roman"/>
          <w:sz w:val="24"/>
          <w:szCs w:val="24"/>
          <w:lang w:val="sq-AL"/>
        </w:rPr>
        <w:t>risht n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 w:rsidR="008F30D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lidhje me </w:t>
      </w:r>
      <w:r w:rsidR="008F30DC">
        <w:rPr>
          <w:rFonts w:ascii="Times New Roman" w:hAnsi="Times New Roman"/>
          <w:sz w:val="24"/>
          <w:szCs w:val="24"/>
          <w:lang w:val="sq-AL"/>
        </w:rPr>
        <w:t>k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 w:rsidR="008F30DC">
        <w:rPr>
          <w:rFonts w:ascii="Times New Roman" w:hAnsi="Times New Roman"/>
          <w:sz w:val="24"/>
          <w:szCs w:val="24"/>
          <w:lang w:val="sq-AL"/>
        </w:rPr>
        <w:t>t</w:t>
      </w:r>
      <w:r w:rsidR="00095809">
        <w:rPr>
          <w:rFonts w:ascii="Times New Roman" w:hAnsi="Times New Roman"/>
          <w:sz w:val="24"/>
          <w:szCs w:val="24"/>
          <w:lang w:val="sq-AL"/>
        </w:rPr>
        <w:t>ë</w:t>
      </w:r>
      <w:r w:rsidR="008F30DC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   </w:t>
      </w:r>
      <w:r w:rsidR="00D85943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315A5E">
        <w:rPr>
          <w:rFonts w:ascii="Times New Roman" w:hAnsi="Times New Roman"/>
          <w:sz w:val="24"/>
          <w:szCs w:val="24"/>
          <w:lang w:val="sq-AL"/>
        </w:rPr>
        <w:t>projektakt:</w:t>
      </w:r>
    </w:p>
    <w:tbl>
      <w:tblPr>
        <w:tblW w:w="104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547"/>
        <w:gridCol w:w="2340"/>
        <w:gridCol w:w="1890"/>
        <w:gridCol w:w="1350"/>
        <w:gridCol w:w="270"/>
        <w:gridCol w:w="2700"/>
      </w:tblGrid>
      <w:tr w:rsidR="00155142" w:rsidRPr="00510F7A" w14:paraId="6596004C" w14:textId="77777777" w:rsidTr="00155142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F02" w14:textId="1C91D751" w:rsidR="00C7773E" w:rsidRPr="00510F7A" w:rsidRDefault="00C7773E" w:rsidP="00155142">
            <w:pPr>
              <w:pStyle w:val="BodyText"/>
              <w:spacing w:after="0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lastRenderedPageBreak/>
              <w:t>Ç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>shtja e  adresuar</w:t>
            </w:r>
          </w:p>
          <w:p w14:paraId="07A7C61F" w14:textId="69ABF1FA" w:rsidR="00C7773E" w:rsidRPr="00510F7A" w:rsidRDefault="00C7773E" w:rsidP="00155142">
            <w:pPr>
              <w:pStyle w:val="BodyText"/>
              <w:spacing w:after="0"/>
              <w:rPr>
                <w:rFonts w:ascii="Times New Roman" w:hAnsi="Times New Roman"/>
                <w:iCs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(psh. p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>rkufizimi i ri i…, kushtet p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>r regjistrimin e…, rregullimi i…, etj.)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574C" w14:textId="77777777" w:rsidR="00C7773E" w:rsidRPr="00510F7A" w:rsidRDefault="00C7773E" w:rsidP="00155142">
            <w:pPr>
              <w:pStyle w:val="BodyText"/>
              <w:spacing w:after="0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Komenti</w:t>
            </w:r>
          </w:p>
          <w:p w14:paraId="1FE9D5C1" w14:textId="6CB0C85B" w:rsidR="00C7773E" w:rsidRPr="00510F7A" w:rsidRDefault="00C7773E" w:rsidP="00155142">
            <w:pPr>
              <w:pStyle w:val="BodyText"/>
              <w:spacing w:after="0"/>
              <w:rPr>
                <w:rFonts w:ascii="Times New Roman" w:hAnsi="Times New Roman"/>
                <w:iCs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>(grumbulloni dhe p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>rmblidhni komente identike/t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ngjashme nga pal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>t e ndryshme t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interesuara s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bashku)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A1A" w14:textId="3042C78B" w:rsidR="00C7773E" w:rsidRPr="00510F7A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Pal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 xml:space="preserve">t e interesuara 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>(renditni t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gjith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ata q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adresuan ç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>shtjen n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m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>nyr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t</w:t>
            </w:r>
            <w:r w:rsidR="00095809">
              <w:rPr>
                <w:rFonts w:ascii="Times New Roman" w:hAnsi="Times New Roman"/>
                <w:iCs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iCs/>
                <w:szCs w:val="22"/>
                <w:lang w:val="sq-AL"/>
              </w:rPr>
              <w:t xml:space="preserve"> ngjashme)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03ED" w14:textId="77777777" w:rsidR="00155142" w:rsidRDefault="00C7773E" w:rsidP="00155142">
            <w:pPr>
              <w:pStyle w:val="BodyText"/>
              <w:spacing w:after="0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 xml:space="preserve">Vendimi </w:t>
            </w:r>
          </w:p>
          <w:p w14:paraId="4422821A" w14:textId="3E4C3FCC" w:rsidR="00C7773E" w:rsidRPr="00510F7A" w:rsidRDefault="00C7773E" w:rsidP="00155142">
            <w:pPr>
              <w:pStyle w:val="BodyText"/>
              <w:spacing w:after="0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(</w:t>
            </w:r>
            <w:r w:rsidR="00FA03E9" w:rsidRPr="00510F7A">
              <w:rPr>
                <w:rFonts w:ascii="Times New Roman" w:hAnsi="Times New Roman"/>
                <w:szCs w:val="22"/>
                <w:lang w:val="sq-AL"/>
              </w:rPr>
              <w:t>i</w:t>
            </w:r>
            <w:r w:rsidR="00155142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>pranuar/</w:t>
            </w:r>
            <w:r w:rsidR="00FA03E9" w:rsidRPr="00510F7A">
              <w:rPr>
                <w:rFonts w:ascii="Times New Roman" w:hAnsi="Times New Roman"/>
                <w:szCs w:val="22"/>
                <w:lang w:val="sq-AL"/>
              </w:rPr>
              <w:t>i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 xml:space="preserve"> pranuar pjes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>risht/</w:t>
            </w:r>
            <w:r w:rsidR="00FA03E9" w:rsidRPr="00510F7A">
              <w:rPr>
                <w:rFonts w:ascii="Times New Roman" w:hAnsi="Times New Roman"/>
                <w:szCs w:val="22"/>
                <w:lang w:val="sq-AL"/>
              </w:rPr>
              <w:t>i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 xml:space="preserve"> refuzuar)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68B" w14:textId="77777777" w:rsidR="00C7773E" w:rsidRPr="00510F7A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Justifikimi</w:t>
            </w:r>
          </w:p>
        </w:tc>
      </w:tr>
      <w:tr w:rsidR="00155142" w:rsidRPr="004F3B88" w14:paraId="3629BEF2" w14:textId="77777777" w:rsidTr="00155142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A28" w14:textId="28F543B4" w:rsidR="00D3328A" w:rsidRPr="00510F7A" w:rsidRDefault="00E04133" w:rsidP="00327CF1">
            <w:pPr>
              <w:pStyle w:val="BodyText"/>
              <w:numPr>
                <w:ilvl w:val="0"/>
                <w:numId w:val="5"/>
              </w:numPr>
              <w:ind w:left="150" w:hanging="180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Lidhur me shp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>rndarjen e librave drej</w:t>
            </w:r>
            <w:r w:rsidR="00327CF1">
              <w:rPr>
                <w:rFonts w:ascii="Times New Roman" w:hAnsi="Times New Roman"/>
                <w:szCs w:val="22"/>
                <w:lang w:val="sq-AL"/>
              </w:rPr>
              <w:t>t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bibliotekave vendore dhe institucioneve t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tjera publike.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60C" w14:textId="6B5D02B5" w:rsidR="00D3328A" w:rsidRPr="001D47B4" w:rsidRDefault="00E04133" w:rsidP="00D71C36">
            <w:pPr>
              <w:pStyle w:val="BodyText"/>
              <w:numPr>
                <w:ilvl w:val="0"/>
                <w:numId w:val="9"/>
              </w:numPr>
              <w:ind w:left="346" w:hanging="27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Gjykojm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se Neni 10 i projektligjit 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sht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i paqart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nyr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n se si 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sht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shkruar dhe,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mendimin ton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, do duhet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rishkruhet sepse l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vend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1D47B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keqkuptime.</w:t>
            </w:r>
          </w:p>
          <w:p w14:paraId="00EB3A9D" w14:textId="78D1EE32" w:rsidR="002D5E12" w:rsidRPr="00C90EF2" w:rsidRDefault="002D5E12" w:rsidP="00D71C36">
            <w:pPr>
              <w:pStyle w:val="BodyText"/>
              <w:numPr>
                <w:ilvl w:val="0"/>
                <w:numId w:val="9"/>
              </w:numPr>
              <w:ind w:left="346" w:hanging="27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Lidhur me Nenin 16, BKSH shpreh mosdakord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 saj me pik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 2,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rsa 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posht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: duke sugjeruar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rndarja e 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tyre librave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b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het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bashk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punim 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bashkit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,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cilat kan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vart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 bibliotekat publike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qyteteve, ku do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shkojn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to libra. </w:t>
            </w:r>
          </w:p>
          <w:p w14:paraId="18C4B937" w14:textId="24CE4DC6" w:rsidR="002D5E12" w:rsidRPr="00510F7A" w:rsidRDefault="002D5E12" w:rsidP="00D71C36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94D" w14:textId="6432B547" w:rsidR="00984BFB" w:rsidRPr="00510F7A" w:rsidRDefault="00E04133" w:rsidP="00E0413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Biblioteka Komb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tare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7A6" w14:textId="18CE9A72" w:rsidR="00D3328A" w:rsidRPr="00510F7A" w:rsidRDefault="0031728D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10F7A">
              <w:rPr>
                <w:rFonts w:ascii="Times New Roman" w:hAnsi="Times New Roman"/>
                <w:szCs w:val="22"/>
                <w:lang w:val="sq-AL"/>
              </w:rPr>
              <w:t>Pranuar pjes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510F7A">
              <w:rPr>
                <w:rFonts w:ascii="Times New Roman" w:hAnsi="Times New Roman"/>
                <w:szCs w:val="22"/>
                <w:lang w:val="sq-AL"/>
              </w:rPr>
              <w:t>risht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2A0" w14:textId="4422648A" w:rsidR="002D5E12" w:rsidRPr="0051258F" w:rsidRDefault="002D5E12" w:rsidP="00D71C36">
            <w:pPr>
              <w:contextualSpacing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vler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sim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komentit nr.1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BKSH komenti 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sht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marr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parasysh dhe 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sht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reflektuar me riformulimin e nenit 15. </w:t>
            </w:r>
          </w:p>
          <w:p w14:paraId="1E72EF2A" w14:textId="5389B452" w:rsidR="002D5E12" w:rsidRPr="0051258F" w:rsidRDefault="002D5E12" w:rsidP="00D71C36">
            <w:pPr>
              <w:contextualSpacing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2D5E1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Komenti nr.2 nuk </w:t>
            </w:r>
            <w:r w:rsidR="000958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5E12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0958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5E1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</w:t>
            </w:r>
            <w:r w:rsidR="000958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5E1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parasysh pasi 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sqarojm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se BK si institucion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rfitues i librave nuk mund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mos jet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dhe autoriteti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rgjegj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s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 shp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rndarjen e tyre,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projektligj 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sht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rcaktuar qar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t se BK 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shp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rndan kopjet e tjera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institucionet publike,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baz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marr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veshje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nshkruar mes pal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ve,n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marr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veshje do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rcaktohen modalitetet e shp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rndarjes s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librave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bashk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punim me institucionin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rfitues.</w:t>
            </w:r>
          </w:p>
          <w:p w14:paraId="7C612733" w14:textId="1C4A80AE" w:rsidR="0031728D" w:rsidRPr="00510F7A" w:rsidRDefault="0031728D" w:rsidP="00FA03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155142" w:rsidRPr="004F3B88" w14:paraId="3722EC97" w14:textId="77777777" w:rsidTr="00155142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451" w14:textId="77777777" w:rsidR="002D5E12" w:rsidRDefault="002D5E12" w:rsidP="0031728D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6B61C9A5" w14:textId="2021651F" w:rsidR="002D5E12" w:rsidRDefault="00235DF5" w:rsidP="00155142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Pjesëmarrja</w:t>
            </w:r>
            <w:r w:rsidR="001D47B4">
              <w:rPr>
                <w:rFonts w:ascii="Times New Roman" w:hAnsi="Times New Roman"/>
                <w:szCs w:val="22"/>
                <w:lang w:val="sq-AL"/>
              </w:rPr>
              <w:t xml:space="preserve"> n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1D47B4">
              <w:rPr>
                <w:rFonts w:ascii="Times New Roman" w:hAnsi="Times New Roman"/>
                <w:szCs w:val="22"/>
                <w:lang w:val="sq-AL"/>
              </w:rPr>
              <w:t xml:space="preserve"> KKLNL dhe mb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1D47B4">
              <w:rPr>
                <w:rFonts w:ascii="Times New Roman" w:hAnsi="Times New Roman"/>
                <w:szCs w:val="22"/>
                <w:lang w:val="sq-AL"/>
              </w:rPr>
              <w:t>shtetje n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1D47B4">
              <w:rPr>
                <w:rFonts w:ascii="Times New Roman" w:hAnsi="Times New Roman"/>
                <w:szCs w:val="22"/>
                <w:lang w:val="sq-AL"/>
              </w:rPr>
              <w:t xml:space="preserve"> fush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1D47B4">
              <w:rPr>
                <w:rFonts w:ascii="Times New Roman" w:hAnsi="Times New Roman"/>
                <w:szCs w:val="22"/>
                <w:lang w:val="sq-AL"/>
              </w:rPr>
              <w:t>n e p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1D47B4">
              <w:rPr>
                <w:rFonts w:ascii="Times New Roman" w:hAnsi="Times New Roman"/>
                <w:szCs w:val="22"/>
                <w:lang w:val="sq-AL"/>
              </w:rPr>
              <w:t>rkthimeve.</w:t>
            </w:r>
          </w:p>
          <w:p w14:paraId="710889D7" w14:textId="702F8DDA" w:rsidR="002D5E12" w:rsidRDefault="002D5E12" w:rsidP="0031728D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5DBF" w14:textId="3ED5457B" w:rsidR="00327CF1" w:rsidRPr="00C90EF2" w:rsidRDefault="00327CF1" w:rsidP="00155142">
            <w:pPr>
              <w:pStyle w:val="BodyText"/>
              <w:numPr>
                <w:ilvl w:val="0"/>
                <w:numId w:val="11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ligjin e ri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rcaktohet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shillin 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Komb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tar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Librit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jet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an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tare edhe Shoqata e 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rkthyesve Shqiptar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. 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Mendojm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kjo do ta pasuronte 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shill me mendime e propozime nga kjo Shoqat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327CF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</w:p>
          <w:p w14:paraId="180D52C3" w14:textId="2A34404B" w:rsidR="00327CF1" w:rsidRPr="0051258F" w:rsidRDefault="00327CF1" w:rsidP="00155142">
            <w:pPr>
              <w:pStyle w:val="BodyText"/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2.T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shihet mund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sia q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tarifa prej 15% 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lastRenderedPageBreak/>
              <w:t>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rkthyesit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ulet 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mas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 8-10%.</w:t>
            </w:r>
          </w:p>
          <w:p w14:paraId="3D3FBF62" w14:textId="43658DD2" w:rsidR="00327CF1" w:rsidRPr="0051258F" w:rsidRDefault="00327CF1" w:rsidP="00155142">
            <w:pPr>
              <w:pStyle w:val="BodyText"/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3.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shikohet mund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sia q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Shoqat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 e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rkthyesve Shqiptar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jepet mb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shtetje financiare q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sht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 domosdoshme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shpenzimet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nj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mjedis,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dh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nie Çmimesh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rkthimin si dhe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veprimtari shkencore me rastin e Dit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 Bot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rore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rkthimit etj. si seminare, simpoziume, </w:t>
            </w:r>
            <w:r w:rsidR="0015514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w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orkshop-e, e pse jo edhe mbajtjen e nj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Kongresi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rkthimit.</w:t>
            </w:r>
          </w:p>
          <w:p w14:paraId="0693EF03" w14:textId="29AE1FC8" w:rsidR="00FF7E2F" w:rsidRPr="0051258F" w:rsidRDefault="00327CF1" w:rsidP="00155142">
            <w:pPr>
              <w:tabs>
                <w:tab w:val="left" w:pos="567"/>
              </w:tabs>
              <w:spacing w:after="160" w:line="259" w:lineRule="auto"/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4.T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shihet mund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sia q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ulen tarifat postare.</w:t>
            </w:r>
          </w:p>
          <w:p w14:paraId="30203845" w14:textId="64B9F33A" w:rsidR="00327CF1" w:rsidRPr="00327CF1" w:rsidRDefault="00FF7E2F" w:rsidP="00155142">
            <w:pPr>
              <w:tabs>
                <w:tab w:val="left" w:pos="567"/>
              </w:tabs>
              <w:spacing w:after="160" w:line="259" w:lineRule="auto"/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5.</w:t>
            </w:r>
            <w:r w:rsidR="00327CF1" w:rsidRPr="00327CF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</w:t>
            </w:r>
            <w:r w:rsidR="00327CF1" w:rsidRPr="00327CF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hiqet TVSH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</w:t>
            </w:r>
            <w:r w:rsidR="00327CF1" w:rsidRPr="00327CF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 librin.</w:t>
            </w:r>
          </w:p>
          <w:p w14:paraId="6F9CF7E9" w14:textId="77777777" w:rsidR="002D5E12" w:rsidRDefault="002D5E12" w:rsidP="00155142">
            <w:pPr>
              <w:pStyle w:val="BodyText"/>
              <w:ind w:left="346" w:hanging="270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AC1" w14:textId="5124BAF6" w:rsidR="002D5E12" w:rsidRDefault="00FF7E2F" w:rsidP="00155142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lastRenderedPageBreak/>
              <w:t>Z. Rexhep Hida,,Kryetar i Shoqat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s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AB8" w14:textId="6D5D82F4" w:rsidR="002D5E12" w:rsidRPr="00510F7A" w:rsidRDefault="00FF7E2F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Pjes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risht 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>sht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i reflektuar n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projektligj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DBF" w14:textId="7D5C5EC2" w:rsidR="00FF7E2F" w:rsidRPr="0051258F" w:rsidRDefault="00FF7E2F" w:rsidP="00D71C36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Vler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sojm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se komenti nr.1 gjendet i reflektuar 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projektligj pasi 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nenin 8 parashikohet se pjes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 KKLN do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jen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edhe 2 an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tar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nga grupet e interesit ku rast pas rasti do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jet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edhe shoqata e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rkthyes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ve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shkak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numrit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lart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grupeve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interesit.</w:t>
            </w:r>
          </w:p>
          <w:p w14:paraId="52FB0167" w14:textId="77777777" w:rsidR="00FF7E2F" w:rsidRPr="0051258F" w:rsidRDefault="00FF7E2F" w:rsidP="00D71C36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02719E2B" w14:textId="31E5212F" w:rsidR="00FF7E2F" w:rsidRPr="0051258F" w:rsidRDefault="00FF7E2F" w:rsidP="00D71C36">
            <w:pPr>
              <w:contextualSpacing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Komentet nr.2,4,5 nuk mund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gjejn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reflektim 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projektligj pasi i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rkasin rregullimeve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tjera ligjore. </w:t>
            </w:r>
            <w:r w:rsidR="001D47B4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Gjithshtu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1D47B4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</w:t>
            </w:r>
            <w:r w:rsidR="001D47B4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lastRenderedPageBreak/>
              <w:t>nj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1D47B4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jtat komente jan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1D47B4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1D47B4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rcjell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1D47B4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edhe nga </w:t>
            </w:r>
            <w:r w:rsidR="00095809" w:rsidRP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Instituti p</w:t>
            </w:r>
            <w:r w:rsidR="005D41B0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095809" w:rsidRP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Kultur</w:t>
            </w:r>
            <w:r w:rsidR="005D41B0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095809" w:rsidRP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dhe Edukim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095809" w:rsidRP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Zhvillim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5D41B0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t</w:t>
            </w:r>
            <w:r w:rsidR="005D41B0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cilat vlen i nj</w:t>
            </w:r>
            <w:r w:rsidR="005D41B0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jti qëndrim.</w:t>
            </w:r>
          </w:p>
          <w:p w14:paraId="5BCD919D" w14:textId="77777777" w:rsidR="00FF7E2F" w:rsidRPr="0051258F" w:rsidRDefault="00FF7E2F" w:rsidP="00D71C36">
            <w:pPr>
              <w:contextualSpacing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  <w:r w:rsidRPr="0051258F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</w:t>
            </w:r>
          </w:p>
          <w:p w14:paraId="78582480" w14:textId="19647874" w:rsidR="00FF7E2F" w:rsidRPr="0051258F" w:rsidRDefault="00FF7E2F" w:rsidP="00D71C3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r sa i p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rket komentit nr. 3 sqarojm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Minsitria e Kultur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s dhe institucionet n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var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si t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cilat zbatojn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politikat n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n e librit kan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fokus mb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shtetjen e krijimtaris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artist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ve shqiptar dhe shtimin e veprimtarive kulturore dhe artistike p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rfshir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fush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n e p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rkthimit, rritjen e interesit t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publikut ndaj programeve kulturore p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rmes p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rmir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simit t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rbimeve n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infrastruktur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, si dhe rritjen e cil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artistike.</w:t>
            </w:r>
            <w:r w:rsidR="00B162BB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(I nj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162BB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jti argument qendron edhe p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162BB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r komentin nr.2 m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162BB" w:rsidRPr="005125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posht</w:t>
            </w:r>
            <w:r w:rsidR="00095809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162BB" w:rsidRPr="0051258F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  <w:p w14:paraId="2713A162" w14:textId="77777777" w:rsidR="002D5E12" w:rsidRPr="0051258F" w:rsidRDefault="002D5E12" w:rsidP="00155142">
            <w:pPr>
              <w:spacing w:after="160" w:line="36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</w:p>
        </w:tc>
      </w:tr>
      <w:tr w:rsidR="00FF7E2F" w:rsidRPr="004F3B88" w14:paraId="2B614133" w14:textId="77777777" w:rsidTr="00D71C36">
        <w:trPr>
          <w:trHeight w:val="530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DB8" w14:textId="2FB2F66B" w:rsidR="00FF7E2F" w:rsidRDefault="00C6227A" w:rsidP="0031728D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lastRenderedPageBreak/>
              <w:t>Propozime p</w:t>
            </w:r>
            <w:r w:rsidR="005D41B0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>r ndryshime n</w:t>
            </w:r>
            <w:r w:rsidR="005D41B0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baza t</w:t>
            </w:r>
            <w:r w:rsidR="005D41B0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tjera ligjore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D13" w14:textId="3D831BE8" w:rsidR="001D47B4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Vendosjen e norm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 TVSH 0%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e-books dhe librin digjital p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nj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periudh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5-10 vite.</w:t>
            </w:r>
          </w:p>
          <w:p w14:paraId="18641A8A" w14:textId="1EB01DEF" w:rsidR="001D47B4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Mb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shtetjen me grante dhe forma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tjera t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botuesve, distributor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ve, librar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ve, start-up-ve q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punojn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</w:t>
            </w:r>
            <w:r w:rsidR="00095809"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51258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tregun e librit elektronik.</w:t>
            </w:r>
          </w:p>
          <w:p w14:paraId="535AE48B" w14:textId="74166591" w:rsidR="001D47B4" w:rsidRPr="00C90EF2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Ndryshimet ligjore dhe rregullative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r librin elektronik. </w:t>
            </w:r>
          </w:p>
          <w:p w14:paraId="6F0A5F6E" w14:textId="2B355D20" w:rsidR="00C90EF2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Vendosjen e ISBN-s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 librin digjital dhe elektronik.</w:t>
            </w:r>
          </w:p>
          <w:p w14:paraId="13AB7B19" w14:textId="1B678929" w:rsidR="00C90EF2" w:rsidRPr="00C90EF2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Rregullimin e kalatogimit CIP, kategorizimin, Identifikuesi Unik Universal, 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depozitimin e kopjeve elektronike tek BKSH, dhe bashk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punimin e operator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 e interesit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aksesin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e-books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minimizohet pirateria.</w:t>
            </w:r>
          </w:p>
          <w:p w14:paraId="54CA5B2F" w14:textId="302208A2" w:rsidR="00C90EF2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Marrjen e masave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Menaxhimin 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Drejtave Elektronike.</w:t>
            </w:r>
          </w:p>
          <w:p w14:paraId="675841B3" w14:textId="720E839C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rmir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simin e procedurave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tenderimin e librave nga entet publike.</w:t>
            </w:r>
          </w:p>
          <w:p w14:paraId="479B3510" w14:textId="0355869A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Mostjet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rsimin e fondeve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librit nga entet publike.</w:t>
            </w:r>
          </w:p>
          <w:p w14:paraId="047188BF" w14:textId="70F4F620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Njehsimin e norm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 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TVSH-s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librin mes Shqip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ris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dhe Kosov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.s</w:t>
            </w:r>
          </w:p>
          <w:p w14:paraId="7195788E" w14:textId="77777777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Heqjen e takses doganore me Kosoven per librin. Ne pamundesi, te zgjatet afati i pageses se kesaj 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lastRenderedPageBreak/>
              <w:t>takse ne varesi te procesit te shitjes se librit apo kthimit, sipas marreveshjeve qe kane operatoret ne dy tregjet e librit.</w:t>
            </w:r>
          </w:p>
          <w:p w14:paraId="45DE6E83" w14:textId="4777AD66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Rritjen e kufirit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pakos 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librave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70 – 100 euro, pa taks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doganore, kur transportohet nga Shqip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ria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Kosov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dhe anasjelltas</w:t>
            </w:r>
          </w:p>
          <w:p w14:paraId="30513F42" w14:textId="2C60381C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Heqjen e TVSH-s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transportin e librave nga Shqip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ria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Kosov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dhe anasjelltas</w:t>
            </w:r>
          </w:p>
          <w:p w14:paraId="25C33AFD" w14:textId="51AFCF90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Vendosjen e çmimeve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rbashk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ta vjetore letrare mes Shqip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ris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dhe Kosov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let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rsin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 shkruar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gjuh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 shqipe, qoft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f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mij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apo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rritur</w:t>
            </w:r>
          </w:p>
          <w:p w14:paraId="743C5535" w14:textId="16BCD14F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Pasurimin e nd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rsjellt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bibliotekave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Shqip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ri dhe Kosov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, duke rishikuar list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 e rekomandimeve, duke futur edhe nga autor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nga Kosova si </w:t>
            </w:r>
            <w:r w:rsid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pjes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 librave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rekomanduar.</w:t>
            </w:r>
          </w:p>
          <w:p w14:paraId="4E135C91" w14:textId="21DE6423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Ndryshimin e skem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 aktuale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norm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 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TVSH-s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, pa ndryshuar nivelin fundor 6% tek lexuesit, duke dh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ndihmes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jo vet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m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botuesit, por edhe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distributor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 dhe librarit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 Kjo nd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rhyrje do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ndikoj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ulet çmimi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lexuesin,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rriten shitjet dhe,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rrjedhoj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, edhe lexueshm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ria</w:t>
            </w:r>
          </w:p>
          <w:p w14:paraId="6F824BEA" w14:textId="16F8ECA5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Regjistri i botuesve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kaloj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var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e 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lastRenderedPageBreak/>
              <w:t>QKLL duke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rmir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suar pun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 e tij, rritur formalizimin dhe vendosur kushte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botuesit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ken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redaktor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dhe korrektor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pun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suar. </w:t>
            </w:r>
          </w:p>
          <w:p w14:paraId="0E239546" w14:textId="58FFB663" w:rsidR="00C90EF2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Rregullime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tejshme sipas Ligjit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Sponsorizimet, ku subjektet publike dhe private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paguajn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tatim fitimi, japin 5%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shum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 s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tatimit si mb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shtje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r botuesit. </w:t>
            </w:r>
          </w:p>
          <w:p w14:paraId="186EB0F1" w14:textId="51627042" w:rsidR="00DC26E6" w:rsidRPr="0051258F" w:rsidRDefault="001D47B4" w:rsidP="00C90EF2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shpallet me ligj ose vendim Dita Komb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tare e Librit,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rmes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cilit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synohet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promovohet libri dhe leximi me nj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kalendar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ngjeshur aktivitetesh dhe ç</w:t>
            </w:r>
            <w:r w:rsid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mimesh.</w:t>
            </w:r>
          </w:p>
          <w:p w14:paraId="1D810F42" w14:textId="282E6AD8" w:rsidR="00DC26E6" w:rsidRPr="0051258F" w:rsidRDefault="001D47B4" w:rsidP="00DC26E6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Propozohet data 5 janar si dita e botimit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librit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par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C90EF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shqip, Mesharin e Gjon Buzukut.</w:t>
            </w:r>
          </w:p>
          <w:p w14:paraId="1571E006" w14:textId="16648834" w:rsidR="001D47B4" w:rsidRPr="0051258F" w:rsidRDefault="001D47B4" w:rsidP="00DC26E6">
            <w:pPr>
              <w:pStyle w:val="BodyText"/>
              <w:numPr>
                <w:ilvl w:val="0"/>
                <w:numId w:val="10"/>
              </w:numPr>
              <w:ind w:left="346" w:hanging="27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rfshihen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gjith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faktor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 e grupit 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interesit n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institucionet politikb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se dhe vendimmar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se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 librin, - si pal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q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nga librarit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, distributor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t, autor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t, p</w:t>
            </w:r>
            <w:r w:rsidR="0009580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DC26E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rkthyesit dhe grupet e lexuesve.</w:t>
            </w:r>
          </w:p>
          <w:p w14:paraId="50AFD9EA" w14:textId="77777777" w:rsidR="00FF7E2F" w:rsidRPr="0051258F" w:rsidRDefault="00FF7E2F" w:rsidP="00327CF1">
            <w:pPr>
              <w:pStyle w:val="BodyText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955" w14:textId="6E3DDE8D" w:rsidR="00FF7E2F" w:rsidRDefault="00126D82" w:rsidP="00A15C90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lastRenderedPageBreak/>
              <w:t>Instituti per Kulture dhe Edukim p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>r Zhvillim p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>rfaqsuar nga Drejtori Ekzekutiv z.Albert Gjoka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4C2" w14:textId="64A3DA3B" w:rsidR="00FF7E2F" w:rsidRPr="00510F7A" w:rsidRDefault="00126D82" w:rsidP="00126D82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Komentet pjes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>risht kane qen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t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reflektuara n</w:t>
            </w:r>
            <w:r w:rsidR="00095809">
              <w:rPr>
                <w:rFonts w:ascii="Times New Roman" w:hAnsi="Times New Roman"/>
                <w:szCs w:val="22"/>
                <w:lang w:val="sq-AL"/>
              </w:rPr>
              <w:t>ë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projektligj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B37" w14:textId="0091EAB4" w:rsidR="00FF7E2F" w:rsidRPr="0051258F" w:rsidRDefault="00B55ECB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Komenti </w:t>
            </w:r>
            <w:r w:rsidR="00126D82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nr.1</w:t>
            </w:r>
            <w:r w:rsidR="00F86F3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,</w:t>
            </w:r>
            <w:r w:rsidR="0082284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5.</w:t>
            </w:r>
            <w:r w:rsidR="00F86F3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6,7,9,10,11,12,13,15,17,18,19 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, nuk mund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reflektohen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k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projektligj pasi i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rkasin rregullimeve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tjera ligjore.</w:t>
            </w:r>
          </w:p>
          <w:p w14:paraId="4672B9DC" w14:textId="6B4C4EB9" w:rsidR="00B162BB" w:rsidRPr="0051258F" w:rsidRDefault="00B162BB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Komenti nr. 3</w:t>
            </w:r>
            <w:r w:rsidR="0082284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ka qen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="0082284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reflektuar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="0082284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draft, duke parashikuar edhe librin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="0082284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format elektronik.</w:t>
            </w:r>
          </w:p>
          <w:p w14:paraId="288A1A76" w14:textId="5525EF3E" w:rsidR="00822849" w:rsidRPr="0051258F" w:rsidRDefault="00822849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</w:p>
          <w:p w14:paraId="1A606F30" w14:textId="7A3A44C6" w:rsidR="00822849" w:rsidRPr="0051258F" w:rsidRDefault="00822849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Komenti nr.4 mbi vendosjen e ISBN, 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sqarojmë se </w:t>
            </w:r>
            <w:r w:rsidR="00C6227A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ISBN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sht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pjes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e parashikimeve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ligj  N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rmjet Agjencis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Komb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tare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Standardizimit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Botimeve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Librit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rcaktohen procedurat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 ofrimin, dh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nien dhe kontrollin e zbatimit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ISBN-s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, si dhe kushtet q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duhet 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plot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soj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botuesi p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 k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rkimin, marrjen dhe vendosjen e ISBN-s</w:t>
            </w:r>
            <w:r w:rsidR="00095809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ë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.</w:t>
            </w:r>
          </w:p>
          <w:p w14:paraId="53E1C253" w14:textId="77777777" w:rsidR="00095809" w:rsidRPr="0051258F" w:rsidRDefault="00095809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</w:p>
          <w:p w14:paraId="0C327391" w14:textId="018127AE" w:rsidR="00095809" w:rsidRPr="0051258F" w:rsidRDefault="00095809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Për sa i përket komentit nr.14 sqarojmë se projektligji ka parashikuar edhe në objekt edhe në qëllim promovimin dhe nxitjen e leximit e cila do të sjellë zbatimin e programeve që do të përmbushin këtë koment.</w:t>
            </w:r>
          </w:p>
          <w:p w14:paraId="7C4EC673" w14:textId="75201BAA" w:rsidR="00095809" w:rsidRPr="0051258F" w:rsidRDefault="00095809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</w:p>
          <w:p w14:paraId="6BD24C8E" w14:textId="1536E8CC" w:rsidR="00095809" w:rsidRPr="0051258F" w:rsidRDefault="00095809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Komenti </w:t>
            </w:r>
            <w:r w:rsidR="00C6227A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8, 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16</w:t>
            </w:r>
            <w:r w:rsidR="00C6227A"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>,</w:t>
            </w:r>
            <w:r w:rsidRPr="0051258F"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  <w:t xml:space="preserve"> dhe 19 ka qenë i reflektuar  në projektligj, rregjistri i ka kaluar QKLL dhe në përbërjen e KKLNL do të jenë edhe 2 përfaqsues nga grupet e interest.</w:t>
            </w:r>
          </w:p>
          <w:p w14:paraId="502FC783" w14:textId="77777777" w:rsidR="00822849" w:rsidRPr="0051258F" w:rsidRDefault="00822849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</w:p>
          <w:p w14:paraId="59C666C4" w14:textId="08231F41" w:rsidR="00822849" w:rsidRPr="0051258F" w:rsidRDefault="00822849" w:rsidP="00D71C36">
            <w:pPr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val="sq-AL" w:eastAsia="ja-JP"/>
              </w:rPr>
            </w:pPr>
          </w:p>
        </w:tc>
      </w:tr>
    </w:tbl>
    <w:p w14:paraId="466A4DC9" w14:textId="77777777" w:rsidR="00C7773E" w:rsidRPr="003A19ED" w:rsidRDefault="00C7773E">
      <w:pPr>
        <w:rPr>
          <w:rFonts w:ascii="Times New Roman" w:hAnsi="Times New Roman"/>
          <w:sz w:val="24"/>
          <w:szCs w:val="24"/>
          <w:lang w:val="sq-AL"/>
        </w:rPr>
      </w:pPr>
    </w:p>
    <w:sectPr w:rsidR="00C7773E" w:rsidRPr="003A19ED" w:rsidSect="00D85943">
      <w:pgSz w:w="11900" w:h="16840"/>
      <w:pgMar w:top="990" w:right="1280" w:bottom="1417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BACF" w14:textId="77777777" w:rsidR="00F71D78" w:rsidRDefault="00F71D78" w:rsidP="002E4815">
      <w:r>
        <w:separator/>
      </w:r>
    </w:p>
  </w:endnote>
  <w:endnote w:type="continuationSeparator" w:id="0">
    <w:p w14:paraId="6A81E5F3" w14:textId="77777777" w:rsidR="00F71D78" w:rsidRDefault="00F71D78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58E6B" w14:textId="77777777" w:rsidR="00F71D78" w:rsidRDefault="00F71D78" w:rsidP="002E4815">
      <w:r>
        <w:separator/>
      </w:r>
    </w:p>
  </w:footnote>
  <w:footnote w:type="continuationSeparator" w:id="0">
    <w:p w14:paraId="0EB48EAF" w14:textId="77777777" w:rsidR="00F71D78" w:rsidRDefault="00F71D78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08445712"/>
    <w:lvl w:ilvl="0" w:tplc="D1683F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C57"/>
    <w:multiLevelType w:val="hybridMultilevel"/>
    <w:tmpl w:val="E494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0D2C"/>
    <w:multiLevelType w:val="hybridMultilevel"/>
    <w:tmpl w:val="56603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1B04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85E"/>
    <w:multiLevelType w:val="hybridMultilevel"/>
    <w:tmpl w:val="F0BA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973DD"/>
    <w:multiLevelType w:val="hybridMultilevel"/>
    <w:tmpl w:val="5066EE18"/>
    <w:lvl w:ilvl="0" w:tplc="101A1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81822"/>
    <w:multiLevelType w:val="hybridMultilevel"/>
    <w:tmpl w:val="E494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70869"/>
    <w:multiLevelType w:val="hybridMultilevel"/>
    <w:tmpl w:val="AFA4D904"/>
    <w:lvl w:ilvl="0" w:tplc="041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569977C1"/>
    <w:multiLevelType w:val="hybridMultilevel"/>
    <w:tmpl w:val="0818DB16"/>
    <w:lvl w:ilvl="0" w:tplc="101A1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D03CA"/>
    <w:multiLevelType w:val="hybridMultilevel"/>
    <w:tmpl w:val="F9E6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47119"/>
    <w:multiLevelType w:val="hybridMultilevel"/>
    <w:tmpl w:val="E494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3E"/>
    <w:rsid w:val="00035806"/>
    <w:rsid w:val="00095809"/>
    <w:rsid w:val="000D632E"/>
    <w:rsid w:val="00126D82"/>
    <w:rsid w:val="00147663"/>
    <w:rsid w:val="00155142"/>
    <w:rsid w:val="00155341"/>
    <w:rsid w:val="00165E4B"/>
    <w:rsid w:val="001A235D"/>
    <w:rsid w:val="001B6141"/>
    <w:rsid w:val="001D47B4"/>
    <w:rsid w:val="00210CF6"/>
    <w:rsid w:val="00216E92"/>
    <w:rsid w:val="00221040"/>
    <w:rsid w:val="00235DF5"/>
    <w:rsid w:val="00264A1A"/>
    <w:rsid w:val="00270375"/>
    <w:rsid w:val="002B13AE"/>
    <w:rsid w:val="002D5D0C"/>
    <w:rsid w:val="002D5E12"/>
    <w:rsid w:val="002E0746"/>
    <w:rsid w:val="002E4815"/>
    <w:rsid w:val="00315A5E"/>
    <w:rsid w:val="0031728D"/>
    <w:rsid w:val="00327CF1"/>
    <w:rsid w:val="003443FF"/>
    <w:rsid w:val="00365667"/>
    <w:rsid w:val="003721A3"/>
    <w:rsid w:val="003A19ED"/>
    <w:rsid w:val="00426D3F"/>
    <w:rsid w:val="00440646"/>
    <w:rsid w:val="00465A38"/>
    <w:rsid w:val="004C6E22"/>
    <w:rsid w:val="004F369C"/>
    <w:rsid w:val="004F3B88"/>
    <w:rsid w:val="00510F7A"/>
    <w:rsid w:val="0051258F"/>
    <w:rsid w:val="00521975"/>
    <w:rsid w:val="005224F1"/>
    <w:rsid w:val="005413D9"/>
    <w:rsid w:val="00553ADD"/>
    <w:rsid w:val="00583896"/>
    <w:rsid w:val="005A7C7D"/>
    <w:rsid w:val="005B160F"/>
    <w:rsid w:val="005B25B1"/>
    <w:rsid w:val="005D41B0"/>
    <w:rsid w:val="005F29B9"/>
    <w:rsid w:val="0066695F"/>
    <w:rsid w:val="00684EBE"/>
    <w:rsid w:val="006D1CA6"/>
    <w:rsid w:val="006E6D59"/>
    <w:rsid w:val="006F43B1"/>
    <w:rsid w:val="00702BF7"/>
    <w:rsid w:val="00756214"/>
    <w:rsid w:val="007630B7"/>
    <w:rsid w:val="00782AAD"/>
    <w:rsid w:val="007E2A73"/>
    <w:rsid w:val="00803AFB"/>
    <w:rsid w:val="00822849"/>
    <w:rsid w:val="008708F6"/>
    <w:rsid w:val="008F30DC"/>
    <w:rsid w:val="008F7BD8"/>
    <w:rsid w:val="00984BFB"/>
    <w:rsid w:val="009867FF"/>
    <w:rsid w:val="00994A84"/>
    <w:rsid w:val="00994E6F"/>
    <w:rsid w:val="009B3F8B"/>
    <w:rsid w:val="009E6A5D"/>
    <w:rsid w:val="00A15C90"/>
    <w:rsid w:val="00A22CEC"/>
    <w:rsid w:val="00A70A48"/>
    <w:rsid w:val="00A75AF4"/>
    <w:rsid w:val="00AD49F8"/>
    <w:rsid w:val="00AD70C4"/>
    <w:rsid w:val="00AE5039"/>
    <w:rsid w:val="00AF2662"/>
    <w:rsid w:val="00B162BB"/>
    <w:rsid w:val="00B26839"/>
    <w:rsid w:val="00B55ECB"/>
    <w:rsid w:val="00B57711"/>
    <w:rsid w:val="00B70301"/>
    <w:rsid w:val="00B81668"/>
    <w:rsid w:val="00B8476D"/>
    <w:rsid w:val="00BF1C54"/>
    <w:rsid w:val="00C244F3"/>
    <w:rsid w:val="00C45848"/>
    <w:rsid w:val="00C6227A"/>
    <w:rsid w:val="00C7773E"/>
    <w:rsid w:val="00C90EF2"/>
    <w:rsid w:val="00CA76FF"/>
    <w:rsid w:val="00CD0024"/>
    <w:rsid w:val="00D32616"/>
    <w:rsid w:val="00D3328A"/>
    <w:rsid w:val="00D37FAB"/>
    <w:rsid w:val="00D678C7"/>
    <w:rsid w:val="00D71C36"/>
    <w:rsid w:val="00D74373"/>
    <w:rsid w:val="00D85943"/>
    <w:rsid w:val="00D91B0E"/>
    <w:rsid w:val="00DC26E6"/>
    <w:rsid w:val="00DE3933"/>
    <w:rsid w:val="00E04133"/>
    <w:rsid w:val="00E07647"/>
    <w:rsid w:val="00E20F11"/>
    <w:rsid w:val="00E32AAD"/>
    <w:rsid w:val="00E96B2B"/>
    <w:rsid w:val="00ED0FA4"/>
    <w:rsid w:val="00EF0309"/>
    <w:rsid w:val="00F05FB0"/>
    <w:rsid w:val="00F077CE"/>
    <w:rsid w:val="00F34E7A"/>
    <w:rsid w:val="00F71D78"/>
    <w:rsid w:val="00F86F39"/>
    <w:rsid w:val="00FA03E9"/>
    <w:rsid w:val="00FC33B2"/>
    <w:rsid w:val="00FD1670"/>
    <w:rsid w:val="00FE326E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  <w15:docId w15:val="{5F064460-AE19-41EF-B678-B4A2BD19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73DC-548C-4DC5-A86D-7C56F999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Eriola Kocileri</cp:lastModifiedBy>
  <cp:revision>2</cp:revision>
  <cp:lastPrinted>2020-11-02T08:54:00Z</cp:lastPrinted>
  <dcterms:created xsi:type="dcterms:W3CDTF">2024-01-17T11:21:00Z</dcterms:created>
  <dcterms:modified xsi:type="dcterms:W3CDTF">2024-01-17T11:21:00Z</dcterms:modified>
</cp:coreProperties>
</file>