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FD292" w14:textId="07FB7058" w:rsidR="00E93729" w:rsidRDefault="008F0C02" w:rsidP="008F0C02">
      <w:pPr>
        <w:pStyle w:val="Heading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922D7A">
        <w:rPr>
          <w:rFonts w:ascii="Times New Roman" w:hAnsi="Times New Roman" w:cs="Times New Roman"/>
          <w:sz w:val="24"/>
          <w:szCs w:val="24"/>
        </w:rPr>
        <w:t xml:space="preserve">  </w:t>
      </w:r>
      <w:r w:rsidR="00F27A26" w:rsidRPr="008F0C02">
        <w:rPr>
          <w:rFonts w:ascii="Times New Roman" w:hAnsi="Times New Roman" w:cs="Times New Roman"/>
          <w:sz w:val="24"/>
          <w:szCs w:val="24"/>
        </w:rPr>
        <w:t>PROJEKTLIGJ</w:t>
      </w:r>
      <w:r w:rsidR="00E93729" w:rsidRPr="008F0C02">
        <w:rPr>
          <w:rFonts w:ascii="Times New Roman" w:hAnsi="Times New Roman" w:cs="Times New Roman"/>
          <w:sz w:val="24"/>
          <w:szCs w:val="24"/>
        </w:rPr>
        <w:t xml:space="preserve"> “</w:t>
      </w:r>
      <w:r w:rsidR="00EE1A78" w:rsidRPr="008F0C02">
        <w:rPr>
          <w:rFonts w:ascii="Times New Roman" w:hAnsi="Times New Roman" w:cs="Times New Roman"/>
          <w:sz w:val="24"/>
          <w:szCs w:val="24"/>
        </w:rPr>
        <w:t>P</w:t>
      </w:r>
      <w:r>
        <w:rPr>
          <w:rFonts w:ascii="Times New Roman" w:hAnsi="Times New Roman" w:cs="Times New Roman"/>
          <w:sz w:val="24"/>
          <w:szCs w:val="24"/>
        </w:rPr>
        <w:t>Ë</w:t>
      </w:r>
      <w:r w:rsidR="00EE1A78" w:rsidRPr="008F0C02">
        <w:rPr>
          <w:rFonts w:ascii="Times New Roman" w:hAnsi="Times New Roman" w:cs="Times New Roman"/>
          <w:sz w:val="24"/>
          <w:szCs w:val="24"/>
        </w:rPr>
        <w:t>R D</w:t>
      </w:r>
      <w:r>
        <w:rPr>
          <w:rFonts w:ascii="Times New Roman" w:hAnsi="Times New Roman" w:cs="Times New Roman"/>
          <w:sz w:val="24"/>
          <w:szCs w:val="24"/>
        </w:rPr>
        <w:t>Ë</w:t>
      </w:r>
      <w:r w:rsidR="00EE1A78" w:rsidRPr="008F0C02">
        <w:rPr>
          <w:rFonts w:ascii="Times New Roman" w:hAnsi="Times New Roman" w:cs="Times New Roman"/>
          <w:sz w:val="24"/>
          <w:szCs w:val="24"/>
        </w:rPr>
        <w:t>FTESAT TREG</w:t>
      </w:r>
      <w:r>
        <w:rPr>
          <w:rFonts w:ascii="Times New Roman" w:hAnsi="Times New Roman" w:cs="Times New Roman"/>
          <w:sz w:val="24"/>
          <w:szCs w:val="24"/>
        </w:rPr>
        <w:t>Ë</w:t>
      </w:r>
      <w:r w:rsidR="00EE1A78" w:rsidRPr="008F0C02">
        <w:rPr>
          <w:rFonts w:ascii="Times New Roman" w:hAnsi="Times New Roman" w:cs="Times New Roman"/>
          <w:sz w:val="24"/>
          <w:szCs w:val="24"/>
        </w:rPr>
        <w:t>TARE MBI PRODUKTET BUJQ</w:t>
      </w:r>
      <w:r>
        <w:rPr>
          <w:rFonts w:ascii="Times New Roman" w:hAnsi="Times New Roman" w:cs="Times New Roman"/>
          <w:sz w:val="24"/>
          <w:szCs w:val="24"/>
        </w:rPr>
        <w:t>Ë</w:t>
      </w:r>
      <w:r w:rsidR="00EE1A78" w:rsidRPr="008F0C02">
        <w:rPr>
          <w:rFonts w:ascii="Times New Roman" w:hAnsi="Times New Roman" w:cs="Times New Roman"/>
          <w:sz w:val="24"/>
          <w:szCs w:val="24"/>
        </w:rPr>
        <w:t>SORE</w:t>
      </w:r>
      <w:r w:rsidR="00E93729" w:rsidRPr="008F0C02">
        <w:rPr>
          <w:rFonts w:ascii="Times New Roman" w:hAnsi="Times New Roman" w:cs="Times New Roman"/>
          <w:sz w:val="24"/>
          <w:szCs w:val="24"/>
        </w:rPr>
        <w:t>”</w:t>
      </w:r>
    </w:p>
    <w:p w14:paraId="0F5C6491" w14:textId="07F9A1AD" w:rsidR="00F27A26" w:rsidRDefault="00F27A26" w:rsidP="005B6D2B">
      <w:pPr>
        <w:jc w:val="center"/>
        <w:rPr>
          <w:rFonts w:ascii="Times New Roman" w:hAnsi="Times New Roman"/>
          <w:b/>
          <w:bCs/>
          <w:iCs/>
          <w:sz w:val="24"/>
          <w:szCs w:val="24"/>
          <w:lang w:val="de-DE" w:bidi="en-GB"/>
        </w:rPr>
      </w:pPr>
    </w:p>
    <w:p w14:paraId="0EBC2F4F" w14:textId="77777777" w:rsidR="00274B83" w:rsidRDefault="00274B83" w:rsidP="005B6D2B">
      <w:pPr>
        <w:jc w:val="center"/>
        <w:rPr>
          <w:rFonts w:ascii="Times New Roman" w:hAnsi="Times New Roman"/>
          <w:b/>
          <w:bCs/>
          <w:iCs/>
          <w:sz w:val="24"/>
          <w:szCs w:val="24"/>
          <w:lang w:val="de-DE" w:bidi="en-GB"/>
        </w:rPr>
      </w:pPr>
    </w:p>
    <w:p w14:paraId="0BB8A95D" w14:textId="44492BF2" w:rsidR="005B6D2B" w:rsidRDefault="00750190" w:rsidP="005B6D2B">
      <w:pPr>
        <w:jc w:val="center"/>
        <w:rPr>
          <w:rFonts w:ascii="Times New Roman" w:hAnsi="Times New Roman"/>
          <w:b/>
          <w:bCs/>
          <w:iCs/>
          <w:sz w:val="24"/>
          <w:szCs w:val="24"/>
          <w:lang w:val="de-DE" w:bidi="en-GB"/>
        </w:rPr>
      </w:pPr>
      <w:r w:rsidRPr="002A3FAE">
        <w:rPr>
          <w:rFonts w:ascii="Times New Roman" w:hAnsi="Times New Roman"/>
          <w:b/>
          <w:bCs/>
          <w:iCs/>
          <w:sz w:val="24"/>
          <w:szCs w:val="24"/>
          <w:lang w:val="de-DE" w:bidi="en-GB"/>
        </w:rPr>
        <w:t>RAPORT PËR REZULTATET E KONSULTIMIT PUBLIK</w:t>
      </w:r>
    </w:p>
    <w:p w14:paraId="0BB8A95E" w14:textId="77777777" w:rsidR="005B6D2B" w:rsidRPr="002A3FAE" w:rsidRDefault="005B6D2B" w:rsidP="005B6D2B">
      <w:pPr>
        <w:rPr>
          <w:rFonts w:ascii="Times New Roman" w:hAnsi="Times New Roman"/>
          <w:sz w:val="24"/>
          <w:szCs w:val="24"/>
          <w:lang w:val="de-DE"/>
        </w:rPr>
      </w:pPr>
    </w:p>
    <w:p w14:paraId="0BB8A961" w14:textId="70679744" w:rsidR="00A121AB" w:rsidRPr="00537061" w:rsidRDefault="003F5E5B" w:rsidP="00537061">
      <w:pPr>
        <w:rPr>
          <w:rFonts w:ascii="Times New Roman" w:hAnsi="Times New Roman"/>
          <w:b/>
          <w:bCs/>
          <w:sz w:val="24"/>
          <w:szCs w:val="24"/>
        </w:rPr>
      </w:pPr>
      <w:r w:rsidRPr="00537061">
        <w:rPr>
          <w:rFonts w:ascii="Times New Roman" w:hAnsi="Times New Roman"/>
          <w:b/>
          <w:bCs/>
          <w:sz w:val="24"/>
          <w:szCs w:val="24"/>
        </w:rPr>
        <w:t>Titulli i draft aktit</w:t>
      </w:r>
      <w:r w:rsidR="008F0C02" w:rsidRPr="00537061">
        <w:rPr>
          <w:rFonts w:ascii="Times New Roman" w:hAnsi="Times New Roman"/>
          <w:b/>
          <w:bCs/>
          <w:sz w:val="24"/>
          <w:szCs w:val="24"/>
        </w:rPr>
        <w:t xml:space="preserve">: </w:t>
      </w:r>
      <w:r w:rsidR="009114E5" w:rsidRPr="00537061">
        <w:rPr>
          <w:rFonts w:ascii="Times New Roman" w:hAnsi="Times New Roman"/>
          <w:bCs/>
          <w:sz w:val="24"/>
          <w:szCs w:val="24"/>
        </w:rPr>
        <w:t>Projekt</w:t>
      </w:r>
      <w:r w:rsidR="002A3FAE" w:rsidRPr="00537061">
        <w:rPr>
          <w:rFonts w:ascii="Times New Roman" w:hAnsi="Times New Roman"/>
          <w:bCs/>
          <w:sz w:val="24"/>
          <w:szCs w:val="24"/>
        </w:rPr>
        <w:t>ligj</w:t>
      </w:r>
      <w:r w:rsidR="009114E5" w:rsidRPr="00537061">
        <w:rPr>
          <w:rFonts w:ascii="Times New Roman" w:hAnsi="Times New Roman"/>
          <w:bCs/>
          <w:sz w:val="24"/>
          <w:szCs w:val="24"/>
        </w:rPr>
        <w:t xml:space="preserve"> “Për </w:t>
      </w:r>
      <w:bookmarkStart w:id="1" w:name="_Hlk140355303"/>
      <w:r w:rsidR="00DC6629" w:rsidRPr="00537061">
        <w:rPr>
          <w:rFonts w:ascii="Times New Roman" w:hAnsi="Times New Roman"/>
          <w:bCs/>
          <w:sz w:val="24"/>
          <w:szCs w:val="24"/>
        </w:rPr>
        <w:t>d</w:t>
      </w:r>
      <w:r w:rsidR="007D4B85" w:rsidRPr="00537061">
        <w:rPr>
          <w:rFonts w:ascii="Times New Roman" w:hAnsi="Times New Roman"/>
          <w:bCs/>
          <w:sz w:val="24"/>
          <w:szCs w:val="24"/>
        </w:rPr>
        <w:t>ë</w:t>
      </w:r>
      <w:r w:rsidR="00DC6629" w:rsidRPr="00537061">
        <w:rPr>
          <w:rFonts w:ascii="Times New Roman" w:hAnsi="Times New Roman"/>
          <w:bCs/>
          <w:sz w:val="24"/>
          <w:szCs w:val="24"/>
        </w:rPr>
        <w:t>ftesat treg</w:t>
      </w:r>
      <w:r w:rsidR="007D4B85" w:rsidRPr="00537061">
        <w:rPr>
          <w:rFonts w:ascii="Times New Roman" w:hAnsi="Times New Roman"/>
          <w:bCs/>
          <w:sz w:val="24"/>
          <w:szCs w:val="24"/>
        </w:rPr>
        <w:t>ë</w:t>
      </w:r>
      <w:r w:rsidR="00DC6629" w:rsidRPr="00537061">
        <w:rPr>
          <w:rFonts w:ascii="Times New Roman" w:hAnsi="Times New Roman"/>
          <w:bCs/>
          <w:sz w:val="24"/>
          <w:szCs w:val="24"/>
        </w:rPr>
        <w:t>tare mbi produktet bujq</w:t>
      </w:r>
      <w:r w:rsidR="007D4B85" w:rsidRPr="00537061">
        <w:rPr>
          <w:rFonts w:ascii="Times New Roman" w:hAnsi="Times New Roman"/>
          <w:bCs/>
          <w:sz w:val="24"/>
          <w:szCs w:val="24"/>
        </w:rPr>
        <w:t>ë</w:t>
      </w:r>
      <w:r w:rsidR="00DC6629" w:rsidRPr="00537061">
        <w:rPr>
          <w:rFonts w:ascii="Times New Roman" w:hAnsi="Times New Roman"/>
          <w:bCs/>
          <w:sz w:val="24"/>
          <w:szCs w:val="24"/>
        </w:rPr>
        <w:t>sore</w:t>
      </w:r>
      <w:r w:rsidR="009114E5" w:rsidRPr="00537061">
        <w:rPr>
          <w:rFonts w:ascii="Times New Roman" w:hAnsi="Times New Roman"/>
          <w:bCs/>
          <w:sz w:val="24"/>
          <w:szCs w:val="24"/>
        </w:rPr>
        <w:t>”.</w:t>
      </w:r>
    </w:p>
    <w:p w14:paraId="14E1FDC7" w14:textId="77777777" w:rsidR="009114E5" w:rsidRPr="002A3FAE" w:rsidRDefault="009114E5" w:rsidP="00A121AB">
      <w:pPr>
        <w:ind w:left="360"/>
        <w:jc w:val="both"/>
        <w:rPr>
          <w:rFonts w:ascii="Times New Roman" w:hAnsi="Times New Roman"/>
          <w:b/>
          <w:bCs/>
          <w:sz w:val="24"/>
          <w:szCs w:val="24"/>
        </w:rPr>
      </w:pPr>
    </w:p>
    <w:bookmarkEnd w:id="1"/>
    <w:p w14:paraId="0BB8A962" w14:textId="7E54244B" w:rsidR="005B6D2B" w:rsidRPr="00537061" w:rsidRDefault="005B6D2B" w:rsidP="00537061">
      <w:pPr>
        <w:jc w:val="both"/>
        <w:rPr>
          <w:rFonts w:ascii="Times New Roman" w:hAnsi="Times New Roman"/>
          <w:i/>
          <w:iCs/>
          <w:sz w:val="24"/>
          <w:szCs w:val="24"/>
        </w:rPr>
      </w:pPr>
      <w:r w:rsidRPr="00537061">
        <w:rPr>
          <w:rFonts w:ascii="Times New Roman" w:hAnsi="Times New Roman"/>
          <w:b/>
          <w:bCs/>
          <w:sz w:val="24"/>
          <w:szCs w:val="24"/>
        </w:rPr>
        <w:t>Kohëzgjatja e konsultimeve</w:t>
      </w:r>
    </w:p>
    <w:p w14:paraId="59A81A47" w14:textId="77777777" w:rsidR="00C377C2" w:rsidRDefault="00C377C2" w:rsidP="00B43C57">
      <w:pPr>
        <w:jc w:val="both"/>
        <w:rPr>
          <w:rFonts w:ascii="Times New Roman" w:hAnsi="Times New Roman"/>
          <w:i/>
          <w:iCs/>
          <w:sz w:val="24"/>
          <w:szCs w:val="24"/>
        </w:rPr>
      </w:pPr>
    </w:p>
    <w:p w14:paraId="52E4AF34" w14:textId="61ED62B2" w:rsidR="00B43C57" w:rsidRPr="00C377C2" w:rsidRDefault="008F0C02" w:rsidP="00B43C57">
      <w:pPr>
        <w:jc w:val="both"/>
        <w:rPr>
          <w:rFonts w:ascii="Times New Roman" w:hAnsi="Times New Roman"/>
          <w:iCs/>
          <w:sz w:val="24"/>
          <w:szCs w:val="24"/>
        </w:rPr>
      </w:pPr>
      <w:r w:rsidRPr="00C377C2">
        <w:rPr>
          <w:rFonts w:ascii="Times New Roman" w:hAnsi="Times New Roman"/>
          <w:iCs/>
          <w:sz w:val="24"/>
          <w:szCs w:val="24"/>
        </w:rPr>
        <w:t>Konsultimi n</w:t>
      </w:r>
      <w:r w:rsidR="00C377C2">
        <w:rPr>
          <w:rFonts w:ascii="Times New Roman" w:hAnsi="Times New Roman"/>
          <w:iCs/>
          <w:sz w:val="24"/>
          <w:szCs w:val="24"/>
        </w:rPr>
        <w:t>ë</w:t>
      </w:r>
      <w:r w:rsidRPr="00C377C2">
        <w:rPr>
          <w:rFonts w:ascii="Times New Roman" w:hAnsi="Times New Roman"/>
          <w:iCs/>
          <w:sz w:val="24"/>
          <w:szCs w:val="24"/>
        </w:rPr>
        <w:t xml:space="preserve"> Regjistrin Ektronik t</w:t>
      </w:r>
      <w:r w:rsidR="00C377C2">
        <w:rPr>
          <w:rFonts w:ascii="Times New Roman" w:hAnsi="Times New Roman"/>
          <w:iCs/>
          <w:sz w:val="24"/>
          <w:szCs w:val="24"/>
        </w:rPr>
        <w:t>ë</w:t>
      </w:r>
      <w:r w:rsidRPr="00C377C2">
        <w:rPr>
          <w:rFonts w:ascii="Times New Roman" w:hAnsi="Times New Roman"/>
          <w:iCs/>
          <w:sz w:val="24"/>
          <w:szCs w:val="24"/>
        </w:rPr>
        <w:t xml:space="preserve"> Njoftimeve dhe Konsultimeve Publike u realizua n</w:t>
      </w:r>
      <w:r w:rsidR="00C377C2">
        <w:rPr>
          <w:rFonts w:ascii="Times New Roman" w:hAnsi="Times New Roman"/>
          <w:iCs/>
          <w:sz w:val="24"/>
          <w:szCs w:val="24"/>
        </w:rPr>
        <w:t>ë</w:t>
      </w:r>
      <w:r w:rsidRPr="00C377C2">
        <w:rPr>
          <w:rFonts w:ascii="Times New Roman" w:hAnsi="Times New Roman"/>
          <w:iCs/>
          <w:sz w:val="24"/>
          <w:szCs w:val="24"/>
        </w:rPr>
        <w:t xml:space="preserve"> p</w:t>
      </w:r>
      <w:r w:rsidR="00C377C2">
        <w:rPr>
          <w:rFonts w:ascii="Times New Roman" w:hAnsi="Times New Roman"/>
          <w:iCs/>
          <w:sz w:val="24"/>
          <w:szCs w:val="24"/>
        </w:rPr>
        <w:t>ë</w:t>
      </w:r>
      <w:r w:rsidRPr="00C377C2">
        <w:rPr>
          <w:rFonts w:ascii="Times New Roman" w:hAnsi="Times New Roman"/>
          <w:iCs/>
          <w:sz w:val="24"/>
          <w:szCs w:val="24"/>
        </w:rPr>
        <w:t>rputhje me p</w:t>
      </w:r>
      <w:r w:rsidR="00C377C2">
        <w:rPr>
          <w:rFonts w:ascii="Times New Roman" w:hAnsi="Times New Roman"/>
          <w:iCs/>
          <w:sz w:val="24"/>
          <w:szCs w:val="24"/>
        </w:rPr>
        <w:t>ë</w:t>
      </w:r>
      <w:r w:rsidRPr="00C377C2">
        <w:rPr>
          <w:rFonts w:ascii="Times New Roman" w:hAnsi="Times New Roman"/>
          <w:iCs/>
          <w:sz w:val="24"/>
          <w:szCs w:val="24"/>
        </w:rPr>
        <w:t>rcaktimet e nenit 15 t</w:t>
      </w:r>
      <w:r w:rsidR="00C377C2">
        <w:rPr>
          <w:rFonts w:ascii="Times New Roman" w:hAnsi="Times New Roman"/>
          <w:iCs/>
          <w:sz w:val="24"/>
          <w:szCs w:val="24"/>
        </w:rPr>
        <w:t>ë</w:t>
      </w:r>
      <w:r w:rsidRPr="00C377C2">
        <w:rPr>
          <w:rFonts w:ascii="Times New Roman" w:hAnsi="Times New Roman"/>
          <w:iCs/>
          <w:sz w:val="24"/>
          <w:szCs w:val="24"/>
        </w:rPr>
        <w:t xml:space="preserve"> ligjit “P</w:t>
      </w:r>
      <w:r w:rsidR="00C377C2">
        <w:rPr>
          <w:rFonts w:ascii="Times New Roman" w:hAnsi="Times New Roman"/>
          <w:iCs/>
          <w:sz w:val="24"/>
          <w:szCs w:val="24"/>
        </w:rPr>
        <w:t>ë</w:t>
      </w:r>
      <w:r w:rsidRPr="00C377C2">
        <w:rPr>
          <w:rFonts w:ascii="Times New Roman" w:hAnsi="Times New Roman"/>
          <w:iCs/>
          <w:sz w:val="24"/>
          <w:szCs w:val="24"/>
        </w:rPr>
        <w:t>r Njoftimin dhe Konsultimin Publik”</w:t>
      </w:r>
      <w:r w:rsidR="005B6D2B" w:rsidRPr="00C377C2">
        <w:rPr>
          <w:rFonts w:ascii="Times New Roman" w:hAnsi="Times New Roman"/>
          <w:iCs/>
          <w:sz w:val="24"/>
          <w:szCs w:val="24"/>
        </w:rPr>
        <w:t>.</w:t>
      </w:r>
    </w:p>
    <w:p w14:paraId="72FBA540" w14:textId="77777777" w:rsidR="00E92D3D" w:rsidRDefault="00E92D3D" w:rsidP="00B43C57">
      <w:pPr>
        <w:jc w:val="both"/>
        <w:rPr>
          <w:rFonts w:ascii="Times New Roman" w:hAnsi="Times New Roman"/>
          <w:iCs/>
          <w:sz w:val="24"/>
          <w:szCs w:val="24"/>
        </w:rPr>
      </w:pPr>
    </w:p>
    <w:p w14:paraId="06AC2984" w14:textId="74E95A36" w:rsidR="00E92D3D" w:rsidRDefault="00C377C2" w:rsidP="00B43C57">
      <w:pPr>
        <w:jc w:val="both"/>
        <w:rPr>
          <w:rFonts w:ascii="Times New Roman" w:hAnsi="Times New Roman"/>
          <w:iCs/>
          <w:sz w:val="24"/>
          <w:szCs w:val="24"/>
        </w:rPr>
      </w:pPr>
      <w:r w:rsidRPr="00C377C2">
        <w:rPr>
          <w:rFonts w:ascii="Times New Roman" w:hAnsi="Times New Roman"/>
          <w:iCs/>
          <w:sz w:val="24"/>
          <w:szCs w:val="24"/>
        </w:rPr>
        <w:t xml:space="preserve">Konsultimi publik në RENJK për periudhën kohore në respektim të ligjit, nga data </w:t>
      </w:r>
      <w:r w:rsidR="00537061">
        <w:rPr>
          <w:rFonts w:ascii="Times New Roman" w:hAnsi="Times New Roman"/>
          <w:iCs/>
          <w:sz w:val="24"/>
          <w:szCs w:val="24"/>
        </w:rPr>
        <w:t>03.11.</w:t>
      </w:r>
      <w:r w:rsidRPr="00C377C2">
        <w:rPr>
          <w:rFonts w:ascii="Times New Roman" w:hAnsi="Times New Roman"/>
          <w:iCs/>
          <w:sz w:val="24"/>
          <w:szCs w:val="24"/>
        </w:rPr>
        <w:t xml:space="preserve">2023 deri më datë </w:t>
      </w:r>
      <w:r w:rsidR="00537061">
        <w:rPr>
          <w:rFonts w:ascii="Times New Roman" w:hAnsi="Times New Roman"/>
          <w:iCs/>
          <w:sz w:val="24"/>
          <w:szCs w:val="24"/>
        </w:rPr>
        <w:t>05.12.2023</w:t>
      </w:r>
      <w:r w:rsidRPr="00C377C2">
        <w:rPr>
          <w:rFonts w:ascii="Times New Roman" w:hAnsi="Times New Roman"/>
          <w:iCs/>
          <w:sz w:val="24"/>
          <w:szCs w:val="24"/>
        </w:rPr>
        <w:t>.</w:t>
      </w:r>
      <w:r>
        <w:rPr>
          <w:rFonts w:ascii="Times New Roman" w:hAnsi="Times New Roman"/>
          <w:iCs/>
          <w:sz w:val="24"/>
          <w:szCs w:val="24"/>
        </w:rPr>
        <w:t xml:space="preserve"> Projektligji “P</w:t>
      </w:r>
      <w:r w:rsidR="00E92D3D">
        <w:rPr>
          <w:rFonts w:ascii="Times New Roman" w:hAnsi="Times New Roman"/>
          <w:iCs/>
          <w:sz w:val="24"/>
          <w:szCs w:val="24"/>
        </w:rPr>
        <w:t>ë</w:t>
      </w:r>
      <w:r>
        <w:rPr>
          <w:rFonts w:ascii="Times New Roman" w:hAnsi="Times New Roman"/>
          <w:iCs/>
          <w:sz w:val="24"/>
          <w:szCs w:val="24"/>
        </w:rPr>
        <w:t>r d</w:t>
      </w:r>
      <w:r w:rsidR="00E92D3D">
        <w:rPr>
          <w:rFonts w:ascii="Times New Roman" w:hAnsi="Times New Roman"/>
          <w:iCs/>
          <w:sz w:val="24"/>
          <w:szCs w:val="24"/>
        </w:rPr>
        <w:t>ë</w:t>
      </w:r>
      <w:r>
        <w:rPr>
          <w:rFonts w:ascii="Times New Roman" w:hAnsi="Times New Roman"/>
          <w:iCs/>
          <w:sz w:val="24"/>
          <w:szCs w:val="24"/>
        </w:rPr>
        <w:t>ftesat treg</w:t>
      </w:r>
      <w:r w:rsidR="00E92D3D">
        <w:rPr>
          <w:rFonts w:ascii="Times New Roman" w:hAnsi="Times New Roman"/>
          <w:iCs/>
          <w:sz w:val="24"/>
          <w:szCs w:val="24"/>
        </w:rPr>
        <w:t>ë</w:t>
      </w:r>
      <w:r>
        <w:rPr>
          <w:rFonts w:ascii="Times New Roman" w:hAnsi="Times New Roman"/>
          <w:iCs/>
          <w:sz w:val="24"/>
          <w:szCs w:val="24"/>
        </w:rPr>
        <w:t>tare mbi produktet bujq</w:t>
      </w:r>
      <w:r w:rsidR="00E92D3D">
        <w:rPr>
          <w:rFonts w:ascii="Times New Roman" w:hAnsi="Times New Roman"/>
          <w:iCs/>
          <w:sz w:val="24"/>
          <w:szCs w:val="24"/>
        </w:rPr>
        <w:t>ë</w:t>
      </w:r>
      <w:r>
        <w:rPr>
          <w:rFonts w:ascii="Times New Roman" w:hAnsi="Times New Roman"/>
          <w:iCs/>
          <w:sz w:val="24"/>
          <w:szCs w:val="24"/>
        </w:rPr>
        <w:t>sore” propozohet nga Ministria e Bujq</w:t>
      </w:r>
      <w:r w:rsidR="00E92D3D">
        <w:rPr>
          <w:rFonts w:ascii="Times New Roman" w:hAnsi="Times New Roman"/>
          <w:iCs/>
          <w:sz w:val="24"/>
          <w:szCs w:val="24"/>
        </w:rPr>
        <w:t>ë</w:t>
      </w:r>
      <w:r>
        <w:rPr>
          <w:rFonts w:ascii="Times New Roman" w:hAnsi="Times New Roman"/>
          <w:iCs/>
          <w:sz w:val="24"/>
          <w:szCs w:val="24"/>
        </w:rPr>
        <w:t>sis</w:t>
      </w:r>
      <w:r w:rsidR="00E92D3D">
        <w:rPr>
          <w:rFonts w:ascii="Times New Roman" w:hAnsi="Times New Roman"/>
          <w:iCs/>
          <w:sz w:val="24"/>
          <w:szCs w:val="24"/>
        </w:rPr>
        <w:t>ë</w:t>
      </w:r>
      <w:r>
        <w:rPr>
          <w:rFonts w:ascii="Times New Roman" w:hAnsi="Times New Roman"/>
          <w:iCs/>
          <w:sz w:val="24"/>
          <w:szCs w:val="24"/>
        </w:rPr>
        <w:t xml:space="preserve"> dhe Zhvillimit Rural, si institucion i cili i kushton v</w:t>
      </w:r>
      <w:r w:rsidR="00E92D3D">
        <w:rPr>
          <w:rFonts w:ascii="Times New Roman" w:hAnsi="Times New Roman"/>
          <w:iCs/>
          <w:sz w:val="24"/>
          <w:szCs w:val="24"/>
        </w:rPr>
        <w:t>ë</w:t>
      </w:r>
      <w:r>
        <w:rPr>
          <w:rFonts w:ascii="Times New Roman" w:hAnsi="Times New Roman"/>
          <w:iCs/>
          <w:sz w:val="24"/>
          <w:szCs w:val="24"/>
        </w:rPr>
        <w:t>m</w:t>
      </w:r>
      <w:r w:rsidR="00E92D3D">
        <w:rPr>
          <w:rFonts w:ascii="Times New Roman" w:hAnsi="Times New Roman"/>
          <w:iCs/>
          <w:sz w:val="24"/>
          <w:szCs w:val="24"/>
        </w:rPr>
        <w:t>ë</w:t>
      </w:r>
      <w:r>
        <w:rPr>
          <w:rFonts w:ascii="Times New Roman" w:hAnsi="Times New Roman"/>
          <w:iCs/>
          <w:sz w:val="24"/>
          <w:szCs w:val="24"/>
        </w:rPr>
        <w:t>ndje t</w:t>
      </w:r>
      <w:r w:rsidR="00E92D3D">
        <w:rPr>
          <w:rFonts w:ascii="Times New Roman" w:hAnsi="Times New Roman"/>
          <w:iCs/>
          <w:sz w:val="24"/>
          <w:szCs w:val="24"/>
        </w:rPr>
        <w:t>ë</w:t>
      </w:r>
      <w:r>
        <w:rPr>
          <w:rFonts w:ascii="Times New Roman" w:hAnsi="Times New Roman"/>
          <w:iCs/>
          <w:sz w:val="24"/>
          <w:szCs w:val="24"/>
        </w:rPr>
        <w:t xml:space="preserve"> vecant</w:t>
      </w:r>
      <w:r w:rsidR="00E92D3D">
        <w:rPr>
          <w:rFonts w:ascii="Times New Roman" w:hAnsi="Times New Roman"/>
          <w:iCs/>
          <w:sz w:val="24"/>
          <w:szCs w:val="24"/>
        </w:rPr>
        <w:t>ë</w:t>
      </w:r>
      <w:r>
        <w:rPr>
          <w:rFonts w:ascii="Times New Roman" w:hAnsi="Times New Roman"/>
          <w:iCs/>
          <w:sz w:val="24"/>
          <w:szCs w:val="24"/>
        </w:rPr>
        <w:t xml:space="preserve"> mb</w:t>
      </w:r>
      <w:r w:rsidR="00E92D3D">
        <w:rPr>
          <w:rFonts w:ascii="Times New Roman" w:hAnsi="Times New Roman"/>
          <w:iCs/>
          <w:sz w:val="24"/>
          <w:szCs w:val="24"/>
        </w:rPr>
        <w:t>ë</w:t>
      </w:r>
      <w:r>
        <w:rPr>
          <w:rFonts w:ascii="Times New Roman" w:hAnsi="Times New Roman"/>
          <w:iCs/>
          <w:sz w:val="24"/>
          <w:szCs w:val="24"/>
        </w:rPr>
        <w:t>shtetjes s</w:t>
      </w:r>
      <w:r w:rsidR="00E92D3D">
        <w:rPr>
          <w:rFonts w:ascii="Times New Roman" w:hAnsi="Times New Roman"/>
          <w:iCs/>
          <w:sz w:val="24"/>
          <w:szCs w:val="24"/>
        </w:rPr>
        <w:t>ë</w:t>
      </w:r>
      <w:r>
        <w:rPr>
          <w:rFonts w:ascii="Times New Roman" w:hAnsi="Times New Roman"/>
          <w:iCs/>
          <w:sz w:val="24"/>
          <w:szCs w:val="24"/>
        </w:rPr>
        <w:t xml:space="preserve"> ferm</w:t>
      </w:r>
      <w:r w:rsidR="00E92D3D">
        <w:rPr>
          <w:rFonts w:ascii="Times New Roman" w:hAnsi="Times New Roman"/>
          <w:iCs/>
          <w:sz w:val="24"/>
          <w:szCs w:val="24"/>
        </w:rPr>
        <w:t>ë</w:t>
      </w:r>
      <w:r>
        <w:rPr>
          <w:rFonts w:ascii="Times New Roman" w:hAnsi="Times New Roman"/>
          <w:iCs/>
          <w:sz w:val="24"/>
          <w:szCs w:val="24"/>
        </w:rPr>
        <w:t>r</w:t>
      </w:r>
      <w:r w:rsidR="00E92D3D">
        <w:rPr>
          <w:rFonts w:ascii="Times New Roman" w:hAnsi="Times New Roman"/>
          <w:iCs/>
          <w:sz w:val="24"/>
          <w:szCs w:val="24"/>
        </w:rPr>
        <w:t>ë</w:t>
      </w:r>
      <w:r>
        <w:rPr>
          <w:rFonts w:ascii="Times New Roman" w:hAnsi="Times New Roman"/>
          <w:iCs/>
          <w:sz w:val="24"/>
          <w:szCs w:val="24"/>
        </w:rPr>
        <w:t>ve n</w:t>
      </w:r>
      <w:r w:rsidR="00E92D3D">
        <w:rPr>
          <w:rFonts w:ascii="Times New Roman" w:hAnsi="Times New Roman"/>
          <w:iCs/>
          <w:sz w:val="24"/>
          <w:szCs w:val="24"/>
        </w:rPr>
        <w:t>ë</w:t>
      </w:r>
      <w:r>
        <w:rPr>
          <w:rFonts w:ascii="Times New Roman" w:hAnsi="Times New Roman"/>
          <w:iCs/>
          <w:sz w:val="24"/>
          <w:szCs w:val="24"/>
        </w:rPr>
        <w:t xml:space="preserve"> Republik</w:t>
      </w:r>
      <w:r w:rsidR="00E92D3D">
        <w:rPr>
          <w:rFonts w:ascii="Times New Roman" w:hAnsi="Times New Roman"/>
          <w:iCs/>
          <w:sz w:val="24"/>
          <w:szCs w:val="24"/>
        </w:rPr>
        <w:t>ë</w:t>
      </w:r>
      <w:r>
        <w:rPr>
          <w:rFonts w:ascii="Times New Roman" w:hAnsi="Times New Roman"/>
          <w:iCs/>
          <w:sz w:val="24"/>
          <w:szCs w:val="24"/>
        </w:rPr>
        <w:t>n e Shqip</w:t>
      </w:r>
      <w:r w:rsidR="00E92D3D">
        <w:rPr>
          <w:rFonts w:ascii="Times New Roman" w:hAnsi="Times New Roman"/>
          <w:iCs/>
          <w:sz w:val="24"/>
          <w:szCs w:val="24"/>
        </w:rPr>
        <w:t>ë</w:t>
      </w:r>
      <w:r>
        <w:rPr>
          <w:rFonts w:ascii="Times New Roman" w:hAnsi="Times New Roman"/>
          <w:iCs/>
          <w:sz w:val="24"/>
          <w:szCs w:val="24"/>
        </w:rPr>
        <w:t>ris</w:t>
      </w:r>
      <w:r w:rsidR="00E92D3D">
        <w:rPr>
          <w:rFonts w:ascii="Times New Roman" w:hAnsi="Times New Roman"/>
          <w:iCs/>
          <w:sz w:val="24"/>
          <w:szCs w:val="24"/>
        </w:rPr>
        <w:t>ë</w:t>
      </w:r>
      <w:r>
        <w:rPr>
          <w:rFonts w:ascii="Times New Roman" w:hAnsi="Times New Roman"/>
          <w:iCs/>
          <w:sz w:val="24"/>
          <w:szCs w:val="24"/>
        </w:rPr>
        <w:t>, p</w:t>
      </w:r>
      <w:r w:rsidR="00E92D3D">
        <w:rPr>
          <w:rFonts w:ascii="Times New Roman" w:hAnsi="Times New Roman"/>
          <w:iCs/>
          <w:sz w:val="24"/>
          <w:szCs w:val="24"/>
        </w:rPr>
        <w:t>ë</w:t>
      </w:r>
      <w:r>
        <w:rPr>
          <w:rFonts w:ascii="Times New Roman" w:hAnsi="Times New Roman"/>
          <w:iCs/>
          <w:sz w:val="24"/>
          <w:szCs w:val="24"/>
        </w:rPr>
        <w:t>rmes politikave dhe masave t</w:t>
      </w:r>
      <w:r w:rsidR="00E92D3D">
        <w:rPr>
          <w:rFonts w:ascii="Times New Roman" w:hAnsi="Times New Roman"/>
          <w:iCs/>
          <w:sz w:val="24"/>
          <w:szCs w:val="24"/>
        </w:rPr>
        <w:t>ë</w:t>
      </w:r>
      <w:r>
        <w:rPr>
          <w:rFonts w:ascii="Times New Roman" w:hAnsi="Times New Roman"/>
          <w:iCs/>
          <w:sz w:val="24"/>
          <w:szCs w:val="24"/>
        </w:rPr>
        <w:t xml:space="preserve"> tjera q</w:t>
      </w:r>
      <w:r w:rsidR="00E92D3D">
        <w:rPr>
          <w:rFonts w:ascii="Times New Roman" w:hAnsi="Times New Roman"/>
          <w:iCs/>
          <w:sz w:val="24"/>
          <w:szCs w:val="24"/>
        </w:rPr>
        <w:t>ë</w:t>
      </w:r>
      <w:r>
        <w:rPr>
          <w:rFonts w:ascii="Times New Roman" w:hAnsi="Times New Roman"/>
          <w:iCs/>
          <w:sz w:val="24"/>
          <w:szCs w:val="24"/>
        </w:rPr>
        <w:t xml:space="preserve"> nd</w:t>
      </w:r>
      <w:r w:rsidR="00E92D3D">
        <w:rPr>
          <w:rFonts w:ascii="Times New Roman" w:hAnsi="Times New Roman"/>
          <w:iCs/>
          <w:sz w:val="24"/>
          <w:szCs w:val="24"/>
        </w:rPr>
        <w:t>ë</w:t>
      </w:r>
      <w:r>
        <w:rPr>
          <w:rFonts w:ascii="Times New Roman" w:hAnsi="Times New Roman"/>
          <w:iCs/>
          <w:sz w:val="24"/>
          <w:szCs w:val="24"/>
        </w:rPr>
        <w:t>rmerr vazhdimisht n</w:t>
      </w:r>
      <w:r w:rsidR="00E92D3D">
        <w:rPr>
          <w:rFonts w:ascii="Times New Roman" w:hAnsi="Times New Roman"/>
          <w:iCs/>
          <w:sz w:val="24"/>
          <w:szCs w:val="24"/>
        </w:rPr>
        <w:t>ë</w:t>
      </w:r>
      <w:r>
        <w:rPr>
          <w:rFonts w:ascii="Times New Roman" w:hAnsi="Times New Roman"/>
          <w:iCs/>
          <w:sz w:val="24"/>
          <w:szCs w:val="24"/>
        </w:rPr>
        <w:t xml:space="preserve"> k</w:t>
      </w:r>
      <w:r w:rsidR="00E92D3D">
        <w:rPr>
          <w:rFonts w:ascii="Times New Roman" w:hAnsi="Times New Roman"/>
          <w:iCs/>
          <w:sz w:val="24"/>
          <w:szCs w:val="24"/>
        </w:rPr>
        <w:t>ë</w:t>
      </w:r>
      <w:r>
        <w:rPr>
          <w:rFonts w:ascii="Times New Roman" w:hAnsi="Times New Roman"/>
          <w:iCs/>
          <w:sz w:val="24"/>
          <w:szCs w:val="24"/>
        </w:rPr>
        <w:t>t</w:t>
      </w:r>
      <w:r w:rsidR="00E92D3D">
        <w:rPr>
          <w:rFonts w:ascii="Times New Roman" w:hAnsi="Times New Roman"/>
          <w:iCs/>
          <w:sz w:val="24"/>
          <w:szCs w:val="24"/>
        </w:rPr>
        <w:t>ë</w:t>
      </w:r>
      <w:r>
        <w:rPr>
          <w:rFonts w:ascii="Times New Roman" w:hAnsi="Times New Roman"/>
          <w:iCs/>
          <w:sz w:val="24"/>
          <w:szCs w:val="24"/>
        </w:rPr>
        <w:t xml:space="preserve"> aspekt. </w:t>
      </w:r>
    </w:p>
    <w:p w14:paraId="370788D9" w14:textId="77777777" w:rsidR="00E92D3D" w:rsidRDefault="00E92D3D" w:rsidP="00B43C57">
      <w:pPr>
        <w:jc w:val="both"/>
        <w:rPr>
          <w:rFonts w:ascii="Times New Roman" w:hAnsi="Times New Roman"/>
          <w:iCs/>
          <w:sz w:val="24"/>
          <w:szCs w:val="24"/>
        </w:rPr>
      </w:pPr>
    </w:p>
    <w:p w14:paraId="6335A5CA" w14:textId="66C614BD" w:rsidR="00B43C57" w:rsidRPr="00C377C2" w:rsidRDefault="00C377C2" w:rsidP="00B43C57">
      <w:pPr>
        <w:jc w:val="both"/>
        <w:rPr>
          <w:rFonts w:ascii="Times New Roman" w:hAnsi="Times New Roman"/>
          <w:iCs/>
          <w:sz w:val="24"/>
          <w:szCs w:val="24"/>
        </w:rPr>
      </w:pPr>
      <w:r>
        <w:rPr>
          <w:rFonts w:ascii="Times New Roman" w:hAnsi="Times New Roman"/>
          <w:iCs/>
          <w:sz w:val="24"/>
          <w:szCs w:val="24"/>
        </w:rPr>
        <w:t>V</w:t>
      </w:r>
      <w:r w:rsidR="00E92D3D">
        <w:rPr>
          <w:rFonts w:ascii="Times New Roman" w:hAnsi="Times New Roman"/>
          <w:iCs/>
          <w:sz w:val="24"/>
          <w:szCs w:val="24"/>
        </w:rPr>
        <w:t>ë</w:t>
      </w:r>
      <w:r>
        <w:rPr>
          <w:rFonts w:ascii="Times New Roman" w:hAnsi="Times New Roman"/>
          <w:iCs/>
          <w:sz w:val="24"/>
          <w:szCs w:val="24"/>
        </w:rPr>
        <w:t>shtruar n</w:t>
      </w:r>
      <w:r w:rsidR="00E92D3D">
        <w:rPr>
          <w:rFonts w:ascii="Times New Roman" w:hAnsi="Times New Roman"/>
          <w:iCs/>
          <w:sz w:val="24"/>
          <w:szCs w:val="24"/>
        </w:rPr>
        <w:t>ë</w:t>
      </w:r>
      <w:r>
        <w:rPr>
          <w:rFonts w:ascii="Times New Roman" w:hAnsi="Times New Roman"/>
          <w:iCs/>
          <w:sz w:val="24"/>
          <w:szCs w:val="24"/>
        </w:rPr>
        <w:t xml:space="preserve"> </w:t>
      </w:r>
      <w:r w:rsidR="00E92D3D">
        <w:rPr>
          <w:rFonts w:ascii="Times New Roman" w:hAnsi="Times New Roman"/>
          <w:iCs/>
          <w:sz w:val="24"/>
          <w:szCs w:val="24"/>
        </w:rPr>
        <w:t xml:space="preserve">pikëpamjen e plotësimit të kuadrit ligjor institucional i cili synon të reflektojë dhe të konsolidojë qëllimet e politikave dhe arritjet e reformave të realizuara në përputhje me strategjinë e Bashkimit Europian në bujqësi, si një nga sektoriët më të rëndësishëm dhe me përparësi. </w:t>
      </w:r>
    </w:p>
    <w:p w14:paraId="2686DA9F" w14:textId="77777777" w:rsidR="00C377C2" w:rsidRDefault="00C377C2" w:rsidP="00B43C57">
      <w:pPr>
        <w:spacing w:after="120" w:line="276" w:lineRule="auto"/>
        <w:jc w:val="both"/>
        <w:rPr>
          <w:rFonts w:ascii="Times New Roman" w:hAnsi="Times New Roman"/>
          <w:i/>
          <w:iCs/>
          <w:sz w:val="24"/>
          <w:szCs w:val="24"/>
        </w:rPr>
      </w:pPr>
    </w:p>
    <w:p w14:paraId="0BB8A96A" w14:textId="093AF890" w:rsidR="005B6D2B" w:rsidRDefault="005B6D2B" w:rsidP="00537061">
      <w:pPr>
        <w:jc w:val="both"/>
        <w:rPr>
          <w:rFonts w:ascii="Times New Roman" w:hAnsi="Times New Roman"/>
          <w:b/>
          <w:bCs/>
          <w:sz w:val="24"/>
          <w:szCs w:val="24"/>
        </w:rPr>
      </w:pPr>
      <w:r w:rsidRPr="00537061">
        <w:rPr>
          <w:rFonts w:ascii="Times New Roman" w:hAnsi="Times New Roman"/>
          <w:b/>
          <w:bCs/>
          <w:sz w:val="24"/>
          <w:szCs w:val="24"/>
        </w:rPr>
        <w:t>Metoda e konsultimit</w:t>
      </w:r>
    </w:p>
    <w:p w14:paraId="7B99481F" w14:textId="5C202418" w:rsidR="00537061" w:rsidRDefault="00537061" w:rsidP="00537061">
      <w:pPr>
        <w:jc w:val="both"/>
        <w:rPr>
          <w:rFonts w:ascii="Times New Roman" w:hAnsi="Times New Roman"/>
          <w:sz w:val="24"/>
          <w:szCs w:val="24"/>
        </w:rPr>
      </w:pPr>
    </w:p>
    <w:p w14:paraId="5815A042" w14:textId="0BDBC5C3" w:rsidR="00537061" w:rsidRDefault="00537061" w:rsidP="00537061">
      <w:pPr>
        <w:jc w:val="both"/>
        <w:rPr>
          <w:rFonts w:ascii="Times New Roman" w:hAnsi="Times New Roman"/>
          <w:i/>
          <w:iCs/>
          <w:sz w:val="24"/>
          <w:szCs w:val="24"/>
          <w:lang w:val="sq-AL"/>
        </w:rPr>
      </w:pPr>
      <w:r>
        <w:rPr>
          <w:rFonts w:ascii="Times New Roman" w:hAnsi="Times New Roman"/>
          <w:i/>
          <w:iCs/>
          <w:sz w:val="24"/>
          <w:szCs w:val="24"/>
          <w:lang w:val="sq-AL"/>
        </w:rPr>
        <w:t>Metodat e konsultimit publik:</w:t>
      </w:r>
    </w:p>
    <w:p w14:paraId="64016A05" w14:textId="77777777" w:rsidR="00927E8D" w:rsidRPr="002A3FAE" w:rsidRDefault="00927E8D" w:rsidP="000700DB">
      <w:pPr>
        <w:spacing w:line="276" w:lineRule="auto"/>
        <w:jc w:val="both"/>
        <w:rPr>
          <w:rFonts w:ascii="Times New Roman" w:hAnsi="Times New Roman"/>
          <w:bCs/>
          <w:iCs/>
          <w:sz w:val="24"/>
          <w:szCs w:val="24"/>
        </w:rPr>
      </w:pPr>
    </w:p>
    <w:p w14:paraId="0BB8A96F" w14:textId="098E74CF" w:rsidR="00F8784F" w:rsidRPr="000700DB" w:rsidRDefault="004E59C3" w:rsidP="000700DB">
      <w:pPr>
        <w:pStyle w:val="ListParagraph"/>
        <w:numPr>
          <w:ilvl w:val="0"/>
          <w:numId w:val="12"/>
        </w:numPr>
        <w:spacing w:line="276" w:lineRule="auto"/>
        <w:jc w:val="both"/>
        <w:rPr>
          <w:rFonts w:ascii="Times New Roman" w:hAnsi="Times New Roman"/>
          <w:iCs/>
          <w:sz w:val="24"/>
          <w:szCs w:val="24"/>
        </w:rPr>
      </w:pPr>
      <w:r w:rsidRPr="000700DB">
        <w:rPr>
          <w:rFonts w:ascii="Times New Roman" w:hAnsi="Times New Roman"/>
          <w:iCs/>
          <w:sz w:val="24"/>
          <w:szCs w:val="24"/>
        </w:rPr>
        <w:t>K</w:t>
      </w:r>
      <w:r w:rsidR="00F8784F" w:rsidRPr="000700DB">
        <w:rPr>
          <w:rFonts w:ascii="Times New Roman" w:hAnsi="Times New Roman"/>
          <w:iCs/>
          <w:sz w:val="24"/>
          <w:szCs w:val="24"/>
        </w:rPr>
        <w:t>onsultimi elektronik p</w:t>
      </w:r>
      <w:r w:rsidR="00070D6F" w:rsidRPr="000700DB">
        <w:rPr>
          <w:rFonts w:ascii="Times New Roman" w:hAnsi="Times New Roman"/>
          <w:iCs/>
          <w:sz w:val="24"/>
          <w:szCs w:val="24"/>
        </w:rPr>
        <w:t>ë</w:t>
      </w:r>
      <w:r w:rsidR="00F8784F" w:rsidRPr="000700DB">
        <w:rPr>
          <w:rFonts w:ascii="Times New Roman" w:hAnsi="Times New Roman"/>
          <w:iCs/>
          <w:sz w:val="24"/>
          <w:szCs w:val="24"/>
        </w:rPr>
        <w:t>rmes Regjistrit Elektronik, RENJK</w:t>
      </w:r>
      <w:r w:rsidR="00E36A71" w:rsidRPr="000700DB">
        <w:rPr>
          <w:rFonts w:ascii="Times New Roman" w:hAnsi="Times New Roman"/>
          <w:iCs/>
          <w:sz w:val="24"/>
          <w:szCs w:val="24"/>
        </w:rPr>
        <w:t xml:space="preserve"> (</w:t>
      </w:r>
      <w:r w:rsidR="000700DB">
        <w:rPr>
          <w:rFonts w:ascii="Times New Roman" w:hAnsi="Times New Roman"/>
          <w:iCs/>
          <w:sz w:val="24"/>
          <w:szCs w:val="24"/>
        </w:rPr>
        <w:t>03.11</w:t>
      </w:r>
      <w:r w:rsidR="00E36A71" w:rsidRPr="000700DB">
        <w:rPr>
          <w:rFonts w:ascii="Times New Roman" w:hAnsi="Times New Roman"/>
          <w:iCs/>
          <w:sz w:val="24"/>
          <w:szCs w:val="24"/>
        </w:rPr>
        <w:t>.202</w:t>
      </w:r>
      <w:r w:rsidR="009114E5" w:rsidRPr="000700DB">
        <w:rPr>
          <w:rFonts w:ascii="Times New Roman" w:hAnsi="Times New Roman"/>
          <w:iCs/>
          <w:sz w:val="24"/>
          <w:szCs w:val="24"/>
        </w:rPr>
        <w:t>3</w:t>
      </w:r>
      <w:r w:rsidR="00E36A71" w:rsidRPr="000700DB">
        <w:rPr>
          <w:rFonts w:ascii="Times New Roman" w:hAnsi="Times New Roman"/>
          <w:iCs/>
          <w:sz w:val="24"/>
          <w:szCs w:val="24"/>
        </w:rPr>
        <w:t xml:space="preserve"> – </w:t>
      </w:r>
      <w:r w:rsidR="00927E8D" w:rsidRPr="000700DB">
        <w:rPr>
          <w:rFonts w:ascii="Times New Roman" w:hAnsi="Times New Roman"/>
          <w:iCs/>
          <w:sz w:val="24"/>
          <w:szCs w:val="24"/>
        </w:rPr>
        <w:t xml:space="preserve"> </w:t>
      </w:r>
      <w:r w:rsidR="000700DB">
        <w:rPr>
          <w:rFonts w:ascii="Times New Roman" w:hAnsi="Times New Roman"/>
          <w:iCs/>
          <w:sz w:val="24"/>
          <w:szCs w:val="24"/>
        </w:rPr>
        <w:t>05.12.2023</w:t>
      </w:r>
      <w:r w:rsidR="00E36A71" w:rsidRPr="000700DB">
        <w:rPr>
          <w:rFonts w:ascii="Times New Roman" w:hAnsi="Times New Roman"/>
          <w:iCs/>
          <w:sz w:val="24"/>
          <w:szCs w:val="24"/>
        </w:rPr>
        <w:t>);</w:t>
      </w:r>
    </w:p>
    <w:p w14:paraId="2B97D7BF" w14:textId="3BE888FA" w:rsidR="00B44387" w:rsidRPr="00B447DB" w:rsidRDefault="000700DB" w:rsidP="00B44387">
      <w:pPr>
        <w:pStyle w:val="ListParagraph"/>
        <w:numPr>
          <w:ilvl w:val="0"/>
          <w:numId w:val="12"/>
        </w:numPr>
        <w:spacing w:line="276" w:lineRule="auto"/>
        <w:jc w:val="both"/>
        <w:rPr>
          <w:rFonts w:ascii="Times New Roman" w:hAnsi="Times New Roman"/>
          <w:iCs/>
          <w:sz w:val="24"/>
          <w:szCs w:val="24"/>
        </w:rPr>
      </w:pPr>
      <w:r>
        <w:rPr>
          <w:rFonts w:ascii="Times New Roman" w:hAnsi="Times New Roman"/>
          <w:iCs/>
          <w:sz w:val="24"/>
          <w:szCs w:val="24"/>
        </w:rPr>
        <w:t>Tryeza t</w:t>
      </w:r>
      <w:r w:rsidR="00B56354">
        <w:rPr>
          <w:rFonts w:ascii="Times New Roman" w:hAnsi="Times New Roman"/>
          <w:iCs/>
          <w:sz w:val="24"/>
          <w:szCs w:val="24"/>
        </w:rPr>
        <w:t>ë</w:t>
      </w:r>
      <w:r>
        <w:rPr>
          <w:rFonts w:ascii="Times New Roman" w:hAnsi="Times New Roman"/>
          <w:iCs/>
          <w:sz w:val="24"/>
          <w:szCs w:val="24"/>
        </w:rPr>
        <w:t xml:space="preserve"> konsultimit me ekspert</w:t>
      </w:r>
      <w:r w:rsidR="00B56354">
        <w:rPr>
          <w:rFonts w:ascii="Times New Roman" w:hAnsi="Times New Roman"/>
          <w:iCs/>
          <w:sz w:val="24"/>
          <w:szCs w:val="24"/>
        </w:rPr>
        <w:t>ë</w:t>
      </w:r>
      <w:r>
        <w:rPr>
          <w:rFonts w:ascii="Times New Roman" w:hAnsi="Times New Roman"/>
          <w:iCs/>
          <w:sz w:val="24"/>
          <w:szCs w:val="24"/>
        </w:rPr>
        <w:t xml:space="preserve"> dhe grupet e interesit</w:t>
      </w:r>
      <w:r>
        <w:rPr>
          <w:rStyle w:val="FootnoteReference"/>
          <w:rFonts w:ascii="Times New Roman" w:hAnsi="Times New Roman"/>
          <w:iCs/>
          <w:sz w:val="24"/>
          <w:szCs w:val="24"/>
        </w:rPr>
        <w:footnoteReference w:id="1"/>
      </w:r>
      <w:r>
        <w:rPr>
          <w:rFonts w:ascii="Times New Roman" w:hAnsi="Times New Roman"/>
          <w:iCs/>
          <w:sz w:val="24"/>
          <w:szCs w:val="24"/>
        </w:rPr>
        <w:t>.</w:t>
      </w:r>
    </w:p>
    <w:p w14:paraId="2406C23E" w14:textId="77777777" w:rsidR="000877F6" w:rsidRDefault="00B65410" w:rsidP="00B44387">
      <w:pPr>
        <w:spacing w:line="276" w:lineRule="auto"/>
        <w:jc w:val="both"/>
        <w:rPr>
          <w:rFonts w:ascii="Times New Roman" w:hAnsi="Times New Roman"/>
          <w:iCs/>
          <w:sz w:val="24"/>
          <w:szCs w:val="24"/>
        </w:rPr>
      </w:pPr>
      <w:r>
        <w:rPr>
          <w:rFonts w:ascii="Times New Roman" w:hAnsi="Times New Roman"/>
          <w:iCs/>
          <w:sz w:val="24"/>
          <w:szCs w:val="24"/>
        </w:rPr>
        <w:t xml:space="preserve">Nisma ligjore për dëftesat tregëtare janë konsultuar fillimisht me takime konsultative paraprake me ekspertë individualë dhe grupe interesi, konsultime të cilat kanë vazhduar me pas edhe përmes publikimit në RNJK. </w:t>
      </w:r>
    </w:p>
    <w:p w14:paraId="3CBECD38" w14:textId="77777777" w:rsidR="000877F6" w:rsidRDefault="000877F6" w:rsidP="00B44387">
      <w:pPr>
        <w:spacing w:line="276" w:lineRule="auto"/>
        <w:jc w:val="both"/>
        <w:rPr>
          <w:rFonts w:ascii="Times New Roman" w:hAnsi="Times New Roman"/>
          <w:iCs/>
          <w:sz w:val="24"/>
          <w:szCs w:val="24"/>
        </w:rPr>
      </w:pPr>
    </w:p>
    <w:p w14:paraId="29096BE9" w14:textId="08A903F5" w:rsidR="00B44387" w:rsidRDefault="00B65410" w:rsidP="00B44387">
      <w:pPr>
        <w:spacing w:line="276" w:lineRule="auto"/>
        <w:jc w:val="both"/>
        <w:rPr>
          <w:rFonts w:ascii="Times New Roman" w:hAnsi="Times New Roman"/>
          <w:iCs/>
          <w:sz w:val="24"/>
          <w:szCs w:val="24"/>
        </w:rPr>
      </w:pPr>
      <w:r>
        <w:rPr>
          <w:rFonts w:ascii="Times New Roman" w:hAnsi="Times New Roman"/>
          <w:iCs/>
          <w:sz w:val="24"/>
          <w:szCs w:val="24"/>
        </w:rPr>
        <w:t>Takime jan</w:t>
      </w:r>
      <w:r w:rsidR="002D6334">
        <w:rPr>
          <w:rFonts w:ascii="Times New Roman" w:hAnsi="Times New Roman"/>
          <w:iCs/>
          <w:sz w:val="24"/>
          <w:szCs w:val="24"/>
        </w:rPr>
        <w:t>ë</w:t>
      </w:r>
      <w:r>
        <w:rPr>
          <w:rFonts w:ascii="Times New Roman" w:hAnsi="Times New Roman"/>
          <w:iCs/>
          <w:sz w:val="24"/>
          <w:szCs w:val="24"/>
        </w:rPr>
        <w:t xml:space="preserve"> zhvilluar </w:t>
      </w:r>
      <w:r w:rsidR="000877F6">
        <w:rPr>
          <w:rFonts w:ascii="Times New Roman" w:hAnsi="Times New Roman"/>
          <w:iCs/>
          <w:sz w:val="24"/>
          <w:szCs w:val="24"/>
        </w:rPr>
        <w:t>me</w:t>
      </w:r>
      <w:r>
        <w:rPr>
          <w:rFonts w:ascii="Times New Roman" w:hAnsi="Times New Roman"/>
          <w:iCs/>
          <w:sz w:val="24"/>
          <w:szCs w:val="24"/>
        </w:rPr>
        <w:t xml:space="preserve"> pal</w:t>
      </w:r>
      <w:r w:rsidR="002D6334">
        <w:rPr>
          <w:rFonts w:ascii="Times New Roman" w:hAnsi="Times New Roman"/>
          <w:iCs/>
          <w:sz w:val="24"/>
          <w:szCs w:val="24"/>
        </w:rPr>
        <w:t>ë</w:t>
      </w:r>
      <w:r>
        <w:rPr>
          <w:rFonts w:ascii="Times New Roman" w:hAnsi="Times New Roman"/>
          <w:iCs/>
          <w:sz w:val="24"/>
          <w:szCs w:val="24"/>
        </w:rPr>
        <w:t xml:space="preserve"> t</w:t>
      </w:r>
      <w:r w:rsidR="002D6334">
        <w:rPr>
          <w:rFonts w:ascii="Times New Roman" w:hAnsi="Times New Roman"/>
          <w:iCs/>
          <w:sz w:val="24"/>
          <w:szCs w:val="24"/>
        </w:rPr>
        <w:t>ë</w:t>
      </w:r>
      <w:r>
        <w:rPr>
          <w:rFonts w:ascii="Times New Roman" w:hAnsi="Times New Roman"/>
          <w:iCs/>
          <w:sz w:val="24"/>
          <w:szCs w:val="24"/>
        </w:rPr>
        <w:t xml:space="preserve"> interesuara siç jan</w:t>
      </w:r>
      <w:r w:rsidR="002D6334">
        <w:rPr>
          <w:rFonts w:ascii="Times New Roman" w:hAnsi="Times New Roman"/>
          <w:iCs/>
          <w:sz w:val="24"/>
          <w:szCs w:val="24"/>
        </w:rPr>
        <w:t>ë</w:t>
      </w:r>
      <w:r>
        <w:rPr>
          <w:rFonts w:ascii="Times New Roman" w:hAnsi="Times New Roman"/>
          <w:iCs/>
          <w:sz w:val="24"/>
          <w:szCs w:val="24"/>
        </w:rPr>
        <w:t xml:space="preserve"> Shoqata e Bankave, Dhoma Komb</w:t>
      </w:r>
      <w:r w:rsidR="002D6334">
        <w:rPr>
          <w:rFonts w:ascii="Times New Roman" w:hAnsi="Times New Roman"/>
          <w:iCs/>
          <w:sz w:val="24"/>
          <w:szCs w:val="24"/>
        </w:rPr>
        <w:t>ë</w:t>
      </w:r>
      <w:r>
        <w:rPr>
          <w:rFonts w:ascii="Times New Roman" w:hAnsi="Times New Roman"/>
          <w:iCs/>
          <w:sz w:val="24"/>
          <w:szCs w:val="24"/>
        </w:rPr>
        <w:t>tare e P</w:t>
      </w:r>
      <w:r w:rsidR="002D6334">
        <w:rPr>
          <w:rFonts w:ascii="Times New Roman" w:hAnsi="Times New Roman"/>
          <w:iCs/>
          <w:sz w:val="24"/>
          <w:szCs w:val="24"/>
        </w:rPr>
        <w:t>ë</w:t>
      </w:r>
      <w:r>
        <w:rPr>
          <w:rFonts w:ascii="Times New Roman" w:hAnsi="Times New Roman"/>
          <w:iCs/>
          <w:sz w:val="24"/>
          <w:szCs w:val="24"/>
        </w:rPr>
        <w:t>rmbaruesve Gjyq</w:t>
      </w:r>
      <w:r w:rsidR="002D6334">
        <w:rPr>
          <w:rFonts w:ascii="Times New Roman" w:hAnsi="Times New Roman"/>
          <w:iCs/>
          <w:sz w:val="24"/>
          <w:szCs w:val="24"/>
        </w:rPr>
        <w:t>ë</w:t>
      </w:r>
      <w:r>
        <w:rPr>
          <w:rFonts w:ascii="Times New Roman" w:hAnsi="Times New Roman"/>
          <w:iCs/>
          <w:sz w:val="24"/>
          <w:szCs w:val="24"/>
        </w:rPr>
        <w:t>sor</w:t>
      </w:r>
      <w:r w:rsidR="002D6334">
        <w:rPr>
          <w:rFonts w:ascii="Times New Roman" w:hAnsi="Times New Roman"/>
          <w:iCs/>
          <w:sz w:val="24"/>
          <w:szCs w:val="24"/>
        </w:rPr>
        <w:t>ë</w:t>
      </w:r>
      <w:r>
        <w:rPr>
          <w:rFonts w:ascii="Times New Roman" w:hAnsi="Times New Roman"/>
          <w:iCs/>
          <w:sz w:val="24"/>
          <w:szCs w:val="24"/>
        </w:rPr>
        <w:t xml:space="preserve"> Privat</w:t>
      </w:r>
      <w:r w:rsidR="002D6334">
        <w:rPr>
          <w:rFonts w:ascii="Times New Roman" w:hAnsi="Times New Roman"/>
          <w:iCs/>
          <w:sz w:val="24"/>
          <w:szCs w:val="24"/>
        </w:rPr>
        <w:t>ë</w:t>
      </w:r>
      <w:r>
        <w:rPr>
          <w:rFonts w:ascii="Times New Roman" w:hAnsi="Times New Roman"/>
          <w:iCs/>
          <w:sz w:val="24"/>
          <w:szCs w:val="24"/>
        </w:rPr>
        <w:t>, operator</w:t>
      </w:r>
      <w:r w:rsidR="002D6334">
        <w:rPr>
          <w:rFonts w:ascii="Times New Roman" w:hAnsi="Times New Roman"/>
          <w:iCs/>
          <w:sz w:val="24"/>
          <w:szCs w:val="24"/>
        </w:rPr>
        <w:t>ë</w:t>
      </w:r>
      <w:r>
        <w:rPr>
          <w:rFonts w:ascii="Times New Roman" w:hAnsi="Times New Roman"/>
          <w:iCs/>
          <w:sz w:val="24"/>
          <w:szCs w:val="24"/>
        </w:rPr>
        <w:t xml:space="preserve"> privat</w:t>
      </w:r>
      <w:r w:rsidR="002D6334">
        <w:rPr>
          <w:rFonts w:ascii="Times New Roman" w:hAnsi="Times New Roman"/>
          <w:iCs/>
          <w:sz w:val="24"/>
          <w:szCs w:val="24"/>
        </w:rPr>
        <w:t>ë</w:t>
      </w:r>
      <w:r>
        <w:rPr>
          <w:rFonts w:ascii="Times New Roman" w:hAnsi="Times New Roman"/>
          <w:iCs/>
          <w:sz w:val="24"/>
          <w:szCs w:val="24"/>
        </w:rPr>
        <w:t xml:space="preserve"> t</w:t>
      </w:r>
      <w:r w:rsidR="002D6334">
        <w:rPr>
          <w:rFonts w:ascii="Times New Roman" w:hAnsi="Times New Roman"/>
          <w:iCs/>
          <w:sz w:val="24"/>
          <w:szCs w:val="24"/>
        </w:rPr>
        <w:t>ë</w:t>
      </w:r>
      <w:r>
        <w:rPr>
          <w:rFonts w:ascii="Times New Roman" w:hAnsi="Times New Roman"/>
          <w:iCs/>
          <w:sz w:val="24"/>
          <w:szCs w:val="24"/>
        </w:rPr>
        <w:t xml:space="preserve"> sektorit t</w:t>
      </w:r>
      <w:r w:rsidR="002D6334">
        <w:rPr>
          <w:rFonts w:ascii="Times New Roman" w:hAnsi="Times New Roman"/>
          <w:iCs/>
          <w:sz w:val="24"/>
          <w:szCs w:val="24"/>
        </w:rPr>
        <w:t>ë</w:t>
      </w:r>
      <w:r>
        <w:rPr>
          <w:rFonts w:ascii="Times New Roman" w:hAnsi="Times New Roman"/>
          <w:iCs/>
          <w:sz w:val="24"/>
          <w:szCs w:val="24"/>
        </w:rPr>
        <w:t xml:space="preserve"> bujq</w:t>
      </w:r>
      <w:r w:rsidR="002D6334">
        <w:rPr>
          <w:rFonts w:ascii="Times New Roman" w:hAnsi="Times New Roman"/>
          <w:iCs/>
          <w:sz w:val="24"/>
          <w:szCs w:val="24"/>
        </w:rPr>
        <w:t>ë</w:t>
      </w:r>
      <w:r>
        <w:rPr>
          <w:rFonts w:ascii="Times New Roman" w:hAnsi="Times New Roman"/>
          <w:iCs/>
          <w:sz w:val="24"/>
          <w:szCs w:val="24"/>
        </w:rPr>
        <w:t>sis</w:t>
      </w:r>
      <w:r w:rsidR="002D6334">
        <w:rPr>
          <w:rFonts w:ascii="Times New Roman" w:hAnsi="Times New Roman"/>
          <w:iCs/>
          <w:sz w:val="24"/>
          <w:szCs w:val="24"/>
        </w:rPr>
        <w:t>ë</w:t>
      </w:r>
      <w:r>
        <w:rPr>
          <w:rFonts w:ascii="Times New Roman" w:hAnsi="Times New Roman"/>
          <w:iCs/>
          <w:sz w:val="24"/>
          <w:szCs w:val="24"/>
        </w:rPr>
        <w:t xml:space="preserve"> etj. </w:t>
      </w:r>
    </w:p>
    <w:p w14:paraId="1035B9D5" w14:textId="77777777" w:rsidR="000877F6" w:rsidRDefault="000877F6" w:rsidP="00B44387">
      <w:pPr>
        <w:spacing w:line="276" w:lineRule="auto"/>
        <w:jc w:val="both"/>
        <w:rPr>
          <w:rFonts w:ascii="Times New Roman" w:hAnsi="Times New Roman"/>
          <w:iCs/>
          <w:sz w:val="24"/>
          <w:szCs w:val="24"/>
        </w:rPr>
      </w:pPr>
    </w:p>
    <w:p w14:paraId="510F0A7E" w14:textId="1A93E973" w:rsidR="002D6334" w:rsidRDefault="000877F6" w:rsidP="00B44387">
      <w:pPr>
        <w:spacing w:line="276" w:lineRule="auto"/>
        <w:jc w:val="both"/>
        <w:rPr>
          <w:rFonts w:ascii="Times New Roman" w:hAnsi="Times New Roman"/>
          <w:iCs/>
          <w:sz w:val="24"/>
          <w:szCs w:val="24"/>
        </w:rPr>
      </w:pPr>
      <w:r>
        <w:rPr>
          <w:rFonts w:ascii="Times New Roman" w:hAnsi="Times New Roman"/>
          <w:iCs/>
          <w:sz w:val="24"/>
          <w:szCs w:val="24"/>
        </w:rPr>
        <w:t>Gjat</w:t>
      </w:r>
      <w:r w:rsidR="002D6334">
        <w:rPr>
          <w:rFonts w:ascii="Times New Roman" w:hAnsi="Times New Roman"/>
          <w:iCs/>
          <w:sz w:val="24"/>
          <w:szCs w:val="24"/>
        </w:rPr>
        <w:t>ë</w:t>
      </w:r>
      <w:r>
        <w:rPr>
          <w:rFonts w:ascii="Times New Roman" w:hAnsi="Times New Roman"/>
          <w:iCs/>
          <w:sz w:val="24"/>
          <w:szCs w:val="24"/>
        </w:rPr>
        <w:t xml:space="preserve"> faz</w:t>
      </w:r>
      <w:r w:rsidR="002D6334">
        <w:rPr>
          <w:rFonts w:ascii="Times New Roman" w:hAnsi="Times New Roman"/>
          <w:iCs/>
          <w:sz w:val="24"/>
          <w:szCs w:val="24"/>
        </w:rPr>
        <w:t>ë</w:t>
      </w:r>
      <w:r>
        <w:rPr>
          <w:rFonts w:ascii="Times New Roman" w:hAnsi="Times New Roman"/>
          <w:iCs/>
          <w:sz w:val="24"/>
          <w:szCs w:val="24"/>
        </w:rPr>
        <w:t>s s</w:t>
      </w:r>
      <w:r w:rsidR="002D6334">
        <w:rPr>
          <w:rFonts w:ascii="Times New Roman" w:hAnsi="Times New Roman"/>
          <w:iCs/>
          <w:sz w:val="24"/>
          <w:szCs w:val="24"/>
        </w:rPr>
        <w:t>ë</w:t>
      </w:r>
      <w:r>
        <w:rPr>
          <w:rFonts w:ascii="Times New Roman" w:hAnsi="Times New Roman"/>
          <w:iCs/>
          <w:sz w:val="24"/>
          <w:szCs w:val="24"/>
        </w:rPr>
        <w:t xml:space="preserve"> konsultimit publik kan</w:t>
      </w:r>
      <w:r w:rsidR="002D6334">
        <w:rPr>
          <w:rFonts w:ascii="Times New Roman" w:hAnsi="Times New Roman"/>
          <w:iCs/>
          <w:sz w:val="24"/>
          <w:szCs w:val="24"/>
        </w:rPr>
        <w:t>ë</w:t>
      </w:r>
      <w:r>
        <w:rPr>
          <w:rFonts w:ascii="Times New Roman" w:hAnsi="Times New Roman"/>
          <w:iCs/>
          <w:sz w:val="24"/>
          <w:szCs w:val="24"/>
        </w:rPr>
        <w:t xml:space="preserve"> ardhur komente nga Rrjeti Shqiptar p</w:t>
      </w:r>
      <w:r w:rsidR="002D6334">
        <w:rPr>
          <w:rFonts w:ascii="Times New Roman" w:hAnsi="Times New Roman"/>
          <w:iCs/>
          <w:sz w:val="24"/>
          <w:szCs w:val="24"/>
        </w:rPr>
        <w:t>ë</w:t>
      </w:r>
      <w:r>
        <w:rPr>
          <w:rFonts w:ascii="Times New Roman" w:hAnsi="Times New Roman"/>
          <w:iCs/>
          <w:sz w:val="24"/>
          <w:szCs w:val="24"/>
        </w:rPr>
        <w:t>r Zhvillimin Rural (ANRD) dhe Regjistri I Barr</w:t>
      </w:r>
      <w:r w:rsidR="002D6334">
        <w:rPr>
          <w:rFonts w:ascii="Times New Roman" w:hAnsi="Times New Roman"/>
          <w:iCs/>
          <w:sz w:val="24"/>
          <w:szCs w:val="24"/>
        </w:rPr>
        <w:t>ë</w:t>
      </w:r>
      <w:r>
        <w:rPr>
          <w:rFonts w:ascii="Times New Roman" w:hAnsi="Times New Roman"/>
          <w:iCs/>
          <w:sz w:val="24"/>
          <w:szCs w:val="24"/>
        </w:rPr>
        <w:t>v</w:t>
      </w:r>
      <w:r w:rsidR="002D6334">
        <w:rPr>
          <w:rFonts w:ascii="Times New Roman" w:hAnsi="Times New Roman"/>
          <w:iCs/>
          <w:sz w:val="24"/>
          <w:szCs w:val="24"/>
        </w:rPr>
        <w:t>ë</w:t>
      </w:r>
      <w:r>
        <w:rPr>
          <w:rFonts w:ascii="Times New Roman" w:hAnsi="Times New Roman"/>
          <w:iCs/>
          <w:sz w:val="24"/>
          <w:szCs w:val="24"/>
        </w:rPr>
        <w:t xml:space="preserve"> Siguruese (RBS).</w:t>
      </w:r>
      <w:r w:rsidR="002D6334">
        <w:rPr>
          <w:rFonts w:ascii="Times New Roman" w:hAnsi="Times New Roman"/>
          <w:iCs/>
          <w:sz w:val="24"/>
          <w:szCs w:val="24"/>
        </w:rPr>
        <w:t xml:space="preserve"> </w:t>
      </w:r>
    </w:p>
    <w:p w14:paraId="61D1B3DE" w14:textId="77777777" w:rsidR="002D6334" w:rsidRDefault="002D6334" w:rsidP="00B44387">
      <w:pPr>
        <w:spacing w:line="276" w:lineRule="auto"/>
        <w:jc w:val="both"/>
        <w:rPr>
          <w:rFonts w:ascii="Times New Roman" w:hAnsi="Times New Roman"/>
          <w:iCs/>
          <w:sz w:val="24"/>
          <w:szCs w:val="24"/>
        </w:rPr>
      </w:pPr>
    </w:p>
    <w:p w14:paraId="45A0279A" w14:textId="201D7808" w:rsidR="002D6334" w:rsidRPr="00B56354" w:rsidRDefault="002D6334" w:rsidP="00B56354">
      <w:pPr>
        <w:spacing w:line="276" w:lineRule="auto"/>
        <w:jc w:val="both"/>
        <w:rPr>
          <w:rFonts w:ascii="Times New Roman" w:hAnsi="Times New Roman"/>
          <w:iCs/>
          <w:sz w:val="24"/>
          <w:szCs w:val="24"/>
        </w:rPr>
      </w:pPr>
      <w:r>
        <w:rPr>
          <w:rFonts w:ascii="Times New Roman" w:hAnsi="Times New Roman"/>
          <w:iCs/>
          <w:sz w:val="24"/>
          <w:szCs w:val="24"/>
        </w:rPr>
        <w:t>Komentet</w:t>
      </w:r>
      <w:r w:rsidR="00662994">
        <w:rPr>
          <w:rFonts w:ascii="Times New Roman" w:hAnsi="Times New Roman"/>
          <w:iCs/>
          <w:sz w:val="24"/>
          <w:szCs w:val="24"/>
        </w:rPr>
        <w:t xml:space="preserve"> dhe sugjerimet</w:t>
      </w:r>
      <w:r>
        <w:rPr>
          <w:rFonts w:ascii="Times New Roman" w:hAnsi="Times New Roman"/>
          <w:iCs/>
          <w:sz w:val="24"/>
          <w:szCs w:val="24"/>
        </w:rPr>
        <w:t xml:space="preserve"> të </w:t>
      </w:r>
      <w:r w:rsidR="00662994">
        <w:rPr>
          <w:rFonts w:ascii="Times New Roman" w:hAnsi="Times New Roman"/>
          <w:iCs/>
          <w:sz w:val="24"/>
          <w:szCs w:val="24"/>
        </w:rPr>
        <w:t>ardhura</w:t>
      </w:r>
      <w:r>
        <w:rPr>
          <w:rFonts w:ascii="Times New Roman" w:hAnsi="Times New Roman"/>
          <w:iCs/>
          <w:sz w:val="24"/>
          <w:szCs w:val="24"/>
        </w:rPr>
        <w:t xml:space="preserve"> në kuadër të procesit të konsultimit publik dhe përmirësimit të përmbajtjes së projekligjit, janë përcjellë përmes adresës së postës elektronike </w:t>
      </w:r>
      <w:r w:rsidR="00662994">
        <w:rPr>
          <w:rFonts w:ascii="Times New Roman" w:hAnsi="Times New Roman"/>
          <w:iCs/>
          <w:sz w:val="24"/>
          <w:szCs w:val="24"/>
        </w:rPr>
        <w:t>t</w:t>
      </w:r>
      <w:r>
        <w:rPr>
          <w:rFonts w:ascii="Times New Roman" w:hAnsi="Times New Roman"/>
          <w:iCs/>
          <w:sz w:val="24"/>
          <w:szCs w:val="24"/>
        </w:rPr>
        <w:t>ë Koordinatorit të Konsultimit Publik si edhe të pjesëtarëve të grupit të punës që punon për hartimin e projektligjit.</w:t>
      </w:r>
    </w:p>
    <w:p w14:paraId="46D7F92C" w14:textId="15E1666C" w:rsidR="00922D7A" w:rsidRPr="00922D7A" w:rsidRDefault="00922D7A" w:rsidP="00922D7A">
      <w:pPr>
        <w:pStyle w:val="Heading2"/>
        <w:rPr>
          <w:rFonts w:ascii="Times New Roman" w:hAnsi="Times New Roman" w:cs="Times New Roman"/>
          <w:sz w:val="24"/>
          <w:szCs w:val="24"/>
        </w:rPr>
      </w:pPr>
      <w:r w:rsidRPr="00922D7A">
        <w:lastRenderedPageBreak/>
        <w:t xml:space="preserve"> </w:t>
      </w:r>
      <w:r>
        <w:t xml:space="preserve">   “</w:t>
      </w:r>
      <w:r w:rsidRPr="00922D7A">
        <w:rPr>
          <w:rFonts w:ascii="Times New Roman" w:hAnsi="Times New Roman" w:cs="Times New Roman"/>
          <w:sz w:val="24"/>
          <w:szCs w:val="24"/>
        </w:rPr>
        <w:t>PROJEKTLIGJ “PËR DËFTESAT TREGËTARE MBI PRODUKTET BUJQËSORE”</w:t>
      </w:r>
    </w:p>
    <w:p w14:paraId="725EBAE9" w14:textId="350629DB" w:rsidR="00922D7A" w:rsidRDefault="00922D7A" w:rsidP="000877F6">
      <w:pPr>
        <w:jc w:val="both"/>
        <w:rPr>
          <w:rFonts w:ascii="Times New Roman" w:hAnsi="Times New Roman"/>
          <w:b/>
          <w:bCs/>
          <w:sz w:val="24"/>
          <w:szCs w:val="24"/>
        </w:rPr>
      </w:pPr>
    </w:p>
    <w:p w14:paraId="488095A4" w14:textId="77777777" w:rsidR="00274B83" w:rsidRDefault="00274B83" w:rsidP="000877F6">
      <w:pPr>
        <w:jc w:val="both"/>
        <w:rPr>
          <w:rFonts w:ascii="Times New Roman" w:hAnsi="Times New Roman"/>
          <w:b/>
          <w:bCs/>
          <w:sz w:val="24"/>
          <w:szCs w:val="24"/>
        </w:rPr>
      </w:pPr>
    </w:p>
    <w:p w14:paraId="0BB8A976" w14:textId="03230AB7" w:rsidR="005B6D2B" w:rsidRPr="000877F6" w:rsidRDefault="005B6D2B" w:rsidP="000877F6">
      <w:pPr>
        <w:jc w:val="both"/>
        <w:rPr>
          <w:rFonts w:ascii="Times New Roman" w:hAnsi="Times New Roman"/>
          <w:b/>
          <w:bCs/>
          <w:sz w:val="24"/>
          <w:szCs w:val="24"/>
        </w:rPr>
      </w:pPr>
      <w:r w:rsidRPr="000877F6">
        <w:rPr>
          <w:rFonts w:ascii="Times New Roman" w:hAnsi="Times New Roman"/>
          <w:b/>
          <w:bCs/>
          <w:sz w:val="24"/>
          <w:szCs w:val="24"/>
        </w:rPr>
        <w:t>Palët e interesit të përfshira</w:t>
      </w:r>
    </w:p>
    <w:p w14:paraId="1937886F" w14:textId="77777777" w:rsidR="00662994" w:rsidRDefault="00662994" w:rsidP="000877F6">
      <w:pPr>
        <w:jc w:val="both"/>
        <w:rPr>
          <w:rFonts w:ascii="Times New Roman" w:hAnsi="Times New Roman"/>
          <w:i/>
          <w:sz w:val="24"/>
          <w:szCs w:val="24"/>
        </w:rPr>
      </w:pPr>
    </w:p>
    <w:p w14:paraId="34ECBAD3" w14:textId="75BC1E0D" w:rsidR="00D84360" w:rsidRDefault="00D84360" w:rsidP="000877F6">
      <w:pPr>
        <w:jc w:val="both"/>
        <w:rPr>
          <w:rFonts w:ascii="Times New Roman" w:hAnsi="Times New Roman"/>
          <w:sz w:val="24"/>
          <w:szCs w:val="24"/>
        </w:rPr>
      </w:pPr>
      <w:r w:rsidRPr="00282D52">
        <w:rPr>
          <w:rFonts w:ascii="Times New Roman" w:hAnsi="Times New Roman"/>
          <w:sz w:val="24"/>
          <w:szCs w:val="24"/>
        </w:rPr>
        <w:t>Draftimi i projektligjit “P</w:t>
      </w:r>
      <w:r w:rsidR="00282D52">
        <w:rPr>
          <w:rFonts w:ascii="Times New Roman" w:hAnsi="Times New Roman"/>
          <w:sz w:val="24"/>
          <w:szCs w:val="24"/>
        </w:rPr>
        <w:t>ë</w:t>
      </w:r>
      <w:r w:rsidRPr="00282D52">
        <w:rPr>
          <w:rFonts w:ascii="Times New Roman" w:hAnsi="Times New Roman"/>
          <w:sz w:val="24"/>
          <w:szCs w:val="24"/>
        </w:rPr>
        <w:t>r d</w:t>
      </w:r>
      <w:r w:rsidR="00282D52">
        <w:rPr>
          <w:rFonts w:ascii="Times New Roman" w:hAnsi="Times New Roman"/>
          <w:sz w:val="24"/>
          <w:szCs w:val="24"/>
        </w:rPr>
        <w:t>ë</w:t>
      </w:r>
      <w:r w:rsidRPr="00282D52">
        <w:rPr>
          <w:rFonts w:ascii="Times New Roman" w:hAnsi="Times New Roman"/>
          <w:sz w:val="24"/>
          <w:szCs w:val="24"/>
        </w:rPr>
        <w:t>ftesat treg</w:t>
      </w:r>
      <w:r w:rsidR="00282D52">
        <w:rPr>
          <w:rFonts w:ascii="Times New Roman" w:hAnsi="Times New Roman"/>
          <w:sz w:val="24"/>
          <w:szCs w:val="24"/>
        </w:rPr>
        <w:t>ë</w:t>
      </w:r>
      <w:r w:rsidRPr="00282D52">
        <w:rPr>
          <w:rFonts w:ascii="Times New Roman" w:hAnsi="Times New Roman"/>
          <w:sz w:val="24"/>
          <w:szCs w:val="24"/>
        </w:rPr>
        <w:t>tare mbi produktin bujq</w:t>
      </w:r>
      <w:r w:rsidR="00282D52">
        <w:rPr>
          <w:rFonts w:ascii="Times New Roman" w:hAnsi="Times New Roman"/>
          <w:sz w:val="24"/>
          <w:szCs w:val="24"/>
        </w:rPr>
        <w:t>ë</w:t>
      </w:r>
      <w:r w:rsidRPr="00282D52">
        <w:rPr>
          <w:rFonts w:ascii="Times New Roman" w:hAnsi="Times New Roman"/>
          <w:sz w:val="24"/>
          <w:szCs w:val="24"/>
        </w:rPr>
        <w:t>sor”</w:t>
      </w:r>
      <w:r w:rsidR="001B398A">
        <w:rPr>
          <w:rFonts w:ascii="Times New Roman" w:hAnsi="Times New Roman"/>
          <w:sz w:val="24"/>
          <w:szCs w:val="24"/>
        </w:rPr>
        <w:t xml:space="preserve"> </w:t>
      </w:r>
      <w:r w:rsidR="00282D52">
        <w:rPr>
          <w:rFonts w:ascii="Times New Roman" w:hAnsi="Times New Roman"/>
          <w:sz w:val="24"/>
          <w:szCs w:val="24"/>
        </w:rPr>
        <w:t>ë</w:t>
      </w:r>
      <w:r w:rsidRPr="00282D52">
        <w:rPr>
          <w:rFonts w:ascii="Times New Roman" w:hAnsi="Times New Roman"/>
          <w:sz w:val="24"/>
          <w:szCs w:val="24"/>
        </w:rPr>
        <w:t>sht</w:t>
      </w:r>
      <w:r w:rsidR="00282D52">
        <w:rPr>
          <w:rFonts w:ascii="Times New Roman" w:hAnsi="Times New Roman"/>
          <w:sz w:val="24"/>
          <w:szCs w:val="24"/>
        </w:rPr>
        <w:t>ë</w:t>
      </w:r>
      <w:r w:rsidRPr="00282D52">
        <w:rPr>
          <w:rFonts w:ascii="Times New Roman" w:hAnsi="Times New Roman"/>
          <w:sz w:val="24"/>
          <w:szCs w:val="24"/>
        </w:rPr>
        <w:t xml:space="preserve"> kryer nga grupi i pun</w:t>
      </w:r>
      <w:r w:rsidR="00282D52">
        <w:rPr>
          <w:rFonts w:ascii="Times New Roman" w:hAnsi="Times New Roman"/>
          <w:sz w:val="24"/>
          <w:szCs w:val="24"/>
        </w:rPr>
        <w:t>ë</w:t>
      </w:r>
      <w:r w:rsidRPr="00282D52">
        <w:rPr>
          <w:rFonts w:ascii="Times New Roman" w:hAnsi="Times New Roman"/>
          <w:sz w:val="24"/>
          <w:szCs w:val="24"/>
        </w:rPr>
        <w:t xml:space="preserve">s </w:t>
      </w:r>
      <w:r w:rsidR="00B447DB">
        <w:rPr>
          <w:rFonts w:ascii="Times New Roman" w:hAnsi="Times New Roman"/>
          <w:sz w:val="24"/>
          <w:szCs w:val="24"/>
        </w:rPr>
        <w:t>i</w:t>
      </w:r>
      <w:r w:rsidRPr="00282D52">
        <w:rPr>
          <w:rFonts w:ascii="Times New Roman" w:hAnsi="Times New Roman"/>
          <w:sz w:val="24"/>
          <w:szCs w:val="24"/>
        </w:rPr>
        <w:t xml:space="preserve"> ngritur n</w:t>
      </w:r>
      <w:r w:rsidR="00282D52">
        <w:rPr>
          <w:rFonts w:ascii="Times New Roman" w:hAnsi="Times New Roman"/>
          <w:sz w:val="24"/>
          <w:szCs w:val="24"/>
        </w:rPr>
        <w:t>ë</w:t>
      </w:r>
      <w:r w:rsidRPr="00282D52">
        <w:rPr>
          <w:rFonts w:ascii="Times New Roman" w:hAnsi="Times New Roman"/>
          <w:sz w:val="24"/>
          <w:szCs w:val="24"/>
        </w:rPr>
        <w:t xml:space="preserve"> MBZHR p</w:t>
      </w:r>
      <w:r w:rsidR="00282D52">
        <w:rPr>
          <w:rFonts w:ascii="Times New Roman" w:hAnsi="Times New Roman"/>
          <w:sz w:val="24"/>
          <w:szCs w:val="24"/>
        </w:rPr>
        <w:t>ë</w:t>
      </w:r>
      <w:r w:rsidRPr="00282D52">
        <w:rPr>
          <w:rFonts w:ascii="Times New Roman" w:hAnsi="Times New Roman"/>
          <w:sz w:val="24"/>
          <w:szCs w:val="24"/>
        </w:rPr>
        <w:t>r k</w:t>
      </w:r>
      <w:r w:rsidR="00282D52">
        <w:rPr>
          <w:rFonts w:ascii="Times New Roman" w:hAnsi="Times New Roman"/>
          <w:sz w:val="24"/>
          <w:szCs w:val="24"/>
        </w:rPr>
        <w:t>ë</w:t>
      </w:r>
      <w:r w:rsidRPr="00282D52">
        <w:rPr>
          <w:rFonts w:ascii="Times New Roman" w:hAnsi="Times New Roman"/>
          <w:sz w:val="24"/>
          <w:szCs w:val="24"/>
        </w:rPr>
        <w:t>t</w:t>
      </w:r>
      <w:r w:rsidR="00282D52">
        <w:rPr>
          <w:rFonts w:ascii="Times New Roman" w:hAnsi="Times New Roman"/>
          <w:sz w:val="24"/>
          <w:szCs w:val="24"/>
        </w:rPr>
        <w:t>ë</w:t>
      </w:r>
      <w:r w:rsidRPr="00282D52">
        <w:rPr>
          <w:rFonts w:ascii="Times New Roman" w:hAnsi="Times New Roman"/>
          <w:sz w:val="24"/>
          <w:szCs w:val="24"/>
        </w:rPr>
        <w:t xml:space="preserve"> q</w:t>
      </w:r>
      <w:r w:rsidR="00282D52">
        <w:rPr>
          <w:rFonts w:ascii="Times New Roman" w:hAnsi="Times New Roman"/>
          <w:sz w:val="24"/>
          <w:szCs w:val="24"/>
        </w:rPr>
        <w:t>ë</w:t>
      </w:r>
      <w:r w:rsidRPr="00282D52">
        <w:rPr>
          <w:rFonts w:ascii="Times New Roman" w:hAnsi="Times New Roman"/>
          <w:sz w:val="24"/>
          <w:szCs w:val="24"/>
        </w:rPr>
        <w:t>llim n</w:t>
      </w:r>
      <w:r w:rsidR="00282D52">
        <w:rPr>
          <w:rFonts w:ascii="Times New Roman" w:hAnsi="Times New Roman"/>
          <w:sz w:val="24"/>
          <w:szCs w:val="24"/>
        </w:rPr>
        <w:t>ë</w:t>
      </w:r>
      <w:r w:rsidRPr="00282D52">
        <w:rPr>
          <w:rFonts w:ascii="Times New Roman" w:hAnsi="Times New Roman"/>
          <w:sz w:val="24"/>
          <w:szCs w:val="24"/>
        </w:rPr>
        <w:t xml:space="preserve"> bashk</w:t>
      </w:r>
      <w:r w:rsidR="00282D52">
        <w:rPr>
          <w:rFonts w:ascii="Times New Roman" w:hAnsi="Times New Roman"/>
          <w:sz w:val="24"/>
          <w:szCs w:val="24"/>
        </w:rPr>
        <w:t>ë</w:t>
      </w:r>
      <w:r w:rsidRPr="00282D52">
        <w:rPr>
          <w:rFonts w:ascii="Times New Roman" w:hAnsi="Times New Roman"/>
          <w:sz w:val="24"/>
          <w:szCs w:val="24"/>
        </w:rPr>
        <w:t xml:space="preserve">punim me </w:t>
      </w:r>
      <w:r w:rsidR="00282D52" w:rsidRPr="00282D52">
        <w:rPr>
          <w:rFonts w:ascii="Times New Roman" w:hAnsi="Times New Roman"/>
          <w:sz w:val="24"/>
          <w:szCs w:val="24"/>
        </w:rPr>
        <w:t>ekspert</w:t>
      </w:r>
      <w:r w:rsidR="00282D52">
        <w:rPr>
          <w:rFonts w:ascii="Times New Roman" w:hAnsi="Times New Roman"/>
          <w:sz w:val="24"/>
          <w:szCs w:val="24"/>
        </w:rPr>
        <w:t>ë</w:t>
      </w:r>
      <w:r w:rsidR="00282D52" w:rsidRPr="00282D52">
        <w:rPr>
          <w:rFonts w:ascii="Times New Roman" w:hAnsi="Times New Roman"/>
          <w:sz w:val="24"/>
          <w:szCs w:val="24"/>
        </w:rPr>
        <w:t>t e International Financial Corporation (</w:t>
      </w:r>
      <w:r w:rsidR="00282D52">
        <w:rPr>
          <w:rFonts w:ascii="Times New Roman" w:hAnsi="Times New Roman"/>
          <w:sz w:val="24"/>
          <w:szCs w:val="24"/>
        </w:rPr>
        <w:t>Ë</w:t>
      </w:r>
      <w:r w:rsidR="00282D52" w:rsidRPr="00282D52">
        <w:rPr>
          <w:rFonts w:ascii="Times New Roman" w:hAnsi="Times New Roman"/>
          <w:sz w:val="24"/>
          <w:szCs w:val="24"/>
        </w:rPr>
        <w:t>EB/IFC) dhe State Secretariat for Economic Affairs (SEECO) si edhe ekspert</w:t>
      </w:r>
      <w:r w:rsidR="00282D52">
        <w:rPr>
          <w:rFonts w:ascii="Times New Roman" w:hAnsi="Times New Roman"/>
          <w:sz w:val="24"/>
          <w:szCs w:val="24"/>
        </w:rPr>
        <w:t>ë</w:t>
      </w:r>
      <w:r w:rsidR="00282D52" w:rsidRPr="00282D52">
        <w:rPr>
          <w:rFonts w:ascii="Times New Roman" w:hAnsi="Times New Roman"/>
          <w:sz w:val="24"/>
          <w:szCs w:val="24"/>
        </w:rPr>
        <w:t xml:space="preserve"> nga Banka e Shqip</w:t>
      </w:r>
      <w:r w:rsidR="00282D52">
        <w:rPr>
          <w:rFonts w:ascii="Times New Roman" w:hAnsi="Times New Roman"/>
          <w:sz w:val="24"/>
          <w:szCs w:val="24"/>
        </w:rPr>
        <w:t>ë</w:t>
      </w:r>
      <w:r w:rsidR="00282D52" w:rsidRPr="00282D52">
        <w:rPr>
          <w:rFonts w:ascii="Times New Roman" w:hAnsi="Times New Roman"/>
          <w:sz w:val="24"/>
          <w:szCs w:val="24"/>
        </w:rPr>
        <w:t>ris</w:t>
      </w:r>
      <w:r w:rsidR="00282D52">
        <w:rPr>
          <w:rFonts w:ascii="Times New Roman" w:hAnsi="Times New Roman"/>
          <w:sz w:val="24"/>
          <w:szCs w:val="24"/>
        </w:rPr>
        <w:t>ë</w:t>
      </w:r>
      <w:r w:rsidR="00282D52" w:rsidRPr="00282D52">
        <w:rPr>
          <w:rFonts w:ascii="Times New Roman" w:hAnsi="Times New Roman"/>
          <w:sz w:val="24"/>
          <w:szCs w:val="24"/>
        </w:rPr>
        <w:t xml:space="preserve">. </w:t>
      </w:r>
    </w:p>
    <w:p w14:paraId="0E8EEB6A" w14:textId="77777777" w:rsidR="00282D52" w:rsidRPr="00282D52" w:rsidRDefault="00282D52" w:rsidP="000877F6">
      <w:pPr>
        <w:jc w:val="both"/>
        <w:rPr>
          <w:rFonts w:ascii="Times New Roman" w:hAnsi="Times New Roman"/>
          <w:sz w:val="24"/>
          <w:szCs w:val="24"/>
        </w:rPr>
      </w:pPr>
    </w:p>
    <w:p w14:paraId="0BB8A977" w14:textId="2DCC7BF2" w:rsidR="00A63833" w:rsidRPr="00282D52" w:rsidRDefault="00662994" w:rsidP="000877F6">
      <w:pPr>
        <w:jc w:val="both"/>
        <w:rPr>
          <w:rFonts w:ascii="Times New Roman" w:hAnsi="Times New Roman"/>
          <w:sz w:val="24"/>
          <w:szCs w:val="24"/>
        </w:rPr>
      </w:pPr>
      <w:r w:rsidRPr="00282D52">
        <w:rPr>
          <w:rFonts w:ascii="Times New Roman" w:hAnsi="Times New Roman"/>
          <w:sz w:val="24"/>
          <w:szCs w:val="24"/>
        </w:rPr>
        <w:t>Procesi i draftimit t</w:t>
      </w:r>
      <w:r w:rsidR="00282D52">
        <w:rPr>
          <w:rFonts w:ascii="Times New Roman" w:hAnsi="Times New Roman"/>
          <w:sz w:val="24"/>
          <w:szCs w:val="24"/>
        </w:rPr>
        <w:t>ë</w:t>
      </w:r>
      <w:r w:rsidRPr="00282D52">
        <w:rPr>
          <w:rFonts w:ascii="Times New Roman" w:hAnsi="Times New Roman"/>
          <w:sz w:val="24"/>
          <w:szCs w:val="24"/>
        </w:rPr>
        <w:t xml:space="preserve"> projektligjit </w:t>
      </w:r>
      <w:r w:rsidR="00282D52">
        <w:rPr>
          <w:rFonts w:ascii="Times New Roman" w:hAnsi="Times New Roman"/>
          <w:sz w:val="24"/>
          <w:szCs w:val="24"/>
        </w:rPr>
        <w:t>ë</w:t>
      </w:r>
      <w:r w:rsidRPr="00282D52">
        <w:rPr>
          <w:rFonts w:ascii="Times New Roman" w:hAnsi="Times New Roman"/>
          <w:sz w:val="24"/>
          <w:szCs w:val="24"/>
        </w:rPr>
        <w:t>sht</w:t>
      </w:r>
      <w:r w:rsidR="00282D52">
        <w:rPr>
          <w:rFonts w:ascii="Times New Roman" w:hAnsi="Times New Roman"/>
          <w:sz w:val="24"/>
          <w:szCs w:val="24"/>
        </w:rPr>
        <w:t>ë</w:t>
      </w:r>
      <w:r w:rsidRPr="00282D52">
        <w:rPr>
          <w:rFonts w:ascii="Times New Roman" w:hAnsi="Times New Roman"/>
          <w:sz w:val="24"/>
          <w:szCs w:val="24"/>
        </w:rPr>
        <w:t xml:space="preserve"> shoq</w:t>
      </w:r>
      <w:r w:rsidR="00282D52">
        <w:rPr>
          <w:rFonts w:ascii="Times New Roman" w:hAnsi="Times New Roman"/>
          <w:sz w:val="24"/>
          <w:szCs w:val="24"/>
        </w:rPr>
        <w:t>ë</w:t>
      </w:r>
      <w:r w:rsidRPr="00282D52">
        <w:rPr>
          <w:rFonts w:ascii="Times New Roman" w:hAnsi="Times New Roman"/>
          <w:sz w:val="24"/>
          <w:szCs w:val="24"/>
        </w:rPr>
        <w:t>ruar me komunikim t</w:t>
      </w:r>
      <w:r w:rsidR="00282D52">
        <w:rPr>
          <w:rFonts w:ascii="Times New Roman" w:hAnsi="Times New Roman"/>
          <w:sz w:val="24"/>
          <w:szCs w:val="24"/>
        </w:rPr>
        <w:t>ë</w:t>
      </w:r>
      <w:r w:rsidRPr="00282D52">
        <w:rPr>
          <w:rFonts w:ascii="Times New Roman" w:hAnsi="Times New Roman"/>
          <w:sz w:val="24"/>
          <w:szCs w:val="24"/>
        </w:rPr>
        <w:t xml:space="preserve"> vazhduesh</w:t>
      </w:r>
      <w:r w:rsidR="00282D52">
        <w:rPr>
          <w:rFonts w:ascii="Times New Roman" w:hAnsi="Times New Roman"/>
          <w:sz w:val="24"/>
          <w:szCs w:val="24"/>
        </w:rPr>
        <w:t>ë</w:t>
      </w:r>
      <w:r w:rsidRPr="00282D52">
        <w:rPr>
          <w:rFonts w:ascii="Times New Roman" w:hAnsi="Times New Roman"/>
          <w:sz w:val="24"/>
          <w:szCs w:val="24"/>
        </w:rPr>
        <w:t>m bashk</w:t>
      </w:r>
      <w:r w:rsidR="00282D52">
        <w:rPr>
          <w:rFonts w:ascii="Times New Roman" w:hAnsi="Times New Roman"/>
          <w:sz w:val="24"/>
          <w:szCs w:val="24"/>
        </w:rPr>
        <w:t>ë</w:t>
      </w:r>
      <w:r w:rsidRPr="00282D52">
        <w:rPr>
          <w:rFonts w:ascii="Times New Roman" w:hAnsi="Times New Roman"/>
          <w:sz w:val="24"/>
          <w:szCs w:val="24"/>
        </w:rPr>
        <w:t>punimi nd</w:t>
      </w:r>
      <w:r w:rsidR="00282D52">
        <w:rPr>
          <w:rFonts w:ascii="Times New Roman" w:hAnsi="Times New Roman"/>
          <w:sz w:val="24"/>
          <w:szCs w:val="24"/>
        </w:rPr>
        <w:t>ë</w:t>
      </w:r>
      <w:r w:rsidRPr="00282D52">
        <w:rPr>
          <w:rFonts w:ascii="Times New Roman" w:hAnsi="Times New Roman"/>
          <w:sz w:val="24"/>
          <w:szCs w:val="24"/>
        </w:rPr>
        <w:t>rmjet grupit t</w:t>
      </w:r>
      <w:r w:rsidR="00282D52">
        <w:rPr>
          <w:rFonts w:ascii="Times New Roman" w:hAnsi="Times New Roman"/>
          <w:sz w:val="24"/>
          <w:szCs w:val="24"/>
        </w:rPr>
        <w:t>ë</w:t>
      </w:r>
      <w:r w:rsidRPr="00282D52">
        <w:rPr>
          <w:rFonts w:ascii="Times New Roman" w:hAnsi="Times New Roman"/>
          <w:sz w:val="24"/>
          <w:szCs w:val="24"/>
        </w:rPr>
        <w:t xml:space="preserve"> pun</w:t>
      </w:r>
      <w:r w:rsidR="00282D52">
        <w:rPr>
          <w:rFonts w:ascii="Times New Roman" w:hAnsi="Times New Roman"/>
          <w:sz w:val="24"/>
          <w:szCs w:val="24"/>
        </w:rPr>
        <w:t>ë</w:t>
      </w:r>
      <w:r w:rsidRPr="00282D52">
        <w:rPr>
          <w:rFonts w:ascii="Times New Roman" w:hAnsi="Times New Roman"/>
          <w:sz w:val="24"/>
          <w:szCs w:val="24"/>
        </w:rPr>
        <w:t>s</w:t>
      </w:r>
      <w:r w:rsidR="00D84360" w:rsidRPr="00282D52">
        <w:rPr>
          <w:rFonts w:ascii="Times New Roman" w:hAnsi="Times New Roman"/>
          <w:sz w:val="24"/>
          <w:szCs w:val="24"/>
        </w:rPr>
        <w:t xml:space="preserve"> dhe jo vet</w:t>
      </w:r>
      <w:r w:rsidR="00282D52">
        <w:rPr>
          <w:rFonts w:ascii="Times New Roman" w:hAnsi="Times New Roman"/>
          <w:sz w:val="24"/>
          <w:szCs w:val="24"/>
        </w:rPr>
        <w:t>ë</w:t>
      </w:r>
      <w:r w:rsidR="00D84360" w:rsidRPr="00282D52">
        <w:rPr>
          <w:rFonts w:ascii="Times New Roman" w:hAnsi="Times New Roman"/>
          <w:sz w:val="24"/>
          <w:szCs w:val="24"/>
        </w:rPr>
        <w:t>m pal</w:t>
      </w:r>
      <w:r w:rsidR="00282D52">
        <w:rPr>
          <w:rFonts w:ascii="Times New Roman" w:hAnsi="Times New Roman"/>
          <w:sz w:val="24"/>
          <w:szCs w:val="24"/>
        </w:rPr>
        <w:t>ë</w:t>
      </w:r>
      <w:r w:rsidR="00D84360" w:rsidRPr="00282D52">
        <w:rPr>
          <w:rFonts w:ascii="Times New Roman" w:hAnsi="Times New Roman"/>
          <w:sz w:val="24"/>
          <w:szCs w:val="24"/>
        </w:rPr>
        <w:t>ve t</w:t>
      </w:r>
      <w:r w:rsidR="00282D52">
        <w:rPr>
          <w:rFonts w:ascii="Times New Roman" w:hAnsi="Times New Roman"/>
          <w:sz w:val="24"/>
          <w:szCs w:val="24"/>
        </w:rPr>
        <w:t>ë</w:t>
      </w:r>
      <w:r w:rsidR="00D84360" w:rsidRPr="00282D52">
        <w:rPr>
          <w:rFonts w:ascii="Times New Roman" w:hAnsi="Times New Roman"/>
          <w:sz w:val="24"/>
          <w:szCs w:val="24"/>
        </w:rPr>
        <w:t xml:space="preserve"> sip</w:t>
      </w:r>
      <w:r w:rsidR="00282D52">
        <w:rPr>
          <w:rFonts w:ascii="Times New Roman" w:hAnsi="Times New Roman"/>
          <w:sz w:val="24"/>
          <w:szCs w:val="24"/>
        </w:rPr>
        <w:t>ë</w:t>
      </w:r>
      <w:r w:rsidR="00D84360" w:rsidRPr="00282D52">
        <w:rPr>
          <w:rFonts w:ascii="Times New Roman" w:hAnsi="Times New Roman"/>
          <w:sz w:val="24"/>
          <w:szCs w:val="24"/>
        </w:rPr>
        <w:t>rcituara por edhe institucioneve t</w:t>
      </w:r>
      <w:r w:rsidR="00282D52">
        <w:rPr>
          <w:rFonts w:ascii="Times New Roman" w:hAnsi="Times New Roman"/>
          <w:sz w:val="24"/>
          <w:szCs w:val="24"/>
        </w:rPr>
        <w:t>ë</w:t>
      </w:r>
      <w:r w:rsidR="00D84360" w:rsidRPr="00282D52">
        <w:rPr>
          <w:rFonts w:ascii="Times New Roman" w:hAnsi="Times New Roman"/>
          <w:sz w:val="24"/>
          <w:szCs w:val="24"/>
        </w:rPr>
        <w:t xml:space="preserve"> linj</w:t>
      </w:r>
      <w:r w:rsidR="00282D52">
        <w:rPr>
          <w:rFonts w:ascii="Times New Roman" w:hAnsi="Times New Roman"/>
          <w:sz w:val="24"/>
          <w:szCs w:val="24"/>
        </w:rPr>
        <w:t>ë</w:t>
      </w:r>
      <w:r w:rsidR="00D84360" w:rsidRPr="00282D52">
        <w:rPr>
          <w:rFonts w:ascii="Times New Roman" w:hAnsi="Times New Roman"/>
          <w:sz w:val="24"/>
          <w:szCs w:val="24"/>
        </w:rPr>
        <w:t xml:space="preserve">s ku </w:t>
      </w:r>
      <w:r w:rsidR="00282D52">
        <w:rPr>
          <w:rFonts w:ascii="Times New Roman" w:hAnsi="Times New Roman"/>
          <w:sz w:val="24"/>
          <w:szCs w:val="24"/>
        </w:rPr>
        <w:t>ë</w:t>
      </w:r>
      <w:r w:rsidR="00D84360" w:rsidRPr="00282D52">
        <w:rPr>
          <w:rFonts w:ascii="Times New Roman" w:hAnsi="Times New Roman"/>
          <w:sz w:val="24"/>
          <w:szCs w:val="24"/>
        </w:rPr>
        <w:t>sht</w:t>
      </w:r>
      <w:r w:rsidR="00282D52">
        <w:rPr>
          <w:rFonts w:ascii="Times New Roman" w:hAnsi="Times New Roman"/>
          <w:sz w:val="24"/>
          <w:szCs w:val="24"/>
        </w:rPr>
        <w:t>ë</w:t>
      </w:r>
      <w:r w:rsidR="00D84360" w:rsidRPr="00282D52">
        <w:rPr>
          <w:rFonts w:ascii="Times New Roman" w:hAnsi="Times New Roman"/>
          <w:sz w:val="24"/>
          <w:szCs w:val="24"/>
        </w:rPr>
        <w:t xml:space="preserve"> marr</w:t>
      </w:r>
      <w:r w:rsidR="00282D52">
        <w:rPr>
          <w:rFonts w:ascii="Times New Roman" w:hAnsi="Times New Roman"/>
          <w:sz w:val="24"/>
          <w:szCs w:val="24"/>
        </w:rPr>
        <w:t>ë</w:t>
      </w:r>
      <w:r w:rsidR="00D84360" w:rsidRPr="00282D52">
        <w:rPr>
          <w:rFonts w:ascii="Times New Roman" w:hAnsi="Times New Roman"/>
          <w:sz w:val="24"/>
          <w:szCs w:val="24"/>
        </w:rPr>
        <w:t xml:space="preserve"> kontributi </w:t>
      </w:r>
      <w:r w:rsidR="00822577">
        <w:rPr>
          <w:rFonts w:ascii="Times New Roman" w:hAnsi="Times New Roman"/>
          <w:sz w:val="24"/>
          <w:szCs w:val="24"/>
        </w:rPr>
        <w:t>i</w:t>
      </w:r>
      <w:r w:rsidR="00D84360" w:rsidRPr="00282D52">
        <w:rPr>
          <w:rFonts w:ascii="Times New Roman" w:hAnsi="Times New Roman"/>
          <w:sz w:val="24"/>
          <w:szCs w:val="24"/>
        </w:rPr>
        <w:t xml:space="preserve"> tyre paraprakisht.</w:t>
      </w:r>
    </w:p>
    <w:p w14:paraId="7768F0DC" w14:textId="77777777" w:rsidR="00822577" w:rsidRDefault="00D84360" w:rsidP="00822577">
      <w:pPr>
        <w:jc w:val="both"/>
        <w:rPr>
          <w:rFonts w:ascii="Times New Roman" w:hAnsi="Times New Roman"/>
          <w:sz w:val="24"/>
          <w:szCs w:val="24"/>
        </w:rPr>
      </w:pPr>
      <w:r w:rsidRPr="00282D52">
        <w:rPr>
          <w:rFonts w:ascii="Times New Roman" w:hAnsi="Times New Roman"/>
          <w:sz w:val="24"/>
          <w:szCs w:val="24"/>
        </w:rPr>
        <w:t>Pjes</w:t>
      </w:r>
      <w:r w:rsidR="00282D52">
        <w:rPr>
          <w:rFonts w:ascii="Times New Roman" w:hAnsi="Times New Roman"/>
          <w:sz w:val="24"/>
          <w:szCs w:val="24"/>
        </w:rPr>
        <w:t>ë</w:t>
      </w:r>
      <w:r w:rsidRPr="00282D52">
        <w:rPr>
          <w:rFonts w:ascii="Times New Roman" w:hAnsi="Times New Roman"/>
          <w:sz w:val="24"/>
          <w:szCs w:val="24"/>
        </w:rPr>
        <w:t>marr</w:t>
      </w:r>
      <w:r w:rsidR="00282D52">
        <w:rPr>
          <w:rFonts w:ascii="Times New Roman" w:hAnsi="Times New Roman"/>
          <w:sz w:val="24"/>
          <w:szCs w:val="24"/>
        </w:rPr>
        <w:t>ë</w:t>
      </w:r>
      <w:r w:rsidRPr="00282D52">
        <w:rPr>
          <w:rFonts w:ascii="Times New Roman" w:hAnsi="Times New Roman"/>
          <w:sz w:val="24"/>
          <w:szCs w:val="24"/>
        </w:rPr>
        <w:t>s n</w:t>
      </w:r>
      <w:r w:rsidR="00282D52">
        <w:rPr>
          <w:rFonts w:ascii="Times New Roman" w:hAnsi="Times New Roman"/>
          <w:sz w:val="24"/>
          <w:szCs w:val="24"/>
        </w:rPr>
        <w:t>ë</w:t>
      </w:r>
      <w:r w:rsidRPr="00282D52">
        <w:rPr>
          <w:rFonts w:ascii="Times New Roman" w:hAnsi="Times New Roman"/>
          <w:sz w:val="24"/>
          <w:szCs w:val="24"/>
        </w:rPr>
        <w:t xml:space="preserve"> tryezat e konsultimit kan</w:t>
      </w:r>
      <w:r w:rsidR="00282D52">
        <w:rPr>
          <w:rFonts w:ascii="Times New Roman" w:hAnsi="Times New Roman"/>
          <w:sz w:val="24"/>
          <w:szCs w:val="24"/>
        </w:rPr>
        <w:t>ë</w:t>
      </w:r>
      <w:r w:rsidRPr="00282D52">
        <w:rPr>
          <w:rFonts w:ascii="Times New Roman" w:hAnsi="Times New Roman"/>
          <w:sz w:val="24"/>
          <w:szCs w:val="24"/>
        </w:rPr>
        <w:t xml:space="preserve"> q</w:t>
      </w:r>
      <w:r w:rsidR="00282D52">
        <w:rPr>
          <w:rFonts w:ascii="Times New Roman" w:hAnsi="Times New Roman"/>
          <w:sz w:val="24"/>
          <w:szCs w:val="24"/>
        </w:rPr>
        <w:t>ë</w:t>
      </w:r>
      <w:r w:rsidRPr="00282D52">
        <w:rPr>
          <w:rFonts w:ascii="Times New Roman" w:hAnsi="Times New Roman"/>
          <w:sz w:val="24"/>
          <w:szCs w:val="24"/>
        </w:rPr>
        <w:t>n</w:t>
      </w:r>
      <w:r w:rsidR="00282D52">
        <w:rPr>
          <w:rFonts w:ascii="Times New Roman" w:hAnsi="Times New Roman"/>
          <w:sz w:val="24"/>
          <w:szCs w:val="24"/>
        </w:rPr>
        <w:t>ë</w:t>
      </w:r>
      <w:r w:rsidR="00822577">
        <w:rPr>
          <w:rFonts w:ascii="Times New Roman" w:hAnsi="Times New Roman"/>
          <w:sz w:val="24"/>
          <w:szCs w:val="24"/>
        </w:rPr>
        <w:t xml:space="preserve">: </w:t>
      </w:r>
    </w:p>
    <w:p w14:paraId="16829850" w14:textId="77777777" w:rsidR="00822577" w:rsidRDefault="00822577" w:rsidP="00822577">
      <w:pPr>
        <w:jc w:val="both"/>
        <w:rPr>
          <w:rFonts w:ascii="Times New Roman" w:hAnsi="Times New Roman"/>
          <w:sz w:val="24"/>
          <w:szCs w:val="24"/>
        </w:rPr>
      </w:pPr>
    </w:p>
    <w:p w14:paraId="1AB5F66C" w14:textId="203D63E4" w:rsidR="00822577" w:rsidRPr="00822577" w:rsidRDefault="00822577" w:rsidP="00822577">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 xml:space="preserve">Autoriteti </w:t>
      </w:r>
      <w:r>
        <w:rPr>
          <w:rFonts w:ascii="Times New Roman" w:hAnsi="Times New Roman"/>
          <w:sz w:val="24"/>
          <w:szCs w:val="24"/>
        </w:rPr>
        <w:t>i</w:t>
      </w:r>
      <w:r w:rsidRPr="00822577">
        <w:rPr>
          <w:rFonts w:ascii="Times New Roman" w:hAnsi="Times New Roman"/>
          <w:sz w:val="24"/>
          <w:szCs w:val="24"/>
        </w:rPr>
        <w:t xml:space="preserve"> Mbikqyrjes Financiare; </w:t>
      </w:r>
    </w:p>
    <w:p w14:paraId="18692F63" w14:textId="6E6EB270" w:rsidR="00822577" w:rsidRPr="00822577" w:rsidRDefault="00822577" w:rsidP="00822577">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Dhoma Komb</w:t>
      </w:r>
      <w:r>
        <w:rPr>
          <w:rFonts w:ascii="Times New Roman" w:hAnsi="Times New Roman"/>
          <w:sz w:val="24"/>
          <w:szCs w:val="24"/>
        </w:rPr>
        <w:t>ë</w:t>
      </w:r>
      <w:r w:rsidRPr="00822577">
        <w:rPr>
          <w:rFonts w:ascii="Times New Roman" w:hAnsi="Times New Roman"/>
          <w:sz w:val="24"/>
          <w:szCs w:val="24"/>
        </w:rPr>
        <w:t>tare e P</w:t>
      </w:r>
      <w:r>
        <w:rPr>
          <w:rFonts w:ascii="Times New Roman" w:hAnsi="Times New Roman"/>
          <w:sz w:val="24"/>
          <w:szCs w:val="24"/>
        </w:rPr>
        <w:t>ë</w:t>
      </w:r>
      <w:r w:rsidRPr="00822577">
        <w:rPr>
          <w:rFonts w:ascii="Times New Roman" w:hAnsi="Times New Roman"/>
          <w:sz w:val="24"/>
          <w:szCs w:val="24"/>
        </w:rPr>
        <w:t>rmbaruesve Gjyq</w:t>
      </w:r>
      <w:r>
        <w:rPr>
          <w:rFonts w:ascii="Times New Roman" w:hAnsi="Times New Roman"/>
          <w:sz w:val="24"/>
          <w:szCs w:val="24"/>
        </w:rPr>
        <w:t>ë</w:t>
      </w:r>
      <w:r w:rsidRPr="00822577">
        <w:rPr>
          <w:rFonts w:ascii="Times New Roman" w:hAnsi="Times New Roman"/>
          <w:sz w:val="24"/>
          <w:szCs w:val="24"/>
        </w:rPr>
        <w:t>sor</w:t>
      </w:r>
      <w:r>
        <w:rPr>
          <w:rFonts w:ascii="Times New Roman" w:hAnsi="Times New Roman"/>
          <w:sz w:val="24"/>
          <w:szCs w:val="24"/>
        </w:rPr>
        <w:t>ë</w:t>
      </w:r>
      <w:r w:rsidRPr="00822577">
        <w:rPr>
          <w:rFonts w:ascii="Times New Roman" w:hAnsi="Times New Roman"/>
          <w:sz w:val="24"/>
          <w:szCs w:val="24"/>
        </w:rPr>
        <w:t xml:space="preserve"> Privat</w:t>
      </w:r>
      <w:r>
        <w:rPr>
          <w:rFonts w:ascii="Times New Roman" w:hAnsi="Times New Roman"/>
          <w:sz w:val="24"/>
          <w:szCs w:val="24"/>
        </w:rPr>
        <w:t>ë</w:t>
      </w:r>
      <w:r w:rsidRPr="00822577">
        <w:rPr>
          <w:rFonts w:ascii="Times New Roman" w:hAnsi="Times New Roman"/>
          <w:sz w:val="24"/>
          <w:szCs w:val="24"/>
        </w:rPr>
        <w:t xml:space="preserve">; </w:t>
      </w:r>
    </w:p>
    <w:p w14:paraId="14144AA2" w14:textId="2FDB6C29" w:rsidR="00822577" w:rsidRPr="00822577" w:rsidRDefault="00822577" w:rsidP="00822577">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 xml:space="preserve">Shoqata Shqiptare e Bankave; </w:t>
      </w:r>
    </w:p>
    <w:p w14:paraId="68AACA93" w14:textId="4ABA4D44" w:rsidR="00A5349F" w:rsidRPr="00B447DB" w:rsidRDefault="00822577" w:rsidP="001B398A">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 xml:space="preserve">Regjistri </w:t>
      </w:r>
      <w:r w:rsidR="0098512C">
        <w:rPr>
          <w:rFonts w:ascii="Times New Roman" w:hAnsi="Times New Roman"/>
          <w:sz w:val="24"/>
          <w:szCs w:val="24"/>
        </w:rPr>
        <w:t>i B</w:t>
      </w:r>
      <w:r w:rsidRPr="00822577">
        <w:rPr>
          <w:rFonts w:ascii="Times New Roman" w:hAnsi="Times New Roman"/>
          <w:sz w:val="24"/>
          <w:szCs w:val="24"/>
        </w:rPr>
        <w:t>arr</w:t>
      </w:r>
      <w:r>
        <w:rPr>
          <w:rFonts w:ascii="Times New Roman" w:hAnsi="Times New Roman"/>
          <w:sz w:val="24"/>
          <w:szCs w:val="24"/>
        </w:rPr>
        <w:t>ë</w:t>
      </w:r>
      <w:r w:rsidRPr="00822577">
        <w:rPr>
          <w:rFonts w:ascii="Times New Roman" w:hAnsi="Times New Roman"/>
          <w:sz w:val="24"/>
          <w:szCs w:val="24"/>
        </w:rPr>
        <w:t xml:space="preserve">ve Siguruese etj.  </w:t>
      </w:r>
    </w:p>
    <w:p w14:paraId="0B9098E0" w14:textId="77C854EA" w:rsidR="0098512C" w:rsidRP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w:t>
      </w:r>
      <w:r>
        <w:rPr>
          <w:rFonts w:ascii="Times New Roman" w:hAnsi="Times New Roman"/>
          <w:bCs/>
          <w:sz w:val="24"/>
          <w:szCs w:val="24"/>
        </w:rPr>
        <w:t xml:space="preserve"> </w:t>
      </w:r>
      <w:r w:rsidRPr="0098512C">
        <w:rPr>
          <w:rFonts w:ascii="Times New Roman" w:hAnsi="Times New Roman"/>
          <w:bCs/>
          <w:sz w:val="24"/>
          <w:szCs w:val="24"/>
        </w:rPr>
        <w:t>Takim është mbajtur në datën 19 Prill 2022, në mjediset e Ministrisë së Bujqësisë dhe të Zhvillimit Rural, ku kanë qenë të ftuar përfaqësues nga shoqatat e fermerëve, të agropërpunuesve, të furnizuesve të lëndëve të para në bujqësi, të grumbulluesve, të bankave, të institucioneve të mikrofinancës dhe të shoqërive të sigurimit. Nga përfaqësuesit e IFC-së u shpjegua praktika e mirë ndërkombëtare në zbatimin e këtyre dy instrumenteve financiare “Crop Receipts” dhe “Ëarehouse Receipts”, si dhe përfitimet që sjellin këto instrumente për të gjithë operatorët e sektorit. Nga ana e subjekteve të ftuara u shpjeguan problemet e mëdha që has sektori i bujqësisë për financim, për shkak të pamundësisë për t’u kreditur, për mungesë kolaterali, si dhe interesat e larta të kredive bankare apo të institucioneve të mikrofinancës, për sektorin e bujqësisë, që janë të papërballueshme për të ardhurat modeste të një fermeri të mesëm apo të vogël.</w:t>
      </w:r>
    </w:p>
    <w:p w14:paraId="45458DDC" w14:textId="77777777" w:rsidR="0098512C" w:rsidRP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 Takim është zhvilluar me përfaqësues të Autoritetit të Mbikqyrjes Financiare (AMF) në datën 10 maj. Takimi u zhvillua mes përfaqësuesve të AMF-së dhe përfaqësuesve të MBZHR-së, Bankës së Shqipërisë dhe ekspertëve të IFC-së, zj. L.Qorlazja,  zj. B. Kraja, z. G. Ziu, zj. A. Gjongecaj. Në këtë takim u diskutua mbi konceptet që sjell projekligji i ri si dhe fushveprimi i tij në raport me ligjin nr. 60/2020 “Për tregjet e kapitaleve”. Sugjerimet dhe komentet nga ana e përfaqësuesve të AMF u morën parasysh si dhe u reflektuan në draftin e projektligjit.</w:t>
      </w:r>
    </w:p>
    <w:p w14:paraId="18600B83" w14:textId="77777777" w:rsidR="0098512C" w:rsidRP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 Takim është zhvilluar, në datën 18 maj  mes përfaqësuesve të MBZHR-së, Bankës së Shqipërisë dhe ekspertëve të IFC-së, zj. L.Qorlazja,  zj. B. Kraja, z. G. Ziu, zj. A. Gjongecaj në ambjentet  e Ministrisë së Financave dhe Ekonomisë (MFE) të cilët përfaqësoheshin nga  Zëvëndësministri z. Endrit Yzeiraj. Në këtë takim u prezantua projektligji si dhe diskutua mbi konceptet dhe fushëveprimi i këtij projektligji.</w:t>
      </w:r>
    </w:p>
    <w:p w14:paraId="68E6E8A3" w14:textId="4CD9C60B" w:rsid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 Takim është zhvilluar mes anëtarëve të grupit të punës, zj. A. Gjongecaj dhe drejtuesve të Agjencisë Rajonale të Ekstensionit Bujqësor Tiranë (AREB) në datën 31 maj, ku u diskutua mbi mënyrën e ushtrimit të monitorimit në terren nga ana e AREB-ve, kur kjo do jetë e nevojshme dhe kur të kërkohet nga njësia përgjegjëse për regjistrin në ministri.</w:t>
      </w:r>
    </w:p>
    <w:p w14:paraId="2F8C7B42" w14:textId="77777777" w:rsidR="0098512C" w:rsidRPr="0098512C" w:rsidRDefault="0098512C" w:rsidP="0098512C">
      <w:pPr>
        <w:pStyle w:val="Heading2"/>
        <w:rPr>
          <w:rFonts w:ascii="Times New Roman" w:hAnsi="Times New Roman" w:cs="Times New Roman"/>
          <w:sz w:val="24"/>
          <w:szCs w:val="24"/>
        </w:rPr>
      </w:pPr>
      <w:r w:rsidRPr="0098512C">
        <w:lastRenderedPageBreak/>
        <w:t xml:space="preserve">    </w:t>
      </w:r>
      <w:r w:rsidRPr="0098512C">
        <w:rPr>
          <w:rFonts w:ascii="Times New Roman" w:hAnsi="Times New Roman" w:cs="Times New Roman"/>
          <w:sz w:val="24"/>
          <w:szCs w:val="24"/>
        </w:rPr>
        <w:t>“PROJEKTLIGJ “PËR DËFTESAT TREGËTARE MBI PRODUKTET BUJQËSORE”</w:t>
      </w:r>
    </w:p>
    <w:p w14:paraId="71E27949" w14:textId="77777777" w:rsidR="0098512C" w:rsidRDefault="0098512C" w:rsidP="0098512C">
      <w:pPr>
        <w:jc w:val="both"/>
        <w:rPr>
          <w:rFonts w:ascii="Times New Roman" w:hAnsi="Times New Roman"/>
          <w:bCs/>
          <w:sz w:val="24"/>
          <w:szCs w:val="24"/>
        </w:rPr>
      </w:pPr>
    </w:p>
    <w:p w14:paraId="63E05020" w14:textId="77777777" w:rsidR="0098512C" w:rsidRDefault="0098512C" w:rsidP="0098512C">
      <w:pPr>
        <w:jc w:val="both"/>
        <w:rPr>
          <w:rFonts w:ascii="Times New Roman" w:hAnsi="Times New Roman"/>
          <w:bCs/>
          <w:sz w:val="24"/>
          <w:szCs w:val="24"/>
        </w:rPr>
      </w:pPr>
    </w:p>
    <w:p w14:paraId="066C19E4" w14:textId="4A89CA79" w:rsidR="0098512C" w:rsidRPr="0098512C" w:rsidRDefault="0098512C" w:rsidP="00DD5E30">
      <w:pPr>
        <w:spacing w:line="276" w:lineRule="auto"/>
        <w:jc w:val="both"/>
        <w:rPr>
          <w:rFonts w:ascii="Times New Roman" w:hAnsi="Times New Roman"/>
          <w:bCs/>
          <w:sz w:val="24"/>
          <w:szCs w:val="24"/>
        </w:rPr>
      </w:pPr>
      <w:r>
        <w:rPr>
          <w:rFonts w:ascii="Times New Roman" w:hAnsi="Times New Roman"/>
          <w:bCs/>
          <w:sz w:val="24"/>
          <w:szCs w:val="24"/>
        </w:rPr>
        <w:t xml:space="preserve">- </w:t>
      </w:r>
      <w:r w:rsidRPr="0098512C">
        <w:rPr>
          <w:rFonts w:ascii="Times New Roman" w:hAnsi="Times New Roman"/>
          <w:bCs/>
          <w:sz w:val="24"/>
          <w:szCs w:val="24"/>
        </w:rPr>
        <w:t xml:space="preserve">Takim është mbajtur me datën 1 Qershor 2022 në mjediset e IFC-së me përfaqësues të operatorëve privatë të sektorit të bujqësisë. Në takim janë prezantuar gjetjet në legjislacion dhe praktikat faktike në marrëdhëniet mes fermerëve dhe furnizuesve të lëndëve të para, mes fermerëve dhe pikat të grumbullimit apo agropërpunuesve, mes fermerëve dhe bankave apo institucioneve të mikrofinancës. Në takim, operatorët sqaruan se këto instrumente financiare zbatoheshin “de facto” në mënyrë sporadike, por kreditorët nuk kishin asnjë garanci që e drejta e tyre për kthimin e financimit apo shkëmbimi me produkte bujqësore të ishte i garantuar. Rregullimi i tillë ligjor i këtyre aspekteve do ta intensifikonte këtë marrëdhënie tregtare, me përfitime për palët. </w:t>
      </w:r>
    </w:p>
    <w:p w14:paraId="7C29EB6F"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Takim  është mbajtur me datën 29 Qershor 2022, në mjediset e Hotel “Plaza” Tiranë, ku të pranishëm ishin: Ministrja e Bujqësisë dhe Zhvillimit Rural, përfaqësues të lartë të IFC-së, përfaqësues të operatorëve privatë të sektorit të bujqësisë, të përmendur më lart. Në këtë takim u prezantua raporti i hartuar “Për legjislacionin ekzistues, praktikat dhe perspektivat për dëftesat tregtare mbi produktin bujqësor të ardhshëm dhe të magazinuar në Shqipëri”, si dhe u miratua plani i veprimit për vijimin e punës në hartimin e ligjit të ri dhe zbatimin efikas të tij. </w:t>
      </w:r>
    </w:p>
    <w:p w14:paraId="6F39F696"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Takim është zhvilluar në datën 19 korrik, mes përfaqësuesve të MBZHR-së, Bankës së Shqipërisë dhe ekspertëve të IFC-së, zj. L.Qorlazja, Z. V. Hoti,  zj. B. Kraja, z. G. Ziu, zj. A. Gjongecaj  në ambjentet e Ministrisë së Drejtësisë të cilët përfaqësoheshin nga z. B. Beja dhe zj. E. Rama. Në këtë takim u diskutua projektligji, konceptet, teknika legjislative, risia që sjell kjo politikë e re, struktura e draftit të projektligjit etj. Komentet dhe sugjerimet e përfaqësuesve të MD-së u morën parasysh dhe u reflektuan. </w:t>
      </w:r>
    </w:p>
    <w:p w14:paraId="1DB5BCAC"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Kontribut vijues ka dhënë Shoqata Shqiptare e Bankave, si edhe Dhoma Kombëtare e Përmbaruesve Gjyqësor Privatë, të cilët kanë dhënë mendime me shkrim për përmirësimin e projektligjit. </w:t>
      </w:r>
    </w:p>
    <w:p w14:paraId="6013E6C7"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Projektligji iu është dërguar për mendim operatorëve privatë gjatë muajit Korrik 2023 dhe me datën 20 Korrik 2023 është mbajtur një takim i zgjeruar me ta, në mjediset e Ministrisë së Bujqësisë dhe të Zhvillimit Rural, ku u diskutua projektligji në variantin përfundimtar. Të pranishmit shprehën mendimet e tyre në lidhje me problemet eventuale që mund të ketë në zbatim, pasi instrumentet financiare të parashikuara do të jenë komplet elektronike, nëpërmjet e-Albania-s dhe nganjëherë fermerët kanë pamundësi objektive, për të plotësuar si duhet aplikimet elektronike online. </w:t>
      </w:r>
    </w:p>
    <w:p w14:paraId="76894764"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Të pranishëmve iu la sërish një afat i arsyeshëm për të sjellë komente apo sugjerime mbi projektligjin. </w:t>
      </w:r>
    </w:p>
    <w:p w14:paraId="31A7E8E0" w14:textId="0B84C523" w:rsidR="00B35C54"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Nga takimet e zhvilluara katër prej tyre kanë qënë me pjesëmarrje të zgjeruar konsultative mes grupeve të interesit, përfaqësues të bankave të niveleve të para, përfaqësues të shoqatave fermerësh, sipërmarrës të pikave të grumbullimit etj, takime këto që kanë patur edhe pasqyrimin përkatës mediatik, në faqet online, të institucioneve bashkëorganizuese.</w:t>
      </w:r>
    </w:p>
    <w:p w14:paraId="67D1CF18" w14:textId="7702B0B8" w:rsidR="00B35C54" w:rsidRPr="0098512C" w:rsidRDefault="00B35C54" w:rsidP="00DD5E30">
      <w:pPr>
        <w:spacing w:line="276" w:lineRule="auto"/>
        <w:jc w:val="both"/>
        <w:rPr>
          <w:rFonts w:ascii="Times New Roman" w:hAnsi="Times New Roman"/>
          <w:bCs/>
          <w:sz w:val="24"/>
          <w:szCs w:val="24"/>
        </w:rPr>
      </w:pPr>
    </w:p>
    <w:p w14:paraId="52CA08E2" w14:textId="6832F395" w:rsidR="00DD5E30" w:rsidRDefault="00DD5E30" w:rsidP="0098512C">
      <w:pPr>
        <w:pStyle w:val="Heading2"/>
        <w:rPr>
          <w:rFonts w:ascii="Times New Roman" w:eastAsia="Times New Roman" w:hAnsi="Times New Roman" w:cs="Times New Roman"/>
          <w:b/>
          <w:bCs/>
          <w:color w:val="auto"/>
          <w:sz w:val="24"/>
          <w:szCs w:val="24"/>
        </w:rPr>
      </w:pPr>
    </w:p>
    <w:p w14:paraId="05B778B8" w14:textId="77777777" w:rsidR="00B447DB" w:rsidRPr="00B447DB" w:rsidRDefault="00B447DB" w:rsidP="00B447DB"/>
    <w:p w14:paraId="2E286177" w14:textId="45972743" w:rsidR="0098512C" w:rsidRPr="0098512C" w:rsidRDefault="00DD5E30" w:rsidP="0098512C">
      <w:pPr>
        <w:pStyle w:val="Heading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8512C" w:rsidRPr="0098512C">
        <w:rPr>
          <w:rFonts w:ascii="Times New Roman" w:hAnsi="Times New Roman" w:cs="Times New Roman"/>
          <w:sz w:val="24"/>
          <w:szCs w:val="24"/>
        </w:rPr>
        <w:t>“PROJEKTLIGJ “PËR DËFTESAT TREGËTARE MBI PRODUKTET BUJQËSORE”</w:t>
      </w:r>
    </w:p>
    <w:p w14:paraId="2DF7A42A" w14:textId="646FABC9" w:rsidR="0098512C" w:rsidRDefault="0098512C" w:rsidP="001B398A">
      <w:pPr>
        <w:jc w:val="both"/>
        <w:rPr>
          <w:rFonts w:ascii="Times New Roman" w:hAnsi="Times New Roman"/>
          <w:b/>
          <w:bCs/>
          <w:sz w:val="24"/>
          <w:szCs w:val="24"/>
        </w:rPr>
      </w:pPr>
    </w:p>
    <w:p w14:paraId="2B1E1FCD" w14:textId="77777777" w:rsidR="00274B83" w:rsidRDefault="00274B83" w:rsidP="001B398A">
      <w:pPr>
        <w:jc w:val="both"/>
        <w:rPr>
          <w:rFonts w:ascii="Times New Roman" w:hAnsi="Times New Roman"/>
          <w:b/>
          <w:bCs/>
          <w:sz w:val="24"/>
          <w:szCs w:val="24"/>
        </w:rPr>
      </w:pPr>
    </w:p>
    <w:p w14:paraId="754586DD" w14:textId="162370CB" w:rsidR="00A5349F" w:rsidRDefault="005B6D2B" w:rsidP="001B398A">
      <w:pPr>
        <w:jc w:val="both"/>
        <w:rPr>
          <w:rFonts w:ascii="Times New Roman" w:hAnsi="Times New Roman"/>
          <w:b/>
          <w:bCs/>
          <w:sz w:val="24"/>
          <w:szCs w:val="24"/>
        </w:rPr>
      </w:pPr>
      <w:r w:rsidRPr="001B398A">
        <w:rPr>
          <w:rFonts w:ascii="Times New Roman" w:hAnsi="Times New Roman"/>
          <w:b/>
          <w:bCs/>
          <w:sz w:val="24"/>
          <w:szCs w:val="24"/>
        </w:rPr>
        <w:t>Pasqyra e komenteve të pranuara me arsyetimin e komenteve të pranuara/ refuzuara</w:t>
      </w:r>
    </w:p>
    <w:p w14:paraId="3634796F" w14:textId="77777777" w:rsidR="00A5349F" w:rsidRDefault="00A5349F" w:rsidP="001B398A">
      <w:pPr>
        <w:jc w:val="both"/>
        <w:rPr>
          <w:rFonts w:ascii="Times New Roman" w:hAnsi="Times New Roman"/>
          <w:i/>
          <w:iCs/>
          <w:sz w:val="24"/>
          <w:szCs w:val="24"/>
        </w:rPr>
      </w:pPr>
    </w:p>
    <w:p w14:paraId="73B5A388" w14:textId="734DBF7A" w:rsidR="00A5349F" w:rsidRPr="0098512C" w:rsidRDefault="001B398A" w:rsidP="0098512C">
      <w:pPr>
        <w:jc w:val="both"/>
        <w:rPr>
          <w:rFonts w:ascii="Times New Roman" w:hAnsi="Times New Roman"/>
          <w:b/>
          <w:bCs/>
          <w:sz w:val="24"/>
          <w:szCs w:val="24"/>
        </w:rPr>
      </w:pPr>
      <w:r>
        <w:rPr>
          <w:rFonts w:ascii="Times New Roman" w:hAnsi="Times New Roman"/>
          <w:i/>
          <w:iCs/>
          <w:sz w:val="24"/>
          <w:szCs w:val="24"/>
        </w:rPr>
        <w:t xml:space="preserve">Nga konsutlimi publik </w:t>
      </w:r>
      <w:r w:rsidR="00842EE9">
        <w:rPr>
          <w:rFonts w:ascii="Times New Roman" w:hAnsi="Times New Roman"/>
          <w:i/>
          <w:iCs/>
          <w:sz w:val="24"/>
          <w:szCs w:val="24"/>
        </w:rPr>
        <w:t>i</w:t>
      </w:r>
      <w:r>
        <w:rPr>
          <w:rFonts w:ascii="Times New Roman" w:hAnsi="Times New Roman"/>
          <w:i/>
          <w:iCs/>
          <w:sz w:val="24"/>
          <w:szCs w:val="24"/>
        </w:rPr>
        <w:t xml:space="preserve"> kryer n</w:t>
      </w:r>
      <w:r w:rsidR="00A5349F">
        <w:rPr>
          <w:rFonts w:ascii="Times New Roman" w:hAnsi="Times New Roman"/>
          <w:i/>
          <w:iCs/>
          <w:sz w:val="24"/>
          <w:szCs w:val="24"/>
        </w:rPr>
        <w:t>ë</w:t>
      </w:r>
      <w:r>
        <w:rPr>
          <w:rFonts w:ascii="Times New Roman" w:hAnsi="Times New Roman"/>
          <w:i/>
          <w:iCs/>
          <w:sz w:val="24"/>
          <w:szCs w:val="24"/>
        </w:rPr>
        <w:t xml:space="preserve"> Regjistrin Elektronik n</w:t>
      </w:r>
      <w:r w:rsidR="00A5349F">
        <w:rPr>
          <w:rFonts w:ascii="Times New Roman" w:hAnsi="Times New Roman"/>
          <w:i/>
          <w:iCs/>
          <w:sz w:val="24"/>
          <w:szCs w:val="24"/>
        </w:rPr>
        <w:t>ë</w:t>
      </w:r>
      <w:r>
        <w:rPr>
          <w:rFonts w:ascii="Times New Roman" w:hAnsi="Times New Roman"/>
          <w:i/>
          <w:iCs/>
          <w:sz w:val="24"/>
          <w:szCs w:val="24"/>
        </w:rPr>
        <w:t xml:space="preserve"> zbatim t</w:t>
      </w:r>
      <w:r w:rsidR="00A5349F">
        <w:rPr>
          <w:rFonts w:ascii="Times New Roman" w:hAnsi="Times New Roman"/>
          <w:i/>
          <w:iCs/>
          <w:sz w:val="24"/>
          <w:szCs w:val="24"/>
        </w:rPr>
        <w:t>ë</w:t>
      </w:r>
      <w:r>
        <w:rPr>
          <w:rFonts w:ascii="Times New Roman" w:hAnsi="Times New Roman"/>
          <w:i/>
          <w:iCs/>
          <w:sz w:val="24"/>
          <w:szCs w:val="24"/>
        </w:rPr>
        <w:t xml:space="preserve"> Ligjit nr. 146/2014 “P</w:t>
      </w:r>
      <w:r w:rsidR="00A5349F">
        <w:rPr>
          <w:rFonts w:ascii="Times New Roman" w:hAnsi="Times New Roman"/>
          <w:i/>
          <w:iCs/>
          <w:sz w:val="24"/>
          <w:szCs w:val="24"/>
        </w:rPr>
        <w:t>ë</w:t>
      </w:r>
      <w:r>
        <w:rPr>
          <w:rFonts w:ascii="Times New Roman" w:hAnsi="Times New Roman"/>
          <w:i/>
          <w:iCs/>
          <w:sz w:val="24"/>
          <w:szCs w:val="24"/>
        </w:rPr>
        <w:t>r njoftimin dhe konsultimin publik” kan</w:t>
      </w:r>
      <w:r w:rsidR="00A5349F">
        <w:rPr>
          <w:rFonts w:ascii="Times New Roman" w:hAnsi="Times New Roman"/>
          <w:i/>
          <w:iCs/>
          <w:sz w:val="24"/>
          <w:szCs w:val="24"/>
        </w:rPr>
        <w:t>ë</w:t>
      </w:r>
      <w:r>
        <w:rPr>
          <w:rFonts w:ascii="Times New Roman" w:hAnsi="Times New Roman"/>
          <w:i/>
          <w:iCs/>
          <w:sz w:val="24"/>
          <w:szCs w:val="24"/>
        </w:rPr>
        <w:t xml:space="preserve"> ardhur komente dhe sugjerime nga Rrjeti Shqiptar p</w:t>
      </w:r>
      <w:r w:rsidR="00A5349F">
        <w:rPr>
          <w:rFonts w:ascii="Times New Roman" w:hAnsi="Times New Roman"/>
          <w:i/>
          <w:iCs/>
          <w:sz w:val="24"/>
          <w:szCs w:val="24"/>
        </w:rPr>
        <w:t>ë</w:t>
      </w:r>
      <w:r>
        <w:rPr>
          <w:rFonts w:ascii="Times New Roman" w:hAnsi="Times New Roman"/>
          <w:i/>
          <w:iCs/>
          <w:sz w:val="24"/>
          <w:szCs w:val="24"/>
        </w:rPr>
        <w:t xml:space="preserve">r Zhvillimin Rural (ANRD) dhe Regjistri </w:t>
      </w:r>
      <w:r w:rsidR="00A5349F">
        <w:rPr>
          <w:rFonts w:ascii="Times New Roman" w:hAnsi="Times New Roman"/>
          <w:i/>
          <w:iCs/>
          <w:sz w:val="24"/>
          <w:szCs w:val="24"/>
        </w:rPr>
        <w:t>i</w:t>
      </w:r>
      <w:r>
        <w:rPr>
          <w:rFonts w:ascii="Times New Roman" w:hAnsi="Times New Roman"/>
          <w:i/>
          <w:iCs/>
          <w:sz w:val="24"/>
          <w:szCs w:val="24"/>
        </w:rPr>
        <w:t xml:space="preserve"> Barr</w:t>
      </w:r>
      <w:r w:rsidR="00A5349F">
        <w:rPr>
          <w:rFonts w:ascii="Times New Roman" w:hAnsi="Times New Roman"/>
          <w:i/>
          <w:iCs/>
          <w:sz w:val="24"/>
          <w:szCs w:val="24"/>
        </w:rPr>
        <w:t>ë</w:t>
      </w:r>
      <w:r>
        <w:rPr>
          <w:rFonts w:ascii="Times New Roman" w:hAnsi="Times New Roman"/>
          <w:i/>
          <w:iCs/>
          <w:sz w:val="24"/>
          <w:szCs w:val="24"/>
        </w:rPr>
        <w:t xml:space="preserve">ve Siguruese </w:t>
      </w:r>
      <w:r w:rsidR="00A5349F">
        <w:rPr>
          <w:rFonts w:ascii="Times New Roman" w:hAnsi="Times New Roman"/>
          <w:i/>
          <w:iCs/>
          <w:sz w:val="24"/>
          <w:szCs w:val="24"/>
        </w:rPr>
        <w:t>(RBS).</w:t>
      </w:r>
      <w:r>
        <w:rPr>
          <w:rFonts w:ascii="Times New Roman" w:hAnsi="Times New Roman"/>
          <w:i/>
          <w:iCs/>
          <w:sz w:val="24"/>
          <w:szCs w:val="24"/>
        </w:rPr>
        <w:t xml:space="preserve"> </w:t>
      </w:r>
      <w:r w:rsidR="00842EE9">
        <w:rPr>
          <w:rFonts w:ascii="Times New Roman" w:hAnsi="Times New Roman"/>
          <w:i/>
          <w:iCs/>
          <w:sz w:val="24"/>
          <w:szCs w:val="24"/>
        </w:rPr>
        <w:t>Kometet u shqyrtuan dhe u pasqyruan sëbashku me statusin përkatës sipas tabelës në shtojcën bashkëlidhur.</w:t>
      </w:r>
    </w:p>
    <w:p w14:paraId="48130629" w14:textId="1CE03940" w:rsidR="00A5349F" w:rsidRDefault="00A5349F" w:rsidP="0098512C">
      <w:pPr>
        <w:jc w:val="both"/>
        <w:rPr>
          <w:rFonts w:ascii="Times New Roman" w:hAnsi="Times New Roman"/>
          <w:i/>
          <w:iCs/>
          <w:sz w:val="24"/>
          <w:szCs w:val="24"/>
        </w:rPr>
      </w:pPr>
    </w:p>
    <w:p w14:paraId="640072C5" w14:textId="003FE848" w:rsidR="00A5349F" w:rsidRDefault="00A5349F" w:rsidP="00922D7A">
      <w:pPr>
        <w:jc w:val="both"/>
        <w:rPr>
          <w:rFonts w:ascii="Times New Roman" w:hAnsi="Times New Roman"/>
          <w:i/>
          <w:iCs/>
          <w:sz w:val="24"/>
          <w:szCs w:val="24"/>
        </w:rPr>
      </w:pPr>
    </w:p>
    <w:p w14:paraId="5C4E8C8E" w14:textId="56E32BC2" w:rsidR="00A5349F" w:rsidRPr="00A5349F" w:rsidRDefault="00A5349F" w:rsidP="005B6D2B">
      <w:pPr>
        <w:ind w:left="360"/>
        <w:jc w:val="both"/>
        <w:rPr>
          <w:rFonts w:ascii="Times New Roman" w:hAnsi="Times New Roman"/>
          <w:b/>
          <w:i/>
          <w:iCs/>
          <w:sz w:val="24"/>
          <w:szCs w:val="24"/>
        </w:rPr>
      </w:pPr>
      <w:r>
        <w:rPr>
          <w:rFonts w:ascii="Times New Roman" w:hAnsi="Times New Roman"/>
          <w:i/>
          <w:iCs/>
          <w:sz w:val="24"/>
          <w:szCs w:val="24"/>
        </w:rPr>
        <w:t xml:space="preserve">                                                          </w:t>
      </w:r>
      <w:r w:rsidRPr="00A5349F">
        <w:rPr>
          <w:rFonts w:ascii="Times New Roman" w:hAnsi="Times New Roman"/>
          <w:b/>
          <w:i/>
          <w:iCs/>
          <w:sz w:val="24"/>
          <w:szCs w:val="24"/>
        </w:rPr>
        <w:t>SHTOJC</w:t>
      </w:r>
      <w:r>
        <w:rPr>
          <w:rFonts w:ascii="Times New Roman" w:hAnsi="Times New Roman"/>
          <w:b/>
          <w:i/>
          <w:iCs/>
          <w:sz w:val="24"/>
          <w:szCs w:val="24"/>
        </w:rPr>
        <w:t>Ë</w:t>
      </w:r>
      <w:r w:rsidRPr="00A5349F">
        <w:rPr>
          <w:rFonts w:ascii="Times New Roman" w:hAnsi="Times New Roman"/>
          <w:b/>
          <w:i/>
          <w:iCs/>
          <w:sz w:val="24"/>
          <w:szCs w:val="24"/>
        </w:rPr>
        <w:t xml:space="preserve"> </w:t>
      </w:r>
    </w:p>
    <w:p w14:paraId="3E47046F" w14:textId="77777777" w:rsidR="00A5349F" w:rsidRPr="002A3FAE" w:rsidRDefault="00A5349F" w:rsidP="005B6D2B">
      <w:pPr>
        <w:ind w:left="360"/>
        <w:jc w:val="both"/>
        <w:rPr>
          <w:rFonts w:ascii="Times New Roman" w:hAnsi="Times New Roman"/>
          <w:i/>
          <w:iCs/>
          <w:sz w:val="24"/>
          <w:szCs w:val="24"/>
        </w:rPr>
      </w:pP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775"/>
        <w:gridCol w:w="1426"/>
        <w:gridCol w:w="1376"/>
        <w:gridCol w:w="1908"/>
      </w:tblGrid>
      <w:tr w:rsidR="007F60D5" w:rsidRPr="002A3FAE" w14:paraId="6E709CA6" w14:textId="77777777" w:rsidTr="00993A99">
        <w:tc>
          <w:tcPr>
            <w:tcW w:w="2599" w:type="dxa"/>
            <w:tcBorders>
              <w:top w:val="single" w:sz="4" w:space="0" w:color="auto"/>
              <w:left w:val="single" w:sz="4" w:space="0" w:color="auto"/>
              <w:bottom w:val="single" w:sz="4" w:space="0" w:color="auto"/>
              <w:right w:val="single" w:sz="4" w:space="0" w:color="auto"/>
            </w:tcBorders>
            <w:hideMark/>
          </w:tcPr>
          <w:p w14:paraId="77D4FD10"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t>Çështja e  adresuar</w:t>
            </w:r>
          </w:p>
          <w:p w14:paraId="40FD3E02" w14:textId="77777777" w:rsidR="007F60D5" w:rsidRPr="002A3FAE" w:rsidRDefault="007F60D5" w:rsidP="00993A99">
            <w:pPr>
              <w:pStyle w:val="BodyText"/>
              <w:jc w:val="both"/>
              <w:rPr>
                <w:rFonts w:ascii="Times New Roman" w:hAnsi="Times New Roman"/>
                <w:b/>
                <w:i/>
                <w:iCs/>
                <w:sz w:val="24"/>
                <w:szCs w:val="24"/>
              </w:rPr>
            </w:pPr>
            <w:r w:rsidRPr="002A3FAE">
              <w:rPr>
                <w:rFonts w:ascii="Times New Roman" w:hAnsi="Times New Roman"/>
                <w:b/>
                <w:sz w:val="24"/>
                <w:szCs w:val="24"/>
              </w:rPr>
              <w:t>(</w:t>
            </w:r>
            <w:r w:rsidRPr="002A3FAE">
              <w:rPr>
                <w:rFonts w:ascii="Times New Roman" w:hAnsi="Times New Roman"/>
                <w:b/>
                <w:i/>
                <w:sz w:val="24"/>
                <w:szCs w:val="24"/>
              </w:rPr>
              <w:t>psh. përkufizimi i ri i…, kushtet për regjistrimin e…, rregullimi i…, etj.)</w:t>
            </w:r>
          </w:p>
        </w:tc>
        <w:tc>
          <w:tcPr>
            <w:tcW w:w="2599" w:type="dxa"/>
            <w:tcBorders>
              <w:top w:val="single" w:sz="4" w:space="0" w:color="auto"/>
              <w:left w:val="single" w:sz="4" w:space="0" w:color="auto"/>
              <w:bottom w:val="single" w:sz="4" w:space="0" w:color="auto"/>
              <w:right w:val="single" w:sz="4" w:space="0" w:color="auto"/>
            </w:tcBorders>
            <w:hideMark/>
          </w:tcPr>
          <w:p w14:paraId="4E409B7B"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t>Komenti</w:t>
            </w:r>
          </w:p>
          <w:p w14:paraId="1F99A5D6" w14:textId="77777777" w:rsidR="007F60D5" w:rsidRPr="002A3FAE" w:rsidRDefault="007F60D5" w:rsidP="00993A99">
            <w:pPr>
              <w:pStyle w:val="BodyText"/>
              <w:jc w:val="both"/>
              <w:rPr>
                <w:rFonts w:ascii="Times New Roman" w:hAnsi="Times New Roman"/>
                <w:b/>
                <w:i/>
                <w:iCs/>
                <w:sz w:val="24"/>
                <w:szCs w:val="24"/>
              </w:rPr>
            </w:pPr>
            <w:r w:rsidRPr="002A3FAE">
              <w:rPr>
                <w:rFonts w:ascii="Times New Roman" w:hAnsi="Times New Roman"/>
                <w:b/>
                <w:i/>
                <w:iCs/>
                <w:sz w:val="24"/>
                <w:szCs w:val="24"/>
              </w:rPr>
              <w:t xml:space="preserve">(grumbulloni dhe përmblidhni komente identike/të ngjashme nga palët e ndryshme të interesuara së bashku) </w:t>
            </w:r>
          </w:p>
        </w:tc>
        <w:tc>
          <w:tcPr>
            <w:tcW w:w="1579" w:type="dxa"/>
            <w:tcBorders>
              <w:top w:val="single" w:sz="4" w:space="0" w:color="auto"/>
              <w:left w:val="single" w:sz="4" w:space="0" w:color="auto"/>
              <w:bottom w:val="single" w:sz="4" w:space="0" w:color="auto"/>
              <w:right w:val="single" w:sz="4" w:space="0" w:color="auto"/>
            </w:tcBorders>
            <w:hideMark/>
          </w:tcPr>
          <w:p w14:paraId="647BC8A6"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t xml:space="preserve">Palët e interesuara </w:t>
            </w:r>
            <w:r w:rsidRPr="002A3FAE">
              <w:rPr>
                <w:rFonts w:ascii="Times New Roman" w:hAnsi="Times New Roman"/>
                <w:b/>
                <w:i/>
                <w:iCs/>
                <w:sz w:val="24"/>
                <w:szCs w:val="24"/>
              </w:rPr>
              <w:t>(renditni të gjithë ata që adresuan çështjen në mënyrë të ngjashme)</w:t>
            </w:r>
          </w:p>
        </w:tc>
        <w:tc>
          <w:tcPr>
            <w:tcW w:w="1300" w:type="dxa"/>
            <w:tcBorders>
              <w:top w:val="single" w:sz="4" w:space="0" w:color="auto"/>
              <w:left w:val="single" w:sz="4" w:space="0" w:color="auto"/>
              <w:bottom w:val="single" w:sz="4" w:space="0" w:color="auto"/>
              <w:right w:val="single" w:sz="4" w:space="0" w:color="auto"/>
            </w:tcBorders>
            <w:hideMark/>
          </w:tcPr>
          <w:p w14:paraId="7BCD7433"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t xml:space="preserve">Vendimi (I pranuar/I pranuar pjesërisht/I refuzuar) </w:t>
            </w:r>
          </w:p>
        </w:tc>
        <w:tc>
          <w:tcPr>
            <w:tcW w:w="2183" w:type="dxa"/>
            <w:tcBorders>
              <w:top w:val="single" w:sz="4" w:space="0" w:color="auto"/>
              <w:left w:val="single" w:sz="4" w:space="0" w:color="auto"/>
              <w:bottom w:val="single" w:sz="4" w:space="0" w:color="auto"/>
              <w:right w:val="single" w:sz="4" w:space="0" w:color="auto"/>
            </w:tcBorders>
            <w:hideMark/>
          </w:tcPr>
          <w:p w14:paraId="13EFB7F3"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t>Justifikimi</w:t>
            </w:r>
          </w:p>
        </w:tc>
      </w:tr>
      <w:tr w:rsidR="007F60D5" w:rsidRPr="002A3FAE" w14:paraId="0F451E82" w14:textId="77777777" w:rsidTr="00993A99">
        <w:tc>
          <w:tcPr>
            <w:tcW w:w="2599" w:type="dxa"/>
            <w:tcBorders>
              <w:top w:val="single" w:sz="4" w:space="0" w:color="auto"/>
              <w:left w:val="single" w:sz="4" w:space="0" w:color="auto"/>
              <w:bottom w:val="single" w:sz="4" w:space="0" w:color="auto"/>
              <w:right w:val="single" w:sz="4" w:space="0" w:color="auto"/>
            </w:tcBorders>
          </w:tcPr>
          <w:p w14:paraId="71366F0F"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Terminologjia juridike </w:t>
            </w:r>
          </w:p>
        </w:tc>
        <w:tc>
          <w:tcPr>
            <w:tcW w:w="2599" w:type="dxa"/>
            <w:tcBorders>
              <w:top w:val="single" w:sz="4" w:space="0" w:color="auto"/>
              <w:left w:val="single" w:sz="4" w:space="0" w:color="auto"/>
              <w:bottom w:val="single" w:sz="4" w:space="0" w:color="auto"/>
              <w:right w:val="single" w:sz="4" w:space="0" w:color="auto"/>
            </w:tcBorders>
          </w:tcPr>
          <w:p w14:paraId="504F7BDF"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Terminologjia e përdorur në hartimin e ligjit nuk është qartësisht e kuptueshme për fermerët. Qartësia e përmbajtjes është baza për funksionalitetin e ligjit. Terma si “ceduesi”,  “cesionari” etj. duhen zëvendësuar me terma shqip</w:t>
            </w:r>
          </w:p>
        </w:tc>
        <w:tc>
          <w:tcPr>
            <w:tcW w:w="1579" w:type="dxa"/>
            <w:tcBorders>
              <w:top w:val="single" w:sz="4" w:space="0" w:color="auto"/>
              <w:left w:val="single" w:sz="4" w:space="0" w:color="auto"/>
              <w:bottom w:val="single" w:sz="4" w:space="0" w:color="auto"/>
              <w:right w:val="single" w:sz="4" w:space="0" w:color="auto"/>
            </w:tcBorders>
          </w:tcPr>
          <w:p w14:paraId="145009BC"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5D921E1A"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4999BD1C"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Nga një hulumtim i terminologjisë legjislative termat “ceduesi”, “cesionari” hasen në të drejtën civile KC, neni 504 dhe jo vetëm por edhe në hartimin e kontratave etj.</w:t>
            </w:r>
          </w:p>
          <w:p w14:paraId="29F8CA11"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sz w:val="24"/>
                <w:szCs w:val="24"/>
              </w:rPr>
              <w:t>Gjithashtu komentet paraprake të Ministrisë së Drejtësisë nuk kanë kundërshtuar këto terme në kuptim të teknikës legjislative</w:t>
            </w:r>
            <w:r w:rsidRPr="002A3FAE">
              <w:rPr>
                <w:rFonts w:ascii="Times New Roman" w:hAnsi="Times New Roman"/>
                <w:b/>
                <w:i/>
                <w:sz w:val="24"/>
                <w:szCs w:val="24"/>
              </w:rPr>
              <w:t>.</w:t>
            </w:r>
          </w:p>
          <w:p w14:paraId="486CC16C" w14:textId="77777777" w:rsidR="007F60D5" w:rsidRPr="002A3FAE" w:rsidRDefault="007F60D5" w:rsidP="00993A99">
            <w:pPr>
              <w:pStyle w:val="BodyText"/>
              <w:jc w:val="both"/>
              <w:rPr>
                <w:rFonts w:ascii="Times New Roman" w:hAnsi="Times New Roman"/>
                <w:sz w:val="24"/>
                <w:szCs w:val="24"/>
                <w:lang w:eastAsia="ja-JP"/>
              </w:rPr>
            </w:pPr>
            <w:r w:rsidRPr="002A3FAE">
              <w:rPr>
                <w:rFonts w:ascii="Times New Roman" w:hAnsi="Times New Roman"/>
                <w:sz w:val="24"/>
                <w:szCs w:val="24"/>
              </w:rPr>
              <w:t xml:space="preserve">Megjithatë, grupi i punës e ka marrë në konsideratë këtë koment në </w:t>
            </w:r>
            <w:r w:rsidRPr="002A3FAE">
              <w:rPr>
                <w:rFonts w:ascii="Times New Roman" w:hAnsi="Times New Roman"/>
                <w:sz w:val="24"/>
                <w:szCs w:val="24"/>
              </w:rPr>
              <w:lastRenderedPageBreak/>
              <w:t>funksion të thjeshtimit dhe të kuptueshmërisë të projektdraftit.</w:t>
            </w:r>
          </w:p>
        </w:tc>
      </w:tr>
      <w:tr w:rsidR="007F60D5" w:rsidRPr="002A3FAE" w14:paraId="35326080" w14:textId="77777777" w:rsidTr="00993A99">
        <w:tc>
          <w:tcPr>
            <w:tcW w:w="2599" w:type="dxa"/>
            <w:tcBorders>
              <w:top w:val="single" w:sz="4" w:space="0" w:color="auto"/>
              <w:left w:val="single" w:sz="4" w:space="0" w:color="auto"/>
              <w:bottom w:val="single" w:sz="4" w:space="0" w:color="auto"/>
              <w:right w:val="single" w:sz="4" w:space="0" w:color="auto"/>
            </w:tcBorders>
          </w:tcPr>
          <w:p w14:paraId="69B025A2"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lastRenderedPageBreak/>
              <w:t>Në nenin 6 mënyra e kryerjes së pagesës për  dëftesën tregtare dhe mënyrën si do përmbushet ajo.</w:t>
            </w:r>
          </w:p>
        </w:tc>
        <w:tc>
          <w:tcPr>
            <w:tcW w:w="2599" w:type="dxa"/>
            <w:tcBorders>
              <w:top w:val="single" w:sz="4" w:space="0" w:color="auto"/>
              <w:left w:val="single" w:sz="4" w:space="0" w:color="auto"/>
              <w:bottom w:val="single" w:sz="4" w:space="0" w:color="auto"/>
              <w:right w:val="single" w:sz="4" w:space="0" w:color="auto"/>
            </w:tcBorders>
          </w:tcPr>
          <w:p w14:paraId="25A0B1D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Në Nenin 6 thuhet: “Dëftesa tregtare përmbushet me kryerjen e pagesës në llogarinë bankare të kreditorit, apo me pagesën me para në dorë, brenda kufirit të lejuar me ligjin nr. 9920, datë 19. 05. 2008 “Për procedurat tatimore në Republikën e Shqipërisë”, i ndryshuar.” Blerja me para në dorë sipas ligjit të cituar më sipër përfshin një vlerë të vogël monetare dhe nuk krijon asnjë lehtësi as për shitësin dhe as për blerësin. Në këtë nen duhet bërë edhe një përcaktim i vlerës së produktit të blerë me para në dorë, pra të ndryshohet edhe  ligji nr. 9920, datë 19. 05. 2008 “Për procedurat tatimore në Republikën e Shqipërisë”, i ndryshuar</w:t>
            </w:r>
          </w:p>
        </w:tc>
        <w:tc>
          <w:tcPr>
            <w:tcW w:w="1579" w:type="dxa"/>
            <w:tcBorders>
              <w:top w:val="single" w:sz="4" w:space="0" w:color="auto"/>
              <w:left w:val="single" w:sz="4" w:space="0" w:color="auto"/>
              <w:bottom w:val="single" w:sz="4" w:space="0" w:color="auto"/>
              <w:right w:val="single" w:sz="4" w:space="0" w:color="auto"/>
            </w:tcBorders>
          </w:tcPr>
          <w:p w14:paraId="20D32D7E"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Rrjeti Shqiptar për Zhvillimin Rural (ANRD)</w:t>
            </w:r>
          </w:p>
        </w:tc>
        <w:tc>
          <w:tcPr>
            <w:tcW w:w="1300" w:type="dxa"/>
            <w:tcBorders>
              <w:top w:val="single" w:sz="4" w:space="0" w:color="auto"/>
              <w:left w:val="single" w:sz="4" w:space="0" w:color="auto"/>
              <w:bottom w:val="single" w:sz="4" w:space="0" w:color="auto"/>
              <w:right w:val="single" w:sz="4" w:space="0" w:color="auto"/>
            </w:tcBorders>
          </w:tcPr>
          <w:p w14:paraId="608510F0"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Pranuar </w:t>
            </w:r>
          </w:p>
        </w:tc>
        <w:tc>
          <w:tcPr>
            <w:tcW w:w="2183" w:type="dxa"/>
            <w:tcBorders>
              <w:top w:val="single" w:sz="4" w:space="0" w:color="auto"/>
              <w:left w:val="single" w:sz="4" w:space="0" w:color="auto"/>
              <w:bottom w:val="single" w:sz="4" w:space="0" w:color="auto"/>
              <w:right w:val="single" w:sz="4" w:space="0" w:color="auto"/>
            </w:tcBorders>
          </w:tcPr>
          <w:p w14:paraId="6BE7C30B"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Ky koment është marrë në konsideratë dhe është reflektuar në draft propozimin.</w:t>
            </w:r>
          </w:p>
        </w:tc>
      </w:tr>
      <w:tr w:rsidR="007F60D5" w:rsidRPr="002A3FAE" w14:paraId="6EEE3724" w14:textId="77777777" w:rsidTr="00993A99">
        <w:tc>
          <w:tcPr>
            <w:tcW w:w="2599" w:type="dxa"/>
            <w:tcBorders>
              <w:top w:val="single" w:sz="4" w:space="0" w:color="auto"/>
              <w:left w:val="single" w:sz="4" w:space="0" w:color="auto"/>
              <w:bottom w:val="single" w:sz="4" w:space="0" w:color="auto"/>
              <w:right w:val="single" w:sz="4" w:space="0" w:color="auto"/>
            </w:tcBorders>
          </w:tcPr>
          <w:p w14:paraId="68ACF0BB"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Pagesat në rastet e dëmtimit të mallrave të magazionuara.</w:t>
            </w:r>
          </w:p>
        </w:tc>
        <w:tc>
          <w:tcPr>
            <w:tcW w:w="2599" w:type="dxa"/>
            <w:tcBorders>
              <w:top w:val="single" w:sz="4" w:space="0" w:color="auto"/>
              <w:left w:val="single" w:sz="4" w:space="0" w:color="auto"/>
              <w:bottom w:val="single" w:sz="4" w:space="0" w:color="auto"/>
              <w:right w:val="single" w:sz="4" w:space="0" w:color="auto"/>
            </w:tcBorders>
          </w:tcPr>
          <w:p w14:paraId="4D9C14CB"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Në Nenin 10 nuk parashikohet se kush i paguan mallrat e dëmtuara te magazinuara.</w:t>
            </w:r>
          </w:p>
        </w:tc>
        <w:tc>
          <w:tcPr>
            <w:tcW w:w="1579" w:type="dxa"/>
            <w:tcBorders>
              <w:top w:val="single" w:sz="4" w:space="0" w:color="auto"/>
              <w:left w:val="single" w:sz="4" w:space="0" w:color="auto"/>
              <w:bottom w:val="single" w:sz="4" w:space="0" w:color="auto"/>
              <w:right w:val="single" w:sz="4" w:space="0" w:color="auto"/>
            </w:tcBorders>
          </w:tcPr>
          <w:p w14:paraId="77D687EF"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7C29D40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Nuk pranohet</w:t>
            </w:r>
          </w:p>
        </w:tc>
        <w:tc>
          <w:tcPr>
            <w:tcW w:w="2183" w:type="dxa"/>
            <w:tcBorders>
              <w:top w:val="single" w:sz="4" w:space="0" w:color="auto"/>
              <w:left w:val="single" w:sz="4" w:space="0" w:color="auto"/>
              <w:bottom w:val="single" w:sz="4" w:space="0" w:color="auto"/>
              <w:right w:val="single" w:sz="4" w:space="0" w:color="auto"/>
            </w:tcBorders>
          </w:tcPr>
          <w:p w14:paraId="6BB7380D"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Projektligji  përmban një nen i cili parasheh zbatimin e KC (si edhe zbatimin e ligjeve të tjera). Në lidhje me mallrat e dëmtuara rrjedhimisht dispozitat e KC vlejnë edhe në rregullimin e cështjes së pagesës  dhe si kryhet ajo në këtë rast.</w:t>
            </w:r>
          </w:p>
        </w:tc>
      </w:tr>
      <w:tr w:rsidR="007F60D5" w:rsidRPr="002A3FAE" w14:paraId="48BADAE3" w14:textId="77777777" w:rsidTr="00993A99">
        <w:tc>
          <w:tcPr>
            <w:tcW w:w="2599" w:type="dxa"/>
            <w:tcBorders>
              <w:top w:val="single" w:sz="4" w:space="0" w:color="auto"/>
              <w:left w:val="single" w:sz="4" w:space="0" w:color="auto"/>
              <w:bottom w:val="single" w:sz="4" w:space="0" w:color="auto"/>
              <w:right w:val="single" w:sz="4" w:space="0" w:color="auto"/>
            </w:tcBorders>
          </w:tcPr>
          <w:p w14:paraId="43C659FD"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lastRenderedPageBreak/>
              <w:t>Garancitë ndaj cesionarit  dhe kreditorit</w:t>
            </w:r>
          </w:p>
        </w:tc>
        <w:tc>
          <w:tcPr>
            <w:tcW w:w="2599" w:type="dxa"/>
            <w:tcBorders>
              <w:top w:val="single" w:sz="4" w:space="0" w:color="auto"/>
              <w:left w:val="single" w:sz="4" w:space="0" w:color="auto"/>
              <w:bottom w:val="single" w:sz="4" w:space="0" w:color="auto"/>
              <w:right w:val="single" w:sz="4" w:space="0" w:color="auto"/>
            </w:tcBorders>
          </w:tcPr>
          <w:p w14:paraId="2B7706C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Neni 13, “Kreditori apo cesionari i dëftesës tregtare mbi produktin bujqësor të magazinuar, të cilit nuk i është paguar shuma e siguruar me barrë siguruese brenda afatit, ka të drejtë të kërkojë pagesën nga depozituesi i produkteve, përndryshe ky i fundit humbet të drejtën e pronësisë mbi produktet bujqësore të magazinuara.” Pse ky emertim i dyfishte? Ne titull te nenit “Kreditori” dhe “Cesionari” janë te ndryshëm, ndërsa në pikën 1 janë të njëjtë.  </w:t>
            </w:r>
          </w:p>
        </w:tc>
        <w:tc>
          <w:tcPr>
            <w:tcW w:w="1579" w:type="dxa"/>
            <w:tcBorders>
              <w:top w:val="single" w:sz="4" w:space="0" w:color="auto"/>
              <w:left w:val="single" w:sz="4" w:space="0" w:color="auto"/>
              <w:bottom w:val="single" w:sz="4" w:space="0" w:color="auto"/>
              <w:right w:val="single" w:sz="4" w:space="0" w:color="auto"/>
            </w:tcBorders>
          </w:tcPr>
          <w:p w14:paraId="104B6E77"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38D975DE"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Pranuar </w:t>
            </w:r>
          </w:p>
        </w:tc>
        <w:tc>
          <w:tcPr>
            <w:tcW w:w="2183" w:type="dxa"/>
            <w:tcBorders>
              <w:top w:val="single" w:sz="4" w:space="0" w:color="auto"/>
              <w:left w:val="single" w:sz="4" w:space="0" w:color="auto"/>
              <w:bottom w:val="single" w:sz="4" w:space="0" w:color="auto"/>
              <w:right w:val="single" w:sz="4" w:space="0" w:color="auto"/>
            </w:tcBorders>
          </w:tcPr>
          <w:p w14:paraId="098B86B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Ky koment është marrë në konsideratë dhe është reflektuar në draft propozimin.</w:t>
            </w:r>
          </w:p>
        </w:tc>
      </w:tr>
      <w:tr w:rsidR="007F60D5" w:rsidRPr="002A3FAE" w14:paraId="6EDA1FFB" w14:textId="77777777" w:rsidTr="00993A99">
        <w:tc>
          <w:tcPr>
            <w:tcW w:w="2599" w:type="dxa"/>
            <w:tcBorders>
              <w:top w:val="single" w:sz="4" w:space="0" w:color="auto"/>
              <w:left w:val="single" w:sz="4" w:space="0" w:color="auto"/>
              <w:bottom w:val="single" w:sz="4" w:space="0" w:color="auto"/>
              <w:right w:val="single" w:sz="4" w:space="0" w:color="auto"/>
            </w:tcBorders>
          </w:tcPr>
          <w:p w14:paraId="436C253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Sistemet referuese të Brazilit dhe Ukrainës të cilat kanë shërbyer si model për propozimin e kësaj politike të re. </w:t>
            </w:r>
          </w:p>
        </w:tc>
        <w:tc>
          <w:tcPr>
            <w:tcW w:w="2599" w:type="dxa"/>
            <w:tcBorders>
              <w:top w:val="single" w:sz="4" w:space="0" w:color="auto"/>
              <w:left w:val="single" w:sz="4" w:space="0" w:color="auto"/>
              <w:bottom w:val="single" w:sz="4" w:space="0" w:color="auto"/>
              <w:right w:val="single" w:sz="4" w:space="0" w:color="auto"/>
            </w:tcBorders>
          </w:tcPr>
          <w:p w14:paraId="26DC4DED"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Në rastin e këtij projektligji janë marrë si sisteme referuese traditat ligjore të Brazilit dhe Ukrainës. Është thelbësore të njihen kushtet bujqësore apo bankare në të cilat ishin Brazili dhe Ukraina në momentin që i aplikuan këto instrumenta financiarë dhe të krahasohen me situatën aktuale në të cilën ndodhet Shqipëria.</w:t>
            </w:r>
          </w:p>
        </w:tc>
        <w:tc>
          <w:tcPr>
            <w:tcW w:w="1579" w:type="dxa"/>
            <w:tcBorders>
              <w:top w:val="single" w:sz="4" w:space="0" w:color="auto"/>
              <w:left w:val="single" w:sz="4" w:space="0" w:color="auto"/>
              <w:bottom w:val="single" w:sz="4" w:space="0" w:color="auto"/>
              <w:right w:val="single" w:sz="4" w:space="0" w:color="auto"/>
            </w:tcBorders>
          </w:tcPr>
          <w:p w14:paraId="6CA6579C"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447BE5B2"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Nuk pranohet</w:t>
            </w:r>
          </w:p>
        </w:tc>
        <w:tc>
          <w:tcPr>
            <w:tcW w:w="2183" w:type="dxa"/>
            <w:tcBorders>
              <w:top w:val="single" w:sz="4" w:space="0" w:color="auto"/>
              <w:left w:val="single" w:sz="4" w:space="0" w:color="auto"/>
              <w:bottom w:val="single" w:sz="4" w:space="0" w:color="auto"/>
              <w:right w:val="single" w:sz="4" w:space="0" w:color="auto"/>
            </w:tcBorders>
          </w:tcPr>
          <w:p w14:paraId="6027B867"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Grupi i punës së IFC  ka punuar nje raport lidhur i cili më vonë është përkthyer në sjelljen e një propozimi ligjor e i cili në RSH është “Projektligji për dëftesat tregëtare”. E  njëjta nismë është ndërmarrë edhe në Kosovë &amp; Maqedoni).</w:t>
            </w:r>
          </w:p>
        </w:tc>
      </w:tr>
      <w:tr w:rsidR="007F60D5" w:rsidRPr="002A3FAE" w14:paraId="73AFFC6E" w14:textId="77777777" w:rsidTr="00993A99">
        <w:tc>
          <w:tcPr>
            <w:tcW w:w="2599" w:type="dxa"/>
            <w:tcBorders>
              <w:top w:val="single" w:sz="4" w:space="0" w:color="auto"/>
              <w:left w:val="single" w:sz="4" w:space="0" w:color="auto"/>
              <w:bottom w:val="single" w:sz="4" w:space="0" w:color="auto"/>
              <w:right w:val="single" w:sz="4" w:space="0" w:color="auto"/>
            </w:tcBorders>
          </w:tcPr>
          <w:p w14:paraId="4109D4D9"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Qëndrime skeptike.</w:t>
            </w:r>
          </w:p>
        </w:tc>
        <w:tc>
          <w:tcPr>
            <w:tcW w:w="2599" w:type="dxa"/>
            <w:tcBorders>
              <w:top w:val="single" w:sz="4" w:space="0" w:color="auto"/>
              <w:left w:val="single" w:sz="4" w:space="0" w:color="auto"/>
              <w:bottom w:val="single" w:sz="4" w:space="0" w:color="auto"/>
              <w:right w:val="single" w:sz="4" w:space="0" w:color="auto"/>
            </w:tcBorders>
          </w:tcPr>
          <w:p w14:paraId="31375BA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Fermerët janë skeptikë për rritjen e mundësive të financimit, për shkak riskut të lartë që shoqëron prodhimin bujqësor dhe blegtoral të ardhshëm. Është e paparashikueshme ecuria e aktivitetit bujqësor, sidomos për sipërfaqet e kultivuara në fushë të hapur, dhe stabiliteti në tregjet e shitjes. Një treg i tillë financiar vështirë të jetë i </w:t>
            </w:r>
            <w:r w:rsidRPr="002A3FAE">
              <w:rPr>
                <w:rFonts w:ascii="Times New Roman" w:hAnsi="Times New Roman"/>
                <w:sz w:val="24"/>
                <w:szCs w:val="24"/>
              </w:rPr>
              <w:lastRenderedPageBreak/>
              <w:t>aksesueshëm nga fermat e vogla në Shqipëri.</w:t>
            </w:r>
          </w:p>
        </w:tc>
        <w:tc>
          <w:tcPr>
            <w:tcW w:w="1579" w:type="dxa"/>
            <w:tcBorders>
              <w:top w:val="single" w:sz="4" w:space="0" w:color="auto"/>
              <w:left w:val="single" w:sz="4" w:space="0" w:color="auto"/>
              <w:bottom w:val="single" w:sz="4" w:space="0" w:color="auto"/>
              <w:right w:val="single" w:sz="4" w:space="0" w:color="auto"/>
            </w:tcBorders>
          </w:tcPr>
          <w:p w14:paraId="33C2FE50"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lastRenderedPageBreak/>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5AA32032"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Nuk pranohet</w:t>
            </w:r>
          </w:p>
        </w:tc>
        <w:tc>
          <w:tcPr>
            <w:tcW w:w="2183" w:type="dxa"/>
            <w:tcBorders>
              <w:top w:val="single" w:sz="4" w:space="0" w:color="auto"/>
              <w:left w:val="single" w:sz="4" w:space="0" w:color="auto"/>
              <w:bottom w:val="single" w:sz="4" w:space="0" w:color="auto"/>
              <w:right w:val="single" w:sz="4" w:space="0" w:color="auto"/>
            </w:tcBorders>
          </w:tcPr>
          <w:p w14:paraId="3F1715E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Grupi i punës i përbërë nga ekspertë të IFC si edhe përfaqësues nga MBZHR ka zhvilluar takime, të pasqyruara në dokumentin RIA i cili ishte edhe në faqen e konsultimit publik, jo vetëm me institucionet e linjës por edhe </w:t>
            </w:r>
            <w:r w:rsidRPr="002A3FAE">
              <w:rPr>
                <w:rFonts w:ascii="Times New Roman" w:hAnsi="Times New Roman"/>
                <w:sz w:val="24"/>
                <w:szCs w:val="24"/>
              </w:rPr>
              <w:lastRenderedPageBreak/>
              <w:t>me aktorë të tjerë të zinxhirit të vlerës si fermerë, grumbullues, biznesmenë etj dhe qëndrimet kanë qënë jo vetëm pozitive por edhe kanë dhënë komente shumë të vlefshme të cilat janë marrë parasysh dhe janë reflektuar në draftligj. Sic është pasqyruar edhe në RIA edhe në relacion marrëdhënia juridike objekt i ligjit është gjetur egzistuese në terren.</w:t>
            </w:r>
          </w:p>
        </w:tc>
      </w:tr>
      <w:tr w:rsidR="007F60D5" w:rsidRPr="002A3FAE" w14:paraId="444958CE" w14:textId="77777777" w:rsidTr="00993A99">
        <w:tc>
          <w:tcPr>
            <w:tcW w:w="2599" w:type="dxa"/>
            <w:tcBorders>
              <w:top w:val="single" w:sz="4" w:space="0" w:color="auto"/>
              <w:left w:val="single" w:sz="4" w:space="0" w:color="auto"/>
              <w:bottom w:val="single" w:sz="4" w:space="0" w:color="auto"/>
              <w:right w:val="single" w:sz="4" w:space="0" w:color="auto"/>
            </w:tcBorders>
          </w:tcPr>
          <w:p w14:paraId="41740D09"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lastRenderedPageBreak/>
              <w:t>Sigurimi i produkteve bujqësore në këtë proces</w:t>
            </w:r>
            <w:r w:rsidRPr="002A3FAE">
              <w:rPr>
                <w:rFonts w:ascii="Times New Roman" w:hAnsi="Times New Roman"/>
                <w:sz w:val="24"/>
                <w:szCs w:val="24"/>
                <w:highlight w:val="yellow"/>
              </w:rPr>
              <w:t>.</w:t>
            </w:r>
          </w:p>
        </w:tc>
        <w:tc>
          <w:tcPr>
            <w:tcW w:w="2599" w:type="dxa"/>
            <w:tcBorders>
              <w:top w:val="single" w:sz="4" w:space="0" w:color="auto"/>
              <w:left w:val="single" w:sz="4" w:space="0" w:color="auto"/>
              <w:bottom w:val="single" w:sz="4" w:space="0" w:color="auto"/>
              <w:right w:val="single" w:sz="4" w:space="0" w:color="auto"/>
            </w:tcBorders>
          </w:tcPr>
          <w:p w14:paraId="1C24DC87"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Sigurimi i produkteve bujqësore nuk konsiderohet si një proces negativ nga fermerët, por në këtë rast vjen si domosdoshmëri, duke futur në lojë dhe kompanitë e sigurimit. Përfshirja, dhe pse në një moment të dytë të kolateralit real dhe përmbaruesit gjyqësor, e bën këtë një proces jo komod, sidomos për të fermerët e vegjël, të cilët paraqiten si grupi më vulnerabël kur bëhet fjalë për aksesin në financa. Sugjerohet ndërhyrja e shtetit si një garantues.</w:t>
            </w:r>
          </w:p>
        </w:tc>
        <w:tc>
          <w:tcPr>
            <w:tcW w:w="1579" w:type="dxa"/>
            <w:tcBorders>
              <w:top w:val="single" w:sz="4" w:space="0" w:color="auto"/>
              <w:left w:val="single" w:sz="4" w:space="0" w:color="auto"/>
              <w:bottom w:val="single" w:sz="4" w:space="0" w:color="auto"/>
              <w:right w:val="single" w:sz="4" w:space="0" w:color="auto"/>
            </w:tcBorders>
          </w:tcPr>
          <w:p w14:paraId="4D2CDABE"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4CD0919A" w14:textId="77777777" w:rsidR="007F60D5" w:rsidRPr="002A3FAE" w:rsidRDefault="007F60D5" w:rsidP="00993A99">
            <w:pPr>
              <w:pStyle w:val="BodyText"/>
              <w:jc w:val="both"/>
              <w:rPr>
                <w:rFonts w:ascii="Times New Roman" w:hAnsi="Times New Roman"/>
                <w:sz w:val="24"/>
                <w:szCs w:val="24"/>
              </w:rPr>
            </w:pPr>
          </w:p>
        </w:tc>
        <w:tc>
          <w:tcPr>
            <w:tcW w:w="2183" w:type="dxa"/>
            <w:tcBorders>
              <w:top w:val="single" w:sz="4" w:space="0" w:color="auto"/>
              <w:left w:val="single" w:sz="4" w:space="0" w:color="auto"/>
              <w:bottom w:val="single" w:sz="4" w:space="0" w:color="auto"/>
              <w:right w:val="single" w:sz="4" w:space="0" w:color="auto"/>
            </w:tcBorders>
          </w:tcPr>
          <w:p w14:paraId="786E8DF8" w14:textId="77777777" w:rsidR="007F60D5" w:rsidRPr="002A3FAE" w:rsidRDefault="007F60D5" w:rsidP="00993A99">
            <w:pPr>
              <w:pStyle w:val="BodyText"/>
              <w:jc w:val="both"/>
              <w:rPr>
                <w:rFonts w:ascii="Times New Roman" w:hAnsi="Times New Roman"/>
                <w:sz w:val="24"/>
                <w:szCs w:val="24"/>
              </w:rPr>
            </w:pPr>
          </w:p>
        </w:tc>
      </w:tr>
      <w:tr w:rsidR="007F60D5" w:rsidRPr="002A3FAE" w14:paraId="5A1ED56E" w14:textId="77777777" w:rsidTr="00993A99">
        <w:tc>
          <w:tcPr>
            <w:tcW w:w="2599" w:type="dxa"/>
            <w:tcBorders>
              <w:top w:val="single" w:sz="4" w:space="0" w:color="auto"/>
              <w:left w:val="single" w:sz="4" w:space="0" w:color="auto"/>
              <w:bottom w:val="single" w:sz="4" w:space="0" w:color="auto"/>
              <w:right w:val="single" w:sz="4" w:space="0" w:color="auto"/>
            </w:tcBorders>
          </w:tcPr>
          <w:p w14:paraId="4CE0BE7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Ҫështje të rëndësishme lidhur me cilësinë e produkteve bujqësore. </w:t>
            </w:r>
          </w:p>
        </w:tc>
        <w:tc>
          <w:tcPr>
            <w:tcW w:w="2599" w:type="dxa"/>
            <w:tcBorders>
              <w:top w:val="single" w:sz="4" w:space="0" w:color="auto"/>
              <w:left w:val="single" w:sz="4" w:space="0" w:color="auto"/>
              <w:bottom w:val="single" w:sz="4" w:space="0" w:color="auto"/>
              <w:right w:val="single" w:sz="4" w:space="0" w:color="auto"/>
            </w:tcBorders>
          </w:tcPr>
          <w:p w14:paraId="64F796B9"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Sipas ekspertëve të fushës produkti bujqësor i magazinuar apo i ardhshëm nuk qëndron si kolateral, sepse është një </w:t>
            </w:r>
            <w:r w:rsidRPr="002A3FAE">
              <w:rPr>
                <w:rFonts w:ascii="Times New Roman" w:hAnsi="Times New Roman"/>
                <w:sz w:val="24"/>
                <w:szCs w:val="24"/>
              </w:rPr>
              <w:lastRenderedPageBreak/>
              <w:t>aset që është vazhdimisht në gjendje të ndryshueshme. Por, edhe nëse produkti bujqësor i magazinuar do të pranohej si kolateral, nevojitet informacion i detajuar për cdo fazë të procesit të prodhimit duke filluar që nga cilësia e farave/fidanëve dhe deri tek praktikat e vjeljes dhe përpunimit, në mënyrë që të ketë siguri për cilësinë e produktit</w:t>
            </w:r>
          </w:p>
        </w:tc>
        <w:tc>
          <w:tcPr>
            <w:tcW w:w="1579" w:type="dxa"/>
            <w:tcBorders>
              <w:top w:val="single" w:sz="4" w:space="0" w:color="auto"/>
              <w:left w:val="single" w:sz="4" w:space="0" w:color="auto"/>
              <w:bottom w:val="single" w:sz="4" w:space="0" w:color="auto"/>
              <w:right w:val="single" w:sz="4" w:space="0" w:color="auto"/>
            </w:tcBorders>
          </w:tcPr>
          <w:p w14:paraId="095E1997"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lastRenderedPageBreak/>
              <w:t xml:space="preserve">Rrjeti Shqiptar per Zhvillimin </w:t>
            </w:r>
            <w:r w:rsidRPr="002A3FAE">
              <w:rPr>
                <w:rFonts w:ascii="Times New Roman" w:hAnsi="Times New Roman"/>
                <w:b/>
                <w:i/>
                <w:sz w:val="24"/>
                <w:szCs w:val="24"/>
              </w:rPr>
              <w:lastRenderedPageBreak/>
              <w:t>Rural (ANRD)</w:t>
            </w:r>
          </w:p>
        </w:tc>
        <w:tc>
          <w:tcPr>
            <w:tcW w:w="1300" w:type="dxa"/>
            <w:tcBorders>
              <w:top w:val="single" w:sz="4" w:space="0" w:color="auto"/>
              <w:left w:val="single" w:sz="4" w:space="0" w:color="auto"/>
              <w:bottom w:val="single" w:sz="4" w:space="0" w:color="auto"/>
              <w:right w:val="single" w:sz="4" w:space="0" w:color="auto"/>
            </w:tcBorders>
          </w:tcPr>
          <w:p w14:paraId="7A087C49"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lastRenderedPageBreak/>
              <w:t>Pranuar</w:t>
            </w:r>
          </w:p>
        </w:tc>
        <w:tc>
          <w:tcPr>
            <w:tcW w:w="2183" w:type="dxa"/>
            <w:tcBorders>
              <w:top w:val="single" w:sz="4" w:space="0" w:color="auto"/>
              <w:left w:val="single" w:sz="4" w:space="0" w:color="auto"/>
              <w:bottom w:val="single" w:sz="4" w:space="0" w:color="auto"/>
              <w:right w:val="single" w:sz="4" w:space="0" w:color="auto"/>
            </w:tcBorders>
          </w:tcPr>
          <w:p w14:paraId="3294F2D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Do të shtohet informacion më i hollësishëm në vijim pasi cilësia e produkteve </w:t>
            </w:r>
            <w:r w:rsidRPr="002A3FAE">
              <w:rPr>
                <w:rFonts w:ascii="Times New Roman" w:hAnsi="Times New Roman"/>
                <w:sz w:val="24"/>
                <w:szCs w:val="24"/>
              </w:rPr>
              <w:lastRenderedPageBreak/>
              <w:t>bujqësore është element thelbësor i procesit që rregullon projektligji.</w:t>
            </w:r>
          </w:p>
          <w:p w14:paraId="1734A807"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Ky koment është marrë në konsideratë dhe është reflektuar në draft propozimin</w:t>
            </w:r>
          </w:p>
        </w:tc>
      </w:tr>
      <w:tr w:rsidR="007F60D5" w:rsidRPr="002A3FAE" w14:paraId="09A60A0E" w14:textId="77777777" w:rsidTr="00993A99">
        <w:tc>
          <w:tcPr>
            <w:tcW w:w="2599" w:type="dxa"/>
            <w:tcBorders>
              <w:top w:val="single" w:sz="4" w:space="0" w:color="auto"/>
              <w:left w:val="single" w:sz="4" w:space="0" w:color="auto"/>
              <w:bottom w:val="single" w:sz="4" w:space="0" w:color="auto"/>
              <w:right w:val="single" w:sz="4" w:space="0" w:color="auto"/>
            </w:tcBorders>
          </w:tcPr>
          <w:p w14:paraId="6BEEC256" w14:textId="77777777" w:rsidR="007F60D5" w:rsidRPr="002A3FAE" w:rsidRDefault="007F60D5" w:rsidP="00993A99">
            <w:pPr>
              <w:pStyle w:val="BodyText"/>
              <w:jc w:val="both"/>
              <w:rPr>
                <w:rFonts w:ascii="Times New Roman" w:hAnsi="Times New Roman"/>
                <w:sz w:val="24"/>
                <w:szCs w:val="24"/>
              </w:rPr>
            </w:pPr>
          </w:p>
          <w:p w14:paraId="41A2543B"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Procesi i regjistrimit në RBS dhe regjistrin e dëftesave tregëtare.</w:t>
            </w:r>
          </w:p>
        </w:tc>
        <w:tc>
          <w:tcPr>
            <w:tcW w:w="2599" w:type="dxa"/>
            <w:tcBorders>
              <w:top w:val="single" w:sz="4" w:space="0" w:color="auto"/>
              <w:left w:val="single" w:sz="4" w:space="0" w:color="auto"/>
              <w:bottom w:val="single" w:sz="4" w:space="0" w:color="auto"/>
              <w:right w:val="single" w:sz="4" w:space="0" w:color="auto"/>
            </w:tcBorders>
          </w:tcPr>
          <w:p w14:paraId="0B861FFF"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Nga kjo dispozitë (si dhe pika 6 në vijim) nuk del e qartë se cilit regjistër i referohet si dhe nëse për produktet bujqësore do të vijohet ende me regjistrimin e tyre me barrë siguruese pranë Regjistrit të Barrëve Siguruese; do të bëhet regjistrimi i dyfishtë në dy Regjistra apo do të eliminohet ky proces duke u mjaftuar me regjistrimin vetëm në Regjistrin Elektronik te Deftesave Tregtare pranë e-Albania</w:t>
            </w:r>
          </w:p>
        </w:tc>
        <w:tc>
          <w:tcPr>
            <w:tcW w:w="1579" w:type="dxa"/>
            <w:tcBorders>
              <w:top w:val="single" w:sz="4" w:space="0" w:color="auto"/>
              <w:left w:val="single" w:sz="4" w:space="0" w:color="auto"/>
              <w:bottom w:val="single" w:sz="4" w:space="0" w:color="auto"/>
              <w:right w:val="single" w:sz="4" w:space="0" w:color="auto"/>
            </w:tcBorders>
          </w:tcPr>
          <w:p w14:paraId="338634D5"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3EA595E3"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7173FC6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Komenti i dhënë në neni 3, pika 5, I njëjti koment përsëritur edhe për pikën 6, është marrë parasysh dhe është reflektuar në projektdraft. </w:t>
            </w:r>
          </w:p>
        </w:tc>
      </w:tr>
      <w:tr w:rsidR="007F60D5" w:rsidRPr="002A3FAE" w14:paraId="72401BB5" w14:textId="77777777" w:rsidTr="00993A99">
        <w:tc>
          <w:tcPr>
            <w:tcW w:w="2599" w:type="dxa"/>
            <w:tcBorders>
              <w:top w:val="single" w:sz="4" w:space="0" w:color="auto"/>
              <w:left w:val="single" w:sz="4" w:space="0" w:color="auto"/>
              <w:bottom w:val="single" w:sz="4" w:space="0" w:color="auto"/>
              <w:right w:val="single" w:sz="4" w:space="0" w:color="auto"/>
            </w:tcBorders>
          </w:tcPr>
          <w:p w14:paraId="41DC757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Zëvëndësimi i Regjistrit të Dëftesave Tregëtare me RBS.</w:t>
            </w:r>
          </w:p>
        </w:tc>
        <w:tc>
          <w:tcPr>
            <w:tcW w:w="2599" w:type="dxa"/>
            <w:tcBorders>
              <w:top w:val="single" w:sz="4" w:space="0" w:color="auto"/>
              <w:left w:val="single" w:sz="4" w:space="0" w:color="auto"/>
              <w:bottom w:val="single" w:sz="4" w:space="0" w:color="auto"/>
              <w:right w:val="single" w:sz="4" w:space="0" w:color="auto"/>
            </w:tcBorders>
          </w:tcPr>
          <w:p w14:paraId="4192D01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Regjistri Elektronik i Barrëve Siguruese mbi produktet Bujqësore“, duhet  zëvëndësuar me Regjistrin e Barrëve Siguruese, i cili është një Regjister i vetëm unik, që ofron shërbimin e RBS dhe të drejtave të tjera, sipas ligjit nr. 8537 datë 18.10.1999, i ndryshuar.</w:t>
            </w:r>
          </w:p>
        </w:tc>
        <w:tc>
          <w:tcPr>
            <w:tcW w:w="1579" w:type="dxa"/>
            <w:tcBorders>
              <w:top w:val="single" w:sz="4" w:space="0" w:color="auto"/>
              <w:left w:val="single" w:sz="4" w:space="0" w:color="auto"/>
              <w:bottom w:val="single" w:sz="4" w:space="0" w:color="auto"/>
              <w:right w:val="single" w:sz="4" w:space="0" w:color="auto"/>
            </w:tcBorders>
          </w:tcPr>
          <w:p w14:paraId="3845B9E1"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65F8B71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Pranohet</w:t>
            </w:r>
          </w:p>
        </w:tc>
        <w:tc>
          <w:tcPr>
            <w:tcW w:w="2183" w:type="dxa"/>
            <w:tcBorders>
              <w:top w:val="single" w:sz="4" w:space="0" w:color="auto"/>
              <w:left w:val="single" w:sz="4" w:space="0" w:color="auto"/>
              <w:bottom w:val="single" w:sz="4" w:space="0" w:color="auto"/>
              <w:right w:val="single" w:sz="4" w:space="0" w:color="auto"/>
            </w:tcBorders>
          </w:tcPr>
          <w:p w14:paraId="1193E83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Ky koment, në nenin 3, pika 13, është marrë parasysh dhe është reflektuar në draft propozim</w:t>
            </w:r>
          </w:p>
        </w:tc>
      </w:tr>
      <w:tr w:rsidR="007F60D5" w:rsidRPr="002A3FAE" w14:paraId="40066E98" w14:textId="77777777" w:rsidTr="00993A99">
        <w:tc>
          <w:tcPr>
            <w:tcW w:w="2599" w:type="dxa"/>
            <w:tcBorders>
              <w:top w:val="single" w:sz="4" w:space="0" w:color="auto"/>
              <w:left w:val="single" w:sz="4" w:space="0" w:color="auto"/>
              <w:bottom w:val="single" w:sz="4" w:space="0" w:color="auto"/>
              <w:right w:val="single" w:sz="4" w:space="0" w:color="auto"/>
            </w:tcBorders>
          </w:tcPr>
          <w:p w14:paraId="2073E28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Nënshkrimi i Dëfteses Bujqësore nga të gjithë bashkëpronarët.</w:t>
            </w:r>
          </w:p>
        </w:tc>
        <w:tc>
          <w:tcPr>
            <w:tcW w:w="2599" w:type="dxa"/>
            <w:tcBorders>
              <w:top w:val="single" w:sz="4" w:space="0" w:color="auto"/>
              <w:left w:val="single" w:sz="4" w:space="0" w:color="auto"/>
              <w:bottom w:val="single" w:sz="4" w:space="0" w:color="auto"/>
              <w:right w:val="single" w:sz="4" w:space="0" w:color="auto"/>
            </w:tcBorders>
          </w:tcPr>
          <w:p w14:paraId="18C5D439"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Nënshkrimi i Dëfteses Bujqësore nga të gjithë bashkëpronarët (ose shumica) mund të krijojë problematika.                   Si do të veprohet në rastet kur </w:t>
            </w:r>
            <w:r w:rsidRPr="002A3FAE">
              <w:rPr>
                <w:rFonts w:ascii="Times New Roman" w:hAnsi="Times New Roman"/>
                <w:sz w:val="24"/>
                <w:szCs w:val="24"/>
              </w:rPr>
              <w:lastRenderedPageBreak/>
              <w:t>toka që është në bashkëpronësi, shfrytëzohet vetëm nga njeri bashkëpronar, i cili investon i vetëm në produktet bujqësore dhe gjithcka është investim i tij si me produket ashtu dhe me punën, në cfare cilësie do të nenshkruajnë deftesen bujqesore bashkepronarët e tjerë, të cilët nuk kanë dhënë asnjë kontribut dhe këtë aktivitet bujqesor dhe nuk do të marrin as kredi?                                                   Sugjerohet të hiqet pjesa e ngjyrosur me ngjyrë të verdhe dhe kontrata e dhenies në përdorim mendoj që duhet të nënshkruhet nga të gjithë bashkëpronaret, pasi pjesa e bashkëpronareve që nuk ka dhene miratimin mund të ngrejë pretendime në cdo moment.</w:t>
            </w:r>
          </w:p>
        </w:tc>
        <w:tc>
          <w:tcPr>
            <w:tcW w:w="1579" w:type="dxa"/>
            <w:tcBorders>
              <w:top w:val="single" w:sz="4" w:space="0" w:color="auto"/>
              <w:left w:val="single" w:sz="4" w:space="0" w:color="auto"/>
              <w:bottom w:val="single" w:sz="4" w:space="0" w:color="auto"/>
              <w:right w:val="single" w:sz="4" w:space="0" w:color="auto"/>
            </w:tcBorders>
          </w:tcPr>
          <w:p w14:paraId="786B4241"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45D9B69E"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4C3FA0BE"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Komenti i dhënë mbi nenin 4, pika 2 nuk merret parasysh pasi në takimin e zhvilluar me </w:t>
            </w:r>
            <w:r w:rsidRPr="002A3FAE">
              <w:rPr>
                <w:rFonts w:ascii="Times New Roman" w:hAnsi="Times New Roman"/>
                <w:sz w:val="24"/>
                <w:szCs w:val="24"/>
              </w:rPr>
              <w:lastRenderedPageBreak/>
              <w:t>përfaqësues të AKSH dhe grupit të punës, është marrë dakortësia e tyre, paraprake, për realizimin dhe funksionimin e firmosjes elektronike. Nënshkrimi i të gjithë bashkëpronarëve apo shumicës së tyre ka lidhje me pronësinë e tokës dhe rregullohet me KC. Nënshkrimi i tillë lidhet me cështjen e kontratës së tokës në deftësën bujqësore.</w:t>
            </w:r>
          </w:p>
        </w:tc>
      </w:tr>
      <w:tr w:rsidR="007F60D5" w:rsidRPr="002A3FAE" w14:paraId="0AFFC6C5" w14:textId="77777777" w:rsidTr="00993A99">
        <w:tc>
          <w:tcPr>
            <w:tcW w:w="2599" w:type="dxa"/>
            <w:tcBorders>
              <w:top w:val="single" w:sz="4" w:space="0" w:color="auto"/>
              <w:left w:val="single" w:sz="4" w:space="0" w:color="auto"/>
              <w:bottom w:val="single" w:sz="4" w:space="0" w:color="auto"/>
              <w:right w:val="single" w:sz="4" w:space="0" w:color="auto"/>
            </w:tcBorders>
          </w:tcPr>
          <w:p w14:paraId="51CD8154"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lastRenderedPageBreak/>
              <w:t>Procedura e regjistrimit pranë Regjistrit të Barrëve Siguruese.</w:t>
            </w:r>
          </w:p>
        </w:tc>
        <w:tc>
          <w:tcPr>
            <w:tcW w:w="2599" w:type="dxa"/>
            <w:tcBorders>
              <w:top w:val="single" w:sz="4" w:space="0" w:color="auto"/>
              <w:left w:val="single" w:sz="4" w:space="0" w:color="auto"/>
              <w:bottom w:val="single" w:sz="4" w:space="0" w:color="auto"/>
              <w:right w:val="single" w:sz="4" w:space="0" w:color="auto"/>
            </w:tcBorders>
          </w:tcPr>
          <w:p w14:paraId="53E751A0"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Procedura e regjistrimit pranë Regjistrit të Barrëve Siguruese është tashmë e rregulluar me ligj të posacëm, Ligji nr. 8537 dt.18.10.1999 "Për barrët siguruese", i ndryshuar,  dhe përmes akteve ligjore/nënligjore përkatësë.</w:t>
            </w:r>
          </w:p>
        </w:tc>
        <w:tc>
          <w:tcPr>
            <w:tcW w:w="1579" w:type="dxa"/>
            <w:tcBorders>
              <w:top w:val="single" w:sz="4" w:space="0" w:color="auto"/>
              <w:left w:val="single" w:sz="4" w:space="0" w:color="auto"/>
              <w:bottom w:val="single" w:sz="4" w:space="0" w:color="auto"/>
              <w:right w:val="single" w:sz="4" w:space="0" w:color="auto"/>
            </w:tcBorders>
          </w:tcPr>
          <w:p w14:paraId="6C33465B"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061F0C18"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701FB21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4, pika 5, merret në konsideratë dhe është reflektuar në draft propozim. Komenti është përsëritur për nënin 11, pika 4.</w:t>
            </w:r>
          </w:p>
        </w:tc>
      </w:tr>
      <w:tr w:rsidR="007F60D5" w:rsidRPr="002A3FAE" w14:paraId="1F9B60EF" w14:textId="77777777" w:rsidTr="00993A99">
        <w:tc>
          <w:tcPr>
            <w:tcW w:w="2599" w:type="dxa"/>
            <w:tcBorders>
              <w:top w:val="single" w:sz="4" w:space="0" w:color="auto"/>
              <w:left w:val="single" w:sz="4" w:space="0" w:color="auto"/>
              <w:bottom w:val="single" w:sz="4" w:space="0" w:color="auto"/>
              <w:right w:val="single" w:sz="4" w:space="0" w:color="auto"/>
            </w:tcBorders>
          </w:tcPr>
          <w:p w14:paraId="11791FDA"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Të saktësohet emri i Regjistrit.</w:t>
            </w:r>
          </w:p>
        </w:tc>
        <w:tc>
          <w:tcPr>
            <w:tcW w:w="2599" w:type="dxa"/>
            <w:tcBorders>
              <w:top w:val="single" w:sz="4" w:space="0" w:color="auto"/>
              <w:left w:val="single" w:sz="4" w:space="0" w:color="auto"/>
              <w:bottom w:val="single" w:sz="4" w:space="0" w:color="auto"/>
              <w:right w:val="single" w:sz="4" w:space="0" w:color="auto"/>
            </w:tcBorders>
          </w:tcPr>
          <w:p w14:paraId="6EC7AF1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Të saktësohet emri i Regjistrit.</w:t>
            </w:r>
          </w:p>
        </w:tc>
        <w:tc>
          <w:tcPr>
            <w:tcW w:w="1579" w:type="dxa"/>
            <w:tcBorders>
              <w:top w:val="single" w:sz="4" w:space="0" w:color="auto"/>
              <w:left w:val="single" w:sz="4" w:space="0" w:color="auto"/>
              <w:bottom w:val="single" w:sz="4" w:space="0" w:color="auto"/>
              <w:right w:val="single" w:sz="4" w:space="0" w:color="auto"/>
            </w:tcBorders>
          </w:tcPr>
          <w:p w14:paraId="7D949E01"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497E836D"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Pranuar </w:t>
            </w:r>
          </w:p>
        </w:tc>
        <w:tc>
          <w:tcPr>
            <w:tcW w:w="2183" w:type="dxa"/>
            <w:tcBorders>
              <w:top w:val="single" w:sz="4" w:space="0" w:color="auto"/>
              <w:left w:val="single" w:sz="4" w:space="0" w:color="auto"/>
              <w:bottom w:val="single" w:sz="4" w:space="0" w:color="auto"/>
              <w:right w:val="single" w:sz="4" w:space="0" w:color="auto"/>
            </w:tcBorders>
          </w:tcPr>
          <w:p w14:paraId="1584B834"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9, pika 3, merret në konsideratë dhe është reflektuar në draft propozim.</w:t>
            </w:r>
          </w:p>
        </w:tc>
      </w:tr>
      <w:tr w:rsidR="007F60D5" w:rsidRPr="002A3FAE" w14:paraId="096EAD35" w14:textId="77777777" w:rsidTr="00993A99">
        <w:tc>
          <w:tcPr>
            <w:tcW w:w="2599" w:type="dxa"/>
            <w:tcBorders>
              <w:top w:val="single" w:sz="4" w:space="0" w:color="auto"/>
              <w:left w:val="single" w:sz="4" w:space="0" w:color="auto"/>
              <w:bottom w:val="single" w:sz="4" w:space="0" w:color="auto"/>
              <w:right w:val="single" w:sz="4" w:space="0" w:color="auto"/>
            </w:tcBorders>
          </w:tcPr>
          <w:p w14:paraId="26E2739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Procedura e regjistrimit pranë Regjistrit të Barrëve Siguruese.</w:t>
            </w:r>
          </w:p>
        </w:tc>
        <w:tc>
          <w:tcPr>
            <w:tcW w:w="2599" w:type="dxa"/>
            <w:tcBorders>
              <w:top w:val="single" w:sz="4" w:space="0" w:color="auto"/>
              <w:left w:val="single" w:sz="4" w:space="0" w:color="auto"/>
              <w:bottom w:val="single" w:sz="4" w:space="0" w:color="auto"/>
              <w:right w:val="single" w:sz="4" w:space="0" w:color="auto"/>
            </w:tcBorders>
          </w:tcPr>
          <w:p w14:paraId="58791543"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Procedura e regjistrimit pranë Regjistrit të Barrëve Siguruese është tashmë e rregulluar me ligj të posacëm (Ligji nr 8537 </w:t>
            </w:r>
            <w:r w:rsidRPr="002A3FAE">
              <w:rPr>
                <w:rFonts w:ascii="Times New Roman" w:hAnsi="Times New Roman"/>
                <w:sz w:val="24"/>
                <w:szCs w:val="24"/>
              </w:rPr>
              <w:lastRenderedPageBreak/>
              <w:t>dt.18.10.1999 "Për barrët siguruese"(i ndryshuar))  si dhe përmes akteve ligjore/nënligjore përkatëse.</w:t>
            </w:r>
          </w:p>
        </w:tc>
        <w:tc>
          <w:tcPr>
            <w:tcW w:w="1579" w:type="dxa"/>
            <w:tcBorders>
              <w:top w:val="single" w:sz="4" w:space="0" w:color="auto"/>
              <w:left w:val="single" w:sz="4" w:space="0" w:color="auto"/>
              <w:bottom w:val="single" w:sz="4" w:space="0" w:color="auto"/>
              <w:right w:val="single" w:sz="4" w:space="0" w:color="auto"/>
            </w:tcBorders>
          </w:tcPr>
          <w:p w14:paraId="38318807"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5F3C4278"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25CECBD7"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Komenti i dhënë në nenin 11, pika 4, merret në konsideratë dhe është reflektuar </w:t>
            </w:r>
            <w:r w:rsidRPr="002A3FAE">
              <w:rPr>
                <w:rFonts w:ascii="Times New Roman" w:hAnsi="Times New Roman"/>
                <w:sz w:val="24"/>
                <w:szCs w:val="24"/>
              </w:rPr>
              <w:lastRenderedPageBreak/>
              <w:t>në draft propozim.</w:t>
            </w:r>
          </w:p>
        </w:tc>
      </w:tr>
      <w:tr w:rsidR="007F60D5" w:rsidRPr="002A3FAE" w14:paraId="28832B7E" w14:textId="77777777" w:rsidTr="00993A99">
        <w:tc>
          <w:tcPr>
            <w:tcW w:w="2599" w:type="dxa"/>
            <w:tcBorders>
              <w:top w:val="single" w:sz="4" w:space="0" w:color="auto"/>
              <w:left w:val="single" w:sz="4" w:space="0" w:color="auto"/>
              <w:bottom w:val="single" w:sz="4" w:space="0" w:color="auto"/>
              <w:right w:val="single" w:sz="4" w:space="0" w:color="auto"/>
            </w:tcBorders>
          </w:tcPr>
          <w:p w14:paraId="75F7834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lastRenderedPageBreak/>
              <w:t xml:space="preserve">Kryerja e procesit të kërkimit të informacionit në Regjistër. </w:t>
            </w:r>
          </w:p>
        </w:tc>
        <w:tc>
          <w:tcPr>
            <w:tcW w:w="2599" w:type="dxa"/>
            <w:tcBorders>
              <w:top w:val="single" w:sz="4" w:space="0" w:color="auto"/>
              <w:left w:val="single" w:sz="4" w:space="0" w:color="auto"/>
              <w:bottom w:val="single" w:sz="4" w:space="0" w:color="auto"/>
              <w:right w:val="single" w:sz="4" w:space="0" w:color="auto"/>
            </w:tcBorders>
          </w:tcPr>
          <w:p w14:paraId="3373F709"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Këtu të mbahen parasysh komentet e bëra në nenin 17, pika 3. Serish, do të sugjeronim që kërkimi i informacionit pranë Regjistrit të kryhej pas marrjes së miratimit nga ana e kreditorit lidhur me të dhënat e dëftesës bujqësore. Kjo për dy arsye: </w:t>
            </w:r>
          </w:p>
          <w:p w14:paraId="02D8EF9C"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1. Shmang debitimin e dyfishtë nga ana e debitorit për kërkimin D.</w:t>
            </w:r>
          </w:p>
          <w:p w14:paraId="576CF742"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2. Jep informacion me të saktë dhe aktual lidhur me gjendjen juridike të sendit, nesë është i barrësuar apo jo, pasi regjistrimi i deftëseës do të kryhet menjëhere pas marrjes së informacionit nga Rbs.</w:t>
            </w:r>
          </w:p>
        </w:tc>
        <w:tc>
          <w:tcPr>
            <w:tcW w:w="1579" w:type="dxa"/>
            <w:tcBorders>
              <w:top w:val="single" w:sz="4" w:space="0" w:color="auto"/>
              <w:left w:val="single" w:sz="4" w:space="0" w:color="auto"/>
              <w:bottom w:val="single" w:sz="4" w:space="0" w:color="auto"/>
              <w:right w:val="single" w:sz="4" w:space="0" w:color="auto"/>
            </w:tcBorders>
          </w:tcPr>
          <w:p w14:paraId="0A5672AD"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317A1D3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34BF433C"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17, pika 3, merret në konsideratë dhe është reflektuar në draft propozim.</w:t>
            </w:r>
          </w:p>
        </w:tc>
      </w:tr>
      <w:tr w:rsidR="007F60D5" w:rsidRPr="002A3FAE" w14:paraId="4BCD9E62" w14:textId="77777777" w:rsidTr="00993A99">
        <w:tc>
          <w:tcPr>
            <w:tcW w:w="2599" w:type="dxa"/>
            <w:tcBorders>
              <w:top w:val="single" w:sz="4" w:space="0" w:color="auto"/>
              <w:left w:val="single" w:sz="4" w:space="0" w:color="auto"/>
              <w:bottom w:val="single" w:sz="4" w:space="0" w:color="auto"/>
              <w:right w:val="single" w:sz="4" w:space="0" w:color="auto"/>
            </w:tcBorders>
          </w:tcPr>
          <w:p w14:paraId="4B283A5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Bankat ose institucionet financiare/mikrofinanciare nuk i kryejnë fshirjet e barrëve siguruese të regjistruara pranë Regjistrit.</w:t>
            </w:r>
          </w:p>
        </w:tc>
        <w:tc>
          <w:tcPr>
            <w:tcW w:w="2599" w:type="dxa"/>
            <w:tcBorders>
              <w:top w:val="single" w:sz="4" w:space="0" w:color="auto"/>
              <w:left w:val="single" w:sz="4" w:space="0" w:color="auto"/>
              <w:bottom w:val="single" w:sz="4" w:space="0" w:color="auto"/>
              <w:right w:val="single" w:sz="4" w:space="0" w:color="auto"/>
            </w:tcBorders>
          </w:tcPr>
          <w:p w14:paraId="61522272" w14:textId="77777777" w:rsidR="007F60D5" w:rsidRPr="002A3FAE" w:rsidRDefault="007F60D5" w:rsidP="00993A99">
            <w:pPr>
              <w:jc w:val="both"/>
              <w:rPr>
                <w:rFonts w:ascii="Times New Roman" w:hAnsi="Times New Roman"/>
                <w:sz w:val="24"/>
                <w:szCs w:val="24"/>
              </w:rPr>
            </w:pPr>
            <w:r w:rsidRPr="002A3FAE">
              <w:rPr>
                <w:rFonts w:ascii="Times New Roman" w:hAnsi="Times New Roman"/>
                <w:sz w:val="24"/>
                <w:szCs w:val="24"/>
              </w:rPr>
              <w:t xml:space="preserve">Gjithashtu, të mbahet në konsideratë fakti që shpesh edhe pse kreditë janë likujduar, bankat ose institucionet financiare/mikrofinanciare nuk i kryejnë fshirjet e barrëve siguruese të regjistruara pranë Regjistrit brenda afatit 15 ditor pas likujdimit të detyrimit sipas nenit 28, pika l) e vijuese e ligjit nr 8537 dt 18.10.1999 (i ndryshuar). Nëse do të ndodhemi në ndonjë prej këtyre rasteve (të cilat nuk janë të rralla) ateherë do të ketë një pezullim të procedurave që projektligji "Për deftesat </w:t>
            </w:r>
            <w:r w:rsidRPr="002A3FAE">
              <w:rPr>
                <w:rFonts w:ascii="Times New Roman" w:hAnsi="Times New Roman"/>
                <w:sz w:val="24"/>
                <w:szCs w:val="24"/>
              </w:rPr>
              <w:lastRenderedPageBreak/>
              <w:t>tregtare mbi produktet bujqësore" parashikon, deri sa barrëmarresi i mëparshem të kryejë fshirjen e regjistrimit nga Regjistri dhe të bëhet rikërkim informacioni pranë RBS në mënyr që rezultati i kërkimit të dalë 0. Në këto raste klienti tarifohet dy herë për kërkimin e informacionit.</w:t>
            </w:r>
          </w:p>
          <w:p w14:paraId="27005445" w14:textId="77777777" w:rsidR="007F60D5" w:rsidRPr="002A3FAE" w:rsidRDefault="007F60D5" w:rsidP="00993A99">
            <w:pPr>
              <w:pStyle w:val="BodyText"/>
              <w:jc w:val="both"/>
              <w:rPr>
                <w:rFonts w:ascii="Times New Roman" w:hAnsi="Times New Roman"/>
                <w:sz w:val="24"/>
                <w:szCs w:val="24"/>
              </w:rPr>
            </w:pPr>
          </w:p>
        </w:tc>
        <w:tc>
          <w:tcPr>
            <w:tcW w:w="1579" w:type="dxa"/>
            <w:tcBorders>
              <w:top w:val="single" w:sz="4" w:space="0" w:color="auto"/>
              <w:left w:val="single" w:sz="4" w:space="0" w:color="auto"/>
              <w:bottom w:val="single" w:sz="4" w:space="0" w:color="auto"/>
              <w:right w:val="single" w:sz="4" w:space="0" w:color="auto"/>
            </w:tcBorders>
          </w:tcPr>
          <w:p w14:paraId="52ADA146"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6A10DBD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23CE7FAE"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17, pika 3, merret në konsideratë dhe është reflektuar në draft propozim.</w:t>
            </w:r>
          </w:p>
          <w:p w14:paraId="4404EF02" w14:textId="77777777" w:rsidR="007F60D5" w:rsidRPr="002A3FAE" w:rsidRDefault="007F60D5" w:rsidP="00993A99">
            <w:pPr>
              <w:pStyle w:val="BodyText"/>
              <w:jc w:val="both"/>
              <w:rPr>
                <w:rFonts w:ascii="Times New Roman" w:hAnsi="Times New Roman"/>
                <w:sz w:val="24"/>
                <w:szCs w:val="24"/>
              </w:rPr>
            </w:pPr>
          </w:p>
          <w:p w14:paraId="0C51ED6E" w14:textId="77777777" w:rsidR="007F60D5" w:rsidRPr="002A3FAE" w:rsidRDefault="007F60D5" w:rsidP="00993A99">
            <w:pPr>
              <w:pStyle w:val="BodyText"/>
              <w:jc w:val="both"/>
              <w:rPr>
                <w:rFonts w:ascii="Times New Roman" w:hAnsi="Times New Roman"/>
                <w:sz w:val="24"/>
                <w:szCs w:val="24"/>
              </w:rPr>
            </w:pPr>
          </w:p>
          <w:p w14:paraId="3E0E564D" w14:textId="77777777" w:rsidR="007F60D5" w:rsidRPr="002A3FAE" w:rsidRDefault="007F60D5" w:rsidP="00993A99">
            <w:pPr>
              <w:pStyle w:val="BodyText"/>
              <w:jc w:val="both"/>
              <w:rPr>
                <w:rFonts w:ascii="Times New Roman" w:hAnsi="Times New Roman"/>
                <w:sz w:val="24"/>
                <w:szCs w:val="24"/>
              </w:rPr>
            </w:pPr>
          </w:p>
          <w:p w14:paraId="47118A6F" w14:textId="77777777" w:rsidR="007F60D5" w:rsidRPr="002A3FAE" w:rsidRDefault="007F60D5" w:rsidP="00993A99">
            <w:pPr>
              <w:pStyle w:val="BodyText"/>
              <w:jc w:val="both"/>
              <w:rPr>
                <w:rFonts w:ascii="Times New Roman" w:hAnsi="Times New Roman"/>
                <w:sz w:val="24"/>
                <w:szCs w:val="24"/>
              </w:rPr>
            </w:pPr>
          </w:p>
          <w:p w14:paraId="06F8A296" w14:textId="77777777" w:rsidR="007F60D5" w:rsidRPr="002A3FAE" w:rsidRDefault="007F60D5" w:rsidP="00993A99">
            <w:pPr>
              <w:pStyle w:val="BodyText"/>
              <w:jc w:val="both"/>
              <w:rPr>
                <w:rFonts w:ascii="Times New Roman" w:hAnsi="Times New Roman"/>
                <w:sz w:val="24"/>
                <w:szCs w:val="24"/>
              </w:rPr>
            </w:pPr>
          </w:p>
          <w:p w14:paraId="0B821B4E" w14:textId="77777777" w:rsidR="007F60D5" w:rsidRPr="002A3FAE" w:rsidRDefault="007F60D5" w:rsidP="00993A99">
            <w:pPr>
              <w:pStyle w:val="BodyText"/>
              <w:jc w:val="both"/>
              <w:rPr>
                <w:rFonts w:ascii="Times New Roman" w:hAnsi="Times New Roman"/>
                <w:sz w:val="24"/>
                <w:szCs w:val="24"/>
              </w:rPr>
            </w:pPr>
          </w:p>
          <w:p w14:paraId="195E2567" w14:textId="77777777" w:rsidR="007F60D5" w:rsidRPr="002A3FAE" w:rsidRDefault="007F60D5" w:rsidP="00993A99">
            <w:pPr>
              <w:pStyle w:val="BodyText"/>
              <w:jc w:val="both"/>
              <w:rPr>
                <w:rFonts w:ascii="Times New Roman" w:hAnsi="Times New Roman"/>
                <w:sz w:val="24"/>
                <w:szCs w:val="24"/>
              </w:rPr>
            </w:pPr>
          </w:p>
        </w:tc>
      </w:tr>
      <w:tr w:rsidR="007F60D5" w:rsidRPr="002A3FAE" w14:paraId="2774C3E7" w14:textId="77777777" w:rsidTr="00993A99">
        <w:tc>
          <w:tcPr>
            <w:tcW w:w="2599" w:type="dxa"/>
            <w:tcBorders>
              <w:top w:val="single" w:sz="4" w:space="0" w:color="auto"/>
              <w:left w:val="single" w:sz="4" w:space="0" w:color="auto"/>
              <w:bottom w:val="single" w:sz="4" w:space="0" w:color="auto"/>
              <w:right w:val="single" w:sz="4" w:space="0" w:color="auto"/>
            </w:tcBorders>
          </w:tcPr>
          <w:p w14:paraId="2A41F7C2"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Veprimet komform Urdhërit nr 493 dt 06.07.2006 “Për miratimin e Rregullores së Regjistrit të Barrëve Siguruese”.</w:t>
            </w:r>
          </w:p>
        </w:tc>
        <w:tc>
          <w:tcPr>
            <w:tcW w:w="2599" w:type="dxa"/>
            <w:tcBorders>
              <w:top w:val="single" w:sz="4" w:space="0" w:color="auto"/>
              <w:left w:val="single" w:sz="4" w:space="0" w:color="auto"/>
              <w:bottom w:val="single" w:sz="4" w:space="0" w:color="auto"/>
              <w:right w:val="single" w:sz="4" w:space="0" w:color="auto"/>
            </w:tcBorders>
          </w:tcPr>
          <w:p w14:paraId="3FCAA55E"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Konform nenit 6 të Urdhërit nr 493 dt 06.07.2006 “Për miratimin e Rregullores së Regjistrit të Barrëve Siguruese” të gjitha veprimet (si regjistrimin fillestar ashtu dhe ndryshimet e mëpasshme të regjistrimit fillestar) në Regjistrin e Barreve Siguruese, bëhen si rregull vetem nga barrëmarresi (kreditori) ose në mungese të tij nga një person që përfaqëson barrëmarrësin me një akt teë ligjshëm përfaqësimi. Regjistrimi  nga Njësia e Regjistrit Elektronik të Dëftesave Tregtare në vënd të barrëmarrësit do të krijojë ndryshim të praktikës së deritanishme të regjistrimit dhe konfuzion të personat që kanë interes të ligjshëm për regjistrimin.</w:t>
            </w:r>
          </w:p>
        </w:tc>
        <w:tc>
          <w:tcPr>
            <w:tcW w:w="1579" w:type="dxa"/>
            <w:tcBorders>
              <w:top w:val="single" w:sz="4" w:space="0" w:color="auto"/>
              <w:left w:val="single" w:sz="4" w:space="0" w:color="auto"/>
              <w:bottom w:val="single" w:sz="4" w:space="0" w:color="auto"/>
              <w:right w:val="single" w:sz="4" w:space="0" w:color="auto"/>
            </w:tcBorders>
          </w:tcPr>
          <w:p w14:paraId="5C36E375"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40C0F751" w14:textId="77777777" w:rsidR="007F60D5" w:rsidRPr="002A3FAE" w:rsidRDefault="007F60D5" w:rsidP="00993A99">
            <w:pPr>
              <w:pStyle w:val="BodyText"/>
              <w:jc w:val="both"/>
              <w:rPr>
                <w:rFonts w:ascii="Times New Roman" w:hAnsi="Times New Roman"/>
                <w:sz w:val="24"/>
                <w:szCs w:val="24"/>
              </w:rPr>
            </w:pPr>
          </w:p>
        </w:tc>
        <w:tc>
          <w:tcPr>
            <w:tcW w:w="2183" w:type="dxa"/>
            <w:tcBorders>
              <w:top w:val="single" w:sz="4" w:space="0" w:color="auto"/>
              <w:left w:val="single" w:sz="4" w:space="0" w:color="auto"/>
              <w:bottom w:val="single" w:sz="4" w:space="0" w:color="auto"/>
              <w:right w:val="single" w:sz="4" w:space="0" w:color="auto"/>
            </w:tcBorders>
          </w:tcPr>
          <w:p w14:paraId="45DCA2E9"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17, pika 3.</w:t>
            </w:r>
          </w:p>
          <w:p w14:paraId="3C629F3C" w14:textId="77777777" w:rsidR="007F60D5" w:rsidRPr="002A3FAE" w:rsidRDefault="007F60D5" w:rsidP="00993A99">
            <w:pPr>
              <w:pStyle w:val="BodyText"/>
              <w:jc w:val="both"/>
              <w:rPr>
                <w:rFonts w:ascii="Times New Roman" w:hAnsi="Times New Roman"/>
                <w:sz w:val="24"/>
                <w:szCs w:val="24"/>
              </w:rPr>
            </w:pPr>
          </w:p>
          <w:p w14:paraId="2E838B6D" w14:textId="77777777" w:rsidR="007F60D5" w:rsidRPr="002A3FAE" w:rsidRDefault="007F60D5" w:rsidP="00993A99">
            <w:pPr>
              <w:pStyle w:val="BodyText"/>
              <w:jc w:val="both"/>
              <w:rPr>
                <w:rFonts w:ascii="Times New Roman" w:hAnsi="Times New Roman"/>
                <w:sz w:val="24"/>
                <w:szCs w:val="24"/>
              </w:rPr>
            </w:pPr>
          </w:p>
          <w:p w14:paraId="0788AB25" w14:textId="77777777" w:rsidR="007F60D5" w:rsidRPr="002A3FAE" w:rsidRDefault="007F60D5" w:rsidP="00993A99">
            <w:pPr>
              <w:pStyle w:val="BodyText"/>
              <w:jc w:val="both"/>
              <w:rPr>
                <w:rFonts w:ascii="Times New Roman" w:hAnsi="Times New Roman"/>
                <w:sz w:val="24"/>
                <w:szCs w:val="24"/>
              </w:rPr>
            </w:pPr>
          </w:p>
          <w:p w14:paraId="211A560D" w14:textId="77777777" w:rsidR="007F60D5" w:rsidRPr="002A3FAE" w:rsidRDefault="007F60D5" w:rsidP="00993A99">
            <w:pPr>
              <w:pStyle w:val="BodyText"/>
              <w:jc w:val="both"/>
              <w:rPr>
                <w:rFonts w:ascii="Times New Roman" w:hAnsi="Times New Roman"/>
                <w:sz w:val="24"/>
                <w:szCs w:val="24"/>
              </w:rPr>
            </w:pPr>
          </w:p>
          <w:p w14:paraId="0A63FFA0" w14:textId="77777777" w:rsidR="007F60D5" w:rsidRPr="002A3FAE" w:rsidRDefault="007F60D5" w:rsidP="00993A99">
            <w:pPr>
              <w:pStyle w:val="BodyText"/>
              <w:jc w:val="both"/>
              <w:rPr>
                <w:rFonts w:ascii="Times New Roman" w:hAnsi="Times New Roman"/>
                <w:sz w:val="24"/>
                <w:szCs w:val="24"/>
              </w:rPr>
            </w:pPr>
          </w:p>
          <w:p w14:paraId="39525ADE" w14:textId="77777777" w:rsidR="007F60D5" w:rsidRPr="002A3FAE" w:rsidRDefault="007F60D5" w:rsidP="00993A99">
            <w:pPr>
              <w:pStyle w:val="BodyText"/>
              <w:jc w:val="both"/>
              <w:rPr>
                <w:rFonts w:ascii="Times New Roman" w:hAnsi="Times New Roman"/>
                <w:sz w:val="24"/>
                <w:szCs w:val="24"/>
              </w:rPr>
            </w:pPr>
          </w:p>
        </w:tc>
      </w:tr>
      <w:tr w:rsidR="007F60D5" w:rsidRPr="002A3FAE" w14:paraId="16F3DA82" w14:textId="77777777" w:rsidTr="00993A99">
        <w:tc>
          <w:tcPr>
            <w:tcW w:w="2599" w:type="dxa"/>
            <w:tcBorders>
              <w:top w:val="single" w:sz="4" w:space="0" w:color="auto"/>
              <w:left w:val="single" w:sz="4" w:space="0" w:color="auto"/>
              <w:bottom w:val="single" w:sz="4" w:space="0" w:color="auto"/>
              <w:right w:val="single" w:sz="4" w:space="0" w:color="auto"/>
            </w:tcBorders>
          </w:tcPr>
          <w:p w14:paraId="458C32CF"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Saktësimi i momenti se kur do të kryhet regjistrimi i Dëftesës Bujqesore prane Regjistrit Elektronike.</w:t>
            </w:r>
          </w:p>
        </w:tc>
        <w:tc>
          <w:tcPr>
            <w:tcW w:w="2599" w:type="dxa"/>
            <w:tcBorders>
              <w:top w:val="single" w:sz="4" w:space="0" w:color="auto"/>
              <w:left w:val="single" w:sz="4" w:space="0" w:color="auto"/>
              <w:bottom w:val="single" w:sz="4" w:space="0" w:color="auto"/>
              <w:right w:val="single" w:sz="4" w:space="0" w:color="auto"/>
            </w:tcBorders>
          </w:tcPr>
          <w:p w14:paraId="2E860A63"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Të saktësohet momenti se kur do të kryhet regjistrimi i Dëftesës Bujqesore pranë Regjistrit Elektronike të Dëftesave Tregtare dhe kur do të bëhet regjistrimi pranë RBS, pasi si rradhë veprimesh duhet të jetë regjistrimi i Dëftesës </w:t>
            </w:r>
            <w:r w:rsidRPr="002A3FAE">
              <w:rPr>
                <w:rFonts w:ascii="Times New Roman" w:hAnsi="Times New Roman"/>
                <w:sz w:val="24"/>
                <w:szCs w:val="24"/>
              </w:rPr>
              <w:lastRenderedPageBreak/>
              <w:t>Bujqësore në Regjistrin Elektronik të DT në e-Albania dhe pasi të ketë përfunduar ky proces dhe të jetë gjeneruar Dëftesa Bujqësore (e cila si rregull duhet të përmbajë psh ndonjë kod serial identifikues, datën etj.,) kjo Dëftese të rëndohet me barrë siguruese pranë RBS.</w:t>
            </w:r>
          </w:p>
        </w:tc>
        <w:tc>
          <w:tcPr>
            <w:tcW w:w="1579" w:type="dxa"/>
            <w:tcBorders>
              <w:top w:val="single" w:sz="4" w:space="0" w:color="auto"/>
              <w:left w:val="single" w:sz="4" w:space="0" w:color="auto"/>
              <w:bottom w:val="single" w:sz="4" w:space="0" w:color="auto"/>
              <w:right w:val="single" w:sz="4" w:space="0" w:color="auto"/>
            </w:tcBorders>
          </w:tcPr>
          <w:p w14:paraId="674953FA" w14:textId="77777777" w:rsidR="007F60D5" w:rsidRPr="002A3FAE" w:rsidRDefault="007F60D5" w:rsidP="00993A99">
            <w:pPr>
              <w:pStyle w:val="BodyText"/>
              <w:jc w:val="both"/>
              <w:rPr>
                <w:rFonts w:ascii="Times New Roman" w:hAnsi="Times New Roman"/>
                <w:b/>
                <w:i/>
                <w:sz w:val="24"/>
                <w:szCs w:val="24"/>
              </w:rPr>
            </w:pPr>
            <w:r w:rsidRPr="002A3FAE">
              <w:rPr>
                <w:rFonts w:ascii="Times New Roman" w:hAnsi="Times New Roman"/>
                <w:b/>
                <w:i/>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032779C3"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1C76DC73"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18, pika 2, gërma “b” dhe “c”.</w:t>
            </w:r>
          </w:p>
        </w:tc>
      </w:tr>
      <w:tr w:rsidR="007F60D5" w:rsidRPr="002A3FAE" w14:paraId="32A66638" w14:textId="77777777" w:rsidTr="00993A99">
        <w:tc>
          <w:tcPr>
            <w:tcW w:w="2599" w:type="dxa"/>
            <w:tcBorders>
              <w:top w:val="single" w:sz="4" w:space="0" w:color="auto"/>
              <w:left w:val="single" w:sz="4" w:space="0" w:color="auto"/>
              <w:bottom w:val="single" w:sz="4" w:space="0" w:color="auto"/>
              <w:right w:val="single" w:sz="4" w:space="0" w:color="auto"/>
            </w:tcBorders>
          </w:tcPr>
          <w:p w14:paraId="24127695"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Lëshimi I ekstrakteve nga njësia përgjegjëse për Regjistrin e Dëftesave Tregëtare në MBZHR.</w:t>
            </w:r>
          </w:p>
        </w:tc>
        <w:tc>
          <w:tcPr>
            <w:tcW w:w="2599" w:type="dxa"/>
            <w:tcBorders>
              <w:top w:val="single" w:sz="4" w:space="0" w:color="auto"/>
              <w:left w:val="single" w:sz="4" w:space="0" w:color="auto"/>
              <w:bottom w:val="single" w:sz="4" w:space="0" w:color="auto"/>
              <w:right w:val="single" w:sz="4" w:space="0" w:color="auto"/>
            </w:tcBorders>
          </w:tcPr>
          <w:p w14:paraId="735C054C"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Njësia e Regjistrit Elektronik të Dëftesave Tregtare nuk mund te lëshojë ekstrakte nga Regjistri i Barrëve Siguruese, pasi Regjistri është nje institucion i pavarur që funksionon me vete sipas legjislacionit përkatës. Gjithashtu, Regjistri nuk lëshon ekstraktime dokumentacioni, por vetëm Vertetime Regjistrimi + Rezultate kerkimi (në rastet e regjistrimeve përmes njoftimit A, C, E); Vërtetime të ndryshimeve të regjistrimit (përmes njoftimeve B) dhe Rezultate Kerkimi (përmes njoftimeve D). Këto dokumente gjenerohen automatikisht nga baza e të dhënave të Regjistrit dhe asnjëhere në formë të ekstraktuar pasi kjo do të cënonte të drejtën e informimit për të tretet.</w:t>
            </w:r>
          </w:p>
        </w:tc>
        <w:tc>
          <w:tcPr>
            <w:tcW w:w="1579" w:type="dxa"/>
            <w:tcBorders>
              <w:top w:val="single" w:sz="4" w:space="0" w:color="auto"/>
              <w:left w:val="single" w:sz="4" w:space="0" w:color="auto"/>
              <w:bottom w:val="single" w:sz="4" w:space="0" w:color="auto"/>
              <w:right w:val="single" w:sz="4" w:space="0" w:color="auto"/>
            </w:tcBorders>
          </w:tcPr>
          <w:p w14:paraId="2C442647"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4D7D3A66" w14:textId="77777777" w:rsidR="007F60D5" w:rsidRPr="002A3FAE" w:rsidRDefault="007F60D5" w:rsidP="00993A99">
            <w:pPr>
              <w:pStyle w:val="BodyText"/>
              <w:jc w:val="both"/>
              <w:rPr>
                <w:rFonts w:ascii="Times New Roman" w:hAnsi="Times New Roman"/>
                <w:sz w:val="24"/>
                <w:szCs w:val="24"/>
              </w:rPr>
            </w:pPr>
          </w:p>
        </w:tc>
        <w:tc>
          <w:tcPr>
            <w:tcW w:w="2183" w:type="dxa"/>
            <w:tcBorders>
              <w:top w:val="single" w:sz="4" w:space="0" w:color="auto"/>
              <w:left w:val="single" w:sz="4" w:space="0" w:color="auto"/>
              <w:bottom w:val="single" w:sz="4" w:space="0" w:color="auto"/>
              <w:right w:val="single" w:sz="4" w:space="0" w:color="auto"/>
            </w:tcBorders>
          </w:tcPr>
          <w:p w14:paraId="58363544"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19, pika 3</w:t>
            </w:r>
          </w:p>
        </w:tc>
      </w:tr>
      <w:tr w:rsidR="007F60D5" w:rsidRPr="002A3FAE" w14:paraId="11E01EDF" w14:textId="77777777" w:rsidTr="00993A99">
        <w:tc>
          <w:tcPr>
            <w:tcW w:w="2599" w:type="dxa"/>
            <w:tcBorders>
              <w:top w:val="single" w:sz="4" w:space="0" w:color="auto"/>
              <w:left w:val="single" w:sz="4" w:space="0" w:color="auto"/>
              <w:bottom w:val="single" w:sz="4" w:space="0" w:color="auto"/>
              <w:right w:val="single" w:sz="4" w:space="0" w:color="auto"/>
            </w:tcBorders>
          </w:tcPr>
          <w:p w14:paraId="34AC372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Ofrimi i shërbimeve të RBS për njësinë përgjegjëse për Regjistrin e Dëftesave Tregëtare në MBZHR.</w:t>
            </w:r>
          </w:p>
        </w:tc>
        <w:tc>
          <w:tcPr>
            <w:tcW w:w="2599" w:type="dxa"/>
            <w:tcBorders>
              <w:top w:val="single" w:sz="4" w:space="0" w:color="auto"/>
              <w:left w:val="single" w:sz="4" w:space="0" w:color="auto"/>
              <w:bottom w:val="single" w:sz="4" w:space="0" w:color="auto"/>
              <w:right w:val="single" w:sz="4" w:space="0" w:color="auto"/>
            </w:tcBorders>
          </w:tcPr>
          <w:p w14:paraId="4DCBBD16"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 xml:space="preserve">Kërkimi i informacionit dhe regjistrimi i barrës nga ana e Njësise se Regjistrit Elektronik të Dëftesave Tregtare janë shërbime, të cilat do të derivojnë nga Regjistri i Barrëve </w:t>
            </w:r>
            <w:r w:rsidRPr="002A3FAE">
              <w:rPr>
                <w:rFonts w:ascii="Times New Roman" w:hAnsi="Times New Roman"/>
                <w:sz w:val="24"/>
                <w:szCs w:val="24"/>
              </w:rPr>
              <w:lastRenderedPageBreak/>
              <w:t>Siguruese. Ndërkohe, rikujtojmë se këto shërbime nuk mund të ofrohen nga ana e Regjistrit nëse nuk është bërë pagesa përkatëse, sipas nenit 12 teëUrdhrit nr 493, date 06.07.2006 "Për miratimin e Rregullores së Barrëve Siguruese".</w:t>
            </w:r>
          </w:p>
          <w:p w14:paraId="1C21D581"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Kryeregjistruesi mund të bëjë marrëveshje me çdo person për mënyrën e pagesës së tarifave për shërbimet e Regjistrit. Kjo marrëveshje mund të parashikojë depozitimin e një shume që mbahet nga Regjistri nga e cila debitohen tarifat për shërbimet e Regjistrit.</w:t>
            </w:r>
          </w:p>
          <w:p w14:paraId="5908678A"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Tarifat që jepen në në Udhëzuesin e Kryeregjistruesit duhet të paguhen për shërbimet e Regjistrit</w:t>
            </w:r>
          </w:p>
        </w:tc>
        <w:tc>
          <w:tcPr>
            <w:tcW w:w="1579" w:type="dxa"/>
            <w:tcBorders>
              <w:top w:val="single" w:sz="4" w:space="0" w:color="auto"/>
              <w:left w:val="single" w:sz="4" w:space="0" w:color="auto"/>
              <w:bottom w:val="single" w:sz="4" w:space="0" w:color="auto"/>
              <w:right w:val="single" w:sz="4" w:space="0" w:color="auto"/>
            </w:tcBorders>
          </w:tcPr>
          <w:p w14:paraId="32790362" w14:textId="77777777" w:rsidR="007F60D5" w:rsidRPr="002A3FAE" w:rsidRDefault="007F60D5" w:rsidP="00993A99">
            <w:pPr>
              <w:pStyle w:val="BodyText"/>
              <w:jc w:val="both"/>
              <w:rPr>
                <w:rFonts w:ascii="Times New Roman" w:hAnsi="Times New Roman"/>
                <w:b/>
                <w:sz w:val="24"/>
                <w:szCs w:val="24"/>
              </w:rPr>
            </w:pPr>
            <w:r w:rsidRPr="002A3FAE">
              <w:rPr>
                <w:rFonts w:ascii="Times New Roman" w:hAnsi="Times New Roman"/>
                <w:b/>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67838FCE" w14:textId="77777777" w:rsidR="007F60D5" w:rsidRPr="002A3FAE" w:rsidRDefault="007F60D5" w:rsidP="00993A99">
            <w:pPr>
              <w:pStyle w:val="BodyText"/>
              <w:jc w:val="both"/>
              <w:rPr>
                <w:rFonts w:ascii="Times New Roman" w:hAnsi="Times New Roman"/>
                <w:sz w:val="24"/>
                <w:szCs w:val="24"/>
              </w:rPr>
            </w:pPr>
          </w:p>
        </w:tc>
        <w:tc>
          <w:tcPr>
            <w:tcW w:w="2183" w:type="dxa"/>
            <w:tcBorders>
              <w:top w:val="single" w:sz="4" w:space="0" w:color="auto"/>
              <w:left w:val="single" w:sz="4" w:space="0" w:color="auto"/>
              <w:bottom w:val="single" w:sz="4" w:space="0" w:color="auto"/>
              <w:right w:val="single" w:sz="4" w:space="0" w:color="auto"/>
            </w:tcBorders>
          </w:tcPr>
          <w:p w14:paraId="3D30BD6F" w14:textId="77777777" w:rsidR="007F60D5" w:rsidRPr="002A3FAE" w:rsidRDefault="007F60D5" w:rsidP="00993A99">
            <w:pPr>
              <w:pStyle w:val="BodyText"/>
              <w:jc w:val="both"/>
              <w:rPr>
                <w:rFonts w:ascii="Times New Roman" w:hAnsi="Times New Roman"/>
                <w:sz w:val="24"/>
                <w:szCs w:val="24"/>
              </w:rPr>
            </w:pPr>
            <w:r w:rsidRPr="002A3FAE">
              <w:rPr>
                <w:rFonts w:ascii="Times New Roman" w:hAnsi="Times New Roman"/>
                <w:sz w:val="24"/>
                <w:szCs w:val="24"/>
              </w:rPr>
              <w:t>Komenti i dhënë në nenin 19, pika 3.</w:t>
            </w:r>
          </w:p>
        </w:tc>
      </w:tr>
    </w:tbl>
    <w:p w14:paraId="0BB8A9DC" w14:textId="77777777" w:rsidR="005B6D2B" w:rsidRPr="002A3FAE" w:rsidRDefault="005B6D2B">
      <w:pPr>
        <w:rPr>
          <w:rFonts w:ascii="Times New Roman" w:hAnsi="Times New Roman"/>
          <w:sz w:val="24"/>
          <w:szCs w:val="24"/>
        </w:rPr>
      </w:pPr>
    </w:p>
    <w:sectPr w:rsidR="005B6D2B" w:rsidRPr="002A3FAE" w:rsidSect="006144C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0C487" w14:textId="77777777" w:rsidR="00AD05A2" w:rsidRDefault="00AD05A2" w:rsidP="00F27A26">
      <w:r>
        <w:separator/>
      </w:r>
    </w:p>
  </w:endnote>
  <w:endnote w:type="continuationSeparator" w:id="0">
    <w:p w14:paraId="4A3F4FF5" w14:textId="77777777" w:rsidR="00AD05A2" w:rsidRDefault="00AD05A2" w:rsidP="00F2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59E42" w14:textId="77777777" w:rsidR="00AD05A2" w:rsidRDefault="00AD05A2" w:rsidP="00F27A26">
      <w:r>
        <w:separator/>
      </w:r>
    </w:p>
  </w:footnote>
  <w:footnote w:type="continuationSeparator" w:id="0">
    <w:p w14:paraId="17989328" w14:textId="77777777" w:rsidR="00AD05A2" w:rsidRDefault="00AD05A2" w:rsidP="00F27A26">
      <w:r>
        <w:continuationSeparator/>
      </w:r>
    </w:p>
  </w:footnote>
  <w:footnote w:id="1">
    <w:p w14:paraId="5603B05D" w14:textId="43936570" w:rsidR="000700DB" w:rsidRPr="000700DB" w:rsidRDefault="000700DB">
      <w:pPr>
        <w:pStyle w:val="FootnoteText"/>
        <w:rPr>
          <w:lang w:val="en-US"/>
        </w:rPr>
      </w:pPr>
      <w:r>
        <w:rPr>
          <w:rStyle w:val="FootnoteReference"/>
        </w:rPr>
        <w:footnoteRef/>
      </w:r>
      <w:r w:rsidR="00B56354">
        <w:rPr>
          <w:rFonts w:ascii="Times New Roman" w:hAnsi="Times New Roman"/>
        </w:rPr>
        <w:t>Në Shtojcën e këtij raporti, do të gjeni në një përmbledhje kronologjike disa nga takimet konsultative.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70F4D07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A152F"/>
    <w:multiLevelType w:val="hybridMultilevel"/>
    <w:tmpl w:val="E2FA0B06"/>
    <w:lvl w:ilvl="0" w:tplc="FF6456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AE3BD1"/>
    <w:multiLevelType w:val="hybridMultilevel"/>
    <w:tmpl w:val="E3CE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3E3169"/>
    <w:multiLevelType w:val="hybridMultilevel"/>
    <w:tmpl w:val="B0C0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022F2"/>
    <w:multiLevelType w:val="hybridMultilevel"/>
    <w:tmpl w:val="8C38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83F8F"/>
    <w:multiLevelType w:val="hybridMultilevel"/>
    <w:tmpl w:val="2E865938"/>
    <w:lvl w:ilvl="0" w:tplc="8BEA32B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34EF7"/>
    <w:multiLevelType w:val="hybridMultilevel"/>
    <w:tmpl w:val="4B80C568"/>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B6559F"/>
    <w:multiLevelType w:val="hybridMultilevel"/>
    <w:tmpl w:val="E6644368"/>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0A56"/>
    <w:multiLevelType w:val="hybridMultilevel"/>
    <w:tmpl w:val="7C1CE5A4"/>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42999"/>
    <w:multiLevelType w:val="hybridMultilevel"/>
    <w:tmpl w:val="0BBEF33A"/>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3"/>
  </w:num>
  <w:num w:numId="5">
    <w:abstractNumId w:val="1"/>
  </w:num>
  <w:num w:numId="6">
    <w:abstractNumId w:val="12"/>
  </w:num>
  <w:num w:numId="7">
    <w:abstractNumId w:val="11"/>
  </w:num>
  <w:num w:numId="8">
    <w:abstractNumId w:val="7"/>
  </w:num>
  <w:num w:numId="9">
    <w:abstractNumId w:val="6"/>
  </w:num>
  <w:num w:numId="10">
    <w:abstractNumId w:val="4"/>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7AEB"/>
    <w:rsid w:val="00020075"/>
    <w:rsid w:val="0004166D"/>
    <w:rsid w:val="000700DB"/>
    <w:rsid w:val="00070D6F"/>
    <w:rsid w:val="000877F6"/>
    <w:rsid w:val="00092380"/>
    <w:rsid w:val="00094BF4"/>
    <w:rsid w:val="001202AC"/>
    <w:rsid w:val="0018241C"/>
    <w:rsid w:val="00196392"/>
    <w:rsid w:val="001B398A"/>
    <w:rsid w:val="00260E60"/>
    <w:rsid w:val="00271EED"/>
    <w:rsid w:val="00274B83"/>
    <w:rsid w:val="00282D52"/>
    <w:rsid w:val="002878EE"/>
    <w:rsid w:val="002A3FAE"/>
    <w:rsid w:val="002B161B"/>
    <w:rsid w:val="002D6334"/>
    <w:rsid w:val="00332DB4"/>
    <w:rsid w:val="003B5844"/>
    <w:rsid w:val="003C5BA3"/>
    <w:rsid w:val="003F3C10"/>
    <w:rsid w:val="003F5E5B"/>
    <w:rsid w:val="003F68AF"/>
    <w:rsid w:val="00403769"/>
    <w:rsid w:val="00435429"/>
    <w:rsid w:val="00445CC3"/>
    <w:rsid w:val="00464C53"/>
    <w:rsid w:val="004715FA"/>
    <w:rsid w:val="004C711D"/>
    <w:rsid w:val="004D7B85"/>
    <w:rsid w:val="004E2542"/>
    <w:rsid w:val="004E59C3"/>
    <w:rsid w:val="00515368"/>
    <w:rsid w:val="00523A47"/>
    <w:rsid w:val="00537061"/>
    <w:rsid w:val="005B1920"/>
    <w:rsid w:val="005B6D2B"/>
    <w:rsid w:val="00656BB0"/>
    <w:rsid w:val="00662994"/>
    <w:rsid w:val="00666D0E"/>
    <w:rsid w:val="006F3BE0"/>
    <w:rsid w:val="00741C60"/>
    <w:rsid w:val="00750190"/>
    <w:rsid w:val="00765F3C"/>
    <w:rsid w:val="007755F2"/>
    <w:rsid w:val="007D4B85"/>
    <w:rsid w:val="007F60D5"/>
    <w:rsid w:val="00822577"/>
    <w:rsid w:val="00842EE9"/>
    <w:rsid w:val="00883BAC"/>
    <w:rsid w:val="008A5003"/>
    <w:rsid w:val="008E4BD0"/>
    <w:rsid w:val="008F0C02"/>
    <w:rsid w:val="008F44B1"/>
    <w:rsid w:val="0091093C"/>
    <w:rsid w:val="009114E5"/>
    <w:rsid w:val="00914C1D"/>
    <w:rsid w:val="00922D7A"/>
    <w:rsid w:val="009252E5"/>
    <w:rsid w:val="00927E8D"/>
    <w:rsid w:val="00963283"/>
    <w:rsid w:val="00965584"/>
    <w:rsid w:val="0098512C"/>
    <w:rsid w:val="00990D4C"/>
    <w:rsid w:val="0099536C"/>
    <w:rsid w:val="009B696C"/>
    <w:rsid w:val="009C5E0B"/>
    <w:rsid w:val="00A06DA1"/>
    <w:rsid w:val="00A121AB"/>
    <w:rsid w:val="00A2686A"/>
    <w:rsid w:val="00A331B3"/>
    <w:rsid w:val="00A3438A"/>
    <w:rsid w:val="00A44276"/>
    <w:rsid w:val="00A5349F"/>
    <w:rsid w:val="00A63833"/>
    <w:rsid w:val="00A7153C"/>
    <w:rsid w:val="00A75A2E"/>
    <w:rsid w:val="00A8255C"/>
    <w:rsid w:val="00AB71A6"/>
    <w:rsid w:val="00AD05A2"/>
    <w:rsid w:val="00B07307"/>
    <w:rsid w:val="00B103FB"/>
    <w:rsid w:val="00B33196"/>
    <w:rsid w:val="00B35C54"/>
    <w:rsid w:val="00B43C57"/>
    <w:rsid w:val="00B44387"/>
    <w:rsid w:val="00B447DB"/>
    <w:rsid w:val="00B56354"/>
    <w:rsid w:val="00B65410"/>
    <w:rsid w:val="00C20DD3"/>
    <w:rsid w:val="00C36BD9"/>
    <w:rsid w:val="00C377C2"/>
    <w:rsid w:val="00C93970"/>
    <w:rsid w:val="00CA7C50"/>
    <w:rsid w:val="00CC6A8E"/>
    <w:rsid w:val="00CD29FF"/>
    <w:rsid w:val="00CE65E4"/>
    <w:rsid w:val="00CF12D9"/>
    <w:rsid w:val="00D67E9D"/>
    <w:rsid w:val="00D744B2"/>
    <w:rsid w:val="00D84360"/>
    <w:rsid w:val="00D849E3"/>
    <w:rsid w:val="00DC6629"/>
    <w:rsid w:val="00DD5D4E"/>
    <w:rsid w:val="00DD5E30"/>
    <w:rsid w:val="00E00453"/>
    <w:rsid w:val="00E36A71"/>
    <w:rsid w:val="00E40086"/>
    <w:rsid w:val="00E43D33"/>
    <w:rsid w:val="00E60450"/>
    <w:rsid w:val="00E92D3D"/>
    <w:rsid w:val="00E93729"/>
    <w:rsid w:val="00EE1A78"/>
    <w:rsid w:val="00EF0386"/>
    <w:rsid w:val="00F03EFF"/>
    <w:rsid w:val="00F04B92"/>
    <w:rsid w:val="00F2160E"/>
    <w:rsid w:val="00F27A26"/>
    <w:rsid w:val="00F446C7"/>
    <w:rsid w:val="00F8784F"/>
    <w:rsid w:val="00FD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A95D"/>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14E5"/>
    <w:rPr>
      <w:rFonts w:ascii="Arial" w:eastAsia="Times New Roman" w:hAnsi="Arial" w:cs="Times New Roman"/>
      <w:sz w:val="22"/>
      <w:szCs w:val="20"/>
      <w:lang w:val="en-GB"/>
    </w:rPr>
  </w:style>
  <w:style w:type="paragraph" w:styleId="Heading1">
    <w:name w:val="heading 1"/>
    <w:basedOn w:val="Normal"/>
    <w:next w:val="Normal"/>
    <w:link w:val="Heading1Char"/>
    <w:uiPriority w:val="9"/>
    <w:qFormat/>
    <w:rsid w:val="008F0C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0C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Header">
    <w:name w:val="header"/>
    <w:basedOn w:val="Normal"/>
    <w:link w:val="HeaderChar"/>
    <w:uiPriority w:val="99"/>
    <w:unhideWhenUsed/>
    <w:rsid w:val="00F27A26"/>
    <w:pPr>
      <w:tabs>
        <w:tab w:val="center" w:pos="4680"/>
        <w:tab w:val="right" w:pos="9360"/>
      </w:tabs>
    </w:pPr>
  </w:style>
  <w:style w:type="character" w:customStyle="1" w:styleId="HeaderChar">
    <w:name w:val="Header Char"/>
    <w:basedOn w:val="DefaultParagraphFont"/>
    <w:link w:val="Header"/>
    <w:uiPriority w:val="99"/>
    <w:rsid w:val="00F27A26"/>
    <w:rPr>
      <w:rFonts w:ascii="Arial" w:eastAsia="Times New Roman" w:hAnsi="Arial" w:cs="Times New Roman"/>
      <w:sz w:val="22"/>
      <w:szCs w:val="20"/>
      <w:lang w:val="en-GB"/>
    </w:rPr>
  </w:style>
  <w:style w:type="paragraph" w:styleId="Footer">
    <w:name w:val="footer"/>
    <w:basedOn w:val="Normal"/>
    <w:link w:val="FooterChar"/>
    <w:uiPriority w:val="99"/>
    <w:unhideWhenUsed/>
    <w:rsid w:val="00F27A26"/>
    <w:pPr>
      <w:tabs>
        <w:tab w:val="center" w:pos="4680"/>
        <w:tab w:val="right" w:pos="9360"/>
      </w:tabs>
    </w:pPr>
  </w:style>
  <w:style w:type="character" w:customStyle="1" w:styleId="FooterChar">
    <w:name w:val="Footer Char"/>
    <w:basedOn w:val="DefaultParagraphFont"/>
    <w:link w:val="Footer"/>
    <w:uiPriority w:val="99"/>
    <w:rsid w:val="00F27A26"/>
    <w:rPr>
      <w:rFonts w:ascii="Arial" w:eastAsia="Times New Roman" w:hAnsi="Arial" w:cs="Times New Roman"/>
      <w:sz w:val="22"/>
      <w:szCs w:val="20"/>
      <w:lang w:val="en-GB"/>
    </w:rPr>
  </w:style>
  <w:style w:type="character" w:customStyle="1" w:styleId="Heading1Char">
    <w:name w:val="Heading 1 Char"/>
    <w:basedOn w:val="DefaultParagraphFont"/>
    <w:link w:val="Heading1"/>
    <w:uiPriority w:val="9"/>
    <w:rsid w:val="008F0C02"/>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F0C02"/>
    <w:rPr>
      <w:rFonts w:asciiTheme="majorHAnsi" w:eastAsiaTheme="majorEastAsia" w:hAnsiTheme="majorHAnsi" w:cstheme="majorBidi"/>
      <w:color w:val="2F5496" w:themeColor="accent1" w:themeShade="BF"/>
      <w:sz w:val="26"/>
      <w:szCs w:val="26"/>
      <w:lang w:val="en-GB"/>
    </w:rPr>
  </w:style>
  <w:style w:type="paragraph" w:styleId="FootnoteText">
    <w:name w:val="footnote text"/>
    <w:basedOn w:val="Normal"/>
    <w:link w:val="FootnoteTextChar"/>
    <w:uiPriority w:val="99"/>
    <w:semiHidden/>
    <w:unhideWhenUsed/>
    <w:rsid w:val="000700DB"/>
    <w:rPr>
      <w:sz w:val="20"/>
    </w:rPr>
  </w:style>
  <w:style w:type="character" w:customStyle="1" w:styleId="FootnoteTextChar">
    <w:name w:val="Footnote Text Char"/>
    <w:basedOn w:val="DefaultParagraphFont"/>
    <w:link w:val="FootnoteText"/>
    <w:uiPriority w:val="99"/>
    <w:semiHidden/>
    <w:rsid w:val="000700DB"/>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070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74083">
      <w:bodyDiv w:val="1"/>
      <w:marLeft w:val="0"/>
      <w:marRight w:val="0"/>
      <w:marTop w:val="0"/>
      <w:marBottom w:val="0"/>
      <w:divBdr>
        <w:top w:val="none" w:sz="0" w:space="0" w:color="auto"/>
        <w:left w:val="none" w:sz="0" w:space="0" w:color="auto"/>
        <w:bottom w:val="none" w:sz="0" w:space="0" w:color="auto"/>
        <w:right w:val="none" w:sz="0" w:space="0" w:color="auto"/>
      </w:divBdr>
      <w:divsChild>
        <w:div w:id="1592665027">
          <w:marLeft w:val="0"/>
          <w:marRight w:val="0"/>
          <w:marTop w:val="0"/>
          <w:marBottom w:val="0"/>
          <w:divBdr>
            <w:top w:val="none" w:sz="0" w:space="0" w:color="auto"/>
            <w:left w:val="none" w:sz="0" w:space="0" w:color="auto"/>
            <w:bottom w:val="none" w:sz="0" w:space="0" w:color="auto"/>
            <w:right w:val="none" w:sz="0" w:space="0" w:color="auto"/>
          </w:divBdr>
        </w:div>
        <w:div w:id="272321948">
          <w:marLeft w:val="0"/>
          <w:marRight w:val="0"/>
          <w:marTop w:val="0"/>
          <w:marBottom w:val="0"/>
          <w:divBdr>
            <w:top w:val="none" w:sz="0" w:space="0" w:color="auto"/>
            <w:left w:val="none" w:sz="0" w:space="0" w:color="auto"/>
            <w:bottom w:val="none" w:sz="0" w:space="0" w:color="auto"/>
            <w:right w:val="none" w:sz="0" w:space="0" w:color="auto"/>
          </w:divBdr>
        </w:div>
        <w:div w:id="165832067">
          <w:marLeft w:val="0"/>
          <w:marRight w:val="0"/>
          <w:marTop w:val="0"/>
          <w:marBottom w:val="0"/>
          <w:divBdr>
            <w:top w:val="none" w:sz="0" w:space="0" w:color="auto"/>
            <w:left w:val="none" w:sz="0" w:space="0" w:color="auto"/>
            <w:bottom w:val="none" w:sz="0" w:space="0" w:color="auto"/>
            <w:right w:val="none" w:sz="0" w:space="0" w:color="auto"/>
          </w:divBdr>
        </w:div>
        <w:div w:id="174854224">
          <w:marLeft w:val="0"/>
          <w:marRight w:val="0"/>
          <w:marTop w:val="0"/>
          <w:marBottom w:val="0"/>
          <w:divBdr>
            <w:top w:val="none" w:sz="0" w:space="0" w:color="auto"/>
            <w:left w:val="none" w:sz="0" w:space="0" w:color="auto"/>
            <w:bottom w:val="none" w:sz="0" w:space="0" w:color="auto"/>
            <w:right w:val="none" w:sz="0" w:space="0" w:color="auto"/>
          </w:divBdr>
        </w:div>
        <w:div w:id="1253398899">
          <w:marLeft w:val="0"/>
          <w:marRight w:val="0"/>
          <w:marTop w:val="0"/>
          <w:marBottom w:val="0"/>
          <w:divBdr>
            <w:top w:val="none" w:sz="0" w:space="0" w:color="auto"/>
            <w:left w:val="none" w:sz="0" w:space="0" w:color="auto"/>
            <w:bottom w:val="none" w:sz="0" w:space="0" w:color="auto"/>
            <w:right w:val="none" w:sz="0" w:space="0" w:color="auto"/>
          </w:divBdr>
        </w:div>
        <w:div w:id="929704206">
          <w:marLeft w:val="0"/>
          <w:marRight w:val="0"/>
          <w:marTop w:val="0"/>
          <w:marBottom w:val="0"/>
          <w:divBdr>
            <w:top w:val="none" w:sz="0" w:space="0" w:color="auto"/>
            <w:left w:val="none" w:sz="0" w:space="0" w:color="auto"/>
            <w:bottom w:val="none" w:sz="0" w:space="0" w:color="auto"/>
            <w:right w:val="none" w:sz="0" w:space="0" w:color="auto"/>
          </w:divBdr>
        </w:div>
        <w:div w:id="424226542">
          <w:marLeft w:val="0"/>
          <w:marRight w:val="0"/>
          <w:marTop w:val="0"/>
          <w:marBottom w:val="0"/>
          <w:divBdr>
            <w:top w:val="none" w:sz="0" w:space="0" w:color="auto"/>
            <w:left w:val="none" w:sz="0" w:space="0" w:color="auto"/>
            <w:bottom w:val="none" w:sz="0" w:space="0" w:color="auto"/>
            <w:right w:val="none" w:sz="0" w:space="0" w:color="auto"/>
          </w:divBdr>
        </w:div>
        <w:div w:id="1574389033">
          <w:marLeft w:val="0"/>
          <w:marRight w:val="0"/>
          <w:marTop w:val="0"/>
          <w:marBottom w:val="0"/>
          <w:divBdr>
            <w:top w:val="none" w:sz="0" w:space="0" w:color="auto"/>
            <w:left w:val="none" w:sz="0" w:space="0" w:color="auto"/>
            <w:bottom w:val="none" w:sz="0" w:space="0" w:color="auto"/>
            <w:right w:val="none" w:sz="0" w:space="0" w:color="auto"/>
          </w:divBdr>
          <w:divsChild>
            <w:div w:id="2074696375">
              <w:marLeft w:val="0"/>
              <w:marRight w:val="0"/>
              <w:marTop w:val="0"/>
              <w:marBottom w:val="0"/>
              <w:divBdr>
                <w:top w:val="none" w:sz="0" w:space="0" w:color="auto"/>
                <w:left w:val="none" w:sz="0" w:space="0" w:color="auto"/>
                <w:bottom w:val="none" w:sz="0" w:space="0" w:color="auto"/>
                <w:right w:val="none" w:sz="0" w:space="0" w:color="auto"/>
              </w:divBdr>
            </w:div>
            <w:div w:id="1379277328">
              <w:marLeft w:val="0"/>
              <w:marRight w:val="0"/>
              <w:marTop w:val="0"/>
              <w:marBottom w:val="0"/>
              <w:divBdr>
                <w:top w:val="none" w:sz="0" w:space="0" w:color="auto"/>
                <w:left w:val="none" w:sz="0" w:space="0" w:color="auto"/>
                <w:bottom w:val="none" w:sz="0" w:space="0" w:color="auto"/>
                <w:right w:val="none" w:sz="0" w:space="0" w:color="auto"/>
              </w:divBdr>
            </w:div>
          </w:divsChild>
        </w:div>
        <w:div w:id="1245266423">
          <w:marLeft w:val="0"/>
          <w:marRight w:val="0"/>
          <w:marTop w:val="0"/>
          <w:marBottom w:val="0"/>
          <w:divBdr>
            <w:top w:val="none" w:sz="0" w:space="0" w:color="auto"/>
            <w:left w:val="none" w:sz="0" w:space="0" w:color="auto"/>
            <w:bottom w:val="none" w:sz="0" w:space="0" w:color="auto"/>
            <w:right w:val="none" w:sz="0" w:space="0" w:color="auto"/>
          </w:divBdr>
        </w:div>
        <w:div w:id="501167780">
          <w:marLeft w:val="0"/>
          <w:marRight w:val="0"/>
          <w:marTop w:val="0"/>
          <w:marBottom w:val="0"/>
          <w:divBdr>
            <w:top w:val="none" w:sz="0" w:space="0" w:color="auto"/>
            <w:left w:val="none" w:sz="0" w:space="0" w:color="auto"/>
            <w:bottom w:val="none" w:sz="0" w:space="0" w:color="auto"/>
            <w:right w:val="none" w:sz="0" w:space="0" w:color="auto"/>
          </w:divBdr>
          <w:divsChild>
            <w:div w:id="959186608">
              <w:marLeft w:val="0"/>
              <w:marRight w:val="0"/>
              <w:marTop w:val="0"/>
              <w:marBottom w:val="0"/>
              <w:divBdr>
                <w:top w:val="none" w:sz="0" w:space="0" w:color="auto"/>
                <w:left w:val="none" w:sz="0" w:space="0" w:color="auto"/>
                <w:bottom w:val="none" w:sz="0" w:space="0" w:color="auto"/>
                <w:right w:val="none" w:sz="0" w:space="0" w:color="auto"/>
              </w:divBdr>
            </w:div>
            <w:div w:id="332877673">
              <w:marLeft w:val="0"/>
              <w:marRight w:val="0"/>
              <w:marTop w:val="0"/>
              <w:marBottom w:val="0"/>
              <w:divBdr>
                <w:top w:val="none" w:sz="0" w:space="0" w:color="auto"/>
                <w:left w:val="none" w:sz="0" w:space="0" w:color="auto"/>
                <w:bottom w:val="none" w:sz="0" w:space="0" w:color="auto"/>
                <w:right w:val="none" w:sz="0" w:space="0" w:color="auto"/>
              </w:divBdr>
            </w:div>
            <w:div w:id="296689356">
              <w:marLeft w:val="0"/>
              <w:marRight w:val="0"/>
              <w:marTop w:val="0"/>
              <w:marBottom w:val="0"/>
              <w:divBdr>
                <w:top w:val="none" w:sz="0" w:space="0" w:color="auto"/>
                <w:left w:val="none" w:sz="0" w:space="0" w:color="auto"/>
                <w:bottom w:val="none" w:sz="0" w:space="0" w:color="auto"/>
                <w:right w:val="none" w:sz="0" w:space="0" w:color="auto"/>
              </w:divBdr>
            </w:div>
            <w:div w:id="2029599354">
              <w:marLeft w:val="0"/>
              <w:marRight w:val="0"/>
              <w:marTop w:val="0"/>
              <w:marBottom w:val="0"/>
              <w:divBdr>
                <w:top w:val="none" w:sz="0" w:space="0" w:color="auto"/>
                <w:left w:val="none" w:sz="0" w:space="0" w:color="auto"/>
                <w:bottom w:val="none" w:sz="0" w:space="0" w:color="auto"/>
                <w:right w:val="none" w:sz="0" w:space="0" w:color="auto"/>
              </w:divBdr>
            </w:div>
            <w:div w:id="1784031170">
              <w:marLeft w:val="0"/>
              <w:marRight w:val="0"/>
              <w:marTop w:val="0"/>
              <w:marBottom w:val="0"/>
              <w:divBdr>
                <w:top w:val="none" w:sz="0" w:space="0" w:color="auto"/>
                <w:left w:val="none" w:sz="0" w:space="0" w:color="auto"/>
                <w:bottom w:val="none" w:sz="0" w:space="0" w:color="auto"/>
                <w:right w:val="none" w:sz="0" w:space="0" w:color="auto"/>
              </w:divBdr>
            </w:div>
            <w:div w:id="1339844706">
              <w:marLeft w:val="0"/>
              <w:marRight w:val="0"/>
              <w:marTop w:val="0"/>
              <w:marBottom w:val="0"/>
              <w:divBdr>
                <w:top w:val="none" w:sz="0" w:space="0" w:color="auto"/>
                <w:left w:val="none" w:sz="0" w:space="0" w:color="auto"/>
                <w:bottom w:val="none" w:sz="0" w:space="0" w:color="auto"/>
                <w:right w:val="none" w:sz="0" w:space="0" w:color="auto"/>
              </w:divBdr>
            </w:div>
            <w:div w:id="826634664">
              <w:marLeft w:val="0"/>
              <w:marRight w:val="0"/>
              <w:marTop w:val="0"/>
              <w:marBottom w:val="0"/>
              <w:divBdr>
                <w:top w:val="none" w:sz="0" w:space="0" w:color="auto"/>
                <w:left w:val="none" w:sz="0" w:space="0" w:color="auto"/>
                <w:bottom w:val="none" w:sz="0" w:space="0" w:color="auto"/>
                <w:right w:val="none" w:sz="0" w:space="0" w:color="auto"/>
              </w:divBdr>
            </w:div>
            <w:div w:id="1741320344">
              <w:marLeft w:val="0"/>
              <w:marRight w:val="0"/>
              <w:marTop w:val="0"/>
              <w:marBottom w:val="0"/>
              <w:divBdr>
                <w:top w:val="none" w:sz="0" w:space="0" w:color="auto"/>
                <w:left w:val="none" w:sz="0" w:space="0" w:color="auto"/>
                <w:bottom w:val="none" w:sz="0" w:space="0" w:color="auto"/>
                <w:right w:val="none" w:sz="0" w:space="0" w:color="auto"/>
              </w:divBdr>
            </w:div>
            <w:div w:id="563754681">
              <w:marLeft w:val="0"/>
              <w:marRight w:val="0"/>
              <w:marTop w:val="0"/>
              <w:marBottom w:val="0"/>
              <w:divBdr>
                <w:top w:val="none" w:sz="0" w:space="0" w:color="auto"/>
                <w:left w:val="none" w:sz="0" w:space="0" w:color="auto"/>
                <w:bottom w:val="none" w:sz="0" w:space="0" w:color="auto"/>
                <w:right w:val="none" w:sz="0" w:space="0" w:color="auto"/>
              </w:divBdr>
            </w:div>
            <w:div w:id="1899900673">
              <w:marLeft w:val="0"/>
              <w:marRight w:val="0"/>
              <w:marTop w:val="0"/>
              <w:marBottom w:val="0"/>
              <w:divBdr>
                <w:top w:val="none" w:sz="0" w:space="0" w:color="auto"/>
                <w:left w:val="none" w:sz="0" w:space="0" w:color="auto"/>
                <w:bottom w:val="none" w:sz="0" w:space="0" w:color="auto"/>
                <w:right w:val="none" w:sz="0" w:space="0" w:color="auto"/>
              </w:divBdr>
            </w:div>
            <w:div w:id="12732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EB6E70B5C381664EB05CF985E8620D69" ma:contentTypeVersion="" ma:contentTypeDescription="" ma:contentTypeScope="" ma:versionID="147891e91f2c1e6fcd4c2d1d31cc6d0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0x00156835E643CEB34094FB8FE2DF713BA5</ContentTypeId>
    <TemplateUrl xmlns="http://schemas.microsoft.com/sharepoint/v3" xsi:nil="true"/>
    <ProtocolNumberIn xmlns="http://schemas.microsoft.com/sharepoint/v3" xsi:nil="true"/>
    <DocumentTypeId xmlns="http://schemas.microsoft.com/sharepoint/v3">3</DocumentTypeId>
    <ProtocolNumberOut xmlns="http://schemas.microsoft.com/sharepoint/v3">1066/6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A5DF-A8EE-4EB0-9B5E-E6053D7C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EDCCE-ECDA-491E-BA70-C0240284379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BEAB33-6FB3-44BE-8BC0-E3F49BBD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Raporti konsultimit publik</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konsultimit publik</dc:title>
  <dc:subject/>
  <dc:creator>Microsoft Office User</dc:creator>
  <cp:keywords/>
  <dc:description/>
  <cp:lastModifiedBy>Kjara Vogli</cp:lastModifiedBy>
  <cp:revision>2</cp:revision>
  <dcterms:created xsi:type="dcterms:W3CDTF">2024-01-05T11:45:00Z</dcterms:created>
  <dcterms:modified xsi:type="dcterms:W3CDTF">2024-01-05T11:45:00Z</dcterms:modified>
</cp:coreProperties>
</file>