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58" w:rsidRPr="00E61F26" w:rsidRDefault="003E1358" w:rsidP="00E61F26">
      <w:pPr>
        <w:pStyle w:val="Normal0"/>
        <w:spacing w:after="240" w:line="276" w:lineRule="auto"/>
        <w:jc w:val="center"/>
        <w:rPr>
          <w:rFonts w:ascii="Times New Roman" w:hAnsi="Times New Roman" w:cs="Times New Roman"/>
          <w:b/>
          <w:bCs/>
        </w:rPr>
      </w:pPr>
      <w:r w:rsidRPr="00E61F26">
        <w:rPr>
          <w:rFonts w:ascii="Times New Roman" w:hAnsi="Times New Roman" w:cs="Times New Roman"/>
          <w:b/>
          <w:bCs/>
        </w:rPr>
        <w:t>RELACION</w:t>
      </w:r>
    </w:p>
    <w:p w:rsidR="003E1358" w:rsidRPr="00E61F26" w:rsidRDefault="003E1358" w:rsidP="00E61F26">
      <w:pPr>
        <w:pStyle w:val="Normal0"/>
        <w:spacing w:after="240" w:line="276" w:lineRule="auto"/>
        <w:jc w:val="center"/>
        <w:rPr>
          <w:rFonts w:ascii="Times New Roman" w:hAnsi="Times New Roman" w:cs="Times New Roman"/>
          <w:b/>
          <w:bCs/>
        </w:rPr>
      </w:pPr>
      <w:r w:rsidRPr="00E61F26">
        <w:rPr>
          <w:rFonts w:ascii="Times New Roman" w:hAnsi="Times New Roman" w:cs="Times New Roman"/>
          <w:b/>
          <w:bCs/>
        </w:rPr>
        <w:t>PËR</w:t>
      </w:r>
    </w:p>
    <w:p w:rsidR="003E1358" w:rsidRPr="00E61F26" w:rsidRDefault="003E1358" w:rsidP="00E61F26">
      <w:pPr>
        <w:spacing w:after="240" w:line="276" w:lineRule="auto"/>
        <w:jc w:val="center"/>
        <w:rPr>
          <w:b/>
          <w:bCs/>
          <w:lang w:val="sq-AL"/>
        </w:rPr>
      </w:pPr>
      <w:r w:rsidRPr="00E61F26">
        <w:rPr>
          <w:b/>
          <w:bCs/>
          <w:lang w:val="sq-AL"/>
        </w:rPr>
        <w:t>PROJEKTVENDIMIN</w:t>
      </w:r>
    </w:p>
    <w:p w:rsidR="003E1358" w:rsidRDefault="003E1358" w:rsidP="00E61F26">
      <w:pPr>
        <w:spacing w:after="240" w:line="276" w:lineRule="auto"/>
        <w:jc w:val="center"/>
        <w:rPr>
          <w:b/>
          <w:spacing w:val="-2"/>
          <w:lang w:val="sq-AL"/>
        </w:rPr>
      </w:pPr>
      <w:r w:rsidRPr="00E61F26">
        <w:rPr>
          <w:b/>
          <w:spacing w:val="-2"/>
          <w:lang w:val="sq-AL"/>
        </w:rPr>
        <w:t>“PËR MIRATIMIN E STRATEGJISË KOMBËTARE PËR MOSPËRHAPJEN E ARMËVE TË DËMTIMIT NË MASË DHE TË PLANIT TË VEPRIMIT PËR ZBATIMIN E SAJ”</w:t>
      </w:r>
    </w:p>
    <w:p w:rsidR="00E61F26" w:rsidRPr="00E61F26" w:rsidRDefault="00E61F26" w:rsidP="00E61F26">
      <w:pPr>
        <w:spacing w:after="240" w:line="276" w:lineRule="auto"/>
        <w:jc w:val="center"/>
        <w:rPr>
          <w:b/>
          <w:spacing w:val="-2"/>
          <w:sz w:val="2"/>
          <w:szCs w:val="2"/>
          <w:lang w:val="sq-AL"/>
        </w:rPr>
      </w:pPr>
    </w:p>
    <w:p w:rsidR="003E1358" w:rsidRPr="00E61F26" w:rsidRDefault="003E1358" w:rsidP="00E61F26">
      <w:pPr>
        <w:pStyle w:val="ColorfulList-Accent11"/>
        <w:numPr>
          <w:ilvl w:val="0"/>
          <w:numId w:val="1"/>
        </w:numPr>
        <w:tabs>
          <w:tab w:val="num" w:pos="0"/>
          <w:tab w:val="left" w:pos="360"/>
        </w:tabs>
        <w:spacing w:after="240"/>
        <w:ind w:left="0" w:firstLine="0"/>
        <w:jc w:val="both"/>
        <w:rPr>
          <w:rFonts w:ascii="Times New Roman" w:hAnsi="Times New Roman"/>
          <w:b/>
          <w:sz w:val="24"/>
          <w:szCs w:val="24"/>
        </w:rPr>
      </w:pPr>
      <w:r w:rsidRPr="00E61F26">
        <w:rPr>
          <w:rFonts w:ascii="Times New Roman" w:hAnsi="Times New Roman"/>
          <w:b/>
          <w:sz w:val="24"/>
          <w:szCs w:val="24"/>
        </w:rPr>
        <w:t>QËLLIMI I PROJEKTAKTIT DHE OBJEKTIVAT QË SYNOHEN TË ARRIHEN</w:t>
      </w:r>
    </w:p>
    <w:p w:rsidR="00E61F26" w:rsidRDefault="003E1358" w:rsidP="00E61F26">
      <w:pPr>
        <w:tabs>
          <w:tab w:val="left" w:pos="1260"/>
        </w:tabs>
        <w:spacing w:after="240" w:line="276" w:lineRule="auto"/>
        <w:jc w:val="both"/>
        <w:rPr>
          <w:lang w:val="sq-AL"/>
        </w:rPr>
      </w:pPr>
      <w:r w:rsidRPr="00E61F26">
        <w:rPr>
          <w:lang w:val="sq-AL"/>
        </w:rPr>
        <w:t xml:space="preserve">Ky projektvendim ka si qëllim të </w:t>
      </w:r>
      <w:r w:rsidR="008734DF" w:rsidRPr="00E61F26">
        <w:rPr>
          <w:lang w:val="sq-AL"/>
        </w:rPr>
        <w:t>miratoj</w:t>
      </w:r>
      <w:r w:rsidR="00CF5465" w:rsidRPr="00E61F26">
        <w:rPr>
          <w:lang w:val="sq-AL"/>
        </w:rPr>
        <w:t>ë</w:t>
      </w:r>
      <w:r w:rsidR="008734DF" w:rsidRPr="00E61F26">
        <w:rPr>
          <w:lang w:val="sq-AL"/>
        </w:rPr>
        <w:t xml:space="preserve"> strategjin</w:t>
      </w:r>
      <w:r w:rsidR="00CF5465" w:rsidRPr="00E61F26">
        <w:rPr>
          <w:lang w:val="sq-AL"/>
        </w:rPr>
        <w:t>ë</w:t>
      </w:r>
      <w:r w:rsidR="008734DF" w:rsidRPr="00E61F26">
        <w:rPr>
          <w:lang w:val="sq-AL"/>
        </w:rPr>
        <w:t xml:space="preserve"> komb</w:t>
      </w:r>
      <w:r w:rsidR="00CF5465" w:rsidRPr="00E61F26">
        <w:rPr>
          <w:lang w:val="sq-AL"/>
        </w:rPr>
        <w:t>ë</w:t>
      </w:r>
      <w:r w:rsidR="008734DF" w:rsidRPr="00E61F26">
        <w:rPr>
          <w:lang w:val="sq-AL"/>
        </w:rPr>
        <w:t>tare p</w:t>
      </w:r>
      <w:r w:rsidR="00CF5465" w:rsidRPr="00E61F26">
        <w:rPr>
          <w:lang w:val="sq-AL"/>
        </w:rPr>
        <w:t>ë</w:t>
      </w:r>
      <w:r w:rsidR="008734DF" w:rsidRPr="00E61F26">
        <w:rPr>
          <w:lang w:val="sq-AL"/>
        </w:rPr>
        <w:t>r mosp</w:t>
      </w:r>
      <w:r w:rsidR="00CF5465" w:rsidRPr="00E61F26">
        <w:rPr>
          <w:lang w:val="sq-AL"/>
        </w:rPr>
        <w:t>ë</w:t>
      </w:r>
      <w:r w:rsidR="008734DF" w:rsidRPr="00E61F26">
        <w:rPr>
          <w:lang w:val="sq-AL"/>
        </w:rPr>
        <w:t>rhapjen e arm</w:t>
      </w:r>
      <w:r w:rsidR="00CF5465" w:rsidRPr="00E61F26">
        <w:rPr>
          <w:lang w:val="sq-AL"/>
        </w:rPr>
        <w:t>ë</w:t>
      </w:r>
      <w:r w:rsidR="008734DF" w:rsidRPr="00E61F26">
        <w:rPr>
          <w:lang w:val="sq-AL"/>
        </w:rPr>
        <w:t>ve t</w:t>
      </w:r>
      <w:r w:rsidR="00CF5465" w:rsidRPr="00E61F26">
        <w:rPr>
          <w:lang w:val="sq-AL"/>
        </w:rPr>
        <w:t>ë</w:t>
      </w:r>
      <w:r w:rsidR="008734DF" w:rsidRPr="00E61F26">
        <w:rPr>
          <w:lang w:val="sq-AL"/>
        </w:rPr>
        <w:t xml:space="preserve"> d</w:t>
      </w:r>
      <w:r w:rsidR="00CF5465" w:rsidRPr="00E61F26">
        <w:rPr>
          <w:lang w:val="sq-AL"/>
        </w:rPr>
        <w:t>ë</w:t>
      </w:r>
      <w:r w:rsidR="008734DF" w:rsidRPr="00E61F26">
        <w:rPr>
          <w:lang w:val="sq-AL"/>
        </w:rPr>
        <w:t>mtimit n</w:t>
      </w:r>
      <w:r w:rsidR="00CF5465" w:rsidRPr="00E61F26">
        <w:rPr>
          <w:lang w:val="sq-AL"/>
        </w:rPr>
        <w:t>ë</w:t>
      </w:r>
      <w:r w:rsidR="008734DF" w:rsidRPr="00E61F26">
        <w:rPr>
          <w:lang w:val="sq-AL"/>
        </w:rPr>
        <w:t xml:space="preserve"> mas</w:t>
      </w:r>
      <w:r w:rsidR="00CF5465" w:rsidRPr="00E61F26">
        <w:rPr>
          <w:lang w:val="sq-AL"/>
        </w:rPr>
        <w:t>ë</w:t>
      </w:r>
      <w:r w:rsidR="008734DF" w:rsidRPr="00E61F26">
        <w:rPr>
          <w:lang w:val="sq-AL"/>
        </w:rPr>
        <w:t xml:space="preserve"> dhe t</w:t>
      </w:r>
      <w:r w:rsidR="00CF5465" w:rsidRPr="00E61F26">
        <w:rPr>
          <w:lang w:val="sq-AL"/>
        </w:rPr>
        <w:t>ë</w:t>
      </w:r>
      <w:r w:rsidR="008734DF" w:rsidRPr="00E61F26">
        <w:rPr>
          <w:lang w:val="sq-AL"/>
        </w:rPr>
        <w:t xml:space="preserve"> planit t</w:t>
      </w:r>
      <w:r w:rsidR="00CF5465" w:rsidRPr="00E61F26">
        <w:rPr>
          <w:lang w:val="sq-AL"/>
        </w:rPr>
        <w:t>ë</w:t>
      </w:r>
      <w:r w:rsidR="008734DF" w:rsidRPr="00E61F26">
        <w:rPr>
          <w:lang w:val="sq-AL"/>
        </w:rPr>
        <w:t xml:space="preserve"> veprimit p</w:t>
      </w:r>
      <w:r w:rsidR="00CF5465" w:rsidRPr="00E61F26">
        <w:rPr>
          <w:lang w:val="sq-AL"/>
        </w:rPr>
        <w:t>ë</w:t>
      </w:r>
      <w:r w:rsidR="008734DF" w:rsidRPr="00E61F26">
        <w:rPr>
          <w:lang w:val="sq-AL"/>
        </w:rPr>
        <w:t xml:space="preserve">r zbatimin e saj, dhe shfuqizimin e vendimit nr. </w:t>
      </w:r>
      <w:r w:rsidR="008734DF" w:rsidRPr="00E61F26">
        <w:rPr>
          <w:spacing w:val="-2"/>
          <w:lang w:val="sq-AL"/>
        </w:rPr>
        <w:t>33, datë 22.1.2020, “Për miratimin e Strategjisë Kombëtare për Mospërhapjen e Armëve të Dëmtimit në Masë dhe të planit të veprimit për zbatimin e saj”, i K</w:t>
      </w:r>
      <w:r w:rsidR="00CF5465" w:rsidRPr="00E61F26">
        <w:rPr>
          <w:spacing w:val="-2"/>
          <w:lang w:val="sq-AL"/>
        </w:rPr>
        <w:t>ë</w:t>
      </w:r>
      <w:r w:rsidR="008734DF" w:rsidRPr="00E61F26">
        <w:rPr>
          <w:spacing w:val="-2"/>
          <w:lang w:val="sq-AL"/>
        </w:rPr>
        <w:t>shillit t</w:t>
      </w:r>
      <w:r w:rsidR="00CF5465" w:rsidRPr="00E61F26">
        <w:rPr>
          <w:spacing w:val="-2"/>
          <w:lang w:val="sq-AL"/>
        </w:rPr>
        <w:t>ë</w:t>
      </w:r>
      <w:r w:rsidR="00476C44" w:rsidRPr="00E61F26">
        <w:rPr>
          <w:spacing w:val="-2"/>
          <w:lang w:val="sq-AL"/>
        </w:rPr>
        <w:t xml:space="preserve"> Mi</w:t>
      </w:r>
      <w:r w:rsidR="008734DF" w:rsidRPr="00E61F26">
        <w:rPr>
          <w:spacing w:val="-2"/>
          <w:lang w:val="sq-AL"/>
        </w:rPr>
        <w:t>nistrave</w:t>
      </w:r>
      <w:r w:rsidR="008734DF" w:rsidRPr="00E61F26">
        <w:rPr>
          <w:lang w:val="sq-AL"/>
        </w:rPr>
        <w:t>.</w:t>
      </w:r>
    </w:p>
    <w:p w:rsidR="00E61F26" w:rsidRPr="00E61F26" w:rsidRDefault="00E61F26" w:rsidP="00E61F26">
      <w:pPr>
        <w:tabs>
          <w:tab w:val="left" w:pos="1260"/>
        </w:tabs>
        <w:spacing w:after="240" w:line="276" w:lineRule="auto"/>
        <w:jc w:val="both"/>
        <w:rPr>
          <w:sz w:val="2"/>
          <w:lang w:val="sq-AL"/>
        </w:rPr>
      </w:pPr>
    </w:p>
    <w:p w:rsidR="003E1358" w:rsidRPr="00E61F26" w:rsidRDefault="003E1358" w:rsidP="00E61F26">
      <w:pPr>
        <w:pStyle w:val="ColorfulList-Accent11"/>
        <w:numPr>
          <w:ilvl w:val="0"/>
          <w:numId w:val="1"/>
        </w:numPr>
        <w:tabs>
          <w:tab w:val="num" w:pos="0"/>
          <w:tab w:val="left" w:pos="360"/>
        </w:tabs>
        <w:spacing w:after="240"/>
        <w:ind w:left="0" w:firstLine="0"/>
        <w:jc w:val="both"/>
        <w:rPr>
          <w:rFonts w:ascii="Times New Roman" w:eastAsia="Times New Roman" w:hAnsi="Times New Roman"/>
          <w:b/>
          <w:sz w:val="24"/>
          <w:szCs w:val="24"/>
        </w:rPr>
      </w:pPr>
      <w:r w:rsidRPr="00E61F26">
        <w:rPr>
          <w:rFonts w:ascii="Times New Roman" w:eastAsia="Times New Roman" w:hAnsi="Times New Roman"/>
          <w:b/>
          <w:sz w:val="24"/>
          <w:szCs w:val="24"/>
        </w:rPr>
        <w:t>VLERËSIMI I PROJEKTAKTIT NË RAPORT ME PROGRAMIN POLITIK TË KËSHILLIT TË MINISTRAVE, ME PROGRAMIN ANALITIK TË AKTEVE DHE DOKUMENTE TË TJERA POLITIKE</w:t>
      </w:r>
    </w:p>
    <w:p w:rsidR="006D6E9F" w:rsidRPr="00E61F26" w:rsidRDefault="003E1358" w:rsidP="00E61F26">
      <w:pPr>
        <w:spacing w:after="240" w:line="276" w:lineRule="auto"/>
        <w:jc w:val="both"/>
        <w:rPr>
          <w:lang w:val="sq-AL"/>
        </w:rPr>
      </w:pPr>
      <w:r w:rsidRPr="00E61F26">
        <w:rPr>
          <w:lang w:val="sq-AL"/>
        </w:rPr>
        <w:t>Projektvendimi ka karakter teknik dhe nuk lidhet me programin politik të Këshillit të Ministrave dhe as me dokumente të tjera politike.</w:t>
      </w:r>
    </w:p>
    <w:p w:rsidR="003E1358" w:rsidRDefault="003E1358" w:rsidP="00E61F26">
      <w:pPr>
        <w:spacing w:after="240" w:line="276" w:lineRule="auto"/>
        <w:jc w:val="both"/>
        <w:rPr>
          <w:rStyle w:val="Strong"/>
          <w:b w:val="0"/>
          <w:bdr w:val="none" w:sz="0" w:space="0" w:color="auto" w:frame="1"/>
          <w:shd w:val="clear" w:color="auto" w:fill="FFFFFF"/>
          <w:lang w:val="sq-AL"/>
        </w:rPr>
      </w:pPr>
      <w:r w:rsidRPr="00E61F26">
        <w:rPr>
          <w:lang w:val="sq-AL"/>
        </w:rPr>
        <w:t>Projektvendimi</w:t>
      </w:r>
      <w:r w:rsidRPr="00E61F26">
        <w:rPr>
          <w:color w:val="FF0000"/>
          <w:lang w:val="sq-AL"/>
        </w:rPr>
        <w:t xml:space="preserve"> </w:t>
      </w:r>
      <w:r w:rsidRPr="00E61F26">
        <w:rPr>
          <w:lang w:val="sq-AL"/>
        </w:rPr>
        <w:t xml:space="preserve">nuk është parashikuar në Programin e Përgjithshëm Analitik të Projektakteve, që do të paraqiten për shqyrtim </w:t>
      </w:r>
      <w:r w:rsidRPr="00E61F26">
        <w:rPr>
          <w:rStyle w:val="Strong"/>
          <w:b w:val="0"/>
          <w:bdr w:val="none" w:sz="0" w:space="0" w:color="auto" w:frame="1"/>
          <w:shd w:val="clear" w:color="auto" w:fill="FFFFFF"/>
          <w:lang w:val="sq-AL"/>
        </w:rPr>
        <w:t>në Këshil</w:t>
      </w:r>
      <w:r w:rsidR="008734DF" w:rsidRPr="00E61F26">
        <w:rPr>
          <w:rStyle w:val="Strong"/>
          <w:b w:val="0"/>
          <w:bdr w:val="none" w:sz="0" w:space="0" w:color="auto" w:frame="1"/>
          <w:shd w:val="clear" w:color="auto" w:fill="FFFFFF"/>
          <w:lang w:val="sq-AL"/>
        </w:rPr>
        <w:t>lin e Ministrave, për vitin 2025</w:t>
      </w:r>
      <w:r w:rsidRPr="00E61F26">
        <w:rPr>
          <w:rStyle w:val="Strong"/>
          <w:b w:val="0"/>
          <w:bdr w:val="none" w:sz="0" w:space="0" w:color="auto" w:frame="1"/>
          <w:shd w:val="clear" w:color="auto" w:fill="FFFFFF"/>
          <w:lang w:val="sq-AL"/>
        </w:rPr>
        <w:t xml:space="preserve">. </w:t>
      </w:r>
    </w:p>
    <w:p w:rsidR="00E61F26" w:rsidRPr="00E61F26" w:rsidRDefault="00E61F26" w:rsidP="00E61F26">
      <w:pPr>
        <w:spacing w:after="240" w:line="276" w:lineRule="auto"/>
        <w:jc w:val="both"/>
        <w:rPr>
          <w:sz w:val="2"/>
          <w:szCs w:val="2"/>
          <w:lang w:val="sq-AL"/>
        </w:rPr>
      </w:pPr>
    </w:p>
    <w:p w:rsidR="003E1358" w:rsidRPr="00E61F26" w:rsidRDefault="003E1358" w:rsidP="00E61F26">
      <w:pPr>
        <w:pStyle w:val="ColorfulList-Accent11"/>
        <w:numPr>
          <w:ilvl w:val="0"/>
          <w:numId w:val="1"/>
        </w:numPr>
        <w:tabs>
          <w:tab w:val="num" w:pos="540"/>
        </w:tabs>
        <w:spacing w:after="240"/>
        <w:ind w:left="0" w:firstLine="0"/>
        <w:jc w:val="both"/>
        <w:rPr>
          <w:rFonts w:ascii="Times New Roman" w:eastAsia="Times New Roman" w:hAnsi="Times New Roman"/>
          <w:b/>
          <w:sz w:val="24"/>
          <w:szCs w:val="24"/>
        </w:rPr>
      </w:pPr>
      <w:r w:rsidRPr="00E61F26">
        <w:rPr>
          <w:rFonts w:ascii="Times New Roman" w:hAnsi="Times New Roman"/>
          <w:b/>
          <w:sz w:val="24"/>
          <w:szCs w:val="24"/>
        </w:rPr>
        <w:t>ARGUMENTIMI I PROJEKTAKTIT LIDHUR ME PËRPARËSITË, PROBLEMATIKAT, EFEKTET E PRITSHME</w:t>
      </w:r>
    </w:p>
    <w:p w:rsidR="003E1358" w:rsidRPr="00E61F26" w:rsidRDefault="003E1358" w:rsidP="00E61F26">
      <w:pPr>
        <w:pStyle w:val="ColorfulList-Accent11"/>
        <w:spacing w:after="240"/>
        <w:ind w:left="0"/>
        <w:jc w:val="both"/>
        <w:rPr>
          <w:rFonts w:ascii="Times New Roman" w:hAnsi="Times New Roman"/>
          <w:b/>
          <w:sz w:val="24"/>
          <w:szCs w:val="24"/>
        </w:rPr>
      </w:pPr>
    </w:p>
    <w:p w:rsidR="00E61F26" w:rsidRDefault="008734DF" w:rsidP="00E61F26">
      <w:pPr>
        <w:pStyle w:val="ColorfulList-Accent11"/>
        <w:spacing w:after="240"/>
        <w:ind w:left="0"/>
        <w:jc w:val="both"/>
        <w:rPr>
          <w:rFonts w:ascii="Times New Roman" w:hAnsi="Times New Roman"/>
          <w:sz w:val="24"/>
          <w:szCs w:val="24"/>
        </w:rPr>
      </w:pPr>
      <w:r w:rsidRPr="00E61F26">
        <w:rPr>
          <w:rFonts w:ascii="Times New Roman" w:hAnsi="Times New Roman"/>
          <w:sz w:val="24"/>
          <w:szCs w:val="24"/>
        </w:rPr>
        <w:t>Projektv</w:t>
      </w:r>
      <w:r w:rsidR="003E1358" w:rsidRPr="00E61F26">
        <w:rPr>
          <w:rFonts w:ascii="Times New Roman" w:hAnsi="Times New Roman"/>
          <w:sz w:val="24"/>
          <w:szCs w:val="24"/>
        </w:rPr>
        <w:t xml:space="preserve">endimi </w:t>
      </w:r>
      <w:r w:rsidRPr="00E61F26">
        <w:rPr>
          <w:rFonts w:ascii="Times New Roman" w:hAnsi="Times New Roman"/>
          <w:spacing w:val="-2"/>
          <w:sz w:val="24"/>
          <w:szCs w:val="24"/>
        </w:rPr>
        <w:t>“Për miratimin e Strategjisë Kombëtare për Mospërhapjen e Armëve të Dëmtimit në Masë dhe të planit të veprimit për zbatimin e saj”</w:t>
      </w:r>
      <w:r w:rsidR="003E1358" w:rsidRPr="00E61F26">
        <w:rPr>
          <w:rFonts w:ascii="Times New Roman" w:hAnsi="Times New Roman"/>
          <w:sz w:val="24"/>
          <w:szCs w:val="24"/>
        </w:rPr>
        <w:t xml:space="preserve">, </w:t>
      </w:r>
      <w:r w:rsidR="00CF5465" w:rsidRPr="00E61F26">
        <w:rPr>
          <w:rFonts w:ascii="Times New Roman" w:hAnsi="Times New Roman"/>
          <w:sz w:val="24"/>
          <w:szCs w:val="24"/>
        </w:rPr>
        <w:t>ë</w:t>
      </w:r>
      <w:r w:rsidRPr="00E61F26">
        <w:rPr>
          <w:rFonts w:ascii="Times New Roman" w:hAnsi="Times New Roman"/>
          <w:sz w:val="24"/>
          <w:szCs w:val="24"/>
        </w:rPr>
        <w:t>sht</w:t>
      </w:r>
      <w:r w:rsidR="00CF5465" w:rsidRPr="00E61F26">
        <w:rPr>
          <w:rFonts w:ascii="Times New Roman" w:hAnsi="Times New Roman"/>
          <w:sz w:val="24"/>
          <w:szCs w:val="24"/>
        </w:rPr>
        <w:t>ë</w:t>
      </w:r>
      <w:r w:rsidRPr="00E61F26">
        <w:rPr>
          <w:rFonts w:ascii="Times New Roman" w:hAnsi="Times New Roman"/>
          <w:sz w:val="24"/>
          <w:szCs w:val="24"/>
        </w:rPr>
        <w:t xml:space="preserve"> </w:t>
      </w:r>
      <w:r w:rsidR="006D6E9F" w:rsidRPr="00E61F26">
        <w:rPr>
          <w:rFonts w:ascii="Times New Roman" w:hAnsi="Times New Roman"/>
          <w:sz w:val="24"/>
          <w:szCs w:val="24"/>
        </w:rPr>
        <w:t xml:space="preserve">në mbështetje </w:t>
      </w:r>
      <w:r w:rsidRPr="00E61F26">
        <w:rPr>
          <w:rFonts w:ascii="Times New Roman" w:hAnsi="Times New Roman"/>
          <w:sz w:val="24"/>
          <w:szCs w:val="24"/>
        </w:rPr>
        <w:t xml:space="preserve">të nenit 100 të Kushtetutës, me propozimin e </w:t>
      </w:r>
      <w:r w:rsidR="006D6E9F" w:rsidRPr="00E61F26">
        <w:rPr>
          <w:rFonts w:ascii="Times New Roman" w:hAnsi="Times New Roman"/>
          <w:sz w:val="24"/>
          <w:szCs w:val="24"/>
        </w:rPr>
        <w:t xml:space="preserve">Ministrit </w:t>
      </w:r>
      <w:r w:rsidRPr="00E61F26">
        <w:rPr>
          <w:rFonts w:ascii="Times New Roman" w:hAnsi="Times New Roman"/>
          <w:sz w:val="24"/>
          <w:szCs w:val="24"/>
        </w:rPr>
        <w:t>të Mbrojtjes</w:t>
      </w:r>
      <w:r w:rsidR="00E61F26">
        <w:rPr>
          <w:rFonts w:ascii="Times New Roman" w:hAnsi="Times New Roman"/>
          <w:sz w:val="24"/>
          <w:szCs w:val="24"/>
        </w:rPr>
        <w:t>.</w:t>
      </w:r>
    </w:p>
    <w:p w:rsidR="00E61F26" w:rsidRPr="00E61F26" w:rsidRDefault="00E61F26" w:rsidP="00E61F26">
      <w:pPr>
        <w:pStyle w:val="ColorfulList-Accent11"/>
        <w:spacing w:after="240"/>
        <w:ind w:left="0"/>
        <w:jc w:val="both"/>
        <w:rPr>
          <w:rFonts w:ascii="Times New Roman" w:hAnsi="Times New Roman"/>
          <w:sz w:val="2"/>
          <w:szCs w:val="2"/>
        </w:rPr>
      </w:pPr>
    </w:p>
    <w:p w:rsidR="003E1358" w:rsidRPr="00E61F26" w:rsidRDefault="003E1358" w:rsidP="00E61F26">
      <w:pPr>
        <w:pStyle w:val="ColorfulList-Accent11"/>
        <w:spacing w:after="240"/>
        <w:ind w:left="0"/>
        <w:jc w:val="both"/>
        <w:rPr>
          <w:rFonts w:ascii="Times New Roman" w:hAnsi="Times New Roman"/>
          <w:sz w:val="24"/>
          <w:szCs w:val="24"/>
          <w:highlight w:val="yellow"/>
        </w:rPr>
      </w:pPr>
    </w:p>
    <w:p w:rsidR="003E1358" w:rsidRPr="00E61F26" w:rsidRDefault="003E1358" w:rsidP="00E61F26">
      <w:pPr>
        <w:pStyle w:val="ColorfulList-Accent11"/>
        <w:numPr>
          <w:ilvl w:val="0"/>
          <w:numId w:val="1"/>
        </w:numPr>
        <w:tabs>
          <w:tab w:val="num" w:pos="0"/>
          <w:tab w:val="left" w:pos="360"/>
        </w:tabs>
        <w:spacing w:after="240"/>
        <w:ind w:left="360" w:hanging="360"/>
        <w:jc w:val="both"/>
        <w:rPr>
          <w:rFonts w:ascii="Times New Roman" w:eastAsia="Times New Roman" w:hAnsi="Times New Roman"/>
          <w:b/>
          <w:sz w:val="24"/>
          <w:szCs w:val="24"/>
        </w:rPr>
      </w:pPr>
      <w:r w:rsidRPr="00E61F26">
        <w:rPr>
          <w:rFonts w:ascii="Times New Roman" w:eastAsia="Times New Roman" w:hAnsi="Times New Roman"/>
          <w:b/>
          <w:sz w:val="24"/>
          <w:szCs w:val="24"/>
        </w:rPr>
        <w:t>VLERËSIMI I LIGJSHMËRISË, KUSHTETUTSHMËRISË DHE HARMONIZIMI ME LEGJISLACIONIN NË FUQI VENDAS E NDËRKOMBËTAR</w:t>
      </w:r>
    </w:p>
    <w:p w:rsidR="00B8139C" w:rsidRDefault="003E1358" w:rsidP="00E61F26">
      <w:pPr>
        <w:pStyle w:val="ListParagraph"/>
        <w:ind w:left="0"/>
        <w:jc w:val="both"/>
        <w:rPr>
          <w:rFonts w:ascii="Times New Roman" w:hAnsi="Times New Roman"/>
          <w:sz w:val="24"/>
          <w:szCs w:val="24"/>
        </w:rPr>
      </w:pPr>
      <w:r w:rsidRPr="00E61F26">
        <w:rPr>
          <w:rFonts w:ascii="Times New Roman" w:hAnsi="Times New Roman"/>
          <w:sz w:val="24"/>
          <w:szCs w:val="24"/>
        </w:rPr>
        <w:t>Ky</w:t>
      </w:r>
      <w:r w:rsidRPr="00E61F26">
        <w:rPr>
          <w:rFonts w:ascii="Times New Roman" w:hAnsi="Times New Roman"/>
          <w:b/>
          <w:sz w:val="24"/>
          <w:szCs w:val="24"/>
        </w:rPr>
        <w:t xml:space="preserve"> </w:t>
      </w:r>
      <w:r w:rsidRPr="00E61F26">
        <w:rPr>
          <w:rFonts w:ascii="Times New Roman" w:hAnsi="Times New Roman"/>
          <w:sz w:val="24"/>
          <w:szCs w:val="24"/>
        </w:rPr>
        <w:t>projektvendim është në harmoni të plotë me rendin e brendshëm juridik dhe atë ndërkombëtar. Projektvendimi propozohet në b</w:t>
      </w:r>
      <w:r w:rsidR="00B8139C" w:rsidRPr="00E61F26">
        <w:rPr>
          <w:rFonts w:ascii="Times New Roman" w:hAnsi="Times New Roman"/>
          <w:sz w:val="24"/>
          <w:szCs w:val="24"/>
        </w:rPr>
        <w:t>azë të nenit 100 të Kushtetutës.</w:t>
      </w:r>
    </w:p>
    <w:p w:rsidR="00E61F26" w:rsidRDefault="00E61F26" w:rsidP="00E61F26">
      <w:pPr>
        <w:pStyle w:val="ListParagraph"/>
        <w:ind w:left="0"/>
        <w:jc w:val="both"/>
        <w:rPr>
          <w:rFonts w:ascii="Times New Roman" w:hAnsi="Times New Roman"/>
          <w:sz w:val="24"/>
          <w:szCs w:val="24"/>
        </w:rPr>
      </w:pPr>
    </w:p>
    <w:p w:rsidR="00E61F26" w:rsidRPr="00E61F26" w:rsidRDefault="00E61F26" w:rsidP="00E61F26">
      <w:pPr>
        <w:pStyle w:val="ListParagraph"/>
        <w:ind w:left="0"/>
        <w:jc w:val="both"/>
        <w:rPr>
          <w:rFonts w:ascii="Times New Roman" w:hAnsi="Times New Roman"/>
          <w:sz w:val="2"/>
          <w:szCs w:val="2"/>
        </w:rPr>
      </w:pPr>
    </w:p>
    <w:p w:rsidR="00BB27B8" w:rsidRPr="00E61F26" w:rsidRDefault="00BB27B8" w:rsidP="00E61F26">
      <w:pPr>
        <w:pStyle w:val="ColorfulList-Accent11"/>
        <w:numPr>
          <w:ilvl w:val="0"/>
          <w:numId w:val="1"/>
        </w:numPr>
        <w:tabs>
          <w:tab w:val="num" w:pos="0"/>
          <w:tab w:val="left" w:pos="360"/>
        </w:tabs>
        <w:spacing w:after="240"/>
        <w:ind w:left="360" w:hanging="360"/>
        <w:jc w:val="both"/>
        <w:rPr>
          <w:rFonts w:ascii="Times New Roman" w:eastAsia="Times New Roman" w:hAnsi="Times New Roman"/>
          <w:b/>
          <w:sz w:val="24"/>
          <w:szCs w:val="24"/>
        </w:rPr>
      </w:pPr>
      <w:r w:rsidRPr="00E61F26">
        <w:rPr>
          <w:rFonts w:ascii="Times New Roman" w:eastAsia="Times New Roman" w:hAnsi="Times New Roman"/>
          <w:b/>
          <w:sz w:val="24"/>
          <w:szCs w:val="24"/>
        </w:rPr>
        <w:lastRenderedPageBreak/>
        <w:t xml:space="preserve">VLERËSIMI I SHKALLËS SË PËRAFRIMIT ME </w:t>
      </w:r>
      <w:r w:rsidRPr="00E61F26">
        <w:rPr>
          <w:rFonts w:ascii="Times New Roman" w:eastAsia="Times New Roman" w:hAnsi="Times New Roman"/>
          <w:b/>
          <w:i/>
          <w:sz w:val="24"/>
          <w:szCs w:val="24"/>
        </w:rPr>
        <w:t>ACQUIS</w:t>
      </w:r>
      <w:r w:rsidRPr="00E61F26">
        <w:rPr>
          <w:rFonts w:ascii="Times New Roman" w:eastAsia="Times New Roman" w:hAnsi="Times New Roman"/>
          <w:b/>
          <w:sz w:val="24"/>
          <w:szCs w:val="24"/>
        </w:rPr>
        <w:t xml:space="preserve"> TË BER</w:t>
      </w:r>
    </w:p>
    <w:p w:rsidR="00BB27B8" w:rsidRDefault="00BB27B8" w:rsidP="00E61F26">
      <w:pPr>
        <w:pStyle w:val="ListParagraph"/>
        <w:ind w:left="0"/>
        <w:jc w:val="both"/>
        <w:rPr>
          <w:rFonts w:ascii="Times New Roman" w:hAnsi="Times New Roman"/>
          <w:sz w:val="24"/>
          <w:szCs w:val="24"/>
        </w:rPr>
      </w:pPr>
      <w:r w:rsidRPr="00E61F26">
        <w:rPr>
          <w:rFonts w:ascii="Times New Roman" w:hAnsi="Times New Roman"/>
          <w:sz w:val="24"/>
          <w:szCs w:val="24"/>
        </w:rPr>
        <w:t xml:space="preserve">Projektvendimi synon përafrimin me legjislacionin </w:t>
      </w:r>
      <w:proofErr w:type="spellStart"/>
      <w:r w:rsidRPr="00E61F26">
        <w:rPr>
          <w:rFonts w:ascii="Times New Roman" w:hAnsi="Times New Roman"/>
          <w:sz w:val="24"/>
          <w:szCs w:val="24"/>
        </w:rPr>
        <w:t>komunitar</w:t>
      </w:r>
      <w:proofErr w:type="spellEnd"/>
      <w:r w:rsidRPr="00E61F26">
        <w:rPr>
          <w:rFonts w:ascii="Times New Roman" w:hAnsi="Times New Roman"/>
          <w:sz w:val="24"/>
          <w:szCs w:val="24"/>
        </w:rPr>
        <w:t>.</w:t>
      </w:r>
    </w:p>
    <w:p w:rsidR="00E61F26" w:rsidRPr="00E61F26" w:rsidRDefault="00E61F26" w:rsidP="00E61F26">
      <w:pPr>
        <w:pStyle w:val="ListParagraph"/>
        <w:ind w:left="0"/>
        <w:jc w:val="both"/>
        <w:rPr>
          <w:rFonts w:ascii="Times New Roman" w:hAnsi="Times New Roman"/>
          <w:sz w:val="2"/>
          <w:szCs w:val="2"/>
        </w:rPr>
      </w:pPr>
    </w:p>
    <w:p w:rsidR="003E1358" w:rsidRPr="00E61F26" w:rsidRDefault="003E1358" w:rsidP="00E61F26">
      <w:pPr>
        <w:pStyle w:val="ColorfulList-Accent11"/>
        <w:numPr>
          <w:ilvl w:val="0"/>
          <w:numId w:val="1"/>
        </w:numPr>
        <w:tabs>
          <w:tab w:val="num" w:pos="540"/>
        </w:tabs>
        <w:ind w:left="0" w:firstLine="0"/>
        <w:jc w:val="both"/>
        <w:rPr>
          <w:rFonts w:ascii="Times New Roman" w:eastAsia="Times New Roman" w:hAnsi="Times New Roman"/>
          <w:b/>
          <w:sz w:val="24"/>
          <w:szCs w:val="24"/>
        </w:rPr>
      </w:pPr>
      <w:r w:rsidRPr="00E61F26">
        <w:rPr>
          <w:rFonts w:ascii="Times New Roman" w:eastAsia="Times New Roman" w:hAnsi="Times New Roman"/>
          <w:b/>
          <w:sz w:val="24"/>
          <w:szCs w:val="24"/>
        </w:rPr>
        <w:t>PËRMBLEDHJE SHPJEGUESE E PËRMBAJTJES SË PROJEKTAKTIT</w:t>
      </w:r>
    </w:p>
    <w:p w:rsidR="00B8139C" w:rsidRPr="00E61F26" w:rsidRDefault="00B8139C" w:rsidP="00E61F26">
      <w:pPr>
        <w:spacing w:after="200" w:line="276" w:lineRule="auto"/>
        <w:ind w:right="20"/>
        <w:jc w:val="both"/>
        <w:rPr>
          <w:bCs/>
          <w:lang w:val="sq-AL" w:eastAsia="x-none"/>
        </w:rPr>
      </w:pPr>
      <w:r w:rsidRPr="00E61F26">
        <w:rPr>
          <w:bCs/>
          <w:lang w:val="sq-AL" w:eastAsia="x-none"/>
        </w:rPr>
        <w:t>Qëllimi për të cilin ndërmerret hartimi dhe miratimi i këtij projektakti nga ana e Ministrisë së Mbrojtjes është përcaktimi i kuadrit të përgjithshëm të masave, mekanizmave dhe veprimeve që Republika e Shqipërisë do të ndërmarrë për Mospërhapjen e Armëve të Dëmtimit në Masë (MADM).</w:t>
      </w:r>
    </w:p>
    <w:p w:rsidR="00B8139C" w:rsidRPr="00E61F26" w:rsidRDefault="00B8139C" w:rsidP="00E61F26">
      <w:pPr>
        <w:spacing w:after="240" w:line="276" w:lineRule="auto"/>
        <w:ind w:right="20"/>
        <w:jc w:val="both"/>
        <w:rPr>
          <w:lang w:val="sq-AL"/>
        </w:rPr>
      </w:pPr>
      <w:r w:rsidRPr="00E61F26">
        <w:rPr>
          <w:lang w:val="sq-AL"/>
        </w:rPr>
        <w:t xml:space="preserve">Vendndodhja gjeografike e Republikës së Shqipërisë, në udhëkryqin e rrugëve që lidhin Evropën Perëndimore me atë Lindore dhe Azinë, si dhe kufijtë tokësorë, liqenorë, lumorë dhe detarë, e ekspozojnë vendin tonë kundrejt trafikimit të ADM-ve, materialeve të para për prodhimin e tyre, si dhe sistemeve të shpërndarjes. Rishikimi i kësaj Strategjie do të bëjë të mundur që Shqipëria të krijojë premisat për Mospërhapjen e Armëve të Dëmtimit në Masë (MADM), nëpërmjet forcimit të kontrollit kufitar, përmirësimit të legjislacionit dhe zbatimit të ligjit, rritjes së bashkëpunimit dhe shkëmbimit të informacionit me partnerët tanë, duke ndëshkuar trafiqet dhe krimin e organizuar. </w:t>
      </w:r>
    </w:p>
    <w:p w:rsidR="00B8139C" w:rsidRPr="00E61F26" w:rsidRDefault="00B8139C" w:rsidP="00E61F26">
      <w:pPr>
        <w:spacing w:after="240" w:line="276" w:lineRule="auto"/>
        <w:ind w:right="20"/>
        <w:jc w:val="both"/>
        <w:rPr>
          <w:lang w:val="sq-AL"/>
        </w:rPr>
      </w:pPr>
      <w:r w:rsidRPr="00E61F26">
        <w:rPr>
          <w:lang w:val="sq-AL"/>
        </w:rPr>
        <w:t>M</w:t>
      </w:r>
      <w:r w:rsidR="006D6E9F" w:rsidRPr="00E61F26">
        <w:rPr>
          <w:lang w:val="sq-AL"/>
        </w:rPr>
        <w:t xml:space="preserve">ospërhapja e </w:t>
      </w:r>
      <w:r w:rsidRPr="00E61F26">
        <w:rPr>
          <w:lang w:val="sq-AL"/>
        </w:rPr>
        <w:t xml:space="preserve">ADM dhe mbrojtja prej tyre është detyrim themelor i shtetit, për të siguruar kushte për një jetë të qetë dhe të sigurt të shtetasve të vet, krijimin e një mjedisi demokratik, tolerant dhe të begatë, në zbatim të plotë të ligjit. </w:t>
      </w:r>
    </w:p>
    <w:p w:rsidR="006D6E9F" w:rsidRPr="00E61F26" w:rsidRDefault="00B8139C" w:rsidP="00E61F26">
      <w:pPr>
        <w:spacing w:after="240" w:line="276" w:lineRule="auto"/>
        <w:ind w:right="20"/>
        <w:jc w:val="both"/>
        <w:rPr>
          <w:lang w:val="sq-AL"/>
        </w:rPr>
      </w:pPr>
      <w:r w:rsidRPr="00E61F26">
        <w:rPr>
          <w:lang w:val="sq-AL"/>
        </w:rPr>
        <w:t>Me qëllim përballimin e kësaj sfide, nevojitet hartimi i një Strategjie ndërinstitucionale dhe gjithëpërfshirëse, e cila do të adresojë këtë kërcënim në të gjitha dimensionet e tij si në kuadrin kombëtar, ashtu dhe atë ndërkombëtar. Kjo Strategji vlerësohet si pjesë integrale e Strategjisë së Sigurisë Kombëtare (SSK), e cila konsideron mjedisin e sotëm të sigurisë, rreziqet dhe kërcënimet, zhvillimet teknologjike, si dhe marrëdhëniet me vendet aleate dhe ato partnere.</w:t>
      </w:r>
    </w:p>
    <w:p w:rsidR="00B8139C" w:rsidRPr="00E61F26" w:rsidRDefault="00B8139C" w:rsidP="00E61F26">
      <w:pPr>
        <w:spacing w:after="240" w:line="276" w:lineRule="auto"/>
        <w:ind w:right="20"/>
        <w:jc w:val="both"/>
        <w:rPr>
          <w:bCs/>
          <w:lang w:val="sq-AL" w:eastAsia="x-none"/>
        </w:rPr>
      </w:pPr>
      <w:r w:rsidRPr="00E61F26">
        <w:rPr>
          <w:bCs/>
          <w:lang w:val="sq-AL" w:eastAsia="x-none"/>
        </w:rPr>
        <w:t>Strategjia përcakton rolin e institucioneve dhe strukturave të ndryshme, me qëllim përmirësimin e bashkëpunimit, koordinimit dhe shkëmbimit të informacionit ndërmjet autoriteteve shtetërore dhe publike dhe subjekteve të tjera juridike në Republikën e Shqipërisë, si dhe me shtetet e tjera dhe organizatat e sigurisë. Strategjia do të jetë pjesë integrale e kuadrit të strategjive kombëtare dhe do të plotësojë mekanizmat e përgjigjes për menaxhimin e krizave dhe emergjencave.</w:t>
      </w:r>
    </w:p>
    <w:p w:rsidR="00B8139C" w:rsidRPr="00E61F26" w:rsidRDefault="00B8139C" w:rsidP="00E61F26">
      <w:pPr>
        <w:spacing w:after="240" w:line="276" w:lineRule="auto"/>
        <w:ind w:right="20"/>
        <w:jc w:val="both"/>
        <w:rPr>
          <w:bCs/>
          <w:lang w:val="sq-AL" w:eastAsia="x-none"/>
        </w:rPr>
      </w:pPr>
      <w:r w:rsidRPr="00E61F26">
        <w:rPr>
          <w:bCs/>
          <w:lang w:val="sq-AL" w:eastAsia="x-none"/>
        </w:rPr>
        <w:t>Gjithashtu do të mundësojë përmbushjen e detyrimeve që ka vendi ynë si anëtar i NATO-s dhe detyrimeve në kuadër të organizatave ndërkombëtare (OKB dhe OSBE) ku Republika e Shqipërisë, pranon edhe detyrimet që rrjedhin prej tij, ku sipas Strategjisë së sigurisë evropiane, një nga pesë kërcënimet kryesore ndaj sigurisë është edhe përhapja e ADM-ve.</w:t>
      </w:r>
    </w:p>
    <w:p w:rsidR="00B8139C" w:rsidRPr="00E61F26" w:rsidRDefault="00B8139C" w:rsidP="00E61F26">
      <w:pPr>
        <w:spacing w:after="240" w:line="276" w:lineRule="auto"/>
        <w:ind w:right="20"/>
        <w:jc w:val="both"/>
        <w:rPr>
          <w:bCs/>
          <w:lang w:val="sq-AL" w:eastAsia="x-none"/>
        </w:rPr>
      </w:pPr>
      <w:r w:rsidRPr="00E61F26">
        <w:rPr>
          <w:bCs/>
          <w:lang w:val="sq-AL" w:eastAsia="x-none"/>
        </w:rPr>
        <w:t xml:space="preserve">Strategjia dhe Plani i Veprimit synon harmonizimin e legjislacionit të Republikës së Shqipërisë dhe legjislacionin e Bashkimit Evropian dhe me Strategjinë e BE-së kundër përhapjes së ADM-ve, në përputhje me procesin e planifikimit të përafrimit me legjislacionin e BE-së, dhe detyrimeve </w:t>
      </w:r>
      <w:r w:rsidRPr="00E61F26">
        <w:rPr>
          <w:bCs/>
          <w:lang w:val="sq-AL" w:eastAsia="x-none"/>
        </w:rPr>
        <w:lastRenderedPageBreak/>
        <w:t>në kuadër të kapitullit 31 “Politika e jashtme e sigurisë dhe mbrojtjes” të Planit Kombëtar të Integrimit Evropian (</w:t>
      </w:r>
      <w:r w:rsidRPr="00E61F26">
        <w:rPr>
          <w:color w:val="000000"/>
          <w:lang w:val="sq-AL"/>
        </w:rPr>
        <w:t>PKIE 202</w:t>
      </w:r>
      <w:r w:rsidR="006D6E9F" w:rsidRPr="00E61F26">
        <w:rPr>
          <w:color w:val="000000"/>
          <w:lang w:val="sq-AL"/>
        </w:rPr>
        <w:t>5</w:t>
      </w:r>
      <w:r w:rsidRPr="00E61F26">
        <w:rPr>
          <w:color w:val="000000"/>
          <w:lang w:val="sq-AL"/>
        </w:rPr>
        <w:t>-202</w:t>
      </w:r>
      <w:r w:rsidR="006D6E9F" w:rsidRPr="00E61F26">
        <w:rPr>
          <w:color w:val="000000"/>
          <w:lang w:val="sq-AL"/>
        </w:rPr>
        <w:t>7</w:t>
      </w:r>
      <w:r w:rsidRPr="00E61F26">
        <w:rPr>
          <w:color w:val="000000"/>
          <w:lang w:val="sq-AL"/>
        </w:rPr>
        <w:t>)</w:t>
      </w:r>
      <w:r w:rsidRPr="00E61F26">
        <w:rPr>
          <w:bCs/>
          <w:lang w:val="sq-AL" w:eastAsia="x-none"/>
        </w:rPr>
        <w:t>.</w:t>
      </w:r>
    </w:p>
    <w:p w:rsidR="00BB27B8" w:rsidRDefault="00B8139C" w:rsidP="00E61F26">
      <w:pPr>
        <w:spacing w:after="240" w:line="276" w:lineRule="auto"/>
        <w:ind w:right="20"/>
        <w:jc w:val="both"/>
        <w:rPr>
          <w:bCs/>
          <w:lang w:val="sq-AL" w:eastAsia="x-none"/>
        </w:rPr>
      </w:pPr>
      <w:r w:rsidRPr="00E61F26">
        <w:rPr>
          <w:bCs/>
          <w:lang w:val="sq-AL" w:eastAsia="x-none"/>
        </w:rPr>
        <w:t>Strategjia për mospërhapjen e ADM-ve rishikohet si rregull, pas pesë vjetësh, në varësi të zhvillimeve të si</w:t>
      </w:r>
      <w:r w:rsidR="00E61F26">
        <w:rPr>
          <w:bCs/>
          <w:lang w:val="sq-AL" w:eastAsia="x-none"/>
        </w:rPr>
        <w:t>tuatës dhe mjedisit të sigurisë.</w:t>
      </w:r>
    </w:p>
    <w:p w:rsidR="00E61F26" w:rsidRPr="00E61F26" w:rsidRDefault="00E61F26" w:rsidP="00E61F26">
      <w:pPr>
        <w:spacing w:after="240" w:line="276" w:lineRule="auto"/>
        <w:ind w:right="20"/>
        <w:jc w:val="both"/>
        <w:rPr>
          <w:bCs/>
          <w:sz w:val="2"/>
          <w:szCs w:val="2"/>
          <w:lang w:val="sq-AL" w:eastAsia="x-none"/>
        </w:rPr>
      </w:pPr>
    </w:p>
    <w:p w:rsidR="003E1358" w:rsidRPr="00E61F26" w:rsidRDefault="003E1358" w:rsidP="00E61F26">
      <w:pPr>
        <w:pStyle w:val="ColorfulList-Accent11"/>
        <w:numPr>
          <w:ilvl w:val="0"/>
          <w:numId w:val="1"/>
        </w:numPr>
        <w:tabs>
          <w:tab w:val="num" w:pos="720"/>
        </w:tabs>
        <w:spacing w:after="240"/>
        <w:ind w:left="0" w:firstLine="0"/>
        <w:jc w:val="both"/>
        <w:rPr>
          <w:rFonts w:ascii="Times New Roman" w:eastAsia="Times New Roman" w:hAnsi="Times New Roman"/>
          <w:b/>
          <w:sz w:val="24"/>
          <w:szCs w:val="24"/>
        </w:rPr>
      </w:pPr>
      <w:r w:rsidRPr="00E61F26">
        <w:rPr>
          <w:rFonts w:ascii="Times New Roman" w:eastAsia="Times New Roman" w:hAnsi="Times New Roman"/>
          <w:b/>
          <w:sz w:val="24"/>
          <w:szCs w:val="24"/>
        </w:rPr>
        <w:t>INSTITUCIONET DHE ORGANET QË NGARKOHEN PËR ZBATIMIN E AKTIT</w:t>
      </w:r>
    </w:p>
    <w:p w:rsidR="003E1358" w:rsidRDefault="003E1358" w:rsidP="00E61F26">
      <w:pPr>
        <w:pStyle w:val="Header"/>
        <w:spacing w:after="240" w:line="276" w:lineRule="auto"/>
        <w:jc w:val="both"/>
        <w:rPr>
          <w:lang w:val="sq-AL"/>
        </w:rPr>
      </w:pPr>
      <w:r w:rsidRPr="00E61F26">
        <w:rPr>
          <w:lang w:val="sq-AL"/>
        </w:rPr>
        <w:t xml:space="preserve">Për zbatimin e këtij vendimi ngarkohet </w:t>
      </w:r>
      <w:r w:rsidR="006D6E9F" w:rsidRPr="00E61F26">
        <w:rPr>
          <w:lang w:val="sq-AL"/>
        </w:rPr>
        <w:t>Ministria e Mbrojtjes, ministria përgjegjëse për punët e brendshme, ministria përgjegjëse për punët e jashtme, ministria përgjegjëse për shëndetësinë, ministria përgjegjëse për ekonominë, ministria përgjegjëse për inovacionin, ministria përgjegjëse për arsimin, ministria përgjegjëse për drejtësinë, ministria përgjegjëse për financat, ministria përgjegjëse për mjedisin, ministria përgjegjëse për infrastrukturën, ministria përgjegjëse për energjinë, ministria përgjegjëse për bujqësinë, Agjencia Kombëtare Bërthamore, Shërbimi Informativ i Shtetit dhe Autoriteti Shtetë</w:t>
      </w:r>
      <w:bookmarkStart w:id="0" w:name="_GoBack"/>
      <w:bookmarkEnd w:id="0"/>
      <w:r w:rsidR="006D6E9F" w:rsidRPr="00E61F26">
        <w:rPr>
          <w:lang w:val="sq-AL"/>
        </w:rPr>
        <w:t xml:space="preserve">ror për Informacionin </w:t>
      </w:r>
      <w:proofErr w:type="spellStart"/>
      <w:r w:rsidR="006D6E9F" w:rsidRPr="00E61F26">
        <w:rPr>
          <w:lang w:val="sq-AL"/>
        </w:rPr>
        <w:t>Gjeohapësinor</w:t>
      </w:r>
      <w:proofErr w:type="spellEnd"/>
      <w:r w:rsidR="00CF5465" w:rsidRPr="00E61F26">
        <w:rPr>
          <w:lang w:val="sq-AL"/>
        </w:rPr>
        <w:t>.</w:t>
      </w:r>
    </w:p>
    <w:p w:rsidR="00E61F26" w:rsidRPr="00E61F26" w:rsidRDefault="00E61F26" w:rsidP="00E61F26">
      <w:pPr>
        <w:pStyle w:val="Header"/>
        <w:spacing w:after="240" w:line="276" w:lineRule="auto"/>
        <w:jc w:val="both"/>
        <w:rPr>
          <w:sz w:val="2"/>
          <w:szCs w:val="2"/>
          <w:lang w:val="sq-AL"/>
        </w:rPr>
      </w:pPr>
    </w:p>
    <w:p w:rsidR="003E1358" w:rsidRPr="00E61F26" w:rsidRDefault="003E1358" w:rsidP="00E61F26">
      <w:pPr>
        <w:pStyle w:val="ColorfulList-Accent11"/>
        <w:numPr>
          <w:ilvl w:val="0"/>
          <w:numId w:val="1"/>
        </w:numPr>
        <w:tabs>
          <w:tab w:val="num" w:pos="720"/>
        </w:tabs>
        <w:spacing w:after="240"/>
        <w:ind w:left="0" w:firstLine="0"/>
        <w:jc w:val="both"/>
        <w:rPr>
          <w:rFonts w:ascii="Times New Roman" w:hAnsi="Times New Roman"/>
          <w:b/>
          <w:sz w:val="24"/>
          <w:szCs w:val="24"/>
        </w:rPr>
      </w:pPr>
      <w:r w:rsidRPr="00E61F26">
        <w:rPr>
          <w:rFonts w:ascii="Times New Roman" w:hAnsi="Times New Roman"/>
          <w:b/>
          <w:sz w:val="24"/>
          <w:szCs w:val="24"/>
        </w:rPr>
        <w:t>PERSONAT DHE INSTITUCIONET QË KANË KONTRIBUAR NË HARTIMIN E PROJEKTAKTIT</w:t>
      </w:r>
    </w:p>
    <w:p w:rsidR="00CF5465" w:rsidRPr="00E61F26" w:rsidRDefault="00CF5465" w:rsidP="00E61F26">
      <w:pPr>
        <w:spacing w:after="240" w:line="276" w:lineRule="auto"/>
        <w:jc w:val="both"/>
        <w:rPr>
          <w:lang w:val="sq-AL"/>
        </w:rPr>
      </w:pPr>
      <w:r w:rsidRPr="00E61F26">
        <w:rPr>
          <w:lang w:val="sq-AL"/>
        </w:rPr>
        <w:t xml:space="preserve">Me urdhër të Kryeministrit </w:t>
      </w:r>
      <w:r w:rsidRPr="00E61F26">
        <w:rPr>
          <w:bCs/>
          <w:lang w:val="sq-AL"/>
        </w:rPr>
        <w:t>nr.183, datë 17.09.2024</w:t>
      </w:r>
      <w:r w:rsidRPr="00E61F26">
        <w:rPr>
          <w:lang w:val="sq-AL"/>
        </w:rPr>
        <w:t xml:space="preserve">, është ngritur grupi i punës “Për hartimin e strategjisë kombëtare për mospërhapjen e armëve të dëmtimit në masë dhe planit të veprimit për zbatimin e saj”. </w:t>
      </w:r>
    </w:p>
    <w:p w:rsidR="00CF5465" w:rsidRPr="00E61F26" w:rsidRDefault="00CF5465" w:rsidP="00E61F26">
      <w:pPr>
        <w:spacing w:line="276" w:lineRule="auto"/>
        <w:ind w:right="20"/>
        <w:jc w:val="both"/>
        <w:rPr>
          <w:lang w:val="sq-AL"/>
        </w:rPr>
      </w:pPr>
      <w:r w:rsidRPr="00E61F26">
        <w:rPr>
          <w:bCs/>
          <w:lang w:val="sq-AL" w:eastAsia="x-none"/>
        </w:rPr>
        <w:t>Institucionet që kanë dhënë kontribut për hartimin e Strategjisë Kombëtare për Mospërhapjen e Armëve të Dëmtimit në Masë, bazuar në urdhrin e Kryeministrit janë:</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Ministria e Brendshme;</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Ministria për Evropën dhe Punët e Jashtme;</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 xml:space="preserve">Ministria e Bujqësisë dhe Zhvillimit Rural; </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Ministria e Shëndetësisë dhe Mbrojtjes Sociale;</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Ministria e Ekonomisë, Kulturës dhe Inovacionit;</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Ministria e Infrastrukturës dhe Energjisë;</w:t>
      </w:r>
      <w:r w:rsidRPr="00E61F26">
        <w:rPr>
          <w:rFonts w:ascii="Times New Roman" w:hAnsi="Times New Roman"/>
          <w:bCs/>
          <w:sz w:val="24"/>
          <w:szCs w:val="24"/>
          <w:lang w:eastAsia="x-none"/>
        </w:rPr>
        <w:tab/>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Ministria e Turizmit dhe Mjedisit;</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Ministria e Arsimit dhe Sportit;</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Ministria e Drejtësisë;</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Drejtoria e Përgjithshme e Doganave, pranë Ministrisë së Financave;</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Instituti i Fizikës Bërthamore, pranë Ministrisë së Arsimit dhe Sporteve;</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Agjencia Kombëtare Bërthamore;</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Agjencia e Inteligjencës Financiare;</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Autoriteti Shtetëror për Informacionin Gjeohapësinor;</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Shërbimi Informativ i Shtetit;</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t>Shtabi i Përgjithshëm i Forcave të Armatosura.</w:t>
      </w:r>
    </w:p>
    <w:p w:rsidR="006D6E9F" w:rsidRPr="00E61F26" w:rsidRDefault="006D6E9F" w:rsidP="00E61F26">
      <w:pPr>
        <w:pStyle w:val="ListParagraph"/>
        <w:numPr>
          <w:ilvl w:val="0"/>
          <w:numId w:val="3"/>
        </w:numPr>
        <w:spacing w:after="0"/>
        <w:jc w:val="both"/>
        <w:rPr>
          <w:rFonts w:ascii="Times New Roman" w:hAnsi="Times New Roman"/>
          <w:bCs/>
          <w:sz w:val="24"/>
          <w:szCs w:val="24"/>
          <w:lang w:eastAsia="x-none"/>
        </w:rPr>
      </w:pPr>
      <w:r w:rsidRPr="00E61F26">
        <w:rPr>
          <w:rFonts w:ascii="Times New Roman" w:hAnsi="Times New Roman"/>
          <w:bCs/>
          <w:sz w:val="24"/>
          <w:szCs w:val="24"/>
          <w:lang w:eastAsia="x-none"/>
        </w:rPr>
        <w:lastRenderedPageBreak/>
        <w:t>Drejtoria e Përgjithshme e Policisë së Shtetit;</w:t>
      </w:r>
    </w:p>
    <w:p w:rsidR="006D6E9F" w:rsidRPr="00E61F26" w:rsidRDefault="006D6E9F" w:rsidP="00E61F26">
      <w:pPr>
        <w:spacing w:line="276" w:lineRule="auto"/>
        <w:jc w:val="both"/>
        <w:rPr>
          <w:lang w:val="sq-AL"/>
        </w:rPr>
      </w:pPr>
    </w:p>
    <w:p w:rsidR="006D6E9F" w:rsidRDefault="003E1358" w:rsidP="00E61F26">
      <w:pPr>
        <w:spacing w:after="240" w:line="276" w:lineRule="auto"/>
        <w:jc w:val="both"/>
        <w:rPr>
          <w:lang w:val="sq-AL"/>
        </w:rPr>
      </w:pPr>
      <w:r w:rsidRPr="00E61F26">
        <w:rPr>
          <w:lang w:val="sq-AL"/>
        </w:rPr>
        <w:t xml:space="preserve">Me qëllim vijimin e procedurave, </w:t>
      </w:r>
      <w:r w:rsidR="00CF5465" w:rsidRPr="00E61F26">
        <w:rPr>
          <w:lang w:val="sq-AL"/>
        </w:rPr>
        <w:t>projektvendimi</w:t>
      </w:r>
      <w:r w:rsidRPr="00E61F26">
        <w:rPr>
          <w:lang w:val="sq-AL"/>
        </w:rPr>
        <w:t xml:space="preserve"> do të dërgohet për </w:t>
      </w:r>
      <w:r w:rsidR="00CF5465" w:rsidRPr="00E61F26">
        <w:rPr>
          <w:lang w:val="sq-AL"/>
        </w:rPr>
        <w:t>mendim te</w:t>
      </w:r>
      <w:r w:rsidR="00DB4734" w:rsidRPr="00E61F26">
        <w:rPr>
          <w:lang w:val="sq-AL"/>
        </w:rPr>
        <w:t xml:space="preserve"> të gjithë institucionet e lart</w:t>
      </w:r>
      <w:r w:rsidR="006D6E9F" w:rsidRPr="00E61F26">
        <w:rPr>
          <w:lang w:val="sq-AL"/>
        </w:rPr>
        <w:t xml:space="preserve">përmendur </w:t>
      </w:r>
      <w:r w:rsidR="00CF5465" w:rsidRPr="00E61F26">
        <w:rPr>
          <w:lang w:val="sq-AL"/>
        </w:rPr>
        <w:t>dhe te Ministria e Financave.</w:t>
      </w:r>
    </w:p>
    <w:p w:rsidR="00E61F26" w:rsidRPr="00E61F26" w:rsidRDefault="00E61F26" w:rsidP="00E61F26">
      <w:pPr>
        <w:spacing w:after="240" w:line="276" w:lineRule="auto"/>
        <w:jc w:val="both"/>
        <w:rPr>
          <w:sz w:val="2"/>
          <w:szCs w:val="2"/>
          <w:lang w:val="sq-AL"/>
        </w:rPr>
      </w:pPr>
    </w:p>
    <w:p w:rsidR="003E1358" w:rsidRPr="00E61F26" w:rsidRDefault="003E1358" w:rsidP="00E61F26">
      <w:pPr>
        <w:pStyle w:val="ColorfulList-Accent11"/>
        <w:numPr>
          <w:ilvl w:val="0"/>
          <w:numId w:val="1"/>
        </w:numPr>
        <w:tabs>
          <w:tab w:val="num" w:pos="540"/>
        </w:tabs>
        <w:spacing w:after="240"/>
        <w:ind w:left="0" w:firstLine="0"/>
        <w:jc w:val="both"/>
        <w:rPr>
          <w:rFonts w:ascii="Times New Roman" w:eastAsia="Times New Roman" w:hAnsi="Times New Roman"/>
          <w:b/>
          <w:sz w:val="24"/>
          <w:szCs w:val="24"/>
        </w:rPr>
      </w:pPr>
      <w:r w:rsidRPr="00E61F26">
        <w:rPr>
          <w:rFonts w:ascii="Times New Roman" w:eastAsia="Times New Roman" w:hAnsi="Times New Roman"/>
          <w:b/>
          <w:sz w:val="24"/>
          <w:szCs w:val="24"/>
        </w:rPr>
        <w:t xml:space="preserve">RAPORTI I VLERËSIMIT TË TË ARDHURAVE DHE SHPENZIMEVE </w:t>
      </w:r>
    </w:p>
    <w:p w:rsidR="003E1358" w:rsidRPr="00E61F26" w:rsidRDefault="003E1358" w:rsidP="00E61F26">
      <w:pPr>
        <w:pStyle w:val="ColorfulList-Accent11"/>
        <w:spacing w:after="240"/>
        <w:ind w:left="0"/>
        <w:jc w:val="both"/>
        <w:rPr>
          <w:rFonts w:ascii="Times New Roman" w:eastAsia="Times New Roman" w:hAnsi="Times New Roman"/>
          <w:b/>
          <w:sz w:val="24"/>
          <w:szCs w:val="24"/>
        </w:rPr>
      </w:pPr>
      <w:r w:rsidRPr="00E61F26">
        <w:rPr>
          <w:rFonts w:ascii="Times New Roman" w:eastAsia="Times New Roman" w:hAnsi="Times New Roman"/>
          <w:b/>
          <w:sz w:val="24"/>
          <w:szCs w:val="24"/>
        </w:rPr>
        <w:t>BUXHETORE</w:t>
      </w:r>
    </w:p>
    <w:p w:rsidR="003E1358" w:rsidRPr="00E61F26" w:rsidRDefault="002B0DE6" w:rsidP="00E61F26">
      <w:pPr>
        <w:widowControl w:val="0"/>
        <w:autoSpaceDE w:val="0"/>
        <w:autoSpaceDN w:val="0"/>
        <w:spacing w:line="276" w:lineRule="auto"/>
        <w:ind w:left="-180"/>
        <w:jc w:val="both"/>
        <w:rPr>
          <w:color w:val="000000" w:themeColor="text1"/>
          <w:lang w:val="sq-AL"/>
        </w:rPr>
      </w:pPr>
      <w:r w:rsidRPr="00E61F26">
        <w:rPr>
          <w:lang w:val="sq-AL"/>
        </w:rPr>
        <w:t>Efektet</w:t>
      </w:r>
      <w:r w:rsidR="00CF5465" w:rsidRPr="00E61F26">
        <w:rPr>
          <w:lang w:val="sq-AL"/>
        </w:rPr>
        <w:t xml:space="preserve"> financiare </w:t>
      </w:r>
      <w:r w:rsidRPr="00E61F26">
        <w:rPr>
          <w:lang w:val="sq-AL"/>
        </w:rPr>
        <w:t>t</w:t>
      </w:r>
      <w:r w:rsidR="00DB4734" w:rsidRPr="00E61F26">
        <w:rPr>
          <w:lang w:val="sq-AL"/>
        </w:rPr>
        <w:t>ë</w:t>
      </w:r>
      <w:r w:rsidRPr="00E61F26">
        <w:rPr>
          <w:lang w:val="sq-AL"/>
        </w:rPr>
        <w:t xml:space="preserve"> k</w:t>
      </w:r>
      <w:r w:rsidR="00DB4734" w:rsidRPr="00E61F26">
        <w:rPr>
          <w:lang w:val="sq-AL"/>
        </w:rPr>
        <w:t>ë</w:t>
      </w:r>
      <w:r w:rsidRPr="00E61F26">
        <w:rPr>
          <w:lang w:val="sq-AL"/>
        </w:rPr>
        <w:t>tij projektvendimi p</w:t>
      </w:r>
      <w:r w:rsidR="00DB4734" w:rsidRPr="00E61F26">
        <w:rPr>
          <w:lang w:val="sq-AL"/>
        </w:rPr>
        <w:t>ë</w:t>
      </w:r>
      <w:r w:rsidRPr="00E61F26">
        <w:rPr>
          <w:lang w:val="sq-AL"/>
        </w:rPr>
        <w:t>raf</w:t>
      </w:r>
      <w:r w:rsidR="00DB4734" w:rsidRPr="00E61F26">
        <w:rPr>
          <w:lang w:val="sq-AL"/>
        </w:rPr>
        <w:t>ë</w:t>
      </w:r>
      <w:r w:rsidRPr="00E61F26">
        <w:rPr>
          <w:lang w:val="sq-AL"/>
        </w:rPr>
        <w:t>rsisht parashikohen n</w:t>
      </w:r>
      <w:r w:rsidR="00DB4734" w:rsidRPr="00E61F26">
        <w:rPr>
          <w:lang w:val="sq-AL"/>
        </w:rPr>
        <w:t>ë</w:t>
      </w:r>
      <w:r w:rsidRPr="00E61F26">
        <w:rPr>
          <w:lang w:val="sq-AL"/>
        </w:rPr>
        <w:t xml:space="preserve"> vler</w:t>
      </w:r>
      <w:r w:rsidR="00DB4734" w:rsidRPr="00E61F26">
        <w:rPr>
          <w:lang w:val="sq-AL"/>
        </w:rPr>
        <w:t>ën 12,000,000 lekë, sipas tabelës</w:t>
      </w:r>
      <w:r w:rsidRPr="00E61F26">
        <w:rPr>
          <w:lang w:val="sq-AL"/>
        </w:rPr>
        <w:t xml:space="preserve"> bashk</w:t>
      </w:r>
      <w:r w:rsidR="00DB4734" w:rsidRPr="00E61F26">
        <w:rPr>
          <w:lang w:val="sq-AL"/>
        </w:rPr>
        <w:t>ë</w:t>
      </w:r>
      <w:r w:rsidRPr="00E61F26">
        <w:rPr>
          <w:lang w:val="sq-AL"/>
        </w:rPr>
        <w:t>lidhur.</w:t>
      </w:r>
    </w:p>
    <w:p w:rsidR="006D6E9F" w:rsidRPr="00E61F26" w:rsidRDefault="006D6E9F" w:rsidP="00E61F26">
      <w:pPr>
        <w:spacing w:line="276" w:lineRule="auto"/>
        <w:ind w:left="5850"/>
        <w:jc w:val="center"/>
        <w:rPr>
          <w:b/>
          <w:bCs/>
          <w:lang w:val="sq-AL"/>
        </w:rPr>
      </w:pPr>
    </w:p>
    <w:p w:rsidR="00BB27B8" w:rsidRPr="00E61F26" w:rsidRDefault="00BB27B8" w:rsidP="00E61F26">
      <w:pPr>
        <w:spacing w:line="276" w:lineRule="auto"/>
        <w:ind w:left="5850"/>
        <w:jc w:val="center"/>
        <w:rPr>
          <w:b/>
          <w:bCs/>
          <w:lang w:val="sq-AL"/>
        </w:rPr>
      </w:pPr>
    </w:p>
    <w:p w:rsidR="003E1358" w:rsidRPr="00E61F26" w:rsidRDefault="003E1358" w:rsidP="00E61F26">
      <w:pPr>
        <w:spacing w:line="276" w:lineRule="auto"/>
        <w:ind w:left="5850"/>
        <w:jc w:val="center"/>
        <w:rPr>
          <w:b/>
          <w:bCs/>
          <w:lang w:val="sq-AL"/>
        </w:rPr>
      </w:pPr>
      <w:r w:rsidRPr="00E61F26">
        <w:rPr>
          <w:b/>
          <w:bCs/>
          <w:lang w:val="sq-AL"/>
        </w:rPr>
        <w:t>MINISTRI I MBROJTJES</w:t>
      </w:r>
    </w:p>
    <w:p w:rsidR="00E61F26" w:rsidRDefault="00E61F26" w:rsidP="00E61F26">
      <w:pPr>
        <w:spacing w:line="276" w:lineRule="auto"/>
        <w:ind w:left="5850"/>
        <w:jc w:val="center"/>
        <w:rPr>
          <w:b/>
          <w:lang w:val="sq-AL"/>
        </w:rPr>
      </w:pPr>
    </w:p>
    <w:p w:rsidR="003E1358" w:rsidRPr="00E61F26" w:rsidRDefault="002B0DE6" w:rsidP="00E61F26">
      <w:pPr>
        <w:spacing w:line="276" w:lineRule="auto"/>
        <w:ind w:left="5850"/>
        <w:jc w:val="center"/>
        <w:rPr>
          <w:b/>
          <w:lang w:val="sq-AL"/>
        </w:rPr>
      </w:pPr>
      <w:r w:rsidRPr="00E61F26">
        <w:rPr>
          <w:b/>
          <w:lang w:val="sq-AL"/>
        </w:rPr>
        <w:t xml:space="preserve">Pirro </w:t>
      </w:r>
      <w:proofErr w:type="spellStart"/>
      <w:r w:rsidRPr="00E61F26">
        <w:rPr>
          <w:b/>
          <w:lang w:val="sq-AL"/>
        </w:rPr>
        <w:t>Vengu</w:t>
      </w:r>
      <w:proofErr w:type="spellEnd"/>
    </w:p>
    <w:sectPr w:rsidR="003E1358" w:rsidRPr="00E61F26" w:rsidSect="00E61F26">
      <w:footerReference w:type="default" r:id="rId7"/>
      <w:pgSz w:w="12240" w:h="15840"/>
      <w:pgMar w:top="1296" w:right="1440" w:bottom="1080"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559" w:rsidRDefault="00A50559" w:rsidP="003E1358">
      <w:r>
        <w:separator/>
      </w:r>
    </w:p>
  </w:endnote>
  <w:endnote w:type="continuationSeparator" w:id="0">
    <w:p w:rsidR="00A50559" w:rsidRDefault="00A50559" w:rsidP="003E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58" w:rsidRPr="003E1358" w:rsidRDefault="009B27D3" w:rsidP="003E1358">
    <w:pPr>
      <w:pStyle w:val="Footer"/>
      <w:pBdr>
        <w:top w:val="thinThickSmallGap" w:sz="24" w:space="1" w:color="622423"/>
      </w:pBdr>
      <w:tabs>
        <w:tab w:val="clear" w:pos="4680"/>
        <w:tab w:val="clear" w:pos="9360"/>
        <w:tab w:val="right" w:pos="9000"/>
      </w:tabs>
      <w:jc w:val="both"/>
      <w:rPr>
        <w:spacing w:val="-2"/>
        <w:sz w:val="22"/>
        <w:szCs w:val="20"/>
        <w:lang w:val="sq-AL"/>
      </w:rPr>
    </w:pPr>
    <w:r w:rsidRPr="003E1358">
      <w:rPr>
        <w:sz w:val="22"/>
        <w:szCs w:val="20"/>
        <w:lang w:val="sq-AL"/>
      </w:rPr>
      <w:t xml:space="preserve">Relacion shpjegues për projektvendimin </w:t>
    </w:r>
    <w:r w:rsidR="003E1358" w:rsidRPr="003E1358">
      <w:rPr>
        <w:spacing w:val="-2"/>
        <w:sz w:val="22"/>
        <w:szCs w:val="20"/>
        <w:lang w:val="sq-AL"/>
      </w:rPr>
      <w:t>“Për miratimin e Strategjisë Kombëtare për Mospërhapjen e Armëve të Dëmtimit në Masë dhe të planit të veprimit për zbatimin e saj”.</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559" w:rsidRDefault="00A50559" w:rsidP="003E1358">
      <w:r>
        <w:separator/>
      </w:r>
    </w:p>
  </w:footnote>
  <w:footnote w:type="continuationSeparator" w:id="0">
    <w:p w:rsidR="00A50559" w:rsidRDefault="00A50559" w:rsidP="003E13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A5545"/>
    <w:multiLevelType w:val="hybridMultilevel"/>
    <w:tmpl w:val="DFE026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599F7AC7"/>
    <w:multiLevelType w:val="hybridMultilevel"/>
    <w:tmpl w:val="906A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E150E"/>
    <w:multiLevelType w:val="hybridMultilevel"/>
    <w:tmpl w:val="607005E8"/>
    <w:lvl w:ilvl="0" w:tplc="4400384E">
      <w:start w:val="1"/>
      <w:numFmt w:val="upperRoman"/>
      <w:lvlText w:val="%1."/>
      <w:lvlJc w:val="left"/>
      <w:pPr>
        <w:tabs>
          <w:tab w:val="num" w:pos="1260"/>
        </w:tabs>
        <w:ind w:left="126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40"/>
    <w:rsid w:val="001D2323"/>
    <w:rsid w:val="002B0DE6"/>
    <w:rsid w:val="002D2CE6"/>
    <w:rsid w:val="00312B40"/>
    <w:rsid w:val="003E1358"/>
    <w:rsid w:val="00476C44"/>
    <w:rsid w:val="006D6E9F"/>
    <w:rsid w:val="00802842"/>
    <w:rsid w:val="00803F56"/>
    <w:rsid w:val="008734DF"/>
    <w:rsid w:val="009B27D3"/>
    <w:rsid w:val="00A14E11"/>
    <w:rsid w:val="00A50559"/>
    <w:rsid w:val="00B8139C"/>
    <w:rsid w:val="00BB27B8"/>
    <w:rsid w:val="00C832F3"/>
    <w:rsid w:val="00CF5465"/>
    <w:rsid w:val="00DB4734"/>
    <w:rsid w:val="00E61F26"/>
    <w:rsid w:val="00F8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5D3CF"/>
  <w15:chartTrackingRefBased/>
  <w15:docId w15:val="{FF3A1A0F-3FD3-4F0D-BB19-926AE2CA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3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358"/>
    <w:pPr>
      <w:spacing w:after="0" w:line="240" w:lineRule="auto"/>
    </w:pPr>
    <w:rPr>
      <w:rFonts w:ascii="Calibri" w:eastAsia="Calibri" w:hAnsi="Calibri" w:cs="Times New Roman"/>
      <w:lang w:val="sq-AL"/>
    </w:rPr>
  </w:style>
  <w:style w:type="paragraph" w:styleId="ListParagraph">
    <w:name w:val="List Paragraph"/>
    <w:basedOn w:val="Normal"/>
    <w:uiPriority w:val="34"/>
    <w:qFormat/>
    <w:rsid w:val="003E1358"/>
    <w:pPr>
      <w:spacing w:after="200" w:line="276" w:lineRule="auto"/>
      <w:ind w:left="720"/>
    </w:pPr>
    <w:rPr>
      <w:rFonts w:ascii="Calibri" w:eastAsia="Calibri" w:hAnsi="Calibri"/>
      <w:sz w:val="22"/>
      <w:szCs w:val="22"/>
      <w:lang w:val="sq-AL"/>
    </w:rPr>
  </w:style>
  <w:style w:type="paragraph" w:customStyle="1" w:styleId="ColorfulList-Accent11">
    <w:name w:val="Colorful List - Accent 11"/>
    <w:basedOn w:val="Normal"/>
    <w:uiPriority w:val="34"/>
    <w:qFormat/>
    <w:rsid w:val="003E1358"/>
    <w:pPr>
      <w:spacing w:after="200" w:line="276" w:lineRule="auto"/>
      <w:ind w:left="720"/>
      <w:contextualSpacing/>
    </w:pPr>
    <w:rPr>
      <w:rFonts w:ascii="Calibri" w:eastAsia="Calibri" w:hAnsi="Calibri"/>
      <w:sz w:val="22"/>
      <w:szCs w:val="22"/>
      <w:lang w:val="sq-AL"/>
    </w:rPr>
  </w:style>
  <w:style w:type="paragraph" w:customStyle="1" w:styleId="Normal0">
    <w:name w:val="[Normal]"/>
    <w:rsid w:val="003E1358"/>
    <w:pPr>
      <w:autoSpaceDE w:val="0"/>
      <w:autoSpaceDN w:val="0"/>
      <w:adjustRightInd w:val="0"/>
      <w:spacing w:after="0" w:line="240" w:lineRule="auto"/>
    </w:pPr>
    <w:rPr>
      <w:rFonts w:ascii="Arial" w:eastAsia="Times New Roman" w:hAnsi="Arial" w:cs="Arial"/>
      <w:sz w:val="24"/>
      <w:szCs w:val="24"/>
      <w:lang w:val="sq-AL"/>
    </w:rPr>
  </w:style>
  <w:style w:type="character" w:styleId="Strong">
    <w:name w:val="Strong"/>
    <w:basedOn w:val="DefaultParagraphFont"/>
    <w:uiPriority w:val="22"/>
    <w:qFormat/>
    <w:rsid w:val="003E1358"/>
    <w:rPr>
      <w:b/>
      <w:bCs/>
    </w:rPr>
  </w:style>
  <w:style w:type="paragraph" w:styleId="Footer">
    <w:name w:val="footer"/>
    <w:basedOn w:val="Normal"/>
    <w:link w:val="FooterChar"/>
    <w:uiPriority w:val="99"/>
    <w:unhideWhenUsed/>
    <w:rsid w:val="003E1358"/>
    <w:pPr>
      <w:tabs>
        <w:tab w:val="center" w:pos="4680"/>
        <w:tab w:val="right" w:pos="9360"/>
      </w:tabs>
    </w:pPr>
  </w:style>
  <w:style w:type="character" w:customStyle="1" w:styleId="FooterChar">
    <w:name w:val="Footer Char"/>
    <w:basedOn w:val="DefaultParagraphFont"/>
    <w:link w:val="Footer"/>
    <w:uiPriority w:val="99"/>
    <w:rsid w:val="003E135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1358"/>
    <w:pPr>
      <w:tabs>
        <w:tab w:val="center" w:pos="4680"/>
        <w:tab w:val="right" w:pos="9360"/>
      </w:tabs>
    </w:pPr>
  </w:style>
  <w:style w:type="character" w:customStyle="1" w:styleId="HeaderChar">
    <w:name w:val="Header Char"/>
    <w:basedOn w:val="DefaultParagraphFont"/>
    <w:link w:val="Header"/>
    <w:uiPriority w:val="99"/>
    <w:rsid w:val="003E13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Sp1 Sektori Komunikim Strategjik Mbrojtje</dc:creator>
  <cp:keywords/>
  <dc:description/>
  <cp:lastModifiedBy>Sp1 Programim Hartim Harmonizim Akte Rregullatore</cp:lastModifiedBy>
  <cp:revision>10</cp:revision>
  <dcterms:created xsi:type="dcterms:W3CDTF">2025-04-04T09:04:00Z</dcterms:created>
  <dcterms:modified xsi:type="dcterms:W3CDTF">2025-04-10T07:17:00Z</dcterms:modified>
</cp:coreProperties>
</file>