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FDC9" w14:textId="77777777" w:rsidR="005B6D2B" w:rsidRPr="00B024CA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B024CA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14:paraId="538AB87F" w14:textId="77777777" w:rsidR="005B6D2B" w:rsidRPr="00B024CA" w:rsidRDefault="005B6D2B" w:rsidP="005B6D2B">
      <w:pPr>
        <w:rPr>
          <w:rFonts w:ascii="Times New Roman" w:hAnsi="Times New Roman"/>
          <w:sz w:val="24"/>
          <w:szCs w:val="24"/>
          <w:lang w:val="sq-AL"/>
        </w:rPr>
      </w:pPr>
    </w:p>
    <w:p w14:paraId="0BD4CDFC" w14:textId="57E5A6AE" w:rsidR="009F3D7C" w:rsidRPr="00881E2B" w:rsidRDefault="005B6D2B" w:rsidP="006321EC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81E2B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  <w:r w:rsidR="009F3D7C" w:rsidRPr="00881E2B">
        <w:rPr>
          <w:rFonts w:ascii="Times New Roman" w:hAnsi="Times New Roman"/>
          <w:b/>
          <w:bCs/>
          <w:sz w:val="24"/>
          <w:szCs w:val="24"/>
          <w:lang w:val="sq-AL"/>
        </w:rPr>
        <w:t>:</w:t>
      </w:r>
    </w:p>
    <w:p w14:paraId="1ED369CF" w14:textId="0509DFD4" w:rsidR="00EF3780" w:rsidRPr="00881E2B" w:rsidRDefault="00EF3780" w:rsidP="00EF3780">
      <w:pPr>
        <w:pStyle w:val="BodyText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1E2B">
        <w:rPr>
          <w:rFonts w:ascii="Times New Roman" w:hAnsi="Times New Roman"/>
          <w:sz w:val="24"/>
          <w:szCs w:val="24"/>
        </w:rPr>
        <w:t>Projektligji</w:t>
      </w:r>
      <w:proofErr w:type="spellEnd"/>
      <w:r w:rsidRPr="00881E2B">
        <w:rPr>
          <w:rFonts w:ascii="Times New Roman" w:hAnsi="Times New Roman"/>
          <w:sz w:val="24"/>
          <w:szCs w:val="24"/>
        </w:rPr>
        <w:t xml:space="preserve"> </w:t>
      </w:r>
      <w:r w:rsidRPr="00881E2B">
        <w:rPr>
          <w:rFonts w:ascii="Times New Roman" w:hAnsi="Times New Roman"/>
          <w:sz w:val="24"/>
          <w:szCs w:val="24"/>
          <w:lang w:val="sq-AL"/>
        </w:rPr>
        <w:t>“Për disa ndryshime dhe shtesa në ligjin nr. 102/2014 “Kodi Doganor i Republikës së Shqipërisë” i ndryshuar”</w:t>
      </w:r>
      <w:r w:rsidR="00C341D5">
        <w:rPr>
          <w:rFonts w:ascii="Times New Roman" w:hAnsi="Times New Roman"/>
          <w:sz w:val="24"/>
          <w:szCs w:val="24"/>
          <w:lang w:val="sq-AL"/>
        </w:rPr>
        <w:t>.</w:t>
      </w:r>
    </w:p>
    <w:p w14:paraId="3445D39F" w14:textId="77777777" w:rsidR="00A121AB" w:rsidRDefault="00A121AB" w:rsidP="00A121AB">
      <w:pPr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5D45951" w14:textId="77777777" w:rsidR="009F3D7C" w:rsidRPr="00B024CA" w:rsidRDefault="009F3D7C" w:rsidP="00A121AB">
      <w:pPr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E738178" w14:textId="77777777" w:rsidR="005B6D2B" w:rsidRPr="00881E2B" w:rsidRDefault="005B6D2B" w:rsidP="006321EC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</w:pPr>
      <w:r w:rsidRPr="00881E2B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  <w:r w:rsidR="009F3D7C" w:rsidRPr="00881E2B">
        <w:rPr>
          <w:rFonts w:ascii="Times New Roman" w:hAnsi="Times New Roman"/>
          <w:b/>
          <w:bCs/>
          <w:sz w:val="24"/>
          <w:szCs w:val="24"/>
          <w:lang w:val="sq-AL"/>
        </w:rPr>
        <w:t>:</w:t>
      </w:r>
    </w:p>
    <w:p w14:paraId="4823CF54" w14:textId="04E27762" w:rsidR="005B6D2B" w:rsidRPr="00881E2B" w:rsidRDefault="009F3D7C" w:rsidP="005B6D2B">
      <w:pPr>
        <w:ind w:left="360"/>
        <w:jc w:val="both"/>
        <w:rPr>
          <w:rFonts w:ascii="Times New Roman" w:hAnsi="Times New Roman"/>
          <w:bCs/>
          <w:i/>
          <w:iCs/>
          <w:sz w:val="24"/>
          <w:szCs w:val="24"/>
          <w:lang w:val="sq-AL"/>
        </w:rPr>
      </w:pPr>
      <w:r w:rsidRPr="00881E2B">
        <w:rPr>
          <w:rFonts w:ascii="Times New Roman" w:hAnsi="Times New Roman"/>
          <w:bCs/>
          <w:sz w:val="24"/>
          <w:szCs w:val="24"/>
          <w:lang w:val="sq-AL"/>
        </w:rPr>
        <w:t>Nga data</w:t>
      </w:r>
      <w:r w:rsidRPr="00881E2B">
        <w:rPr>
          <w:rFonts w:ascii="Times New Roman" w:hAnsi="Times New Roman"/>
          <w:bCs/>
          <w:i/>
          <w:iCs/>
          <w:sz w:val="24"/>
          <w:szCs w:val="24"/>
          <w:lang w:val="sq-AL"/>
        </w:rPr>
        <w:t xml:space="preserve"> </w:t>
      </w:r>
      <w:r w:rsidR="00EF3780" w:rsidRPr="00881E2B">
        <w:rPr>
          <w:rFonts w:ascii="Times New Roman" w:hAnsi="Times New Roman"/>
          <w:bCs/>
          <w:sz w:val="24"/>
          <w:szCs w:val="24"/>
        </w:rPr>
        <w:t xml:space="preserve">15.04.2025 </w:t>
      </w:r>
      <w:proofErr w:type="spellStart"/>
      <w:r w:rsidR="00EF3780" w:rsidRPr="00881E2B">
        <w:rPr>
          <w:rFonts w:ascii="Times New Roman" w:hAnsi="Times New Roman"/>
          <w:bCs/>
          <w:sz w:val="24"/>
          <w:szCs w:val="24"/>
        </w:rPr>
        <w:t>deri</w:t>
      </w:r>
      <w:proofErr w:type="spellEnd"/>
      <w:r w:rsidR="00EF3780" w:rsidRPr="00881E2B">
        <w:rPr>
          <w:rFonts w:ascii="Times New Roman" w:hAnsi="Times New Roman"/>
          <w:bCs/>
          <w:sz w:val="24"/>
          <w:szCs w:val="24"/>
        </w:rPr>
        <w:t xml:space="preserve"> me 13.05.2025</w:t>
      </w:r>
      <w:r w:rsidR="00C341D5">
        <w:rPr>
          <w:rFonts w:ascii="Times New Roman" w:hAnsi="Times New Roman"/>
          <w:bCs/>
          <w:sz w:val="24"/>
          <w:szCs w:val="24"/>
        </w:rPr>
        <w:t>.</w:t>
      </w:r>
    </w:p>
    <w:p w14:paraId="20D5A06F" w14:textId="77777777" w:rsidR="005B6D2B" w:rsidRPr="00B024CA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E7890C6" w14:textId="77777777" w:rsidR="007755F2" w:rsidRPr="00B024CA" w:rsidRDefault="007755F2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256DC97" w14:textId="77777777" w:rsidR="005B6D2B" w:rsidRDefault="005B6D2B" w:rsidP="006321EC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81E2B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  <w:r w:rsidR="009F3D7C" w:rsidRPr="00881E2B">
        <w:rPr>
          <w:rFonts w:ascii="Times New Roman" w:hAnsi="Times New Roman"/>
          <w:b/>
          <w:bCs/>
          <w:sz w:val="24"/>
          <w:szCs w:val="24"/>
          <w:lang w:val="sq-AL"/>
        </w:rPr>
        <w:t>:</w:t>
      </w:r>
    </w:p>
    <w:p w14:paraId="4AC73915" w14:textId="77777777" w:rsidR="006321EC" w:rsidRPr="00881E2B" w:rsidRDefault="006321EC" w:rsidP="006321EC">
      <w:pPr>
        <w:pStyle w:val="ListParagraph"/>
        <w:ind w:left="-1800" w:firstLine="0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8F70F79" w14:textId="726CC328" w:rsidR="00881E2B" w:rsidRPr="00881E2B" w:rsidRDefault="009F3D7C" w:rsidP="00881E2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iCs/>
          <w:sz w:val="24"/>
          <w:szCs w:val="24"/>
          <w:lang w:val="sq-AL"/>
        </w:rPr>
      </w:pPr>
      <w:r w:rsidRPr="00881E2B">
        <w:rPr>
          <w:rFonts w:ascii="Times New Roman" w:hAnsi="Times New Roman"/>
          <w:bCs/>
          <w:iCs/>
          <w:sz w:val="24"/>
          <w:szCs w:val="24"/>
          <w:lang w:val="sq-AL"/>
        </w:rPr>
        <w:t>Me postë elektronike</w:t>
      </w:r>
      <w:r w:rsidR="00B3768F" w:rsidRPr="00881E2B">
        <w:rPr>
          <w:rFonts w:ascii="Times New Roman" w:hAnsi="Times New Roman"/>
          <w:bCs/>
          <w:iCs/>
          <w:sz w:val="24"/>
          <w:szCs w:val="24"/>
          <w:lang w:val="sq-AL"/>
        </w:rPr>
        <w:t xml:space="preserve"> </w:t>
      </w:r>
      <w:r w:rsidR="00881E2B">
        <w:rPr>
          <w:rFonts w:ascii="Times New Roman" w:hAnsi="Times New Roman"/>
          <w:bCs/>
          <w:iCs/>
          <w:sz w:val="24"/>
          <w:szCs w:val="24"/>
          <w:lang w:val="sq-AL"/>
        </w:rPr>
        <w:t>në</w:t>
      </w:r>
      <w:r w:rsidR="00B3768F" w:rsidRPr="00881E2B">
        <w:rPr>
          <w:rFonts w:ascii="Times New Roman" w:hAnsi="Times New Roman"/>
          <w:bCs/>
          <w:iCs/>
          <w:sz w:val="24"/>
          <w:szCs w:val="24"/>
          <w:lang w:val="sq-AL"/>
        </w:rPr>
        <w:t xml:space="preserve"> adres</w:t>
      </w:r>
      <w:r w:rsidR="00881E2B">
        <w:rPr>
          <w:rFonts w:ascii="Times New Roman" w:hAnsi="Times New Roman"/>
          <w:bCs/>
          <w:iCs/>
          <w:sz w:val="24"/>
          <w:szCs w:val="24"/>
          <w:lang w:val="sq-AL"/>
        </w:rPr>
        <w:t>ën</w:t>
      </w:r>
      <w:r w:rsidR="00B3768F" w:rsidRPr="00881E2B">
        <w:rPr>
          <w:rFonts w:ascii="Times New Roman" w:hAnsi="Times New Roman"/>
          <w:bCs/>
          <w:iCs/>
          <w:sz w:val="24"/>
          <w:szCs w:val="24"/>
          <w:lang w:val="sq-AL"/>
        </w:rPr>
        <w:t xml:space="preserve"> e emailit</w:t>
      </w:r>
      <w:r w:rsidR="00881E2B" w:rsidRPr="00881E2B">
        <w:rPr>
          <w:rFonts w:ascii="Times New Roman" w:hAnsi="Times New Roman"/>
          <w:bCs/>
          <w:iCs/>
          <w:sz w:val="24"/>
          <w:szCs w:val="24"/>
          <w:lang w:val="sq-AL"/>
        </w:rPr>
        <w:t xml:space="preserve"> të</w:t>
      </w:r>
      <w:r w:rsidR="0010408A" w:rsidRPr="00881E2B">
        <w:rPr>
          <w:rFonts w:ascii="Times New Roman" w:hAnsi="Times New Roman"/>
          <w:bCs/>
          <w:iCs/>
          <w:sz w:val="24"/>
          <w:szCs w:val="24"/>
          <w:lang w:val="sq-AL"/>
        </w:rPr>
        <w:t xml:space="preserve"> </w:t>
      </w:r>
      <w:hyperlink r:id="rId5" w:history="1">
        <w:r w:rsidR="00881E2B" w:rsidRPr="00881E2B">
          <w:rPr>
            <w:rStyle w:val="Hyperlink"/>
            <w:rFonts w:ascii="Times New Roman" w:hAnsi="Times New Roman"/>
            <w:bCs/>
            <w:iCs/>
            <w:sz w:val="24"/>
            <w:szCs w:val="24"/>
          </w:rPr>
          <w:t>Arvid.Uruci@financa.gov.al</w:t>
        </w:r>
      </w:hyperlink>
      <w:r w:rsidR="00881E2B" w:rsidRPr="00881E2B">
        <w:rPr>
          <w:rFonts w:ascii="Times New Roman" w:hAnsi="Times New Roman"/>
          <w:bCs/>
          <w:iCs/>
          <w:sz w:val="24"/>
          <w:szCs w:val="24"/>
        </w:rPr>
        <w:t>;</w:t>
      </w:r>
    </w:p>
    <w:p w14:paraId="01D7799B" w14:textId="51BF8F77" w:rsidR="00741C60" w:rsidRPr="00881E2B" w:rsidRDefault="00B3768F" w:rsidP="00881E2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iCs/>
          <w:sz w:val="24"/>
          <w:szCs w:val="24"/>
          <w:lang w:val="sq-AL"/>
        </w:rPr>
      </w:pPr>
      <w:r w:rsidRPr="00881E2B">
        <w:rPr>
          <w:rFonts w:ascii="Times New Roman" w:hAnsi="Times New Roman"/>
          <w:bCs/>
          <w:iCs/>
          <w:sz w:val="24"/>
          <w:szCs w:val="24"/>
          <w:lang w:val="sq-AL"/>
        </w:rPr>
        <w:t xml:space="preserve"> </w:t>
      </w:r>
      <w:r w:rsidR="00881E2B" w:rsidRPr="00881E2B">
        <w:rPr>
          <w:rFonts w:ascii="Times New Roman" w:hAnsi="Times New Roman"/>
          <w:bCs/>
          <w:iCs/>
          <w:sz w:val="24"/>
          <w:szCs w:val="24"/>
          <w:lang w:val="sq-AL"/>
        </w:rPr>
        <w:t>N</w:t>
      </w:r>
      <w:r w:rsidR="00881E2B">
        <w:rPr>
          <w:rFonts w:ascii="Times New Roman" w:hAnsi="Times New Roman"/>
          <w:bCs/>
          <w:iCs/>
          <w:sz w:val="24"/>
          <w:szCs w:val="24"/>
          <w:lang w:val="sq-AL"/>
        </w:rPr>
        <w:t>ë</w:t>
      </w:r>
      <w:r w:rsidR="00881E2B" w:rsidRPr="00881E2B">
        <w:rPr>
          <w:rFonts w:ascii="Times New Roman" w:hAnsi="Times New Roman"/>
          <w:bCs/>
          <w:iCs/>
          <w:sz w:val="24"/>
          <w:szCs w:val="24"/>
          <w:lang w:val="sq-AL"/>
        </w:rPr>
        <w:t>p</w:t>
      </w:r>
      <w:r w:rsidR="00881E2B">
        <w:rPr>
          <w:rFonts w:ascii="Times New Roman" w:hAnsi="Times New Roman"/>
          <w:bCs/>
          <w:iCs/>
          <w:sz w:val="24"/>
          <w:szCs w:val="24"/>
          <w:lang w:val="sq-AL"/>
        </w:rPr>
        <w:t>ë</w:t>
      </w:r>
      <w:r w:rsidR="00881E2B" w:rsidRPr="00881E2B">
        <w:rPr>
          <w:rFonts w:ascii="Times New Roman" w:hAnsi="Times New Roman"/>
          <w:bCs/>
          <w:iCs/>
          <w:sz w:val="24"/>
          <w:szCs w:val="24"/>
          <w:lang w:val="sq-AL"/>
        </w:rPr>
        <w:t>rmjet Regjistrit Elektronik t</w:t>
      </w:r>
      <w:r w:rsidR="00881E2B">
        <w:rPr>
          <w:rFonts w:ascii="Times New Roman" w:hAnsi="Times New Roman"/>
          <w:bCs/>
          <w:iCs/>
          <w:sz w:val="24"/>
          <w:szCs w:val="24"/>
          <w:lang w:val="sq-AL"/>
        </w:rPr>
        <w:t>ë</w:t>
      </w:r>
      <w:r w:rsidR="00881E2B" w:rsidRPr="00881E2B">
        <w:rPr>
          <w:rFonts w:ascii="Times New Roman" w:hAnsi="Times New Roman"/>
          <w:bCs/>
          <w:iCs/>
          <w:sz w:val="24"/>
          <w:szCs w:val="24"/>
          <w:lang w:val="sq-AL"/>
        </w:rPr>
        <w:t xml:space="preserve"> Njoftimit dhe Konsultimit Publik</w:t>
      </w:r>
      <w:r w:rsidRPr="00881E2B">
        <w:rPr>
          <w:rFonts w:ascii="Times New Roman" w:hAnsi="Times New Roman"/>
          <w:bCs/>
          <w:iCs/>
          <w:sz w:val="24"/>
          <w:szCs w:val="24"/>
          <w:lang w:val="sq-AL"/>
        </w:rPr>
        <w:t>.</w:t>
      </w:r>
    </w:p>
    <w:p w14:paraId="4260D2E6" w14:textId="77777777" w:rsidR="00332DB4" w:rsidRPr="00881E2B" w:rsidRDefault="00332DB4" w:rsidP="005B6D2B">
      <w:pPr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787A61D" w14:textId="77777777" w:rsidR="005B6D2B" w:rsidRDefault="005B6D2B" w:rsidP="006321EC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81E2B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  <w:r w:rsidR="009F3D7C" w:rsidRPr="00881E2B">
        <w:rPr>
          <w:rFonts w:ascii="Times New Roman" w:hAnsi="Times New Roman"/>
          <w:b/>
          <w:bCs/>
          <w:sz w:val="24"/>
          <w:szCs w:val="24"/>
          <w:lang w:val="sq-AL"/>
        </w:rPr>
        <w:t>:</w:t>
      </w:r>
    </w:p>
    <w:p w14:paraId="1C235DDD" w14:textId="7FACAC15" w:rsidR="00881E2B" w:rsidRDefault="00881E2B" w:rsidP="00C341D5">
      <w:pPr>
        <w:pStyle w:val="ListParagraph"/>
        <w:ind w:left="360" w:firstLine="0"/>
        <w:rPr>
          <w:rFonts w:ascii="Times New Roman" w:hAnsi="Times New Roman"/>
          <w:sz w:val="24"/>
          <w:szCs w:val="24"/>
          <w:lang w:val="sq-AL"/>
        </w:rPr>
      </w:pPr>
      <w:r w:rsidRPr="00881E2B">
        <w:rPr>
          <w:rFonts w:ascii="Times New Roman" w:hAnsi="Times New Roman"/>
          <w:sz w:val="24"/>
          <w:szCs w:val="24"/>
          <w:lang w:val="sq-AL"/>
        </w:rPr>
        <w:t>-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881E2B">
        <w:rPr>
          <w:rFonts w:ascii="Times New Roman" w:hAnsi="Times New Roman"/>
          <w:sz w:val="24"/>
          <w:szCs w:val="24"/>
          <w:lang w:val="sq-AL"/>
        </w:rPr>
        <w:t>Qytetar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881E2B">
        <w:rPr>
          <w:rFonts w:ascii="Times New Roman" w:hAnsi="Times New Roman"/>
          <w:sz w:val="24"/>
          <w:szCs w:val="24"/>
          <w:lang w:val="sq-AL"/>
        </w:rPr>
        <w:t xml:space="preserve"> dhe aktor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881E2B">
        <w:rPr>
          <w:rFonts w:ascii="Times New Roman" w:hAnsi="Times New Roman"/>
          <w:sz w:val="24"/>
          <w:szCs w:val="24"/>
          <w:lang w:val="sq-AL"/>
        </w:rPr>
        <w:t>t e interesit 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881E2B">
        <w:rPr>
          <w:rFonts w:ascii="Times New Roman" w:hAnsi="Times New Roman"/>
          <w:sz w:val="24"/>
          <w:szCs w:val="24"/>
          <w:lang w:val="sq-AL"/>
        </w:rPr>
        <w:t>p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881E2B">
        <w:rPr>
          <w:rFonts w:ascii="Times New Roman" w:hAnsi="Times New Roman"/>
          <w:sz w:val="24"/>
          <w:szCs w:val="24"/>
          <w:lang w:val="sq-AL"/>
        </w:rPr>
        <w:t>rmjet platform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881E2B">
        <w:rPr>
          <w:rFonts w:ascii="Times New Roman" w:hAnsi="Times New Roman"/>
          <w:sz w:val="24"/>
          <w:szCs w:val="24"/>
          <w:lang w:val="sq-AL"/>
        </w:rPr>
        <w:t>s RENJKP</w:t>
      </w:r>
      <w:r w:rsidR="00C341D5">
        <w:rPr>
          <w:rFonts w:ascii="Times New Roman" w:hAnsi="Times New Roman"/>
          <w:sz w:val="24"/>
          <w:szCs w:val="24"/>
          <w:lang w:val="sq-AL"/>
        </w:rPr>
        <w:t xml:space="preserve"> dhe e-mailit.</w:t>
      </w:r>
    </w:p>
    <w:p w14:paraId="230843D0" w14:textId="02F04B06" w:rsidR="00881E2B" w:rsidRPr="00881E2B" w:rsidRDefault="00881E2B" w:rsidP="00C341D5">
      <w:pPr>
        <w:pStyle w:val="ListParagraph"/>
        <w:ind w:left="360" w:firstLine="0"/>
        <w:rPr>
          <w:rFonts w:ascii="Times New Roman" w:hAnsi="Times New Roman"/>
          <w:sz w:val="24"/>
          <w:szCs w:val="24"/>
          <w:lang w:val="sq-AL"/>
        </w:rPr>
      </w:pPr>
      <w:r w:rsidRPr="00881E2B">
        <w:rPr>
          <w:rFonts w:ascii="Times New Roman" w:hAnsi="Times New Roman"/>
          <w:sz w:val="24"/>
          <w:szCs w:val="24"/>
          <w:lang w:val="sq-AL"/>
        </w:rPr>
        <w:t>-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81E2B">
        <w:rPr>
          <w:rFonts w:ascii="Times New Roman" w:hAnsi="Times New Roman"/>
          <w:sz w:val="24"/>
          <w:szCs w:val="24"/>
          <w:lang w:val="sq-AL"/>
        </w:rPr>
        <w:t>Bashkimi Tregtar i Shqip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881E2B">
        <w:rPr>
          <w:rFonts w:ascii="Times New Roman" w:hAnsi="Times New Roman"/>
          <w:sz w:val="24"/>
          <w:szCs w:val="24"/>
          <w:lang w:val="sq-AL"/>
        </w:rPr>
        <w:t>ris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881E2B">
        <w:rPr>
          <w:rFonts w:ascii="Times New Roman" w:hAnsi="Times New Roman"/>
          <w:sz w:val="24"/>
          <w:szCs w:val="24"/>
          <w:lang w:val="sq-AL"/>
        </w:rPr>
        <w:t>.</w:t>
      </w:r>
    </w:p>
    <w:p w14:paraId="4E941072" w14:textId="77777777" w:rsidR="00881E2B" w:rsidRPr="00B024CA" w:rsidRDefault="00881E2B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50C4B53" w14:textId="77777777" w:rsidR="005B6D2B" w:rsidRPr="00B024CA" w:rsidRDefault="005B6D2B" w:rsidP="00332DB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B024CA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14:paraId="63B26327" w14:textId="77777777" w:rsidR="007755F2" w:rsidRPr="002B080A" w:rsidRDefault="007755F2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505"/>
        <w:gridCol w:w="2268"/>
        <w:gridCol w:w="1257"/>
        <w:gridCol w:w="1294"/>
      </w:tblGrid>
      <w:tr w:rsidR="005B6D2B" w:rsidRPr="00881E2B" w14:paraId="17F5EC44" w14:textId="77777777" w:rsidTr="00C42DC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AB41" w14:textId="77777777" w:rsidR="005B6D2B" w:rsidRPr="003B399E" w:rsidRDefault="005B6D2B" w:rsidP="003B399E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</w:pPr>
            <w:r w:rsidRPr="003B399E"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  <w:t>Çështja</w:t>
            </w:r>
            <w:r w:rsidR="00765F3C" w:rsidRPr="003B399E"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  <w:t xml:space="preserve"> </w:t>
            </w:r>
            <w:r w:rsidRPr="003B399E"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  <w:t>e  adresuar</w:t>
            </w:r>
          </w:p>
          <w:p w14:paraId="0EC0BF86" w14:textId="77777777" w:rsidR="005B6D2B" w:rsidRPr="003B399E" w:rsidRDefault="005B6D2B" w:rsidP="009007B1">
            <w:pPr>
              <w:pStyle w:val="BodyText"/>
              <w:rPr>
                <w:rFonts w:ascii="Times New Roman" w:hAnsi="Times New Roman"/>
                <w:i/>
                <w:iCs/>
                <w:sz w:val="18"/>
                <w:szCs w:val="18"/>
                <w:lang w:val="sq-AL"/>
              </w:rPr>
            </w:pPr>
            <w:r w:rsidRPr="003B399E">
              <w:rPr>
                <w:rFonts w:ascii="Times New Roman" w:hAnsi="Times New Roman"/>
                <w:sz w:val="18"/>
                <w:szCs w:val="18"/>
                <w:lang w:val="sq-AL"/>
              </w:rPr>
              <w:t>(</w:t>
            </w:r>
            <w:r w:rsidRPr="003B399E">
              <w:rPr>
                <w:rFonts w:ascii="Times New Roman" w:hAnsi="Times New Roman"/>
                <w:i/>
                <w:sz w:val="18"/>
                <w:szCs w:val="18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222B" w14:textId="77777777" w:rsidR="005B6D2B" w:rsidRPr="003B399E" w:rsidRDefault="005B6D2B" w:rsidP="003B399E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</w:pPr>
            <w:r w:rsidRPr="003B399E"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  <w:t>Komenti</w:t>
            </w:r>
          </w:p>
          <w:p w14:paraId="35AB7EB9" w14:textId="77777777" w:rsidR="005B6D2B" w:rsidRPr="003B399E" w:rsidRDefault="005B6D2B" w:rsidP="009007B1">
            <w:pPr>
              <w:pStyle w:val="BodyText"/>
              <w:rPr>
                <w:rFonts w:ascii="Times New Roman" w:hAnsi="Times New Roman"/>
                <w:i/>
                <w:iCs/>
                <w:sz w:val="18"/>
                <w:szCs w:val="18"/>
                <w:lang w:val="sq-AL"/>
              </w:rPr>
            </w:pPr>
            <w:r w:rsidRPr="003B399E">
              <w:rPr>
                <w:rFonts w:ascii="Times New Roman" w:hAnsi="Times New Roman"/>
                <w:i/>
                <w:iCs/>
                <w:sz w:val="18"/>
                <w:szCs w:val="18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B6EF" w14:textId="6870AD89" w:rsidR="003B399E" w:rsidRPr="003B399E" w:rsidRDefault="005B6D2B" w:rsidP="003B399E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</w:pPr>
            <w:r w:rsidRPr="003B399E"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  <w:t>Palët e interesuara</w:t>
            </w:r>
          </w:p>
          <w:p w14:paraId="0F295467" w14:textId="70E542DB" w:rsidR="005B6D2B" w:rsidRPr="003B399E" w:rsidRDefault="005B6D2B" w:rsidP="009007B1">
            <w:pPr>
              <w:pStyle w:val="BodyText"/>
              <w:rPr>
                <w:rFonts w:ascii="Times New Roman" w:hAnsi="Times New Roman"/>
                <w:sz w:val="18"/>
                <w:szCs w:val="18"/>
                <w:lang w:val="sq-AL"/>
              </w:rPr>
            </w:pPr>
            <w:r w:rsidRPr="003B399E">
              <w:rPr>
                <w:rFonts w:ascii="Times New Roman" w:hAnsi="Times New Roman"/>
                <w:i/>
                <w:iCs/>
                <w:sz w:val="18"/>
                <w:szCs w:val="18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DFEE" w14:textId="2F5A8D85" w:rsidR="003B399E" w:rsidRPr="003B399E" w:rsidRDefault="005B6D2B" w:rsidP="003B399E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</w:pPr>
            <w:r w:rsidRPr="003B399E"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  <w:t>Vendimi</w:t>
            </w:r>
          </w:p>
          <w:p w14:paraId="3F97BB0D" w14:textId="45BE623F" w:rsidR="005B6D2B" w:rsidRPr="003B399E" w:rsidRDefault="005B6D2B" w:rsidP="003B399E">
            <w:pPr>
              <w:pStyle w:val="BodyText"/>
              <w:rPr>
                <w:rFonts w:ascii="Times New Roman" w:hAnsi="Times New Roman"/>
                <w:sz w:val="18"/>
                <w:szCs w:val="18"/>
                <w:lang w:val="sq-AL"/>
              </w:rPr>
            </w:pPr>
            <w:r w:rsidRPr="003B399E">
              <w:rPr>
                <w:rFonts w:ascii="Times New Roman" w:hAnsi="Times New Roman"/>
                <w:sz w:val="18"/>
                <w:szCs w:val="18"/>
                <w:lang w:val="sq-AL"/>
              </w:rPr>
              <w:t xml:space="preserve">(I pranuar/I pranuar pjesërisht/I refuzuar)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AE13" w14:textId="77777777" w:rsidR="005B6D2B" w:rsidRPr="003B399E" w:rsidRDefault="005B6D2B" w:rsidP="0021058A">
            <w:pPr>
              <w:pStyle w:val="BodyTex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</w:pPr>
            <w:r w:rsidRPr="003B399E"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  <w:t>Justifikimi</w:t>
            </w:r>
          </w:p>
        </w:tc>
      </w:tr>
      <w:tr w:rsidR="00B3768F" w:rsidRPr="00034B60" w14:paraId="68A6C925" w14:textId="77777777" w:rsidTr="00C42DC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0AE1" w14:textId="77777777" w:rsidR="00D8687E" w:rsidRPr="00034B60" w:rsidRDefault="00D8687E" w:rsidP="00034B60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D505877" w14:textId="74E0FFF1" w:rsidR="00034B60" w:rsidRPr="00034B60" w:rsidRDefault="00034B60" w:rsidP="00034B60">
            <w:pPr>
              <w:pStyle w:val="BodyText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  <w:r w:rsidRPr="00034B60">
              <w:rPr>
                <w:rFonts w:ascii="Times New Roman" w:hAnsi="Times New Roman"/>
                <w:sz w:val="24"/>
                <w:szCs w:val="24"/>
                <w:lang w:val="sq-AL"/>
              </w:rPr>
              <w:t>Referuar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34B6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34B60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34B6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si projekligjit  </w:t>
            </w:r>
            <w:r w:rsidRPr="00034B60">
              <w:rPr>
                <w:rFonts w:ascii="Times New Roman" w:hAnsi="Times New Roman"/>
                <w:sz w:val="24"/>
                <w:szCs w:val="24"/>
                <w:lang w:val="sq-AL"/>
              </w:rPr>
              <w:t>“Për disa ndryshime dhe shtesa në ligjin nr. 102/2014 “Kodi Doganor i Republikës së Shqipërisë” i ndryshuar”</w:t>
            </w:r>
            <w:r w:rsidRPr="00034B60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8803" w14:textId="77777777" w:rsidR="00B3768F" w:rsidRPr="00034B60" w:rsidRDefault="00B3768F" w:rsidP="00034B60">
            <w:pPr>
              <w:pStyle w:val="BodyText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</w:p>
          <w:p w14:paraId="465648C7" w14:textId="68237EE4" w:rsidR="003B399E" w:rsidRPr="00034B60" w:rsidRDefault="00427E53" w:rsidP="00034B60">
            <w:pPr>
              <w:pStyle w:val="BodyText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Si</w:t>
            </w:r>
            <w:r w:rsid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organizatë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përfaqësuese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sipërmarrjes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aktivitet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fushën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prodhimit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importit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distribucionit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dëshirojmë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sjellim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vëmendje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komentet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kërkesën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tonë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kuadër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konsultimit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publik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projektligjit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“Kodi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Doganor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Republikës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Shqipërisë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”.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Periudha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kufizuar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publikimit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aktiviteti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reduktuar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Parlamentit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Projektligji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publikuar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15.04.2025,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ndërsa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afati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përfundimin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konsultimit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caktuar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13.05.2025 –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periudhë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përkon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fushatën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zgjedhjet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përgjithshme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datës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11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maj.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Sipas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Kushtetutës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Republikës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Shqipërisë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Kuvendi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mund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miratojë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ligje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60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ditëve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përpara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përfundimit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mandatit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tij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deri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mbledhjen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parë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Kuvendit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me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përjashtim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rasteve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jashtëzakonshme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kushtet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kur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projektligji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fjalë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përbën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rast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tillë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duke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qenë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miratimi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tij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pritet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bëhet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legjislatura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re,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konsiderojmë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nevojshme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shtyrjen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afatit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konsultimit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publik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Konsultimi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publik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mjet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rëndësishëm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përmirësimin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legjislacionit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pasurimin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tij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komente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sugjerime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aktorët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relevantë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këtë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rast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biznesi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Nevoja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analizë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thelluar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ndryshimeve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propozuara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sistemin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doganor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Kodi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Doganor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ndikim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drejtpërdrejtë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mënyrën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funksionimit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jo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vetëm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administratës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doganore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marrëdhënieve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saj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biznesin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sektorët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ekonomikë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por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edhe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përgatitjen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vetë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bizneseve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t’u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përshtatur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ndryshimet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propozuara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përfshirë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këtu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sistemet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reja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teknologjike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procedurat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doganore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Ndryshimet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propozuara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projektligj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përfshijnë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ndër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tjera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mbështetjen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përgatitjen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zbatimin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Kërkesës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Kombëtare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Transitit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regjistrimin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identifikimin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operatorit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ekonomik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(EORI),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përputhje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plotë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sistemin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kompjuterizuar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transitit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BE-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(NCTS). Duke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marrë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parasysh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ndryshimet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parashikohet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hynë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fuqi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tëresisht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15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ditë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pas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botimit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Fletoren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Zyrtare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besojme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sipërmarrësit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shqiptarë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kanë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nevojë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kohë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mjaftueshme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t’u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njohur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përgatitur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këto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ndryshime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Kërkesa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zgjatjen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afatit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konsultimit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publik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Kodi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Doganor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ligjet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rëndësishme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cilat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operon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sipermarrja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ndryshimet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thelbësore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pritet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sjellë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ky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projektligj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sistemin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doganor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përfshirja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aktive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gjitha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palëve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interesuara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përfshirë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sipërmarrjen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organizatat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përfaqësuese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biznesit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ekspertët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fushës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thelbësore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proces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konsultimi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plotë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thelluar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. Po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ashtu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duke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qenë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shqyrtimi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projektligjit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do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bëhet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legjislatura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re,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gjykojmë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interesin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gjitha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palëve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merret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koha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nevojshme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zhvilluar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proces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gjithëpërfshirës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konsultimi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këtë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arsye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kërkojmë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afati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i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konsultimit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publik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zgjatet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paktën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30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ditë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afati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parashikuar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siguruar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angazhim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real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garantuar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Kodi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Doganor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reflektojë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mënyrë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drejtë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interesat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nevojat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gjitha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grupeve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përfshira</w:t>
            </w:r>
            <w:proofErr w:type="spellEnd"/>
            <w:r w:rsidRPr="00034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0D4" w14:textId="77777777" w:rsidR="00B3768F" w:rsidRPr="00034B60" w:rsidRDefault="00B3768F" w:rsidP="00034B60">
            <w:pPr>
              <w:pStyle w:val="BodyText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</w:p>
          <w:p w14:paraId="75E0F86C" w14:textId="49345C4D" w:rsidR="003B399E" w:rsidRPr="00034B60" w:rsidRDefault="00427E53" w:rsidP="00034B60">
            <w:pPr>
              <w:pStyle w:val="BodyText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  <w:r w:rsidRPr="00034B60">
              <w:rPr>
                <w:rFonts w:ascii="Times New Roman" w:hAnsi="Times New Roman"/>
                <w:sz w:val="24"/>
                <w:szCs w:val="24"/>
                <w:lang w:val="sq-AL"/>
              </w:rPr>
              <w:t>Bashkimi Tregtar i Shqipërisë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6D56" w14:textId="77777777" w:rsidR="00B3768F" w:rsidRPr="00034B60" w:rsidRDefault="00B3768F" w:rsidP="00034B60">
            <w:pPr>
              <w:pStyle w:val="BodyText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  <w:r w:rsidRPr="00034B60"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  <w:t xml:space="preserve"> </w:t>
            </w:r>
          </w:p>
          <w:p w14:paraId="52A74962" w14:textId="24072933" w:rsidR="003B399E" w:rsidRPr="00034B60" w:rsidRDefault="007320D3" w:rsidP="00034B60">
            <w:pPr>
              <w:pStyle w:val="BodyText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  <w:r w:rsidRPr="00034B60">
              <w:rPr>
                <w:rFonts w:ascii="Times New Roman" w:hAnsi="Times New Roman"/>
                <w:sz w:val="24"/>
                <w:szCs w:val="24"/>
                <w:lang w:val="sq-AL"/>
              </w:rPr>
              <w:t>Nuk është pranuar</w:t>
            </w:r>
            <w:r w:rsidR="003B399E" w:rsidRPr="00034B60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2212" w14:textId="77777777" w:rsidR="00B3768F" w:rsidRPr="00034B60" w:rsidRDefault="00B3768F" w:rsidP="00034B60">
            <w:pPr>
              <w:pStyle w:val="BodyText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</w:p>
          <w:p w14:paraId="2A85C36C" w14:textId="3BF7B3BC" w:rsidR="00B3768F" w:rsidRPr="00034B60" w:rsidRDefault="00C42DC8" w:rsidP="00034B60">
            <w:pPr>
              <w:pStyle w:val="CommentText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  <w:r w:rsidRPr="00034B60">
              <w:rPr>
                <w:rFonts w:ascii="Times New Roman" w:hAnsi="Times New Roman"/>
                <w:sz w:val="24"/>
                <w:szCs w:val="24"/>
                <w:lang w:val="sq-AL"/>
              </w:rPr>
              <w:t>Nga ana jonë është zbatuar afati i përcaktuar në ligj.</w:t>
            </w:r>
            <w:r w:rsidR="009007B1" w:rsidRPr="00034B6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617F7225" w14:textId="77777777" w:rsidR="005B6D2B" w:rsidRDefault="005B6D2B" w:rsidP="00034B60">
      <w:pPr>
        <w:rPr>
          <w:rFonts w:ascii="Times New Roman" w:hAnsi="Times New Roman"/>
          <w:sz w:val="24"/>
          <w:szCs w:val="24"/>
          <w:lang w:val="sq-AL"/>
        </w:rPr>
      </w:pPr>
    </w:p>
    <w:p w14:paraId="44427221" w14:textId="77777777" w:rsidR="00881E2B" w:rsidRDefault="00881E2B" w:rsidP="00034B60">
      <w:pPr>
        <w:rPr>
          <w:rFonts w:ascii="Times New Roman" w:hAnsi="Times New Roman"/>
          <w:sz w:val="24"/>
          <w:szCs w:val="24"/>
          <w:lang w:val="sq-AL"/>
        </w:rPr>
      </w:pPr>
    </w:p>
    <w:p w14:paraId="47298E10" w14:textId="77777777" w:rsidR="00881E2B" w:rsidRDefault="00881E2B" w:rsidP="00034B60">
      <w:pPr>
        <w:rPr>
          <w:rFonts w:ascii="Times New Roman" w:hAnsi="Times New Roman"/>
          <w:sz w:val="24"/>
          <w:szCs w:val="24"/>
          <w:lang w:val="sq-AL"/>
        </w:rPr>
      </w:pPr>
    </w:p>
    <w:p w14:paraId="300AB5AA" w14:textId="77777777" w:rsidR="00881E2B" w:rsidRDefault="00881E2B" w:rsidP="00034B60">
      <w:pPr>
        <w:rPr>
          <w:rFonts w:ascii="Times New Roman" w:hAnsi="Times New Roman"/>
          <w:sz w:val="24"/>
          <w:szCs w:val="24"/>
          <w:lang w:val="sq-AL"/>
        </w:rPr>
      </w:pPr>
    </w:p>
    <w:sectPr w:rsidR="00881E2B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502"/>
    <w:multiLevelType w:val="hybridMultilevel"/>
    <w:tmpl w:val="881CFFEA"/>
    <w:lvl w:ilvl="0" w:tplc="56EC220C">
      <w:start w:val="1"/>
      <w:numFmt w:val="decimal"/>
      <w:lvlText w:val="%1."/>
      <w:lvlJc w:val="left"/>
      <w:pPr>
        <w:ind w:left="-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06616743"/>
    <w:multiLevelType w:val="hybridMultilevel"/>
    <w:tmpl w:val="2966887E"/>
    <w:lvl w:ilvl="0" w:tplc="CD48F73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D1966"/>
    <w:multiLevelType w:val="hybridMultilevel"/>
    <w:tmpl w:val="62B2ACA4"/>
    <w:lvl w:ilvl="0" w:tplc="6FF0E1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EA7329"/>
    <w:multiLevelType w:val="hybridMultilevel"/>
    <w:tmpl w:val="52864D9C"/>
    <w:lvl w:ilvl="0" w:tplc="DD9AEB5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79A6"/>
    <w:multiLevelType w:val="hybridMultilevel"/>
    <w:tmpl w:val="3D44B2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13322"/>
    <w:multiLevelType w:val="hybridMultilevel"/>
    <w:tmpl w:val="4A7CE486"/>
    <w:lvl w:ilvl="0" w:tplc="A3687A1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91358"/>
    <w:multiLevelType w:val="hybridMultilevel"/>
    <w:tmpl w:val="552014B4"/>
    <w:lvl w:ilvl="0" w:tplc="B8F4E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0BDA"/>
    <w:multiLevelType w:val="hybridMultilevel"/>
    <w:tmpl w:val="0526C15A"/>
    <w:lvl w:ilvl="0" w:tplc="683A0F5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45169"/>
    <w:multiLevelType w:val="hybridMultilevel"/>
    <w:tmpl w:val="0FA2FF0E"/>
    <w:lvl w:ilvl="0" w:tplc="45CC2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C64C4D"/>
    <w:multiLevelType w:val="hybridMultilevel"/>
    <w:tmpl w:val="5C6AA2D8"/>
    <w:lvl w:ilvl="0" w:tplc="D05287B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3206FB"/>
    <w:multiLevelType w:val="hybridMultilevel"/>
    <w:tmpl w:val="6898EA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F45A3"/>
    <w:multiLevelType w:val="hybridMultilevel"/>
    <w:tmpl w:val="0F6271A2"/>
    <w:lvl w:ilvl="0" w:tplc="E12E3F8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F75EC"/>
    <w:multiLevelType w:val="hybridMultilevel"/>
    <w:tmpl w:val="C17C5B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E6D83"/>
    <w:multiLevelType w:val="hybridMultilevel"/>
    <w:tmpl w:val="2C2847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C7D8F"/>
    <w:multiLevelType w:val="hybridMultilevel"/>
    <w:tmpl w:val="7AB4D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065C7E"/>
    <w:multiLevelType w:val="hybridMultilevel"/>
    <w:tmpl w:val="BB7AA8CC"/>
    <w:lvl w:ilvl="0" w:tplc="9370BF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1832976">
    <w:abstractNumId w:val="0"/>
  </w:num>
  <w:num w:numId="2" w16cid:durableId="1464470846">
    <w:abstractNumId w:val="12"/>
  </w:num>
  <w:num w:numId="3" w16cid:durableId="820077408">
    <w:abstractNumId w:val="17"/>
  </w:num>
  <w:num w:numId="4" w16cid:durableId="196043436">
    <w:abstractNumId w:val="10"/>
  </w:num>
  <w:num w:numId="5" w16cid:durableId="1410811915">
    <w:abstractNumId w:val="16"/>
  </w:num>
  <w:num w:numId="6" w16cid:durableId="1672830964">
    <w:abstractNumId w:val="4"/>
  </w:num>
  <w:num w:numId="7" w16cid:durableId="60564289">
    <w:abstractNumId w:val="8"/>
  </w:num>
  <w:num w:numId="8" w16cid:durableId="1887178630">
    <w:abstractNumId w:val="3"/>
  </w:num>
  <w:num w:numId="9" w16cid:durableId="264777673">
    <w:abstractNumId w:val="6"/>
  </w:num>
  <w:num w:numId="10" w16cid:durableId="836119581">
    <w:abstractNumId w:val="11"/>
  </w:num>
  <w:num w:numId="11" w16cid:durableId="688722648">
    <w:abstractNumId w:val="1"/>
  </w:num>
  <w:num w:numId="12" w16cid:durableId="1555234836">
    <w:abstractNumId w:val="9"/>
  </w:num>
  <w:num w:numId="13" w16cid:durableId="1735277975">
    <w:abstractNumId w:val="18"/>
  </w:num>
  <w:num w:numId="14" w16cid:durableId="1943226524">
    <w:abstractNumId w:val="13"/>
  </w:num>
  <w:num w:numId="15" w16cid:durableId="2064592683">
    <w:abstractNumId w:val="5"/>
  </w:num>
  <w:num w:numId="16" w16cid:durableId="1954507799">
    <w:abstractNumId w:val="14"/>
  </w:num>
  <w:num w:numId="17" w16cid:durableId="566039518">
    <w:abstractNumId w:val="15"/>
  </w:num>
  <w:num w:numId="18" w16cid:durableId="1817721100">
    <w:abstractNumId w:val="2"/>
  </w:num>
  <w:num w:numId="19" w16cid:durableId="568928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2B"/>
    <w:rsid w:val="00034B60"/>
    <w:rsid w:val="0004166D"/>
    <w:rsid w:val="000D19CF"/>
    <w:rsid w:val="0010408A"/>
    <w:rsid w:val="00162EFC"/>
    <w:rsid w:val="001725E5"/>
    <w:rsid w:val="0019507E"/>
    <w:rsid w:val="00196392"/>
    <w:rsid w:val="001A5FF9"/>
    <w:rsid w:val="001D017C"/>
    <w:rsid w:val="00260E60"/>
    <w:rsid w:val="002721EA"/>
    <w:rsid w:val="002B080A"/>
    <w:rsid w:val="002B161B"/>
    <w:rsid w:val="002B630A"/>
    <w:rsid w:val="00304C7A"/>
    <w:rsid w:val="00332DB4"/>
    <w:rsid w:val="003670B8"/>
    <w:rsid w:val="003B399E"/>
    <w:rsid w:val="00427E53"/>
    <w:rsid w:val="00435429"/>
    <w:rsid w:val="00445CC3"/>
    <w:rsid w:val="004C711D"/>
    <w:rsid w:val="004F79EE"/>
    <w:rsid w:val="005B1920"/>
    <w:rsid w:val="005B6D2B"/>
    <w:rsid w:val="005E5B6C"/>
    <w:rsid w:val="006321EC"/>
    <w:rsid w:val="00656BB0"/>
    <w:rsid w:val="007320D3"/>
    <w:rsid w:val="007346E2"/>
    <w:rsid w:val="00741C60"/>
    <w:rsid w:val="00765F3C"/>
    <w:rsid w:val="007755F2"/>
    <w:rsid w:val="007848FF"/>
    <w:rsid w:val="0085604A"/>
    <w:rsid w:val="00862CE3"/>
    <w:rsid w:val="00881E2B"/>
    <w:rsid w:val="00887C60"/>
    <w:rsid w:val="008A0E19"/>
    <w:rsid w:val="008B685A"/>
    <w:rsid w:val="008D5E3D"/>
    <w:rsid w:val="008F44B1"/>
    <w:rsid w:val="009007B1"/>
    <w:rsid w:val="00905842"/>
    <w:rsid w:val="0091093C"/>
    <w:rsid w:val="00913CFC"/>
    <w:rsid w:val="00963283"/>
    <w:rsid w:val="00965584"/>
    <w:rsid w:val="009B696C"/>
    <w:rsid w:val="009F3D7C"/>
    <w:rsid w:val="00A06DA1"/>
    <w:rsid w:val="00A121AB"/>
    <w:rsid w:val="00A3438A"/>
    <w:rsid w:val="00A52E22"/>
    <w:rsid w:val="00A87685"/>
    <w:rsid w:val="00AC7732"/>
    <w:rsid w:val="00B024CA"/>
    <w:rsid w:val="00B036BF"/>
    <w:rsid w:val="00B16EE8"/>
    <w:rsid w:val="00B31A7A"/>
    <w:rsid w:val="00B33196"/>
    <w:rsid w:val="00B3768F"/>
    <w:rsid w:val="00BD7E7B"/>
    <w:rsid w:val="00C20DD3"/>
    <w:rsid w:val="00C341D5"/>
    <w:rsid w:val="00C42DC8"/>
    <w:rsid w:val="00CA6962"/>
    <w:rsid w:val="00D8687E"/>
    <w:rsid w:val="00DD5D4E"/>
    <w:rsid w:val="00E23F02"/>
    <w:rsid w:val="00E573D4"/>
    <w:rsid w:val="00EF0386"/>
    <w:rsid w:val="00EF3780"/>
    <w:rsid w:val="00F03EFF"/>
    <w:rsid w:val="00F83DB7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7473"/>
  <w15:docId w15:val="{4B07C93D-1481-4DD2-BB41-403D4F8D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B3768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3768F"/>
    <w:rPr>
      <w:rFonts w:ascii="Times New Roman" w:eastAsia="Times New Roman" w:hAnsi="Times New Roman" w:cs="Times New Roman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881E2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320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7320D3"/>
    <w:rPr>
      <w:sz w:val="22"/>
      <w:szCs w:val="22"/>
      <w:lang w:val="bg-BG"/>
    </w:rPr>
  </w:style>
  <w:style w:type="paragraph" w:customStyle="1" w:styleId="Default">
    <w:name w:val="Default"/>
    <w:rsid w:val="001D017C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</w:rPr>
  </w:style>
  <w:style w:type="numbering" w:customStyle="1" w:styleId="CurrentList1">
    <w:name w:val="Current List1"/>
    <w:uiPriority w:val="99"/>
    <w:rsid w:val="002B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vid.Uruci@financ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Sofia Kaloshi</cp:lastModifiedBy>
  <cp:revision>2</cp:revision>
  <dcterms:created xsi:type="dcterms:W3CDTF">2025-06-17T11:05:00Z</dcterms:created>
  <dcterms:modified xsi:type="dcterms:W3CDTF">2025-06-17T11:05:00Z</dcterms:modified>
</cp:coreProperties>
</file>