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1155AF" w14:paraId="34AB26A6" w14:textId="77777777" w:rsidTr="401C88DC">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2F8FC4" w14:textId="51D9DE75" w:rsidR="000D5974" w:rsidRPr="000D5974" w:rsidRDefault="000D5974" w:rsidP="00B17990">
            <w:pPr>
              <w:spacing w:line="276" w:lineRule="auto"/>
              <w:rPr>
                <w:b/>
              </w:rPr>
            </w:pPr>
            <w:bookmarkStart w:id="0" w:name="_Hlk506916825"/>
            <w:bookmarkEnd w:id="0"/>
            <w:r w:rsidRPr="6875B2D2">
              <w:rPr>
                <w:b/>
              </w:rPr>
              <w:t>RAPORTI I VLERËSIMIT TË NDIKIMIT</w:t>
            </w:r>
          </w:p>
        </w:tc>
      </w:tr>
      <w:tr w:rsidR="00C84F64" w:rsidRPr="00325A1F" w14:paraId="483B3CEF" w14:textId="77777777" w:rsidTr="401C88D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07D5B1" w14:textId="77777777" w:rsidR="00CA40EE" w:rsidRPr="00325A1F" w:rsidRDefault="00CA40EE" w:rsidP="007B6556">
            <w:pPr>
              <w:spacing w:line="276" w:lineRule="auto"/>
              <w:rPr>
                <w:b/>
              </w:rPr>
            </w:pPr>
            <w:r w:rsidRPr="6875B2D2">
              <w:rPr>
                <w:b/>
              </w:rPr>
              <w:t xml:space="preserve">EMËRTIMI I PROPOZIMIT TË POLITIKËS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9DBBD3" w14:textId="338324F7" w:rsidR="00CA40EE" w:rsidRPr="00325A1F" w:rsidRDefault="00CA40EE" w:rsidP="401C88DC">
            <w:pPr>
              <w:spacing w:line="276" w:lineRule="auto"/>
              <w:rPr>
                <w:b/>
                <w:bCs/>
                <w:i/>
                <w:iCs/>
              </w:rPr>
            </w:pPr>
            <w:r w:rsidRPr="2BF24FF9">
              <w:t>Projekt</w:t>
            </w:r>
            <w:r w:rsidR="54D3D786" w:rsidRPr="2BF24FF9">
              <w:t>ligj:</w:t>
            </w:r>
            <w:r w:rsidR="001155AF" w:rsidRPr="6875B2D2">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001155AF" w:rsidRPr="00754F3E">
              <w:rPr>
                <w:rStyle w:val="IASOIChar"/>
                <w:rFonts w:ascii="Times New Roman" w:hAnsi="Times New Roman"/>
                <w:b w:val="0"/>
                <w:sz w:val="24"/>
                <w:szCs w:val="24"/>
                <w:lang w:val="sq-AL"/>
              </w:rPr>
              <w:instrText xml:space="preserve"> FORMDROPDOWN </w:instrText>
            </w:r>
            <w:r w:rsidR="001155AF" w:rsidRPr="6875B2D2">
              <w:rPr>
                <w:rStyle w:val="IASOIChar"/>
                <w:rFonts w:ascii="Times New Roman" w:hAnsi="Times New Roman"/>
                <w:b w:val="0"/>
                <w:sz w:val="24"/>
                <w:szCs w:val="24"/>
              </w:rPr>
            </w:r>
            <w:r w:rsidR="001155AF" w:rsidRPr="6875B2D2">
              <w:rPr>
                <w:rStyle w:val="IASOIChar"/>
                <w:rFonts w:ascii="Times New Roman" w:hAnsi="Times New Roman"/>
                <w:b w:val="0"/>
                <w:sz w:val="24"/>
                <w:szCs w:val="24"/>
              </w:rPr>
              <w:fldChar w:fldCharType="separate"/>
            </w:r>
            <w:r w:rsidR="001155AF" w:rsidRPr="6875B2D2">
              <w:rPr>
                <w:rStyle w:val="IASOIChar"/>
                <w:rFonts w:ascii="Times New Roman" w:hAnsi="Times New Roman"/>
                <w:b w:val="0"/>
                <w:sz w:val="24"/>
                <w:szCs w:val="24"/>
              </w:rPr>
              <w:fldChar w:fldCharType="end"/>
            </w:r>
            <w:r w:rsidR="002A33A0" w:rsidRPr="2BF24FF9">
              <w:t xml:space="preserve"> </w:t>
            </w:r>
            <w:r w:rsidR="003A6CFB" w:rsidRPr="401C88DC">
              <w:rPr>
                <w:i/>
                <w:iCs/>
              </w:rPr>
              <w:t xml:space="preserve"> </w:t>
            </w:r>
            <w:r w:rsidR="00375DDB" w:rsidRPr="401C88DC">
              <w:rPr>
                <w:rFonts w:ascii="Garamond" w:eastAsia="Calibri" w:hAnsi="Garamond"/>
                <w:spacing w:val="-4"/>
              </w:rPr>
              <w:t xml:space="preserve"> </w:t>
            </w:r>
            <w:r w:rsidR="0A73EA9E" w:rsidRPr="401C88DC">
              <w:rPr>
                <w:rFonts w:ascii="Garamond" w:eastAsia="Calibri" w:hAnsi="Garamond"/>
              </w:rPr>
              <w:t>“</w:t>
            </w:r>
            <w:r w:rsidR="00375DDB" w:rsidRPr="401C88DC">
              <w:t xml:space="preserve">Për lirinë </w:t>
            </w:r>
            <w:r w:rsidR="55A2A963" w:rsidRPr="401C88DC">
              <w:t>e</w:t>
            </w:r>
            <w:r w:rsidR="00375DDB" w:rsidRPr="401C88DC">
              <w:t xml:space="preserve"> vendosjes </w:t>
            </w:r>
            <w:r w:rsidR="7871905F" w:rsidRPr="401C88DC">
              <w:t>d</w:t>
            </w:r>
            <w:r w:rsidR="00375DDB" w:rsidRPr="401C88DC">
              <w:t xml:space="preserve">he ofrimit </w:t>
            </w:r>
            <w:r w:rsidR="4FDE18A9" w:rsidRPr="401C88DC">
              <w:t>t</w:t>
            </w:r>
            <w:r w:rsidR="00375DDB" w:rsidRPr="401C88DC">
              <w:t xml:space="preserve">ë shërbimeve </w:t>
            </w:r>
            <w:r w:rsidR="6DCB6B43" w:rsidRPr="401C88DC">
              <w:t>n</w:t>
            </w:r>
            <w:r w:rsidR="00375DDB" w:rsidRPr="401C88DC">
              <w:t xml:space="preserve">ë Republikën </w:t>
            </w:r>
            <w:r w:rsidR="55831529" w:rsidRPr="401C88DC">
              <w:t>e</w:t>
            </w:r>
            <w:r w:rsidR="00375DDB" w:rsidRPr="401C88DC">
              <w:t xml:space="preserve"> Shqipërisë</w:t>
            </w:r>
            <w:r w:rsidR="19E891B5" w:rsidRPr="401C88DC">
              <w:t>”</w:t>
            </w:r>
          </w:p>
        </w:tc>
      </w:tr>
      <w:tr w:rsidR="00C84F64" w:rsidRPr="00325A1F" w14:paraId="0BB8BDE5" w14:textId="77777777" w:rsidTr="401C88D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9D67E8" w14:textId="77777777" w:rsidR="00CA40EE" w:rsidRPr="00325A1F" w:rsidRDefault="00CA40EE" w:rsidP="007B6556">
            <w:pPr>
              <w:spacing w:line="276" w:lineRule="auto"/>
              <w:rPr>
                <w:b/>
              </w:rPr>
            </w:pPr>
            <w:r w:rsidRPr="6875B2D2">
              <w:rPr>
                <w:b/>
              </w:rPr>
              <w:t xml:space="preserve">MINISTRIA UDHËHEQËSE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A7E2E8" w14:textId="309E6E8B" w:rsidR="00CA40EE" w:rsidRPr="00325A1F" w:rsidRDefault="009F70C9" w:rsidP="00444DC8">
            <w:pPr>
              <w:spacing w:line="276" w:lineRule="auto"/>
            </w:pPr>
            <w:r>
              <w:t>Ministria e Ekonomisë dhe Inovacionit (“MEI”)</w:t>
            </w:r>
            <w:r w:rsidR="00CA40EE">
              <w:t xml:space="preserve"> </w:t>
            </w:r>
          </w:p>
        </w:tc>
      </w:tr>
      <w:tr w:rsidR="00C84F64" w:rsidRPr="00325A1F" w14:paraId="14222BD2" w14:textId="77777777" w:rsidTr="401C88D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59A4FA" w14:textId="77777777" w:rsidR="00CA40EE" w:rsidRPr="00325A1F" w:rsidRDefault="00CA40EE" w:rsidP="007B6556">
            <w:pPr>
              <w:spacing w:line="276" w:lineRule="auto"/>
              <w:rPr>
                <w:b/>
              </w:rPr>
            </w:pPr>
            <w:r w:rsidRPr="6875B2D2">
              <w:rPr>
                <w:b/>
              </w:rPr>
              <w:t>FAZA E POLITIKËS/VLERËSIMIT TË NDIKIMIT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1AD9CC" w14:textId="30AAD6B4" w:rsidR="00CA40EE" w:rsidRPr="00325A1F" w:rsidRDefault="00204683" w:rsidP="007B6556">
            <w:pPr>
              <w:spacing w:line="276" w:lineRule="auto"/>
              <w:rPr>
                <w:rStyle w:val="BodyTextChar"/>
                <w:sz w:val="24"/>
                <w:szCs w:val="24"/>
              </w:rPr>
            </w:pPr>
            <w:sdt>
              <w:sdtPr>
                <w:rPr>
                  <w:rStyle w:val="BodyTextChar"/>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rFonts w:cs="Times New Roman"/>
                  <w:color w:val="auto"/>
                  <w:lang w:val="en-US"/>
                </w:rPr>
              </w:sdtEndPr>
              <w:sdtContent>
                <w:r w:rsidR="00570A7C">
                  <w:rPr>
                    <w:rStyle w:val="BodyTextChar"/>
                    <w:sz w:val="24"/>
                    <w:szCs w:val="24"/>
                  </w:rPr>
                  <w:t>Finale</w:t>
                </w:r>
              </w:sdtContent>
            </w:sdt>
          </w:p>
        </w:tc>
      </w:tr>
      <w:tr w:rsidR="00C84F64" w:rsidRPr="00325A1F" w14:paraId="47CEFF3E" w14:textId="77777777" w:rsidTr="401C88DC">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F7E06A" w14:textId="77777777" w:rsidR="00CA40EE" w:rsidRPr="00325A1F" w:rsidRDefault="00CA40EE" w:rsidP="007B6556">
            <w:pPr>
              <w:spacing w:line="276" w:lineRule="auto"/>
              <w:rPr>
                <w:b/>
              </w:rPr>
            </w:pPr>
            <w:r w:rsidRPr="6875B2D2">
              <w:rPr>
                <w:b/>
              </w:rPr>
              <w:t>BURIMI I PROPOZIMIT TË POLITIKËS</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694D80" w14:textId="583E6D28" w:rsidR="00CA40EE" w:rsidRPr="00325A1F" w:rsidRDefault="01AE2E24" w:rsidP="007B6556">
            <w:pPr>
              <w:spacing w:line="276" w:lineRule="auto"/>
              <w:jc w:val="both"/>
            </w:pPr>
            <w:r>
              <w:t>I brendshëm/Transpozim</w:t>
            </w:r>
          </w:p>
        </w:tc>
      </w:tr>
      <w:tr w:rsidR="00C84F64" w:rsidRPr="00325A1F" w14:paraId="48A074B2" w14:textId="77777777" w:rsidTr="401C88DC">
        <w:trPr>
          <w:trHeight w:val="557"/>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22BBE5" w14:textId="77777777" w:rsidR="00CA40EE" w:rsidRPr="00325A1F" w:rsidRDefault="00CA40EE" w:rsidP="007B6556">
            <w:pPr>
              <w:spacing w:line="276" w:lineRule="auto"/>
              <w:rPr>
                <w:b/>
              </w:rPr>
            </w:pPr>
            <w:r w:rsidRPr="6875B2D2">
              <w:rPr>
                <w:b/>
              </w:rPr>
              <w:t xml:space="preserve">DIREKTIVË/RREGULLORE E BE-së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4F3245" w14:textId="7B1C21F9" w:rsidR="00B51927" w:rsidRDefault="00815B20" w:rsidP="007B6556">
            <w:pPr>
              <w:spacing w:line="276" w:lineRule="auto"/>
              <w:rPr>
                <w:rStyle w:val="IASOIChar"/>
                <w:rFonts w:ascii="Times New Roman" w:hAnsi="Times New Roman"/>
                <w:b w:val="0"/>
                <w:sz w:val="24"/>
                <w:szCs w:val="24"/>
                <w:lang w:val="sq-AL"/>
              </w:rPr>
            </w:pPr>
            <w:r w:rsidRPr="6875B2D2">
              <w:t>Direktiva 2006/123/KE e Parlamentit Evropian dhe e Këshillit, datë 12 dhjetor 2006, “</w:t>
            </w:r>
            <w:r w:rsidRPr="6875B2D2">
              <w:rPr>
                <w:i/>
              </w:rPr>
              <w:t>Për shërbimet në tregun e brendshëm</w:t>
            </w:r>
            <w:r w:rsidRPr="6875B2D2">
              <w:t>” CELEX: 32006L0123, Fletorja Zyrtare e Bashkimit Evropian, Seria L 376, datë 27.12.2006, faqe 36-68.</w:t>
            </w:r>
            <w:r w:rsidR="00584C71" w:rsidRPr="6875B2D2">
              <w:rPr>
                <w:rStyle w:val="IASOIChar"/>
                <w:rFonts w:ascii="Times New Roman" w:hAnsi="Times New Roman"/>
                <w:b w:val="0"/>
                <w:sz w:val="24"/>
                <w:szCs w:val="24"/>
                <w:lang w:val="sq-AL"/>
              </w:rPr>
              <w:t xml:space="preserve">   </w:t>
            </w:r>
          </w:p>
          <w:p w14:paraId="2E8F403F" w14:textId="7A3D8CE7" w:rsidR="00584C71" w:rsidRPr="00325A1F" w:rsidRDefault="002E753B" w:rsidP="002E753B">
            <w:pPr>
              <w:spacing w:line="276" w:lineRule="auto"/>
              <w:rPr>
                <w:b/>
              </w:rPr>
            </w:pPr>
            <w:r>
              <w:fldChar w:fldCharType="begin">
                <w:ffData>
                  <w:name w:val=""/>
                  <w:enabled/>
                  <w:calcOnExit w:val="0"/>
                  <w:textInput>
                    <w:maxLength w:val="50"/>
                  </w:textInput>
                </w:ffData>
              </w:fldChar>
            </w:r>
            <w:r>
              <w:instrText xml:space="preserve"> FORMTEXT </w:instrText>
            </w:r>
            <w:r>
              <w:fldChar w:fldCharType="separate"/>
            </w:r>
            <w:r w:rsidRPr="1A98504A">
              <w:t> </w:t>
            </w:r>
            <w:r w:rsidRPr="1A98504A">
              <w:t> </w:t>
            </w:r>
            <w:r w:rsidRPr="1A98504A">
              <w:t> </w:t>
            </w:r>
            <w:r w:rsidRPr="1A98504A">
              <w:t> </w:t>
            </w:r>
            <w:r w:rsidRPr="1A98504A">
              <w:t> </w:t>
            </w:r>
            <w:r>
              <w:fldChar w:fldCharType="end"/>
            </w:r>
            <w:r w:rsidR="00584C71" w:rsidRPr="6875B2D2">
              <w:rPr>
                <w:rStyle w:val="IASOIChar"/>
                <w:rFonts w:ascii="Times New Roman" w:hAnsi="Times New Roman"/>
                <w:b w:val="0"/>
                <w:sz w:val="24"/>
                <w:szCs w:val="24"/>
                <w:lang w:val="sq-AL"/>
              </w:rPr>
              <w:t xml:space="preserve">  </w:t>
            </w:r>
          </w:p>
        </w:tc>
      </w:tr>
      <w:tr w:rsidR="00C84F64" w:rsidRPr="001155AF" w14:paraId="735B259E" w14:textId="77777777" w:rsidTr="401C88DC">
        <w:trPr>
          <w:trHeight w:val="980"/>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EA9B943" w14:textId="77777777" w:rsidR="00CA40EE" w:rsidRPr="00325A1F" w:rsidRDefault="00CA40EE" w:rsidP="007B6556">
            <w:pPr>
              <w:spacing w:line="276" w:lineRule="auto"/>
              <w:rPr>
                <w:b/>
              </w:rPr>
            </w:pPr>
            <w:r w:rsidRPr="6875B2D2">
              <w:rPr>
                <w:b/>
              </w:rPr>
              <w:t>PUBLIKIMET DHE STRATEGJITË E LIDHURA</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0D9EF8" w14:textId="77777777" w:rsidR="00247EAA" w:rsidRDefault="00247EAA" w:rsidP="00247EAA">
            <w:pPr>
              <w:pStyle w:val="FootnoteText"/>
              <w:rPr>
                <w:rFonts w:eastAsia="Times New Roman"/>
                <w:sz w:val="24"/>
                <w:szCs w:val="24"/>
              </w:rPr>
            </w:pPr>
            <w:bookmarkStart w:id="1" w:name="_Hlk161408049"/>
            <w:r w:rsidRPr="6875B2D2">
              <w:rPr>
                <w:rFonts w:eastAsia="Times New Roman"/>
                <w:sz w:val="24"/>
                <w:szCs w:val="24"/>
              </w:rPr>
              <w:t>Plani Kombëtar për Integrimin Evropian 2024-2026, miratuar me Vendimin e Këshillit të Ministrave nr. 16, datë 11.1.2024 (“</w:t>
            </w:r>
            <w:r w:rsidRPr="6875B2D2">
              <w:rPr>
                <w:rFonts w:eastAsia="Times New Roman"/>
                <w:b/>
                <w:sz w:val="24"/>
                <w:szCs w:val="24"/>
              </w:rPr>
              <w:t>PKIE</w:t>
            </w:r>
            <w:r w:rsidRPr="6875B2D2">
              <w:rPr>
                <w:rFonts w:eastAsia="Times New Roman"/>
                <w:sz w:val="24"/>
                <w:szCs w:val="24"/>
              </w:rPr>
              <w:t>”)</w:t>
            </w:r>
          </w:p>
          <w:p w14:paraId="22E9DA84" w14:textId="77777777" w:rsidR="00AE095B" w:rsidRDefault="00AE095B" w:rsidP="00247EAA">
            <w:pPr>
              <w:pStyle w:val="FootnoteText"/>
              <w:rPr>
                <w:rFonts w:eastAsia="Times New Roman"/>
                <w:sz w:val="24"/>
                <w:szCs w:val="24"/>
              </w:rPr>
            </w:pPr>
          </w:p>
          <w:p w14:paraId="59C4E4A0" w14:textId="21CED6B9" w:rsidR="00AE095B" w:rsidRPr="00F955A6" w:rsidRDefault="00AE095B" w:rsidP="00AE095B">
            <w:pPr>
              <w:pStyle w:val="FootnoteText"/>
              <w:rPr>
                <w:rStyle w:val="Hyperlink"/>
                <w:sz w:val="24"/>
                <w:szCs w:val="24"/>
              </w:rPr>
            </w:pPr>
            <w:r w:rsidRPr="00AE095B">
              <w:rPr>
                <w:szCs w:val="24"/>
                <w:lang w:val="en-US"/>
              </w:rPr>
              <w:fldChar w:fldCharType="begin"/>
            </w:r>
            <w:r w:rsidRPr="00F955A6">
              <w:rPr>
                <w:szCs w:val="24"/>
              </w:rPr>
              <w:instrText>HYPERLINK "https://www.mod.gov.al/politikat-e-sigurise/dokumente-strategjike/6954-strategjia-kombetare-per-zhvillim-dhe-integrim-evropian-2022-2030"</w:instrText>
            </w:r>
            <w:r w:rsidRPr="00AE095B">
              <w:rPr>
                <w:szCs w:val="24"/>
                <w:lang w:val="en-US"/>
              </w:rPr>
            </w:r>
            <w:r w:rsidRPr="00AE095B">
              <w:rPr>
                <w:szCs w:val="24"/>
                <w:lang w:val="en-US"/>
              </w:rPr>
              <w:fldChar w:fldCharType="separate"/>
            </w:r>
            <w:r w:rsidRPr="00F955A6">
              <w:rPr>
                <w:rStyle w:val="Hyperlink"/>
                <w:sz w:val="24"/>
                <w:szCs w:val="24"/>
              </w:rPr>
              <w:t>Strategjia Kombëtare për Zhvillim dhe Integrim 2022 - 2030</w:t>
            </w:r>
          </w:p>
          <w:p w14:paraId="7183B42D" w14:textId="77777777" w:rsidR="00AE095B" w:rsidRPr="00F955A6" w:rsidRDefault="00AE095B" w:rsidP="00AE095B">
            <w:pPr>
              <w:pStyle w:val="FootnoteText"/>
              <w:rPr>
                <w:rStyle w:val="Hyperlink"/>
                <w:szCs w:val="24"/>
              </w:rPr>
            </w:pPr>
            <w:r w:rsidRPr="00F955A6">
              <w:rPr>
                <w:rStyle w:val="Hyperlink"/>
                <w:szCs w:val="24"/>
              </w:rPr>
              <w:br/>
            </w:r>
          </w:p>
          <w:p w14:paraId="71E199D3" w14:textId="3BE89336" w:rsidR="00AE095B" w:rsidRPr="00D531D7" w:rsidRDefault="00AE095B" w:rsidP="00AE095B">
            <w:pPr>
              <w:pStyle w:val="FootnoteText"/>
              <w:rPr>
                <w:rFonts w:eastAsia="Times New Roman"/>
                <w:sz w:val="24"/>
                <w:szCs w:val="24"/>
              </w:rPr>
            </w:pPr>
            <w:r w:rsidRPr="00AE095B">
              <w:rPr>
                <w:rFonts w:eastAsia="Times New Roman"/>
                <w:sz w:val="24"/>
                <w:szCs w:val="24"/>
              </w:rPr>
              <w:fldChar w:fldCharType="end"/>
            </w:r>
            <w:r w:rsidR="00D147DB">
              <w:rPr>
                <w:rFonts w:eastAsia="Times New Roman"/>
                <w:sz w:val="24"/>
                <w:szCs w:val="24"/>
              </w:rPr>
              <w:t>Programi Politik i Këshillit të Ministrave 2025-2029</w:t>
            </w:r>
          </w:p>
          <w:bookmarkEnd w:id="1"/>
          <w:p w14:paraId="60352F0E" w14:textId="2092E951" w:rsidR="00CA40EE" w:rsidRPr="00325A1F" w:rsidRDefault="00CA40EE" w:rsidP="00B17990">
            <w:pPr>
              <w:spacing w:line="276" w:lineRule="auto"/>
              <w:jc w:val="both"/>
            </w:pPr>
          </w:p>
        </w:tc>
      </w:tr>
      <w:tr w:rsidR="00C84F64" w:rsidRPr="00325A1F" w14:paraId="2507E6DF" w14:textId="77777777" w:rsidTr="401C88DC">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BF1011" w14:textId="77777777" w:rsidR="00CA40EE" w:rsidRPr="00325A1F" w:rsidRDefault="00CA40EE" w:rsidP="007B6556">
            <w:pPr>
              <w:spacing w:line="276" w:lineRule="auto"/>
              <w:rPr>
                <w:b/>
              </w:rPr>
            </w:pPr>
            <w:r w:rsidRPr="6875B2D2">
              <w:rPr>
                <w:b/>
              </w:rPr>
              <w:t>DATA E KONSULTIMIT PUBLIK</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D824C8" w14:textId="6650C4DA" w:rsidR="00CA40EE" w:rsidRPr="00325A1F" w:rsidRDefault="00204683" w:rsidP="00F955A6">
            <w:pPr>
              <w:tabs>
                <w:tab w:val="left" w:pos="2895"/>
              </w:tabs>
              <w:spacing w:line="276" w:lineRule="auto"/>
              <w:rPr>
                <w:rStyle w:val="PlaceholderText"/>
                <w:rFonts w:eastAsiaTheme="majorEastAsia"/>
                <w:sz w:val="16"/>
                <w:szCs w:val="16"/>
                <w:lang w:eastAsia="zh-CN"/>
              </w:rPr>
            </w:pPr>
            <w:sdt>
              <w:sdtPr>
                <w:rPr>
                  <w:rFonts w:eastAsia="Calibri"/>
                  <w:color w:val="000000"/>
                  <w:lang w:eastAsia="sq-AL"/>
                </w:rPr>
                <w:alias w:val="Data/Asnjë konsultim publik"/>
                <w:tag w:val="Data/Asnjë konsultim publik"/>
                <w:id w:val="2012326733"/>
                <w:placeholder>
                  <w:docPart w:val="FD861CBE38474042B6487F314DCD3331"/>
                </w:placeholder>
                <w:date w:fullDate="2025-06-24T00:00:00Z">
                  <w:dateFormat w:val="dd/MM/yyyy"/>
                  <w:lid w:val="en-US"/>
                  <w:storeMappedDataAs w:val="dateTime"/>
                  <w:calendar w:val="gregorian"/>
                </w:date>
              </w:sdtPr>
              <w:sdtEndPr>
                <w:rPr>
                  <w:color w:val="000000" w:themeColor="text1"/>
                </w:rPr>
              </w:sdtEndPr>
              <w:sdtContent>
                <w:r w:rsidR="003C3E95">
                  <w:rPr>
                    <w:rFonts w:eastAsia="Calibri"/>
                    <w:color w:val="000000"/>
                    <w:lang w:val="en-US" w:eastAsia="sq-AL"/>
                  </w:rPr>
                  <w:t>24/06/2025</w:t>
                </w:r>
              </w:sdtContent>
            </w:sdt>
            <w:r w:rsidR="003C3E95">
              <w:rPr>
                <w:rFonts w:eastAsia="Calibri"/>
                <w:color w:val="000000" w:themeColor="text1"/>
                <w:lang w:eastAsia="sq-AL"/>
              </w:rPr>
              <w:t>– 22.07.2025</w:t>
            </w:r>
          </w:p>
        </w:tc>
      </w:tr>
      <w:tr w:rsidR="00C84F64" w:rsidRPr="001155AF" w14:paraId="3A928518" w14:textId="77777777" w:rsidTr="401C88DC">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30C72A" w14:textId="77777777" w:rsidR="00CA40EE" w:rsidRPr="00325A1F" w:rsidRDefault="00CA40EE" w:rsidP="007B6556">
            <w:pPr>
              <w:spacing w:line="276" w:lineRule="auto"/>
              <w:rPr>
                <w:b/>
              </w:rPr>
            </w:pPr>
            <w:r w:rsidRPr="6875B2D2">
              <w:rPr>
                <w:b/>
              </w:rPr>
              <w:t xml:space="preserve">DATA E VLERËSIMIT TË NDIKIMIT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555B0A" w14:textId="277237BC" w:rsidR="00CA40EE" w:rsidRPr="00325A1F" w:rsidRDefault="00204683" w:rsidP="003B5CBC">
            <w:pPr>
              <w:spacing w:line="276" w:lineRule="auto"/>
              <w:jc w:val="both"/>
            </w:pPr>
            <w:sdt>
              <w:sdt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date w:fullDate="2025-12-15T00:00:00Z">
                  <w:dateFormat w:val="dd/MM/yyyy"/>
                  <w:lid w:val="en-US"/>
                  <w:storeMappedDataAs w:val="dateTime"/>
                  <w:calendar w:val="gregorian"/>
                </w:date>
              </w:sdtPr>
              <w:sdtContent>
                <w:r w:rsidR="00CC709C">
                  <w:rPr>
                    <w:lang w:val="en-US"/>
                  </w:rPr>
                  <w:t>15/12/2025</w:t>
                </w:r>
              </w:sdtContent>
            </w:sdt>
          </w:p>
        </w:tc>
      </w:tr>
      <w:tr w:rsidR="00C84F64" w:rsidRPr="00325A1F" w14:paraId="6185A770" w14:textId="77777777" w:rsidTr="401C88DC">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08CA3B" w14:textId="77777777" w:rsidR="00CA40EE" w:rsidRPr="00325A1F" w:rsidRDefault="00CA40EE" w:rsidP="007B6556">
            <w:pPr>
              <w:spacing w:line="276" w:lineRule="auto"/>
              <w:rPr>
                <w:b/>
              </w:rPr>
            </w:pPr>
            <w:r w:rsidRPr="6875B2D2">
              <w:rPr>
                <w:b/>
              </w:rPr>
              <w:t xml:space="preserve">A E KA SHQYRTUAR KRYEMINISTRIA VLERËSIMIN E NDIKIMIT? </w:t>
            </w:r>
          </w:p>
          <w:p w14:paraId="4642EB1C" w14:textId="77777777" w:rsidR="00CA40EE" w:rsidRPr="00325A1F" w:rsidRDefault="00CA40EE" w:rsidP="007B6556">
            <w:pPr>
              <w:spacing w:line="276" w:lineRule="auto"/>
              <w:rPr>
                <w:b/>
              </w:rPr>
            </w:pPr>
            <w:r w:rsidRPr="6875B2D2">
              <w:rPr>
                <w:b/>
              </w:rPr>
              <w:t>NËSE PO, JEPNI DATËN E SHQYRTIMIT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07B033" w14:textId="1EBFC99E" w:rsidR="006B131C" w:rsidRPr="00325A1F" w:rsidRDefault="00EA1C19" w:rsidP="007B6556">
            <w:pPr>
              <w:spacing w:line="276" w:lineRule="auto"/>
              <w:rPr>
                <w:rStyle w:val="IASOIChar"/>
                <w:rFonts w:ascii="Times New Roman" w:hAnsi="Times New Roman"/>
                <w:b w:val="0"/>
                <w:sz w:val="24"/>
                <w:szCs w:val="24"/>
                <w:lang w:val="sq-AL"/>
              </w:rPr>
            </w:pPr>
            <w:r>
              <w:rPr>
                <w:rStyle w:val="IASOIChar"/>
                <w:rFonts w:ascii="Times New Roman" w:hAnsi="Times New Roman"/>
                <w:b w:val="0"/>
                <w:sz w:val="24"/>
                <w:szCs w:val="24"/>
                <w:lang w:val="sq-AL"/>
              </w:rPr>
              <w:t>Po</w:t>
            </w:r>
          </w:p>
          <w:p w14:paraId="10427B6C" w14:textId="07D3FCB9" w:rsidR="008326DB" w:rsidRPr="00325A1F" w:rsidRDefault="00204683" w:rsidP="003B5CBC">
            <w:pPr>
              <w:tabs>
                <w:tab w:val="left" w:pos="795"/>
              </w:tabs>
              <w:spacing w:line="276" w:lineRule="auto"/>
              <w:jc w:val="both"/>
              <w:rPr>
                <w:rStyle w:val="PlaceholderText"/>
                <w:rFonts w:eastAsiaTheme="majorEastAsia"/>
              </w:rPr>
            </w:pPr>
            <w:sdt>
              <w:sdtPr>
                <w:rPr>
                  <w:color w:val="808080"/>
                </w:rPr>
                <w:alias w:val="Data e shqyrtimit nga Kryeministria"/>
                <w:tag w:val="Data e shqyrtimit nga Kryeministria"/>
                <w:id w:val="-1285451"/>
                <w:placeholder>
                  <w:docPart w:val="1AD1A34C84384DA5B2C88EB652FCD115"/>
                </w:placeholder>
                <w:date w:fullDate="2025-11-11T00:00:00Z">
                  <w:dateFormat w:val="dd/MM/yyyy"/>
                  <w:lid w:val="en-US"/>
                  <w:storeMappedDataAs w:val="dateTime"/>
                  <w:calendar w:val="gregorian"/>
                </w:date>
              </w:sdtPr>
              <w:sdtEndPr>
                <w:rPr>
                  <w:color w:val="808080" w:themeColor="background1" w:themeShade="80"/>
                </w:rPr>
              </w:sdtEndPr>
              <w:sdtContent>
                <w:r w:rsidR="00EA1C19">
                  <w:rPr>
                    <w:color w:val="808080"/>
                    <w:lang w:val="en-US"/>
                  </w:rPr>
                  <w:t>11/11/2025</w:t>
                </w:r>
              </w:sdtContent>
            </w:sdt>
          </w:p>
        </w:tc>
      </w:tr>
      <w:tr w:rsidR="00C84F64" w:rsidRPr="00325A1F" w14:paraId="75141EF4" w14:textId="77777777" w:rsidTr="401C88D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755F48" w14:textId="77777777" w:rsidR="00CA40EE" w:rsidRPr="00325A1F" w:rsidRDefault="00CA40EE" w:rsidP="007B6556">
            <w:pPr>
              <w:spacing w:line="276" w:lineRule="auto"/>
              <w:rPr>
                <w:b/>
              </w:rPr>
            </w:pPr>
            <w:r w:rsidRPr="6875B2D2">
              <w:rPr>
                <w:b/>
              </w:rPr>
              <w:t>NUMRI I VLERËSIMIT TË NDIKIMIT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D54711" w14:textId="51C8A0CA" w:rsidR="00CA40EE" w:rsidRPr="00325A1F" w:rsidRDefault="00EA1C19" w:rsidP="00D7478D">
            <w:pPr>
              <w:spacing w:line="276" w:lineRule="auto"/>
            </w:pPr>
            <w:r>
              <w:t xml:space="preserve">2025 – MEI – Nr. </w:t>
            </w:r>
            <w:r w:rsidR="00CC709C">
              <w:t>3</w:t>
            </w:r>
          </w:p>
        </w:tc>
      </w:tr>
      <w:tr w:rsidR="00C84F64" w:rsidRPr="00325A1F" w14:paraId="08E498EE" w14:textId="77777777" w:rsidTr="401C88D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F4774B" w14:textId="77777777" w:rsidR="00CA40EE" w:rsidRPr="00325A1F" w:rsidRDefault="00CA40EE" w:rsidP="007B6556">
            <w:pPr>
              <w:spacing w:line="276" w:lineRule="auto"/>
              <w:rPr>
                <w:b/>
              </w:rPr>
            </w:pPr>
            <w:r w:rsidRPr="6875B2D2">
              <w:rPr>
                <w:b/>
              </w:rPr>
              <w:t xml:space="preserve">TE DHËNA KONTAKTI </w:t>
            </w:r>
          </w:p>
          <w:p w14:paraId="00914D72" w14:textId="77777777" w:rsidR="00CA40EE" w:rsidRPr="00325A1F" w:rsidRDefault="00CA40EE" w:rsidP="007B6556">
            <w:pPr>
              <w:spacing w:line="276" w:lineRule="auto"/>
              <w:rPr>
                <w:b/>
              </w:rPr>
            </w:pPr>
            <w:r w:rsidRPr="6875B2D2">
              <w:rPr>
                <w:b/>
              </w:rPr>
              <w:t>(EMRI, E-MAIL, NUMRI I TELEFONIT TË PERSONIT TË KONTAKTIT)</w:t>
            </w:r>
          </w:p>
        </w:tc>
        <w:sdt>
          <w:sdtPr>
            <w:id w:val="1361013490"/>
            <w:placeholder>
              <w:docPart w:val="F1CA216AA704AC42BBB2F2CA05DA85DB"/>
            </w:placeholder>
          </w:sdtPr>
          <w:sdtContent>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54AFAE" w14:textId="36641B5D" w:rsidR="00CA40EE" w:rsidRPr="00325A1F" w:rsidRDefault="00BD0A1D" w:rsidP="002A4FC6">
                <w:pPr>
                  <w:spacing w:line="276" w:lineRule="auto"/>
                </w:pPr>
                <w:r w:rsidRPr="6875B2D2">
                  <w:t xml:space="preserve"> </w:t>
                </w:r>
                <w:sdt>
                  <w:sdtPr>
                    <w:id w:val="1520815334"/>
                    <w:placeholder>
                      <w:docPart w:val="CC7E60AEECDF4E42B99C2E75DF0145F7"/>
                    </w:placeholder>
                  </w:sdtPr>
                  <w:sdtContent>
                    <w:r w:rsidRPr="6875B2D2">
                      <w:t xml:space="preserve">Elda Rama, </w:t>
                    </w:r>
                    <w:hyperlink r:id="rId8">
                      <w:r w:rsidRPr="6875B2D2">
                        <w:rPr>
                          <w:rStyle w:val="Hyperlink"/>
                        </w:rPr>
                        <w:t>elda.rama@meki.gov.al</w:t>
                      </w:r>
                    </w:hyperlink>
                    <w:r w:rsidRPr="6875B2D2">
                      <w:t xml:space="preserve"> 0685128035</w:t>
                    </w:r>
                  </w:sdtContent>
                </w:sdt>
              </w:p>
            </w:tc>
          </w:sdtContent>
        </w:sdt>
      </w:tr>
      <w:tr w:rsidR="00CA40EE" w:rsidRPr="00325A1F" w14:paraId="5382CFFE" w14:textId="77777777" w:rsidTr="401C88DC">
        <w:trPr>
          <w:trHeight w:val="162"/>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A4EC" w14:textId="77777777" w:rsidR="00CA40EE" w:rsidRPr="00325A1F" w:rsidRDefault="00CA40EE" w:rsidP="007B6556">
            <w:pPr>
              <w:spacing w:line="276" w:lineRule="auto"/>
              <w:jc w:val="both"/>
              <w:rPr>
                <w:b/>
              </w:rPr>
            </w:pPr>
          </w:p>
        </w:tc>
      </w:tr>
      <w:tr w:rsidR="00CA40EE" w:rsidRPr="00325A1F" w14:paraId="5E27A2CA" w14:textId="77777777" w:rsidTr="401C88DC">
        <w:trPr>
          <w:trHeight w:val="353"/>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6DCB94" w14:textId="06FFA005" w:rsidR="00CA40EE" w:rsidRPr="00325A1F" w:rsidRDefault="00CA40EE" w:rsidP="00C133FC">
            <w:pPr>
              <w:spacing w:line="276" w:lineRule="auto"/>
              <w:jc w:val="both"/>
              <w:rPr>
                <w:b/>
              </w:rPr>
            </w:pPr>
            <w:r w:rsidRPr="6875B2D2">
              <w:rPr>
                <w:b/>
              </w:rPr>
              <w:t xml:space="preserve">PJESA 1: PËRMBLEDHJE EKZEKUTIVE </w:t>
            </w:r>
            <w:r w:rsidR="00C133FC" w:rsidRPr="6875B2D2">
              <w:rPr>
                <w:b/>
              </w:rPr>
              <w:t>(maksimumi 2 faqe)</w:t>
            </w:r>
          </w:p>
        </w:tc>
      </w:tr>
      <w:tr w:rsidR="00CA40EE" w:rsidRPr="001155AF" w14:paraId="677778F6" w14:textId="77777777" w:rsidTr="401C88DC">
        <w:trPr>
          <w:trHeight w:val="552"/>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CF7CD" w14:textId="77777777" w:rsidR="00CA40EE" w:rsidRPr="00325A1F" w:rsidRDefault="00CA40EE" w:rsidP="007B6556">
            <w:pPr>
              <w:spacing w:line="276" w:lineRule="auto"/>
              <w:jc w:val="both"/>
              <w:rPr>
                <w:b/>
              </w:rPr>
            </w:pPr>
            <w:r w:rsidRPr="6875B2D2">
              <w:rPr>
                <w:b/>
              </w:rPr>
              <w:t>PËRKUFIZIMI I PROBLEMIT</w:t>
            </w:r>
          </w:p>
          <w:p w14:paraId="04059F76" w14:textId="27F0E1D2" w:rsidR="00071110" w:rsidRPr="000D5974" w:rsidRDefault="001E0D36" w:rsidP="00027038">
            <w:pPr>
              <w:spacing w:line="276" w:lineRule="auto"/>
              <w:jc w:val="both"/>
              <w:rPr>
                <w:i/>
              </w:rPr>
            </w:pPr>
            <w:r w:rsidRPr="1A98504A">
              <w:rPr>
                <w:i/>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1A98504A">
              <w:rPr>
                <w:i/>
              </w:rPr>
              <w:instrText xml:space="preserve"> FORMTEXT </w:instrText>
            </w:r>
            <w:r w:rsidRPr="1A98504A">
              <w:rPr>
                <w:i/>
              </w:rPr>
            </w:r>
            <w:r w:rsidRPr="1A98504A">
              <w:rPr>
                <w:i/>
              </w:rPr>
              <w:fldChar w:fldCharType="separate"/>
            </w:r>
            <w:r w:rsidRPr="1A98504A">
              <w:rPr>
                <w:i/>
              </w:rPr>
              <w:t xml:space="preserve">Cili është problemi në shqyrtim dhe cilat janë shkaqet e tij? Jepni arsyet e nevojës së ndërhyrjes së qeverisë. (jo më shumë se 10 rreshta) </w:t>
            </w:r>
            <w:r w:rsidRPr="1A98504A">
              <w:rPr>
                <w:i/>
              </w:rPr>
              <w:fldChar w:fldCharType="end"/>
            </w:r>
            <w:bookmarkEnd w:id="2"/>
          </w:p>
          <w:p w14:paraId="51432838" w14:textId="77777777" w:rsidR="00EA1C19" w:rsidRPr="00F946E0" w:rsidRDefault="00EA1C19" w:rsidP="00EA1C19">
            <w:pPr>
              <w:spacing w:after="160" w:line="278" w:lineRule="auto"/>
              <w:jc w:val="both"/>
            </w:pPr>
            <w:r w:rsidRPr="1A98504A">
              <w:rPr>
                <w:rFonts w:eastAsia="Calibri"/>
                <w:color w:val="000000" w:themeColor="text1"/>
                <w:szCs w:val="24"/>
              </w:rPr>
              <w:t xml:space="preserve">Problemi ka karakter rregullator dhe lidhet me mungesën e përafrimit të plotë të Ligjit nr. 66/2016, </w:t>
            </w:r>
            <w:r w:rsidRPr="1A98504A">
              <w:rPr>
                <w:rFonts w:eastAsia="Calibri"/>
                <w:i/>
                <w:color w:val="000000" w:themeColor="text1"/>
                <w:szCs w:val="24"/>
              </w:rPr>
              <w:t>“Për shërbimet në Republikën e Shqipërisë”</w:t>
            </w:r>
            <w:r w:rsidRPr="1A98504A">
              <w:rPr>
                <w:rFonts w:eastAsia="Calibri"/>
                <w:color w:val="000000" w:themeColor="text1"/>
                <w:szCs w:val="24"/>
              </w:rPr>
              <w:t>, me Direktivën 2006/123/KE</w:t>
            </w:r>
            <w:r>
              <w:rPr>
                <w:rFonts w:eastAsia="Calibri"/>
                <w:color w:val="000000" w:themeColor="text1"/>
                <w:szCs w:val="24"/>
              </w:rPr>
              <w:t>,</w:t>
            </w:r>
            <w:r w:rsidRPr="00C27ECE">
              <w:t xml:space="preserve"> e cila përbën bazën rregullatore të Bashkimit Evropian për lëvizjen e lirë të shërbimeve.</w:t>
            </w:r>
            <w:r w:rsidRPr="1A98504A">
              <w:rPr>
                <w:rFonts w:eastAsia="Calibri"/>
                <w:color w:val="000000" w:themeColor="text1"/>
                <w:szCs w:val="24"/>
              </w:rPr>
              <w:t>. Kjo gjendje sjell boshllëqe ligjore dhe praktike në lidhje me ofrimin e shërbimeve, sidomos në kontekstin e aderimit të ardhshëm të Shqipërisë në Bashkimin Evropian.</w:t>
            </w:r>
            <w:r>
              <w:rPr>
                <w:rFonts w:eastAsia="Calibri"/>
                <w:color w:val="000000" w:themeColor="text1"/>
                <w:szCs w:val="24"/>
              </w:rPr>
              <w:t xml:space="preserve"> </w:t>
            </w:r>
            <w:r w:rsidRPr="00021108">
              <w:t>Meqë pjesë të konsiderueshme të Direktivës nuk janë të integruara në legjislacionin shqiptar, sistemi aktual nuk arrin të sigurojë standardet e nevojshme për një treg shërbimesh të hapur, funksional dhe të harmonizuar me rregullat evropiane.</w:t>
            </w:r>
          </w:p>
          <w:p w14:paraId="186AD998" w14:textId="77777777" w:rsidR="00EA1C19" w:rsidRPr="00021108" w:rsidRDefault="00EA1C19" w:rsidP="00EA1C19">
            <w:pPr>
              <w:spacing w:after="160" w:line="278" w:lineRule="auto"/>
              <w:jc w:val="both"/>
            </w:pPr>
            <w:r w:rsidRPr="1A98504A">
              <w:rPr>
                <w:rFonts w:eastAsia="Calibri"/>
                <w:color w:val="000000" w:themeColor="text1"/>
                <w:szCs w:val="24"/>
              </w:rPr>
              <w:t xml:space="preserve">Dispozitat që janë aktualisht të përafruara në Ligjin për Shërbimet nuk disiplinojnë një pjesë të shërbimeve apo kushteve të ofrimit të tyre, të cilat do të jenë të domosdoshme në momentin e aderimit në BE. </w:t>
            </w:r>
            <w:r w:rsidRPr="00021108">
              <w:t>Në praktikë, Ligji për Shërbimet i mbuluar vetëm pjesërisht nga dispozitat e Direktivës, nuk rregullon një sërë elementesh thelbësore të ofrimit të shërbimeve në BE. Për pasojë, Shqipëria mbetet jashtë mekanizmave që garantojnë transparencën, lehtësinë e aksesit në treg dhe lëvizjen e lirë të operatorëve ekonomikë.</w:t>
            </w:r>
          </w:p>
          <w:p w14:paraId="562A4940" w14:textId="77777777" w:rsidR="00EA1C19" w:rsidRPr="00FF3999" w:rsidRDefault="00EA1C19" w:rsidP="00EA1C19">
            <w:pPr>
              <w:pStyle w:val="NoSpacing"/>
              <w:tabs>
                <w:tab w:val="left" w:pos="720"/>
              </w:tabs>
              <w:spacing w:after="120" w:line="276" w:lineRule="auto"/>
              <w:jc w:val="both"/>
              <w:rPr>
                <w:rFonts w:ascii="Times New Roman" w:eastAsia="Calibri" w:hAnsi="Times New Roman"/>
                <w:color w:val="000000"/>
                <w:sz w:val="24"/>
                <w:szCs w:val="24"/>
                <w:lang w:val="sq-AL"/>
              </w:rPr>
            </w:pPr>
            <w:r w:rsidRPr="1A98504A">
              <w:rPr>
                <w:rFonts w:ascii="Times New Roman" w:eastAsia="Calibri" w:hAnsi="Times New Roman"/>
                <w:color w:val="000000" w:themeColor="text1"/>
                <w:sz w:val="24"/>
                <w:szCs w:val="24"/>
                <w:lang w:val="sq-AL"/>
              </w:rPr>
              <w:t>Siç është faktuar edhe në raportet e progresit për Shqipërinë të cituara më sipër, mungojnë parashikime të rëndësishme të Direktivës, të cilat nuk janë ende të përfshira në Ligjin për Shërbimet, si më poshtë:</w:t>
            </w:r>
          </w:p>
          <w:p w14:paraId="2F48FC76" w14:textId="77777777" w:rsidR="00EA1C19" w:rsidRPr="00F946E0" w:rsidRDefault="00EA1C19" w:rsidP="00EA1C19">
            <w:pPr>
              <w:pStyle w:val="ListParagraph"/>
              <w:numPr>
                <w:ilvl w:val="0"/>
                <w:numId w:val="13"/>
              </w:numPr>
              <w:spacing w:after="160" w:line="278" w:lineRule="auto"/>
              <w:jc w:val="both"/>
              <w:rPr>
                <w:rFonts w:ascii="Times New Roman" w:hAnsi="Times New Roman"/>
                <w:sz w:val="24"/>
                <w:szCs w:val="24"/>
              </w:rPr>
            </w:pPr>
            <w:r w:rsidRPr="00F946E0">
              <w:rPr>
                <w:rFonts w:ascii="Times New Roman" w:eastAsia="Calibri" w:hAnsi="Times New Roman"/>
                <w:color w:val="000000" w:themeColor="text1"/>
                <w:sz w:val="24"/>
                <w:szCs w:val="24"/>
              </w:rPr>
              <w:t>Liria e ofrimit të shërbimeve ndërkufitare (nenet 16–18 të Direktivës) mbetet e pa përfshirë. Ky institucion juridik mundëson ofrimin e përkohshëm të shërbimeve nga operatorë të themeluar dhe të licencuar në vendet anëtare të BE, pa qenë e nevojshme vendosja e tyre në territorin e Shqipërisë.</w:t>
            </w:r>
            <w:r w:rsidRPr="00F946E0">
              <w:rPr>
                <w:rFonts w:ascii="Times New Roman" w:hAnsi="Times New Roman"/>
                <w:sz w:val="24"/>
                <w:szCs w:val="24"/>
              </w:rPr>
              <w:t xml:space="preserve"> Direktiva parashikon mundësinë që operatorët e licencuar në një vend të BE-së të ofrojnë përkohësisht shërbime në një vend tjetër pa qenë të detyruar të vendosen fizikisht atje. Kjo liri (nenet 16–18 të Direktivës) mungon në ligjin shqiptar. Si rezultat, Shqipëria nuk i njeh ende plotësisht mekanizmat që mundësojnë qarkullimin e shërbimeve ndërkufitare—një element kyç për funksionimin e tregut të brendshëm evropian.</w:t>
            </w:r>
          </w:p>
          <w:p w14:paraId="1E09F709" w14:textId="77777777" w:rsidR="00EA1C19" w:rsidRPr="00F946E0" w:rsidRDefault="00EA1C19" w:rsidP="00EA1C19">
            <w:pPr>
              <w:pStyle w:val="ListParagraph"/>
              <w:numPr>
                <w:ilvl w:val="0"/>
                <w:numId w:val="13"/>
              </w:numPr>
              <w:spacing w:after="160" w:line="278" w:lineRule="auto"/>
              <w:jc w:val="both"/>
              <w:rPr>
                <w:rFonts w:ascii="Times New Roman" w:hAnsi="Times New Roman"/>
                <w:sz w:val="24"/>
                <w:szCs w:val="24"/>
              </w:rPr>
            </w:pPr>
            <w:r w:rsidRPr="00F946E0">
              <w:rPr>
                <w:rFonts w:ascii="Times New Roman" w:hAnsi="Times New Roman"/>
                <w:sz w:val="24"/>
                <w:szCs w:val="24"/>
              </w:rPr>
              <w:t xml:space="preserve">Direktiva kërkon shkëmbim informacioni, ndihmë të ndërsjellë dhe mbikëqyrje të koordinuar mes vendeve të BE dhe ZEE-së. </w:t>
            </w:r>
            <w:r w:rsidRPr="00F946E0">
              <w:rPr>
                <w:rFonts w:ascii="Times New Roman" w:eastAsia="Calibri" w:hAnsi="Times New Roman"/>
                <w:color w:val="000000" w:themeColor="text1"/>
                <w:sz w:val="24"/>
                <w:szCs w:val="24"/>
              </w:rPr>
              <w:t xml:space="preserve">Direktivës i përket një sërë dispozitash që rregullojnë shkëmbimin e informacionit, mbikëqyrjen dhe ndihmën e ndërsjellë mes autoriteteve kombëtare (Kreu IV i Direktivës) Bashkëpunimi administrativ mes vendeve të BE dhe ZEE mungon në ligjin aktual, </w:t>
            </w:r>
            <w:r w:rsidRPr="00F946E0">
              <w:rPr>
                <w:rFonts w:ascii="Times New Roman" w:hAnsi="Times New Roman"/>
                <w:sz w:val="24"/>
                <w:szCs w:val="24"/>
              </w:rPr>
              <w:t>duke e bërë të pamundur pjesëmarrjen në mekanizmat e monitorimit dhe zbatimit që mbështesin qarkullimin e lirë të shërbimeve</w:t>
            </w:r>
            <w:r w:rsidRPr="0031753B">
              <w:rPr>
                <w:rFonts w:ascii="Times New Roman" w:hAnsi="Times New Roman"/>
                <w:sz w:val="24"/>
                <w:szCs w:val="24"/>
              </w:rPr>
              <w:t>;</w:t>
            </w:r>
          </w:p>
          <w:p w14:paraId="7F56E8A3" w14:textId="77777777" w:rsidR="00EA1C19" w:rsidRPr="00F955A6" w:rsidRDefault="00EA1C19" w:rsidP="00CC709C">
            <w:pPr>
              <w:pStyle w:val="ListParagraph"/>
              <w:numPr>
                <w:ilvl w:val="0"/>
                <w:numId w:val="36"/>
              </w:numPr>
              <w:spacing w:after="160" w:line="278" w:lineRule="auto"/>
              <w:jc w:val="both"/>
              <w:rPr>
                <w:rFonts w:ascii="Times New Roman" w:hAnsi="Times New Roman"/>
                <w:b/>
                <w:bCs/>
                <w:sz w:val="24"/>
                <w:szCs w:val="24"/>
              </w:rPr>
            </w:pPr>
            <w:r w:rsidRPr="00F946E0">
              <w:rPr>
                <w:rFonts w:ascii="Times New Roman" w:eastAsiaTheme="minorEastAsia" w:hAnsi="Times New Roman"/>
                <w:b/>
                <w:bCs/>
                <w:sz w:val="24"/>
                <w:szCs w:val="24"/>
              </w:rPr>
              <w:t xml:space="preserve">    Mungesë rregullimi për ndërveprimin me IMI. </w:t>
            </w:r>
            <w:r w:rsidRPr="00F946E0">
              <w:rPr>
                <w:rFonts w:ascii="Times New Roman" w:eastAsia="Calibri" w:hAnsi="Times New Roman"/>
                <w:color w:val="000000" w:themeColor="text1"/>
                <w:sz w:val="24"/>
                <w:szCs w:val="24"/>
              </w:rPr>
              <w:t xml:space="preserve">Parakushtet rregullatore për ndërveprimin me Sistemin e Informacionit të Tregut të Brendshëm (IMI) nuk janë të adresuara. Ky sistem online, i krijuar në vitin 2008 për zbatimin e Direktivës së Shërbimeve, siguron shkëmbimin praktik të informacionit ndërmjet autoriteteve publike. </w:t>
            </w:r>
            <w:r w:rsidRPr="00F946E0">
              <w:rPr>
                <w:rFonts w:ascii="Times New Roman" w:hAnsi="Times New Roman"/>
                <w:sz w:val="24"/>
                <w:szCs w:val="24"/>
              </w:rPr>
              <w:t>Sistemi i Informacionit të Tregut të Brendshëm (IMI) është platforma digjitale që mundëson komunikimin praktik ndërmjet autoriteteve. Ligji shqiptar nuk përcakton asnjë bazë rregullatore për përdorimin e IMI-t, çka përjashton autoritetet shqiptare nga një mekanizëm bazë që praktikohet prej më shumë se një dekade në BE.</w:t>
            </w:r>
          </w:p>
          <w:p w14:paraId="4427A349" w14:textId="77777777" w:rsidR="00EA1C19" w:rsidRPr="00F946E0" w:rsidRDefault="00EA1C19" w:rsidP="00CC709C">
            <w:pPr>
              <w:pStyle w:val="ListParagraph"/>
              <w:numPr>
                <w:ilvl w:val="0"/>
                <w:numId w:val="36"/>
              </w:numPr>
              <w:spacing w:after="160" w:line="278" w:lineRule="auto"/>
              <w:jc w:val="both"/>
              <w:rPr>
                <w:rFonts w:ascii="Times New Roman" w:hAnsi="Times New Roman"/>
                <w:sz w:val="24"/>
                <w:szCs w:val="24"/>
              </w:rPr>
            </w:pPr>
            <w:r w:rsidRPr="00F955A6">
              <w:rPr>
                <w:rFonts w:ascii="Times New Roman" w:eastAsiaTheme="minorEastAsia" w:hAnsi="Times New Roman"/>
                <w:b/>
                <w:bCs/>
                <w:sz w:val="24"/>
                <w:szCs w:val="24"/>
              </w:rPr>
              <w:t xml:space="preserve">    Paqartësi lidhur me shërbimet multidisiplinore. </w:t>
            </w:r>
            <w:r w:rsidRPr="00F946E0">
              <w:rPr>
                <w:rFonts w:ascii="Times New Roman" w:eastAsia="Calibri" w:hAnsi="Times New Roman"/>
                <w:color w:val="000000" w:themeColor="text1"/>
                <w:sz w:val="24"/>
                <w:szCs w:val="24"/>
              </w:rPr>
              <w:t>Ofrimi i shërbimeve multidisiplinore nuk është i disiplinuar me qartësi. Direktivës i përket parimi që një operator të mos kufizohet në ushtrimin e veprimtarive të tij tregtare në disa disiplina, përveç rasteve kur parashikohen qartë kushtet paraprake (neni 25 i Direktivës).</w:t>
            </w:r>
            <w:r w:rsidRPr="00F946E0">
              <w:rPr>
                <w:rFonts w:ascii="Times New Roman" w:hAnsi="Times New Roman"/>
                <w:sz w:val="24"/>
                <w:szCs w:val="24"/>
              </w:rPr>
              <w:t xml:space="preserve"> Direktiva lejon ofrimin e shërbimeve multidisiplinore, përveç rasteve kur shtetet vendosin kufizime të bazuara në kritere të justifikuara. Në ligjin shqiptar, ky parim nuk është i qartë. Kjo krijon pasiguri për operatorët që ofrojnë disa veprimtari njëherësh (p.sh. shërbime inxhinierike të kombinuara me konsulencë juridike ose financiare).</w:t>
            </w:r>
          </w:p>
          <w:p w14:paraId="3FAFFAEA" w14:textId="78A2164C" w:rsidR="00EA1C19" w:rsidRPr="00F946E0" w:rsidRDefault="00EA1C19" w:rsidP="00CC709C">
            <w:pPr>
              <w:pStyle w:val="ListParagraph"/>
              <w:numPr>
                <w:ilvl w:val="0"/>
                <w:numId w:val="36"/>
              </w:numPr>
              <w:spacing w:after="160" w:line="278" w:lineRule="auto"/>
              <w:jc w:val="both"/>
              <w:rPr>
                <w:rFonts w:ascii="Times New Roman" w:hAnsi="Times New Roman"/>
                <w:sz w:val="24"/>
                <w:szCs w:val="24"/>
              </w:rPr>
            </w:pPr>
            <w:r w:rsidRPr="00F946E0">
              <w:rPr>
                <w:rFonts w:ascii="Times New Roman" w:eastAsiaTheme="minorEastAsia" w:hAnsi="Times New Roman"/>
                <w:b/>
                <w:bCs/>
                <w:sz w:val="24"/>
                <w:szCs w:val="24"/>
              </w:rPr>
              <w:t xml:space="preserve">  Mosnjohja e kontratave të sigurimit dhe garancive profesionale të vendeve të BE. </w:t>
            </w:r>
            <w:r w:rsidRPr="00F946E0">
              <w:rPr>
                <w:rFonts w:ascii="Times New Roman" w:hAnsi="Times New Roman"/>
                <w:sz w:val="24"/>
                <w:szCs w:val="24"/>
              </w:rPr>
              <w:t>Ligji aktual nuk parashikon njohjen e kontratave të sigurimit apo garancive të përgjegjësisë profesionale të lëshuara nga vendet anëtare. Kjo situatë mund të interpretohet si diskriminuese dhe bën të vështirë operimin e përkohshëm të profesionistëve të BE-së në territorin shqiptar, n</w:t>
            </w:r>
            <w:r w:rsidR="00D147DB">
              <w:rPr>
                <w:rFonts w:ascii="Times New Roman" w:hAnsi="Times New Roman"/>
                <w:sz w:val="24"/>
                <w:szCs w:val="24"/>
              </w:rPr>
              <w:t>ë</w:t>
            </w:r>
            <w:r w:rsidRPr="00F946E0">
              <w:rPr>
                <w:rFonts w:ascii="Times New Roman" w:hAnsi="Times New Roman"/>
                <w:sz w:val="24"/>
                <w:szCs w:val="24"/>
              </w:rPr>
              <w:t xml:space="preserve"> kuptim t</w:t>
            </w:r>
            <w:r w:rsidR="00D147DB">
              <w:rPr>
                <w:rFonts w:ascii="Times New Roman" w:hAnsi="Times New Roman"/>
                <w:sz w:val="24"/>
                <w:szCs w:val="24"/>
              </w:rPr>
              <w:t>ë</w:t>
            </w:r>
            <w:r w:rsidRPr="00F946E0">
              <w:rPr>
                <w:rFonts w:ascii="Times New Roman" w:hAnsi="Times New Roman"/>
                <w:sz w:val="24"/>
                <w:szCs w:val="24"/>
              </w:rPr>
              <w:t xml:space="preserve"> nenit 23 t</w:t>
            </w:r>
            <w:r w:rsidR="00D147DB">
              <w:rPr>
                <w:rFonts w:ascii="Times New Roman" w:hAnsi="Times New Roman"/>
                <w:sz w:val="24"/>
                <w:szCs w:val="24"/>
              </w:rPr>
              <w:t>ë</w:t>
            </w:r>
            <w:r w:rsidRPr="00F946E0">
              <w:rPr>
                <w:rFonts w:ascii="Times New Roman" w:hAnsi="Times New Roman"/>
                <w:sz w:val="24"/>
                <w:szCs w:val="24"/>
              </w:rPr>
              <w:t xml:space="preserve"> Direktiv</w:t>
            </w:r>
            <w:r w:rsidR="00D147DB">
              <w:rPr>
                <w:rFonts w:ascii="Times New Roman" w:hAnsi="Times New Roman"/>
                <w:sz w:val="24"/>
                <w:szCs w:val="24"/>
              </w:rPr>
              <w:t>ë</w:t>
            </w:r>
            <w:r w:rsidRPr="00F946E0">
              <w:rPr>
                <w:rFonts w:ascii="Times New Roman" w:hAnsi="Times New Roman"/>
                <w:sz w:val="24"/>
                <w:szCs w:val="24"/>
              </w:rPr>
              <w:t>s.</w:t>
            </w:r>
          </w:p>
          <w:p w14:paraId="5D39C337" w14:textId="77777777" w:rsidR="00EA1C19" w:rsidRPr="00F946E0" w:rsidRDefault="00EA1C19" w:rsidP="00CC709C">
            <w:pPr>
              <w:pStyle w:val="ListParagraph"/>
              <w:numPr>
                <w:ilvl w:val="0"/>
                <w:numId w:val="14"/>
              </w:numPr>
              <w:spacing w:after="160" w:line="278" w:lineRule="auto"/>
              <w:jc w:val="both"/>
              <w:rPr>
                <w:rFonts w:ascii="Times New Roman" w:hAnsi="Times New Roman"/>
                <w:sz w:val="24"/>
                <w:szCs w:val="24"/>
              </w:rPr>
            </w:pPr>
            <w:r w:rsidRPr="00F946E0">
              <w:rPr>
                <w:rFonts w:ascii="Times New Roman" w:eastAsia="Calibri" w:hAnsi="Times New Roman"/>
                <w:color w:val="000000" w:themeColor="text1"/>
                <w:sz w:val="24"/>
                <w:szCs w:val="24"/>
              </w:rPr>
              <w:t xml:space="preserve">   Të drejtat e përfituesve të shërbimeve janë parashikuar pjesërisht, por nuk garantojnë përputhshmëri të plotë me standardet e përcaktuara në nenin 12 të Direktivës. </w:t>
            </w:r>
            <w:r w:rsidRPr="00F946E0">
              <w:rPr>
                <w:rFonts w:ascii="Times New Roman" w:hAnsi="Times New Roman"/>
                <w:sz w:val="24"/>
                <w:szCs w:val="24"/>
              </w:rPr>
              <w:t>Neni 12 i Direktivës kërkon standarde të qarta për transparencën, cilësinë dhe informimin, të cilat aktualisht nuk janë të garantuara plotësisht në ligjin shqiptar.</w:t>
            </w:r>
          </w:p>
          <w:p w14:paraId="0C02F784" w14:textId="77777777" w:rsidR="00EA1C19" w:rsidRPr="00F946E0" w:rsidRDefault="00EA1C19" w:rsidP="00CC709C">
            <w:pPr>
              <w:pStyle w:val="ListParagraph"/>
              <w:numPr>
                <w:ilvl w:val="0"/>
                <w:numId w:val="14"/>
              </w:numPr>
              <w:spacing w:after="160" w:line="278" w:lineRule="auto"/>
              <w:jc w:val="both"/>
              <w:rPr>
                <w:rFonts w:ascii="Times New Roman" w:hAnsi="Times New Roman"/>
                <w:b/>
                <w:bCs/>
                <w:sz w:val="24"/>
                <w:szCs w:val="24"/>
                <w:lang w:val="it-IT"/>
              </w:rPr>
            </w:pPr>
            <w:r w:rsidRPr="00F955A6">
              <w:rPr>
                <w:rFonts w:ascii="Times New Roman" w:eastAsiaTheme="minorEastAsia" w:hAnsi="Times New Roman"/>
                <w:b/>
                <w:bCs/>
                <w:sz w:val="24"/>
                <w:szCs w:val="24"/>
              </w:rPr>
              <w:t xml:space="preserve">  </w:t>
            </w:r>
            <w:r w:rsidRPr="00F946E0">
              <w:rPr>
                <w:rFonts w:ascii="Times New Roman" w:eastAsiaTheme="minorEastAsia" w:hAnsi="Times New Roman"/>
                <w:b/>
                <w:bCs/>
                <w:sz w:val="24"/>
                <w:szCs w:val="24"/>
                <w:lang w:val="it-IT"/>
              </w:rPr>
              <w:t xml:space="preserve">Mospërputhshmëri me ligjet e tjera sektoriale. </w:t>
            </w:r>
            <w:r w:rsidRPr="00F946E0">
              <w:rPr>
                <w:rFonts w:ascii="Times New Roman" w:hAnsi="Times New Roman"/>
                <w:sz w:val="24"/>
                <w:szCs w:val="24"/>
                <w:lang w:val="it-IT"/>
              </w:rPr>
              <w:t>Përveç Ligjit për Shërbimet, mungesa e harmonizimit me konceptet e Direktivës prek edhe legjislacionin sektorial (p.sh. në ndërtim, shëndetësi, profesione të rregulluara), duke krijuar një fragmentim të përgjithshëm të kornizës rregullatore.</w:t>
            </w:r>
          </w:p>
          <w:p w14:paraId="2F935670" w14:textId="77777777" w:rsidR="00FA4214" w:rsidRDefault="00FA4214" w:rsidP="00770A91">
            <w:pPr>
              <w:spacing w:line="276" w:lineRule="auto"/>
              <w:jc w:val="both"/>
              <w:rPr>
                <w:rFonts w:eastAsia="Calibri"/>
                <w:color w:val="000000" w:themeColor="text1"/>
              </w:rPr>
            </w:pPr>
          </w:p>
          <w:p w14:paraId="1DA6D926" w14:textId="33110902" w:rsidR="00770A91" w:rsidRPr="00770A91" w:rsidRDefault="00770A91" w:rsidP="00770A91">
            <w:pPr>
              <w:spacing w:line="276" w:lineRule="auto"/>
              <w:jc w:val="both"/>
              <w:rPr>
                <w:rFonts w:eastAsia="Calibri"/>
                <w:color w:val="000000" w:themeColor="text1"/>
              </w:rPr>
            </w:pPr>
            <w:r w:rsidRPr="00770A91">
              <w:rPr>
                <w:rFonts w:eastAsia="Calibri"/>
                <w:color w:val="000000" w:themeColor="text1"/>
              </w:rPr>
              <w:t>Nevoja e ndërhyrjes qeveritare buron nga detyrimi për të përmbushur acquis communautaire, i cili është i sanksionuar në nenin 70 të Marrëveshjes së Stabilizim-Asociimit. Kjo kërkesë është theksuar në mënyrë të vazhdueshme nga institucionet e BE-së, përfshirë procesin e screening-ut bilateral të janarit 2023 dhe raportet vjetore të progresit 2021–2023. Për të adresuar mungesat e shumta, hartimi i një ligji të ri tërësisht të përafruar me Direktivën përbën zgjidhjen e vetme të zbatueshme dhe të qëndrueshme.</w:t>
            </w:r>
          </w:p>
          <w:p w14:paraId="4843AE03" w14:textId="12B65A88" w:rsidR="001E0D36" w:rsidRPr="000D5974" w:rsidRDefault="001E0D36" w:rsidP="001E0D36"/>
        </w:tc>
      </w:tr>
      <w:tr w:rsidR="00CA40EE" w:rsidRPr="00325A1F" w14:paraId="39CA30C9" w14:textId="77777777" w:rsidTr="401C88DC">
        <w:trPr>
          <w:trHeight w:val="543"/>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6755" w14:textId="6BC2B85F" w:rsidR="00CA40EE" w:rsidRPr="00325A1F" w:rsidRDefault="00CA40EE" w:rsidP="007B6556">
            <w:pPr>
              <w:spacing w:line="276" w:lineRule="auto"/>
              <w:jc w:val="both"/>
              <w:rPr>
                <w:b/>
                <w:i/>
              </w:rPr>
            </w:pPr>
            <w:r w:rsidRPr="6875B2D2">
              <w:rPr>
                <w:b/>
              </w:rPr>
              <w:t>OBJEKTIVAT</w:t>
            </w:r>
          </w:p>
          <w:p w14:paraId="07A69F56" w14:textId="58AF77E9" w:rsidR="008576E4" w:rsidRDefault="006E7CFB" w:rsidP="00C05B46">
            <w:pPr>
              <w:spacing w:line="276" w:lineRule="auto"/>
              <w:jc w:val="both"/>
              <w:rPr>
                <w:i/>
              </w:rPr>
            </w:pPr>
            <w:r w:rsidRPr="1A98504A">
              <w:rPr>
                <w:i/>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1A98504A">
              <w:rPr>
                <w:i/>
              </w:rPr>
              <w:instrText xml:space="preserve"> FORMTEXT </w:instrText>
            </w:r>
            <w:r w:rsidRPr="1A98504A">
              <w:rPr>
                <w:i/>
              </w:rPr>
            </w:r>
            <w:r w:rsidRPr="1A98504A">
              <w:rPr>
                <w:i/>
              </w:rPr>
              <w:fldChar w:fldCharType="separate"/>
            </w:r>
            <w:r w:rsidRPr="1A98504A">
              <w:rPr>
                <w:i/>
              </w:rPr>
              <w:t>Cilat janë objektivat dhe rezultatet e synuara të propozimit? (jo më shumë se 7  rreshta)</w:t>
            </w:r>
            <w:r w:rsidRPr="1A98504A">
              <w:rPr>
                <w:i/>
              </w:rPr>
              <w:fldChar w:fldCharType="end"/>
            </w:r>
            <w:bookmarkEnd w:id="3"/>
          </w:p>
          <w:p w14:paraId="5E91D894" w14:textId="77777777" w:rsidR="00BD0A1D" w:rsidRDefault="00BD0A1D" w:rsidP="00BD0A1D">
            <w:pPr>
              <w:spacing w:after="120" w:line="288" w:lineRule="auto"/>
              <w:jc w:val="both"/>
              <w:rPr>
                <w:rFonts w:eastAsia="Calibri"/>
                <w:color w:val="000000"/>
              </w:rPr>
            </w:pPr>
          </w:p>
          <w:p w14:paraId="6E1E2390" w14:textId="77777777" w:rsidR="00FA4214" w:rsidRPr="0002022E" w:rsidRDefault="00FA4214" w:rsidP="00FA4214">
            <w:pPr>
              <w:spacing w:before="240" w:line="276" w:lineRule="auto"/>
              <w:jc w:val="both"/>
              <w:rPr>
                <w:rFonts w:eastAsiaTheme="majorEastAsia"/>
                <w:color w:val="000000" w:themeColor="text1"/>
              </w:rPr>
            </w:pPr>
            <w:r w:rsidRPr="0002022E">
              <w:rPr>
                <w:rFonts w:eastAsiaTheme="majorEastAsia"/>
                <w:color w:val="000000" w:themeColor="text1"/>
              </w:rPr>
              <w:t>Objektivat kryesorë të politikës janë:</w:t>
            </w:r>
          </w:p>
          <w:p w14:paraId="15473530" w14:textId="4D78A768" w:rsidR="00FA4214" w:rsidRPr="0002022E" w:rsidRDefault="00FA4214" w:rsidP="00CC709C">
            <w:pPr>
              <w:pStyle w:val="ListParagraph"/>
              <w:numPr>
                <w:ilvl w:val="0"/>
                <w:numId w:val="35"/>
              </w:numPr>
              <w:tabs>
                <w:tab w:val="clear" w:pos="567"/>
                <w:tab w:val="left" w:pos="810"/>
              </w:tabs>
              <w:spacing w:before="240" w:line="276" w:lineRule="auto"/>
              <w:ind w:left="810"/>
              <w:jc w:val="both"/>
              <w:rPr>
                <w:rFonts w:ascii="Times New Roman" w:eastAsiaTheme="majorEastAsia" w:hAnsi="Times New Roman"/>
                <w:color w:val="000000" w:themeColor="text1"/>
                <w:sz w:val="24"/>
                <w:szCs w:val="24"/>
              </w:rPr>
            </w:pPr>
            <w:r>
              <w:rPr>
                <w:rFonts w:ascii="Times New Roman" w:eastAsiaTheme="majorEastAsia" w:hAnsi="Times New Roman"/>
                <w:color w:val="000000" w:themeColor="text1"/>
                <w:sz w:val="24"/>
                <w:szCs w:val="24"/>
              </w:rPr>
              <w:t>Harmonizimi i plot</w:t>
            </w:r>
            <w:r w:rsidR="00D147DB">
              <w:rPr>
                <w:rFonts w:ascii="Times New Roman" w:eastAsiaTheme="majorEastAsia" w:hAnsi="Times New Roman"/>
                <w:color w:val="000000" w:themeColor="text1"/>
                <w:sz w:val="24"/>
                <w:szCs w:val="24"/>
              </w:rPr>
              <w:t>ë</w:t>
            </w:r>
            <w:r>
              <w:rPr>
                <w:rFonts w:ascii="Times New Roman" w:eastAsiaTheme="majorEastAsia" w:hAnsi="Times New Roman"/>
                <w:color w:val="000000" w:themeColor="text1"/>
                <w:sz w:val="24"/>
                <w:szCs w:val="24"/>
              </w:rPr>
              <w:t xml:space="preserve"> i legjislacionit t</w:t>
            </w:r>
            <w:r w:rsidR="00D147DB">
              <w:rPr>
                <w:rFonts w:ascii="Times New Roman" w:eastAsiaTheme="majorEastAsia" w:hAnsi="Times New Roman"/>
                <w:color w:val="000000" w:themeColor="text1"/>
                <w:sz w:val="24"/>
                <w:szCs w:val="24"/>
              </w:rPr>
              <w:t>ë</w:t>
            </w:r>
            <w:r>
              <w:rPr>
                <w:rFonts w:ascii="Times New Roman" w:eastAsiaTheme="majorEastAsia" w:hAnsi="Times New Roman"/>
                <w:color w:val="000000" w:themeColor="text1"/>
                <w:sz w:val="24"/>
                <w:szCs w:val="24"/>
              </w:rPr>
              <w:t xml:space="preserve"> brendsh</w:t>
            </w:r>
            <w:r w:rsidR="00D147DB">
              <w:rPr>
                <w:rFonts w:ascii="Times New Roman" w:eastAsiaTheme="majorEastAsia" w:hAnsi="Times New Roman"/>
                <w:color w:val="000000" w:themeColor="text1"/>
                <w:sz w:val="24"/>
                <w:szCs w:val="24"/>
              </w:rPr>
              <w:t>ë</w:t>
            </w:r>
            <w:r>
              <w:rPr>
                <w:rFonts w:ascii="Times New Roman" w:eastAsiaTheme="majorEastAsia" w:hAnsi="Times New Roman"/>
                <w:color w:val="000000" w:themeColor="text1"/>
                <w:sz w:val="24"/>
                <w:szCs w:val="24"/>
              </w:rPr>
              <w:t>m me</w:t>
            </w:r>
            <w:r w:rsidRPr="6875B2D2">
              <w:rPr>
                <w:rFonts w:ascii="Times New Roman" w:eastAsiaTheme="majorEastAsia" w:hAnsi="Times New Roman"/>
                <w:color w:val="000000" w:themeColor="text1"/>
                <w:sz w:val="24"/>
                <w:szCs w:val="24"/>
              </w:rPr>
              <w:t xml:space="preserve"> Direktivë</w:t>
            </w:r>
            <w:r>
              <w:rPr>
                <w:rFonts w:ascii="Times New Roman" w:eastAsiaTheme="majorEastAsia" w:hAnsi="Times New Roman"/>
                <w:color w:val="000000" w:themeColor="text1"/>
                <w:sz w:val="24"/>
                <w:szCs w:val="24"/>
              </w:rPr>
              <w:t>n</w:t>
            </w:r>
            <w:r w:rsidRPr="6875B2D2">
              <w:rPr>
                <w:rFonts w:ascii="Times New Roman" w:eastAsiaTheme="majorEastAsia" w:hAnsi="Times New Roman"/>
                <w:color w:val="000000" w:themeColor="text1"/>
                <w:sz w:val="24"/>
                <w:szCs w:val="24"/>
              </w:rPr>
              <w:t xml:space="preserve"> 2006/123/KE, </w:t>
            </w:r>
            <w:r>
              <w:rPr>
                <w:rFonts w:ascii="Times New Roman" w:eastAsiaTheme="majorEastAsia" w:hAnsi="Times New Roman"/>
                <w:color w:val="000000" w:themeColor="text1"/>
                <w:sz w:val="24"/>
                <w:szCs w:val="24"/>
              </w:rPr>
              <w:t>brenda vitit 2025</w:t>
            </w:r>
            <w:r w:rsidRPr="6875B2D2">
              <w:rPr>
                <w:rFonts w:ascii="Times New Roman" w:eastAsiaTheme="majorEastAsia" w:hAnsi="Times New Roman"/>
                <w:color w:val="000000" w:themeColor="text1"/>
                <w:sz w:val="24"/>
                <w:szCs w:val="24"/>
              </w:rPr>
              <w:t>.</w:t>
            </w:r>
          </w:p>
          <w:p w14:paraId="67D03F3D" w14:textId="77777777" w:rsidR="00FA4214" w:rsidRPr="0002022E" w:rsidRDefault="00FA4214" w:rsidP="00CC709C">
            <w:pPr>
              <w:numPr>
                <w:ilvl w:val="0"/>
                <w:numId w:val="35"/>
              </w:numPr>
              <w:tabs>
                <w:tab w:val="left" w:pos="810"/>
              </w:tabs>
              <w:spacing w:before="240" w:line="276" w:lineRule="auto"/>
              <w:ind w:left="810"/>
              <w:jc w:val="both"/>
              <w:rPr>
                <w:rFonts w:eastAsiaTheme="majorEastAsia"/>
                <w:color w:val="000000" w:themeColor="text1"/>
              </w:rPr>
            </w:pPr>
            <w:r w:rsidRPr="0002022E">
              <w:rPr>
                <w:rFonts w:eastAsiaTheme="majorEastAsia"/>
                <w:color w:val="000000" w:themeColor="text1"/>
              </w:rPr>
              <w:t>Përfshirja dhe ristrukturimi i koncepteve bazë që lidhen me të drejtën e vendosjes dhe mbrojtjen e përfituesve të shërbimeve, brenda vitit 2025, përmes një kuadri të unifikuar dhe të digjitalizuar</w:t>
            </w:r>
            <w:r>
              <w:rPr>
                <w:rFonts w:eastAsiaTheme="majorEastAsia"/>
                <w:color w:val="000000" w:themeColor="text1"/>
              </w:rPr>
              <w:t xml:space="preserve"> 100%</w:t>
            </w:r>
            <w:r w:rsidRPr="0002022E">
              <w:rPr>
                <w:rFonts w:eastAsiaTheme="majorEastAsia"/>
                <w:color w:val="000000" w:themeColor="text1"/>
              </w:rPr>
              <w:t xml:space="preserve"> të procedurave administrative dhe autorizimeve.</w:t>
            </w:r>
          </w:p>
          <w:p w14:paraId="3B16E7F8" w14:textId="77777777" w:rsidR="00FA4214" w:rsidRPr="0002022E" w:rsidRDefault="00FA4214" w:rsidP="00CC709C">
            <w:pPr>
              <w:numPr>
                <w:ilvl w:val="0"/>
                <w:numId w:val="35"/>
              </w:numPr>
              <w:tabs>
                <w:tab w:val="left" w:pos="810"/>
              </w:tabs>
              <w:spacing w:before="240" w:line="276" w:lineRule="auto"/>
              <w:ind w:left="810"/>
              <w:jc w:val="both"/>
              <w:rPr>
                <w:rFonts w:eastAsiaTheme="majorEastAsia"/>
                <w:color w:val="000000" w:themeColor="text1"/>
              </w:rPr>
            </w:pPr>
            <w:r w:rsidRPr="0002022E">
              <w:rPr>
                <w:rFonts w:eastAsiaTheme="majorEastAsia"/>
                <w:color w:val="000000" w:themeColor="text1"/>
              </w:rPr>
              <w:t xml:space="preserve">Rikonceptimi dhe thjeshtimi i kuadrit ligjor për ofrimin e shërbimeve ndërkufitare, </w:t>
            </w:r>
            <w:r>
              <w:rPr>
                <w:rFonts w:eastAsiaTheme="majorEastAsia"/>
                <w:color w:val="000000" w:themeColor="text1"/>
              </w:rPr>
              <w:t xml:space="preserve">brenda vitit 2025, </w:t>
            </w:r>
            <w:r w:rsidRPr="0002022E">
              <w:rPr>
                <w:rFonts w:eastAsiaTheme="majorEastAsia"/>
                <w:color w:val="000000" w:themeColor="text1"/>
              </w:rPr>
              <w:t>duke vendosur dispozita kuadër në ligjin e ri, të cilat do të jenë të aktivizueshme në momentin e anëtarësimit në BE</w:t>
            </w:r>
            <w:r>
              <w:rPr>
                <w:rFonts w:eastAsiaTheme="majorEastAsia"/>
                <w:color w:val="000000" w:themeColor="text1"/>
              </w:rPr>
              <w:t>,</w:t>
            </w:r>
            <w:r w:rsidRPr="0002022E">
              <w:rPr>
                <w:rFonts w:eastAsiaTheme="majorEastAsia"/>
                <w:color w:val="000000" w:themeColor="text1"/>
              </w:rPr>
              <w:t>për të garantuar koherencën pas hyrjes në BE.</w:t>
            </w:r>
          </w:p>
          <w:p w14:paraId="78CDE2A4" w14:textId="77777777" w:rsidR="00FA4214" w:rsidRPr="0002022E" w:rsidRDefault="00FA4214" w:rsidP="00CC709C">
            <w:pPr>
              <w:numPr>
                <w:ilvl w:val="0"/>
                <w:numId w:val="35"/>
              </w:numPr>
              <w:tabs>
                <w:tab w:val="left" w:pos="810"/>
              </w:tabs>
              <w:spacing w:before="240" w:line="276" w:lineRule="auto"/>
              <w:ind w:left="810"/>
              <w:jc w:val="both"/>
              <w:rPr>
                <w:rFonts w:eastAsiaTheme="majorEastAsia"/>
                <w:color w:val="000000" w:themeColor="text1"/>
              </w:rPr>
            </w:pPr>
            <w:r w:rsidRPr="0002022E">
              <w:rPr>
                <w:rFonts w:eastAsiaTheme="majorEastAsia"/>
                <w:color w:val="000000" w:themeColor="text1"/>
              </w:rPr>
              <w:t>Vendosja e një kuadri të qartë për bashkëpunimin administrativ dhe përdorimin e sistemit IMI, brenda vitit 2025, me hyrje në fuqi efektive në datën e anëtarësimit ose më herët sipas parimit të reciprocitetit me BE-në.</w:t>
            </w:r>
          </w:p>
          <w:p w14:paraId="0D7CADB5" w14:textId="77777777" w:rsidR="00FA4214" w:rsidRDefault="00FA4214" w:rsidP="00CC709C">
            <w:pPr>
              <w:numPr>
                <w:ilvl w:val="0"/>
                <w:numId w:val="35"/>
              </w:numPr>
              <w:tabs>
                <w:tab w:val="left" w:pos="810"/>
              </w:tabs>
              <w:spacing w:before="240" w:line="276" w:lineRule="auto"/>
              <w:ind w:left="810"/>
              <w:jc w:val="both"/>
              <w:rPr>
                <w:rFonts w:eastAsiaTheme="majorEastAsia"/>
                <w:color w:val="000000" w:themeColor="text1"/>
              </w:rPr>
            </w:pPr>
            <w:r w:rsidRPr="0002022E">
              <w:rPr>
                <w:rFonts w:eastAsiaTheme="majorEastAsia"/>
                <w:color w:val="000000" w:themeColor="text1"/>
              </w:rPr>
              <w:t>Unifikimi i legjislacionit sektorial dhe përafrimi i kërkesave për ofrimin e shërbimeve, në përputhje me parimet dhe dispozitat e ligjit të ri, përmes një procesi të koordinuar ndërinstitucional brenda afatit të parashikuar në Planin Kombëtar për Integrimin Evropian 2024–2026.</w:t>
            </w:r>
          </w:p>
          <w:p w14:paraId="0320C39C" w14:textId="77777777" w:rsidR="00FA4214" w:rsidRDefault="00FA4214" w:rsidP="00CC709C">
            <w:pPr>
              <w:numPr>
                <w:ilvl w:val="0"/>
                <w:numId w:val="35"/>
              </w:numPr>
              <w:tabs>
                <w:tab w:val="left" w:pos="810"/>
              </w:tabs>
              <w:spacing w:before="240" w:line="276" w:lineRule="auto"/>
              <w:ind w:left="810"/>
              <w:jc w:val="both"/>
              <w:rPr>
                <w:rFonts w:eastAsiaTheme="majorEastAsia"/>
                <w:color w:val="000000" w:themeColor="text1"/>
              </w:rPr>
            </w:pPr>
            <w:r w:rsidRPr="00AF04A5">
              <w:rPr>
                <w:rFonts w:eastAsiaTheme="majorEastAsia"/>
                <w:color w:val="000000" w:themeColor="text1"/>
              </w:rPr>
              <w:t>Rregullimi i qartë i kushteve për ofrimin e shërbimeve multidisiplinore, duke mundësuar operimin në disa disiplina për të njëjtin operator</w:t>
            </w:r>
            <w:r>
              <w:rPr>
                <w:rFonts w:eastAsiaTheme="majorEastAsia"/>
                <w:color w:val="000000" w:themeColor="text1"/>
              </w:rPr>
              <w:t>, brenda vitit 2025</w:t>
            </w:r>
            <w:r w:rsidRPr="00AF04A5">
              <w:rPr>
                <w:rFonts w:eastAsiaTheme="majorEastAsia"/>
                <w:color w:val="000000" w:themeColor="text1"/>
              </w:rPr>
              <w:t>.</w:t>
            </w:r>
          </w:p>
          <w:p w14:paraId="1AFCFCC2" w14:textId="2D55134C" w:rsidR="00FA4214" w:rsidRDefault="00FA4214" w:rsidP="00CC709C">
            <w:pPr>
              <w:numPr>
                <w:ilvl w:val="0"/>
                <w:numId w:val="35"/>
              </w:numPr>
              <w:tabs>
                <w:tab w:val="left" w:pos="810"/>
              </w:tabs>
              <w:spacing w:before="240" w:line="276" w:lineRule="auto"/>
              <w:ind w:left="810"/>
              <w:jc w:val="both"/>
              <w:rPr>
                <w:rFonts w:eastAsiaTheme="majorEastAsia"/>
                <w:color w:val="000000" w:themeColor="text1"/>
              </w:rPr>
            </w:pPr>
            <w:r>
              <w:rPr>
                <w:rFonts w:eastAsiaTheme="majorEastAsia"/>
                <w:color w:val="000000" w:themeColor="text1"/>
              </w:rPr>
              <w:t>S</w:t>
            </w:r>
            <w:r w:rsidRPr="00AF04A5">
              <w:rPr>
                <w:rFonts w:eastAsiaTheme="majorEastAsia"/>
                <w:color w:val="000000" w:themeColor="text1"/>
              </w:rPr>
              <w:t>igur</w:t>
            </w:r>
            <w:r>
              <w:rPr>
                <w:rFonts w:eastAsiaTheme="majorEastAsia"/>
                <w:color w:val="000000" w:themeColor="text1"/>
              </w:rPr>
              <w:t>imi i</w:t>
            </w:r>
            <w:r w:rsidRPr="00AF04A5">
              <w:rPr>
                <w:rFonts w:eastAsiaTheme="majorEastAsia"/>
                <w:color w:val="000000" w:themeColor="text1"/>
              </w:rPr>
              <w:t xml:space="preserve"> njohj</w:t>
            </w:r>
            <w:r>
              <w:rPr>
                <w:rFonts w:eastAsiaTheme="majorEastAsia"/>
                <w:color w:val="000000" w:themeColor="text1"/>
              </w:rPr>
              <w:t>es</w:t>
            </w:r>
            <w:r w:rsidRPr="00AF04A5">
              <w:rPr>
                <w:rFonts w:eastAsiaTheme="majorEastAsia"/>
                <w:color w:val="000000" w:themeColor="text1"/>
              </w:rPr>
              <w:t xml:space="preserve"> </w:t>
            </w:r>
            <w:r>
              <w:rPr>
                <w:rFonts w:eastAsiaTheme="majorEastAsia"/>
                <w:color w:val="000000" w:themeColor="text1"/>
              </w:rPr>
              <w:t>s</w:t>
            </w:r>
            <w:r w:rsidR="00D147DB">
              <w:rPr>
                <w:rFonts w:eastAsiaTheme="majorEastAsia"/>
                <w:color w:val="000000" w:themeColor="text1"/>
              </w:rPr>
              <w:t>ë</w:t>
            </w:r>
            <w:r w:rsidRPr="00AF04A5">
              <w:rPr>
                <w:rFonts w:eastAsiaTheme="majorEastAsia"/>
                <w:color w:val="000000" w:themeColor="text1"/>
              </w:rPr>
              <w:t xml:space="preserve"> garancive dhe sigurimeve të ofruara në vendet anëtare të BE-së, duke shmangur diskriminimin ndaj operatorëve të huaj</w:t>
            </w:r>
            <w:r>
              <w:rPr>
                <w:rFonts w:eastAsiaTheme="majorEastAsia"/>
                <w:color w:val="000000" w:themeColor="text1"/>
              </w:rPr>
              <w:t>, brenda vitit 2025</w:t>
            </w:r>
            <w:r w:rsidRPr="00AF04A5">
              <w:rPr>
                <w:rFonts w:eastAsiaTheme="majorEastAsia"/>
                <w:color w:val="000000" w:themeColor="text1"/>
              </w:rPr>
              <w:t>.</w:t>
            </w:r>
          </w:p>
          <w:p w14:paraId="76796416" w14:textId="77777777" w:rsidR="00FA4214" w:rsidRDefault="00FA4214" w:rsidP="00CC709C">
            <w:pPr>
              <w:numPr>
                <w:ilvl w:val="0"/>
                <w:numId w:val="35"/>
              </w:numPr>
              <w:tabs>
                <w:tab w:val="left" w:pos="810"/>
              </w:tabs>
              <w:spacing w:before="240" w:line="276" w:lineRule="auto"/>
              <w:ind w:left="810"/>
              <w:jc w:val="both"/>
              <w:rPr>
                <w:rFonts w:eastAsiaTheme="majorEastAsia"/>
                <w:color w:val="000000" w:themeColor="text1"/>
              </w:rPr>
            </w:pPr>
            <w:r w:rsidRPr="00601F0B">
              <w:rPr>
                <w:rFonts w:eastAsiaTheme="majorEastAsia"/>
                <w:color w:val="000000" w:themeColor="text1"/>
              </w:rPr>
              <w:t>Garantimi i të drejtave të konsumatorëve dhe përfituesve të shërbimeve sipas standardeve të BE-së, duke përfshirë transparencën, informimin dhe mbrojtjen nga praktikat e padrejta.</w:t>
            </w:r>
            <w:r>
              <w:rPr>
                <w:rFonts w:eastAsiaTheme="majorEastAsia"/>
                <w:color w:val="000000" w:themeColor="text1"/>
              </w:rPr>
              <w:t>.</w:t>
            </w:r>
          </w:p>
          <w:p w14:paraId="2A018705" w14:textId="1D37FF32" w:rsidR="00FA4214" w:rsidRPr="0002022E" w:rsidRDefault="00FA4214" w:rsidP="00CC709C">
            <w:pPr>
              <w:numPr>
                <w:ilvl w:val="0"/>
                <w:numId w:val="35"/>
              </w:numPr>
              <w:tabs>
                <w:tab w:val="left" w:pos="810"/>
              </w:tabs>
              <w:spacing w:before="240" w:line="276" w:lineRule="auto"/>
              <w:ind w:left="810"/>
              <w:jc w:val="both"/>
              <w:rPr>
                <w:rFonts w:eastAsiaTheme="majorEastAsia"/>
                <w:color w:val="000000" w:themeColor="text1"/>
              </w:rPr>
            </w:pPr>
            <w:r w:rsidRPr="00601F0B">
              <w:rPr>
                <w:rFonts w:eastAsiaTheme="majorEastAsia"/>
                <w:color w:val="000000" w:themeColor="text1"/>
              </w:rPr>
              <w:t>Ndërveprimi me sistemet</w:t>
            </w:r>
            <w:r>
              <w:rPr>
                <w:rFonts w:eastAsiaTheme="majorEastAsia"/>
                <w:color w:val="000000" w:themeColor="text1"/>
              </w:rPr>
              <w:t>/platformat komb</w:t>
            </w:r>
            <w:r w:rsidR="00D147DB">
              <w:rPr>
                <w:rFonts w:eastAsiaTheme="majorEastAsia"/>
                <w:color w:val="000000" w:themeColor="text1"/>
              </w:rPr>
              <w:t>ë</w:t>
            </w:r>
            <w:r>
              <w:rPr>
                <w:rFonts w:eastAsiaTheme="majorEastAsia"/>
                <w:color w:val="000000" w:themeColor="text1"/>
              </w:rPr>
              <w:t>tare</w:t>
            </w:r>
            <w:r w:rsidRPr="00601F0B">
              <w:rPr>
                <w:rFonts w:eastAsiaTheme="majorEastAsia"/>
                <w:color w:val="000000" w:themeColor="text1"/>
              </w:rPr>
              <w:t xml:space="preserve"> digjitale për</w:t>
            </w:r>
            <w:r>
              <w:rPr>
                <w:rFonts w:eastAsiaTheme="majorEastAsia"/>
                <w:color w:val="000000" w:themeColor="text1"/>
              </w:rPr>
              <w:t>,</w:t>
            </w:r>
            <w:r w:rsidRPr="00601F0B">
              <w:rPr>
                <w:rFonts w:eastAsiaTheme="majorEastAsia"/>
                <w:color w:val="000000" w:themeColor="text1"/>
              </w:rPr>
              <w:t xml:space="preserve"> monitorim</w:t>
            </w:r>
            <w:r w:rsidRPr="00601F0B">
              <w:t xml:space="preserve"> </w:t>
            </w:r>
            <w:r w:rsidRPr="00601F0B">
              <w:rPr>
                <w:rFonts w:eastAsiaTheme="majorEastAsia"/>
                <w:color w:val="000000" w:themeColor="text1"/>
              </w:rPr>
              <w:t>mbikëqyrje dhe raportim të veprimtarive të ofruesve, duke garantuar efikasitet dhe kontroll të vazhdueshëm.</w:t>
            </w:r>
          </w:p>
          <w:p w14:paraId="61C410ED" w14:textId="6ABBBDB8" w:rsidR="001E0D36" w:rsidRPr="00325A1F" w:rsidRDefault="001E0D36" w:rsidP="001E0D36">
            <w:pPr>
              <w:jc w:val="both"/>
            </w:pPr>
          </w:p>
        </w:tc>
      </w:tr>
      <w:tr w:rsidR="00CA40EE" w:rsidRPr="00325A1F" w14:paraId="3F92AAA3" w14:textId="77777777" w:rsidTr="401C88DC">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8628" w14:textId="7693849C" w:rsidR="00CA40EE" w:rsidRPr="00325A1F" w:rsidRDefault="5D5D1EBF" w:rsidP="490E1500">
            <w:pPr>
              <w:spacing w:line="276" w:lineRule="auto"/>
              <w:jc w:val="both"/>
              <w:rPr>
                <w:b/>
              </w:rPr>
            </w:pPr>
            <w:r w:rsidRPr="6875B2D2">
              <w:rPr>
                <w:b/>
              </w:rPr>
              <w:t>OPSIONET E POLITIKAVE</w:t>
            </w:r>
          </w:p>
          <w:p w14:paraId="7F696100" w14:textId="69C96E0E" w:rsidR="008576E4" w:rsidRDefault="006E7CFB" w:rsidP="490E1500">
            <w:pPr>
              <w:spacing w:line="276" w:lineRule="auto"/>
              <w:jc w:val="both"/>
              <w:rPr>
                <w:i/>
              </w:rPr>
            </w:pPr>
            <w:r w:rsidRPr="1A98504A">
              <w:rPr>
                <w:i/>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754F3E">
              <w:rPr>
                <w:i/>
              </w:rPr>
              <w:instrText xml:space="preserve"> FORMTEXT </w:instrText>
            </w:r>
            <w:r w:rsidRPr="1A98504A">
              <w:rPr>
                <w:i/>
              </w:rPr>
            </w:r>
            <w:r w:rsidRPr="1A98504A">
              <w:rPr>
                <w:i/>
              </w:rPr>
              <w:fldChar w:fldCharType="separate"/>
            </w:r>
            <w:r w:rsidR="1119B626" w:rsidRPr="00754F3E">
              <w:rPr>
                <w:i/>
              </w:rPr>
              <w:t xml:space="preserve">Cilat janë opsionet kryesore të politikave? Duhet të bëni krahasimin e avantazheve/përfitimeve kryesore dhe të dizavantazheve/kostove të opsioneve të mundshme.  </w:t>
            </w:r>
            <w:r w:rsidR="1119B626" w:rsidRPr="1A98504A">
              <w:rPr>
                <w:i/>
              </w:rPr>
              <w:t>(jo më shumë se 7 rreshta)</w:t>
            </w:r>
            <w:r w:rsidRPr="1A98504A">
              <w:rPr>
                <w:i/>
              </w:rPr>
              <w:fldChar w:fldCharType="end"/>
            </w:r>
          </w:p>
          <w:p w14:paraId="4C694916" w14:textId="1DEAC014" w:rsidR="00154F87" w:rsidRPr="00154F87" w:rsidRDefault="00BD0A1D" w:rsidP="490E1500">
            <w:pPr>
              <w:tabs>
                <w:tab w:val="left" w:pos="5310"/>
                <w:tab w:val="left" w:pos="10080"/>
              </w:tabs>
              <w:spacing w:after="120" w:line="288" w:lineRule="auto"/>
              <w:ind w:left="29"/>
              <w:jc w:val="both"/>
              <w:rPr>
                <w:color w:val="000000"/>
              </w:rPr>
            </w:pPr>
            <w:bookmarkStart w:id="4" w:name="_Hlk161148919"/>
            <w:r w:rsidRPr="6875B2D2">
              <w:rPr>
                <w:b/>
                <w:color w:val="000000"/>
              </w:rPr>
              <w:t>Opsioni 0</w:t>
            </w:r>
            <w:r w:rsidRPr="490E1500">
              <w:rPr>
                <w:rStyle w:val="FootnoteReference"/>
                <w:color w:val="000000"/>
              </w:rPr>
              <w:footnoteReference w:id="1"/>
            </w:r>
            <w:r w:rsidRPr="490E1500">
              <w:rPr>
                <w:color w:val="000000"/>
              </w:rPr>
              <w:t xml:space="preserve">  – </w:t>
            </w:r>
            <w:r w:rsidRPr="6875B2D2">
              <w:rPr>
                <w:b/>
                <w:color w:val="000000"/>
              </w:rPr>
              <w:t>(jo rregullator)</w:t>
            </w:r>
            <w:r w:rsidRPr="490E1500">
              <w:rPr>
                <w:color w:val="000000"/>
              </w:rPr>
              <w:t xml:space="preserve"> – Të vijohet me kuadrin ligjor ekzistues</w:t>
            </w:r>
            <w:r w:rsidRPr="490E1500">
              <w:t>.</w:t>
            </w:r>
            <w:r w:rsidR="00154F87" w:rsidRPr="490E1500">
              <w:rPr>
                <w:color w:val="000000"/>
              </w:rPr>
              <w:t xml:space="preserve"> </w:t>
            </w:r>
            <w:r w:rsidR="00154F87" w:rsidRPr="490E1500">
              <w:rPr>
                <w:color w:val="000000" w:themeColor="text1"/>
              </w:rPr>
              <w:t>Kjo qasje shmang kostot afatshkurtra, por e ruan mospërputhjen me Direktivën 2006/123/KE dhe rrezikon penalitete gjatë procesit të anëtarësimit. Mbetet funksionalisht i papërshtatshëm për adresimin e boshllëqeve rregullatore lidhur me shërbimet ndërkufitare dhe bashkëpunimin administrativ.</w:t>
            </w:r>
          </w:p>
          <w:p w14:paraId="7E259F97" w14:textId="39891159" w:rsidR="00154F87" w:rsidRPr="00154F87" w:rsidRDefault="00154F87" w:rsidP="490E1500">
            <w:pPr>
              <w:tabs>
                <w:tab w:val="left" w:pos="5310"/>
                <w:tab w:val="left" w:pos="10080"/>
              </w:tabs>
              <w:spacing w:after="120" w:line="288" w:lineRule="auto"/>
              <w:ind w:left="29"/>
              <w:jc w:val="both"/>
              <w:rPr>
                <w:color w:val="000000" w:themeColor="text1"/>
              </w:rPr>
            </w:pPr>
            <w:r w:rsidRPr="490E1500">
              <w:rPr>
                <w:b/>
                <w:bCs/>
                <w:color w:val="000000" w:themeColor="text1"/>
              </w:rPr>
              <w:t xml:space="preserve">Opsioni 1 (i preferuar) – </w:t>
            </w:r>
            <w:r w:rsidRPr="490E1500">
              <w:rPr>
                <w:color w:val="000000" w:themeColor="text1"/>
              </w:rPr>
              <w:t>Hartimi i një ligji të ri për shërbimet, me shfuqizimin e ligjit aktual. Ofron harmonizim të plotë me Direktivën, konsolidim legjislativ horizontal, eliminim të fragmentimit sektorial dhe qartësi juridike. Kërkon burime fillestare, por sjell përfitime të qëndrueshme dhe rrit konkurrueshmërinë e tregut kombëtar.</w:t>
            </w:r>
          </w:p>
          <w:p w14:paraId="04685274" w14:textId="77777777" w:rsidR="00154F87" w:rsidRPr="00154F87" w:rsidRDefault="00154F87" w:rsidP="490E1500">
            <w:pPr>
              <w:tabs>
                <w:tab w:val="left" w:pos="5310"/>
                <w:tab w:val="left" w:pos="10080"/>
              </w:tabs>
              <w:spacing w:after="120" w:line="288" w:lineRule="auto"/>
              <w:ind w:left="29"/>
              <w:jc w:val="both"/>
              <w:rPr>
                <w:color w:val="000000" w:themeColor="text1"/>
              </w:rPr>
            </w:pPr>
            <w:r w:rsidRPr="490E1500">
              <w:rPr>
                <w:b/>
                <w:bCs/>
                <w:color w:val="000000" w:themeColor="text1"/>
              </w:rPr>
              <w:t xml:space="preserve">Opsioni 2 – </w:t>
            </w:r>
            <w:r w:rsidRPr="490E1500">
              <w:rPr>
                <w:color w:val="000000" w:themeColor="text1"/>
              </w:rPr>
              <w:t>Ndryshime të pjesshme në legjislacionin sektorial. Ul koston e reformës në afat të shkurtër dhe përqendrohet në fusha specifike, por rrezikon të krijojë një sistem rregullator të fragmentuar, me standarde të pakoordinuara dhe me vështirësi në monitorim dhe raportim.</w:t>
            </w:r>
          </w:p>
          <w:p w14:paraId="312FE384" w14:textId="77777777" w:rsidR="00154F87" w:rsidRDefault="00154F87" w:rsidP="490E1500">
            <w:pPr>
              <w:tabs>
                <w:tab w:val="left" w:pos="5310"/>
                <w:tab w:val="left" w:pos="10080"/>
              </w:tabs>
              <w:spacing w:after="120" w:line="288" w:lineRule="auto"/>
              <w:ind w:left="29"/>
              <w:jc w:val="both"/>
              <w:rPr>
                <w:color w:val="000000" w:themeColor="text1"/>
              </w:rPr>
            </w:pPr>
            <w:r w:rsidRPr="490E1500">
              <w:rPr>
                <w:b/>
                <w:bCs/>
                <w:color w:val="000000" w:themeColor="text1"/>
              </w:rPr>
              <w:t xml:space="preserve">Opsioni 3 – </w:t>
            </w:r>
            <w:r w:rsidRPr="490E1500">
              <w:rPr>
                <w:color w:val="000000" w:themeColor="text1"/>
              </w:rPr>
              <w:t>Ndryshimi i Ligjit 66/2016 pa shfuqizim. Lejon ruajtjen e strukturës ekzistuese, por kërkon amendime të gjera dhe komplekse, duke sjellë ngarkesë rregullatore dhe rrezik për mungesë koherence të brendshme. Ka efikasitet më të ulët krahasuar me një ligj të ri të konceptuar nga e para.</w:t>
            </w:r>
          </w:p>
          <w:p w14:paraId="7B702F16" w14:textId="62908BE5" w:rsidR="00FA4214" w:rsidRPr="00154F87" w:rsidRDefault="00FA4214" w:rsidP="490E1500">
            <w:pPr>
              <w:tabs>
                <w:tab w:val="left" w:pos="5310"/>
                <w:tab w:val="left" w:pos="10080"/>
              </w:tabs>
              <w:spacing w:after="120" w:line="288" w:lineRule="auto"/>
              <w:ind w:left="29"/>
              <w:jc w:val="both"/>
              <w:rPr>
                <w:color w:val="000000" w:themeColor="text1"/>
              </w:rPr>
            </w:pPr>
            <w:r w:rsidRPr="00F946E0">
              <w:rPr>
                <w:b/>
                <w:bCs/>
                <w:color w:val="000000" w:themeColor="text1"/>
              </w:rPr>
              <w:t xml:space="preserve">Opsioni 4 – Jorregullator- </w:t>
            </w:r>
            <w:r w:rsidRPr="00F946E0">
              <w:rPr>
                <w:color w:val="000000" w:themeColor="text1"/>
              </w:rPr>
              <w:t>Ky opsion konsiston në ndërhyrje jorregullatore, duke përdorur mjete si udhëzime administrative, manuale për praktikat e mirë, programe trajnimi, digjitalizim të procedurave dhe bashkëpunim ndërinstitucional për ofruesit dhe autoritetet. Qëllimi është të përmirësohet funksionimi i tregut të shërbimeve dhe mbrojtja e përfituesve pa ndryshuar direkt kuadrin ligjor ekzistues.</w:t>
            </w:r>
          </w:p>
          <w:bookmarkEnd w:id="4"/>
          <w:p w14:paraId="58BF57A8" w14:textId="31E7708D" w:rsidR="001E0D36" w:rsidRPr="00325A1F" w:rsidRDefault="001E0D36" w:rsidP="490E1500">
            <w:pPr>
              <w:jc w:val="both"/>
            </w:pPr>
            <w:r>
              <w:fldChar w:fldCharType="begin">
                <w:ffData>
                  <w:name w:val=""/>
                  <w:enabled/>
                  <w:calcOnExit w:val="0"/>
                  <w:textInput>
                    <w:maxLength w:val="546"/>
                  </w:textInput>
                </w:ffData>
              </w:fldChar>
            </w:r>
            <w:r>
              <w:instrText xml:space="preserve"> FORMTEXT </w:instrText>
            </w:r>
            <w:r>
              <w:fldChar w:fldCharType="separate"/>
            </w:r>
            <w:r w:rsidR="6760F90D">
              <w:rPr>
                <w:noProof/>
              </w:rPr>
              <w:t> </w:t>
            </w:r>
            <w:r w:rsidR="6760F90D">
              <w:rPr>
                <w:noProof/>
              </w:rPr>
              <w:t> </w:t>
            </w:r>
            <w:r w:rsidR="6760F90D">
              <w:rPr>
                <w:noProof/>
              </w:rPr>
              <w:t> </w:t>
            </w:r>
            <w:r w:rsidR="6760F90D">
              <w:rPr>
                <w:noProof/>
              </w:rPr>
              <w:t> </w:t>
            </w:r>
            <w:r w:rsidR="6760F90D">
              <w:rPr>
                <w:noProof/>
              </w:rPr>
              <w:t> </w:t>
            </w:r>
            <w:r>
              <w:fldChar w:fldCharType="end"/>
            </w:r>
          </w:p>
        </w:tc>
      </w:tr>
      <w:tr w:rsidR="00CA40EE" w:rsidRPr="00325A1F" w14:paraId="7ED6FC4A" w14:textId="77777777" w:rsidTr="401C88DC">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0A8D" w14:textId="77777777" w:rsidR="00CA40EE" w:rsidRPr="00325A1F" w:rsidRDefault="00CA40EE" w:rsidP="39C92156">
            <w:pPr>
              <w:spacing w:line="276" w:lineRule="auto"/>
              <w:jc w:val="both"/>
              <w:rPr>
                <w:b/>
                <w:bCs/>
              </w:rPr>
            </w:pPr>
            <w:r w:rsidRPr="39C92156">
              <w:rPr>
                <w:b/>
                <w:bCs/>
              </w:rPr>
              <w:t>ANALIZA E NDIKIMEVE</w:t>
            </w:r>
          </w:p>
          <w:p w14:paraId="577AE608" w14:textId="69BFFA09" w:rsidR="004045D6" w:rsidRDefault="006E7CFB" w:rsidP="39C92156">
            <w:pPr>
              <w:spacing w:line="276" w:lineRule="auto"/>
              <w:jc w:val="both"/>
              <w:rPr>
                <w:i/>
                <w:iCs/>
              </w:rPr>
            </w:pPr>
            <w:r w:rsidRPr="39C92156">
              <w:rPr>
                <w:i/>
                <w:iCs/>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39C92156">
              <w:rPr>
                <w:i/>
                <w:iCs/>
                <w:lang w:val="it-IT"/>
              </w:rPr>
              <w:instrText xml:space="preserve"> FORMTEXT </w:instrText>
            </w:r>
            <w:r w:rsidRPr="39C92156">
              <w:rPr>
                <w:i/>
                <w:iCs/>
              </w:rPr>
            </w:r>
            <w:r w:rsidRPr="39C92156">
              <w:rPr>
                <w:i/>
                <w:iCs/>
              </w:rPr>
              <w:fldChar w:fldCharType="separate"/>
            </w:r>
            <w:r w:rsidRPr="39C92156">
              <w:rPr>
                <w:i/>
                <w:iCs/>
                <w:lang w:val="it-IT"/>
              </w:rPr>
              <w:t xml:space="preserve">Cilat janë ndikimet e opsionit të preferuar? Kjo duhet të përshkruajë ndikimet në mënyrë sasiore  (monetare) dhe cilësore (narrative) mbi buxhetin dhe grupet e tjera të prekura. </w:t>
            </w:r>
            <w:r w:rsidRPr="39C92156">
              <w:rPr>
                <w:i/>
                <w:iCs/>
              </w:rPr>
              <w:t>(jo më shumë se 10 rreshta)</w:t>
            </w:r>
            <w:r w:rsidRPr="39C92156">
              <w:rPr>
                <w:i/>
                <w:iCs/>
              </w:rPr>
              <w:fldChar w:fldCharType="end"/>
            </w:r>
          </w:p>
          <w:p w14:paraId="65EE72B4" w14:textId="4983D8AC" w:rsidR="00BD0A1D" w:rsidRDefault="00BD0A1D" w:rsidP="39C92156">
            <w:pPr>
              <w:spacing w:line="276" w:lineRule="auto"/>
              <w:jc w:val="both"/>
            </w:pPr>
          </w:p>
          <w:p w14:paraId="16EFD819" w14:textId="6BB1B2D1" w:rsidR="00083A9F" w:rsidRDefault="00083A9F" w:rsidP="39C92156">
            <w:pPr>
              <w:tabs>
                <w:tab w:val="left" w:pos="10080"/>
              </w:tabs>
              <w:spacing w:line="276" w:lineRule="auto"/>
              <w:jc w:val="both"/>
            </w:pPr>
            <w:r w:rsidRPr="00083A9F">
              <w:t>Analiza e ndikimeve mbi grupet e prekura ka për qëllim të evidentojë sesi opsioni i preferuar, që përfshin përafrimin e Ligjit për Shërbimet me Direktivën e BE-së dhe masat jorregullatore për mbështetjen e ofruesve të shërbimeve, do të ndikojë tek aktorët e ndryshëm. Ndikimet janë strukturuar në tre kategori kryesore: sociale, ekonomike dhe financiare, duke analizuar efektet tek institucionet publike dhe autoritetet rregullatore, bizneset dhe ofruesit e shërbimeve, si dhe qytetarët/përdoruesit e shërbimeve. Qëllimi është të evidentohen përfitimet dhe kostot e mundshme, duke ofruar një bazë të qartë për vendimmarrjen dhe planifikimin e zbatimit të opsionit të preferuar.</w:t>
            </w:r>
            <w:r>
              <w:t xml:space="preserve"> Disa nga ndikimet kryesore mbi grupet e prekura paraqiten si m</w:t>
            </w:r>
            <w:r w:rsidR="00D147DB">
              <w:t>ë</w:t>
            </w:r>
            <w:r>
              <w:t xml:space="preserve"> posht</w:t>
            </w:r>
            <w:r w:rsidR="00D147DB">
              <w:t>ë</w:t>
            </w:r>
            <w:r>
              <w:t>:</w:t>
            </w:r>
          </w:p>
          <w:p w14:paraId="296C3E0B" w14:textId="77777777" w:rsidR="00083A9F" w:rsidRDefault="00083A9F" w:rsidP="39C92156">
            <w:pPr>
              <w:tabs>
                <w:tab w:val="left" w:pos="10080"/>
              </w:tabs>
              <w:spacing w:line="276" w:lineRule="auto"/>
              <w:jc w:val="both"/>
            </w:pPr>
          </w:p>
          <w:p w14:paraId="75DAE0EB" w14:textId="77777777" w:rsidR="00083A9F" w:rsidRPr="00083A9F" w:rsidRDefault="00083A9F" w:rsidP="00083A9F">
            <w:pPr>
              <w:tabs>
                <w:tab w:val="left" w:pos="10080"/>
              </w:tabs>
              <w:spacing w:line="276" w:lineRule="auto"/>
              <w:jc w:val="both"/>
              <w:rPr>
                <w:b/>
                <w:bCs/>
                <w:lang w:val="en-US"/>
              </w:rPr>
            </w:pPr>
            <w:r w:rsidRPr="00083A9F">
              <w:rPr>
                <w:b/>
                <w:bCs/>
                <w:lang w:val="en-US"/>
              </w:rPr>
              <w:t xml:space="preserve">1. </w:t>
            </w:r>
            <w:proofErr w:type="spellStart"/>
            <w:r w:rsidRPr="00083A9F">
              <w:rPr>
                <w:b/>
                <w:bCs/>
                <w:lang w:val="en-US"/>
              </w:rPr>
              <w:t>Institucionet</w:t>
            </w:r>
            <w:proofErr w:type="spellEnd"/>
            <w:r w:rsidRPr="00083A9F">
              <w:rPr>
                <w:b/>
                <w:bCs/>
                <w:lang w:val="en-US"/>
              </w:rPr>
              <w:t xml:space="preserve"> </w:t>
            </w:r>
            <w:proofErr w:type="spellStart"/>
            <w:r w:rsidRPr="00083A9F">
              <w:rPr>
                <w:b/>
                <w:bCs/>
                <w:lang w:val="en-US"/>
              </w:rPr>
              <w:t>publike</w:t>
            </w:r>
            <w:proofErr w:type="spellEnd"/>
          </w:p>
          <w:p w14:paraId="68F38417" w14:textId="77777777" w:rsidR="00083A9F" w:rsidRPr="00083A9F" w:rsidRDefault="00083A9F" w:rsidP="00CC709C">
            <w:pPr>
              <w:numPr>
                <w:ilvl w:val="0"/>
                <w:numId w:val="49"/>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sociale</w:t>
            </w:r>
            <w:proofErr w:type="spellEnd"/>
            <w:r w:rsidRPr="00083A9F">
              <w:rPr>
                <w:b/>
                <w:bCs/>
                <w:lang w:val="en-US"/>
              </w:rPr>
              <w:t>:</w:t>
            </w:r>
          </w:p>
          <w:p w14:paraId="611F55C6" w14:textId="77777777" w:rsidR="00083A9F" w:rsidRPr="00083A9F" w:rsidRDefault="00083A9F" w:rsidP="00CC709C">
            <w:pPr>
              <w:numPr>
                <w:ilvl w:val="1"/>
                <w:numId w:val="49"/>
              </w:numPr>
              <w:tabs>
                <w:tab w:val="num" w:pos="1440"/>
                <w:tab w:val="left" w:pos="10080"/>
              </w:tabs>
              <w:spacing w:line="276" w:lineRule="auto"/>
              <w:jc w:val="both"/>
              <w:rPr>
                <w:lang w:val="en-US"/>
              </w:rPr>
            </w:pPr>
            <w:proofErr w:type="spellStart"/>
            <w:r w:rsidRPr="00083A9F">
              <w:rPr>
                <w:lang w:val="en-US"/>
              </w:rPr>
              <w:t>Përmirësim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bashkëpunimit</w:t>
            </w:r>
            <w:proofErr w:type="spellEnd"/>
            <w:r w:rsidRPr="00083A9F">
              <w:rPr>
                <w:lang w:val="en-US"/>
              </w:rPr>
              <w:t xml:space="preserve"> </w:t>
            </w:r>
            <w:proofErr w:type="spellStart"/>
            <w:r w:rsidRPr="00083A9F">
              <w:rPr>
                <w:lang w:val="en-US"/>
              </w:rPr>
              <w:t>ndërinstitucional</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koordinimit</w:t>
            </w:r>
            <w:proofErr w:type="spellEnd"/>
            <w:r w:rsidRPr="00083A9F">
              <w:rPr>
                <w:lang w:val="en-US"/>
              </w:rPr>
              <w:t xml:space="preserve"> horizontal </w:t>
            </w:r>
            <w:proofErr w:type="spellStart"/>
            <w:r w:rsidRPr="00083A9F">
              <w:rPr>
                <w:lang w:val="en-US"/>
              </w:rPr>
              <w:t>dhe</w:t>
            </w:r>
            <w:proofErr w:type="spellEnd"/>
            <w:r w:rsidRPr="00083A9F">
              <w:rPr>
                <w:lang w:val="en-US"/>
              </w:rPr>
              <w:t xml:space="preserve"> </w:t>
            </w:r>
            <w:proofErr w:type="spellStart"/>
            <w:r w:rsidRPr="00083A9F">
              <w:rPr>
                <w:lang w:val="en-US"/>
              </w:rPr>
              <w:t>vertikal</w:t>
            </w:r>
            <w:proofErr w:type="spellEnd"/>
            <w:r w:rsidRPr="00083A9F">
              <w:rPr>
                <w:lang w:val="en-US"/>
              </w:rPr>
              <w:t>.</w:t>
            </w:r>
          </w:p>
          <w:p w14:paraId="0A2A6A98" w14:textId="77777777" w:rsidR="00083A9F" w:rsidRPr="00083A9F" w:rsidRDefault="00083A9F" w:rsidP="00CC709C">
            <w:pPr>
              <w:numPr>
                <w:ilvl w:val="1"/>
                <w:numId w:val="49"/>
              </w:numPr>
              <w:tabs>
                <w:tab w:val="num" w:pos="1440"/>
                <w:tab w:val="left" w:pos="10080"/>
              </w:tabs>
              <w:spacing w:line="276" w:lineRule="auto"/>
              <w:jc w:val="both"/>
              <w:rPr>
                <w:lang w:val="en-US"/>
              </w:rPr>
            </w:pPr>
            <w:proofErr w:type="spellStart"/>
            <w:r w:rsidRPr="00083A9F">
              <w:rPr>
                <w:lang w:val="en-US"/>
              </w:rPr>
              <w:t>Rritje</w:t>
            </w:r>
            <w:proofErr w:type="spellEnd"/>
            <w:r w:rsidRPr="00083A9F">
              <w:rPr>
                <w:lang w:val="en-US"/>
              </w:rPr>
              <w:t xml:space="preserve"> e </w:t>
            </w:r>
            <w:proofErr w:type="spellStart"/>
            <w:r w:rsidRPr="00083A9F">
              <w:rPr>
                <w:lang w:val="en-US"/>
              </w:rPr>
              <w:t>transparencës</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përgjegjësisë</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zbatimin</w:t>
            </w:r>
            <w:proofErr w:type="spellEnd"/>
            <w:r w:rsidRPr="00083A9F">
              <w:rPr>
                <w:lang w:val="en-US"/>
              </w:rPr>
              <w:t xml:space="preserve"> e </w:t>
            </w:r>
            <w:proofErr w:type="spellStart"/>
            <w:r w:rsidRPr="00083A9F">
              <w:rPr>
                <w:lang w:val="en-US"/>
              </w:rPr>
              <w:t>ligjit</w:t>
            </w:r>
            <w:proofErr w:type="spellEnd"/>
            <w:r w:rsidRPr="00083A9F">
              <w:rPr>
                <w:lang w:val="en-US"/>
              </w:rPr>
              <w:t>.</w:t>
            </w:r>
          </w:p>
          <w:p w14:paraId="1847FEA5" w14:textId="77777777" w:rsidR="00083A9F" w:rsidRPr="00083A9F" w:rsidRDefault="00083A9F" w:rsidP="00CC709C">
            <w:pPr>
              <w:numPr>
                <w:ilvl w:val="1"/>
                <w:numId w:val="49"/>
              </w:numPr>
              <w:tabs>
                <w:tab w:val="num" w:pos="1440"/>
                <w:tab w:val="left" w:pos="10080"/>
              </w:tabs>
              <w:spacing w:line="276" w:lineRule="auto"/>
              <w:jc w:val="both"/>
              <w:rPr>
                <w:lang w:val="en-US"/>
              </w:rPr>
            </w:pPr>
            <w:proofErr w:type="spellStart"/>
            <w:r w:rsidRPr="00083A9F">
              <w:rPr>
                <w:lang w:val="en-US"/>
              </w:rPr>
              <w:t>Forcim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kapaciteteve</w:t>
            </w:r>
            <w:proofErr w:type="spellEnd"/>
            <w:r w:rsidRPr="00083A9F">
              <w:rPr>
                <w:lang w:val="en-US"/>
              </w:rPr>
              <w:t xml:space="preserve"> </w:t>
            </w:r>
            <w:proofErr w:type="spellStart"/>
            <w:r w:rsidRPr="00083A9F">
              <w:rPr>
                <w:lang w:val="en-US"/>
              </w:rPr>
              <w:t>për</w:t>
            </w:r>
            <w:proofErr w:type="spellEnd"/>
            <w:r w:rsidRPr="00083A9F">
              <w:rPr>
                <w:lang w:val="en-US"/>
              </w:rPr>
              <w:t xml:space="preserve"> </w:t>
            </w:r>
            <w:proofErr w:type="spellStart"/>
            <w:r w:rsidRPr="00083A9F">
              <w:rPr>
                <w:lang w:val="en-US"/>
              </w:rPr>
              <w:t>trajnim</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menaxhim</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ndryshimeve</w:t>
            </w:r>
            <w:proofErr w:type="spellEnd"/>
            <w:r w:rsidRPr="00083A9F">
              <w:rPr>
                <w:lang w:val="en-US"/>
              </w:rPr>
              <w:t xml:space="preserve"> </w:t>
            </w:r>
            <w:proofErr w:type="spellStart"/>
            <w:r w:rsidRPr="00083A9F">
              <w:rPr>
                <w:lang w:val="en-US"/>
              </w:rPr>
              <w:t>ligjore</w:t>
            </w:r>
            <w:proofErr w:type="spellEnd"/>
            <w:r w:rsidRPr="00083A9F">
              <w:rPr>
                <w:lang w:val="en-US"/>
              </w:rPr>
              <w:t>.</w:t>
            </w:r>
          </w:p>
          <w:p w14:paraId="1D00C6FA" w14:textId="77777777" w:rsidR="00083A9F" w:rsidRPr="00083A9F" w:rsidRDefault="00083A9F" w:rsidP="00CC709C">
            <w:pPr>
              <w:numPr>
                <w:ilvl w:val="0"/>
                <w:numId w:val="49"/>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ekonomike</w:t>
            </w:r>
            <w:proofErr w:type="spellEnd"/>
            <w:r w:rsidRPr="00083A9F">
              <w:rPr>
                <w:b/>
                <w:bCs/>
                <w:lang w:val="en-US"/>
              </w:rPr>
              <w:t>:</w:t>
            </w:r>
          </w:p>
          <w:p w14:paraId="41DE1FCA" w14:textId="77777777" w:rsidR="00083A9F" w:rsidRPr="00083A9F" w:rsidRDefault="00083A9F" w:rsidP="00CC709C">
            <w:pPr>
              <w:numPr>
                <w:ilvl w:val="1"/>
                <w:numId w:val="49"/>
              </w:numPr>
              <w:tabs>
                <w:tab w:val="num" w:pos="1440"/>
                <w:tab w:val="left" w:pos="10080"/>
              </w:tabs>
              <w:spacing w:line="276" w:lineRule="auto"/>
              <w:jc w:val="both"/>
              <w:rPr>
                <w:lang w:val="en-US"/>
              </w:rPr>
            </w:pPr>
            <w:proofErr w:type="spellStart"/>
            <w:r w:rsidRPr="00083A9F">
              <w:rPr>
                <w:lang w:val="en-US"/>
              </w:rPr>
              <w:t>Përmirësim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efikasitetit</w:t>
            </w:r>
            <w:proofErr w:type="spellEnd"/>
            <w:r w:rsidRPr="00083A9F">
              <w:rPr>
                <w:lang w:val="en-US"/>
              </w:rPr>
              <w:t xml:space="preserve"> </w:t>
            </w:r>
            <w:proofErr w:type="spellStart"/>
            <w:r w:rsidRPr="00083A9F">
              <w:rPr>
                <w:lang w:val="en-US"/>
              </w:rPr>
              <w:t>administrativ</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zvogëlim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dublikimeve</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procedurat</w:t>
            </w:r>
            <w:proofErr w:type="spellEnd"/>
            <w:r w:rsidRPr="00083A9F">
              <w:rPr>
                <w:lang w:val="en-US"/>
              </w:rPr>
              <w:t xml:space="preserve"> </w:t>
            </w:r>
            <w:proofErr w:type="spellStart"/>
            <w:r w:rsidRPr="00083A9F">
              <w:rPr>
                <w:lang w:val="en-US"/>
              </w:rPr>
              <w:t>rregullatore</w:t>
            </w:r>
            <w:proofErr w:type="spellEnd"/>
            <w:r w:rsidRPr="00083A9F">
              <w:rPr>
                <w:lang w:val="en-US"/>
              </w:rPr>
              <w:t>.</w:t>
            </w:r>
          </w:p>
          <w:p w14:paraId="0176605A" w14:textId="77777777" w:rsidR="00083A9F" w:rsidRPr="00083A9F" w:rsidRDefault="00083A9F" w:rsidP="00CC709C">
            <w:pPr>
              <w:numPr>
                <w:ilvl w:val="1"/>
                <w:numId w:val="49"/>
              </w:numPr>
              <w:tabs>
                <w:tab w:val="num" w:pos="1440"/>
                <w:tab w:val="left" w:pos="10080"/>
              </w:tabs>
              <w:spacing w:line="276" w:lineRule="auto"/>
              <w:jc w:val="both"/>
              <w:rPr>
                <w:lang w:val="en-US"/>
              </w:rPr>
            </w:pPr>
            <w:proofErr w:type="spellStart"/>
            <w:r w:rsidRPr="00083A9F">
              <w:rPr>
                <w:lang w:val="en-US"/>
              </w:rPr>
              <w:t>Optimizim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burimeve</w:t>
            </w:r>
            <w:proofErr w:type="spellEnd"/>
            <w:r w:rsidRPr="00083A9F">
              <w:rPr>
                <w:lang w:val="en-US"/>
              </w:rPr>
              <w:t xml:space="preserve"> </w:t>
            </w:r>
            <w:proofErr w:type="spellStart"/>
            <w:r w:rsidRPr="00083A9F">
              <w:rPr>
                <w:lang w:val="en-US"/>
              </w:rPr>
              <w:t>njerëzore</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teknologjike</w:t>
            </w:r>
            <w:proofErr w:type="spellEnd"/>
            <w:r w:rsidRPr="00083A9F">
              <w:rPr>
                <w:lang w:val="en-US"/>
              </w:rPr>
              <w:t>.</w:t>
            </w:r>
          </w:p>
          <w:p w14:paraId="355B199D" w14:textId="77777777" w:rsidR="00083A9F" w:rsidRPr="00083A9F" w:rsidRDefault="00083A9F" w:rsidP="00CC709C">
            <w:pPr>
              <w:numPr>
                <w:ilvl w:val="1"/>
                <w:numId w:val="49"/>
              </w:numPr>
              <w:tabs>
                <w:tab w:val="num" w:pos="1440"/>
                <w:tab w:val="left" w:pos="10080"/>
              </w:tabs>
              <w:spacing w:line="276" w:lineRule="auto"/>
              <w:jc w:val="both"/>
              <w:rPr>
                <w:lang w:val="en-US"/>
              </w:rPr>
            </w:pPr>
            <w:proofErr w:type="spellStart"/>
            <w:r w:rsidRPr="00083A9F">
              <w:rPr>
                <w:lang w:val="en-US"/>
              </w:rPr>
              <w:t>Mundësi</w:t>
            </w:r>
            <w:proofErr w:type="spellEnd"/>
            <w:r w:rsidRPr="00083A9F">
              <w:rPr>
                <w:lang w:val="en-US"/>
              </w:rPr>
              <w:t xml:space="preserve"> </w:t>
            </w:r>
            <w:proofErr w:type="spellStart"/>
            <w:r w:rsidRPr="00083A9F">
              <w:rPr>
                <w:lang w:val="en-US"/>
              </w:rPr>
              <w:t>për</w:t>
            </w:r>
            <w:proofErr w:type="spellEnd"/>
            <w:r w:rsidRPr="00083A9F">
              <w:rPr>
                <w:lang w:val="en-US"/>
              </w:rPr>
              <w:t xml:space="preserve"> </w:t>
            </w:r>
            <w:proofErr w:type="spellStart"/>
            <w:r w:rsidRPr="00083A9F">
              <w:rPr>
                <w:lang w:val="en-US"/>
              </w:rPr>
              <w:t>planifikim</w:t>
            </w:r>
            <w:proofErr w:type="spellEnd"/>
            <w:r w:rsidRPr="00083A9F">
              <w:rPr>
                <w:lang w:val="en-US"/>
              </w:rPr>
              <w:t xml:space="preserve"> </w:t>
            </w:r>
            <w:proofErr w:type="spellStart"/>
            <w:r w:rsidRPr="00083A9F">
              <w:rPr>
                <w:lang w:val="en-US"/>
              </w:rPr>
              <w:t>më</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mirë</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politikave</w:t>
            </w:r>
            <w:proofErr w:type="spellEnd"/>
            <w:r w:rsidRPr="00083A9F">
              <w:rPr>
                <w:lang w:val="en-US"/>
              </w:rPr>
              <w:t xml:space="preserve"> </w:t>
            </w:r>
            <w:proofErr w:type="spellStart"/>
            <w:r w:rsidRPr="00083A9F">
              <w:rPr>
                <w:lang w:val="en-US"/>
              </w:rPr>
              <w:t>sektorale</w:t>
            </w:r>
            <w:proofErr w:type="spellEnd"/>
            <w:r w:rsidRPr="00083A9F">
              <w:rPr>
                <w:lang w:val="en-US"/>
              </w:rPr>
              <w:t>.</w:t>
            </w:r>
          </w:p>
          <w:p w14:paraId="02F2695E" w14:textId="77777777" w:rsidR="00083A9F" w:rsidRPr="00083A9F" w:rsidRDefault="00083A9F" w:rsidP="00CC709C">
            <w:pPr>
              <w:numPr>
                <w:ilvl w:val="0"/>
                <w:numId w:val="49"/>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financiare</w:t>
            </w:r>
            <w:proofErr w:type="spellEnd"/>
            <w:r w:rsidRPr="00083A9F">
              <w:rPr>
                <w:b/>
                <w:bCs/>
                <w:lang w:val="en-US"/>
              </w:rPr>
              <w:t>:</w:t>
            </w:r>
          </w:p>
          <w:p w14:paraId="28C0E526" w14:textId="77777777" w:rsidR="00083A9F" w:rsidRPr="00F955A6" w:rsidRDefault="00083A9F" w:rsidP="00CC709C">
            <w:pPr>
              <w:numPr>
                <w:ilvl w:val="1"/>
                <w:numId w:val="49"/>
              </w:numPr>
              <w:tabs>
                <w:tab w:val="num" w:pos="1440"/>
                <w:tab w:val="left" w:pos="10080"/>
              </w:tabs>
              <w:spacing w:line="276" w:lineRule="auto"/>
              <w:jc w:val="both"/>
              <w:rPr>
                <w:lang w:val="it-IT"/>
              </w:rPr>
            </w:pPr>
            <w:r w:rsidRPr="00F955A6">
              <w:rPr>
                <w:lang w:val="it-IT"/>
              </w:rPr>
              <w:t>Reduktim i kostove për monitorimin dhe koordinimin e zbatimit të ligjit.</w:t>
            </w:r>
          </w:p>
          <w:p w14:paraId="0B23A22A" w14:textId="77777777" w:rsidR="00083A9F" w:rsidRPr="00F955A6" w:rsidRDefault="00083A9F" w:rsidP="00CC709C">
            <w:pPr>
              <w:numPr>
                <w:ilvl w:val="1"/>
                <w:numId w:val="49"/>
              </w:numPr>
              <w:tabs>
                <w:tab w:val="num" w:pos="1440"/>
                <w:tab w:val="left" w:pos="10080"/>
              </w:tabs>
              <w:spacing w:line="276" w:lineRule="auto"/>
              <w:jc w:val="both"/>
              <w:rPr>
                <w:lang w:val="it-IT"/>
              </w:rPr>
            </w:pPr>
            <w:r w:rsidRPr="00F955A6">
              <w:rPr>
                <w:lang w:val="it-IT"/>
              </w:rPr>
              <w:t>Shfrytëzim më efektiv i buxheteve ekzistuese për trajnime dhe teknologji.</w:t>
            </w:r>
          </w:p>
          <w:p w14:paraId="7110CC55" w14:textId="77777777" w:rsidR="00083A9F" w:rsidRPr="00F955A6" w:rsidRDefault="00083A9F" w:rsidP="00CC709C">
            <w:pPr>
              <w:numPr>
                <w:ilvl w:val="1"/>
                <w:numId w:val="49"/>
              </w:numPr>
              <w:tabs>
                <w:tab w:val="num" w:pos="1440"/>
                <w:tab w:val="left" w:pos="10080"/>
              </w:tabs>
              <w:spacing w:line="276" w:lineRule="auto"/>
              <w:jc w:val="both"/>
              <w:rPr>
                <w:lang w:val="it-IT"/>
              </w:rPr>
            </w:pPr>
            <w:r w:rsidRPr="00F955A6">
              <w:rPr>
                <w:lang w:val="it-IT"/>
              </w:rPr>
              <w:t>Investime të targetuara për sistemet e informacionit (p.sh., IMI, e-Albania) për mbështetje të zbatimit.</w:t>
            </w:r>
          </w:p>
          <w:p w14:paraId="2C7BBB60" w14:textId="77777777" w:rsidR="00083A9F" w:rsidRPr="00083A9F" w:rsidRDefault="00083A9F" w:rsidP="00083A9F">
            <w:pPr>
              <w:tabs>
                <w:tab w:val="left" w:pos="10080"/>
              </w:tabs>
              <w:spacing w:line="276" w:lineRule="auto"/>
              <w:jc w:val="both"/>
              <w:rPr>
                <w:b/>
                <w:bCs/>
                <w:lang w:val="en-US"/>
              </w:rPr>
            </w:pPr>
            <w:r w:rsidRPr="00083A9F">
              <w:rPr>
                <w:b/>
                <w:bCs/>
                <w:lang w:val="en-US"/>
              </w:rPr>
              <w:t xml:space="preserve">2. </w:t>
            </w:r>
            <w:proofErr w:type="spellStart"/>
            <w:r w:rsidRPr="00083A9F">
              <w:rPr>
                <w:b/>
                <w:bCs/>
                <w:lang w:val="en-US"/>
              </w:rPr>
              <w:t>Bizneset</w:t>
            </w:r>
            <w:proofErr w:type="spellEnd"/>
            <w:r w:rsidRPr="00083A9F">
              <w:rPr>
                <w:b/>
                <w:bCs/>
                <w:lang w:val="en-US"/>
              </w:rPr>
              <w:t xml:space="preserve"> </w:t>
            </w:r>
            <w:proofErr w:type="spellStart"/>
            <w:r w:rsidRPr="00083A9F">
              <w:rPr>
                <w:b/>
                <w:bCs/>
                <w:lang w:val="en-US"/>
              </w:rPr>
              <w:t>dhe</w:t>
            </w:r>
            <w:proofErr w:type="spellEnd"/>
            <w:r w:rsidRPr="00083A9F">
              <w:rPr>
                <w:b/>
                <w:bCs/>
                <w:lang w:val="en-US"/>
              </w:rPr>
              <w:t xml:space="preserve"> </w:t>
            </w:r>
            <w:proofErr w:type="spellStart"/>
            <w:r w:rsidRPr="00083A9F">
              <w:rPr>
                <w:b/>
                <w:bCs/>
                <w:lang w:val="en-US"/>
              </w:rPr>
              <w:t>ofruesit</w:t>
            </w:r>
            <w:proofErr w:type="spellEnd"/>
            <w:r w:rsidRPr="00083A9F">
              <w:rPr>
                <w:b/>
                <w:bCs/>
                <w:lang w:val="en-US"/>
              </w:rPr>
              <w:t xml:space="preserve"> e </w:t>
            </w:r>
            <w:proofErr w:type="spellStart"/>
            <w:r w:rsidRPr="00083A9F">
              <w:rPr>
                <w:b/>
                <w:bCs/>
                <w:lang w:val="en-US"/>
              </w:rPr>
              <w:t>shërbimeve</w:t>
            </w:r>
            <w:proofErr w:type="spellEnd"/>
          </w:p>
          <w:p w14:paraId="21D00FB1" w14:textId="77777777" w:rsidR="00083A9F" w:rsidRPr="00083A9F" w:rsidRDefault="00083A9F" w:rsidP="00CC709C">
            <w:pPr>
              <w:numPr>
                <w:ilvl w:val="0"/>
                <w:numId w:val="50"/>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sociale</w:t>
            </w:r>
            <w:proofErr w:type="spellEnd"/>
            <w:r w:rsidRPr="00083A9F">
              <w:rPr>
                <w:b/>
                <w:bCs/>
                <w:lang w:val="en-US"/>
              </w:rPr>
              <w:t>:</w:t>
            </w:r>
          </w:p>
          <w:p w14:paraId="45F6CD85" w14:textId="77777777" w:rsidR="00083A9F" w:rsidRPr="00F955A6" w:rsidRDefault="00083A9F" w:rsidP="00CC709C">
            <w:pPr>
              <w:numPr>
                <w:ilvl w:val="1"/>
                <w:numId w:val="50"/>
              </w:numPr>
              <w:tabs>
                <w:tab w:val="left" w:pos="10080"/>
              </w:tabs>
              <w:spacing w:line="276" w:lineRule="auto"/>
              <w:jc w:val="both"/>
              <w:rPr>
                <w:lang w:val="it-IT"/>
              </w:rPr>
            </w:pPr>
            <w:r w:rsidRPr="00F955A6">
              <w:rPr>
                <w:lang w:val="it-IT"/>
              </w:rPr>
              <w:t>Qasje më e thjeshtë dhe transparente në proceset rregullatore.</w:t>
            </w:r>
          </w:p>
          <w:p w14:paraId="28374774" w14:textId="77777777" w:rsidR="00083A9F" w:rsidRPr="00CC709C" w:rsidRDefault="00083A9F" w:rsidP="00CC709C">
            <w:pPr>
              <w:numPr>
                <w:ilvl w:val="1"/>
                <w:numId w:val="50"/>
              </w:numPr>
              <w:tabs>
                <w:tab w:val="left" w:pos="10080"/>
              </w:tabs>
              <w:spacing w:line="276" w:lineRule="auto"/>
              <w:jc w:val="both"/>
              <w:rPr>
                <w:lang w:val="en-US"/>
              </w:rPr>
            </w:pPr>
            <w:proofErr w:type="spellStart"/>
            <w:r w:rsidRPr="00CC709C">
              <w:rPr>
                <w:lang w:val="en-US"/>
              </w:rPr>
              <w:t>Përmirësim</w:t>
            </w:r>
            <w:proofErr w:type="spellEnd"/>
            <w:r w:rsidRPr="00CC709C">
              <w:rPr>
                <w:lang w:val="en-US"/>
              </w:rPr>
              <w:t xml:space="preserve"> </w:t>
            </w:r>
            <w:proofErr w:type="spellStart"/>
            <w:r w:rsidRPr="00CC709C">
              <w:rPr>
                <w:lang w:val="en-US"/>
              </w:rPr>
              <w:t>i</w:t>
            </w:r>
            <w:proofErr w:type="spellEnd"/>
            <w:r w:rsidRPr="00CC709C">
              <w:rPr>
                <w:lang w:val="en-US"/>
              </w:rPr>
              <w:t xml:space="preserve"> </w:t>
            </w:r>
            <w:proofErr w:type="spellStart"/>
            <w:r w:rsidRPr="00CC709C">
              <w:rPr>
                <w:lang w:val="en-US"/>
              </w:rPr>
              <w:t>besueshmërisë</w:t>
            </w:r>
            <w:proofErr w:type="spellEnd"/>
            <w:r w:rsidRPr="00CC709C">
              <w:rPr>
                <w:lang w:val="en-US"/>
              </w:rPr>
              <w:t xml:space="preserve"> </w:t>
            </w:r>
            <w:proofErr w:type="spellStart"/>
            <w:r w:rsidRPr="00CC709C">
              <w:rPr>
                <w:lang w:val="en-US"/>
              </w:rPr>
              <w:t>së</w:t>
            </w:r>
            <w:proofErr w:type="spellEnd"/>
            <w:r w:rsidRPr="00CC709C">
              <w:rPr>
                <w:lang w:val="en-US"/>
              </w:rPr>
              <w:t xml:space="preserve"> </w:t>
            </w:r>
            <w:proofErr w:type="spellStart"/>
            <w:r w:rsidRPr="00CC709C">
              <w:rPr>
                <w:lang w:val="en-US"/>
              </w:rPr>
              <w:t>marrëdhënieve</w:t>
            </w:r>
            <w:proofErr w:type="spellEnd"/>
            <w:r w:rsidRPr="00CC709C">
              <w:rPr>
                <w:lang w:val="en-US"/>
              </w:rPr>
              <w:t xml:space="preserve"> me </w:t>
            </w:r>
            <w:proofErr w:type="spellStart"/>
            <w:r w:rsidRPr="00CC709C">
              <w:rPr>
                <w:lang w:val="en-US"/>
              </w:rPr>
              <w:t>autoritetet</w:t>
            </w:r>
            <w:proofErr w:type="spellEnd"/>
            <w:r w:rsidRPr="00CC709C">
              <w:rPr>
                <w:lang w:val="en-US"/>
              </w:rPr>
              <w:t xml:space="preserve"> </w:t>
            </w:r>
            <w:proofErr w:type="spellStart"/>
            <w:r w:rsidRPr="00CC709C">
              <w:rPr>
                <w:lang w:val="en-US"/>
              </w:rPr>
              <w:t>publike</w:t>
            </w:r>
            <w:proofErr w:type="spellEnd"/>
            <w:r w:rsidRPr="00CC709C">
              <w:rPr>
                <w:lang w:val="en-US"/>
              </w:rPr>
              <w:t>.</w:t>
            </w:r>
          </w:p>
          <w:p w14:paraId="6BBCE256" w14:textId="77777777" w:rsidR="00083A9F" w:rsidRPr="00CC709C" w:rsidRDefault="00083A9F" w:rsidP="00CC709C">
            <w:pPr>
              <w:numPr>
                <w:ilvl w:val="1"/>
                <w:numId w:val="50"/>
              </w:numPr>
              <w:tabs>
                <w:tab w:val="left" w:pos="10080"/>
              </w:tabs>
              <w:spacing w:line="276" w:lineRule="auto"/>
              <w:jc w:val="both"/>
              <w:rPr>
                <w:lang w:val="en-US"/>
              </w:rPr>
            </w:pPr>
            <w:proofErr w:type="spellStart"/>
            <w:r w:rsidRPr="00CC709C">
              <w:rPr>
                <w:lang w:val="en-US"/>
              </w:rPr>
              <w:t>Rritje</w:t>
            </w:r>
            <w:proofErr w:type="spellEnd"/>
            <w:r w:rsidRPr="00CC709C">
              <w:rPr>
                <w:lang w:val="en-US"/>
              </w:rPr>
              <w:t xml:space="preserve"> e </w:t>
            </w:r>
            <w:proofErr w:type="spellStart"/>
            <w:r w:rsidRPr="00CC709C">
              <w:rPr>
                <w:lang w:val="en-US"/>
              </w:rPr>
              <w:t>mundësive</w:t>
            </w:r>
            <w:proofErr w:type="spellEnd"/>
            <w:r w:rsidRPr="00CC709C">
              <w:rPr>
                <w:lang w:val="en-US"/>
              </w:rPr>
              <w:t xml:space="preserve"> </w:t>
            </w:r>
            <w:proofErr w:type="spellStart"/>
            <w:r w:rsidRPr="00CC709C">
              <w:rPr>
                <w:lang w:val="en-US"/>
              </w:rPr>
              <w:t>për</w:t>
            </w:r>
            <w:proofErr w:type="spellEnd"/>
            <w:r w:rsidRPr="00CC709C">
              <w:rPr>
                <w:lang w:val="en-US"/>
              </w:rPr>
              <w:t xml:space="preserve"> </w:t>
            </w:r>
            <w:proofErr w:type="spellStart"/>
            <w:r w:rsidRPr="00CC709C">
              <w:rPr>
                <w:lang w:val="en-US"/>
              </w:rPr>
              <w:t>ofruesit</w:t>
            </w:r>
            <w:proofErr w:type="spellEnd"/>
            <w:r w:rsidRPr="00CC709C">
              <w:rPr>
                <w:lang w:val="en-US"/>
              </w:rPr>
              <w:t xml:space="preserve"> e </w:t>
            </w:r>
            <w:proofErr w:type="spellStart"/>
            <w:r w:rsidRPr="00CC709C">
              <w:rPr>
                <w:lang w:val="en-US"/>
              </w:rPr>
              <w:t>huaj</w:t>
            </w:r>
            <w:proofErr w:type="spellEnd"/>
            <w:r w:rsidRPr="00CC709C">
              <w:rPr>
                <w:lang w:val="en-US"/>
              </w:rPr>
              <w:t xml:space="preserve"> </w:t>
            </w:r>
            <w:proofErr w:type="spellStart"/>
            <w:r w:rsidRPr="00CC709C">
              <w:rPr>
                <w:lang w:val="en-US"/>
              </w:rPr>
              <w:t>të</w:t>
            </w:r>
            <w:proofErr w:type="spellEnd"/>
            <w:r w:rsidRPr="00CC709C">
              <w:rPr>
                <w:lang w:val="en-US"/>
              </w:rPr>
              <w:t xml:space="preserve"> </w:t>
            </w:r>
            <w:proofErr w:type="spellStart"/>
            <w:r w:rsidRPr="00CC709C">
              <w:rPr>
                <w:lang w:val="en-US"/>
              </w:rPr>
              <w:t>shërbimeve</w:t>
            </w:r>
            <w:proofErr w:type="spellEnd"/>
            <w:r w:rsidRPr="00CC709C">
              <w:rPr>
                <w:lang w:val="en-US"/>
              </w:rPr>
              <w:t xml:space="preserve"> </w:t>
            </w:r>
            <w:proofErr w:type="spellStart"/>
            <w:r w:rsidRPr="00CC709C">
              <w:rPr>
                <w:lang w:val="en-US"/>
              </w:rPr>
              <w:t>për</w:t>
            </w:r>
            <w:proofErr w:type="spellEnd"/>
            <w:r w:rsidRPr="00CC709C">
              <w:rPr>
                <w:lang w:val="en-US"/>
              </w:rPr>
              <w:t xml:space="preserve"> </w:t>
            </w:r>
            <w:proofErr w:type="spellStart"/>
            <w:r w:rsidRPr="00CC709C">
              <w:rPr>
                <w:lang w:val="en-US"/>
              </w:rPr>
              <w:t>të</w:t>
            </w:r>
            <w:proofErr w:type="spellEnd"/>
            <w:r w:rsidRPr="00CC709C">
              <w:rPr>
                <w:lang w:val="en-US"/>
              </w:rPr>
              <w:t xml:space="preserve"> </w:t>
            </w:r>
            <w:proofErr w:type="spellStart"/>
            <w:r w:rsidRPr="00CC709C">
              <w:rPr>
                <w:lang w:val="en-US"/>
              </w:rPr>
              <w:t>hyrë</w:t>
            </w:r>
            <w:proofErr w:type="spellEnd"/>
            <w:r w:rsidRPr="00CC709C">
              <w:rPr>
                <w:lang w:val="en-US"/>
              </w:rPr>
              <w:t xml:space="preserve"> </w:t>
            </w:r>
            <w:proofErr w:type="spellStart"/>
            <w:r w:rsidRPr="00CC709C">
              <w:rPr>
                <w:lang w:val="en-US"/>
              </w:rPr>
              <w:t>në</w:t>
            </w:r>
            <w:proofErr w:type="spellEnd"/>
            <w:r w:rsidRPr="00CC709C">
              <w:rPr>
                <w:lang w:val="en-US"/>
              </w:rPr>
              <w:t xml:space="preserve"> </w:t>
            </w:r>
            <w:proofErr w:type="spellStart"/>
            <w:r w:rsidRPr="00CC709C">
              <w:rPr>
                <w:lang w:val="en-US"/>
              </w:rPr>
              <w:t>treg</w:t>
            </w:r>
            <w:proofErr w:type="spellEnd"/>
            <w:r w:rsidRPr="00CC709C">
              <w:rPr>
                <w:lang w:val="en-US"/>
              </w:rPr>
              <w:t>.</w:t>
            </w:r>
          </w:p>
          <w:p w14:paraId="4843FC18" w14:textId="77777777" w:rsidR="00083A9F" w:rsidRPr="00083A9F" w:rsidRDefault="00083A9F" w:rsidP="00CC709C">
            <w:pPr>
              <w:numPr>
                <w:ilvl w:val="0"/>
                <w:numId w:val="50"/>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ekonomike</w:t>
            </w:r>
            <w:proofErr w:type="spellEnd"/>
            <w:r w:rsidRPr="00083A9F">
              <w:rPr>
                <w:b/>
                <w:bCs/>
                <w:lang w:val="en-US"/>
              </w:rPr>
              <w:t>:</w:t>
            </w:r>
          </w:p>
          <w:p w14:paraId="732B127C" w14:textId="77777777" w:rsidR="00083A9F" w:rsidRPr="00083A9F" w:rsidRDefault="00083A9F" w:rsidP="00CC709C">
            <w:pPr>
              <w:numPr>
                <w:ilvl w:val="1"/>
                <w:numId w:val="50"/>
              </w:numPr>
              <w:tabs>
                <w:tab w:val="left" w:pos="10080"/>
              </w:tabs>
              <w:spacing w:line="276" w:lineRule="auto"/>
              <w:jc w:val="both"/>
              <w:rPr>
                <w:lang w:val="en-US"/>
              </w:rPr>
            </w:pPr>
            <w:proofErr w:type="spellStart"/>
            <w:r w:rsidRPr="00083A9F">
              <w:rPr>
                <w:lang w:val="en-US"/>
              </w:rPr>
              <w:t>Zvogëlim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barrës</w:t>
            </w:r>
            <w:proofErr w:type="spellEnd"/>
            <w:r w:rsidRPr="00083A9F">
              <w:rPr>
                <w:lang w:val="en-US"/>
              </w:rPr>
              <w:t xml:space="preserve"> administrative </w:t>
            </w:r>
            <w:proofErr w:type="spellStart"/>
            <w:r w:rsidRPr="00083A9F">
              <w:rPr>
                <w:lang w:val="en-US"/>
              </w:rPr>
              <w:t>dhe</w:t>
            </w:r>
            <w:proofErr w:type="spellEnd"/>
            <w:r w:rsidRPr="00083A9F">
              <w:rPr>
                <w:lang w:val="en-US"/>
              </w:rPr>
              <w:t xml:space="preserve"> </w:t>
            </w:r>
            <w:proofErr w:type="spellStart"/>
            <w:r w:rsidRPr="00083A9F">
              <w:rPr>
                <w:lang w:val="en-US"/>
              </w:rPr>
              <w:t>kohës</w:t>
            </w:r>
            <w:proofErr w:type="spellEnd"/>
            <w:r w:rsidRPr="00083A9F">
              <w:rPr>
                <w:lang w:val="en-US"/>
              </w:rPr>
              <w:t xml:space="preserve"> </w:t>
            </w:r>
            <w:proofErr w:type="spellStart"/>
            <w:r w:rsidRPr="00083A9F">
              <w:rPr>
                <w:lang w:val="en-US"/>
              </w:rPr>
              <w:t>për</w:t>
            </w:r>
            <w:proofErr w:type="spellEnd"/>
            <w:r w:rsidRPr="00083A9F">
              <w:rPr>
                <w:lang w:val="en-US"/>
              </w:rPr>
              <w:t xml:space="preserve"> </w:t>
            </w:r>
            <w:proofErr w:type="spellStart"/>
            <w:r w:rsidRPr="00083A9F">
              <w:rPr>
                <w:lang w:val="en-US"/>
              </w:rPr>
              <w:t>marrjen</w:t>
            </w:r>
            <w:proofErr w:type="spellEnd"/>
            <w:r w:rsidRPr="00083A9F">
              <w:rPr>
                <w:lang w:val="en-US"/>
              </w:rPr>
              <w:t xml:space="preserve"> e </w:t>
            </w:r>
            <w:proofErr w:type="spellStart"/>
            <w:r w:rsidRPr="00083A9F">
              <w:rPr>
                <w:lang w:val="en-US"/>
              </w:rPr>
              <w:t>lejeve</w:t>
            </w:r>
            <w:proofErr w:type="spellEnd"/>
            <w:r w:rsidRPr="00083A9F">
              <w:rPr>
                <w:lang w:val="en-US"/>
              </w:rPr>
              <w:t>/</w:t>
            </w:r>
            <w:proofErr w:type="spellStart"/>
            <w:r w:rsidRPr="00083A9F">
              <w:rPr>
                <w:lang w:val="en-US"/>
              </w:rPr>
              <w:t>licencave</w:t>
            </w:r>
            <w:proofErr w:type="spellEnd"/>
            <w:r w:rsidRPr="00083A9F">
              <w:rPr>
                <w:lang w:val="en-US"/>
              </w:rPr>
              <w:t>.</w:t>
            </w:r>
          </w:p>
          <w:p w14:paraId="56712338" w14:textId="77777777" w:rsidR="00083A9F" w:rsidRPr="00083A9F" w:rsidRDefault="00083A9F" w:rsidP="00CC709C">
            <w:pPr>
              <w:numPr>
                <w:ilvl w:val="1"/>
                <w:numId w:val="50"/>
              </w:numPr>
              <w:tabs>
                <w:tab w:val="left" w:pos="10080"/>
              </w:tabs>
              <w:spacing w:line="276" w:lineRule="auto"/>
              <w:jc w:val="both"/>
              <w:rPr>
                <w:lang w:val="en-US"/>
              </w:rPr>
            </w:pPr>
            <w:proofErr w:type="spellStart"/>
            <w:r w:rsidRPr="00083A9F">
              <w:rPr>
                <w:lang w:val="en-US"/>
              </w:rPr>
              <w:t>Lehtësim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ofrimit</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shërbimeve</w:t>
            </w:r>
            <w:proofErr w:type="spellEnd"/>
            <w:r w:rsidRPr="00083A9F">
              <w:rPr>
                <w:lang w:val="en-US"/>
              </w:rPr>
              <w:t xml:space="preserve"> </w:t>
            </w:r>
            <w:proofErr w:type="spellStart"/>
            <w:r w:rsidRPr="00083A9F">
              <w:rPr>
                <w:lang w:val="en-US"/>
              </w:rPr>
              <w:t>ndërkufitare</w:t>
            </w:r>
            <w:proofErr w:type="spellEnd"/>
            <w:r w:rsidRPr="00083A9F">
              <w:rPr>
                <w:lang w:val="en-US"/>
              </w:rPr>
              <w:t>.</w:t>
            </w:r>
          </w:p>
          <w:p w14:paraId="4D610511" w14:textId="77777777" w:rsidR="00083A9F" w:rsidRPr="00083A9F" w:rsidRDefault="00083A9F" w:rsidP="00CC709C">
            <w:pPr>
              <w:numPr>
                <w:ilvl w:val="1"/>
                <w:numId w:val="50"/>
              </w:numPr>
              <w:tabs>
                <w:tab w:val="left" w:pos="10080"/>
              </w:tabs>
              <w:spacing w:line="276" w:lineRule="auto"/>
              <w:jc w:val="both"/>
              <w:rPr>
                <w:lang w:val="en-US"/>
              </w:rPr>
            </w:pPr>
            <w:proofErr w:type="spellStart"/>
            <w:r w:rsidRPr="00083A9F">
              <w:rPr>
                <w:lang w:val="en-US"/>
              </w:rPr>
              <w:t>Reduktim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rrezikut</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pengesave</w:t>
            </w:r>
            <w:proofErr w:type="spellEnd"/>
            <w:r w:rsidRPr="00083A9F">
              <w:rPr>
                <w:lang w:val="en-US"/>
              </w:rPr>
              <w:t xml:space="preserve"> </w:t>
            </w:r>
            <w:proofErr w:type="spellStart"/>
            <w:r w:rsidRPr="00083A9F">
              <w:rPr>
                <w:lang w:val="en-US"/>
              </w:rPr>
              <w:t>burokratike</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fragmentimit</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sektorë</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ndryshëm</w:t>
            </w:r>
            <w:proofErr w:type="spellEnd"/>
            <w:r w:rsidRPr="00083A9F">
              <w:rPr>
                <w:lang w:val="en-US"/>
              </w:rPr>
              <w:t>.</w:t>
            </w:r>
          </w:p>
          <w:p w14:paraId="1E0C4255" w14:textId="77777777" w:rsidR="00083A9F" w:rsidRPr="00083A9F" w:rsidRDefault="00083A9F" w:rsidP="00CC709C">
            <w:pPr>
              <w:numPr>
                <w:ilvl w:val="0"/>
                <w:numId w:val="50"/>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financiare</w:t>
            </w:r>
            <w:proofErr w:type="spellEnd"/>
            <w:r w:rsidRPr="00083A9F">
              <w:rPr>
                <w:b/>
                <w:bCs/>
                <w:lang w:val="en-US"/>
              </w:rPr>
              <w:t>:</w:t>
            </w:r>
          </w:p>
          <w:p w14:paraId="57597298" w14:textId="77777777" w:rsidR="00083A9F" w:rsidRPr="00F955A6" w:rsidRDefault="00083A9F" w:rsidP="00CC709C">
            <w:pPr>
              <w:numPr>
                <w:ilvl w:val="1"/>
                <w:numId w:val="50"/>
              </w:numPr>
              <w:tabs>
                <w:tab w:val="left" w:pos="10080"/>
              </w:tabs>
              <w:spacing w:line="276" w:lineRule="auto"/>
              <w:jc w:val="both"/>
              <w:rPr>
                <w:lang w:val="it-IT"/>
              </w:rPr>
            </w:pPr>
            <w:r w:rsidRPr="00F955A6">
              <w:rPr>
                <w:lang w:val="it-IT"/>
              </w:rPr>
              <w:t>Kursime në kosto administrative dhe kohë pune.</w:t>
            </w:r>
          </w:p>
          <w:p w14:paraId="1D8E2882" w14:textId="77777777" w:rsidR="00083A9F" w:rsidRPr="00F955A6" w:rsidRDefault="00083A9F" w:rsidP="00CC709C">
            <w:pPr>
              <w:numPr>
                <w:ilvl w:val="1"/>
                <w:numId w:val="50"/>
              </w:numPr>
              <w:tabs>
                <w:tab w:val="left" w:pos="10080"/>
              </w:tabs>
              <w:spacing w:line="276" w:lineRule="auto"/>
              <w:jc w:val="both"/>
              <w:rPr>
                <w:lang w:val="it-IT"/>
              </w:rPr>
            </w:pPr>
            <w:r w:rsidRPr="00F955A6">
              <w:rPr>
                <w:lang w:val="it-IT"/>
              </w:rPr>
              <w:t>Ulje e shpenzimeve për përmbushjen e kërkesave ligjore.</w:t>
            </w:r>
          </w:p>
          <w:p w14:paraId="71B4BD4B" w14:textId="77777777" w:rsidR="00083A9F" w:rsidRPr="00F955A6" w:rsidRDefault="00083A9F" w:rsidP="00CC709C">
            <w:pPr>
              <w:numPr>
                <w:ilvl w:val="1"/>
                <w:numId w:val="50"/>
              </w:numPr>
              <w:tabs>
                <w:tab w:val="left" w:pos="10080"/>
              </w:tabs>
              <w:spacing w:line="276" w:lineRule="auto"/>
              <w:jc w:val="both"/>
              <w:rPr>
                <w:lang w:val="it-IT"/>
              </w:rPr>
            </w:pPr>
            <w:r w:rsidRPr="00F955A6">
              <w:rPr>
                <w:lang w:val="it-IT"/>
              </w:rPr>
              <w:t>Përfitime nga reduktimi i vonesave që mund të ndikojnë në të ardhurat.</w:t>
            </w:r>
          </w:p>
          <w:p w14:paraId="3DCEDDAF" w14:textId="77777777" w:rsidR="00083A9F" w:rsidRPr="00083A9F" w:rsidRDefault="00083A9F" w:rsidP="00083A9F">
            <w:pPr>
              <w:tabs>
                <w:tab w:val="left" w:pos="10080"/>
              </w:tabs>
              <w:spacing w:line="276" w:lineRule="auto"/>
              <w:jc w:val="both"/>
              <w:rPr>
                <w:b/>
                <w:bCs/>
                <w:lang w:val="en-US"/>
              </w:rPr>
            </w:pPr>
            <w:r w:rsidRPr="00083A9F">
              <w:rPr>
                <w:b/>
                <w:bCs/>
                <w:lang w:val="en-US"/>
              </w:rPr>
              <w:t xml:space="preserve">3. </w:t>
            </w:r>
            <w:proofErr w:type="spellStart"/>
            <w:r w:rsidRPr="00083A9F">
              <w:rPr>
                <w:b/>
                <w:bCs/>
                <w:lang w:val="en-US"/>
              </w:rPr>
              <w:t>Qytetarët</w:t>
            </w:r>
            <w:proofErr w:type="spellEnd"/>
            <w:r w:rsidRPr="00083A9F">
              <w:rPr>
                <w:b/>
                <w:bCs/>
                <w:lang w:val="en-US"/>
              </w:rPr>
              <w:t>/</w:t>
            </w:r>
            <w:proofErr w:type="spellStart"/>
            <w:r w:rsidRPr="00083A9F">
              <w:rPr>
                <w:b/>
                <w:bCs/>
                <w:lang w:val="en-US"/>
              </w:rPr>
              <w:t>përdoruesit</w:t>
            </w:r>
            <w:proofErr w:type="spellEnd"/>
            <w:r w:rsidRPr="00083A9F">
              <w:rPr>
                <w:b/>
                <w:bCs/>
                <w:lang w:val="en-US"/>
              </w:rPr>
              <w:t xml:space="preserve"> e </w:t>
            </w:r>
            <w:proofErr w:type="spellStart"/>
            <w:r w:rsidRPr="00083A9F">
              <w:rPr>
                <w:b/>
                <w:bCs/>
                <w:lang w:val="en-US"/>
              </w:rPr>
              <w:t>shërbimeve</w:t>
            </w:r>
            <w:proofErr w:type="spellEnd"/>
          </w:p>
          <w:p w14:paraId="441B4ABB" w14:textId="77777777" w:rsidR="00083A9F" w:rsidRPr="00083A9F" w:rsidRDefault="00083A9F" w:rsidP="00CC709C">
            <w:pPr>
              <w:numPr>
                <w:ilvl w:val="0"/>
                <w:numId w:val="51"/>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sociale</w:t>
            </w:r>
            <w:proofErr w:type="spellEnd"/>
            <w:r w:rsidRPr="00083A9F">
              <w:rPr>
                <w:b/>
                <w:bCs/>
                <w:lang w:val="en-US"/>
              </w:rPr>
              <w:t>:</w:t>
            </w:r>
          </w:p>
          <w:p w14:paraId="660EBEB3" w14:textId="77777777" w:rsidR="00083A9F" w:rsidRPr="00083A9F" w:rsidRDefault="00083A9F" w:rsidP="00CC709C">
            <w:pPr>
              <w:numPr>
                <w:ilvl w:val="1"/>
                <w:numId w:val="51"/>
              </w:numPr>
              <w:tabs>
                <w:tab w:val="left" w:pos="10080"/>
              </w:tabs>
              <w:spacing w:line="276" w:lineRule="auto"/>
              <w:jc w:val="both"/>
              <w:rPr>
                <w:lang w:val="en-US"/>
              </w:rPr>
            </w:pPr>
            <w:proofErr w:type="spellStart"/>
            <w:r w:rsidRPr="00083A9F">
              <w:rPr>
                <w:lang w:val="en-US"/>
              </w:rPr>
              <w:t>Përmirësim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qasjes</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shërbime</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cilësisë</w:t>
            </w:r>
            <w:proofErr w:type="spellEnd"/>
            <w:r w:rsidRPr="00083A9F">
              <w:rPr>
                <w:lang w:val="en-US"/>
              </w:rPr>
              <w:t xml:space="preserve"> </w:t>
            </w:r>
            <w:proofErr w:type="spellStart"/>
            <w:r w:rsidRPr="00083A9F">
              <w:rPr>
                <w:lang w:val="en-US"/>
              </w:rPr>
              <w:t>së</w:t>
            </w:r>
            <w:proofErr w:type="spellEnd"/>
            <w:r w:rsidRPr="00083A9F">
              <w:rPr>
                <w:lang w:val="en-US"/>
              </w:rPr>
              <w:t xml:space="preserve"> </w:t>
            </w:r>
            <w:proofErr w:type="spellStart"/>
            <w:r w:rsidRPr="00083A9F">
              <w:rPr>
                <w:lang w:val="en-US"/>
              </w:rPr>
              <w:t>tyre</w:t>
            </w:r>
            <w:proofErr w:type="spellEnd"/>
            <w:r w:rsidRPr="00083A9F">
              <w:rPr>
                <w:lang w:val="en-US"/>
              </w:rPr>
              <w:t>.</w:t>
            </w:r>
          </w:p>
          <w:p w14:paraId="5EB6BFE7" w14:textId="77777777" w:rsidR="00083A9F" w:rsidRPr="00CC709C" w:rsidRDefault="00083A9F" w:rsidP="00CC709C">
            <w:pPr>
              <w:numPr>
                <w:ilvl w:val="1"/>
                <w:numId w:val="51"/>
              </w:numPr>
              <w:tabs>
                <w:tab w:val="left" w:pos="10080"/>
              </w:tabs>
              <w:spacing w:line="276" w:lineRule="auto"/>
              <w:jc w:val="both"/>
              <w:rPr>
                <w:lang w:val="it-IT"/>
              </w:rPr>
            </w:pPr>
            <w:r w:rsidRPr="00CC709C">
              <w:rPr>
                <w:lang w:val="it-IT"/>
              </w:rPr>
              <w:t>Transparencë më e madhe në procedurat dhe informimin mbi shërbimet.</w:t>
            </w:r>
          </w:p>
          <w:p w14:paraId="23ECE9D2" w14:textId="77777777" w:rsidR="00083A9F" w:rsidRPr="00083A9F" w:rsidRDefault="00083A9F" w:rsidP="00CC709C">
            <w:pPr>
              <w:numPr>
                <w:ilvl w:val="1"/>
                <w:numId w:val="51"/>
              </w:numPr>
              <w:tabs>
                <w:tab w:val="left" w:pos="10080"/>
              </w:tabs>
              <w:spacing w:line="276" w:lineRule="auto"/>
              <w:jc w:val="both"/>
              <w:rPr>
                <w:lang w:val="en-US"/>
              </w:rPr>
            </w:pPr>
            <w:proofErr w:type="spellStart"/>
            <w:r w:rsidRPr="00083A9F">
              <w:rPr>
                <w:lang w:val="en-US"/>
              </w:rPr>
              <w:t>Rritje</w:t>
            </w:r>
            <w:proofErr w:type="spellEnd"/>
            <w:r w:rsidRPr="00083A9F">
              <w:rPr>
                <w:lang w:val="en-US"/>
              </w:rPr>
              <w:t xml:space="preserve"> e </w:t>
            </w:r>
            <w:proofErr w:type="spellStart"/>
            <w:r w:rsidRPr="00083A9F">
              <w:rPr>
                <w:lang w:val="en-US"/>
              </w:rPr>
              <w:t>kënaqësisë</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besimit</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institucionet</w:t>
            </w:r>
            <w:proofErr w:type="spellEnd"/>
            <w:r w:rsidRPr="00083A9F">
              <w:rPr>
                <w:lang w:val="en-US"/>
              </w:rPr>
              <w:t xml:space="preserve"> </w:t>
            </w:r>
            <w:proofErr w:type="spellStart"/>
            <w:r w:rsidRPr="00083A9F">
              <w:rPr>
                <w:lang w:val="en-US"/>
              </w:rPr>
              <w:t>publike</w:t>
            </w:r>
            <w:proofErr w:type="spellEnd"/>
            <w:r w:rsidRPr="00083A9F">
              <w:rPr>
                <w:lang w:val="en-US"/>
              </w:rPr>
              <w:t>.</w:t>
            </w:r>
          </w:p>
          <w:p w14:paraId="52D2DC27" w14:textId="77777777" w:rsidR="00083A9F" w:rsidRPr="00083A9F" w:rsidRDefault="00083A9F" w:rsidP="00CC709C">
            <w:pPr>
              <w:numPr>
                <w:ilvl w:val="0"/>
                <w:numId w:val="51"/>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ekonomike</w:t>
            </w:r>
            <w:proofErr w:type="spellEnd"/>
            <w:r w:rsidRPr="00083A9F">
              <w:rPr>
                <w:b/>
                <w:bCs/>
                <w:lang w:val="en-US"/>
              </w:rPr>
              <w:t>:</w:t>
            </w:r>
          </w:p>
          <w:p w14:paraId="7E54AD37" w14:textId="77777777" w:rsidR="00083A9F" w:rsidRPr="00083A9F" w:rsidRDefault="00083A9F" w:rsidP="00CC709C">
            <w:pPr>
              <w:numPr>
                <w:ilvl w:val="1"/>
                <w:numId w:val="51"/>
              </w:numPr>
              <w:tabs>
                <w:tab w:val="left" w:pos="10080"/>
              </w:tabs>
              <w:spacing w:line="276" w:lineRule="auto"/>
              <w:jc w:val="both"/>
              <w:rPr>
                <w:lang w:val="en-US"/>
              </w:rPr>
            </w:pPr>
            <w:proofErr w:type="spellStart"/>
            <w:r w:rsidRPr="00083A9F">
              <w:rPr>
                <w:lang w:val="en-US"/>
              </w:rPr>
              <w:t>Efikasitet</w:t>
            </w:r>
            <w:proofErr w:type="spellEnd"/>
            <w:r w:rsidRPr="00083A9F">
              <w:rPr>
                <w:lang w:val="en-US"/>
              </w:rPr>
              <w:t xml:space="preserve"> </w:t>
            </w:r>
            <w:proofErr w:type="spellStart"/>
            <w:r w:rsidRPr="00083A9F">
              <w:rPr>
                <w:lang w:val="en-US"/>
              </w:rPr>
              <w:t>më</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madh</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përdorimin</w:t>
            </w:r>
            <w:proofErr w:type="spellEnd"/>
            <w:r w:rsidRPr="00083A9F">
              <w:rPr>
                <w:lang w:val="en-US"/>
              </w:rPr>
              <w:t xml:space="preserve"> e </w:t>
            </w:r>
            <w:proofErr w:type="spellStart"/>
            <w:r w:rsidRPr="00083A9F">
              <w:rPr>
                <w:lang w:val="en-US"/>
              </w:rPr>
              <w:t>shërbimeve</w:t>
            </w:r>
            <w:proofErr w:type="spellEnd"/>
            <w:r w:rsidRPr="00083A9F">
              <w:rPr>
                <w:lang w:val="en-US"/>
              </w:rPr>
              <w:t xml:space="preserve"> </w:t>
            </w:r>
            <w:proofErr w:type="spellStart"/>
            <w:r w:rsidRPr="00083A9F">
              <w:rPr>
                <w:lang w:val="en-US"/>
              </w:rPr>
              <w:t>publike</w:t>
            </w:r>
            <w:proofErr w:type="spellEnd"/>
            <w:r w:rsidRPr="00083A9F">
              <w:rPr>
                <w:lang w:val="en-US"/>
              </w:rPr>
              <w:t>.</w:t>
            </w:r>
          </w:p>
          <w:p w14:paraId="11860A26" w14:textId="77777777" w:rsidR="00083A9F" w:rsidRPr="00083A9F" w:rsidRDefault="00083A9F" w:rsidP="00CC709C">
            <w:pPr>
              <w:numPr>
                <w:ilvl w:val="1"/>
                <w:numId w:val="51"/>
              </w:numPr>
              <w:tabs>
                <w:tab w:val="left" w:pos="10080"/>
              </w:tabs>
              <w:spacing w:line="276" w:lineRule="auto"/>
              <w:jc w:val="both"/>
              <w:rPr>
                <w:lang w:val="en-US"/>
              </w:rPr>
            </w:pPr>
            <w:proofErr w:type="spellStart"/>
            <w:r w:rsidRPr="00083A9F">
              <w:rPr>
                <w:lang w:val="en-US"/>
              </w:rPr>
              <w:t>Reduktim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pengesave</w:t>
            </w:r>
            <w:proofErr w:type="spellEnd"/>
            <w:r w:rsidRPr="00083A9F">
              <w:rPr>
                <w:lang w:val="en-US"/>
              </w:rPr>
              <w:t xml:space="preserve"> administrative </w:t>
            </w:r>
            <w:proofErr w:type="spellStart"/>
            <w:r w:rsidRPr="00083A9F">
              <w:rPr>
                <w:lang w:val="en-US"/>
              </w:rPr>
              <w:t>dhe</w:t>
            </w:r>
            <w:proofErr w:type="spellEnd"/>
            <w:r w:rsidRPr="00083A9F">
              <w:rPr>
                <w:lang w:val="en-US"/>
              </w:rPr>
              <w:t xml:space="preserve"> </w:t>
            </w:r>
            <w:proofErr w:type="spellStart"/>
            <w:r w:rsidRPr="00083A9F">
              <w:rPr>
                <w:lang w:val="en-US"/>
              </w:rPr>
              <w:t>vonesave</w:t>
            </w:r>
            <w:proofErr w:type="spellEnd"/>
            <w:r w:rsidRPr="00083A9F">
              <w:rPr>
                <w:lang w:val="en-US"/>
              </w:rPr>
              <w:t>.</w:t>
            </w:r>
          </w:p>
          <w:p w14:paraId="5E400E52" w14:textId="77777777" w:rsidR="00083A9F" w:rsidRPr="00083A9F" w:rsidRDefault="00083A9F" w:rsidP="00CC709C">
            <w:pPr>
              <w:numPr>
                <w:ilvl w:val="1"/>
                <w:numId w:val="51"/>
              </w:numPr>
              <w:tabs>
                <w:tab w:val="left" w:pos="10080"/>
              </w:tabs>
              <w:spacing w:line="276" w:lineRule="auto"/>
              <w:jc w:val="both"/>
              <w:rPr>
                <w:lang w:val="en-US"/>
              </w:rPr>
            </w:pPr>
            <w:proofErr w:type="spellStart"/>
            <w:r w:rsidRPr="00083A9F">
              <w:rPr>
                <w:lang w:val="en-US"/>
              </w:rPr>
              <w:t>Lehtësim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qasjes</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shërbime</w:t>
            </w:r>
            <w:proofErr w:type="spellEnd"/>
            <w:r w:rsidRPr="00083A9F">
              <w:rPr>
                <w:lang w:val="en-US"/>
              </w:rPr>
              <w:t xml:space="preserve"> </w:t>
            </w:r>
            <w:proofErr w:type="spellStart"/>
            <w:r w:rsidRPr="00083A9F">
              <w:rPr>
                <w:lang w:val="en-US"/>
              </w:rPr>
              <w:t>ndërkufitare</w:t>
            </w:r>
            <w:proofErr w:type="spellEnd"/>
            <w:r w:rsidRPr="00083A9F">
              <w:rPr>
                <w:lang w:val="en-US"/>
              </w:rPr>
              <w:t>.</w:t>
            </w:r>
          </w:p>
          <w:p w14:paraId="5A725AAC" w14:textId="77777777" w:rsidR="00083A9F" w:rsidRPr="00083A9F" w:rsidRDefault="00083A9F" w:rsidP="00CC709C">
            <w:pPr>
              <w:numPr>
                <w:ilvl w:val="0"/>
                <w:numId w:val="51"/>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financiare</w:t>
            </w:r>
            <w:proofErr w:type="spellEnd"/>
            <w:r w:rsidRPr="00083A9F">
              <w:rPr>
                <w:b/>
                <w:bCs/>
                <w:lang w:val="en-US"/>
              </w:rPr>
              <w:t>:</w:t>
            </w:r>
          </w:p>
          <w:p w14:paraId="700D4E20" w14:textId="77777777" w:rsidR="00083A9F" w:rsidRPr="00F955A6" w:rsidRDefault="00083A9F" w:rsidP="00CC709C">
            <w:pPr>
              <w:numPr>
                <w:ilvl w:val="1"/>
                <w:numId w:val="51"/>
              </w:numPr>
              <w:tabs>
                <w:tab w:val="left" w:pos="10080"/>
              </w:tabs>
              <w:spacing w:line="276" w:lineRule="auto"/>
              <w:jc w:val="both"/>
              <w:rPr>
                <w:lang w:val="it-IT"/>
              </w:rPr>
            </w:pPr>
            <w:r w:rsidRPr="00F955A6">
              <w:rPr>
                <w:lang w:val="it-IT"/>
              </w:rPr>
              <w:t>Ulje e kostove për qytetarët për kryerjen e procedurave administrative.</w:t>
            </w:r>
          </w:p>
          <w:p w14:paraId="497B1311" w14:textId="77777777" w:rsidR="00083A9F" w:rsidRPr="00F955A6" w:rsidRDefault="00083A9F" w:rsidP="00CC709C">
            <w:pPr>
              <w:numPr>
                <w:ilvl w:val="1"/>
                <w:numId w:val="51"/>
              </w:numPr>
              <w:tabs>
                <w:tab w:val="left" w:pos="10080"/>
              </w:tabs>
              <w:spacing w:line="276" w:lineRule="auto"/>
              <w:jc w:val="both"/>
              <w:rPr>
                <w:lang w:val="it-IT"/>
              </w:rPr>
            </w:pPr>
            <w:r w:rsidRPr="00F955A6">
              <w:rPr>
                <w:lang w:val="it-IT"/>
              </w:rPr>
              <w:t>Kursime në kohë dhe burime për dokumentacionin e nevojshëm.</w:t>
            </w:r>
          </w:p>
          <w:p w14:paraId="11974D51" w14:textId="77777777" w:rsidR="00083A9F" w:rsidRPr="00F955A6" w:rsidRDefault="00083A9F" w:rsidP="00CC709C">
            <w:pPr>
              <w:numPr>
                <w:ilvl w:val="1"/>
                <w:numId w:val="51"/>
              </w:numPr>
              <w:tabs>
                <w:tab w:val="left" w:pos="10080"/>
              </w:tabs>
              <w:spacing w:line="276" w:lineRule="auto"/>
              <w:jc w:val="both"/>
              <w:rPr>
                <w:lang w:val="it-IT"/>
              </w:rPr>
            </w:pPr>
            <w:r w:rsidRPr="00F955A6">
              <w:rPr>
                <w:lang w:val="it-IT"/>
              </w:rPr>
              <w:t>Reduktim i shpenzimeve të mundshme nga vonesat ose procedurat e ndërlikuara.</w:t>
            </w:r>
          </w:p>
          <w:p w14:paraId="747DE39B" w14:textId="77777777" w:rsidR="00083A9F" w:rsidRPr="00F955A6" w:rsidRDefault="00083A9F" w:rsidP="00083A9F">
            <w:pPr>
              <w:tabs>
                <w:tab w:val="left" w:pos="10080"/>
              </w:tabs>
              <w:spacing w:line="276" w:lineRule="auto"/>
              <w:jc w:val="both"/>
              <w:rPr>
                <w:b/>
                <w:bCs/>
                <w:lang w:val="it-IT"/>
              </w:rPr>
            </w:pPr>
            <w:r w:rsidRPr="00F955A6">
              <w:rPr>
                <w:b/>
                <w:bCs/>
                <w:lang w:val="it-IT"/>
              </w:rPr>
              <w:t>4. Sistemi i informacionit dhe teknologjia (IMI, e-Albania)</w:t>
            </w:r>
          </w:p>
          <w:p w14:paraId="1C91A094" w14:textId="77777777" w:rsidR="00083A9F" w:rsidRPr="00083A9F" w:rsidRDefault="00083A9F" w:rsidP="00CC709C">
            <w:pPr>
              <w:numPr>
                <w:ilvl w:val="0"/>
                <w:numId w:val="52"/>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sociale</w:t>
            </w:r>
            <w:proofErr w:type="spellEnd"/>
            <w:r w:rsidRPr="00083A9F">
              <w:rPr>
                <w:b/>
                <w:bCs/>
                <w:lang w:val="en-US"/>
              </w:rPr>
              <w:t>:</w:t>
            </w:r>
          </w:p>
          <w:p w14:paraId="19CA1D91"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Përmirësim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ndërveprimit</w:t>
            </w:r>
            <w:proofErr w:type="spellEnd"/>
            <w:r w:rsidRPr="00083A9F">
              <w:rPr>
                <w:lang w:val="en-US"/>
              </w:rPr>
              <w:t xml:space="preserve"> </w:t>
            </w:r>
            <w:proofErr w:type="spellStart"/>
            <w:r w:rsidRPr="00083A9F">
              <w:rPr>
                <w:lang w:val="en-US"/>
              </w:rPr>
              <w:t>ndërinstitucional</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shkëmbimit</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informacionit</w:t>
            </w:r>
            <w:proofErr w:type="spellEnd"/>
            <w:r w:rsidRPr="00083A9F">
              <w:rPr>
                <w:lang w:val="en-US"/>
              </w:rPr>
              <w:t>.</w:t>
            </w:r>
          </w:p>
          <w:p w14:paraId="79DD084F"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Lehtësim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aksesit</w:t>
            </w:r>
            <w:proofErr w:type="spellEnd"/>
            <w:r w:rsidRPr="00083A9F">
              <w:rPr>
                <w:lang w:val="en-US"/>
              </w:rPr>
              <w:t xml:space="preserve"> </w:t>
            </w:r>
            <w:proofErr w:type="spellStart"/>
            <w:r w:rsidRPr="00083A9F">
              <w:rPr>
                <w:lang w:val="en-US"/>
              </w:rPr>
              <w:t>për</w:t>
            </w:r>
            <w:proofErr w:type="spellEnd"/>
            <w:r w:rsidRPr="00083A9F">
              <w:rPr>
                <w:lang w:val="en-US"/>
              </w:rPr>
              <w:t xml:space="preserve"> </w:t>
            </w:r>
            <w:proofErr w:type="spellStart"/>
            <w:r w:rsidRPr="00083A9F">
              <w:rPr>
                <w:lang w:val="en-US"/>
              </w:rPr>
              <w:t>qytetarët</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bizneset</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shërbime</w:t>
            </w:r>
            <w:proofErr w:type="spellEnd"/>
            <w:r w:rsidRPr="00083A9F">
              <w:rPr>
                <w:lang w:val="en-US"/>
              </w:rPr>
              <w:t>.</w:t>
            </w:r>
          </w:p>
          <w:p w14:paraId="2F94A73A"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Rritje</w:t>
            </w:r>
            <w:proofErr w:type="spellEnd"/>
            <w:r w:rsidRPr="00083A9F">
              <w:rPr>
                <w:lang w:val="en-US"/>
              </w:rPr>
              <w:t xml:space="preserve"> e </w:t>
            </w:r>
            <w:proofErr w:type="spellStart"/>
            <w:r w:rsidRPr="00083A9F">
              <w:rPr>
                <w:lang w:val="en-US"/>
              </w:rPr>
              <w:t>besueshmërisë</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efikasitetit</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komunikimit</w:t>
            </w:r>
            <w:proofErr w:type="spellEnd"/>
            <w:r w:rsidRPr="00083A9F">
              <w:rPr>
                <w:lang w:val="en-US"/>
              </w:rPr>
              <w:t xml:space="preserve"> </w:t>
            </w:r>
            <w:proofErr w:type="spellStart"/>
            <w:r w:rsidRPr="00083A9F">
              <w:rPr>
                <w:lang w:val="en-US"/>
              </w:rPr>
              <w:t>ndërinstitucional</w:t>
            </w:r>
            <w:proofErr w:type="spellEnd"/>
            <w:r w:rsidRPr="00083A9F">
              <w:rPr>
                <w:lang w:val="en-US"/>
              </w:rPr>
              <w:t>.</w:t>
            </w:r>
          </w:p>
          <w:p w14:paraId="74E01E87" w14:textId="77777777" w:rsidR="00083A9F" w:rsidRPr="00083A9F" w:rsidRDefault="00083A9F" w:rsidP="00CC709C">
            <w:pPr>
              <w:numPr>
                <w:ilvl w:val="0"/>
                <w:numId w:val="52"/>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ekonomike</w:t>
            </w:r>
            <w:proofErr w:type="spellEnd"/>
            <w:r w:rsidRPr="00083A9F">
              <w:rPr>
                <w:b/>
                <w:bCs/>
                <w:lang w:val="en-US"/>
              </w:rPr>
              <w:t>:</w:t>
            </w:r>
          </w:p>
          <w:p w14:paraId="550025AA"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Përmirësim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shkëmbimit</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informacionit</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harmonizim</w:t>
            </w:r>
            <w:proofErr w:type="spellEnd"/>
            <w:r w:rsidRPr="00083A9F">
              <w:rPr>
                <w:lang w:val="en-US"/>
              </w:rPr>
              <w:t xml:space="preserve"> me </w:t>
            </w:r>
            <w:proofErr w:type="spellStart"/>
            <w:r w:rsidRPr="00083A9F">
              <w:rPr>
                <w:lang w:val="en-US"/>
              </w:rPr>
              <w:t>standardet</w:t>
            </w:r>
            <w:proofErr w:type="spellEnd"/>
            <w:r w:rsidRPr="00083A9F">
              <w:rPr>
                <w:lang w:val="en-US"/>
              </w:rPr>
              <w:t xml:space="preserve"> e BE-</w:t>
            </w:r>
            <w:proofErr w:type="spellStart"/>
            <w:r w:rsidRPr="00083A9F">
              <w:rPr>
                <w:lang w:val="en-US"/>
              </w:rPr>
              <w:t>së</w:t>
            </w:r>
            <w:proofErr w:type="spellEnd"/>
            <w:r w:rsidRPr="00083A9F">
              <w:rPr>
                <w:lang w:val="en-US"/>
              </w:rPr>
              <w:t>.</w:t>
            </w:r>
          </w:p>
          <w:p w14:paraId="01B1D815"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Reduktim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gabimeve</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vonesave</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proceset</w:t>
            </w:r>
            <w:proofErr w:type="spellEnd"/>
            <w:r w:rsidRPr="00083A9F">
              <w:rPr>
                <w:lang w:val="en-US"/>
              </w:rPr>
              <w:t xml:space="preserve"> administrative.</w:t>
            </w:r>
          </w:p>
          <w:p w14:paraId="1EBB51A2"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Optimizim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proceseve</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menaxhimit</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informacionit</w:t>
            </w:r>
            <w:proofErr w:type="spellEnd"/>
            <w:r w:rsidRPr="00083A9F">
              <w:rPr>
                <w:lang w:val="en-US"/>
              </w:rPr>
              <w:t>.</w:t>
            </w:r>
          </w:p>
          <w:p w14:paraId="13376995" w14:textId="77777777" w:rsidR="00083A9F" w:rsidRPr="00083A9F" w:rsidRDefault="00083A9F" w:rsidP="00CC709C">
            <w:pPr>
              <w:numPr>
                <w:ilvl w:val="0"/>
                <w:numId w:val="52"/>
              </w:numPr>
              <w:tabs>
                <w:tab w:val="left" w:pos="10080"/>
              </w:tabs>
              <w:spacing w:line="276" w:lineRule="auto"/>
              <w:jc w:val="both"/>
              <w:rPr>
                <w:lang w:val="en-US"/>
              </w:rPr>
            </w:pPr>
            <w:proofErr w:type="spellStart"/>
            <w:r w:rsidRPr="00083A9F">
              <w:rPr>
                <w:b/>
                <w:bCs/>
                <w:lang w:val="en-US"/>
              </w:rPr>
              <w:t>Ndikime</w:t>
            </w:r>
            <w:proofErr w:type="spellEnd"/>
            <w:r w:rsidRPr="00083A9F">
              <w:rPr>
                <w:b/>
                <w:bCs/>
                <w:lang w:val="en-US"/>
              </w:rPr>
              <w:t xml:space="preserve"> </w:t>
            </w:r>
            <w:proofErr w:type="spellStart"/>
            <w:r w:rsidRPr="00083A9F">
              <w:rPr>
                <w:b/>
                <w:bCs/>
                <w:lang w:val="en-US"/>
              </w:rPr>
              <w:t>financiare</w:t>
            </w:r>
            <w:proofErr w:type="spellEnd"/>
            <w:r w:rsidRPr="00083A9F">
              <w:rPr>
                <w:b/>
                <w:bCs/>
                <w:lang w:val="en-US"/>
              </w:rPr>
              <w:t>:</w:t>
            </w:r>
          </w:p>
          <w:p w14:paraId="4FDA264F"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Kursime</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menaxhimin</w:t>
            </w:r>
            <w:proofErr w:type="spellEnd"/>
            <w:r w:rsidRPr="00083A9F">
              <w:rPr>
                <w:lang w:val="en-US"/>
              </w:rPr>
              <w:t xml:space="preserve"> e </w:t>
            </w:r>
            <w:proofErr w:type="spellStart"/>
            <w:r w:rsidRPr="00083A9F">
              <w:rPr>
                <w:lang w:val="en-US"/>
              </w:rPr>
              <w:t>dokumentacionit</w:t>
            </w:r>
            <w:proofErr w:type="spellEnd"/>
            <w:r w:rsidRPr="00083A9F">
              <w:rPr>
                <w:lang w:val="en-US"/>
              </w:rPr>
              <w:t xml:space="preserve"> </w:t>
            </w:r>
            <w:proofErr w:type="spellStart"/>
            <w:r w:rsidRPr="00083A9F">
              <w:rPr>
                <w:lang w:val="en-US"/>
              </w:rPr>
              <w:t>dhe</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trajnimet</w:t>
            </w:r>
            <w:proofErr w:type="spellEnd"/>
            <w:r w:rsidRPr="00083A9F">
              <w:rPr>
                <w:lang w:val="en-US"/>
              </w:rPr>
              <w:t xml:space="preserve"> </w:t>
            </w:r>
            <w:proofErr w:type="spellStart"/>
            <w:r w:rsidRPr="00083A9F">
              <w:rPr>
                <w:lang w:val="en-US"/>
              </w:rPr>
              <w:t>për</w:t>
            </w:r>
            <w:proofErr w:type="spellEnd"/>
            <w:r w:rsidRPr="00083A9F">
              <w:rPr>
                <w:lang w:val="en-US"/>
              </w:rPr>
              <w:t xml:space="preserve"> </w:t>
            </w:r>
            <w:proofErr w:type="spellStart"/>
            <w:r w:rsidRPr="00083A9F">
              <w:rPr>
                <w:lang w:val="en-US"/>
              </w:rPr>
              <w:t>përdoruesit</w:t>
            </w:r>
            <w:proofErr w:type="spellEnd"/>
            <w:r w:rsidRPr="00083A9F">
              <w:rPr>
                <w:lang w:val="en-US"/>
              </w:rPr>
              <w:t>.</w:t>
            </w:r>
          </w:p>
          <w:p w14:paraId="7EFC92D7"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Investime</w:t>
            </w:r>
            <w:proofErr w:type="spellEnd"/>
            <w:r w:rsidRPr="00083A9F">
              <w:rPr>
                <w:lang w:val="en-US"/>
              </w:rPr>
              <w:t xml:space="preserve"> </w:t>
            </w:r>
            <w:proofErr w:type="spellStart"/>
            <w:r w:rsidRPr="00083A9F">
              <w:rPr>
                <w:lang w:val="en-US"/>
              </w:rPr>
              <w:t>më</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efektshme</w:t>
            </w:r>
            <w:proofErr w:type="spellEnd"/>
            <w:r w:rsidRPr="00083A9F">
              <w:rPr>
                <w:lang w:val="en-US"/>
              </w:rPr>
              <w:t xml:space="preserve"> </w:t>
            </w:r>
            <w:proofErr w:type="spellStart"/>
            <w:r w:rsidRPr="00083A9F">
              <w:rPr>
                <w:lang w:val="en-US"/>
              </w:rPr>
              <w:t>në</w:t>
            </w:r>
            <w:proofErr w:type="spellEnd"/>
            <w:r w:rsidRPr="00083A9F">
              <w:rPr>
                <w:lang w:val="en-US"/>
              </w:rPr>
              <w:t xml:space="preserve"> </w:t>
            </w:r>
            <w:proofErr w:type="spellStart"/>
            <w:r w:rsidRPr="00083A9F">
              <w:rPr>
                <w:lang w:val="en-US"/>
              </w:rPr>
              <w:t>sistemet</w:t>
            </w:r>
            <w:proofErr w:type="spellEnd"/>
            <w:r w:rsidRPr="00083A9F">
              <w:rPr>
                <w:lang w:val="en-US"/>
              </w:rPr>
              <w:t xml:space="preserve"> </w:t>
            </w:r>
            <w:proofErr w:type="spellStart"/>
            <w:r w:rsidRPr="00083A9F">
              <w:rPr>
                <w:lang w:val="en-US"/>
              </w:rPr>
              <w:t>teknologjike</w:t>
            </w:r>
            <w:proofErr w:type="spellEnd"/>
            <w:r w:rsidRPr="00083A9F">
              <w:rPr>
                <w:lang w:val="en-US"/>
              </w:rPr>
              <w:t>.</w:t>
            </w:r>
          </w:p>
          <w:p w14:paraId="3A9A42C2" w14:textId="77777777" w:rsidR="00083A9F" w:rsidRPr="00083A9F" w:rsidRDefault="00083A9F" w:rsidP="00CC709C">
            <w:pPr>
              <w:numPr>
                <w:ilvl w:val="1"/>
                <w:numId w:val="52"/>
              </w:numPr>
              <w:tabs>
                <w:tab w:val="left" w:pos="10080"/>
              </w:tabs>
              <w:spacing w:line="276" w:lineRule="auto"/>
              <w:jc w:val="both"/>
              <w:rPr>
                <w:lang w:val="en-US"/>
              </w:rPr>
            </w:pPr>
            <w:proofErr w:type="spellStart"/>
            <w:r w:rsidRPr="00083A9F">
              <w:rPr>
                <w:lang w:val="en-US"/>
              </w:rPr>
              <w:t>Reduktim</w:t>
            </w:r>
            <w:proofErr w:type="spellEnd"/>
            <w:r w:rsidRPr="00083A9F">
              <w:rPr>
                <w:lang w:val="en-US"/>
              </w:rPr>
              <w:t xml:space="preserve"> </w:t>
            </w:r>
            <w:proofErr w:type="spellStart"/>
            <w:r w:rsidRPr="00083A9F">
              <w:rPr>
                <w:lang w:val="en-US"/>
              </w:rPr>
              <w:t>i</w:t>
            </w:r>
            <w:proofErr w:type="spellEnd"/>
            <w:r w:rsidRPr="00083A9F">
              <w:rPr>
                <w:lang w:val="en-US"/>
              </w:rPr>
              <w:t xml:space="preserve"> </w:t>
            </w:r>
            <w:proofErr w:type="spellStart"/>
            <w:r w:rsidRPr="00083A9F">
              <w:rPr>
                <w:lang w:val="en-US"/>
              </w:rPr>
              <w:t>shpenzimeve</w:t>
            </w:r>
            <w:proofErr w:type="spellEnd"/>
            <w:r w:rsidRPr="00083A9F">
              <w:rPr>
                <w:lang w:val="en-US"/>
              </w:rPr>
              <w:t xml:space="preserve"> </w:t>
            </w:r>
            <w:proofErr w:type="spellStart"/>
            <w:r w:rsidRPr="00083A9F">
              <w:rPr>
                <w:lang w:val="en-US"/>
              </w:rPr>
              <w:t>për</w:t>
            </w:r>
            <w:proofErr w:type="spellEnd"/>
            <w:r w:rsidRPr="00083A9F">
              <w:rPr>
                <w:lang w:val="en-US"/>
              </w:rPr>
              <w:t xml:space="preserve"> </w:t>
            </w:r>
            <w:proofErr w:type="spellStart"/>
            <w:r w:rsidRPr="00083A9F">
              <w:rPr>
                <w:lang w:val="en-US"/>
              </w:rPr>
              <w:t>ndërveprim</w:t>
            </w:r>
            <w:proofErr w:type="spellEnd"/>
            <w:r w:rsidRPr="00083A9F">
              <w:rPr>
                <w:lang w:val="en-US"/>
              </w:rPr>
              <w:t xml:space="preserve"> manual </w:t>
            </w:r>
            <w:proofErr w:type="spellStart"/>
            <w:r w:rsidRPr="00083A9F">
              <w:rPr>
                <w:lang w:val="en-US"/>
              </w:rPr>
              <w:t>dhe</w:t>
            </w:r>
            <w:proofErr w:type="spellEnd"/>
            <w:r w:rsidRPr="00083A9F">
              <w:rPr>
                <w:lang w:val="en-US"/>
              </w:rPr>
              <w:t xml:space="preserve"> </w:t>
            </w:r>
            <w:proofErr w:type="spellStart"/>
            <w:r w:rsidRPr="00083A9F">
              <w:rPr>
                <w:lang w:val="en-US"/>
              </w:rPr>
              <w:t>dublikime</w:t>
            </w:r>
            <w:proofErr w:type="spellEnd"/>
            <w:r w:rsidRPr="00083A9F">
              <w:rPr>
                <w:lang w:val="en-US"/>
              </w:rPr>
              <w:t xml:space="preserve"> </w:t>
            </w:r>
            <w:proofErr w:type="spellStart"/>
            <w:r w:rsidRPr="00083A9F">
              <w:rPr>
                <w:lang w:val="en-US"/>
              </w:rPr>
              <w:t>të</w:t>
            </w:r>
            <w:proofErr w:type="spellEnd"/>
            <w:r w:rsidRPr="00083A9F">
              <w:rPr>
                <w:lang w:val="en-US"/>
              </w:rPr>
              <w:t xml:space="preserve"> </w:t>
            </w:r>
            <w:proofErr w:type="spellStart"/>
            <w:r w:rsidRPr="00083A9F">
              <w:rPr>
                <w:lang w:val="en-US"/>
              </w:rPr>
              <w:t>panevojshme</w:t>
            </w:r>
            <w:proofErr w:type="spellEnd"/>
            <w:r w:rsidRPr="00083A9F">
              <w:rPr>
                <w:lang w:val="en-US"/>
              </w:rPr>
              <w:t>.</w:t>
            </w:r>
          </w:p>
          <w:p w14:paraId="21135CAC" w14:textId="0A8C08D0" w:rsidR="001E0D36" w:rsidRPr="004045D6" w:rsidRDefault="001E0D36" w:rsidP="39C92156">
            <w:pPr>
              <w:spacing w:line="276" w:lineRule="auto"/>
              <w:jc w:val="both"/>
              <w:rPr>
                <w:i/>
                <w:iCs/>
              </w:rPr>
            </w:pPr>
            <w:r w:rsidRPr="39C92156">
              <w:rPr>
                <w:i/>
                <w:iCs/>
              </w:rPr>
              <w:fldChar w:fldCharType="begin">
                <w:ffData>
                  <w:name w:val=""/>
                  <w:enabled/>
                  <w:calcOnExit w:val="0"/>
                  <w:textInput>
                    <w:maxLength w:val="780"/>
                  </w:textInput>
                </w:ffData>
              </w:fldChar>
            </w:r>
            <w:r w:rsidRPr="39C92156">
              <w:rPr>
                <w:i/>
                <w:iCs/>
              </w:rPr>
              <w:instrText xml:space="preserve"> FORMTEXT </w:instrText>
            </w:r>
            <w:r w:rsidRPr="39C92156">
              <w:rPr>
                <w:i/>
                <w:iCs/>
              </w:rPr>
            </w:r>
            <w:r w:rsidRPr="39C92156">
              <w:rPr>
                <w:i/>
                <w:iCs/>
              </w:rPr>
              <w:fldChar w:fldCharType="separate"/>
            </w:r>
            <w:r w:rsidRPr="39C92156">
              <w:rPr>
                <w:i/>
                <w:iCs/>
              </w:rPr>
              <w:t> </w:t>
            </w:r>
            <w:r w:rsidRPr="39C92156">
              <w:rPr>
                <w:i/>
                <w:iCs/>
              </w:rPr>
              <w:t> </w:t>
            </w:r>
            <w:r w:rsidRPr="39C92156">
              <w:rPr>
                <w:i/>
                <w:iCs/>
              </w:rPr>
              <w:t> </w:t>
            </w:r>
            <w:r w:rsidRPr="39C92156">
              <w:rPr>
                <w:i/>
                <w:iCs/>
              </w:rPr>
              <w:t> </w:t>
            </w:r>
            <w:r w:rsidRPr="39C92156">
              <w:rPr>
                <w:i/>
                <w:iCs/>
              </w:rPr>
              <w:t> </w:t>
            </w:r>
            <w:r w:rsidRPr="39C92156">
              <w:rPr>
                <w:i/>
                <w:iCs/>
              </w:rPr>
              <w:fldChar w:fldCharType="end"/>
            </w:r>
          </w:p>
        </w:tc>
      </w:tr>
      <w:tr w:rsidR="00CA40EE" w:rsidRPr="00325A1F" w14:paraId="62F2DF3F" w14:textId="77777777" w:rsidTr="401C88DC">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99081" w14:textId="77777777" w:rsidR="00CA40EE" w:rsidRPr="00325A1F" w:rsidRDefault="00CA40EE" w:rsidP="39C92156">
            <w:pPr>
              <w:spacing w:line="276" w:lineRule="auto"/>
              <w:jc w:val="both"/>
              <w:rPr>
                <w:b/>
                <w:bCs/>
              </w:rPr>
            </w:pPr>
            <w:r w:rsidRPr="39C92156">
              <w:rPr>
                <w:b/>
                <w:bCs/>
              </w:rPr>
              <w:t xml:space="preserve">ARSYETIMI I OPSIONIT TË PREFERUAR </w:t>
            </w:r>
          </w:p>
          <w:p w14:paraId="7B73C018" w14:textId="5733FF13" w:rsidR="006B4B0D" w:rsidRDefault="006E7CFB" w:rsidP="39C92156">
            <w:pPr>
              <w:spacing w:line="276" w:lineRule="auto"/>
              <w:jc w:val="both"/>
              <w:rPr>
                <w:i/>
                <w:iCs/>
              </w:rPr>
            </w:pPr>
            <w:r w:rsidRPr="39C92156">
              <w:rPr>
                <w:i/>
                <w:iCs/>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39C92156">
              <w:rPr>
                <w:i/>
                <w:iCs/>
              </w:rPr>
              <w:instrText xml:space="preserve"> FORMTEXT </w:instrText>
            </w:r>
            <w:r w:rsidRPr="39C92156">
              <w:rPr>
                <w:i/>
                <w:iCs/>
              </w:rPr>
            </w:r>
            <w:r w:rsidRPr="39C92156">
              <w:rPr>
                <w:i/>
                <w:iCs/>
              </w:rPr>
              <w:fldChar w:fldCharType="separate"/>
            </w:r>
            <w:r w:rsidRPr="39C92156">
              <w:rPr>
                <w:i/>
                <w:iCs/>
              </w:rPr>
              <w:t>Shpjegoni arsyet për zgjedhjen e opsionit të preferuar. Ju lutemi jepni nëse është e mundur koston dhe përfitimin me vlerë të përcaktuar monetare. (jo më shumë se 7 rreshta)</w:t>
            </w:r>
            <w:r w:rsidRPr="39C92156">
              <w:rPr>
                <w:i/>
                <w:iCs/>
              </w:rPr>
              <w:fldChar w:fldCharType="end"/>
            </w:r>
          </w:p>
          <w:p w14:paraId="194BDF36" w14:textId="23FA34C6" w:rsidR="001E0D36" w:rsidRDefault="001E0D36" w:rsidP="39C92156">
            <w:pPr>
              <w:spacing w:line="276" w:lineRule="auto"/>
              <w:jc w:val="both"/>
              <w:rPr>
                <w:i/>
                <w:iCs/>
              </w:rPr>
            </w:pPr>
            <w:r w:rsidRPr="39C92156">
              <w:rPr>
                <w:i/>
                <w:iCs/>
              </w:rPr>
              <w:fldChar w:fldCharType="begin">
                <w:ffData>
                  <w:name w:val=""/>
                  <w:enabled/>
                  <w:calcOnExit w:val="0"/>
                  <w:textInput>
                    <w:maxLength w:val="546"/>
                  </w:textInput>
                </w:ffData>
              </w:fldChar>
            </w:r>
            <w:r w:rsidRPr="39C92156">
              <w:rPr>
                <w:i/>
                <w:iCs/>
              </w:rPr>
              <w:instrText xml:space="preserve"> FORMTEXT </w:instrText>
            </w:r>
            <w:r w:rsidRPr="39C92156">
              <w:rPr>
                <w:i/>
                <w:iCs/>
              </w:rPr>
            </w:r>
            <w:r w:rsidRPr="39C92156">
              <w:rPr>
                <w:i/>
                <w:iCs/>
              </w:rPr>
              <w:fldChar w:fldCharType="separate"/>
            </w:r>
            <w:r w:rsidRPr="39C92156">
              <w:rPr>
                <w:i/>
                <w:iCs/>
              </w:rPr>
              <w:t> </w:t>
            </w:r>
            <w:r w:rsidRPr="39C92156">
              <w:rPr>
                <w:i/>
                <w:iCs/>
              </w:rPr>
              <w:t> </w:t>
            </w:r>
            <w:r w:rsidRPr="39C92156">
              <w:rPr>
                <w:i/>
                <w:iCs/>
              </w:rPr>
              <w:t> </w:t>
            </w:r>
            <w:r w:rsidRPr="39C92156">
              <w:rPr>
                <w:i/>
                <w:iCs/>
              </w:rPr>
              <w:t> </w:t>
            </w:r>
            <w:r w:rsidRPr="39C92156">
              <w:rPr>
                <w:i/>
                <w:iCs/>
              </w:rPr>
              <w:t> </w:t>
            </w:r>
            <w:r w:rsidRPr="39C92156">
              <w:rPr>
                <w:i/>
                <w:iCs/>
              </w:rPr>
              <w:fldChar w:fldCharType="end"/>
            </w:r>
          </w:p>
          <w:p w14:paraId="17511F89" w14:textId="2DF84C9D" w:rsidR="008367A4" w:rsidRPr="00BD0A1D" w:rsidRDefault="00965C4C" w:rsidP="39C92156">
            <w:pPr>
              <w:spacing w:line="276" w:lineRule="auto"/>
              <w:jc w:val="both"/>
              <w:rPr>
                <w:color w:val="000000" w:themeColor="text1"/>
              </w:rPr>
            </w:pPr>
            <w:r w:rsidRPr="39C92156">
              <w:rPr>
                <w:color w:val="000000" w:themeColor="text1"/>
              </w:rPr>
              <w:t xml:space="preserve">Opsioni i përzgjedhur, hartimi i një ligji të ri për shërbimet, ofron zgjidhjen më efikase dhe të qëndrueshme për të përmbushur objektivat e përafrimit me acquis të BE-së dhe </w:t>
            </w:r>
            <w:r w:rsidR="00292165" w:rsidRPr="39C92156">
              <w:rPr>
                <w:color w:val="000000" w:themeColor="text1"/>
              </w:rPr>
              <w:t xml:space="preserve">për të </w:t>
            </w:r>
            <w:r w:rsidRPr="39C92156">
              <w:rPr>
                <w:color w:val="000000" w:themeColor="text1"/>
              </w:rPr>
              <w:t>garantuar funksionimin e tregut të brendshëm të shërbimeve. Ky opsion shmang fragmentimin ligjor dhe pasigurinë juridike të krijuar nga ndërhyrjet sektoriale ose ndryshimet e pjesshme, duke krijuar një kornizë të unifikuar, të qartë dhe lehtësisht të zbatueshme. Ndërkohë, sigurimi i një baze ligjore horizontale minimizon kostot e përsëritura të reformave dhe optimizon zbatimin administrativ në të gjitha nivelet. Kostoja fillestare e hartimit dhe zbatimit mbetet e kufizuar dhe e mbuluar pjesërisht nga fondet e asistencës teknike, ndërsa përfitimet ekonomike dhe institucionale – si rritja e konkurrencës, tërheqja e investimeve dhe lehtësimi i ofrimit të shërbimeve ndërkufitare – janë të qëndrueshme dhe shumëfish më të larta në afatmesëm. Për këto arsye, ky opsion përfaqëson zgjidhjen më të leverdishme në raport kosto-përfitim, duke vendosur themelet e një reforme të plotë dhe të konsoliduar.</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14:paraId="34733A01" w14:textId="77777777" w:rsidTr="39C92156">
              <w:trPr>
                <w:trHeight w:val="350"/>
              </w:trPr>
              <w:tc>
                <w:tcPr>
                  <w:tcW w:w="2928" w:type="dxa"/>
                </w:tcPr>
                <w:p w14:paraId="15FBF453" w14:textId="31CFD69E" w:rsidR="00CA40EE" w:rsidRPr="00325A1F" w:rsidRDefault="0044034F" w:rsidP="00204683">
                  <w:pPr>
                    <w:framePr w:hSpace="187" w:wrap="around" w:vAnchor="page" w:hAnchor="margin" w:y="1758"/>
                    <w:tabs>
                      <w:tab w:val="center" w:pos="1356"/>
                      <w:tab w:val="right" w:pos="2712"/>
                    </w:tabs>
                    <w:spacing w:line="276" w:lineRule="auto"/>
                    <w:suppressOverlap/>
                    <w:jc w:val="center"/>
                    <w:rPr>
                      <w:b/>
                      <w:bCs/>
                    </w:rPr>
                  </w:pPr>
                  <w:r w:rsidRPr="1A98504A">
                    <w:rPr>
                      <w:color w:val="808080" w:themeColor="background1" w:themeShade="80"/>
                    </w:rPr>
                    <w:fldChar w:fldCharType="begin">
                      <w:ffData>
                        <w:name w:val=""/>
                        <w:enabled/>
                        <w:calcOnExit/>
                        <w:textInput>
                          <w:type w:val="number"/>
                          <w:default w:val="0"/>
                          <w:maxLength w:val="20"/>
                        </w:textInput>
                      </w:ffData>
                    </w:fldChar>
                  </w:r>
                  <w:r w:rsidRPr="1A98504A">
                    <w:rPr>
                      <w:color w:val="808080" w:themeColor="background1" w:themeShade="80"/>
                    </w:rPr>
                    <w:instrText xml:space="preserve"> FORMTEXT </w:instrText>
                  </w:r>
                  <w:r w:rsidRPr="1A98504A">
                    <w:rPr>
                      <w:color w:val="808080" w:themeColor="background1" w:themeShade="80"/>
                    </w:rPr>
                  </w:r>
                  <w:r w:rsidRPr="1A98504A">
                    <w:rPr>
                      <w:color w:val="808080" w:themeColor="background1" w:themeShade="80"/>
                    </w:rPr>
                    <w:fldChar w:fldCharType="separate"/>
                  </w:r>
                  <w:r w:rsidR="78C89DD8" w:rsidRPr="1A98504A">
                    <w:rPr>
                      <w:color w:val="808080" w:themeColor="background1" w:themeShade="80"/>
                    </w:rPr>
                    <w:t>0</w:t>
                  </w:r>
                  <w:r w:rsidRPr="1A98504A">
                    <w:rPr>
                      <w:color w:val="808080" w:themeColor="background1" w:themeShade="80"/>
                    </w:rPr>
                    <w:fldChar w:fldCharType="end"/>
                  </w:r>
                </w:p>
              </w:tc>
              <w:tc>
                <w:tcPr>
                  <w:tcW w:w="2928" w:type="dxa"/>
                </w:tcPr>
                <w:p w14:paraId="7DD8D650" w14:textId="6C142BFC" w:rsidR="00CA40EE" w:rsidRPr="00325A1F" w:rsidRDefault="0044034F" w:rsidP="00204683">
                  <w:pPr>
                    <w:framePr w:hSpace="187" w:wrap="around" w:vAnchor="page" w:hAnchor="margin" w:y="1758"/>
                    <w:tabs>
                      <w:tab w:val="left" w:pos="600"/>
                      <w:tab w:val="right" w:pos="2712"/>
                    </w:tabs>
                    <w:spacing w:line="276" w:lineRule="auto"/>
                    <w:suppressOverlap/>
                    <w:jc w:val="center"/>
                    <w:rPr>
                      <w:b/>
                      <w:bCs/>
                    </w:rPr>
                  </w:pPr>
                  <w:r w:rsidRPr="1A98504A">
                    <w:rPr>
                      <w:color w:val="808080" w:themeColor="background1" w:themeShade="80"/>
                    </w:rPr>
                    <w:fldChar w:fldCharType="begin">
                      <w:ffData>
                        <w:name w:val="VleraViti2"/>
                        <w:enabled/>
                        <w:calcOnExit/>
                        <w:textInput>
                          <w:type w:val="number"/>
                          <w:default w:val="0"/>
                          <w:maxLength w:val="20"/>
                        </w:textInput>
                      </w:ffData>
                    </w:fldChar>
                  </w:r>
                  <w:bookmarkStart w:id="5" w:name="VleraViti2"/>
                  <w:r w:rsidRPr="1A98504A">
                    <w:rPr>
                      <w:color w:val="808080" w:themeColor="background1" w:themeShade="80"/>
                    </w:rPr>
                    <w:instrText xml:space="preserve"> FORMTEXT </w:instrText>
                  </w:r>
                  <w:r w:rsidRPr="1A98504A">
                    <w:rPr>
                      <w:color w:val="808080" w:themeColor="background1" w:themeShade="80"/>
                    </w:rPr>
                  </w:r>
                  <w:r w:rsidRPr="1A98504A">
                    <w:rPr>
                      <w:color w:val="808080" w:themeColor="background1" w:themeShade="80"/>
                    </w:rPr>
                    <w:fldChar w:fldCharType="separate"/>
                  </w:r>
                  <w:r w:rsidR="78C89DD8" w:rsidRPr="1A98504A">
                    <w:rPr>
                      <w:color w:val="808080" w:themeColor="background1" w:themeShade="80"/>
                    </w:rPr>
                    <w:t>0</w:t>
                  </w:r>
                  <w:r w:rsidRPr="1A98504A">
                    <w:rPr>
                      <w:color w:val="808080" w:themeColor="background1" w:themeShade="80"/>
                    </w:rPr>
                    <w:fldChar w:fldCharType="end"/>
                  </w:r>
                  <w:bookmarkEnd w:id="5"/>
                </w:p>
              </w:tc>
              <w:tc>
                <w:tcPr>
                  <w:tcW w:w="2929" w:type="dxa"/>
                </w:tcPr>
                <w:p w14:paraId="02A2A3D1" w14:textId="5956515E" w:rsidR="00CA40EE" w:rsidRPr="00325A1F" w:rsidRDefault="001E0D36" w:rsidP="00204683">
                  <w:pPr>
                    <w:framePr w:hSpace="187" w:wrap="around" w:vAnchor="page" w:hAnchor="margin" w:y="1758"/>
                    <w:tabs>
                      <w:tab w:val="center" w:pos="1356"/>
                      <w:tab w:val="right" w:pos="2713"/>
                    </w:tabs>
                    <w:spacing w:line="276" w:lineRule="auto"/>
                    <w:suppressOverlap/>
                    <w:rPr>
                      <w:b/>
                      <w:bCs/>
                    </w:rPr>
                  </w:pPr>
                  <w:r>
                    <w:tab/>
                  </w:r>
                  <w:r w:rsidR="0044034F" w:rsidRPr="1A98504A">
                    <w:rPr>
                      <w:color w:val="808080" w:themeColor="background1" w:themeShade="80"/>
                    </w:rPr>
                    <w:fldChar w:fldCharType="begin">
                      <w:ffData>
                        <w:name w:val="VleraViti3"/>
                        <w:enabled/>
                        <w:calcOnExit/>
                        <w:textInput>
                          <w:type w:val="number"/>
                          <w:default w:val="0"/>
                          <w:maxLength w:val="20"/>
                          <w:format w:val="0"/>
                        </w:textInput>
                      </w:ffData>
                    </w:fldChar>
                  </w:r>
                  <w:bookmarkStart w:id="6" w:name="VleraViti3"/>
                  <w:r w:rsidR="0044034F" w:rsidRPr="1A98504A">
                    <w:rPr>
                      <w:color w:val="808080" w:themeColor="background1" w:themeShade="80"/>
                    </w:rPr>
                    <w:instrText xml:space="preserve"> FORMTEXT </w:instrText>
                  </w:r>
                  <w:r w:rsidR="0044034F" w:rsidRPr="1A98504A">
                    <w:rPr>
                      <w:color w:val="808080" w:themeColor="background1" w:themeShade="80"/>
                    </w:rPr>
                  </w:r>
                  <w:r w:rsidR="0044034F" w:rsidRPr="1A98504A">
                    <w:rPr>
                      <w:color w:val="808080" w:themeColor="background1" w:themeShade="80"/>
                    </w:rPr>
                    <w:fldChar w:fldCharType="separate"/>
                  </w:r>
                  <w:r w:rsidR="78C89DD8" w:rsidRPr="39C92156">
                    <w:rPr>
                      <w:color w:val="808080" w:themeColor="background1" w:themeShade="80"/>
                    </w:rPr>
                    <w:t>0</w:t>
                  </w:r>
                  <w:r w:rsidR="0044034F" w:rsidRPr="1A98504A">
                    <w:rPr>
                      <w:color w:val="808080" w:themeColor="background1" w:themeShade="80"/>
                    </w:rPr>
                    <w:fldChar w:fldCharType="end"/>
                  </w:r>
                  <w:bookmarkEnd w:id="6"/>
                  <w:r>
                    <w:tab/>
                  </w:r>
                </w:p>
              </w:tc>
            </w:tr>
          </w:tbl>
          <w:p w14:paraId="4385113B" w14:textId="77777777" w:rsidR="00CA40EE" w:rsidRPr="00325A1F" w:rsidRDefault="00CA40EE" w:rsidP="39C92156">
            <w:pPr>
              <w:spacing w:line="276" w:lineRule="auto"/>
              <w:jc w:val="both"/>
              <w:rPr>
                <w:b/>
                <w:bCs/>
              </w:rPr>
            </w:pPr>
          </w:p>
        </w:tc>
      </w:tr>
      <w:tr w:rsidR="00CA40EE" w:rsidRPr="004045D6" w14:paraId="03094400" w14:textId="77777777" w:rsidTr="401C88DC">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5F2A" w14:textId="77777777" w:rsidR="00CA40EE" w:rsidRPr="0077478C" w:rsidRDefault="00CA40EE" w:rsidP="007B6556">
            <w:pPr>
              <w:spacing w:line="276" w:lineRule="auto"/>
              <w:jc w:val="both"/>
              <w:rPr>
                <w:b/>
                <w:highlight w:val="lightGray"/>
              </w:rPr>
            </w:pPr>
            <w:r w:rsidRPr="6875B2D2">
              <w:rPr>
                <w:b/>
                <w:highlight w:val="lightGray"/>
              </w:rPr>
              <w:t>KONSULTIMI</w:t>
            </w:r>
          </w:p>
          <w:p w14:paraId="65D336EE" w14:textId="7401EAD5" w:rsidR="00071110" w:rsidRPr="0077478C" w:rsidRDefault="001E0D36" w:rsidP="00027038">
            <w:pPr>
              <w:spacing w:line="276" w:lineRule="auto"/>
              <w:jc w:val="both"/>
              <w:rPr>
                <w:i/>
                <w:highlight w:val="lightGray"/>
              </w:rPr>
            </w:pPr>
            <w:r w:rsidRPr="0077478C">
              <w:rPr>
                <w:i/>
                <w:highlight w:val="lightGray"/>
              </w:rPr>
              <w:fldChar w:fldCharType="begin">
                <w:ffData>
                  <w:name w:val=""/>
                  <w:enabled/>
                  <w:calcOnExit w:val="0"/>
                  <w:textInput>
                    <w:default w:val="Jepni një përmbledhje të çdo konsultimi të kryer (me kë dhe si jeni konsultuar? (jo më shumë se 5 rreshta)"/>
                    <w:maxLength w:val="462"/>
                  </w:textInput>
                </w:ffData>
              </w:fldChar>
            </w:r>
            <w:r w:rsidRPr="0077478C">
              <w:rPr>
                <w:i/>
                <w:highlight w:val="lightGray"/>
              </w:rPr>
              <w:instrText xml:space="preserve"> FORMTEXT </w:instrText>
            </w:r>
            <w:r w:rsidRPr="0077478C">
              <w:rPr>
                <w:i/>
                <w:highlight w:val="lightGray"/>
              </w:rPr>
            </w:r>
            <w:r w:rsidRPr="0077478C">
              <w:rPr>
                <w:i/>
                <w:highlight w:val="lightGray"/>
              </w:rPr>
              <w:fldChar w:fldCharType="separate"/>
            </w:r>
            <w:r w:rsidRPr="0077478C">
              <w:rPr>
                <w:i/>
                <w:highlight w:val="lightGray"/>
              </w:rPr>
              <w:t>Jepni një përmbledhje të çdo konsultimi të kryer (me kë dhe si jeni konsultuar? (jo më shumë se 5 rreshta)</w:t>
            </w:r>
            <w:r w:rsidRPr="0077478C">
              <w:rPr>
                <w:i/>
                <w:highlight w:val="lightGray"/>
              </w:rPr>
              <w:fldChar w:fldCharType="end"/>
            </w:r>
          </w:p>
          <w:p w14:paraId="23041E48" w14:textId="3473975A" w:rsidR="003C3E95" w:rsidRDefault="003C3E95" w:rsidP="04026FFD">
            <w:pPr>
              <w:spacing w:line="276" w:lineRule="auto"/>
              <w:jc w:val="both"/>
              <w:rPr>
                <w:strike/>
                <w:highlight w:val="lightGray"/>
              </w:rPr>
            </w:pPr>
          </w:p>
          <w:p w14:paraId="050F29FE" w14:textId="3DA0E858" w:rsidR="0056238A" w:rsidRPr="00CC709C" w:rsidRDefault="0056238A" w:rsidP="04026FFD">
            <w:pPr>
              <w:spacing w:line="276" w:lineRule="auto"/>
              <w:jc w:val="both"/>
            </w:pPr>
            <w:r w:rsidRPr="00CC709C">
              <w:t xml:space="preserve">Procesi i konsultimit publik dhe ndërinstitucional është zhvilluar gjatë periudhës qershor–shtator 2025, kohë në të cilën projektligji ishte konceptuar fillimisht si akt ndryshues. Komente janë marrë nga Komisioneri për Mbrojtjen nga Diskriminimi, Ministria për Evropën dhe Punët e Jashtme, Zyra e Kryenegociatorit dhe Ministria e Drejtësisë. Komentet e Zyrës së Kryenegociatorit janë pranuar dhe janë adresuar përmes vendosjes së referencave funksionale ndaj acquis në tekstin e ligjit të ri, ndërsa vërejtja e Ministrisë së Drejtësisë është reflektuar përmes kalimit nga një akt ndryshues në hartimin e një ligji tërësisht të ri. Komisionerit për Mbrojtjen nga Diskriminimi i është kthyer një përgjigje e detajuar, ku u sqarua se kërkesat për zgjerimin e listave të bazave të mbrojtura dhe për </w:t>
            </w:r>
            <w:r w:rsidR="00DD77A9" w:rsidRPr="00CC709C">
              <w:t>parashikimin</w:t>
            </w:r>
            <w:r w:rsidRPr="00CC709C">
              <w:t xml:space="preserve"> e standardeve shtesë të aksesueshmërisë përbënin mbitranspozim dhe do të krijonin mbivendosje me ligjin horizontal, ndaj nuk mund të integroheshin në ligjin sektorial</w:t>
            </w:r>
            <w:r w:rsidR="003C3E95" w:rsidRPr="00CC709C">
              <w:t>. Ministrisë</w:t>
            </w:r>
            <w:r w:rsidRPr="00CC709C">
              <w:t xml:space="preserve"> për Evropën dhe Punët e Jashtme i është adresuar gjithashtu një përgjigje e posaçme, ku u sqarua logjika e përafrimit me Direktivën 2006/123/KE, ndikimi i pritshëm tek operatorët vendas, si dhe roli i PSC</w:t>
            </w:r>
            <w:r w:rsidR="003C3E95" w:rsidRPr="00CC709C">
              <w:t xml:space="preserve"> (Pika e Vetme e Kontaktit)</w:t>
            </w:r>
            <w:r w:rsidRPr="00CC709C">
              <w:t xml:space="preserve"> dhe IMI si mekanizma të detyrueshëm të acquis. Projektligji u publikua në Regjistrin Elektronik të Njoftimit dhe Konsultimit Publik, </w:t>
            </w:r>
            <w:r w:rsidR="00CC709C">
              <w:t xml:space="preserve">në përiudhën 24.06.2025 – 22.07.2025, </w:t>
            </w:r>
            <w:r w:rsidRPr="00CC709C">
              <w:t>ku nuk janë marrë komente nga publiku</w:t>
            </w:r>
            <w:r w:rsidR="003C3E95" w:rsidRPr="00CC709C">
              <w:t>, çka tregon se palët e interesit jashtë administratës publike nuk kanë pasur vërejtje</w:t>
            </w:r>
            <w:r w:rsidRPr="00CC709C">
              <w:t>.</w:t>
            </w:r>
            <w:r w:rsidR="008A73CA" w:rsidRPr="00CC709C">
              <w:t xml:space="preserve">  Në dhjetor 2025 janë adresuar 2 (dy) komente të marra nga AKSHI dhe Ministria e Drejtësisë, të cilat u analizuan në mënyrë të detajuar dhe u trajtuan përmes përgjigjeve të argumentuara institucionale; u reflektuan vetëm sugjerimet me karakter teknik-redaksional që nuk preknin thelbin e rregullimit, ndërsa propozimet që do të sillnin devijim nga transpozimi i plotë i Direktivës 2006/123/KE, dobësim të koherencës normative ose cenim të sigurisë juridike, nuk u pranuan.</w:t>
            </w:r>
          </w:p>
          <w:p w14:paraId="5FA61F3D" w14:textId="60E80E53" w:rsidR="001E0D36" w:rsidRPr="00325A1F" w:rsidRDefault="001E0D36" w:rsidP="00027038">
            <w:pPr>
              <w:spacing w:line="276" w:lineRule="auto"/>
              <w:jc w:val="both"/>
              <w:rPr>
                <w:i/>
              </w:rPr>
            </w:pPr>
          </w:p>
        </w:tc>
      </w:tr>
      <w:tr w:rsidR="00CA40EE" w:rsidRPr="00325A1F" w14:paraId="351492B2" w14:textId="77777777" w:rsidTr="401C88DC">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26980" w14:textId="77777777" w:rsidR="00CA40EE" w:rsidRPr="00325A1F" w:rsidRDefault="00CA40EE" w:rsidP="007B6556">
            <w:pPr>
              <w:spacing w:line="276" w:lineRule="auto"/>
              <w:jc w:val="both"/>
              <w:rPr>
                <w:b/>
              </w:rPr>
            </w:pPr>
            <w:r w:rsidRPr="6875B2D2">
              <w:rPr>
                <w:b/>
              </w:rPr>
              <w:t>ZBATIMI DHE MONITORIMI</w:t>
            </w:r>
          </w:p>
          <w:p w14:paraId="3C03BEB8" w14:textId="06F36A07" w:rsidR="008576E4" w:rsidRDefault="00CC4D9E" w:rsidP="00027038">
            <w:pPr>
              <w:spacing w:line="276" w:lineRule="auto"/>
              <w:jc w:val="both"/>
              <w:rPr>
                <w:i/>
              </w:rPr>
            </w:pPr>
            <w:r w:rsidRPr="1A98504A">
              <w:rPr>
                <w:i/>
              </w:rPr>
              <w:fldChar w:fldCharType="begin">
                <w:ffData>
                  <w:name w:val="ZbatimiMonitorimi"/>
                  <w:enabled w:val="0"/>
                  <w:calcOnExit w:val="0"/>
                  <w:textInput>
                    <w:default w:val="Si do të organizohen zbatimi dhe monitorimi?(jo më shumë se 5 rreshta)"/>
                    <w:maxLength w:val="462"/>
                  </w:textInput>
                </w:ffData>
              </w:fldChar>
            </w:r>
            <w:bookmarkStart w:id="7" w:name="ZbatimiMonitorimi"/>
            <w:r w:rsidRPr="1A98504A">
              <w:rPr>
                <w:i/>
                <w:lang w:val="it-IT"/>
              </w:rPr>
              <w:instrText xml:space="preserve"> FORMTEXT </w:instrText>
            </w:r>
            <w:r w:rsidRPr="1A98504A">
              <w:rPr>
                <w:i/>
              </w:rPr>
            </w:r>
            <w:r w:rsidRPr="1A98504A">
              <w:rPr>
                <w:i/>
              </w:rPr>
              <w:fldChar w:fldCharType="separate"/>
            </w:r>
            <w:r w:rsidRPr="1A98504A">
              <w:rPr>
                <w:i/>
                <w:lang w:val="it-IT"/>
              </w:rPr>
              <w:t>Si do të organizohen zbatimi dhe monitorimi?(jo më shumë se 5 rreshta)</w:t>
            </w:r>
            <w:r w:rsidRPr="1A98504A">
              <w:rPr>
                <w:i/>
              </w:rPr>
              <w:fldChar w:fldCharType="end"/>
            </w:r>
            <w:bookmarkEnd w:id="7"/>
          </w:p>
          <w:p w14:paraId="622B6E8A" w14:textId="530FFA82" w:rsidR="00083A9F" w:rsidRPr="0014354B" w:rsidRDefault="00083A9F" w:rsidP="00083A9F">
            <w:pPr>
              <w:spacing w:before="120" w:line="276" w:lineRule="auto"/>
              <w:jc w:val="both"/>
            </w:pPr>
            <w:r w:rsidRPr="00083A9F">
              <w:t>Institucionet përgjegjëse për zbatimin e opsionit të preferuar përfshijnë Ministrinë përgjegjëse për Ekonominë, Qendrën Kombëtare të Biznesit (QKB), Inspektoratin e Mbikëqyrjes së Tregut (IMT) dhe Koordinatorin Kombëtar për IMI pranë AKSHI. Ministria për Ekonominë është përgjegjëse për koordinimin, monitorimin dhe sigurimin e zbatimit të plotë të Ligjit për Shërbimet dhe respektimin e Direktivës së BE-së, duke përfshirë përshtatjen e legjislacionit sektorial dhe monitorimin e aktet nënligjore. QKB funksionon si pikë qendrore për marrjen dhe përcjelljen e deklaratave dhe informacionit të ofruesve të shërbimeve, duke thjeshtuar procedurat dhe reduktuar barrën administrative. IMT ka rol në ridimensionimin e kërkesave për inspektim dhe në trajnimin e punonjësve për shërbimet e reja, si dhe në rritjen e kapaciteteve njerëzore për të përballuar kërkesat e tregut. Koordinatori Kombëtar për IMI menaxhon ndërveprimin me sistemin IMI, siguron funksionimin efektiv të tij, regjistron koordinatorët për çdo autoritet kompetent dhe ofron mbështetje teknike dhe trajnime për pjesëmarrësit, duke siguruar koordinimin ndërinstitucional dhe harmonizimin e procesit me legjislacionin e BE-së.</w:t>
            </w:r>
            <w:r w:rsidRPr="0014354B">
              <w:t xml:space="preserve">Zbatimi i </w:t>
            </w:r>
            <w:r>
              <w:t xml:space="preserve">projektligjit </w:t>
            </w:r>
            <w:r w:rsidRPr="0014354B">
              <w:t>“Për lirinë e vendosjes dhe ofrimi</w:t>
            </w:r>
            <w:r>
              <w:t>t</w:t>
            </w:r>
            <w:r w:rsidRPr="0014354B">
              <w:t xml:space="preserve"> </w:t>
            </w:r>
            <w:r>
              <w:t>të</w:t>
            </w:r>
            <w:r w:rsidRPr="0014354B">
              <w:t xml:space="preserve"> shërbimeve në Republikën e Shqipërisë” do të monitorohet dhe vlerësohet në mënyrë të vazhdueshme nga Ministria e Ekonomisë dhe Inovacionit (MEI), si institucioni përgjegjës për administrimin e ligjit k</w:t>
            </w:r>
            <w:r>
              <w:t>uadër</w:t>
            </w:r>
            <w:r w:rsidRPr="0014354B">
              <w:t xml:space="preserve"> dhe koordinimin e përafrimit sektorial me Direktivën 2006/123/KE.</w:t>
            </w:r>
          </w:p>
          <w:p w14:paraId="009D7EC2" w14:textId="13C6D39E" w:rsidR="00083A9F" w:rsidRPr="00325A1F" w:rsidRDefault="00083A9F" w:rsidP="00027038">
            <w:pPr>
              <w:spacing w:line="276" w:lineRule="auto"/>
              <w:jc w:val="both"/>
              <w:rPr>
                <w:i/>
              </w:rPr>
            </w:pPr>
          </w:p>
        </w:tc>
      </w:tr>
    </w:tbl>
    <w:p w14:paraId="0C6DF655" w14:textId="77777777" w:rsidR="00C133FC" w:rsidRDefault="00C133FC" w:rsidP="009D13F4">
      <w:pPr>
        <w:pStyle w:val="Heading1"/>
        <w:spacing w:line="276" w:lineRule="auto"/>
        <w:rPr>
          <w:rFonts w:ascii="Times New Roman" w:hAnsi="Times New Roman" w:cs="Times New Roman"/>
          <w:sz w:val="24"/>
          <w:szCs w:val="24"/>
        </w:rPr>
      </w:pPr>
      <w:bookmarkStart w:id="8"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1155AF" w14:paraId="1AEFD50A" w14:textId="77777777" w:rsidTr="1A98504A">
        <w:trPr>
          <w:trHeight w:val="353"/>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C80836" w14:textId="77777777" w:rsidR="00C133FC" w:rsidRPr="009C75E3" w:rsidRDefault="00C133FC" w:rsidP="00C133FC">
            <w:pPr>
              <w:jc w:val="both"/>
              <w:rPr>
                <w:b/>
              </w:rPr>
            </w:pPr>
            <w:r w:rsidRPr="6875B2D2">
              <w:rPr>
                <w:b/>
              </w:rPr>
              <w:t xml:space="preserve">PJESA 2: BAZA KRYESORE E ANALIZËS DHE E PROVAVE </w:t>
            </w:r>
          </w:p>
        </w:tc>
      </w:tr>
    </w:tbl>
    <w:p w14:paraId="51D5A819" w14:textId="77777777" w:rsidR="00C133FC" w:rsidRPr="00C133FC" w:rsidRDefault="00C133FC" w:rsidP="00B17990"/>
    <w:p w14:paraId="373E349F" w14:textId="77777777" w:rsidR="002125B7" w:rsidRPr="00325A1F" w:rsidRDefault="002125B7" w:rsidP="009D13F4">
      <w:pPr>
        <w:pStyle w:val="Heading1"/>
        <w:spacing w:line="276" w:lineRule="auto"/>
        <w:rPr>
          <w:rFonts w:ascii="Times New Roman" w:hAnsi="Times New Roman" w:cs="Times New Roman"/>
          <w:sz w:val="24"/>
          <w:szCs w:val="24"/>
        </w:rPr>
      </w:pPr>
      <w:r w:rsidRPr="1A98504A">
        <w:rPr>
          <w:rFonts w:ascii="Times New Roman" w:hAnsi="Times New Roman" w:cs="Times New Roman"/>
          <w:sz w:val="24"/>
          <w:szCs w:val="24"/>
        </w:rPr>
        <w:t>Historik</w:t>
      </w:r>
      <w:bookmarkEnd w:id="8"/>
    </w:p>
    <w:sdt>
      <w:sdtPr>
        <w:rPr>
          <w:i/>
          <w:iCs/>
        </w:rPr>
        <w:id w:val="-1879696236"/>
        <w:lock w:val="contentLocked"/>
        <w:placeholder>
          <w:docPart w:val="DefaultPlaceholder_-1854013440"/>
        </w:placeholder>
      </w:sdtPr>
      <w:sdtContent>
        <w:p w14:paraId="65B5F973" w14:textId="3ECEF7A3" w:rsidR="002125B7" w:rsidRPr="00BC6D7D" w:rsidRDefault="007F435A" w:rsidP="009D13F4">
          <w:pPr>
            <w:spacing w:line="276" w:lineRule="auto"/>
            <w:rPr>
              <w:i/>
            </w:rPr>
          </w:pPr>
          <w:r w:rsidRPr="1A98504A">
            <w:rPr>
              <w:i/>
            </w:rPr>
            <w:t>Jepni kontekstin e politikës</w:t>
          </w:r>
          <w:r w:rsidR="00FA63FD" w:rsidRPr="1A98504A">
            <w:rPr>
              <w:i/>
            </w:rPr>
            <w:t>.</w:t>
          </w:r>
        </w:p>
      </w:sdtContent>
    </w:sdt>
    <w:sdt>
      <w:sdtPr>
        <w:rPr>
          <w:i/>
          <w:iCs/>
          <w:u w:val="single"/>
        </w:rPr>
        <w:id w:val="1083723407"/>
        <w:placeholder>
          <w:docPart w:val="DefaultPlaceholder_1081868574"/>
        </w:placeholder>
      </w:sdtPr>
      <w:sdtContent>
        <w:p w14:paraId="58A53526" w14:textId="30349F7E" w:rsidR="00825095" w:rsidRPr="001566BF" w:rsidRDefault="00825095" w:rsidP="00825095">
          <w:pPr>
            <w:spacing w:after="120" w:line="288" w:lineRule="auto"/>
            <w:jc w:val="both"/>
            <w:rPr>
              <w:i/>
              <w:u w:val="single"/>
            </w:rPr>
          </w:pPr>
          <w:r w:rsidRPr="6875B2D2">
            <w:rPr>
              <w:i/>
              <w:u w:val="single"/>
            </w:rPr>
            <w:t xml:space="preserve"> E drejta e vendosjes dhe liria e ofrimit të shërbimeve në acquis communautaire</w:t>
          </w:r>
        </w:p>
        <w:p w14:paraId="54F4CFDD" w14:textId="77777777" w:rsidR="00825095" w:rsidRPr="003D7E58" w:rsidRDefault="00825095" w:rsidP="00825095">
          <w:pPr>
            <w:spacing w:before="120" w:line="276" w:lineRule="auto"/>
            <w:jc w:val="both"/>
          </w:pPr>
          <w:r w:rsidRPr="2BF24FF9">
            <w:t>E drejta e vendosjes dhe liria e ofrimit të shërbimeve janë ndër gurët e themelit të BE, përfshirë në nenet 49-59 të Traktatit për Funksionimin e Bashkimit Evropian (TFEU), që sigurojnë lëvizjen e lirë të shërbimeve brenda tregut të brendshëm të BE. Përmes tyre bëhet e mundur që ofruesit e shërbimeve të mund të operojnë në çdo vend të BE, Zon</w:t>
          </w:r>
          <w:bookmarkStart w:id="9" w:name="_Hlk178585430"/>
          <w:r w:rsidRPr="2BF24FF9">
            <w:t>ë</w:t>
          </w:r>
          <w:bookmarkEnd w:id="9"/>
          <w:r w:rsidRPr="2BF24FF9">
            <w:t>s së Lirë Ekonomike (“</w:t>
          </w:r>
          <w:r w:rsidRPr="6875B2D2">
            <w:rPr>
              <w:b/>
            </w:rPr>
            <w:t>ZEE”</w:t>
          </w:r>
          <w:r w:rsidRPr="2BF24FF9">
            <w:t>) si dhe Zvicrës</w:t>
          </w:r>
          <w:r w:rsidRPr="2BF24FF9">
            <w:rPr>
              <w:rStyle w:val="FootnoteReference"/>
              <w:rFonts w:eastAsia="SimSun"/>
            </w:rPr>
            <w:footnoteReference w:id="2"/>
          </w:r>
          <w:r w:rsidRPr="2BF24FF9">
            <w:t>, pa u përballur me kufizime të pajustifikuara.</w:t>
          </w:r>
        </w:p>
        <w:p w14:paraId="4ED7420D" w14:textId="77777777" w:rsidR="00825095" w:rsidRPr="003D7E58" w:rsidRDefault="00825095" w:rsidP="00825095">
          <w:pPr>
            <w:spacing w:before="120" w:line="276" w:lineRule="auto"/>
            <w:jc w:val="both"/>
          </w:pPr>
          <w:r w:rsidRPr="6875B2D2">
            <w:t xml:space="preserve">E drejta e vendosjes dhe liria e ofrimit të shërbimeve shtjellohen dhe përforcohen më tej nga Direktiva e Shërbimeve. Kjo direktivë synon të heqë pengesat për vendosjen dhe ofrimin e shërbimeve nëpër shtetet anëtare të BE duke vendosur parime të tilla si liria për të ofruar shërbime, trajtimi i barabartë i ofruesve të shërbimeve dhe krijimi i lehtësirave administrative në ushtrimin e aktivitetit. </w:t>
          </w:r>
        </w:p>
        <w:p w14:paraId="330DD4B9" w14:textId="77777777" w:rsidR="00825095" w:rsidRDefault="00825095" w:rsidP="00825095">
          <w:pPr>
            <w:spacing w:before="120" w:line="276" w:lineRule="auto"/>
            <w:jc w:val="both"/>
          </w:pPr>
          <w:r w:rsidRPr="6875B2D2">
            <w:t>Direktiva e Shërbimeve luan një rol vendimtar në lehtësimin e ofrimit të shërbimeve ndërkufitare brenda BE, duke kontribuar në funksionimin e tregut të brendshëm dhe promovuar rritjen ekonomike dhe konkurrencën.</w:t>
          </w:r>
        </w:p>
        <w:p w14:paraId="34A69B8B" w14:textId="77777777" w:rsidR="00825095" w:rsidRPr="003151D8" w:rsidRDefault="00825095" w:rsidP="00825095">
          <w:pPr>
            <w:spacing w:before="120" w:line="276" w:lineRule="auto"/>
            <w:jc w:val="both"/>
            <w:rPr>
              <w:sz w:val="4"/>
              <w:szCs w:val="4"/>
            </w:rPr>
          </w:pPr>
        </w:p>
        <w:p w14:paraId="76A9F145"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Për të përshkallëzuar në vijim identifikimin e problematikës dhe nevojës për ndërhyrje vlen të ndalemi shkurtimisht në të diferencimin e këtyre dy koncepteve të rëndësishme, e drejta e vendosjes dhe lirinë e ofrimit të shërbimeve (ndërkufitare).</w:t>
          </w:r>
        </w:p>
        <w:p w14:paraId="7099D2BC" w14:textId="77777777" w:rsidR="00825095" w:rsidRPr="00F917CE" w:rsidRDefault="00825095" w:rsidP="008E7522">
          <w:pPr>
            <w:numPr>
              <w:ilvl w:val="0"/>
              <w:numId w:val="11"/>
            </w:numPr>
            <w:spacing w:after="120" w:line="288" w:lineRule="auto"/>
            <w:contextualSpacing/>
            <w:jc w:val="both"/>
            <w:rPr>
              <w:rFonts w:eastAsia="Calibri"/>
              <w:b/>
              <w:kern w:val="2"/>
              <w:u w:val="single"/>
              <w14:ligatures w14:val="standardContextual"/>
            </w:rPr>
          </w:pPr>
          <w:r w:rsidRPr="6875B2D2">
            <w:rPr>
              <w:rFonts w:eastAsia="Calibri"/>
              <w:b/>
              <w:kern w:val="2"/>
              <w:u w:val="single"/>
              <w14:ligatures w14:val="standardContextual"/>
            </w:rPr>
            <w:t>E Drejta e Vendosjes (</w:t>
          </w:r>
          <w:r w:rsidRPr="6875B2D2">
            <w:rPr>
              <w:rFonts w:eastAsia="Calibri"/>
              <w:b/>
              <w:i/>
              <w:kern w:val="2"/>
              <w:u w:val="single"/>
              <w14:ligatures w14:val="standardContextual"/>
            </w:rPr>
            <w:t>right of establishment</w:t>
          </w:r>
          <w:r w:rsidRPr="6875B2D2">
            <w:rPr>
              <w:rFonts w:eastAsia="Calibri"/>
              <w:b/>
              <w:kern w:val="2"/>
              <w:u w:val="single"/>
              <w14:ligatures w14:val="standardContextual"/>
            </w:rPr>
            <w:t>)</w:t>
          </w:r>
        </w:p>
        <w:p w14:paraId="58365B13"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 xml:space="preserve">E drejta e vendosjes/themelimit i mundëson një operatori të një vendi të BE të </w:t>
          </w:r>
          <w:r w:rsidRPr="2BF24FF9">
            <w:rPr>
              <w:rFonts w:eastAsia="Calibri"/>
              <w:kern w:val="2"/>
              <w:u w:val="single"/>
              <w14:ligatures w14:val="standardContextual"/>
            </w:rPr>
            <w:t>vendoset në një vend tjetër</w:t>
          </w:r>
          <w:r w:rsidRPr="2BF24FF9">
            <w:rPr>
              <w:rFonts w:eastAsia="Calibri"/>
              <w:kern w:val="2"/>
              <w14:ligatures w14:val="standardContextual"/>
            </w:rPr>
            <w:t xml:space="preserve"> të BE dhe të ofrojë shërbime në mënyrë të përhershme</w:t>
          </w:r>
          <w:r w:rsidRPr="2BF24FF9">
            <w:rPr>
              <w:rFonts w:ascii="Calibri" w:eastAsia="Calibri" w:hAnsi="Calibri"/>
              <w:kern w:val="2"/>
              <w:sz w:val="22"/>
              <w:szCs w:val="22"/>
              <w14:ligatures w14:val="standardContextual"/>
            </w:rPr>
            <w:t xml:space="preserve"> </w:t>
          </w:r>
          <w:r w:rsidRPr="2BF24FF9">
            <w:rPr>
              <w:rFonts w:eastAsia="Calibri"/>
              <w:kern w:val="2"/>
              <w14:ligatures w14:val="standardContextual"/>
            </w:rPr>
            <w:t>pa u përballur me diskriminim apo masa të tjera kufizuese.</w:t>
          </w:r>
        </w:p>
        <w:p w14:paraId="3850CD95"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Në këtë rast direktiva kërkon që kushtet e autorizimit/lejes për ofrimin e shërbimeve për operatorin e huaj të mos jenë diskriminuese apo penguese/ndaluese në mënyrë të drejtpërdrejtë apo të fshehur.</w:t>
          </w:r>
        </w:p>
        <w:p w14:paraId="0EEB9344" w14:textId="77777777" w:rsidR="00825095" w:rsidRPr="00F917CE" w:rsidRDefault="00825095" w:rsidP="00825095">
          <w:pPr>
            <w:spacing w:after="120" w:line="288" w:lineRule="auto"/>
            <w:jc w:val="both"/>
            <w:rPr>
              <w:rFonts w:eastAsia="Calibri"/>
              <w:kern w:val="2"/>
              <w:sz w:val="4"/>
              <w:szCs w:val="4"/>
              <w14:ligatures w14:val="standardContextual"/>
            </w:rPr>
          </w:pPr>
        </w:p>
        <w:p w14:paraId="7E7D4BC6" w14:textId="77777777" w:rsidR="00825095" w:rsidRPr="00F917CE" w:rsidRDefault="00825095" w:rsidP="008E7522">
          <w:pPr>
            <w:numPr>
              <w:ilvl w:val="0"/>
              <w:numId w:val="11"/>
            </w:numPr>
            <w:spacing w:after="120" w:line="288" w:lineRule="auto"/>
            <w:contextualSpacing/>
            <w:jc w:val="both"/>
            <w:rPr>
              <w:rFonts w:eastAsia="Calibri"/>
              <w:b/>
              <w:kern w:val="2"/>
              <w:u w:val="single"/>
              <w14:ligatures w14:val="standardContextual"/>
            </w:rPr>
          </w:pPr>
          <w:r w:rsidRPr="6875B2D2">
            <w:rPr>
              <w:rFonts w:eastAsia="Calibri"/>
              <w:b/>
              <w:kern w:val="2"/>
              <w:u w:val="single"/>
              <w14:ligatures w14:val="standardContextual"/>
            </w:rPr>
            <w:t>Liria e Ofrimit të Shërbimeve nëpërmjet shërbimeve ndërkufitare (</w:t>
          </w:r>
          <w:r w:rsidRPr="6875B2D2">
            <w:rPr>
              <w:rFonts w:eastAsia="Calibri"/>
              <w:b/>
              <w:i/>
              <w:kern w:val="2"/>
              <w:u w:val="single"/>
              <w14:ligatures w14:val="standardContextual"/>
            </w:rPr>
            <w:t>cross border services</w:t>
          </w:r>
          <w:r w:rsidRPr="6875B2D2">
            <w:rPr>
              <w:rFonts w:eastAsia="Calibri"/>
              <w:b/>
              <w:kern w:val="2"/>
              <w:u w:val="single"/>
              <w14:ligatures w14:val="standardContextual"/>
            </w:rPr>
            <w:t xml:space="preserve">) </w:t>
          </w:r>
        </w:p>
        <w:p w14:paraId="27D0F45A" w14:textId="77777777" w:rsidR="00825095" w:rsidRPr="00F917CE" w:rsidRDefault="00825095" w:rsidP="00825095">
          <w:pPr>
            <w:spacing w:after="160" w:line="259" w:lineRule="auto"/>
            <w:jc w:val="both"/>
            <w:rPr>
              <w:rFonts w:eastAsia="Calibri"/>
              <w:kern w:val="2"/>
              <w14:ligatures w14:val="standardContextual"/>
            </w:rPr>
          </w:pPr>
          <w:r w:rsidRPr="2BF24FF9">
            <w:rPr>
              <w:rFonts w:eastAsia="Calibri"/>
              <w:kern w:val="2"/>
              <w14:ligatures w14:val="standardContextual"/>
            </w:rPr>
            <w:t>Liria e Ofrimit të Shërbimeve konsiston në mund</w:t>
          </w:r>
          <w:bookmarkStart w:id="10" w:name="_Hlk176967426"/>
          <w:r w:rsidRPr="2BF24FF9">
            <w:rPr>
              <w:rFonts w:eastAsia="Calibri"/>
              <w:kern w:val="2"/>
              <w14:ligatures w14:val="standardContextual"/>
            </w:rPr>
            <w:t>ë</w:t>
          </w:r>
          <w:bookmarkEnd w:id="10"/>
          <w:r w:rsidRPr="2BF24FF9">
            <w:rPr>
              <w:rFonts w:eastAsia="Calibri"/>
              <w:kern w:val="2"/>
              <w14:ligatures w14:val="standardContextual"/>
            </w:rPr>
            <w:t>sinë e një operatori të një vendi të BE të ofrojë shërbime në mënyrë të përkohshme në një vend tjetër të BE së pa u vendosur/themeluar aty.</w:t>
          </w:r>
        </w:p>
        <w:p w14:paraId="163AD91F" w14:textId="77777777" w:rsidR="00825095" w:rsidRDefault="00825095" w:rsidP="00825095">
          <w:pPr>
            <w:spacing w:after="160" w:line="259" w:lineRule="auto"/>
            <w:jc w:val="both"/>
            <w:rPr>
              <w:rFonts w:eastAsia="Calibri"/>
              <w:kern w:val="2"/>
              <w14:ligatures w14:val="standardContextual"/>
            </w:rPr>
          </w:pPr>
          <w:r w:rsidRPr="2BF24FF9">
            <w:rPr>
              <w:rFonts w:eastAsia="Calibri"/>
              <w:kern w:val="2"/>
              <w14:ligatures w14:val="standardContextual"/>
            </w:rPr>
            <w:t xml:space="preserve">Në këtë rast direktiva kërkon që për ushtrimin e shërbimeve ndërkufitare shteti të mos parashikojë për operatorin e huaj kushte diskriminuese apo penguese/ndaluese. </w:t>
          </w:r>
        </w:p>
        <w:p w14:paraId="6AA8251E" w14:textId="77777777" w:rsidR="00825095" w:rsidRPr="00F917CE" w:rsidRDefault="00825095" w:rsidP="00825095">
          <w:pPr>
            <w:spacing w:after="160" w:line="259" w:lineRule="auto"/>
            <w:jc w:val="both"/>
            <w:rPr>
              <w:rFonts w:eastAsia="Calibri"/>
              <w:kern w:val="2"/>
              <w14:ligatures w14:val="standardContextual"/>
            </w:rPr>
          </w:pPr>
          <w:r w:rsidRPr="2BF24FF9">
            <w:rPr>
              <w:rFonts w:eastAsia="Calibri"/>
              <w:kern w:val="2"/>
              <w14:ligatures w14:val="standardContextual"/>
            </w:rPr>
            <w:t>Të dy konceptet janë të pandashëm për funksionimin e tregut të lirë në vendet anëtare të BE.</w:t>
          </w:r>
        </w:p>
        <w:p w14:paraId="4FA4EC34" w14:textId="77777777" w:rsidR="00825095" w:rsidRPr="00CC051C" w:rsidRDefault="00825095" w:rsidP="00825095">
          <w:pPr>
            <w:spacing w:before="120" w:line="276" w:lineRule="auto"/>
            <w:jc w:val="both"/>
            <w:rPr>
              <w:sz w:val="6"/>
              <w:szCs w:val="6"/>
            </w:rPr>
          </w:pPr>
        </w:p>
        <w:p w14:paraId="05066DD9" w14:textId="77777777" w:rsidR="00825095" w:rsidRPr="00CC051C" w:rsidRDefault="00825095" w:rsidP="00825095">
          <w:pPr>
            <w:spacing w:before="120" w:line="276" w:lineRule="auto"/>
            <w:jc w:val="both"/>
            <w:rPr>
              <w:i/>
              <w:u w:val="single"/>
            </w:rPr>
          </w:pPr>
          <w:r w:rsidRPr="6875B2D2">
            <w:rPr>
              <w:i/>
              <w:u w:val="single"/>
            </w:rPr>
            <w:t>Hapat e ndërmarra nga Qeveria Shqiptare</w:t>
          </w:r>
        </w:p>
        <w:p w14:paraId="62B0C0F9" w14:textId="77777777" w:rsidR="00825095" w:rsidRDefault="00825095" w:rsidP="00825095">
          <w:pPr>
            <w:spacing w:before="120" w:line="276" w:lineRule="auto"/>
            <w:jc w:val="both"/>
          </w:pPr>
          <w:bookmarkStart w:id="11" w:name="_Hlk176861298"/>
          <w:r w:rsidRPr="6875B2D2">
            <w:t xml:space="preserve">Në vitin 2006, Shqipëria nënshkroi Marrëveshjen e Stabilizim-Asociimit (MSA) me BE, e cila siguron një zonë të tregtisë së lirë midis BE dhe Shqipërisë dhe synon të përgatisë rrugën e saj drejt anëtarësimit në BE. MSA-ja hyri në fuqi në vitin 2009 dhe Shqipëria u angazhua për të harmonizuar kuadrin e saj rregullator dhe institucional kombëtar me </w:t>
          </w:r>
          <w:r w:rsidRPr="6875B2D2">
            <w:rPr>
              <w:i/>
            </w:rPr>
            <w:t>acquis</w:t>
          </w:r>
          <w:r w:rsidRPr="6875B2D2">
            <w:t xml:space="preserve"> të BE. </w:t>
          </w:r>
        </w:p>
        <w:p w14:paraId="31E7F191" w14:textId="77777777" w:rsidR="00825095" w:rsidRDefault="00825095" w:rsidP="00825095">
          <w:pPr>
            <w:spacing w:before="120" w:line="276" w:lineRule="auto"/>
            <w:jc w:val="both"/>
          </w:pPr>
          <w:r w:rsidRPr="6875B2D2">
            <w:t xml:space="preserve">Në përputhje nenet 49-59, të MSA shteti shqiptar ka detyrimin e përafrimit të legjislacionit shqiptar në fushën e të drejtës së vendosjes dhe lirisë së ofrimit të shërbimeve me </w:t>
          </w:r>
          <w:r w:rsidRPr="6875B2D2">
            <w:rPr>
              <w:i/>
            </w:rPr>
            <w:t>acquis</w:t>
          </w:r>
          <w:r w:rsidRPr="6875B2D2">
            <w:t>-në e BE në këtë fushë, e në veçanti me Direktivën 2006/123/KE.</w:t>
          </w:r>
        </w:p>
        <w:p w14:paraId="2A2B0ABD" w14:textId="77777777" w:rsidR="00825095" w:rsidRDefault="00825095" w:rsidP="00825095">
          <w:pPr>
            <w:spacing w:before="120" w:line="276" w:lineRule="auto"/>
            <w:jc w:val="both"/>
          </w:pPr>
          <w:r w:rsidRPr="6875B2D2">
            <w:t>Statusi i vendit kandidat, ne vitin 2014, niveloi marrëdhëniet e Shqipërisë me BE-në, duke lejuar liberalizimin progresiv të tregtisë dhe qasje të ndërsjellë pa doganë për shumicën e mallrave të tregtuara ndërmjet palëve.</w:t>
          </w:r>
        </w:p>
        <w:p w14:paraId="5047BDF0" w14:textId="77777777" w:rsidR="00825095" w:rsidRDefault="00825095" w:rsidP="00825095">
          <w:pPr>
            <w:spacing w:before="120" w:line="276" w:lineRule="auto"/>
            <w:jc w:val="both"/>
          </w:pPr>
          <w:r w:rsidRPr="6875B2D2">
            <w:t xml:space="preserve">Hapja e negociatave ne 2020, BE  dhe Konferenca e parë Ndërqeveritare BE-Shqipëri, shënuan hapjen formale të bisedimeve të anëtarësimit. BE përshkroi agjendën e takimeve shpjeguese për përditësime mbi </w:t>
          </w:r>
          <w:r w:rsidRPr="6875B2D2">
            <w:rPr>
              <w:i/>
            </w:rPr>
            <w:t>acquis</w:t>
          </w:r>
          <w:r w:rsidRPr="6875B2D2">
            <w:t xml:space="preserve"> për disa kapituj negociues, si dhe agjendën për takimet bilaterale: përafrimi me Direktivën 2006/123/KE negociohet në kuadër të Kapitullit 3 te negociatave – E Drejta e Vendosjes dhe Liria për të Ofruar Shërbime. Takimi bilateral për Kapitullin 3 u mbajt më dt.17-18.01.2023, në të cilin Shqipëria parashtroi nivelin e përafrimit me </w:t>
          </w:r>
          <w:r w:rsidRPr="6875B2D2">
            <w:rPr>
              <w:i/>
            </w:rPr>
            <w:t>acquis</w:t>
          </w:r>
          <w:r w:rsidRPr="6875B2D2">
            <w:t xml:space="preserve">, konkretisht me direktivën në fjalë dhe shpalosi planet për të ardhmen, përfshirë përafrimin e plotë me Direktivën 2006/123/KE brenda vitit 2025. </w:t>
          </w:r>
        </w:p>
        <w:p w14:paraId="6B4E92C0" w14:textId="77777777" w:rsidR="00825095" w:rsidRPr="00C520CC" w:rsidRDefault="00825095" w:rsidP="00825095">
          <w:pPr>
            <w:spacing w:before="120" w:line="276" w:lineRule="auto"/>
            <w:jc w:val="both"/>
            <w:rPr>
              <w:sz w:val="4"/>
              <w:szCs w:val="4"/>
            </w:rPr>
          </w:pPr>
        </w:p>
        <w:p w14:paraId="4060C58A"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 xml:space="preserve">Përpjekjet për përafrimin te </w:t>
          </w:r>
          <w:r w:rsidRPr="2BF24FF9">
            <w:t xml:space="preserve">Direktivës 2006/123/KE, </w:t>
          </w:r>
          <w:r w:rsidRPr="2BF24FF9">
            <w:rPr>
              <w:rFonts w:eastAsia="Calibri"/>
              <w:kern w:val="2"/>
              <w14:ligatures w14:val="standardContextual"/>
            </w:rPr>
            <w:t>kanë nisur ne vitin 2016, me miratimin e ligjit 66/2016 “Për shërbimet në Republikën e Shqipërisë”, i cili përafron një pjesë të rëndësishme të dispozitave të Direktivës së Shërbimeve.</w:t>
          </w:r>
        </w:p>
        <w:p w14:paraId="5B87074A"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Ligji për Shërbimet është një ligji horizontal (ombrellë) që adapton një set nenesh të rëndësishme të Direktivës së Shërbimeve, dhe ndër të tjera:</w:t>
          </w:r>
        </w:p>
        <w:p w14:paraId="662F78A6" w14:textId="77777777" w:rsidR="00825095" w:rsidRPr="00F917CE" w:rsidRDefault="00825095" w:rsidP="008E7522">
          <w:pPr>
            <w:numPr>
              <w:ilvl w:val="0"/>
              <w:numId w:val="12"/>
            </w:numPr>
            <w:spacing w:after="120" w:line="288" w:lineRule="auto"/>
            <w:contextualSpacing/>
            <w:rPr>
              <w:rFonts w:eastAsia="Calibri"/>
              <w:kern w:val="2"/>
              <w14:ligatures w14:val="standardContextual"/>
            </w:rPr>
          </w:pPr>
          <w:r w:rsidRPr="2BF24FF9">
            <w:rPr>
              <w:rFonts w:eastAsia="Calibri"/>
              <w:kern w:val="2"/>
              <w14:ligatures w14:val="standardContextual"/>
            </w:rPr>
            <w:t>rregullon qasjen në tregun e shërbimeve duke adaptuar te drejtën e vendosjes/themelimit;</w:t>
          </w:r>
        </w:p>
        <w:p w14:paraId="46345F2E" w14:textId="77777777" w:rsidR="00825095" w:rsidRDefault="00825095" w:rsidP="008E7522">
          <w:pPr>
            <w:numPr>
              <w:ilvl w:val="0"/>
              <w:numId w:val="12"/>
            </w:numPr>
            <w:spacing w:after="120" w:line="288" w:lineRule="auto"/>
            <w:contextualSpacing/>
            <w:jc w:val="both"/>
            <w:rPr>
              <w:rFonts w:eastAsia="Calibri"/>
              <w:kern w:val="2"/>
              <w14:ligatures w14:val="standardContextual"/>
            </w:rPr>
          </w:pPr>
          <w:r w:rsidRPr="2BF24FF9">
            <w:rPr>
              <w:rFonts w:eastAsia="Calibri"/>
              <w:kern w:val="2"/>
              <w14:ligatures w14:val="standardContextual"/>
            </w:rPr>
            <w:t>siguron qasjen pa dallim në tregun vendas dhe ushtrimin e aktiviteteve të shërbimeve si për ofruesit vendas të shërbimeve ashtu edhe për ata të huaj që krijojnë biznesin e tyre në vend;</w:t>
          </w:r>
        </w:p>
        <w:p w14:paraId="6234509C" w14:textId="77777777" w:rsidR="00825095" w:rsidRPr="00F917CE" w:rsidRDefault="00825095" w:rsidP="008E7522">
          <w:pPr>
            <w:numPr>
              <w:ilvl w:val="0"/>
              <w:numId w:val="12"/>
            </w:numPr>
            <w:spacing w:after="120" w:line="288" w:lineRule="auto"/>
            <w:contextualSpacing/>
            <w:jc w:val="both"/>
            <w:rPr>
              <w:rFonts w:eastAsia="Calibri"/>
              <w:kern w:val="2"/>
              <w14:ligatures w14:val="standardContextual"/>
            </w:rPr>
          </w:pPr>
          <w:r w:rsidRPr="2BF24FF9">
            <w:rPr>
              <w:rFonts w:eastAsia="Calibri"/>
              <w:kern w:val="2"/>
              <w14:ligatures w14:val="standardContextual"/>
            </w:rPr>
            <w:t>parashikon kushtet për miratimin e skemave të autorizimit (leje, licensa, autorizime e të ngjashme që kushtëzojnë hyrjen në tregun e shërbimeve dhe ofrimin e tyre);</w:t>
          </w:r>
        </w:p>
        <w:p w14:paraId="0C0555E7" w14:textId="77777777" w:rsidR="00825095" w:rsidRDefault="00825095" w:rsidP="008E7522">
          <w:pPr>
            <w:numPr>
              <w:ilvl w:val="0"/>
              <w:numId w:val="12"/>
            </w:numPr>
            <w:spacing w:after="120" w:line="288" w:lineRule="auto"/>
            <w:contextualSpacing/>
            <w:jc w:val="both"/>
            <w:rPr>
              <w:rFonts w:eastAsia="Calibri"/>
              <w:kern w:val="2"/>
              <w14:ligatures w14:val="standardContextual"/>
            </w:rPr>
          </w:pPr>
          <w:r w:rsidRPr="2BF24FF9">
            <w:rPr>
              <w:rFonts w:eastAsia="Calibri"/>
              <w:kern w:val="2"/>
              <w14:ligatures w14:val="standardContextual"/>
            </w:rPr>
            <w:t>krijon pikën e vetme të kontaktit (</w:t>
          </w:r>
          <w:r w:rsidRPr="6875B2D2">
            <w:rPr>
              <w:rFonts w:eastAsia="Calibri"/>
              <w:i/>
              <w:kern w:val="2"/>
              <w14:ligatures w14:val="standardContextual"/>
            </w:rPr>
            <w:t>Point of Single Contact</w:t>
          </w:r>
          <w:r w:rsidRPr="2BF24FF9">
            <w:rPr>
              <w:rFonts w:eastAsia="Calibri"/>
              <w:kern w:val="2"/>
              <w14:ligatures w14:val="standardContextual"/>
            </w:rPr>
            <w:t>) si pjesë e platformës unike qeveritare e-Albania;</w:t>
          </w:r>
        </w:p>
        <w:p w14:paraId="43BD419B" w14:textId="77777777" w:rsidR="00825095" w:rsidRPr="00F917CE" w:rsidRDefault="00825095" w:rsidP="008E7522">
          <w:pPr>
            <w:numPr>
              <w:ilvl w:val="0"/>
              <w:numId w:val="12"/>
            </w:numPr>
            <w:spacing w:after="120" w:line="288" w:lineRule="auto"/>
            <w:contextualSpacing/>
            <w:jc w:val="both"/>
            <w:rPr>
              <w:rFonts w:eastAsia="Calibri"/>
              <w:kern w:val="2"/>
              <w14:ligatures w14:val="standardContextual"/>
            </w:rPr>
          </w:pPr>
          <w:r w:rsidRPr="2BF24FF9">
            <w:rPr>
              <w:rFonts w:eastAsia="Calibri"/>
              <w:kern w:val="2"/>
              <w14:ligatures w14:val="standardContextual"/>
            </w:rPr>
            <w:t>përcakton të drejta për përfituesit e shërbimeve dhe cilësinë e shërbimeve;</w:t>
          </w:r>
        </w:p>
        <w:p w14:paraId="4E8AA41C" w14:textId="77777777" w:rsidR="00825095" w:rsidRPr="00F917CE" w:rsidRDefault="00825095" w:rsidP="008E7522">
          <w:pPr>
            <w:numPr>
              <w:ilvl w:val="0"/>
              <w:numId w:val="12"/>
            </w:numPr>
            <w:spacing w:after="120" w:line="288" w:lineRule="auto"/>
            <w:contextualSpacing/>
            <w:jc w:val="both"/>
            <w:rPr>
              <w:rFonts w:eastAsia="Calibri"/>
              <w:kern w:val="2"/>
              <w14:ligatures w14:val="standardContextual"/>
            </w:rPr>
          </w:pPr>
          <w:r w:rsidRPr="2BF24FF9">
            <w:rPr>
              <w:rFonts w:eastAsia="Calibri"/>
              <w:kern w:val="2"/>
              <w14:ligatures w14:val="standardContextual"/>
            </w:rPr>
            <w:t>mandaton shqyrtimin e legjislacionit sektorial kundrejt parimit të mosdiskriminimit, ligjshmërisë dhe proporcionalitetit për kërkesat që mund të çojnë në diskriminim ose të shtrembërojnë konkurrencën e ndershme në treg;</w:t>
          </w:r>
        </w:p>
        <w:p w14:paraId="37C6A6FB" w14:textId="77777777" w:rsidR="00825095" w:rsidRPr="00F917CE" w:rsidRDefault="00825095" w:rsidP="008E7522">
          <w:pPr>
            <w:numPr>
              <w:ilvl w:val="0"/>
              <w:numId w:val="12"/>
            </w:numPr>
            <w:spacing w:after="120" w:line="288" w:lineRule="auto"/>
            <w:contextualSpacing/>
            <w:jc w:val="both"/>
            <w:rPr>
              <w:rFonts w:eastAsia="Calibri"/>
              <w:kern w:val="2"/>
              <w14:ligatures w14:val="standardContextual"/>
            </w:rPr>
          </w:pPr>
          <w:r w:rsidRPr="2BF24FF9">
            <w:rPr>
              <w:rFonts w:eastAsia="Calibri"/>
              <w:kern w:val="2"/>
              <w14:ligatures w14:val="standardContextual"/>
            </w:rPr>
            <w:t>ngre një sistemi njoftimi të rregulloreve të reja që prekin shërbimet në përputhje me sa më sipër.</w:t>
          </w:r>
        </w:p>
        <w:p w14:paraId="5B00B8BC" w14:textId="77777777" w:rsidR="00825095" w:rsidRPr="00A60CD2" w:rsidRDefault="00825095" w:rsidP="00825095">
          <w:pPr>
            <w:spacing w:after="120" w:line="288" w:lineRule="auto"/>
            <w:jc w:val="both"/>
            <w:rPr>
              <w:rFonts w:eastAsia="Calibri"/>
              <w:kern w:val="2"/>
              <w:sz w:val="4"/>
              <w:szCs w:val="4"/>
              <w14:ligatures w14:val="standardContextual"/>
            </w:rPr>
          </w:pPr>
        </w:p>
        <w:p w14:paraId="45BBDE10"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Ligjet e tjera horizontale kombëtare, veçanërisht legjislacioni që rregullon procedurat administrative dhe regjimin e licencimit/autorizimit, gjithashtu vijnë në linjë me dispozita të rëndësishme të Direktivës së Shërbimeve. Në mënyrë të pashmangshme, transpozimi i disa dispozitave të Direktivës së Shërbimeve reflektohet gjithashtu në legjislacionin sektorial.</w:t>
          </w:r>
          <w:r w:rsidRPr="2BF24FF9" w:rsidDel="00F830C7">
            <w:rPr>
              <w:rFonts w:eastAsia="Calibri"/>
              <w:kern w:val="2"/>
              <w14:ligatures w14:val="standardContextual"/>
            </w:rPr>
            <w:t xml:space="preserve"> </w:t>
          </w:r>
        </w:p>
        <w:p w14:paraId="5342D684"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Në legjislacionin e nivelit horizontal një sërë nenesh dhe parimesh të Direktivës së Shërbimeve, ndër të tjera, neni 7 (e drejta për informim), neni 8 (procedurat me mjete elektronike), neni 9 (skemat e autorizimit), neni 10 (kushtet për dhënien e autorizimit) dhe më e rëndësishmja neni 13 (procedurat e autorizimit, përfshirë parimin e miratimit në heshtje) janë pasqyruar në ligjin nr. 44/2015 “Për Kodin e Procedurave Administrative” dhe ligjin nr. 10 081/2009  “</w:t>
          </w:r>
          <w:r w:rsidRPr="6875B2D2">
            <w:rPr>
              <w:rFonts w:eastAsia="Calibri"/>
              <w:i/>
              <w:kern w:val="2"/>
              <w14:ligatures w14:val="standardContextual"/>
            </w:rPr>
            <w:t>Për Licencat, Autorizimet dhe Lejet</w:t>
          </w:r>
          <w:r w:rsidRPr="2BF24FF9">
            <w:rPr>
              <w:rFonts w:eastAsia="Calibri"/>
              <w:kern w:val="2"/>
              <w14:ligatures w14:val="standardContextual"/>
            </w:rPr>
            <w:t xml:space="preserve">”, i ndryshuar. </w:t>
          </w:r>
        </w:p>
        <w:p w14:paraId="462C6377"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 xml:space="preserve">Kodi i Procedurave Administrative i imponon administratës publike ndërveprimin me ofruesit e shërbimeve, ndër të tjera, me parimet e ligjshmërisë, transparencës, të drejtës për informim, proporcionalitetit, mosdiskriminimit, deburokratizimit dhe efikasitetit, si dhe me parimin e miratimit në heshtje. </w:t>
          </w:r>
        </w:p>
        <w:p w14:paraId="2FF09A15"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 xml:space="preserve">Ligji për Licencat, Lejet dhe Autorizimet e bën vendosjen e licencave/autorizimeve objekt të një testi të detyrueshëm domosdoshmërie bazuar në objektivat e interesit publik dhe parimin e proporcionalitetit. </w:t>
          </w:r>
        </w:p>
        <w:p w14:paraId="3C53E6E7"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Si theksuar,  Ligji për Shërbimet mandaton kontrollin e legjislacionit sektorial për respektimin e parimit të mosdiskriminimit dhe proporcionalitetit. Konkretisht, neni 16 i Ligjit për Shërbimet vendos “</w:t>
          </w:r>
          <w:r w:rsidRPr="6875B2D2">
            <w:rPr>
              <w:rFonts w:eastAsia="Calibri"/>
              <w:i/>
              <w:kern w:val="2"/>
              <w14:ligatures w14:val="standardContextual"/>
            </w:rPr>
            <w:t>sistemin e njoftimit</w:t>
          </w:r>
          <w:r w:rsidRPr="2BF24FF9">
            <w:rPr>
              <w:rFonts w:eastAsia="Calibri"/>
              <w:kern w:val="2"/>
              <w14:ligatures w14:val="standardContextual"/>
            </w:rPr>
            <w:t>” i cili kërkon kontroll paraprak të legjislacionit sektorial që rregullon shërbimet, ndërsa neni 16 ofron bazën për shqyrtimin legjislacionit sektorial ekzistues për të siguruar përputhjen me nenet kryesore në lidhje me lirinë e vendosjes/themelimit.</w:t>
          </w:r>
        </w:p>
        <w:p w14:paraId="79CE0C7F" w14:textId="77777777" w:rsidR="00825095" w:rsidRPr="00F917CE" w:rsidRDefault="00825095" w:rsidP="00825095">
          <w:pPr>
            <w:spacing w:after="120" w:line="288" w:lineRule="auto"/>
            <w:jc w:val="both"/>
            <w:rPr>
              <w:rFonts w:eastAsia="Calibri"/>
              <w:kern w:val="2"/>
              <w14:ligatures w14:val="standardContextual"/>
            </w:rPr>
          </w:pPr>
          <w:r w:rsidRPr="2BF24FF9">
            <w:rPr>
              <w:rFonts w:eastAsia="Calibri"/>
              <w:kern w:val="2"/>
              <w14:ligatures w14:val="standardContextual"/>
            </w:rPr>
            <w:t>Në vijim të parashikimeve të sipërcituara qeveria shqiptare ka miratuar gjithashtu akte nënligjore të posaçme për të koordinuar dhe garantuar përshtatshmërinë e akteve sektoriale me parashikimet e Ligjit të Shërbimeve, saktësisht:</w:t>
          </w:r>
        </w:p>
        <w:p w14:paraId="70C26982" w14:textId="77777777" w:rsidR="00825095" w:rsidRPr="0045415B" w:rsidRDefault="00825095" w:rsidP="008E7522">
          <w:pPr>
            <w:numPr>
              <w:ilvl w:val="0"/>
              <w:numId w:val="10"/>
            </w:numPr>
            <w:spacing w:after="120" w:line="288" w:lineRule="auto"/>
            <w:jc w:val="both"/>
            <w:rPr>
              <w:rFonts w:eastAsia="Calibri"/>
              <w:kern w:val="2"/>
              <w14:ligatures w14:val="standardContextual"/>
            </w:rPr>
          </w:pPr>
          <w:r w:rsidRPr="2BF24FF9">
            <w:rPr>
              <w:rFonts w:eastAsia="Calibri"/>
              <w:kern w:val="2"/>
              <w14:ligatures w14:val="standardContextual"/>
            </w:rPr>
            <w:t>Vendimin e Këshillit të Ministrave nr. 299, datë 05.04.2017 “</w:t>
          </w:r>
          <w:r w:rsidRPr="6875B2D2">
            <w:rPr>
              <w:rFonts w:eastAsia="Calibri"/>
              <w:i/>
              <w:kern w:val="2"/>
              <w14:ligatures w14:val="standardContextual"/>
            </w:rPr>
            <w:t>Për përcaktimin e autoriteteve përgjegjëse për rishikimin e legjislacionit dhe miratimin e metodologjisë së shqyrtimit të përputhshmërisë së kritereve ekzistuese që garantojnë të drejtën e themelimit dhe të drejtën e ushtrimit të aktivitetit për ofruesit e shërbimeve në Republikën e Shqipërisë me ligjin nr.66/2016, “Për shërbimet në Republikën e Shqipërisë</w:t>
          </w:r>
          <w:r w:rsidRPr="2BF24FF9">
            <w:rPr>
              <w:rFonts w:eastAsia="Calibri"/>
              <w:kern w:val="2"/>
              <w14:ligatures w14:val="standardContextual"/>
            </w:rPr>
            <w:t>” (në vijim “VKM 299/2017”) . Ky vendim përcakton autoritetet përgjegjëse për rishikimin e legjislacionit dhe miratimin e metodologjisë së shqyrtimit të përputhshmërisë së kritereve ekzistuese me ligjin nr. 66/2016 “Për shërbimet në Republikën e Shqipërisë”. Ai ngarkon ministritë dhe institucionet përkatëse të inventarizojnë dhe analizojnë aktet ligjore e nënligjore që rregullojnë shërbimet, të hartojnë plane sektoriale dhe të raportojnë periodikisht mbi ecurinë e procesit. Ministria përgjegjëse për ekonominë  ka rol qendror, pasi koordinon procesin, harton planin e integruar brenda 6 muajve, miraton udhëzuesin praktik dhe raporton pranë Ministrisë së Integrimit Evropian. Metodologjia e miratuar në Aneksin 2 te këtij vendimi parashikon faza të qarta pune: identifikimin e legjislacionit ekzistues, shqyrtimin e përputhshmërisë së kritereve me ligjin 66/2016, hartimin e raporteve sektoriale me gjetje e rekomandime dhe përgatitjen e planit për ndryshimin ose shfuqizimin e akteve që nuk përputhen. Qëllimi është thjeshtimi i procedurave, eliminimi i kritereve të panevojshme ose disproporcionale dhe harmonizimi i plotë i kuadrit ligjor shqiptar me standardet e Bashkimit Evropian për lirinë e ofrimit të shërbimeve.</w:t>
          </w:r>
        </w:p>
        <w:p w14:paraId="6D56865A" w14:textId="77777777" w:rsidR="00825095" w:rsidRPr="00F917CE" w:rsidRDefault="00825095" w:rsidP="008E7522">
          <w:pPr>
            <w:numPr>
              <w:ilvl w:val="0"/>
              <w:numId w:val="10"/>
            </w:numPr>
            <w:spacing w:after="120" w:line="288" w:lineRule="auto"/>
            <w:jc w:val="both"/>
            <w:rPr>
              <w:rFonts w:eastAsia="Calibri"/>
              <w:kern w:val="2"/>
              <w14:ligatures w14:val="standardContextual"/>
            </w:rPr>
          </w:pPr>
          <w:r w:rsidRPr="2BF24FF9">
            <w:rPr>
              <w:rFonts w:eastAsia="Calibri"/>
              <w:kern w:val="2"/>
              <w14:ligatures w14:val="standardContextual"/>
            </w:rPr>
            <w:t>Vendimin e Këshillit të Ministrave nr. 300, datë 05.04.2017 “</w:t>
          </w:r>
          <w:r w:rsidRPr="6875B2D2">
            <w:rPr>
              <w:rFonts w:eastAsia="Calibri"/>
              <w:i/>
              <w:kern w:val="2"/>
              <w14:ligatures w14:val="standardContextual"/>
            </w:rPr>
            <w:t>Për procedurën e njoftimit dhe formën e vlerësimit të përputhshmërisë së projektakteve t</w:t>
          </w:r>
          <w:r w:rsidRPr="6875B2D2">
            <w:rPr>
              <w:rFonts w:eastAsia="Calibri"/>
              <w:b/>
              <w:i/>
              <w:kern w:val="2"/>
              <w14:ligatures w14:val="standardContextual"/>
            </w:rPr>
            <w:t>ë</w:t>
          </w:r>
          <w:r w:rsidRPr="6875B2D2">
            <w:rPr>
              <w:rFonts w:eastAsia="Calibri"/>
              <w:i/>
              <w:kern w:val="2"/>
              <w14:ligatures w14:val="standardContextual"/>
            </w:rPr>
            <w:t xml:space="preserve"> reja sektoriale me ligjin nr. 66/2016, “Për shërbimet në Republikën e Shqipërisë</w:t>
          </w:r>
          <w:r w:rsidRPr="2BF24FF9">
            <w:rPr>
              <w:rFonts w:eastAsia="Calibri"/>
              <w:kern w:val="2"/>
              <w14:ligatures w14:val="standardContextual"/>
            </w:rPr>
            <w:t>” (në vijim “</w:t>
          </w:r>
          <w:r w:rsidRPr="6875B2D2">
            <w:rPr>
              <w:rFonts w:eastAsia="Calibri"/>
              <w:b/>
              <w:kern w:val="2"/>
              <w14:ligatures w14:val="standardContextual"/>
            </w:rPr>
            <w:t>VKM 300/2017</w:t>
          </w:r>
          <w:r w:rsidRPr="2BF24FF9">
            <w:rPr>
              <w:rFonts w:eastAsia="Calibri"/>
              <w:kern w:val="2"/>
              <w14:ligatures w14:val="standardContextual"/>
            </w:rPr>
            <w:t>”).</w:t>
          </w:r>
        </w:p>
        <w:p w14:paraId="2B6D1AB7" w14:textId="77777777" w:rsidR="00825095" w:rsidRPr="0045415B" w:rsidRDefault="00825095" w:rsidP="00825095">
          <w:pPr>
            <w:spacing w:after="120" w:line="288" w:lineRule="auto"/>
            <w:ind w:left="720"/>
            <w:jc w:val="both"/>
            <w:rPr>
              <w:rFonts w:eastAsia="Calibri"/>
              <w:kern w:val="2"/>
              <w14:ligatures w14:val="standardContextual"/>
            </w:rPr>
          </w:pPr>
          <w:r w:rsidRPr="2BF24FF9">
            <w:t xml:space="preserve"> </w:t>
          </w:r>
          <w:r w:rsidRPr="2BF24FF9">
            <w:rPr>
              <w:rFonts w:eastAsia="Calibri"/>
              <w:kern w:val="2"/>
              <w14:ligatures w14:val="standardContextual"/>
            </w:rPr>
            <w:t>Ky vendim përcakton procedurën e njoftimit dhe formën e vlerësimit të përputhshmërisë së projektakteve të reja sektoriale me ligjin nr. 66/2016 “Për shërbimet në Republikën e Shqipërisë”. Çdo autoritet përgjegjës është i detyruar të njoftojë pranë Ministrisë përgjegjëse për ekonominë për projektligjet dhe aktet nënligjore që rregullojnë shërbimet nga operatorët privatë, duke përdorur formularët standardë të përcaktuar në aneks. Procedura e njoftimit ndjek të njëjtën linjë me rregullat e marrjes së mendimeve për projektakte, ndërsa detyrimi shtrihet edhe për aktet që miratohen nga titullarët e institucioneve.</w:t>
          </w:r>
        </w:p>
        <w:p w14:paraId="428FBC04" w14:textId="73D09425" w:rsidR="00825095" w:rsidRDefault="00825095" w:rsidP="009775BC">
          <w:pPr>
            <w:spacing w:after="120" w:line="288" w:lineRule="auto"/>
            <w:ind w:left="720"/>
            <w:jc w:val="both"/>
            <w:rPr>
              <w:rFonts w:eastAsia="Calibri"/>
              <w:kern w:val="2"/>
              <w14:ligatures w14:val="standardContextual"/>
            </w:rPr>
          </w:pPr>
          <w:r w:rsidRPr="2BF24FF9">
            <w:rPr>
              <w:rFonts w:eastAsia="Calibri"/>
              <w:kern w:val="2"/>
              <w14:ligatures w14:val="standardContextual"/>
            </w:rPr>
            <w:t>Pas marrjes së njoftimit, Ministria n</w:t>
          </w:r>
          <w:r w:rsidR="00D63B5D" w:rsidRPr="2BF24FF9">
            <w:rPr>
              <w:rFonts w:eastAsia="Calibri"/>
              <w:kern w:val="2"/>
              <w14:ligatures w14:val="standardContextual"/>
            </w:rPr>
            <w:t>ë</w:t>
          </w:r>
          <w:r w:rsidRPr="2BF24FF9">
            <w:rPr>
              <w:rFonts w:eastAsia="Calibri"/>
              <w:kern w:val="2"/>
              <w14:ligatures w14:val="standardContextual"/>
            </w:rPr>
            <w:t xml:space="preserve"> fjal</w:t>
          </w:r>
          <w:r w:rsidR="00D63B5D" w:rsidRPr="2BF24FF9">
            <w:rPr>
              <w:rFonts w:eastAsia="Calibri"/>
              <w:kern w:val="2"/>
              <w14:ligatures w14:val="standardContextual"/>
            </w:rPr>
            <w:t>ë</w:t>
          </w:r>
          <w:r w:rsidRPr="2BF24FF9">
            <w:rPr>
              <w:rFonts w:eastAsia="Calibri"/>
              <w:kern w:val="2"/>
              <w14:ligatures w14:val="standardContextual"/>
            </w:rPr>
            <w:t xml:space="preserve"> vlerëson përputhshmërinë e projektaktit me ligjin 66/2016 brenda 7 ditëve pune, sipas formularëve të parashikuar në aneksin 2. Rezultatet e vlerësimit i rekomandohen autoritetit përgjegjës, duke siguruar që aktet e reja sektoriale të mos vendosin kritere të panevojshme, diskriminuese ose jo proporcionale për ofruesit e shërbimeve. Qëllimi i vendimit është garantimi i transparencës, koherencës ligjore dhe harmonizimit të legjislacionit sektorial me parimet e tregut të lirë të shërbimeve dhe me standardet evropiane.</w:t>
          </w:r>
        </w:p>
        <w:p w14:paraId="61B3070A" w14:textId="77777777" w:rsidR="00C27ECE" w:rsidRDefault="00C27ECE" w:rsidP="009775BC">
          <w:pPr>
            <w:spacing w:after="120" w:line="288" w:lineRule="auto"/>
            <w:ind w:left="720"/>
            <w:jc w:val="both"/>
            <w:rPr>
              <w:rFonts w:eastAsia="Calibri"/>
              <w:kern w:val="2"/>
              <w14:ligatures w14:val="standardContextual"/>
            </w:rPr>
          </w:pPr>
        </w:p>
        <w:p w14:paraId="61C77E65" w14:textId="77777777" w:rsidR="00C27ECE" w:rsidRPr="00FF3999" w:rsidRDefault="00C27ECE" w:rsidP="00C27ECE">
          <w:pPr>
            <w:pStyle w:val="NoSpacing"/>
            <w:numPr>
              <w:ilvl w:val="0"/>
              <w:numId w:val="13"/>
            </w:numPr>
            <w:tabs>
              <w:tab w:val="left" w:pos="720"/>
            </w:tabs>
            <w:spacing w:after="120" w:line="288" w:lineRule="auto"/>
            <w:jc w:val="both"/>
            <w:rPr>
              <w:rFonts w:ascii="Times New Roman" w:eastAsia="Calibri" w:hAnsi="Times New Roman"/>
              <w:b/>
              <w:bCs/>
              <w:color w:val="000000"/>
              <w:sz w:val="24"/>
              <w:szCs w:val="24"/>
              <w:lang w:val="sq-AL"/>
            </w:rPr>
          </w:pPr>
          <w:r w:rsidRPr="1A98504A">
            <w:rPr>
              <w:rFonts w:ascii="Times New Roman" w:eastAsia="Calibri" w:hAnsi="Times New Roman"/>
              <w:b/>
              <w:color w:val="000000" w:themeColor="text1"/>
              <w:sz w:val="24"/>
              <w:szCs w:val="24"/>
              <w:lang w:val="sq-AL"/>
            </w:rPr>
            <w:t>Ministria përgjegjëse për Ekonominë</w:t>
          </w:r>
        </w:p>
        <w:p w14:paraId="3D48C467" w14:textId="77777777" w:rsidR="00C27ECE" w:rsidRPr="006C6863" w:rsidRDefault="00C27ECE" w:rsidP="00C27ECE">
          <w:pPr>
            <w:pStyle w:val="NoSpacing"/>
            <w:tabs>
              <w:tab w:val="left" w:pos="720"/>
            </w:tabs>
            <w:spacing w:after="120" w:line="288" w:lineRule="auto"/>
            <w:jc w:val="both"/>
            <w:rPr>
              <w:rFonts w:ascii="Times New Roman" w:eastAsia="Calibri" w:hAnsi="Times New Roman"/>
              <w:color w:val="000000"/>
              <w:sz w:val="24"/>
              <w:szCs w:val="24"/>
              <w:lang w:val="sq-AL"/>
            </w:rPr>
          </w:pPr>
          <w:r w:rsidRPr="1A98504A">
            <w:rPr>
              <w:rFonts w:ascii="Times New Roman" w:eastAsia="Calibri" w:hAnsi="Times New Roman"/>
              <w:color w:val="000000" w:themeColor="text1"/>
              <w:sz w:val="24"/>
              <w:szCs w:val="24"/>
              <w:lang w:val="sq-AL"/>
            </w:rPr>
            <w:t>Aktualisht Ministria përgjegjëse për Ekonominë është përgjegjëse sipas ligjit për të drejtuar e për të koordinuar procesin e shqyrtimit të legjislacionit sektorial për përputhshmëri me Ligjin për Shërbimet dhe acquis përkatës, si dhe për të garantuar që asnjë iniciativë e re rregullatore të mos cenojë parimet e mësipërme. Kjo realizohet përmes një sistemi të dedikuar njoftimi të akteve të reja rregullatore apo ndryshimeve të atyre ekzistuese pranë Ministrisë përgjegjëse për Ekonominë, e cila miraton projekt aktet që rezultojnë në përputhje me Ligjin për Shërbimet ose rekomandon ndryshimet e nevojshme, sipas rastit.</w:t>
          </w:r>
        </w:p>
        <w:p w14:paraId="2BA389D9" w14:textId="77777777" w:rsidR="00C27ECE" w:rsidRPr="006C6863" w:rsidRDefault="00C27ECE" w:rsidP="00C27ECE">
          <w:pPr>
            <w:pStyle w:val="NoSpacing"/>
            <w:numPr>
              <w:ilvl w:val="0"/>
              <w:numId w:val="13"/>
            </w:numPr>
            <w:tabs>
              <w:tab w:val="left" w:pos="720"/>
            </w:tabs>
            <w:spacing w:after="120" w:line="288" w:lineRule="auto"/>
            <w:jc w:val="both"/>
            <w:rPr>
              <w:rFonts w:ascii="Times New Roman" w:eastAsia="Calibri" w:hAnsi="Times New Roman"/>
              <w:color w:val="000000"/>
              <w:sz w:val="24"/>
              <w:szCs w:val="24"/>
              <w:lang w:val="sq-AL"/>
            </w:rPr>
          </w:pPr>
          <w:r w:rsidRPr="1A98504A">
            <w:rPr>
              <w:rFonts w:ascii="Times New Roman" w:eastAsia="Calibri" w:hAnsi="Times New Roman"/>
              <w:b/>
              <w:color w:val="000000" w:themeColor="text1"/>
              <w:sz w:val="24"/>
              <w:szCs w:val="24"/>
              <w:lang w:val="sq-AL"/>
            </w:rPr>
            <w:t>Qendra Kombëtare e Biznesit (QKB)</w:t>
          </w:r>
          <w:r w:rsidRPr="1A98504A">
            <w:rPr>
              <w:rFonts w:ascii="Times New Roman" w:eastAsia="Calibri" w:hAnsi="Times New Roman"/>
              <w:color w:val="000000" w:themeColor="text1"/>
              <w:sz w:val="24"/>
              <w:szCs w:val="24"/>
              <w:lang w:val="sq-AL"/>
            </w:rPr>
            <w:t xml:space="preserve"> </w:t>
          </w:r>
        </w:p>
        <w:p w14:paraId="3BEC08EC" w14:textId="77777777" w:rsidR="00C27ECE" w:rsidRPr="006C6863" w:rsidRDefault="00C27ECE" w:rsidP="00C27ECE">
          <w:pPr>
            <w:spacing w:after="120" w:line="288" w:lineRule="auto"/>
            <w:jc w:val="both"/>
            <w:rPr>
              <w:rFonts w:eastAsia="Calibri"/>
              <w:color w:val="000000"/>
            </w:rPr>
          </w:pPr>
          <w:r w:rsidRPr="6875B2D2">
            <w:rPr>
              <w:rFonts w:eastAsia="Calibri"/>
              <w:color w:val="000000" w:themeColor="text1"/>
            </w:rPr>
            <w:t>QKB shërben si pikë e vetme kontakti për regjistrimin e biznesit dhe licencimin dhe institucion kyc në kuadër të bashkëpunimit administrativ.</w:t>
          </w:r>
        </w:p>
        <w:p w14:paraId="691F1D53" w14:textId="77777777" w:rsidR="00C27ECE" w:rsidRPr="006C6863" w:rsidRDefault="00C27ECE" w:rsidP="00C27ECE">
          <w:pPr>
            <w:pStyle w:val="NoSpacing"/>
            <w:numPr>
              <w:ilvl w:val="0"/>
              <w:numId w:val="13"/>
            </w:numPr>
            <w:tabs>
              <w:tab w:val="left" w:pos="720"/>
            </w:tabs>
            <w:spacing w:after="120" w:line="288" w:lineRule="auto"/>
            <w:jc w:val="both"/>
            <w:rPr>
              <w:rFonts w:ascii="Times New Roman" w:eastAsia="Calibri" w:hAnsi="Times New Roman"/>
              <w:color w:val="000000"/>
              <w:sz w:val="24"/>
              <w:szCs w:val="24"/>
              <w:lang w:val="sq-AL"/>
            </w:rPr>
          </w:pPr>
          <w:r w:rsidRPr="1A98504A">
            <w:rPr>
              <w:rFonts w:ascii="Times New Roman" w:eastAsia="Calibri" w:hAnsi="Times New Roman"/>
              <w:b/>
              <w:color w:val="000000" w:themeColor="text1"/>
              <w:sz w:val="24"/>
              <w:szCs w:val="24"/>
              <w:lang w:val="sq-AL"/>
            </w:rPr>
            <w:t>Agjencia Kombëtare e Shoqërisë së Informacionit (AKSHI)</w:t>
          </w:r>
          <w:r w:rsidRPr="1A98504A">
            <w:rPr>
              <w:rFonts w:ascii="Times New Roman" w:eastAsia="Calibri" w:hAnsi="Times New Roman"/>
              <w:color w:val="000000" w:themeColor="text1"/>
              <w:sz w:val="24"/>
              <w:szCs w:val="24"/>
              <w:lang w:val="sq-AL"/>
            </w:rPr>
            <w:t xml:space="preserve"> </w:t>
          </w:r>
        </w:p>
        <w:p w14:paraId="69B4DFF4" w14:textId="77777777" w:rsidR="00C27ECE" w:rsidRDefault="00C27ECE" w:rsidP="00C27ECE">
          <w:pPr>
            <w:pStyle w:val="NoSpacing"/>
            <w:tabs>
              <w:tab w:val="left" w:pos="720"/>
            </w:tabs>
            <w:spacing w:after="120" w:line="288" w:lineRule="auto"/>
            <w:jc w:val="both"/>
            <w:rPr>
              <w:rFonts w:ascii="Times New Roman" w:eastAsia="Calibri" w:hAnsi="Times New Roman"/>
              <w:color w:val="000000"/>
              <w:sz w:val="24"/>
              <w:szCs w:val="24"/>
              <w:lang w:val="sq-AL"/>
            </w:rPr>
          </w:pPr>
          <w:r w:rsidRPr="1A98504A">
            <w:rPr>
              <w:rFonts w:ascii="Times New Roman" w:eastAsia="Calibri" w:hAnsi="Times New Roman"/>
              <w:color w:val="000000" w:themeColor="text1"/>
              <w:sz w:val="24"/>
              <w:szCs w:val="24"/>
              <w:lang w:val="sq-AL"/>
            </w:rPr>
            <w:t>AKSHI është administrator i sistemit e-Albania, i cili operon si sportel me një ndalesë për ofruesit e shërbimeve dhe përfituesit e tyre për të marrë informacion mbi kërkesat për qasje dhe ushtrim të aktivitetit të shërbimit, detajet e kontaktit të autoriteteve kompetente që rregullojnë qasjen në treg për aktivitetet përkatëse të shërbimit, shoqatat apo organizatat nga të cilët ofruesit dhe marrësit mund të marrin ndihmë, mjetet juridike në rast mosmarrëveshjeje dhe mundësinë për të përfunduar procedura dhe formalitete on-line për të qasur apo ushtruar aktivitetin përkatës të shërbimit.</w:t>
          </w:r>
        </w:p>
        <w:p w14:paraId="196E7441" w14:textId="77777777" w:rsidR="00C27ECE" w:rsidRPr="00825095" w:rsidRDefault="00204683" w:rsidP="009775BC">
          <w:pPr>
            <w:spacing w:after="120" w:line="288" w:lineRule="auto"/>
            <w:ind w:left="720"/>
            <w:jc w:val="both"/>
            <w:rPr>
              <w:b/>
            </w:rPr>
          </w:pPr>
        </w:p>
      </w:sdtContent>
    </w:sdt>
    <w:p w14:paraId="3A394B8F" w14:textId="48550E26" w:rsidR="009E64A4" w:rsidRPr="009D13F4" w:rsidRDefault="002125B7" w:rsidP="009D13F4">
      <w:pPr>
        <w:pStyle w:val="Heading1"/>
        <w:spacing w:line="276" w:lineRule="auto"/>
        <w:rPr>
          <w:rFonts w:ascii="Times New Roman" w:hAnsi="Times New Roman" w:cs="Times New Roman"/>
          <w:sz w:val="24"/>
          <w:szCs w:val="24"/>
        </w:rPr>
      </w:pPr>
      <w:r w:rsidRPr="1A98504A">
        <w:rPr>
          <w:rFonts w:ascii="Times New Roman" w:hAnsi="Times New Roman" w:cs="Times New Roman"/>
          <w:sz w:val="24"/>
          <w:szCs w:val="24"/>
        </w:rPr>
        <w:t>Problemi në shqyrtim</w:t>
      </w:r>
    </w:p>
    <w:bookmarkEnd w:id="11" w:displacedByCustomXml="next"/>
    <w:bookmarkStart w:id="12" w:name="_Toc506919734" w:displacedByCustomXml="next"/>
    <w:sdt>
      <w:sdtPr>
        <w:rPr>
          <w:rFonts w:ascii="Times New Roman" w:hAnsi="Times New Roman"/>
          <w:i/>
          <w:iCs/>
          <w:sz w:val="24"/>
          <w:szCs w:val="24"/>
        </w:rPr>
        <w:id w:val="5332828"/>
        <w:lock w:val="contentLocked"/>
        <w:placeholder>
          <w:docPart w:val="873E64307E5F40099245506EC819755B"/>
        </w:placeholder>
      </w:sdtPr>
      <w:sdtContent>
        <w:p w14:paraId="101CBF4C" w14:textId="54202AE6" w:rsidR="00372979" w:rsidRPr="00372979" w:rsidRDefault="00372979" w:rsidP="00673F28">
          <w:pPr>
            <w:pStyle w:val="ListParagraph"/>
            <w:numPr>
              <w:ilvl w:val="0"/>
              <w:numId w:val="6"/>
            </w:numPr>
            <w:spacing w:after="0" w:line="276" w:lineRule="auto"/>
            <w:jc w:val="both"/>
            <w:rPr>
              <w:rFonts w:ascii="Times New Roman" w:hAnsi="Times New Roman"/>
              <w:i/>
              <w:sz w:val="24"/>
              <w:szCs w:val="24"/>
            </w:rPr>
          </w:pPr>
          <w:r w:rsidRPr="6875B2D2">
            <w:rPr>
              <w:rFonts w:ascii="Times New Roman" w:hAnsi="Times New Roman"/>
              <w:i/>
              <w:sz w:val="24"/>
              <w:szCs w:val="24"/>
            </w:rPr>
            <w:t>Përshkruani natyrën e problemit.</w:t>
          </w:r>
        </w:p>
        <w:p w14:paraId="39E386F9" w14:textId="77777777" w:rsidR="00372979" w:rsidRPr="00372979" w:rsidRDefault="00372979" w:rsidP="00673F28">
          <w:pPr>
            <w:pStyle w:val="ListParagraph"/>
            <w:numPr>
              <w:ilvl w:val="0"/>
              <w:numId w:val="6"/>
            </w:numPr>
            <w:spacing w:after="0" w:line="276" w:lineRule="auto"/>
            <w:jc w:val="both"/>
            <w:rPr>
              <w:rFonts w:ascii="Times New Roman" w:hAnsi="Times New Roman"/>
              <w:i/>
              <w:sz w:val="24"/>
              <w:szCs w:val="24"/>
            </w:rPr>
          </w:pPr>
          <w:r w:rsidRPr="6875B2D2">
            <w:rPr>
              <w:rFonts w:ascii="Times New Roman" w:hAnsi="Times New Roman"/>
              <w:i/>
              <w:sz w:val="24"/>
              <w:szCs w:val="24"/>
            </w:rPr>
            <w:t>Identifikoni shkaqet e problemit.</w:t>
          </w:r>
        </w:p>
        <w:p w14:paraId="68BDD96B" w14:textId="77777777" w:rsidR="00372979" w:rsidRPr="00372979" w:rsidRDefault="00372979" w:rsidP="00673F28">
          <w:pPr>
            <w:pStyle w:val="ListParagraph"/>
            <w:numPr>
              <w:ilvl w:val="0"/>
              <w:numId w:val="6"/>
            </w:numPr>
            <w:spacing w:after="0" w:line="276" w:lineRule="auto"/>
            <w:jc w:val="both"/>
            <w:rPr>
              <w:rFonts w:ascii="Times New Roman" w:hAnsi="Times New Roman"/>
              <w:i/>
              <w:sz w:val="24"/>
              <w:szCs w:val="24"/>
            </w:rPr>
          </w:pPr>
          <w:r w:rsidRPr="6875B2D2">
            <w:rPr>
              <w:rFonts w:ascii="Times New Roman" w:hAnsi="Times New Roman"/>
              <w:i/>
              <w:sz w:val="24"/>
              <w:szCs w:val="24"/>
            </w:rPr>
            <w:t>Përshkruani shtrirjen e problemit.</w:t>
          </w:r>
        </w:p>
        <w:p w14:paraId="564ACB57" w14:textId="77777777" w:rsidR="00372979" w:rsidRPr="00372979" w:rsidRDefault="00372979" w:rsidP="00673F28">
          <w:pPr>
            <w:pStyle w:val="ListParagraph"/>
            <w:numPr>
              <w:ilvl w:val="0"/>
              <w:numId w:val="6"/>
            </w:numPr>
            <w:spacing w:after="0" w:line="276" w:lineRule="auto"/>
            <w:jc w:val="both"/>
            <w:rPr>
              <w:rFonts w:ascii="Times New Roman" w:hAnsi="Times New Roman"/>
              <w:i/>
              <w:sz w:val="24"/>
              <w:szCs w:val="24"/>
            </w:rPr>
          </w:pPr>
          <w:r w:rsidRPr="6875B2D2">
            <w:rPr>
              <w:rFonts w:ascii="Times New Roman" w:hAnsi="Times New Roman"/>
              <w:i/>
              <w:sz w:val="24"/>
              <w:szCs w:val="24"/>
            </w:rPr>
            <w:t>Identifikoni grupet e prekura nga ky problem - qeveria / biznesi / shoqëria civile / qytetarët.</w:t>
          </w:r>
        </w:p>
        <w:p w14:paraId="0D251324" w14:textId="48AB228E" w:rsidR="009D13F4" w:rsidRPr="00372979" w:rsidRDefault="00372979" w:rsidP="00673F28">
          <w:pPr>
            <w:pStyle w:val="ListParagraph"/>
            <w:numPr>
              <w:ilvl w:val="0"/>
              <w:numId w:val="6"/>
            </w:numPr>
            <w:spacing w:after="0" w:line="276" w:lineRule="auto"/>
            <w:jc w:val="both"/>
            <w:rPr>
              <w:rFonts w:ascii="Times New Roman" w:hAnsi="Times New Roman"/>
              <w:i/>
              <w:sz w:val="24"/>
              <w:szCs w:val="24"/>
            </w:rPr>
          </w:pPr>
          <w:r w:rsidRPr="6875B2D2">
            <w:rPr>
              <w:rFonts w:ascii="Times New Roman" w:hAnsi="Times New Roman"/>
              <w:i/>
              <w:sz w:val="24"/>
              <w:szCs w:val="24"/>
            </w:rPr>
            <w:t>Vlerësoni nëse problemi mund të trajtohet ose jo përmes një ndryshimi të politikave.</w:t>
          </w:r>
        </w:p>
      </w:sdtContent>
    </w:sdt>
    <w:sdt>
      <w:sdtPr>
        <w:rPr>
          <w:rFonts w:eastAsiaTheme="majorEastAsia"/>
          <w:lang w:eastAsia="en-GB"/>
        </w:rPr>
        <w:id w:val="183797412"/>
        <w:placeholder>
          <w:docPart w:val="6DDBB321FA75409DA38DDE9CB0FD1E41"/>
        </w:placeholder>
      </w:sdtPr>
      <w:sdtEndPr>
        <w:rPr>
          <w:lang w:val="en-US" w:eastAsia="en-US"/>
        </w:rPr>
      </w:sdtEndPr>
      <w:sdtContent>
        <w:p w14:paraId="3CE065D6" w14:textId="5A130C02" w:rsidR="00DC4678" w:rsidRPr="00F955A6" w:rsidRDefault="00DC4678" w:rsidP="00F955A6">
          <w:pPr>
            <w:spacing w:after="160" w:line="278" w:lineRule="auto"/>
            <w:jc w:val="both"/>
          </w:pPr>
          <w:r w:rsidRPr="1A98504A">
            <w:rPr>
              <w:rFonts w:eastAsia="Calibri"/>
              <w:color w:val="000000" w:themeColor="text1"/>
              <w:szCs w:val="24"/>
            </w:rPr>
            <w:t xml:space="preserve">Problemi ka karakter rregullator dhe lidhet me mungesën e përafrimit të plotë të Ligjit nr. 66/2016, </w:t>
          </w:r>
          <w:r w:rsidRPr="1A98504A">
            <w:rPr>
              <w:rFonts w:eastAsia="Calibri"/>
              <w:i/>
              <w:color w:val="000000" w:themeColor="text1"/>
              <w:szCs w:val="24"/>
            </w:rPr>
            <w:t>“Për shërbimet në Republikën e Shqipërisë”</w:t>
          </w:r>
          <w:r w:rsidRPr="1A98504A">
            <w:rPr>
              <w:rFonts w:eastAsia="Calibri"/>
              <w:color w:val="000000" w:themeColor="text1"/>
              <w:szCs w:val="24"/>
            </w:rPr>
            <w:t>, me Direktivën 2006/123/KE</w:t>
          </w:r>
          <w:r w:rsidR="00C27ECE">
            <w:rPr>
              <w:rFonts w:eastAsia="Calibri"/>
              <w:color w:val="000000" w:themeColor="text1"/>
              <w:szCs w:val="24"/>
            </w:rPr>
            <w:t>,</w:t>
          </w:r>
          <w:r w:rsidR="00C27ECE" w:rsidRPr="00C27ECE">
            <w:t xml:space="preserve"> e cila përbën bazën rregullatore të Bashkimit Evropian për lëvizjen e lirë të shërbimeve.</w:t>
          </w:r>
          <w:r w:rsidRPr="1A98504A">
            <w:rPr>
              <w:rFonts w:eastAsia="Calibri"/>
              <w:color w:val="000000" w:themeColor="text1"/>
              <w:szCs w:val="24"/>
            </w:rPr>
            <w:t>. Kjo gjendje sjell boshllëqe ligjore dhe praktike në lidhje me ofrimin e shërbimeve, sidomos në kontekstin e aderimit të ardhshëm të Shqipërisë në Bashkimin Evropian.</w:t>
          </w:r>
          <w:r w:rsidR="00C27ECE">
            <w:rPr>
              <w:rFonts w:eastAsia="Calibri"/>
              <w:color w:val="000000" w:themeColor="text1"/>
              <w:szCs w:val="24"/>
            </w:rPr>
            <w:t xml:space="preserve"> </w:t>
          </w:r>
          <w:r w:rsidR="00C27ECE" w:rsidRPr="00021108">
            <w:t>Meqë pjesë të konsiderueshme të Direktivës nuk janë të integruara në legjislacionin shqiptar, sistemi aktual nuk arrin të sigurojë standardet e nevojshme për një treg shërbimesh të hapur, funksional dhe të harmonizuar me rregullat evropiane.</w:t>
          </w:r>
        </w:p>
        <w:p w14:paraId="3EEA29B2" w14:textId="77777777" w:rsidR="00C27ECE" w:rsidRPr="00021108" w:rsidRDefault="00DC4678" w:rsidP="00C27ECE">
          <w:pPr>
            <w:spacing w:after="160" w:line="278" w:lineRule="auto"/>
            <w:jc w:val="both"/>
          </w:pPr>
          <w:r w:rsidRPr="1A98504A">
            <w:rPr>
              <w:rFonts w:eastAsia="Calibri"/>
              <w:color w:val="000000" w:themeColor="text1"/>
              <w:szCs w:val="24"/>
            </w:rPr>
            <w:t xml:space="preserve">Dispozitat që janë aktualisht të përafruara në Ligjin për Shërbimet nuk disiplinojnë një pjesë të shërbimeve apo kushteve të ofrimit të tyre, të cilat do të jenë të domosdoshme në momentin e aderimit në BE. </w:t>
          </w:r>
          <w:r w:rsidR="00C27ECE" w:rsidRPr="00021108">
            <w:t>Në praktikë, Ligji për Shërbimet i mbuluar vetëm pjesërisht nga dispozitat e Direktivës, nuk rregullon një sërë elementesh thelbësore të ofrimit të shërbimeve në BE. Për pasojë, Shqipëria mbetet jashtë mekanizmave që garantojnë transparencën, lehtësinë e aksesit në treg dhe lëvizjen e lirë të operatorëve ekonomikë.</w:t>
          </w:r>
        </w:p>
        <w:p w14:paraId="07AF8954" w14:textId="384E5686" w:rsidR="00DC4678" w:rsidRPr="00FF3999" w:rsidRDefault="00DC4678" w:rsidP="00DC4678">
          <w:pPr>
            <w:pStyle w:val="NoSpacing"/>
            <w:tabs>
              <w:tab w:val="left" w:pos="720"/>
            </w:tabs>
            <w:spacing w:after="120" w:line="276" w:lineRule="auto"/>
            <w:jc w:val="both"/>
            <w:rPr>
              <w:rFonts w:ascii="Times New Roman" w:eastAsia="Calibri" w:hAnsi="Times New Roman"/>
              <w:color w:val="000000"/>
              <w:sz w:val="24"/>
              <w:szCs w:val="24"/>
              <w:lang w:val="sq-AL"/>
            </w:rPr>
          </w:pPr>
          <w:r w:rsidRPr="1A98504A">
            <w:rPr>
              <w:rFonts w:ascii="Times New Roman" w:eastAsia="Calibri" w:hAnsi="Times New Roman"/>
              <w:color w:val="000000" w:themeColor="text1"/>
              <w:sz w:val="24"/>
              <w:szCs w:val="24"/>
              <w:lang w:val="sq-AL"/>
            </w:rPr>
            <w:t>Siç është faktuar edhe në raportet e progresit për Shqipërinë të cituara më sipër, mungojnë parashikime të rëndësishme të Direktivës, të cilat nuk janë ende të përfshira në Ligjin për Shërbimet, si më poshtë:</w:t>
          </w:r>
        </w:p>
        <w:p w14:paraId="00483CB2" w14:textId="1D86A8FE" w:rsidR="009F131C" w:rsidRPr="00F955A6" w:rsidRDefault="009F131C" w:rsidP="00F955A6">
          <w:pPr>
            <w:pStyle w:val="ListParagraph"/>
            <w:numPr>
              <w:ilvl w:val="0"/>
              <w:numId w:val="13"/>
            </w:numPr>
            <w:spacing w:after="160" w:line="278" w:lineRule="auto"/>
            <w:jc w:val="both"/>
            <w:rPr>
              <w:rFonts w:ascii="Times New Roman" w:hAnsi="Times New Roman"/>
              <w:sz w:val="24"/>
              <w:szCs w:val="24"/>
            </w:rPr>
          </w:pPr>
          <w:r w:rsidRPr="00F955A6">
            <w:rPr>
              <w:rFonts w:ascii="Times New Roman" w:eastAsia="Calibri" w:hAnsi="Times New Roman"/>
              <w:color w:val="000000" w:themeColor="text1"/>
              <w:sz w:val="24"/>
              <w:szCs w:val="24"/>
            </w:rPr>
            <w:t>Liria e ofrimit të shërbimeve ndërkufitare (nenet 16–18 të Direktivës) mbetet e pa përfshirë. Ky institucion juridik mundëson ofrimin e përkohshëm të shërbimeve nga operatorë të themeluar dhe të licencuar në vendet anëtare të BE, pa qenë e nevojshme vendosja e tyre në territorin e Shqipërisë.</w:t>
          </w:r>
          <w:r w:rsidR="00C27ECE" w:rsidRPr="00F955A6">
            <w:rPr>
              <w:rFonts w:ascii="Times New Roman" w:hAnsi="Times New Roman"/>
              <w:sz w:val="24"/>
              <w:szCs w:val="24"/>
            </w:rPr>
            <w:t xml:space="preserve"> Direktiva parashikon mundësinë që operatorët e licencuar në një vend të BE-së të ofrojnë përkohësisht shërbime në një vend tjetër pa qenë të detyruar të vendosen fizikisht atje. Kjo liri (nenet 16–18 të Direktivës) mungon në ligjin shqiptar. Si rezultat, Shqipëria nuk i njeh ende plotësisht mekanizmat që mundësojnë qarkullimin e shërbimeve ndërkufitare—një element kyç për funksionimin e tregut të brendshëm evropian.</w:t>
          </w:r>
        </w:p>
        <w:p w14:paraId="6E4D36A1" w14:textId="006D8748" w:rsidR="009F131C" w:rsidRPr="00F955A6" w:rsidRDefault="0031753B" w:rsidP="00F955A6">
          <w:pPr>
            <w:pStyle w:val="ListParagraph"/>
            <w:numPr>
              <w:ilvl w:val="0"/>
              <w:numId w:val="13"/>
            </w:numPr>
            <w:spacing w:after="160" w:line="278" w:lineRule="auto"/>
            <w:jc w:val="both"/>
            <w:rPr>
              <w:rFonts w:ascii="Times New Roman" w:hAnsi="Times New Roman"/>
              <w:sz w:val="24"/>
              <w:szCs w:val="24"/>
            </w:rPr>
          </w:pPr>
          <w:r w:rsidRPr="00F955A6">
            <w:rPr>
              <w:rFonts w:ascii="Times New Roman" w:hAnsi="Times New Roman"/>
              <w:sz w:val="24"/>
              <w:szCs w:val="24"/>
            </w:rPr>
            <w:t xml:space="preserve">Direktiva kërkon shkëmbim informacioni, ndihmë të ndërsjellë dhe mbikëqyrje të koordinuar mes vendeve të BE dhe ZEE-së. </w:t>
          </w:r>
          <w:r w:rsidR="009F131C" w:rsidRPr="00F955A6">
            <w:rPr>
              <w:rFonts w:ascii="Times New Roman" w:eastAsia="Calibri" w:hAnsi="Times New Roman"/>
              <w:color w:val="000000" w:themeColor="text1"/>
              <w:sz w:val="24"/>
              <w:szCs w:val="24"/>
            </w:rPr>
            <w:t>Direktivës i përket një sërë dispozitash që rregullojnë shkëmbimin e informacionit, mbikëqyrjen dhe ndihmën e ndërsjellë mes autoriteteve kombëtare (Kreu IV i Direktivës)</w:t>
          </w:r>
          <w:r w:rsidRPr="00F955A6">
            <w:rPr>
              <w:rFonts w:ascii="Times New Roman" w:eastAsia="Calibri" w:hAnsi="Times New Roman"/>
              <w:color w:val="000000" w:themeColor="text1"/>
              <w:sz w:val="24"/>
              <w:szCs w:val="24"/>
            </w:rPr>
            <w:t xml:space="preserve"> Bashkëpunimi administrativ mes vendeve të BE dhe ZEE mungon në ligjin aktual, </w:t>
          </w:r>
          <w:r w:rsidRPr="00F955A6">
            <w:rPr>
              <w:rFonts w:ascii="Times New Roman" w:hAnsi="Times New Roman"/>
              <w:sz w:val="24"/>
              <w:szCs w:val="24"/>
            </w:rPr>
            <w:t>duke e bërë të pamundur pjesëmarrjen në mekanizmat e monitorimit dhe zbatimit që mbështesin qarkullimin e lirë të shërbimeve</w:t>
          </w:r>
          <w:r w:rsidRPr="0031753B">
            <w:rPr>
              <w:rFonts w:ascii="Times New Roman" w:hAnsi="Times New Roman"/>
              <w:sz w:val="24"/>
              <w:szCs w:val="24"/>
            </w:rPr>
            <w:t>;</w:t>
          </w:r>
        </w:p>
        <w:p w14:paraId="2335A0A6" w14:textId="3649C642" w:rsidR="009F131C" w:rsidRPr="00F955A6" w:rsidRDefault="0031753B" w:rsidP="00CC709C">
          <w:pPr>
            <w:pStyle w:val="ListParagraph"/>
            <w:numPr>
              <w:ilvl w:val="0"/>
              <w:numId w:val="36"/>
            </w:numPr>
            <w:spacing w:after="160" w:line="278" w:lineRule="auto"/>
            <w:jc w:val="both"/>
            <w:rPr>
              <w:rFonts w:ascii="Times New Roman" w:hAnsi="Times New Roman"/>
              <w:b/>
              <w:bCs/>
              <w:sz w:val="24"/>
              <w:szCs w:val="24"/>
            </w:rPr>
          </w:pPr>
          <w:r w:rsidRPr="00F955A6">
            <w:rPr>
              <w:rFonts w:ascii="Times New Roman" w:eastAsiaTheme="minorEastAsia" w:hAnsi="Times New Roman"/>
              <w:b/>
              <w:bCs/>
              <w:sz w:val="24"/>
              <w:szCs w:val="24"/>
            </w:rPr>
            <w:t xml:space="preserve">    Mungesë rregullimi për ndërveprimin me IMI. </w:t>
          </w:r>
          <w:r w:rsidR="009F131C" w:rsidRPr="00F955A6">
            <w:rPr>
              <w:rFonts w:ascii="Times New Roman" w:eastAsia="Calibri" w:hAnsi="Times New Roman"/>
              <w:color w:val="000000" w:themeColor="text1"/>
              <w:sz w:val="24"/>
              <w:szCs w:val="24"/>
            </w:rPr>
            <w:t>Parakushtet rregullatore për ndërveprimin me Sistemin e Informacionit të Tregut të Brendshëm (IMI) nuk janë të adresuara. Ky sistem online, i krijuar në vitin 2008 për zbatimin e Direktivës së Shërbimeve, siguron shkëmbimin praktik të informacionit ndërmjet autoriteteve publike.</w:t>
          </w:r>
          <w:r w:rsidRPr="00F955A6">
            <w:rPr>
              <w:rFonts w:ascii="Times New Roman" w:eastAsia="Calibri" w:hAnsi="Times New Roman"/>
              <w:color w:val="000000" w:themeColor="text1"/>
              <w:sz w:val="24"/>
              <w:szCs w:val="24"/>
            </w:rPr>
            <w:t xml:space="preserve"> </w:t>
          </w:r>
          <w:r w:rsidRPr="00F955A6">
            <w:rPr>
              <w:rFonts w:ascii="Times New Roman" w:hAnsi="Times New Roman"/>
              <w:sz w:val="24"/>
              <w:szCs w:val="24"/>
            </w:rPr>
            <w:t>Sistemi i Informacionit të Tregut të Brendshëm (IMI) është platforma digjitale që mundëson komunikimin praktik ndërmjet autoriteteve. Ligji shqiptar nuk përcakton asnjë bazë rregullatore për përdorimin e IMI-t, çka përjashton autoritetet shqiptare nga një mekanizëm bazë që praktikohet prej më shumë se një dekade në BE.</w:t>
          </w:r>
        </w:p>
        <w:p w14:paraId="7158E318" w14:textId="10761859" w:rsidR="00DD0BF1" w:rsidRPr="00F955A6" w:rsidRDefault="0031753B" w:rsidP="00CC709C">
          <w:pPr>
            <w:pStyle w:val="ListParagraph"/>
            <w:numPr>
              <w:ilvl w:val="0"/>
              <w:numId w:val="36"/>
            </w:numPr>
            <w:spacing w:after="160" w:line="278" w:lineRule="auto"/>
            <w:jc w:val="both"/>
            <w:rPr>
              <w:rFonts w:ascii="Times New Roman" w:hAnsi="Times New Roman"/>
              <w:sz w:val="24"/>
              <w:szCs w:val="24"/>
            </w:rPr>
          </w:pPr>
          <w:r w:rsidRPr="00F955A6">
            <w:rPr>
              <w:rFonts w:ascii="Times New Roman" w:eastAsiaTheme="minorEastAsia" w:hAnsi="Times New Roman"/>
              <w:b/>
              <w:bCs/>
              <w:sz w:val="24"/>
              <w:szCs w:val="24"/>
            </w:rPr>
            <w:t xml:space="preserve">    Paqartësi lidhur me shërbimet multidisiplinore. </w:t>
          </w:r>
          <w:r w:rsidR="00DD0BF1" w:rsidRPr="00F955A6">
            <w:rPr>
              <w:rFonts w:ascii="Times New Roman" w:eastAsia="Calibri" w:hAnsi="Times New Roman"/>
              <w:color w:val="000000" w:themeColor="text1"/>
              <w:sz w:val="24"/>
              <w:szCs w:val="24"/>
            </w:rPr>
            <w:t>Ofrimi i shërbimeve multidisiplinore nuk është i disiplinuar me qartësi. Direktivës i përket parimi që një operator të mos kufizohet në ushtrimin e veprimtarive të tij tregtare në disa disiplina, përveç rasteve kur parashikohen qartë kushtet paraprake (neni 25 i Direktivës).</w:t>
          </w:r>
          <w:r w:rsidRPr="00F955A6">
            <w:rPr>
              <w:rFonts w:ascii="Times New Roman" w:hAnsi="Times New Roman"/>
              <w:sz w:val="24"/>
              <w:szCs w:val="24"/>
            </w:rPr>
            <w:t xml:space="preserve"> Direktiva lejon ofrimin e shërbimeve multidisiplinore, përveç rasteve kur shtetet vendosin kufizime të bazuara në kritere të justifikuara. Në ligjin shqiptar, ky parim nuk është i qartë. Kjo krijon pasiguri për operatorët që ofrojnë disa veprimtari njëherësh (p.sh. shërbime inxhinierike të kombinuara me konsulencë juridike ose financiare).</w:t>
          </w:r>
        </w:p>
        <w:p w14:paraId="07150BAF" w14:textId="4A361218" w:rsidR="0031753B" w:rsidRPr="00F955A6" w:rsidRDefault="0031753B" w:rsidP="00CC709C">
          <w:pPr>
            <w:pStyle w:val="ListParagraph"/>
            <w:numPr>
              <w:ilvl w:val="0"/>
              <w:numId w:val="36"/>
            </w:numPr>
            <w:spacing w:after="160" w:line="278" w:lineRule="auto"/>
            <w:jc w:val="both"/>
            <w:rPr>
              <w:szCs w:val="24"/>
            </w:rPr>
          </w:pPr>
          <w:r w:rsidRPr="00F955A6">
            <w:rPr>
              <w:rFonts w:ascii="Times New Roman" w:eastAsiaTheme="minorEastAsia" w:hAnsi="Times New Roman"/>
              <w:b/>
              <w:bCs/>
              <w:sz w:val="24"/>
              <w:szCs w:val="24"/>
            </w:rPr>
            <w:t xml:space="preserve">  Mosnjohja e kontratave të sigurimit dhe garancive profesionale të vendeve të BE. </w:t>
          </w:r>
          <w:r w:rsidRPr="00F955A6">
            <w:rPr>
              <w:rFonts w:ascii="Times New Roman" w:hAnsi="Times New Roman"/>
              <w:sz w:val="24"/>
              <w:szCs w:val="24"/>
            </w:rPr>
            <w:t>Ligji aktual nuk parashikon njohjen e kontratave të sigurimit apo garancive të përgjegjësisë profesionale të lëshuara nga vendet anëtare. Kjo situatë mund të interpretohet si diskriminuese dhe bën të vështirë operimin e përkohshëm të profesionistëve të BE-së në territorin shqiptar, n</w:t>
          </w:r>
          <w:r w:rsidR="00D147DB">
            <w:rPr>
              <w:rFonts w:ascii="Times New Roman" w:hAnsi="Times New Roman"/>
              <w:sz w:val="24"/>
              <w:szCs w:val="24"/>
            </w:rPr>
            <w:t>ë</w:t>
          </w:r>
          <w:r w:rsidRPr="00F955A6">
            <w:rPr>
              <w:rFonts w:ascii="Times New Roman" w:hAnsi="Times New Roman"/>
              <w:sz w:val="24"/>
              <w:szCs w:val="24"/>
            </w:rPr>
            <w:t xml:space="preserve"> kuptim t</w:t>
          </w:r>
          <w:r w:rsidR="00D147DB">
            <w:rPr>
              <w:rFonts w:ascii="Times New Roman" w:hAnsi="Times New Roman"/>
              <w:sz w:val="24"/>
              <w:szCs w:val="24"/>
            </w:rPr>
            <w:t>ë</w:t>
          </w:r>
          <w:r w:rsidRPr="00F955A6">
            <w:rPr>
              <w:rFonts w:ascii="Times New Roman" w:hAnsi="Times New Roman"/>
              <w:sz w:val="24"/>
              <w:szCs w:val="24"/>
            </w:rPr>
            <w:t xml:space="preserve"> nenit 23 t</w:t>
          </w:r>
          <w:r w:rsidR="00D147DB">
            <w:rPr>
              <w:rFonts w:ascii="Times New Roman" w:hAnsi="Times New Roman"/>
              <w:sz w:val="24"/>
              <w:szCs w:val="24"/>
            </w:rPr>
            <w:t>ë</w:t>
          </w:r>
          <w:r w:rsidRPr="00F955A6">
            <w:rPr>
              <w:rFonts w:ascii="Times New Roman" w:hAnsi="Times New Roman"/>
              <w:sz w:val="24"/>
              <w:szCs w:val="24"/>
            </w:rPr>
            <w:t xml:space="preserve"> Direktiv</w:t>
          </w:r>
          <w:r w:rsidR="00D147DB">
            <w:rPr>
              <w:rFonts w:ascii="Times New Roman" w:hAnsi="Times New Roman"/>
              <w:sz w:val="24"/>
              <w:szCs w:val="24"/>
            </w:rPr>
            <w:t>ë</w:t>
          </w:r>
          <w:r w:rsidRPr="00F955A6">
            <w:rPr>
              <w:rFonts w:ascii="Times New Roman" w:hAnsi="Times New Roman"/>
              <w:sz w:val="24"/>
              <w:szCs w:val="24"/>
            </w:rPr>
            <w:t>s.</w:t>
          </w:r>
        </w:p>
        <w:p w14:paraId="3FB99459" w14:textId="55FA797C" w:rsidR="0031753B" w:rsidRPr="00F955A6" w:rsidRDefault="0031753B" w:rsidP="00CC709C">
          <w:pPr>
            <w:pStyle w:val="ListParagraph"/>
            <w:numPr>
              <w:ilvl w:val="0"/>
              <w:numId w:val="14"/>
            </w:numPr>
            <w:spacing w:after="160" w:line="278" w:lineRule="auto"/>
            <w:jc w:val="both"/>
            <w:rPr>
              <w:szCs w:val="24"/>
            </w:rPr>
          </w:pPr>
          <w:r w:rsidRPr="0031753B">
            <w:rPr>
              <w:rFonts w:ascii="Times New Roman" w:eastAsia="Calibri" w:hAnsi="Times New Roman"/>
              <w:color w:val="000000" w:themeColor="text1"/>
              <w:sz w:val="24"/>
              <w:szCs w:val="24"/>
            </w:rPr>
            <w:t xml:space="preserve">   </w:t>
          </w:r>
          <w:r w:rsidR="00DD0BF1" w:rsidRPr="00F955A6">
            <w:rPr>
              <w:rFonts w:ascii="Times New Roman" w:eastAsia="Calibri" w:hAnsi="Times New Roman"/>
              <w:color w:val="000000" w:themeColor="text1"/>
              <w:sz w:val="24"/>
              <w:szCs w:val="24"/>
            </w:rPr>
            <w:t>Të drejtat e përfituesve të shërbimeve janë parashikuar pjesërisht, por nuk garantojnë përputhshmëri të plotë me standardet e përcaktuara në nenin 12 të Direktivës.</w:t>
          </w:r>
          <w:r w:rsidRPr="00F955A6">
            <w:rPr>
              <w:rFonts w:ascii="Times New Roman" w:eastAsia="Calibri" w:hAnsi="Times New Roman"/>
              <w:color w:val="000000" w:themeColor="text1"/>
              <w:sz w:val="24"/>
              <w:szCs w:val="24"/>
            </w:rPr>
            <w:t xml:space="preserve"> </w:t>
          </w:r>
          <w:r w:rsidRPr="00F955A6">
            <w:rPr>
              <w:rFonts w:ascii="Times New Roman" w:hAnsi="Times New Roman"/>
              <w:sz w:val="24"/>
              <w:szCs w:val="24"/>
            </w:rPr>
            <w:t>Neni 12 i Direktivës kërkon standarde të qarta për transparencën, cilësinë dhe informimin, të cilat aktualisht nuk janë të garantuara plotësisht në ligjin shqiptar.</w:t>
          </w:r>
        </w:p>
        <w:p w14:paraId="5F544312" w14:textId="12606F43" w:rsidR="00DD0BF1" w:rsidRPr="00F955A6" w:rsidRDefault="0031753B" w:rsidP="00CC709C">
          <w:pPr>
            <w:pStyle w:val="ListParagraph"/>
            <w:numPr>
              <w:ilvl w:val="0"/>
              <w:numId w:val="14"/>
            </w:numPr>
            <w:spacing w:after="160" w:line="278" w:lineRule="auto"/>
            <w:jc w:val="both"/>
            <w:rPr>
              <w:rFonts w:ascii="Times New Roman" w:hAnsi="Times New Roman"/>
              <w:b/>
              <w:bCs/>
              <w:sz w:val="24"/>
              <w:szCs w:val="24"/>
              <w:lang w:val="it-IT"/>
            </w:rPr>
          </w:pPr>
          <w:r w:rsidRPr="00F955A6">
            <w:rPr>
              <w:rFonts w:ascii="Times New Roman" w:eastAsiaTheme="minorEastAsia" w:hAnsi="Times New Roman"/>
              <w:b/>
              <w:bCs/>
              <w:sz w:val="24"/>
              <w:szCs w:val="24"/>
            </w:rPr>
            <w:t xml:space="preserve">  </w:t>
          </w:r>
          <w:r w:rsidRPr="00F955A6">
            <w:rPr>
              <w:rFonts w:ascii="Times New Roman" w:eastAsiaTheme="minorEastAsia" w:hAnsi="Times New Roman"/>
              <w:b/>
              <w:bCs/>
              <w:sz w:val="24"/>
              <w:szCs w:val="24"/>
              <w:lang w:val="it-IT"/>
            </w:rPr>
            <w:t xml:space="preserve">Mospërputhshmëri me ligjet e tjera sektoriale. </w:t>
          </w:r>
          <w:r w:rsidRPr="00F955A6">
            <w:rPr>
              <w:rFonts w:ascii="Times New Roman" w:hAnsi="Times New Roman"/>
              <w:sz w:val="24"/>
              <w:szCs w:val="24"/>
              <w:lang w:val="it-IT"/>
            </w:rPr>
            <w:t>Përveç Ligjit për Shërbimet, mungesa e harmonizimit me konceptet e Direktivës prek edhe legjislacionin sektorial (p.sh. në ndërtim, shëndetësi, profesione të rregulluara), duke krijuar një fragmentim të përgjithshëm të kornizës rregullatore.</w:t>
          </w:r>
        </w:p>
        <w:p w14:paraId="45ACED80" w14:textId="77777777" w:rsidR="00E34510" w:rsidRDefault="00E34510" w:rsidP="00DD0BF1">
          <w:pPr>
            <w:tabs>
              <w:tab w:val="left" w:pos="720"/>
            </w:tabs>
            <w:spacing w:after="120" w:line="288" w:lineRule="auto"/>
            <w:contextualSpacing/>
            <w:jc w:val="both"/>
            <w:rPr>
              <w:rFonts w:eastAsia="Calibri"/>
              <w:color w:val="000000"/>
            </w:rPr>
          </w:pPr>
        </w:p>
        <w:p w14:paraId="3190D13D" w14:textId="77777777" w:rsidR="00E34510" w:rsidRPr="0045415B" w:rsidRDefault="00E34510" w:rsidP="00E34510">
          <w:pPr>
            <w:tabs>
              <w:tab w:val="left" w:pos="720"/>
            </w:tabs>
            <w:spacing w:after="120" w:line="288" w:lineRule="auto"/>
            <w:contextualSpacing/>
            <w:jc w:val="both"/>
            <w:rPr>
              <w:rFonts w:eastAsia="Calibri"/>
              <w:i/>
              <w:color w:val="000000"/>
            </w:rPr>
          </w:pPr>
          <w:r w:rsidRPr="6875B2D2">
            <w:rPr>
              <w:rFonts w:eastAsia="Calibri"/>
              <w:i/>
              <w:color w:val="000000" w:themeColor="text1"/>
            </w:rPr>
            <w:t>Shtrirja e problemit dhe grupet e prekura nga problemi</w:t>
          </w:r>
        </w:p>
        <w:p w14:paraId="1BB7CCA8" w14:textId="77777777" w:rsidR="00E34510" w:rsidRPr="0045415B" w:rsidRDefault="00E34510" w:rsidP="00E34510">
          <w:pPr>
            <w:tabs>
              <w:tab w:val="left" w:pos="720"/>
            </w:tabs>
            <w:spacing w:after="120" w:line="288" w:lineRule="auto"/>
            <w:contextualSpacing/>
            <w:jc w:val="both"/>
            <w:rPr>
              <w:rFonts w:eastAsia="Calibri"/>
              <w:i/>
              <w:color w:val="000000"/>
            </w:rPr>
          </w:pPr>
        </w:p>
        <w:p w14:paraId="18136678" w14:textId="77777777" w:rsidR="0031753B" w:rsidRPr="00F955A6" w:rsidRDefault="0031753B" w:rsidP="0031753B">
          <w:pPr>
            <w:spacing w:after="160" w:line="278" w:lineRule="auto"/>
            <w:jc w:val="both"/>
          </w:pPr>
          <w:r w:rsidRPr="00F955A6">
            <w:t>Problemi ka shtrirje të gjerë, pasi prek pothuajse çdo sektor ku ofrohen shërbime brenda dhe përtej kufijve. Operatorët ekonomikë që ofrojnë shërbime në fusha si ndërtimi, shëndetësia, profesione të rregulluara, tregtia dhe shërbimet multidisiplinore përballen me pasiguri rregullatore dhe vështirësi për të hyrë në tregjet evropiane. Mungesa e lirisë së ofrimit të shërbimeve ndërkufitare, bashkëpunimit administrativ dhe njohjes së garancive profesionale përbën një pengesë të drejtpërdrejtë për sipërmarrjet dhe profesionistët shqiptarë.</w:t>
          </w:r>
        </w:p>
        <w:p w14:paraId="3B4ECB75" w14:textId="77777777" w:rsidR="0031753B" w:rsidRDefault="0031753B" w:rsidP="0031753B">
          <w:pPr>
            <w:spacing w:after="160" w:line="278" w:lineRule="auto"/>
            <w:jc w:val="both"/>
          </w:pPr>
          <w:r w:rsidRPr="00F955A6">
            <w:t>Nga ana tjetër, institucione publike dhe autoritete rregullatore janë të kufizuara në mundësitë për të bashkëpunuar me homologët evropianë, për të mbikëqyrur tregun dhe për të siguruar standarde të njëjta me ato të BE. Në fund, konsumatorët dhe përfituesit e shërbimeve mbeten të pambrojtur në dy aspekte: mungesën e standardeve të BE-së për cilësinë e shërbimeve dhe mungesën e transparencës në informacionin që marrin.</w:t>
          </w:r>
        </w:p>
        <w:p w14:paraId="3927831A" w14:textId="7D1D2108" w:rsidR="00BA2584" w:rsidRPr="00C43B54" w:rsidRDefault="00BA2584" w:rsidP="00BA2584">
          <w:pPr>
            <w:spacing w:after="160" w:line="278" w:lineRule="auto"/>
            <w:rPr>
              <w:b/>
              <w:bCs/>
              <w:lang w:val="it-IT"/>
            </w:rPr>
          </w:pPr>
          <w:r w:rsidRPr="00C43B54">
            <w:rPr>
              <w:b/>
              <w:bCs/>
              <w:lang w:val="it-IT"/>
            </w:rPr>
            <w:t>Grupet e prekura</w:t>
          </w:r>
          <w:r>
            <w:rPr>
              <w:b/>
              <w:bCs/>
              <w:lang w:val="it-IT"/>
            </w:rPr>
            <w:t xml:space="preserve"> nga problematikat e m</w:t>
          </w:r>
          <w:r w:rsidR="00D147DB">
            <w:rPr>
              <w:b/>
              <w:bCs/>
              <w:lang w:val="it-IT"/>
            </w:rPr>
            <w:t>ë</w:t>
          </w:r>
          <w:r>
            <w:rPr>
              <w:b/>
              <w:bCs/>
              <w:lang w:val="it-IT"/>
            </w:rPr>
            <w:t>sip</w:t>
          </w:r>
          <w:r w:rsidR="00D147DB">
            <w:rPr>
              <w:b/>
              <w:bCs/>
              <w:lang w:val="it-IT"/>
            </w:rPr>
            <w:t>ë</w:t>
          </w:r>
          <w:r>
            <w:rPr>
              <w:b/>
              <w:bCs/>
              <w:lang w:val="it-IT"/>
            </w:rPr>
            <w:t>rme jan</w:t>
          </w:r>
          <w:r w:rsidR="00D147DB">
            <w:rPr>
              <w:b/>
              <w:bCs/>
              <w:lang w:val="it-IT"/>
            </w:rPr>
            <w:t>ë</w:t>
          </w:r>
          <w:r>
            <w:rPr>
              <w:b/>
              <w:bCs/>
              <w:lang w:val="it-IT"/>
            </w:rPr>
            <w:t>:</w:t>
          </w:r>
        </w:p>
        <w:p w14:paraId="3BDD5430" w14:textId="77777777" w:rsidR="00BA2584" w:rsidRPr="00C43B54" w:rsidRDefault="00BA2584" w:rsidP="00BA2584">
          <w:pPr>
            <w:spacing w:after="160" w:line="278" w:lineRule="auto"/>
            <w:rPr>
              <w:b/>
              <w:bCs/>
              <w:lang w:val="it-IT"/>
            </w:rPr>
          </w:pPr>
          <w:r w:rsidRPr="00C43B54">
            <w:rPr>
              <w:b/>
              <w:bCs/>
              <w:lang w:val="it-IT"/>
            </w:rPr>
            <w:t>1. Ofruesit e Shërbimeve</w:t>
          </w:r>
        </w:p>
        <w:p w14:paraId="34F383D0" w14:textId="77777777" w:rsidR="00BA2584" w:rsidRPr="00C43B54" w:rsidRDefault="00BA2584" w:rsidP="00BA2584">
          <w:pPr>
            <w:spacing w:after="160" w:line="278" w:lineRule="auto"/>
            <w:rPr>
              <w:b/>
              <w:bCs/>
              <w:lang w:val="it-IT"/>
            </w:rPr>
          </w:pPr>
          <w:r w:rsidRPr="00C43B54">
            <w:rPr>
              <w:b/>
              <w:bCs/>
              <w:lang w:val="it-IT"/>
            </w:rPr>
            <w:t>Ofruesit Vendas të Shërbimeve</w:t>
          </w:r>
        </w:p>
        <w:p w14:paraId="7D149C40" w14:textId="77777777" w:rsidR="00BA2584" w:rsidRPr="00C43B54" w:rsidRDefault="00BA2584" w:rsidP="00BA2584">
          <w:pPr>
            <w:spacing w:after="160" w:line="278" w:lineRule="auto"/>
            <w:jc w:val="both"/>
            <w:rPr>
              <w:lang w:val="it-IT"/>
            </w:rPr>
          </w:pPr>
          <w:r w:rsidRPr="00C43B54">
            <w:rPr>
              <w:lang w:val="it-IT"/>
            </w:rPr>
            <w:t>Ofruesit vendas përballen me pasiguri rregullatore për shkak të mungesës së dispozitave që garantojnë lirinë e ofrimit të shërbimeve ndërkufitare dhe të mekanizmave të bashkëpunimit administrativ. Kjo situatë u vështirëson aksesin në tregjet e BE-së, krijon pengesa për njohjen e sigurimeve profesionale dhe e bën të paqartë ushtrimin e shërbimeve multidisiplinore. Si rezultat, sipërmarrjet dhe profesionistët vendas humbin mundësi konkurruese dhe mbeten më pak të përgatitur për standardet e tregut të brendshëm evropian.</w:t>
          </w:r>
        </w:p>
        <w:p w14:paraId="1ABB2D5A" w14:textId="77777777" w:rsidR="00BA2584" w:rsidRPr="00C43B54" w:rsidRDefault="00BA2584" w:rsidP="00BA2584">
          <w:pPr>
            <w:spacing w:after="160" w:line="278" w:lineRule="auto"/>
            <w:rPr>
              <w:b/>
              <w:bCs/>
              <w:lang w:val="it-IT"/>
            </w:rPr>
          </w:pPr>
          <w:r w:rsidRPr="00C43B54">
            <w:rPr>
              <w:b/>
              <w:bCs/>
              <w:lang w:val="it-IT"/>
            </w:rPr>
            <w:t>Ofruesit e Shërbimeve të Vendeve të BE</w:t>
          </w:r>
        </w:p>
        <w:p w14:paraId="030E38EE" w14:textId="374CC51C" w:rsidR="0031753B" w:rsidRPr="00BA2584" w:rsidRDefault="00BA2584" w:rsidP="0031753B">
          <w:pPr>
            <w:spacing w:after="160" w:line="278" w:lineRule="auto"/>
            <w:jc w:val="both"/>
            <w:rPr>
              <w:lang w:val="it-IT"/>
            </w:rPr>
          </w:pPr>
          <w:r w:rsidRPr="00C43B54">
            <w:rPr>
              <w:lang w:val="it-IT"/>
            </w:rPr>
            <w:t>Operatorët e BE-së që duan të ofrojnë shërbime në Shqipëri hasin pengesa të dukshme për shkak të mungesës së rregullave për ofrimin e përkohshëm të shërbimeve. Mosnjohja e kontratave të sigurimit dhe garancive profesionale të lëshuara në vendet e tyre i vendos ata në pozicion diskriminues. Po ashtu, mungesa e mekanizmave të koordinimit me shtetet anëtare, përmes IMI-së, e vështirëson verifikimin, raportimin dhe bashkëpunimin me autoritetet shqiptare, duke ulur gatishmërinë e tyre për të hyrë në tregun shqiptar.</w:t>
          </w:r>
        </w:p>
        <w:p w14:paraId="31A60115" w14:textId="1716389F" w:rsidR="00707C3D" w:rsidRDefault="00F00E86" w:rsidP="00707C3D">
          <w:pPr>
            <w:pStyle w:val="NoSpacing"/>
            <w:tabs>
              <w:tab w:val="left" w:pos="720"/>
            </w:tabs>
            <w:spacing w:line="276" w:lineRule="auto"/>
            <w:jc w:val="both"/>
            <w:rPr>
              <w:rFonts w:ascii="Times New Roman" w:eastAsia="Calibri" w:hAnsi="Times New Roman"/>
              <w:color w:val="000000"/>
              <w:sz w:val="24"/>
              <w:szCs w:val="24"/>
              <w:lang w:val="sq-AL"/>
            </w:rPr>
          </w:pPr>
          <w:r w:rsidRPr="1A98504A">
            <w:rPr>
              <w:rFonts w:eastAsia="Calibri"/>
              <w:color w:val="000000" w:themeColor="text1"/>
              <w:lang w:val="sq-AL"/>
            </w:rPr>
            <w:t>.</w:t>
          </w:r>
          <w:r w:rsidRPr="1A98504A">
            <w:rPr>
              <w:rFonts w:ascii="Times New Roman" w:eastAsia="Calibri" w:hAnsi="Times New Roman"/>
              <w:b/>
              <w:color w:val="000000" w:themeColor="text1"/>
              <w:sz w:val="24"/>
              <w:szCs w:val="24"/>
              <w:lang w:val="sq-AL"/>
            </w:rPr>
            <w:t xml:space="preserve"> </w:t>
          </w:r>
        </w:p>
        <w:p w14:paraId="48845FB1" w14:textId="4A86E1EF" w:rsidR="00707C3D" w:rsidRDefault="00707C3D" w:rsidP="00707C3D">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 xml:space="preserve">Saktësisht, </w:t>
          </w:r>
          <w:r w:rsidR="00BA2584">
            <w:rPr>
              <w:rFonts w:ascii="Times New Roman" w:eastAsia="Calibri" w:hAnsi="Times New Roman"/>
              <w:color w:val="000000"/>
              <w:sz w:val="24"/>
              <w:szCs w:val="24"/>
              <w:lang w:val="sq-AL"/>
            </w:rPr>
            <w:t xml:space="preserve">grupe </w:t>
          </w:r>
          <w:r>
            <w:rPr>
              <w:rFonts w:ascii="Times New Roman" w:eastAsia="Calibri" w:hAnsi="Times New Roman"/>
              <w:color w:val="000000"/>
              <w:sz w:val="24"/>
              <w:szCs w:val="24"/>
              <w:lang w:val="sq-AL"/>
            </w:rPr>
            <w:t>që preken nga kjo problematikë janë operatorët/ofruesit e shërbimeve, vendas dhe të shteteve anëtare të BE që ushtrojnë aktivitetin e tyre në sektorët e mëposhtëm</w:t>
          </w:r>
          <w:r w:rsidRPr="1A98504A">
            <w:rPr>
              <w:rStyle w:val="FootnoteReference"/>
              <w:rFonts w:eastAsia="Calibri"/>
              <w:lang w:val="sq-AL"/>
            </w:rPr>
            <w:footnoteReference w:id="3"/>
          </w:r>
          <w:r>
            <w:rPr>
              <w:rFonts w:ascii="Times New Roman" w:eastAsia="Calibri" w:hAnsi="Times New Roman"/>
              <w:color w:val="000000"/>
              <w:sz w:val="24"/>
              <w:szCs w:val="24"/>
              <w:lang w:val="sq-AL"/>
            </w:rPr>
            <w:t>:</w:t>
          </w:r>
        </w:p>
        <w:p w14:paraId="752CBE5E" w14:textId="74341309" w:rsidR="00563378" w:rsidRDefault="00563378" w:rsidP="00CF2ADA">
          <w:pPr>
            <w:spacing w:before="2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6463"/>
          </w:tblGrid>
          <w:tr w:rsidR="001D630B" w:rsidRPr="005F6CA7" w14:paraId="45E015CF" w14:textId="77777777" w:rsidTr="00BA2584">
            <w:trPr>
              <w:trHeight w:val="310"/>
            </w:trPr>
            <w:tc>
              <w:tcPr>
                <w:tcW w:w="1830" w:type="pct"/>
                <w:noWrap/>
                <w:vAlign w:val="center"/>
                <w:hideMark/>
              </w:tcPr>
              <w:p w14:paraId="19AE6256" w14:textId="77777777" w:rsidR="001D630B" w:rsidRPr="005F6CA7" w:rsidRDefault="001D630B" w:rsidP="00D004C1">
                <w:pPr>
                  <w:jc w:val="both"/>
                  <w:rPr>
                    <w:color w:val="000000"/>
                    <w:sz w:val="20"/>
                  </w:rPr>
                </w:pPr>
                <w:r w:rsidRPr="6875B2D2">
                  <w:rPr>
                    <w:color w:val="000000" w:themeColor="text1"/>
                    <w:sz w:val="20"/>
                  </w:rPr>
                  <w:t>1.     Bujqësi</w:t>
                </w:r>
              </w:p>
            </w:tc>
            <w:tc>
              <w:tcPr>
                <w:tcW w:w="3170" w:type="pct"/>
                <w:noWrap/>
                <w:vAlign w:val="center"/>
                <w:hideMark/>
              </w:tcPr>
              <w:p w14:paraId="51FF2FF8" w14:textId="77777777" w:rsidR="001D630B" w:rsidRPr="005F6CA7" w:rsidRDefault="001D630B" w:rsidP="00D004C1">
                <w:pPr>
                  <w:jc w:val="both"/>
                  <w:rPr>
                    <w:color w:val="000000"/>
                    <w:sz w:val="20"/>
                  </w:rPr>
                </w:pPr>
                <w:r w:rsidRPr="6875B2D2">
                  <w:rPr>
                    <w:color w:val="000000" w:themeColor="text1"/>
                    <w:sz w:val="20"/>
                  </w:rPr>
                  <w:t>22.  Minierat</w:t>
                </w:r>
              </w:p>
            </w:tc>
          </w:tr>
          <w:tr w:rsidR="001D630B" w:rsidRPr="005F6CA7" w14:paraId="2EFCB33A" w14:textId="77777777" w:rsidTr="00BA2584">
            <w:trPr>
              <w:trHeight w:val="310"/>
            </w:trPr>
            <w:tc>
              <w:tcPr>
                <w:tcW w:w="1830" w:type="pct"/>
                <w:noWrap/>
                <w:vAlign w:val="center"/>
                <w:hideMark/>
              </w:tcPr>
              <w:p w14:paraId="40B18270" w14:textId="77777777" w:rsidR="001D630B" w:rsidRPr="005F6CA7" w:rsidRDefault="001D630B" w:rsidP="00D004C1">
                <w:pPr>
                  <w:jc w:val="both"/>
                  <w:rPr>
                    <w:color w:val="000000"/>
                    <w:sz w:val="20"/>
                  </w:rPr>
                </w:pPr>
                <w:r w:rsidRPr="6875B2D2">
                  <w:rPr>
                    <w:color w:val="000000" w:themeColor="text1"/>
                    <w:sz w:val="20"/>
                  </w:rPr>
                  <w:t>2.     Veterinari</w:t>
                </w:r>
              </w:p>
            </w:tc>
            <w:tc>
              <w:tcPr>
                <w:tcW w:w="3170" w:type="pct"/>
                <w:noWrap/>
                <w:vAlign w:val="center"/>
                <w:hideMark/>
              </w:tcPr>
              <w:p w14:paraId="74E5CD2A" w14:textId="77777777" w:rsidR="001D630B" w:rsidRPr="003647B0" w:rsidRDefault="001D630B" w:rsidP="00D004C1">
                <w:pPr>
                  <w:jc w:val="both"/>
                  <w:rPr>
                    <w:color w:val="000000"/>
                    <w:sz w:val="20"/>
                  </w:rPr>
                </w:pPr>
                <w:r w:rsidRPr="6875B2D2">
                  <w:rPr>
                    <w:color w:val="000000" w:themeColor="text1"/>
                    <w:sz w:val="20"/>
                  </w:rPr>
                  <w:t>23.  Shërbimet e lidhura me transportin</w:t>
                </w:r>
              </w:p>
            </w:tc>
          </w:tr>
          <w:tr w:rsidR="001D630B" w:rsidRPr="005F6CA7" w14:paraId="27919D29" w14:textId="77777777" w:rsidTr="00BA2584">
            <w:trPr>
              <w:trHeight w:val="310"/>
            </w:trPr>
            <w:tc>
              <w:tcPr>
                <w:tcW w:w="1830" w:type="pct"/>
                <w:noWrap/>
                <w:vAlign w:val="center"/>
                <w:hideMark/>
              </w:tcPr>
              <w:p w14:paraId="2F74925C" w14:textId="77777777" w:rsidR="001D630B" w:rsidRPr="005F6CA7" w:rsidRDefault="001D630B" w:rsidP="00D004C1">
                <w:pPr>
                  <w:jc w:val="both"/>
                  <w:rPr>
                    <w:color w:val="000000"/>
                    <w:sz w:val="20"/>
                  </w:rPr>
                </w:pPr>
                <w:r w:rsidRPr="6875B2D2">
                  <w:rPr>
                    <w:color w:val="000000" w:themeColor="text1"/>
                    <w:sz w:val="20"/>
                  </w:rPr>
                  <w:t>3.     Tregtim i kafshëve</w:t>
                </w:r>
              </w:p>
            </w:tc>
            <w:tc>
              <w:tcPr>
                <w:tcW w:w="3170" w:type="pct"/>
                <w:noWrap/>
                <w:vAlign w:val="center"/>
                <w:hideMark/>
              </w:tcPr>
              <w:p w14:paraId="261FA88B" w14:textId="77777777" w:rsidR="001D630B" w:rsidRPr="005F6CA7" w:rsidRDefault="001D630B" w:rsidP="00D004C1">
                <w:pPr>
                  <w:jc w:val="both"/>
                  <w:rPr>
                    <w:color w:val="000000"/>
                    <w:sz w:val="20"/>
                  </w:rPr>
                </w:pPr>
                <w:r w:rsidRPr="6875B2D2">
                  <w:rPr>
                    <w:color w:val="000000" w:themeColor="text1"/>
                    <w:sz w:val="20"/>
                  </w:rPr>
                  <w:t>24.  Burimet hidrokarbure (nafta dhe gazi)</w:t>
                </w:r>
              </w:p>
            </w:tc>
          </w:tr>
          <w:tr w:rsidR="001D630B" w:rsidRPr="005F6CA7" w14:paraId="6F31B726" w14:textId="77777777" w:rsidTr="00BA2584">
            <w:trPr>
              <w:trHeight w:val="310"/>
            </w:trPr>
            <w:tc>
              <w:tcPr>
                <w:tcW w:w="1830" w:type="pct"/>
                <w:noWrap/>
                <w:vAlign w:val="center"/>
                <w:hideMark/>
              </w:tcPr>
              <w:p w14:paraId="1846FE5F" w14:textId="77777777" w:rsidR="001D630B" w:rsidRPr="005F6CA7" w:rsidRDefault="001D630B" w:rsidP="00D004C1">
                <w:pPr>
                  <w:jc w:val="both"/>
                  <w:rPr>
                    <w:color w:val="000000"/>
                    <w:sz w:val="20"/>
                  </w:rPr>
                </w:pPr>
                <w:r w:rsidRPr="6875B2D2">
                  <w:rPr>
                    <w:color w:val="000000" w:themeColor="text1"/>
                    <w:sz w:val="20"/>
                  </w:rPr>
                  <w:t>4.     Tregtim i ushqimeve</w:t>
                </w:r>
              </w:p>
            </w:tc>
            <w:tc>
              <w:tcPr>
                <w:tcW w:w="3170" w:type="pct"/>
                <w:noWrap/>
                <w:vAlign w:val="center"/>
                <w:hideMark/>
              </w:tcPr>
              <w:p w14:paraId="76993922" w14:textId="77777777" w:rsidR="001D630B" w:rsidRPr="003647B0" w:rsidRDefault="001D630B" w:rsidP="00D004C1">
                <w:pPr>
                  <w:jc w:val="both"/>
                  <w:rPr>
                    <w:color w:val="000000"/>
                    <w:sz w:val="20"/>
                  </w:rPr>
                </w:pPr>
                <w:r w:rsidRPr="6875B2D2">
                  <w:rPr>
                    <w:color w:val="000000" w:themeColor="text1"/>
                    <w:sz w:val="20"/>
                  </w:rPr>
                  <w:t>25.  Zhvillimi dhe ndërtimi i territorit</w:t>
                </w:r>
              </w:p>
            </w:tc>
          </w:tr>
          <w:tr w:rsidR="001D630B" w:rsidRPr="005F6CA7" w14:paraId="24A8629E" w14:textId="77777777" w:rsidTr="00BA2584">
            <w:trPr>
              <w:trHeight w:val="310"/>
            </w:trPr>
            <w:tc>
              <w:tcPr>
                <w:tcW w:w="1830" w:type="pct"/>
                <w:noWrap/>
                <w:vAlign w:val="center"/>
                <w:hideMark/>
              </w:tcPr>
              <w:p w14:paraId="614C18ED" w14:textId="77777777" w:rsidR="001D630B" w:rsidRPr="003647B0" w:rsidRDefault="001D630B" w:rsidP="00D004C1">
                <w:pPr>
                  <w:jc w:val="both"/>
                  <w:rPr>
                    <w:color w:val="000000"/>
                    <w:sz w:val="20"/>
                  </w:rPr>
                </w:pPr>
                <w:r w:rsidRPr="6875B2D2">
                  <w:rPr>
                    <w:color w:val="000000" w:themeColor="text1"/>
                    <w:sz w:val="20"/>
                  </w:rPr>
                  <w:t>5.     Tregtimi i farave dhe fidanëve</w:t>
                </w:r>
              </w:p>
            </w:tc>
            <w:tc>
              <w:tcPr>
                <w:tcW w:w="3170" w:type="pct"/>
                <w:noWrap/>
                <w:vAlign w:val="center"/>
                <w:hideMark/>
              </w:tcPr>
              <w:p w14:paraId="3F651A22" w14:textId="77777777" w:rsidR="001D630B" w:rsidRPr="005F6CA7" w:rsidRDefault="001D630B" w:rsidP="00D004C1">
                <w:pPr>
                  <w:jc w:val="both"/>
                  <w:rPr>
                    <w:color w:val="000000"/>
                    <w:sz w:val="20"/>
                  </w:rPr>
                </w:pPr>
                <w:r w:rsidRPr="6875B2D2">
                  <w:rPr>
                    <w:color w:val="000000" w:themeColor="text1"/>
                    <w:sz w:val="20"/>
                  </w:rPr>
                  <w:t>26.  Energji</w:t>
                </w:r>
              </w:p>
            </w:tc>
          </w:tr>
          <w:tr w:rsidR="001D630B" w:rsidRPr="005F6CA7" w14:paraId="36DDE44D" w14:textId="77777777" w:rsidTr="00BA2584">
            <w:trPr>
              <w:trHeight w:val="310"/>
            </w:trPr>
            <w:tc>
              <w:tcPr>
                <w:tcW w:w="1830" w:type="pct"/>
                <w:noWrap/>
                <w:vAlign w:val="center"/>
                <w:hideMark/>
              </w:tcPr>
              <w:p w14:paraId="6ADC2030" w14:textId="77777777" w:rsidR="001D630B" w:rsidRPr="005F6CA7" w:rsidRDefault="001D630B" w:rsidP="00D004C1">
                <w:pPr>
                  <w:jc w:val="both"/>
                  <w:rPr>
                    <w:color w:val="000000"/>
                    <w:sz w:val="20"/>
                  </w:rPr>
                </w:pPr>
                <w:r w:rsidRPr="6875B2D2">
                  <w:rPr>
                    <w:color w:val="000000" w:themeColor="text1"/>
                    <w:sz w:val="20"/>
                  </w:rPr>
                  <w:t>6.     Shërbimet juridike:</w:t>
                </w:r>
              </w:p>
            </w:tc>
            <w:tc>
              <w:tcPr>
                <w:tcW w:w="3170" w:type="pct"/>
                <w:noWrap/>
                <w:vAlign w:val="center"/>
                <w:hideMark/>
              </w:tcPr>
              <w:p w14:paraId="19CBB4A5" w14:textId="77777777" w:rsidR="001D630B" w:rsidRPr="005F6CA7" w:rsidRDefault="001D630B" w:rsidP="00D004C1">
                <w:pPr>
                  <w:jc w:val="both"/>
                  <w:rPr>
                    <w:color w:val="000000"/>
                    <w:sz w:val="20"/>
                  </w:rPr>
                </w:pPr>
                <w:r w:rsidRPr="6875B2D2">
                  <w:rPr>
                    <w:color w:val="000000" w:themeColor="text1"/>
                    <w:sz w:val="20"/>
                  </w:rPr>
                  <w:t>-       Elektrike</w:t>
                </w:r>
              </w:p>
            </w:tc>
          </w:tr>
          <w:tr w:rsidR="001D630B" w:rsidRPr="005F6CA7" w14:paraId="126DDDDD" w14:textId="77777777" w:rsidTr="00BA2584">
            <w:trPr>
              <w:trHeight w:val="310"/>
            </w:trPr>
            <w:tc>
              <w:tcPr>
                <w:tcW w:w="1830" w:type="pct"/>
                <w:noWrap/>
                <w:vAlign w:val="center"/>
                <w:hideMark/>
              </w:tcPr>
              <w:p w14:paraId="798C26F3" w14:textId="77777777" w:rsidR="001D630B" w:rsidRPr="005F6CA7" w:rsidRDefault="001D630B" w:rsidP="00D004C1">
                <w:pPr>
                  <w:jc w:val="both"/>
                  <w:rPr>
                    <w:color w:val="000000"/>
                    <w:sz w:val="20"/>
                  </w:rPr>
                </w:pPr>
                <w:r w:rsidRPr="6875B2D2">
                  <w:rPr>
                    <w:color w:val="000000" w:themeColor="text1"/>
                    <w:sz w:val="20"/>
                  </w:rPr>
                  <w:t>- Avokat</w:t>
                </w:r>
              </w:p>
            </w:tc>
            <w:tc>
              <w:tcPr>
                <w:tcW w:w="3170" w:type="pct"/>
                <w:noWrap/>
                <w:vAlign w:val="center"/>
                <w:hideMark/>
              </w:tcPr>
              <w:p w14:paraId="10BF3556" w14:textId="77777777" w:rsidR="001D630B" w:rsidRPr="005F6CA7" w:rsidRDefault="001D630B" w:rsidP="00D004C1">
                <w:pPr>
                  <w:jc w:val="both"/>
                  <w:rPr>
                    <w:color w:val="000000"/>
                    <w:sz w:val="20"/>
                  </w:rPr>
                </w:pPr>
                <w:r w:rsidRPr="6875B2D2">
                  <w:rPr>
                    <w:color w:val="000000" w:themeColor="text1"/>
                    <w:sz w:val="20"/>
                  </w:rPr>
                  <w:t>-       Energji e rinovueshme</w:t>
                </w:r>
              </w:p>
            </w:tc>
          </w:tr>
          <w:tr w:rsidR="001D630B" w:rsidRPr="005F6CA7" w14:paraId="7DF3E2D1" w14:textId="77777777" w:rsidTr="00BA2584">
            <w:trPr>
              <w:trHeight w:val="310"/>
            </w:trPr>
            <w:tc>
              <w:tcPr>
                <w:tcW w:w="1830" w:type="pct"/>
                <w:noWrap/>
                <w:vAlign w:val="center"/>
                <w:hideMark/>
              </w:tcPr>
              <w:p w14:paraId="1BE534EA" w14:textId="77777777" w:rsidR="001D630B" w:rsidRPr="005F6CA7" w:rsidRDefault="001D630B" w:rsidP="00D004C1">
                <w:pPr>
                  <w:jc w:val="both"/>
                  <w:rPr>
                    <w:color w:val="000000"/>
                    <w:sz w:val="20"/>
                  </w:rPr>
                </w:pPr>
                <w:r w:rsidRPr="6875B2D2">
                  <w:rPr>
                    <w:color w:val="000000" w:themeColor="text1"/>
                    <w:sz w:val="20"/>
                  </w:rPr>
                  <w:t>- Ndërmjetës</w:t>
                </w:r>
              </w:p>
            </w:tc>
            <w:tc>
              <w:tcPr>
                <w:tcW w:w="3170" w:type="pct"/>
                <w:noWrap/>
                <w:vAlign w:val="center"/>
                <w:hideMark/>
              </w:tcPr>
              <w:p w14:paraId="432BAF61" w14:textId="77777777" w:rsidR="001D630B" w:rsidRPr="005F6CA7" w:rsidRDefault="001D630B" w:rsidP="00D004C1">
                <w:pPr>
                  <w:jc w:val="both"/>
                  <w:rPr>
                    <w:color w:val="000000"/>
                    <w:sz w:val="20"/>
                  </w:rPr>
                </w:pPr>
                <w:r w:rsidRPr="6875B2D2">
                  <w:rPr>
                    <w:color w:val="000000" w:themeColor="text1"/>
                    <w:sz w:val="20"/>
                  </w:rPr>
                  <w:t>-       Efiçenca e energjisë</w:t>
                </w:r>
              </w:p>
            </w:tc>
          </w:tr>
          <w:tr w:rsidR="001D630B" w:rsidRPr="005F6CA7" w14:paraId="571305C0" w14:textId="77777777" w:rsidTr="00BA2584">
            <w:trPr>
              <w:trHeight w:val="310"/>
            </w:trPr>
            <w:tc>
              <w:tcPr>
                <w:tcW w:w="1830" w:type="pct"/>
                <w:noWrap/>
                <w:vAlign w:val="center"/>
                <w:hideMark/>
              </w:tcPr>
              <w:p w14:paraId="1051702D" w14:textId="77777777" w:rsidR="001D630B" w:rsidRPr="005F6CA7" w:rsidRDefault="001D630B" w:rsidP="00D004C1">
                <w:pPr>
                  <w:jc w:val="both"/>
                  <w:rPr>
                    <w:color w:val="000000"/>
                    <w:sz w:val="20"/>
                  </w:rPr>
                </w:pPr>
                <w:r w:rsidRPr="6875B2D2">
                  <w:rPr>
                    <w:color w:val="000000" w:themeColor="text1"/>
                    <w:sz w:val="20"/>
                  </w:rPr>
                  <w:t>- Noter</w:t>
                </w:r>
              </w:p>
            </w:tc>
            <w:tc>
              <w:tcPr>
                <w:tcW w:w="3170" w:type="pct"/>
                <w:noWrap/>
                <w:vAlign w:val="center"/>
                <w:hideMark/>
              </w:tcPr>
              <w:p w14:paraId="1F4938C1" w14:textId="77777777" w:rsidR="001D630B" w:rsidRPr="00AF2003" w:rsidRDefault="001D630B" w:rsidP="00D004C1">
                <w:pPr>
                  <w:jc w:val="both"/>
                  <w:rPr>
                    <w:color w:val="000000"/>
                    <w:sz w:val="20"/>
                  </w:rPr>
                </w:pPr>
                <w:r w:rsidRPr="6875B2D2">
                  <w:rPr>
                    <w:color w:val="000000" w:themeColor="text1"/>
                    <w:sz w:val="20"/>
                  </w:rPr>
                  <w:t>27.  Shërbimet e lidhura me komunikimet elektronike me tregtinë elektronike</w:t>
                </w:r>
              </w:p>
            </w:tc>
          </w:tr>
          <w:tr w:rsidR="001D630B" w:rsidRPr="005F6CA7" w14:paraId="6FC63FDF" w14:textId="77777777" w:rsidTr="00BA2584">
            <w:trPr>
              <w:trHeight w:val="310"/>
            </w:trPr>
            <w:tc>
              <w:tcPr>
                <w:tcW w:w="1830" w:type="pct"/>
                <w:noWrap/>
                <w:vAlign w:val="center"/>
                <w:hideMark/>
              </w:tcPr>
              <w:p w14:paraId="0FD07517" w14:textId="77777777" w:rsidR="001D630B" w:rsidRPr="005F6CA7" w:rsidRDefault="001D630B" w:rsidP="00D004C1">
                <w:pPr>
                  <w:jc w:val="both"/>
                  <w:rPr>
                    <w:color w:val="000000"/>
                    <w:sz w:val="20"/>
                  </w:rPr>
                </w:pPr>
                <w:r w:rsidRPr="6875B2D2">
                  <w:rPr>
                    <w:color w:val="000000" w:themeColor="text1"/>
                    <w:sz w:val="20"/>
                  </w:rPr>
                  <w:t>7.     Përmbarues</w:t>
                </w:r>
              </w:p>
            </w:tc>
            <w:tc>
              <w:tcPr>
                <w:tcW w:w="3170" w:type="pct"/>
                <w:noWrap/>
                <w:vAlign w:val="center"/>
                <w:hideMark/>
              </w:tcPr>
              <w:p w14:paraId="4B289AC4" w14:textId="77777777" w:rsidR="001D630B" w:rsidRPr="00AF2003" w:rsidRDefault="001D630B" w:rsidP="00D004C1">
                <w:pPr>
                  <w:jc w:val="both"/>
                  <w:rPr>
                    <w:color w:val="000000"/>
                    <w:sz w:val="20"/>
                  </w:rPr>
                </w:pPr>
                <w:r w:rsidRPr="6875B2D2">
                  <w:rPr>
                    <w:color w:val="000000" w:themeColor="text1"/>
                    <w:sz w:val="20"/>
                  </w:rPr>
                  <w:t>28.  Shërbimet e lidhura me komunikimet elektronike me komunikimet elektronike</w:t>
                </w:r>
              </w:p>
            </w:tc>
          </w:tr>
          <w:tr w:rsidR="001D630B" w:rsidRPr="005F6CA7" w14:paraId="699CC32F" w14:textId="77777777" w:rsidTr="00BA2584">
            <w:trPr>
              <w:trHeight w:val="310"/>
            </w:trPr>
            <w:tc>
              <w:tcPr>
                <w:tcW w:w="1830" w:type="pct"/>
                <w:noWrap/>
                <w:vAlign w:val="center"/>
                <w:hideMark/>
              </w:tcPr>
              <w:p w14:paraId="238D32B8" w14:textId="77777777" w:rsidR="001D630B" w:rsidRPr="005F6CA7" w:rsidRDefault="001D630B" w:rsidP="00D004C1">
                <w:pPr>
                  <w:jc w:val="both"/>
                  <w:rPr>
                    <w:color w:val="000000"/>
                    <w:sz w:val="20"/>
                  </w:rPr>
                </w:pPr>
                <w:r w:rsidRPr="6875B2D2">
                  <w:rPr>
                    <w:color w:val="000000" w:themeColor="text1"/>
                    <w:sz w:val="20"/>
                  </w:rPr>
                  <w:t>8.     Agjentët tregtarë</w:t>
                </w:r>
              </w:p>
            </w:tc>
            <w:tc>
              <w:tcPr>
                <w:tcW w:w="3170" w:type="pct"/>
                <w:noWrap/>
                <w:vAlign w:val="center"/>
                <w:hideMark/>
              </w:tcPr>
              <w:p w14:paraId="7ADF751D" w14:textId="77777777" w:rsidR="001D630B" w:rsidRPr="00AF2003" w:rsidRDefault="001D630B" w:rsidP="00D004C1">
                <w:pPr>
                  <w:jc w:val="both"/>
                  <w:rPr>
                    <w:color w:val="000000"/>
                    <w:sz w:val="20"/>
                  </w:rPr>
                </w:pPr>
                <w:r w:rsidRPr="6875B2D2">
                  <w:rPr>
                    <w:color w:val="000000" w:themeColor="text1"/>
                    <w:sz w:val="20"/>
                  </w:rPr>
                  <w:t>29.  Shërbimet e lidhura me shëndetësinë</w:t>
                </w:r>
              </w:p>
            </w:tc>
          </w:tr>
          <w:tr w:rsidR="001D630B" w:rsidRPr="005F6CA7" w14:paraId="6265D742" w14:textId="77777777" w:rsidTr="00BA2584">
            <w:trPr>
              <w:trHeight w:val="310"/>
            </w:trPr>
            <w:tc>
              <w:tcPr>
                <w:tcW w:w="1830" w:type="pct"/>
                <w:noWrap/>
                <w:vAlign w:val="center"/>
                <w:hideMark/>
              </w:tcPr>
              <w:p w14:paraId="3DF8C042" w14:textId="77777777" w:rsidR="001D630B" w:rsidRPr="005F6CA7" w:rsidRDefault="001D630B" w:rsidP="00D004C1">
                <w:pPr>
                  <w:jc w:val="both"/>
                  <w:rPr>
                    <w:color w:val="000000"/>
                    <w:sz w:val="20"/>
                  </w:rPr>
                </w:pPr>
                <w:r w:rsidRPr="6875B2D2">
                  <w:rPr>
                    <w:color w:val="000000" w:themeColor="text1"/>
                    <w:sz w:val="20"/>
                  </w:rPr>
                  <w:t>9.     Përkthyesit e licencuar</w:t>
                </w:r>
              </w:p>
            </w:tc>
            <w:tc>
              <w:tcPr>
                <w:tcW w:w="3170" w:type="pct"/>
                <w:noWrap/>
                <w:vAlign w:val="center"/>
                <w:hideMark/>
              </w:tcPr>
              <w:p w14:paraId="0AF48A2F" w14:textId="77777777" w:rsidR="001D630B" w:rsidRPr="005F6CA7" w:rsidRDefault="001D630B" w:rsidP="00D004C1">
                <w:pPr>
                  <w:jc w:val="both"/>
                  <w:rPr>
                    <w:color w:val="000000"/>
                    <w:sz w:val="20"/>
                  </w:rPr>
                </w:pPr>
                <w:r w:rsidRPr="6875B2D2">
                  <w:rPr>
                    <w:color w:val="000000" w:themeColor="text1"/>
                    <w:sz w:val="20"/>
                  </w:rPr>
                  <w:t>30.  Shërbimet private dhe profesionet e kujdesit shoqëror</w:t>
                </w:r>
              </w:p>
            </w:tc>
          </w:tr>
          <w:tr w:rsidR="001D630B" w:rsidRPr="005F6CA7" w14:paraId="70D8ED49" w14:textId="77777777" w:rsidTr="00BA2584">
            <w:trPr>
              <w:trHeight w:val="310"/>
            </w:trPr>
            <w:tc>
              <w:tcPr>
                <w:tcW w:w="1830" w:type="pct"/>
                <w:noWrap/>
                <w:vAlign w:val="center"/>
                <w:hideMark/>
              </w:tcPr>
              <w:p w14:paraId="77FFE2EE" w14:textId="77777777" w:rsidR="001D630B" w:rsidRPr="003647B0" w:rsidRDefault="001D630B" w:rsidP="00D004C1">
                <w:pPr>
                  <w:jc w:val="both"/>
                  <w:rPr>
                    <w:color w:val="000000"/>
                    <w:sz w:val="20"/>
                  </w:rPr>
                </w:pPr>
                <w:r w:rsidRPr="6875B2D2">
                  <w:rPr>
                    <w:color w:val="000000" w:themeColor="text1"/>
                    <w:sz w:val="20"/>
                  </w:rPr>
                  <w:t>10.  Ndërmjetësit e Pasurive të Paluajtshme</w:t>
                </w:r>
              </w:p>
            </w:tc>
            <w:tc>
              <w:tcPr>
                <w:tcW w:w="3170" w:type="pct"/>
                <w:noWrap/>
                <w:vAlign w:val="center"/>
                <w:hideMark/>
              </w:tcPr>
              <w:p w14:paraId="2EB1AA24" w14:textId="77777777" w:rsidR="001D630B" w:rsidRPr="005F6CA7" w:rsidRDefault="001D630B" w:rsidP="00D004C1">
                <w:pPr>
                  <w:jc w:val="both"/>
                  <w:rPr>
                    <w:color w:val="000000"/>
                    <w:sz w:val="20"/>
                  </w:rPr>
                </w:pPr>
                <w:r w:rsidRPr="6875B2D2">
                  <w:rPr>
                    <w:color w:val="000000" w:themeColor="text1"/>
                    <w:sz w:val="20"/>
                  </w:rPr>
                  <w:t>-       Psikologët</w:t>
                </w:r>
              </w:p>
            </w:tc>
          </w:tr>
          <w:tr w:rsidR="001D630B" w:rsidRPr="005F6CA7" w14:paraId="78B8C310" w14:textId="77777777" w:rsidTr="00BA2584">
            <w:trPr>
              <w:trHeight w:val="310"/>
            </w:trPr>
            <w:tc>
              <w:tcPr>
                <w:tcW w:w="1830" w:type="pct"/>
                <w:noWrap/>
                <w:vAlign w:val="center"/>
                <w:hideMark/>
              </w:tcPr>
              <w:p w14:paraId="4D13EAED" w14:textId="77777777" w:rsidR="001D630B" w:rsidRPr="005F6CA7" w:rsidRDefault="001D630B" w:rsidP="00D004C1">
                <w:pPr>
                  <w:jc w:val="both"/>
                  <w:rPr>
                    <w:color w:val="000000"/>
                    <w:sz w:val="20"/>
                  </w:rPr>
                </w:pPr>
                <w:r w:rsidRPr="6875B2D2">
                  <w:rPr>
                    <w:color w:val="000000" w:themeColor="text1"/>
                    <w:sz w:val="20"/>
                  </w:rPr>
                  <w:t>11.  Zejtaria</w:t>
                </w:r>
              </w:p>
            </w:tc>
            <w:tc>
              <w:tcPr>
                <w:tcW w:w="3170" w:type="pct"/>
                <w:noWrap/>
                <w:vAlign w:val="center"/>
                <w:hideMark/>
              </w:tcPr>
              <w:p w14:paraId="10286509" w14:textId="77777777" w:rsidR="001D630B" w:rsidRPr="005F6CA7" w:rsidRDefault="001D630B" w:rsidP="00D004C1">
                <w:pPr>
                  <w:jc w:val="both"/>
                  <w:rPr>
                    <w:color w:val="000000"/>
                    <w:sz w:val="20"/>
                  </w:rPr>
                </w:pPr>
                <w:r w:rsidRPr="6875B2D2">
                  <w:rPr>
                    <w:color w:val="000000" w:themeColor="text1"/>
                    <w:sz w:val="20"/>
                  </w:rPr>
                  <w:t>-       Punonjësit social</w:t>
                </w:r>
              </w:p>
            </w:tc>
          </w:tr>
          <w:tr w:rsidR="001D630B" w:rsidRPr="005F6CA7" w14:paraId="48A04699" w14:textId="77777777" w:rsidTr="00BA2584">
            <w:trPr>
              <w:trHeight w:val="310"/>
            </w:trPr>
            <w:tc>
              <w:tcPr>
                <w:tcW w:w="1830" w:type="pct"/>
                <w:noWrap/>
                <w:vAlign w:val="center"/>
                <w:hideMark/>
              </w:tcPr>
              <w:p w14:paraId="632030E0" w14:textId="77777777" w:rsidR="001D630B" w:rsidRPr="003647B0" w:rsidRDefault="001D630B" w:rsidP="00D004C1">
                <w:pPr>
                  <w:jc w:val="both"/>
                  <w:rPr>
                    <w:color w:val="000000"/>
                    <w:sz w:val="20"/>
                  </w:rPr>
                </w:pPr>
                <w:r w:rsidRPr="6875B2D2">
                  <w:rPr>
                    <w:color w:val="000000" w:themeColor="text1"/>
                    <w:sz w:val="20"/>
                  </w:rPr>
                  <w:t>12.  Shërbimet e agjentëve/agjencive doganore</w:t>
                </w:r>
              </w:p>
            </w:tc>
            <w:tc>
              <w:tcPr>
                <w:tcW w:w="3170" w:type="pct"/>
                <w:noWrap/>
                <w:vAlign w:val="center"/>
                <w:hideMark/>
              </w:tcPr>
              <w:p w14:paraId="64FFE926" w14:textId="77777777" w:rsidR="001D630B" w:rsidRPr="003647B0" w:rsidRDefault="001D630B" w:rsidP="00D004C1">
                <w:pPr>
                  <w:jc w:val="both"/>
                  <w:rPr>
                    <w:color w:val="000000"/>
                    <w:sz w:val="20"/>
                  </w:rPr>
                </w:pPr>
                <w:r w:rsidRPr="6875B2D2">
                  <w:rPr>
                    <w:color w:val="000000" w:themeColor="text1"/>
                    <w:sz w:val="20"/>
                  </w:rPr>
                  <w:t>31.  Shërbimet e lidhura me mbrojtjen civile</w:t>
                </w:r>
              </w:p>
            </w:tc>
          </w:tr>
          <w:tr w:rsidR="001D630B" w:rsidRPr="005F6CA7" w14:paraId="01A5E23D" w14:textId="77777777" w:rsidTr="00BA2584">
            <w:trPr>
              <w:trHeight w:val="310"/>
            </w:trPr>
            <w:tc>
              <w:tcPr>
                <w:tcW w:w="1830" w:type="pct"/>
                <w:noWrap/>
                <w:vAlign w:val="center"/>
                <w:hideMark/>
              </w:tcPr>
              <w:p w14:paraId="47C135B8" w14:textId="77777777" w:rsidR="001D630B" w:rsidRPr="005F6CA7" w:rsidRDefault="001D630B" w:rsidP="00D004C1">
                <w:pPr>
                  <w:jc w:val="both"/>
                  <w:rPr>
                    <w:color w:val="000000"/>
                    <w:sz w:val="20"/>
                  </w:rPr>
                </w:pPr>
                <w:r w:rsidRPr="6875B2D2">
                  <w:rPr>
                    <w:color w:val="000000" w:themeColor="text1"/>
                    <w:sz w:val="20"/>
                  </w:rPr>
                  <w:t>13.  Profesionet financiare</w:t>
                </w:r>
              </w:p>
            </w:tc>
            <w:tc>
              <w:tcPr>
                <w:tcW w:w="3170" w:type="pct"/>
                <w:noWrap/>
                <w:vAlign w:val="center"/>
                <w:hideMark/>
              </w:tcPr>
              <w:p w14:paraId="5A36C163" w14:textId="77777777" w:rsidR="001D630B" w:rsidRPr="005F6CA7" w:rsidRDefault="001D630B" w:rsidP="00D004C1">
                <w:pPr>
                  <w:jc w:val="both"/>
                  <w:rPr>
                    <w:color w:val="000000"/>
                    <w:sz w:val="20"/>
                  </w:rPr>
                </w:pPr>
                <w:r w:rsidRPr="6875B2D2">
                  <w:rPr>
                    <w:color w:val="000000" w:themeColor="text1"/>
                    <w:sz w:val="20"/>
                  </w:rPr>
                  <w:t>32.  Shërbimet private të sigurisë fizike</w:t>
                </w:r>
              </w:p>
            </w:tc>
          </w:tr>
          <w:tr w:rsidR="001D630B" w:rsidRPr="005F6CA7" w14:paraId="0B76D115" w14:textId="77777777" w:rsidTr="00BA2584">
            <w:trPr>
              <w:trHeight w:val="310"/>
            </w:trPr>
            <w:tc>
              <w:tcPr>
                <w:tcW w:w="1830" w:type="pct"/>
                <w:noWrap/>
                <w:vAlign w:val="center"/>
                <w:hideMark/>
              </w:tcPr>
              <w:p w14:paraId="53E4E785" w14:textId="77777777" w:rsidR="001D630B" w:rsidRPr="005F6CA7" w:rsidRDefault="001D630B" w:rsidP="00D004C1">
                <w:pPr>
                  <w:jc w:val="both"/>
                  <w:rPr>
                    <w:color w:val="000000"/>
                    <w:sz w:val="20"/>
                  </w:rPr>
                </w:pPr>
                <w:r w:rsidRPr="6875B2D2">
                  <w:rPr>
                    <w:color w:val="000000" w:themeColor="text1"/>
                    <w:sz w:val="20"/>
                  </w:rPr>
                  <w:t>- Auditues dhe Kontabilist</w:t>
                </w:r>
              </w:p>
            </w:tc>
            <w:tc>
              <w:tcPr>
                <w:tcW w:w="3170" w:type="pct"/>
                <w:noWrap/>
                <w:vAlign w:val="center"/>
                <w:hideMark/>
              </w:tcPr>
              <w:p w14:paraId="0F92BD5A" w14:textId="77777777" w:rsidR="001D630B" w:rsidRPr="005F6CA7" w:rsidRDefault="001D630B" w:rsidP="00D004C1">
                <w:pPr>
                  <w:jc w:val="both"/>
                  <w:rPr>
                    <w:color w:val="000000"/>
                    <w:sz w:val="20"/>
                  </w:rPr>
                </w:pPr>
                <w:r w:rsidRPr="6875B2D2">
                  <w:rPr>
                    <w:color w:val="000000" w:themeColor="text1"/>
                    <w:sz w:val="20"/>
                  </w:rPr>
                  <w:t>33.  Të drejtat e autorit</w:t>
                </w:r>
              </w:p>
            </w:tc>
          </w:tr>
          <w:tr w:rsidR="001D630B" w:rsidRPr="005F6CA7" w14:paraId="143C0390" w14:textId="77777777" w:rsidTr="00BA2584">
            <w:trPr>
              <w:trHeight w:val="310"/>
            </w:trPr>
            <w:tc>
              <w:tcPr>
                <w:tcW w:w="1830" w:type="pct"/>
                <w:noWrap/>
                <w:vAlign w:val="center"/>
                <w:hideMark/>
              </w:tcPr>
              <w:p w14:paraId="683FCC9F" w14:textId="77777777" w:rsidR="001D630B" w:rsidRPr="005F6CA7" w:rsidRDefault="001D630B" w:rsidP="00D004C1">
                <w:pPr>
                  <w:jc w:val="both"/>
                  <w:rPr>
                    <w:color w:val="000000"/>
                    <w:sz w:val="20"/>
                  </w:rPr>
                </w:pPr>
                <w:r w:rsidRPr="6875B2D2">
                  <w:rPr>
                    <w:color w:val="000000" w:themeColor="text1"/>
                    <w:sz w:val="20"/>
                  </w:rPr>
                  <w:t>14.  Shërbimet e Pronësisë Industriale</w:t>
                </w:r>
              </w:p>
            </w:tc>
            <w:tc>
              <w:tcPr>
                <w:tcW w:w="3170" w:type="pct"/>
                <w:noWrap/>
                <w:vAlign w:val="center"/>
                <w:hideMark/>
              </w:tcPr>
              <w:p w14:paraId="7299E03A" w14:textId="77777777" w:rsidR="001D630B" w:rsidRPr="003647B0" w:rsidRDefault="001D630B" w:rsidP="00D004C1">
                <w:pPr>
                  <w:jc w:val="both"/>
                  <w:rPr>
                    <w:color w:val="000000"/>
                    <w:sz w:val="20"/>
                  </w:rPr>
                </w:pPr>
                <w:r w:rsidRPr="6875B2D2">
                  <w:rPr>
                    <w:color w:val="000000" w:themeColor="text1"/>
                    <w:sz w:val="20"/>
                  </w:rPr>
                  <w:t>34.  Art, Kulturë dhe Trashëgimi Kulturore</w:t>
                </w:r>
              </w:p>
            </w:tc>
          </w:tr>
          <w:tr w:rsidR="001D630B" w:rsidRPr="005F6CA7" w14:paraId="51FCECDC" w14:textId="77777777" w:rsidTr="00BA2584">
            <w:trPr>
              <w:trHeight w:val="310"/>
            </w:trPr>
            <w:tc>
              <w:tcPr>
                <w:tcW w:w="1830" w:type="pct"/>
                <w:noWrap/>
                <w:vAlign w:val="center"/>
                <w:hideMark/>
              </w:tcPr>
              <w:p w14:paraId="5D6173C4" w14:textId="77777777" w:rsidR="001D630B" w:rsidRPr="005F6CA7" w:rsidRDefault="001D630B" w:rsidP="00D004C1">
                <w:pPr>
                  <w:jc w:val="both"/>
                  <w:rPr>
                    <w:color w:val="000000"/>
                    <w:sz w:val="20"/>
                  </w:rPr>
                </w:pPr>
                <w:r w:rsidRPr="6875B2D2">
                  <w:rPr>
                    <w:color w:val="000000" w:themeColor="text1"/>
                    <w:sz w:val="20"/>
                  </w:rPr>
                  <w:t>15.  Shërbimet tatimore</w:t>
                </w:r>
              </w:p>
            </w:tc>
            <w:tc>
              <w:tcPr>
                <w:tcW w:w="3170" w:type="pct"/>
                <w:noWrap/>
                <w:vAlign w:val="center"/>
                <w:hideMark/>
              </w:tcPr>
              <w:p w14:paraId="7EA318D7" w14:textId="77777777" w:rsidR="001D630B" w:rsidRPr="005F6CA7" w:rsidRDefault="001D630B" w:rsidP="00D004C1">
                <w:pPr>
                  <w:jc w:val="both"/>
                  <w:rPr>
                    <w:color w:val="000000"/>
                    <w:sz w:val="20"/>
                  </w:rPr>
                </w:pPr>
                <w:r w:rsidRPr="6875B2D2">
                  <w:rPr>
                    <w:color w:val="000000" w:themeColor="text1"/>
                    <w:sz w:val="20"/>
                  </w:rPr>
                  <w:t xml:space="preserve">35.  Arsimi </w:t>
                </w:r>
              </w:p>
            </w:tc>
          </w:tr>
          <w:tr w:rsidR="001D630B" w:rsidRPr="005F6CA7" w14:paraId="2788A5B5" w14:textId="77777777" w:rsidTr="00BA2584">
            <w:trPr>
              <w:trHeight w:val="310"/>
            </w:trPr>
            <w:tc>
              <w:tcPr>
                <w:tcW w:w="1830" w:type="pct"/>
                <w:noWrap/>
                <w:vAlign w:val="center"/>
                <w:hideMark/>
              </w:tcPr>
              <w:p w14:paraId="6F179E64" w14:textId="77777777" w:rsidR="001D630B" w:rsidRPr="00AF2003" w:rsidRDefault="001D630B" w:rsidP="00D004C1">
                <w:pPr>
                  <w:jc w:val="both"/>
                  <w:rPr>
                    <w:color w:val="000000"/>
                    <w:sz w:val="20"/>
                  </w:rPr>
                </w:pPr>
                <w:r w:rsidRPr="6875B2D2">
                  <w:rPr>
                    <w:color w:val="000000" w:themeColor="text1"/>
                    <w:sz w:val="20"/>
                  </w:rPr>
                  <w:t>16.  Shërbimet e lidhura me lojërat e fatit</w:t>
                </w:r>
              </w:p>
            </w:tc>
            <w:tc>
              <w:tcPr>
                <w:tcW w:w="3170" w:type="pct"/>
                <w:noWrap/>
                <w:vAlign w:val="center"/>
                <w:hideMark/>
              </w:tcPr>
              <w:p w14:paraId="782466CC" w14:textId="77777777" w:rsidR="001D630B" w:rsidRPr="005F6CA7" w:rsidRDefault="001D630B" w:rsidP="00D004C1">
                <w:pPr>
                  <w:jc w:val="both"/>
                  <w:rPr>
                    <w:color w:val="000000"/>
                    <w:sz w:val="20"/>
                  </w:rPr>
                </w:pPr>
                <w:r w:rsidRPr="6875B2D2">
                  <w:rPr>
                    <w:color w:val="000000" w:themeColor="text1"/>
                    <w:sz w:val="20"/>
                  </w:rPr>
                  <w:t>-       Arsimi Parauniversitar</w:t>
                </w:r>
              </w:p>
            </w:tc>
          </w:tr>
          <w:tr w:rsidR="001D630B" w:rsidRPr="005F6CA7" w14:paraId="16C3D5A8" w14:textId="77777777" w:rsidTr="00BA2584">
            <w:trPr>
              <w:trHeight w:val="310"/>
            </w:trPr>
            <w:tc>
              <w:tcPr>
                <w:tcW w:w="1830" w:type="pct"/>
                <w:noWrap/>
                <w:vAlign w:val="center"/>
                <w:hideMark/>
              </w:tcPr>
              <w:p w14:paraId="4049E580" w14:textId="77777777" w:rsidR="001D630B" w:rsidRPr="003647B0" w:rsidRDefault="001D630B" w:rsidP="00D004C1">
                <w:pPr>
                  <w:jc w:val="both"/>
                  <w:rPr>
                    <w:color w:val="000000"/>
                    <w:sz w:val="20"/>
                  </w:rPr>
                </w:pPr>
                <w:r w:rsidRPr="6875B2D2">
                  <w:rPr>
                    <w:color w:val="000000" w:themeColor="text1"/>
                    <w:sz w:val="20"/>
                  </w:rPr>
                  <w:t>17.  Ndërmjetësim në Tregun e Punës</w:t>
                </w:r>
              </w:p>
            </w:tc>
            <w:tc>
              <w:tcPr>
                <w:tcW w:w="3170" w:type="pct"/>
                <w:noWrap/>
                <w:vAlign w:val="center"/>
                <w:hideMark/>
              </w:tcPr>
              <w:p w14:paraId="6DF623AF" w14:textId="77777777" w:rsidR="001D630B" w:rsidRPr="005F6CA7" w:rsidRDefault="001D630B" w:rsidP="00D004C1">
                <w:pPr>
                  <w:jc w:val="both"/>
                  <w:rPr>
                    <w:color w:val="000000"/>
                    <w:sz w:val="20"/>
                  </w:rPr>
                </w:pPr>
                <w:r w:rsidRPr="6875B2D2">
                  <w:rPr>
                    <w:color w:val="000000" w:themeColor="text1"/>
                    <w:sz w:val="20"/>
                  </w:rPr>
                  <w:t>-       Arsimi i Lartë</w:t>
                </w:r>
              </w:p>
            </w:tc>
          </w:tr>
          <w:tr w:rsidR="001D630B" w:rsidRPr="005F6CA7" w14:paraId="687E67F9" w14:textId="77777777" w:rsidTr="00BA2584">
            <w:trPr>
              <w:trHeight w:val="310"/>
            </w:trPr>
            <w:tc>
              <w:tcPr>
                <w:tcW w:w="1830" w:type="pct"/>
                <w:noWrap/>
                <w:vAlign w:val="center"/>
                <w:hideMark/>
              </w:tcPr>
              <w:p w14:paraId="71E842DA" w14:textId="77777777" w:rsidR="001D630B" w:rsidRPr="005F6CA7" w:rsidRDefault="001D630B" w:rsidP="00D004C1">
                <w:pPr>
                  <w:jc w:val="both"/>
                  <w:rPr>
                    <w:color w:val="000000"/>
                    <w:sz w:val="20"/>
                  </w:rPr>
                </w:pPr>
                <w:r w:rsidRPr="6875B2D2">
                  <w:rPr>
                    <w:color w:val="000000" w:themeColor="text1"/>
                    <w:sz w:val="20"/>
                  </w:rPr>
                  <w:t>18.  Infrastruktura e Cilësisë</w:t>
                </w:r>
              </w:p>
            </w:tc>
            <w:tc>
              <w:tcPr>
                <w:tcW w:w="3170" w:type="pct"/>
                <w:noWrap/>
                <w:vAlign w:val="center"/>
                <w:hideMark/>
              </w:tcPr>
              <w:p w14:paraId="7659A791" w14:textId="77777777" w:rsidR="001D630B" w:rsidRPr="005F6CA7" w:rsidRDefault="001D630B" w:rsidP="00D004C1">
                <w:pPr>
                  <w:jc w:val="both"/>
                  <w:rPr>
                    <w:color w:val="000000"/>
                    <w:sz w:val="20"/>
                  </w:rPr>
                </w:pPr>
                <w:r w:rsidRPr="6875B2D2">
                  <w:rPr>
                    <w:color w:val="000000" w:themeColor="text1"/>
                    <w:sz w:val="20"/>
                  </w:rPr>
                  <w:t>36.  Sporte</w:t>
                </w:r>
              </w:p>
            </w:tc>
          </w:tr>
          <w:tr w:rsidR="001D630B" w:rsidRPr="005F6CA7" w14:paraId="6F4F308F" w14:textId="77777777" w:rsidTr="00BA2584">
            <w:trPr>
              <w:trHeight w:val="310"/>
            </w:trPr>
            <w:tc>
              <w:tcPr>
                <w:tcW w:w="1830" w:type="pct"/>
                <w:noWrap/>
                <w:vAlign w:val="center"/>
                <w:hideMark/>
              </w:tcPr>
              <w:p w14:paraId="5467B6DD" w14:textId="77777777" w:rsidR="001D630B" w:rsidRPr="005F6CA7" w:rsidRDefault="001D630B" w:rsidP="00D004C1">
                <w:pPr>
                  <w:jc w:val="both"/>
                  <w:rPr>
                    <w:color w:val="000000"/>
                    <w:sz w:val="20"/>
                  </w:rPr>
                </w:pPr>
                <w:r w:rsidRPr="6875B2D2">
                  <w:rPr>
                    <w:color w:val="000000" w:themeColor="text1"/>
                    <w:sz w:val="20"/>
                  </w:rPr>
                  <w:t>- Metrologji</w:t>
                </w:r>
              </w:p>
            </w:tc>
            <w:tc>
              <w:tcPr>
                <w:tcW w:w="3170" w:type="pct"/>
                <w:noWrap/>
                <w:vAlign w:val="center"/>
                <w:hideMark/>
              </w:tcPr>
              <w:p w14:paraId="29DF1C58" w14:textId="77777777" w:rsidR="001D630B" w:rsidRPr="00AF2003" w:rsidRDefault="001D630B" w:rsidP="00D004C1">
                <w:pPr>
                  <w:jc w:val="both"/>
                  <w:rPr>
                    <w:color w:val="000000"/>
                    <w:sz w:val="20"/>
                  </w:rPr>
                </w:pPr>
                <w:r w:rsidRPr="6875B2D2">
                  <w:rPr>
                    <w:color w:val="000000" w:themeColor="text1"/>
                    <w:sz w:val="20"/>
                  </w:rPr>
                  <w:t>37.  Shërbimet e lidhura me mediat audio-vizive</w:t>
                </w:r>
              </w:p>
            </w:tc>
          </w:tr>
          <w:tr w:rsidR="001D630B" w:rsidRPr="005F6CA7" w14:paraId="0B821274" w14:textId="77777777" w:rsidTr="00BA2584">
            <w:trPr>
              <w:trHeight w:val="310"/>
            </w:trPr>
            <w:tc>
              <w:tcPr>
                <w:tcW w:w="1830" w:type="pct"/>
                <w:noWrap/>
                <w:vAlign w:val="center"/>
                <w:hideMark/>
              </w:tcPr>
              <w:p w14:paraId="4C06E0EC" w14:textId="77777777" w:rsidR="001D630B" w:rsidRPr="005F6CA7" w:rsidRDefault="001D630B" w:rsidP="00D004C1">
                <w:pPr>
                  <w:jc w:val="both"/>
                  <w:rPr>
                    <w:color w:val="000000"/>
                    <w:sz w:val="20"/>
                  </w:rPr>
                </w:pPr>
                <w:r w:rsidRPr="6875B2D2">
                  <w:rPr>
                    <w:color w:val="000000" w:themeColor="text1"/>
                    <w:sz w:val="20"/>
                  </w:rPr>
                  <w:t>- Akreditim</w:t>
                </w:r>
              </w:p>
            </w:tc>
            <w:tc>
              <w:tcPr>
                <w:tcW w:w="3170" w:type="pct"/>
                <w:noWrap/>
                <w:vAlign w:val="center"/>
                <w:hideMark/>
              </w:tcPr>
              <w:p w14:paraId="3EEFAB0E" w14:textId="77777777" w:rsidR="001D630B" w:rsidRPr="003647B0" w:rsidRDefault="001D630B" w:rsidP="00D004C1">
                <w:pPr>
                  <w:jc w:val="both"/>
                  <w:rPr>
                    <w:color w:val="000000"/>
                    <w:sz w:val="20"/>
                  </w:rPr>
                </w:pPr>
                <w:r w:rsidRPr="6875B2D2">
                  <w:rPr>
                    <w:color w:val="000000" w:themeColor="text1"/>
                    <w:sz w:val="20"/>
                  </w:rPr>
                  <w:t>38.  Shërbimet e lidhura me shërbimet financiare dhe bankare</w:t>
                </w:r>
              </w:p>
            </w:tc>
          </w:tr>
          <w:tr w:rsidR="001D630B" w:rsidRPr="005F6CA7" w14:paraId="2725EEA6" w14:textId="77777777" w:rsidTr="00BA2584">
            <w:trPr>
              <w:trHeight w:val="310"/>
            </w:trPr>
            <w:tc>
              <w:tcPr>
                <w:tcW w:w="1830" w:type="pct"/>
                <w:noWrap/>
                <w:vAlign w:val="center"/>
                <w:hideMark/>
              </w:tcPr>
              <w:p w14:paraId="180AA1DE" w14:textId="77777777" w:rsidR="001D630B" w:rsidRPr="005F6CA7" w:rsidRDefault="001D630B" w:rsidP="00D004C1">
                <w:pPr>
                  <w:jc w:val="both"/>
                  <w:rPr>
                    <w:color w:val="000000"/>
                    <w:sz w:val="20"/>
                  </w:rPr>
                </w:pPr>
                <w:r w:rsidRPr="6875B2D2">
                  <w:rPr>
                    <w:color w:val="000000" w:themeColor="text1"/>
                    <w:sz w:val="20"/>
                  </w:rPr>
                  <w:t>- Vlerësim i Përputhshmërisë</w:t>
                </w:r>
              </w:p>
            </w:tc>
            <w:tc>
              <w:tcPr>
                <w:tcW w:w="3170" w:type="pct"/>
                <w:noWrap/>
                <w:vAlign w:val="center"/>
                <w:hideMark/>
              </w:tcPr>
              <w:p w14:paraId="6AF07E30" w14:textId="77777777" w:rsidR="001D630B" w:rsidRPr="005F6CA7" w:rsidRDefault="001D630B" w:rsidP="00D004C1">
                <w:pPr>
                  <w:jc w:val="both"/>
                  <w:rPr>
                    <w:color w:val="000000"/>
                    <w:sz w:val="20"/>
                  </w:rPr>
                </w:pPr>
                <w:r w:rsidRPr="6875B2D2">
                  <w:rPr>
                    <w:color w:val="000000" w:themeColor="text1"/>
                    <w:sz w:val="20"/>
                  </w:rPr>
                  <w:t>-       Ndërmjetës në sigurime/risigurime</w:t>
                </w:r>
              </w:p>
            </w:tc>
          </w:tr>
          <w:tr w:rsidR="001D630B" w:rsidRPr="005F6CA7" w14:paraId="7210035C" w14:textId="77777777" w:rsidTr="00BA2584">
            <w:trPr>
              <w:trHeight w:val="310"/>
            </w:trPr>
            <w:tc>
              <w:tcPr>
                <w:tcW w:w="1830" w:type="pct"/>
                <w:noWrap/>
                <w:vAlign w:val="center"/>
                <w:hideMark/>
              </w:tcPr>
              <w:p w14:paraId="75412FD7" w14:textId="77777777" w:rsidR="001D630B" w:rsidRPr="005F6CA7" w:rsidRDefault="001D630B" w:rsidP="00D004C1">
                <w:pPr>
                  <w:jc w:val="both"/>
                  <w:rPr>
                    <w:color w:val="000000"/>
                    <w:sz w:val="20"/>
                  </w:rPr>
                </w:pPr>
                <w:r w:rsidRPr="6875B2D2">
                  <w:rPr>
                    <w:color w:val="000000" w:themeColor="text1"/>
                    <w:sz w:val="20"/>
                  </w:rPr>
                  <w:t xml:space="preserve">19.  Arsim dhe Aftësim Profesional </w:t>
                </w:r>
              </w:p>
            </w:tc>
            <w:tc>
              <w:tcPr>
                <w:tcW w:w="3170" w:type="pct"/>
                <w:noWrap/>
                <w:vAlign w:val="center"/>
                <w:hideMark/>
              </w:tcPr>
              <w:p w14:paraId="60D54DA1" w14:textId="77777777" w:rsidR="001D630B" w:rsidRPr="005F6CA7" w:rsidRDefault="001D630B" w:rsidP="00D004C1">
                <w:pPr>
                  <w:jc w:val="both"/>
                  <w:rPr>
                    <w:color w:val="000000"/>
                    <w:sz w:val="20"/>
                  </w:rPr>
                </w:pPr>
                <w:r w:rsidRPr="6875B2D2">
                  <w:rPr>
                    <w:color w:val="000000" w:themeColor="text1"/>
                    <w:sz w:val="20"/>
                  </w:rPr>
                  <w:t>-       Agjentët e sigurimeve</w:t>
                </w:r>
              </w:p>
            </w:tc>
          </w:tr>
          <w:tr w:rsidR="001D630B" w:rsidRPr="005F6CA7" w14:paraId="469DA7B5" w14:textId="77777777" w:rsidTr="00BA2584">
            <w:trPr>
              <w:trHeight w:val="310"/>
            </w:trPr>
            <w:tc>
              <w:tcPr>
                <w:tcW w:w="1830" w:type="pct"/>
                <w:noWrap/>
                <w:vAlign w:val="center"/>
                <w:hideMark/>
              </w:tcPr>
              <w:p w14:paraId="6B5DD382" w14:textId="77777777" w:rsidR="001D630B" w:rsidRPr="005F6CA7" w:rsidRDefault="001D630B" w:rsidP="00D004C1">
                <w:pPr>
                  <w:jc w:val="both"/>
                  <w:rPr>
                    <w:color w:val="000000"/>
                    <w:sz w:val="20"/>
                  </w:rPr>
                </w:pPr>
                <w:r w:rsidRPr="6875B2D2">
                  <w:rPr>
                    <w:color w:val="000000" w:themeColor="text1"/>
                    <w:sz w:val="20"/>
                  </w:rPr>
                  <w:t>20.  Turizëm</w:t>
                </w:r>
              </w:p>
            </w:tc>
            <w:tc>
              <w:tcPr>
                <w:tcW w:w="3170" w:type="pct"/>
                <w:noWrap/>
                <w:vAlign w:val="center"/>
                <w:hideMark/>
              </w:tcPr>
              <w:p w14:paraId="0988226F" w14:textId="77777777" w:rsidR="001D630B" w:rsidRPr="003647B0" w:rsidRDefault="001D630B" w:rsidP="00D004C1">
                <w:pPr>
                  <w:jc w:val="both"/>
                  <w:rPr>
                    <w:color w:val="000000"/>
                    <w:sz w:val="20"/>
                  </w:rPr>
                </w:pPr>
                <w:r w:rsidRPr="6875B2D2">
                  <w:rPr>
                    <w:color w:val="000000" w:themeColor="text1"/>
                    <w:sz w:val="20"/>
                  </w:rPr>
                  <w:t>-       Trajtimi i Ankesave të Konsumatorit</w:t>
                </w:r>
              </w:p>
            </w:tc>
          </w:tr>
          <w:tr w:rsidR="001D630B" w:rsidRPr="005F6CA7" w14:paraId="065EFCB6" w14:textId="77777777" w:rsidTr="00BA2584">
            <w:trPr>
              <w:trHeight w:val="310"/>
            </w:trPr>
            <w:tc>
              <w:tcPr>
                <w:tcW w:w="1830" w:type="pct"/>
                <w:noWrap/>
                <w:vAlign w:val="center"/>
                <w:hideMark/>
              </w:tcPr>
              <w:p w14:paraId="2937AB1D" w14:textId="77777777" w:rsidR="001D630B" w:rsidRPr="005F6CA7" w:rsidRDefault="001D630B" w:rsidP="00D004C1">
                <w:pPr>
                  <w:jc w:val="both"/>
                  <w:rPr>
                    <w:color w:val="000000"/>
                    <w:sz w:val="20"/>
                  </w:rPr>
                </w:pPr>
                <w:r w:rsidRPr="6875B2D2">
                  <w:rPr>
                    <w:color w:val="000000" w:themeColor="text1"/>
                    <w:sz w:val="20"/>
                  </w:rPr>
                  <w:t>21.  Mjedis</w:t>
                </w:r>
              </w:p>
            </w:tc>
            <w:tc>
              <w:tcPr>
                <w:tcW w:w="3170" w:type="pct"/>
                <w:noWrap/>
                <w:vAlign w:val="center"/>
                <w:hideMark/>
              </w:tcPr>
              <w:p w14:paraId="57AC41A3" w14:textId="77777777" w:rsidR="001D630B" w:rsidRPr="005F6CA7" w:rsidRDefault="001D630B" w:rsidP="00D004C1">
                <w:pPr>
                  <w:jc w:val="both"/>
                  <w:rPr>
                    <w:color w:val="000000"/>
                    <w:sz w:val="20"/>
                  </w:rPr>
                </w:pPr>
                <w:r w:rsidRPr="6875B2D2">
                  <w:rPr>
                    <w:color w:val="000000" w:themeColor="text1"/>
                    <w:sz w:val="20"/>
                  </w:rPr>
                  <w:t>-       Likuiduesi bankar</w:t>
                </w:r>
              </w:p>
            </w:tc>
          </w:tr>
          <w:tr w:rsidR="001D630B" w:rsidRPr="005F6CA7" w14:paraId="74CFB295" w14:textId="77777777" w:rsidTr="00BA2584">
            <w:trPr>
              <w:trHeight w:val="310"/>
            </w:trPr>
            <w:tc>
              <w:tcPr>
                <w:tcW w:w="1830" w:type="pct"/>
                <w:noWrap/>
                <w:vAlign w:val="center"/>
                <w:hideMark/>
              </w:tcPr>
              <w:p w14:paraId="05117437" w14:textId="77777777" w:rsidR="001D630B" w:rsidRPr="005F6CA7" w:rsidRDefault="001D630B" w:rsidP="00D004C1">
                <w:pPr>
                  <w:jc w:val="both"/>
                  <w:rPr>
                    <w:color w:val="000000"/>
                    <w:sz w:val="20"/>
                  </w:rPr>
                </w:pPr>
                <w:r w:rsidRPr="6875B2D2">
                  <w:rPr>
                    <w:color w:val="000000" w:themeColor="text1"/>
                    <w:sz w:val="20"/>
                  </w:rPr>
                  <w:t>-       Cilësi mjedisi</w:t>
                </w:r>
              </w:p>
            </w:tc>
            <w:tc>
              <w:tcPr>
                <w:tcW w:w="3170" w:type="pct"/>
                <w:noWrap/>
                <w:vAlign w:val="center"/>
                <w:hideMark/>
              </w:tcPr>
              <w:p w14:paraId="09A407E6" w14:textId="77777777" w:rsidR="001D630B" w:rsidRPr="005F6CA7" w:rsidRDefault="001D630B" w:rsidP="00D004C1">
                <w:pPr>
                  <w:jc w:val="both"/>
                  <w:rPr>
                    <w:color w:val="000000"/>
                    <w:sz w:val="20"/>
                  </w:rPr>
                </w:pPr>
              </w:p>
            </w:tc>
          </w:tr>
          <w:tr w:rsidR="001D630B" w:rsidRPr="005F6CA7" w14:paraId="3553A06E" w14:textId="77777777" w:rsidTr="00BA2584">
            <w:trPr>
              <w:trHeight w:val="310"/>
            </w:trPr>
            <w:tc>
              <w:tcPr>
                <w:tcW w:w="1830" w:type="pct"/>
                <w:noWrap/>
                <w:vAlign w:val="center"/>
                <w:hideMark/>
              </w:tcPr>
              <w:p w14:paraId="5F02E887" w14:textId="77777777" w:rsidR="001D630B" w:rsidRPr="005F6CA7" w:rsidRDefault="001D630B" w:rsidP="00D004C1">
                <w:pPr>
                  <w:jc w:val="both"/>
                  <w:rPr>
                    <w:color w:val="000000"/>
                    <w:sz w:val="20"/>
                  </w:rPr>
                </w:pPr>
                <w:r w:rsidRPr="6875B2D2">
                  <w:rPr>
                    <w:color w:val="000000" w:themeColor="text1"/>
                    <w:sz w:val="20"/>
                  </w:rPr>
                  <w:t>-       Biodiversitet</w:t>
                </w:r>
              </w:p>
            </w:tc>
            <w:tc>
              <w:tcPr>
                <w:tcW w:w="3170" w:type="pct"/>
                <w:noWrap/>
                <w:vAlign w:val="center"/>
                <w:hideMark/>
              </w:tcPr>
              <w:p w14:paraId="0D9F5A30" w14:textId="77777777" w:rsidR="001D630B" w:rsidRPr="005F6CA7" w:rsidRDefault="001D630B" w:rsidP="00D004C1">
                <w:pPr>
                  <w:jc w:val="both"/>
                  <w:rPr>
                    <w:color w:val="000000"/>
                    <w:sz w:val="20"/>
                  </w:rPr>
                </w:pPr>
              </w:p>
            </w:tc>
          </w:tr>
          <w:tr w:rsidR="001D630B" w:rsidRPr="005F6CA7" w14:paraId="2C6FC7EC" w14:textId="77777777" w:rsidTr="00BA2584">
            <w:trPr>
              <w:trHeight w:val="310"/>
            </w:trPr>
            <w:tc>
              <w:tcPr>
                <w:tcW w:w="1830" w:type="pct"/>
                <w:noWrap/>
                <w:vAlign w:val="center"/>
                <w:hideMark/>
              </w:tcPr>
              <w:p w14:paraId="643E7041" w14:textId="77777777" w:rsidR="001D630B" w:rsidRPr="005F6CA7" w:rsidRDefault="001D630B" w:rsidP="00D004C1">
                <w:pPr>
                  <w:jc w:val="both"/>
                  <w:rPr>
                    <w:color w:val="000000"/>
                    <w:sz w:val="20"/>
                  </w:rPr>
                </w:pPr>
                <w:r w:rsidRPr="6875B2D2">
                  <w:rPr>
                    <w:color w:val="000000" w:themeColor="text1"/>
                    <w:sz w:val="20"/>
                  </w:rPr>
                  <w:t>-       Ndryshime Klimatike</w:t>
                </w:r>
              </w:p>
            </w:tc>
            <w:tc>
              <w:tcPr>
                <w:tcW w:w="3170" w:type="pct"/>
                <w:noWrap/>
                <w:vAlign w:val="center"/>
                <w:hideMark/>
              </w:tcPr>
              <w:p w14:paraId="4A6554B7" w14:textId="77777777" w:rsidR="001D630B" w:rsidRPr="005F6CA7" w:rsidRDefault="001D630B" w:rsidP="00D004C1">
                <w:pPr>
                  <w:jc w:val="both"/>
                  <w:rPr>
                    <w:color w:val="000000"/>
                    <w:sz w:val="20"/>
                  </w:rPr>
                </w:pPr>
              </w:p>
            </w:tc>
          </w:tr>
          <w:tr w:rsidR="001D630B" w:rsidRPr="005F6CA7" w14:paraId="3A7838B7" w14:textId="77777777" w:rsidTr="00BA2584">
            <w:trPr>
              <w:trHeight w:val="310"/>
            </w:trPr>
            <w:tc>
              <w:tcPr>
                <w:tcW w:w="1830" w:type="pct"/>
                <w:noWrap/>
                <w:vAlign w:val="center"/>
                <w:hideMark/>
              </w:tcPr>
              <w:p w14:paraId="57558199" w14:textId="77777777" w:rsidR="001D630B" w:rsidRPr="005F6CA7" w:rsidRDefault="001D630B" w:rsidP="00D004C1">
                <w:pPr>
                  <w:jc w:val="both"/>
                  <w:rPr>
                    <w:color w:val="000000"/>
                    <w:sz w:val="20"/>
                  </w:rPr>
                </w:pPr>
                <w:r w:rsidRPr="6875B2D2">
                  <w:rPr>
                    <w:color w:val="000000" w:themeColor="text1"/>
                    <w:sz w:val="20"/>
                  </w:rPr>
                  <w:t>-       Pylltari</w:t>
                </w:r>
              </w:p>
            </w:tc>
            <w:tc>
              <w:tcPr>
                <w:tcW w:w="3170" w:type="pct"/>
                <w:noWrap/>
                <w:vAlign w:val="center"/>
                <w:hideMark/>
              </w:tcPr>
              <w:p w14:paraId="0659B4C2" w14:textId="77777777" w:rsidR="001D630B" w:rsidRPr="005F6CA7" w:rsidRDefault="001D630B" w:rsidP="00D004C1">
                <w:pPr>
                  <w:jc w:val="both"/>
                  <w:rPr>
                    <w:color w:val="000000"/>
                    <w:sz w:val="20"/>
                  </w:rPr>
                </w:pPr>
              </w:p>
            </w:tc>
          </w:tr>
          <w:tr w:rsidR="001D630B" w:rsidRPr="005F6CA7" w14:paraId="6922654F" w14:textId="77777777" w:rsidTr="00BA2584">
            <w:trPr>
              <w:trHeight w:val="310"/>
            </w:trPr>
            <w:tc>
              <w:tcPr>
                <w:tcW w:w="1830" w:type="pct"/>
                <w:noWrap/>
                <w:vAlign w:val="center"/>
                <w:hideMark/>
              </w:tcPr>
              <w:p w14:paraId="31248DD6" w14:textId="77777777" w:rsidR="001D630B" w:rsidRPr="005F6CA7" w:rsidRDefault="001D630B" w:rsidP="00D004C1">
                <w:pPr>
                  <w:jc w:val="both"/>
                  <w:rPr>
                    <w:color w:val="000000"/>
                    <w:sz w:val="20"/>
                  </w:rPr>
                </w:pPr>
                <w:r w:rsidRPr="6875B2D2">
                  <w:rPr>
                    <w:color w:val="000000" w:themeColor="text1"/>
                    <w:sz w:val="20"/>
                  </w:rPr>
                  <w:t xml:space="preserve">-       Zhurmë mjedisore </w:t>
                </w:r>
              </w:p>
            </w:tc>
            <w:tc>
              <w:tcPr>
                <w:tcW w:w="3170" w:type="pct"/>
                <w:noWrap/>
                <w:vAlign w:val="center"/>
                <w:hideMark/>
              </w:tcPr>
              <w:p w14:paraId="62621DE9" w14:textId="77777777" w:rsidR="001D630B" w:rsidRPr="005F6CA7" w:rsidRDefault="001D630B" w:rsidP="00D004C1">
                <w:pPr>
                  <w:jc w:val="both"/>
                  <w:rPr>
                    <w:color w:val="000000"/>
                    <w:sz w:val="20"/>
                  </w:rPr>
                </w:pPr>
              </w:p>
            </w:tc>
          </w:tr>
          <w:tr w:rsidR="001D630B" w:rsidRPr="005F6CA7" w14:paraId="76613F80" w14:textId="77777777" w:rsidTr="00BA2584">
            <w:trPr>
              <w:trHeight w:val="310"/>
            </w:trPr>
            <w:tc>
              <w:tcPr>
                <w:tcW w:w="1830" w:type="pct"/>
                <w:noWrap/>
                <w:vAlign w:val="center"/>
                <w:hideMark/>
              </w:tcPr>
              <w:p w14:paraId="67957697" w14:textId="77777777" w:rsidR="001D630B" w:rsidRPr="005F6CA7" w:rsidRDefault="001D630B" w:rsidP="00D004C1">
                <w:pPr>
                  <w:jc w:val="both"/>
                  <w:rPr>
                    <w:color w:val="000000"/>
                    <w:sz w:val="20"/>
                  </w:rPr>
                </w:pPr>
                <w:r w:rsidRPr="6875B2D2">
                  <w:rPr>
                    <w:color w:val="000000" w:themeColor="text1"/>
                    <w:sz w:val="20"/>
                  </w:rPr>
                  <w:t>-       Substanca ozonholluese</w:t>
                </w:r>
              </w:p>
            </w:tc>
            <w:tc>
              <w:tcPr>
                <w:tcW w:w="3170" w:type="pct"/>
                <w:noWrap/>
                <w:vAlign w:val="center"/>
                <w:hideMark/>
              </w:tcPr>
              <w:p w14:paraId="6BF37876" w14:textId="77777777" w:rsidR="001D630B" w:rsidRPr="005F6CA7" w:rsidRDefault="001D630B" w:rsidP="00D004C1">
                <w:pPr>
                  <w:jc w:val="both"/>
                  <w:rPr>
                    <w:color w:val="000000"/>
                    <w:sz w:val="20"/>
                  </w:rPr>
                </w:pPr>
              </w:p>
            </w:tc>
          </w:tr>
          <w:tr w:rsidR="001D630B" w:rsidRPr="005F6CA7" w14:paraId="4456EA58" w14:textId="77777777" w:rsidTr="00BA2584">
            <w:trPr>
              <w:trHeight w:val="310"/>
            </w:trPr>
            <w:tc>
              <w:tcPr>
                <w:tcW w:w="1830" w:type="pct"/>
                <w:noWrap/>
                <w:vAlign w:val="center"/>
                <w:hideMark/>
              </w:tcPr>
              <w:p w14:paraId="0BCDFC47" w14:textId="77777777" w:rsidR="001D630B" w:rsidRPr="005F6CA7" w:rsidRDefault="001D630B" w:rsidP="00D004C1">
                <w:pPr>
                  <w:jc w:val="both"/>
                  <w:rPr>
                    <w:color w:val="000000"/>
                    <w:sz w:val="20"/>
                  </w:rPr>
                </w:pPr>
                <w:r w:rsidRPr="6875B2D2">
                  <w:rPr>
                    <w:color w:val="000000" w:themeColor="text1"/>
                    <w:sz w:val="20"/>
                  </w:rPr>
                  <w:t>-       Menaxhimi i Mbetjeve</w:t>
                </w:r>
              </w:p>
            </w:tc>
            <w:tc>
              <w:tcPr>
                <w:tcW w:w="3170" w:type="pct"/>
                <w:noWrap/>
                <w:vAlign w:val="center"/>
                <w:hideMark/>
              </w:tcPr>
              <w:p w14:paraId="7853DD1F" w14:textId="77777777" w:rsidR="001D630B" w:rsidRPr="005F6CA7" w:rsidRDefault="001D630B" w:rsidP="00D004C1">
                <w:pPr>
                  <w:jc w:val="both"/>
                  <w:rPr>
                    <w:color w:val="000000"/>
                    <w:sz w:val="20"/>
                  </w:rPr>
                </w:pPr>
              </w:p>
            </w:tc>
          </w:tr>
          <w:tr w:rsidR="001D630B" w:rsidRPr="005F6CA7" w14:paraId="00DCA0C7" w14:textId="77777777" w:rsidTr="00BA2584">
            <w:trPr>
              <w:trHeight w:val="310"/>
            </w:trPr>
            <w:tc>
              <w:tcPr>
                <w:tcW w:w="1830" w:type="pct"/>
                <w:noWrap/>
                <w:vAlign w:val="center"/>
                <w:hideMark/>
              </w:tcPr>
              <w:p w14:paraId="55690404" w14:textId="77777777" w:rsidR="001D630B" w:rsidRPr="005F6CA7" w:rsidRDefault="001D630B" w:rsidP="00D004C1">
                <w:pPr>
                  <w:jc w:val="both"/>
                  <w:rPr>
                    <w:color w:val="000000"/>
                    <w:sz w:val="20"/>
                  </w:rPr>
                </w:pPr>
                <w:r w:rsidRPr="6875B2D2">
                  <w:rPr>
                    <w:color w:val="000000" w:themeColor="text1"/>
                    <w:sz w:val="20"/>
                  </w:rPr>
                  <w:t>-       Uji</w:t>
                </w:r>
              </w:p>
            </w:tc>
            <w:tc>
              <w:tcPr>
                <w:tcW w:w="3170" w:type="pct"/>
                <w:noWrap/>
                <w:vAlign w:val="center"/>
                <w:hideMark/>
              </w:tcPr>
              <w:p w14:paraId="38CBE352" w14:textId="77777777" w:rsidR="001D630B" w:rsidRPr="005F6CA7" w:rsidRDefault="001D630B" w:rsidP="00D004C1">
                <w:pPr>
                  <w:jc w:val="both"/>
                  <w:rPr>
                    <w:color w:val="000000"/>
                    <w:sz w:val="20"/>
                  </w:rPr>
                </w:pPr>
              </w:p>
            </w:tc>
          </w:tr>
          <w:tr w:rsidR="001D630B" w:rsidRPr="005F6CA7" w14:paraId="406EC4E0" w14:textId="77777777" w:rsidTr="00BA2584">
            <w:trPr>
              <w:trHeight w:val="310"/>
            </w:trPr>
            <w:tc>
              <w:tcPr>
                <w:tcW w:w="1830" w:type="pct"/>
                <w:noWrap/>
                <w:vAlign w:val="center"/>
                <w:hideMark/>
              </w:tcPr>
              <w:p w14:paraId="2B10998F" w14:textId="77777777" w:rsidR="001D630B" w:rsidRPr="005F6CA7" w:rsidRDefault="001D630B" w:rsidP="00D004C1">
                <w:pPr>
                  <w:jc w:val="both"/>
                  <w:rPr>
                    <w:color w:val="000000"/>
                    <w:sz w:val="20"/>
                  </w:rPr>
                </w:pPr>
                <w:r w:rsidRPr="6875B2D2">
                  <w:rPr>
                    <w:color w:val="000000" w:themeColor="text1"/>
                    <w:sz w:val="20"/>
                  </w:rPr>
                  <w:t>-       Kimikatet</w:t>
                </w:r>
              </w:p>
            </w:tc>
            <w:tc>
              <w:tcPr>
                <w:tcW w:w="3170" w:type="pct"/>
                <w:noWrap/>
                <w:vAlign w:val="center"/>
                <w:hideMark/>
              </w:tcPr>
              <w:p w14:paraId="36DFBD52" w14:textId="77777777" w:rsidR="001D630B" w:rsidRPr="005F6CA7" w:rsidRDefault="001D630B" w:rsidP="00D004C1">
                <w:pPr>
                  <w:jc w:val="both"/>
                  <w:rPr>
                    <w:color w:val="000000"/>
                    <w:sz w:val="20"/>
                  </w:rPr>
                </w:pPr>
              </w:p>
            </w:tc>
          </w:tr>
        </w:tbl>
        <w:p w14:paraId="54FF19C9" w14:textId="77777777" w:rsidR="00BA2584" w:rsidRDefault="00BA2584" w:rsidP="00BA2584">
          <w:pPr>
            <w:spacing w:after="160" w:line="278" w:lineRule="auto"/>
            <w:rPr>
              <w:b/>
              <w:bCs/>
            </w:rPr>
          </w:pPr>
        </w:p>
        <w:p w14:paraId="0623CCF0" w14:textId="0869917D" w:rsidR="00BA2584" w:rsidRPr="00F955A6" w:rsidRDefault="00BA2584" w:rsidP="00BA2584">
          <w:pPr>
            <w:spacing w:after="160" w:line="278" w:lineRule="auto"/>
            <w:rPr>
              <w:b/>
              <w:bCs/>
            </w:rPr>
          </w:pPr>
          <w:r w:rsidRPr="00F955A6">
            <w:rPr>
              <w:b/>
              <w:bCs/>
            </w:rPr>
            <w:t>2. Përfituesit e Shërbimeve / Qytetarët</w:t>
          </w:r>
        </w:p>
        <w:p w14:paraId="2679D1E8" w14:textId="77777777" w:rsidR="00BA2584" w:rsidRPr="00F955A6" w:rsidRDefault="00BA2584" w:rsidP="00BA2584">
          <w:pPr>
            <w:spacing w:after="160" w:line="278" w:lineRule="auto"/>
            <w:rPr>
              <w:b/>
              <w:bCs/>
            </w:rPr>
          </w:pPr>
          <w:r w:rsidRPr="00F955A6">
            <w:rPr>
              <w:b/>
              <w:bCs/>
            </w:rPr>
            <w:t>Përfituesit Vendas të Shërbimeve</w:t>
          </w:r>
        </w:p>
        <w:p w14:paraId="2A766608" w14:textId="77777777" w:rsidR="00BA2584" w:rsidRPr="00F955A6" w:rsidRDefault="00BA2584" w:rsidP="00BA2584">
          <w:pPr>
            <w:spacing w:after="160" w:line="278" w:lineRule="auto"/>
            <w:jc w:val="both"/>
          </w:pPr>
          <w:r w:rsidRPr="00F955A6">
            <w:t>Përfituesit vendas nuk përfitojnë nga standardet e harmonizuara të BE-së për cilësinë, sigurinë dhe transparencën e shërbimeve. Mungesa e dispozitave për informimin e qartë, përgjegjësinë profesionale dhe të drejtat e konsumatorëve çon në rrezik më të lartë për marrje shërbimesh me cilësi të ulët ose me mbrojtje të pamjaftueshme ligjore. Përfituesit vendas marrin më pak garanci dhe më pak transparencë mbi ofruesit dhe kushtet e shërbimit.</w:t>
          </w:r>
        </w:p>
        <w:p w14:paraId="1B3515F4" w14:textId="77777777" w:rsidR="00BA2584" w:rsidRPr="00F955A6" w:rsidRDefault="00BA2584" w:rsidP="00BA2584">
          <w:pPr>
            <w:spacing w:after="160" w:line="278" w:lineRule="auto"/>
            <w:rPr>
              <w:b/>
              <w:bCs/>
            </w:rPr>
          </w:pPr>
          <w:r w:rsidRPr="00F955A6">
            <w:rPr>
              <w:b/>
              <w:bCs/>
            </w:rPr>
            <w:t>Përfituesit e Shërbimeve / Qytetarët e BE</w:t>
          </w:r>
        </w:p>
        <w:p w14:paraId="5E97EB55" w14:textId="77777777" w:rsidR="00BA2584" w:rsidRPr="00F955A6" w:rsidRDefault="00BA2584" w:rsidP="00BA2584">
          <w:pPr>
            <w:jc w:val="both"/>
          </w:pPr>
          <w:r w:rsidRPr="00F955A6">
            <w:t>Qytetarët e BE-së që kërkojnë shërbime në Shqipëri hasin një nivel të ulët harmonizimi me rregullat që ata presin në tregun e brendshëm evropian. Mungesa e njohjes së sigurimeve të ofruesve të BE-së, e informacionit të unifikuar dhe e procedurave të standardizuara krijon pasiguri mbi cilësinë dhe sigurinë e shërbimeve që marrin në vend. Kjo ul besimin e konsumatorëve evropianë në tregun shqiptar dhe e zvogëlon potencialin për rritjen e kërkesës nga turistët, profesionistët dhe bizneset e BE-së.</w:t>
          </w:r>
        </w:p>
        <w:p w14:paraId="052C16D7" w14:textId="77777777" w:rsidR="00BA2584" w:rsidRPr="00F955A6" w:rsidRDefault="00BA2584" w:rsidP="00BA2584">
          <w:pPr>
            <w:spacing w:after="160" w:line="278" w:lineRule="auto"/>
            <w:jc w:val="both"/>
            <w:rPr>
              <w:b/>
              <w:bCs/>
            </w:rPr>
          </w:pPr>
          <w:r w:rsidRPr="00F955A6">
            <w:rPr>
              <w:b/>
              <w:bCs/>
            </w:rPr>
            <w:t xml:space="preserve">3. Autoritetet publike </w:t>
          </w:r>
        </w:p>
        <w:p w14:paraId="0774EC5B" w14:textId="77777777" w:rsidR="00BA2584" w:rsidRPr="00F955A6" w:rsidRDefault="00BA2584" w:rsidP="00BA2584">
          <w:pPr>
            <w:spacing w:after="160" w:line="278" w:lineRule="auto"/>
            <w:jc w:val="both"/>
          </w:pPr>
          <w:r w:rsidRPr="00F955A6">
            <w:t>Këtu përfshihen ministritë përgjegjëse, agjencitë rregullatore dhe institucionet që licencojnë, mbikëqyrin dhe kontrollojnë ofrimin e shërbimeve. Mungesa e përafrimit me Direktivën kufizon mundësinë për bashkëpunim administrativ me shtetet e BE-së, ndërlikon proceset e verifikimit të dokumenteve, dhe e bën më të vështirë mbikëqyrjen e tregut. Kjo sjell efikasitet më të ulët administrativ dhe rritje të kostove të brendshme të administrimit.</w:t>
          </w:r>
        </w:p>
        <w:p w14:paraId="2B9C2604" w14:textId="77777777" w:rsidR="00BA2584" w:rsidRPr="00C43B54" w:rsidRDefault="00BA2584" w:rsidP="00BA2584">
          <w:pPr>
            <w:spacing w:after="160" w:line="278" w:lineRule="auto"/>
            <w:jc w:val="both"/>
            <w:rPr>
              <w:b/>
              <w:bCs/>
              <w:lang w:val="it-IT"/>
            </w:rPr>
          </w:pPr>
          <w:r w:rsidRPr="00C43B54">
            <w:rPr>
              <w:b/>
              <w:bCs/>
              <w:lang w:val="it-IT"/>
            </w:rPr>
            <w:t>4. Njësitë e Qeverisjes Vendore (Bashkitë)</w:t>
          </w:r>
        </w:p>
        <w:p w14:paraId="206B41D2" w14:textId="77777777" w:rsidR="00BA2584" w:rsidRPr="00C43B54" w:rsidRDefault="00BA2584" w:rsidP="00BA2584">
          <w:pPr>
            <w:spacing w:after="160" w:line="278" w:lineRule="auto"/>
            <w:jc w:val="both"/>
            <w:rPr>
              <w:lang w:val="it-IT"/>
            </w:rPr>
          </w:pPr>
          <w:r w:rsidRPr="00C43B54">
            <w:rPr>
              <w:lang w:val="it-IT"/>
            </w:rPr>
            <w:t>Bashkitë janë shpesh autoritete që lëshojnë licenca dhe leje për ushtrimin e aktiviteteve të ndryshme të shërbimeve. Për shkak të boshllëqeve ligjore dhe mungesës së udhëzueshmërisë së unifikuar, ato përballen me pasiguri në zbatimin e rregullave, si dhe me mungesë të instrumenteve digjitale për bashkëpunim ndërinstitucional. Kjo sjell praktika të ndryshme nga një bashki në tjetrën dhe mungesë koherence në tregun kombëtar të shërbimeve.</w:t>
          </w:r>
        </w:p>
        <w:p w14:paraId="4DC8CB03" w14:textId="77777777" w:rsidR="00BA2584" w:rsidRPr="00C43B54" w:rsidRDefault="00BA2584" w:rsidP="00BA2584">
          <w:pPr>
            <w:spacing w:after="160" w:line="278" w:lineRule="auto"/>
            <w:jc w:val="both"/>
            <w:rPr>
              <w:b/>
              <w:bCs/>
              <w:lang w:val="it-IT"/>
            </w:rPr>
          </w:pPr>
          <w:r w:rsidRPr="00C43B54">
            <w:rPr>
              <w:b/>
              <w:bCs/>
              <w:lang w:val="it-IT"/>
            </w:rPr>
            <w:t>5. Organizatat profesionale dhe dhomat e Biznesit</w:t>
          </w:r>
        </w:p>
        <w:p w14:paraId="2B2114FF" w14:textId="77777777" w:rsidR="00BA2584" w:rsidRPr="00C43B54" w:rsidRDefault="00BA2584" w:rsidP="00BA2584">
          <w:pPr>
            <w:spacing w:after="160" w:line="278" w:lineRule="auto"/>
            <w:jc w:val="both"/>
            <w:rPr>
              <w:lang w:val="it-IT"/>
            </w:rPr>
          </w:pPr>
          <w:r w:rsidRPr="00C43B54">
            <w:rPr>
              <w:lang w:val="it-IT"/>
            </w:rPr>
            <w:t>Shoqatat e profesionistëve, dhomat e tregtisë dhe biznesit janë të prekura pasi anëtarët e tyre humbin përfitimet që do të sillte një treg i liberalizuar dhe i harmonizuar me BE. Ato nuk kanë mundësi të mbështesin plotësisht operatorët për të hyrë në tregje ndërkombëtare, për shkak të paqartësive ligjore dhe mungesës së procedurave të unifikuara për ofrimin ndërkufitar të shërbimeve.</w:t>
          </w:r>
        </w:p>
        <w:p w14:paraId="2F2F4B7C" w14:textId="77777777" w:rsidR="00BA2584" w:rsidRPr="00F955A6" w:rsidRDefault="00BA2584" w:rsidP="00BA2584">
          <w:pPr>
            <w:spacing w:after="160" w:line="278" w:lineRule="auto"/>
            <w:jc w:val="both"/>
            <w:rPr>
              <w:b/>
              <w:bCs/>
              <w:lang w:val="it-IT"/>
            </w:rPr>
          </w:pPr>
          <w:r w:rsidRPr="00C43B54">
            <w:rPr>
              <w:b/>
              <w:bCs/>
            </w:rPr>
            <w:t xml:space="preserve">6. </w:t>
          </w:r>
          <w:r w:rsidRPr="00F955A6">
            <w:rPr>
              <w:b/>
              <w:bCs/>
              <w:lang w:val="it-IT"/>
            </w:rPr>
            <w:t>Investitorët e Huaj</w:t>
          </w:r>
        </w:p>
        <w:p w14:paraId="446FAD83" w14:textId="77777777" w:rsidR="00BA2584" w:rsidRPr="00F955A6" w:rsidRDefault="00BA2584" w:rsidP="00BA2584">
          <w:pPr>
            <w:spacing w:after="160" w:line="278" w:lineRule="auto"/>
            <w:jc w:val="both"/>
            <w:rPr>
              <w:lang w:val="it-IT"/>
            </w:rPr>
          </w:pPr>
          <w:r w:rsidRPr="00F955A6">
            <w:rPr>
              <w:lang w:val="it-IT"/>
            </w:rPr>
            <w:t>Investitorët e huaj, veçanërisht ata nga BE, përballen me pasiguri në lidhje me rregullat e ofrimit të shërbimeve, njohjen e dokumenteve profesionale dhe mbrojtjen ligjore. Kjo ndikueshmëri ul atraktivitetin e Shqipërisë si destinacion investimi në sektorët që lidhen me ofrimin e shërbimeve.</w:t>
          </w:r>
        </w:p>
        <w:p w14:paraId="0B604FC9" w14:textId="77777777" w:rsidR="00BA2584" w:rsidRPr="00F955A6" w:rsidRDefault="00BA2584" w:rsidP="00BA2584">
          <w:pPr>
            <w:spacing w:after="160" w:line="278" w:lineRule="auto"/>
            <w:jc w:val="both"/>
            <w:rPr>
              <w:b/>
              <w:bCs/>
              <w:lang w:val="it-IT"/>
            </w:rPr>
          </w:pPr>
          <w:r w:rsidRPr="00C43B54">
            <w:rPr>
              <w:b/>
              <w:bCs/>
            </w:rPr>
            <w:t xml:space="preserve">7. </w:t>
          </w:r>
          <w:r w:rsidRPr="00F955A6">
            <w:rPr>
              <w:b/>
              <w:bCs/>
              <w:lang w:val="it-IT"/>
            </w:rPr>
            <w:t>Administrata Tatimore dhe Doganat</w:t>
          </w:r>
        </w:p>
        <w:p w14:paraId="08E199A8" w14:textId="77777777" w:rsidR="00BA2584" w:rsidRPr="00F955A6" w:rsidRDefault="00BA2584" w:rsidP="00BA2584">
          <w:pPr>
            <w:spacing w:after="160" w:line="278" w:lineRule="auto"/>
            <w:jc w:val="both"/>
            <w:rPr>
              <w:lang w:val="it-IT"/>
            </w:rPr>
          </w:pPr>
          <w:r w:rsidRPr="00F955A6">
            <w:rPr>
              <w:lang w:val="it-IT"/>
            </w:rPr>
            <w:t>Edhe pse indirekt, këto institucione ndikohen nga mungesa e një kornize të qartë për ofrimin e shërbimeve ndërkufitare, pasi u vështirësohen proceset e verifikimit, kontrollit të veprimtarive ekonomike dhe monitorimit të subjekteve që operojnë në mënyrë të përkohshme në territorin shqiptar.</w:t>
          </w:r>
        </w:p>
        <w:p w14:paraId="51D06805" w14:textId="77777777" w:rsidR="00BA2584" w:rsidRPr="00C43B54" w:rsidRDefault="00BA2584" w:rsidP="00BA2584">
          <w:pPr>
            <w:spacing w:after="160" w:line="278" w:lineRule="auto"/>
            <w:jc w:val="both"/>
            <w:rPr>
              <w:b/>
              <w:bCs/>
              <w:lang w:val="it-IT"/>
            </w:rPr>
          </w:pPr>
          <w:r w:rsidRPr="00C43B54">
            <w:rPr>
              <w:b/>
              <w:bCs/>
              <w:lang w:val="it-IT"/>
            </w:rPr>
            <w:t>8. Tregu i Punës dhe Punonjësit Profesionalë</w:t>
          </w:r>
        </w:p>
        <w:p w14:paraId="4333652D" w14:textId="77777777" w:rsidR="00BA2584" w:rsidRPr="00C43B54" w:rsidRDefault="00BA2584" w:rsidP="00BA2584">
          <w:pPr>
            <w:spacing w:after="160" w:line="278" w:lineRule="auto"/>
            <w:jc w:val="both"/>
            <w:rPr>
              <w:lang w:val="it-IT"/>
            </w:rPr>
          </w:pPr>
          <w:r w:rsidRPr="00C43B54">
            <w:rPr>
              <w:lang w:val="it-IT"/>
            </w:rPr>
            <w:t>Profesionalistët e licencuar që kërkojnë të ushtrojnë aktivitet në vendet e BE-së nuk përfitojnë nga rregulla të harmonizuara dhe procedura të qarta për ofrimin e përkohshëm të shërbimeve. Kjo u kufizon mundësitë për mobilitet profesional dhe ul konkurrueshmërinë në tregjet evropiane.</w:t>
          </w:r>
        </w:p>
        <w:p w14:paraId="25BD55A0" w14:textId="77777777" w:rsidR="00BA2584" w:rsidRPr="00F955A6" w:rsidRDefault="00BA2584" w:rsidP="00BA2584">
          <w:pPr>
            <w:spacing w:after="160" w:line="278" w:lineRule="auto"/>
            <w:jc w:val="both"/>
            <w:rPr>
              <w:b/>
              <w:bCs/>
              <w:lang w:val="it-IT"/>
            </w:rPr>
          </w:pPr>
          <w:r w:rsidRPr="00C43B54">
            <w:rPr>
              <w:b/>
              <w:bCs/>
            </w:rPr>
            <w:t xml:space="preserve">9. </w:t>
          </w:r>
          <w:r w:rsidRPr="00F955A6">
            <w:rPr>
              <w:b/>
              <w:bCs/>
              <w:lang w:val="it-IT"/>
            </w:rPr>
            <w:t>Ekonomia Kombëtare në tërësi</w:t>
          </w:r>
        </w:p>
        <w:p w14:paraId="6B8AB2A4" w14:textId="77777777" w:rsidR="00BA2584" w:rsidRPr="00F955A6" w:rsidRDefault="00BA2584" w:rsidP="00BA2584">
          <w:pPr>
            <w:spacing w:after="160" w:line="278" w:lineRule="auto"/>
            <w:jc w:val="both"/>
            <w:rPr>
              <w:lang w:val="it-IT"/>
            </w:rPr>
          </w:pPr>
          <w:r w:rsidRPr="00F955A6">
            <w:rPr>
              <w:lang w:val="it-IT"/>
            </w:rPr>
            <w:t>Fragmentimi rregullator dhe pasiguria ligjore ndikojnë negativisht në klimën e biznesit, rrisin koston e transaksioneve dhe ulin efikasitetin e tregut. Mospërputhshmëria me standardet e BE-së e ngadalëson integrimin ekonomik dhe kufizon rritjen e sektorëve të bazuar në shërbime.</w:t>
          </w:r>
        </w:p>
        <w:p w14:paraId="42F41D69" w14:textId="77777777" w:rsidR="00BA2584" w:rsidRPr="00F955A6" w:rsidRDefault="00BA2584" w:rsidP="00BA2584">
          <w:pPr>
            <w:spacing w:after="160" w:line="278" w:lineRule="auto"/>
            <w:jc w:val="both"/>
            <w:rPr>
              <w:lang w:val="it-IT"/>
            </w:rPr>
          </w:pPr>
        </w:p>
        <w:p w14:paraId="3E9CF103" w14:textId="77777777" w:rsidR="001D630B" w:rsidRPr="00F955A6" w:rsidRDefault="001D630B" w:rsidP="00CF2ADA">
          <w:pPr>
            <w:spacing w:before="240"/>
            <w:jc w:val="both"/>
            <w:rPr>
              <w:lang w:val="it-IT"/>
            </w:rPr>
          </w:pPr>
        </w:p>
        <w:p w14:paraId="766988C1" w14:textId="77777777" w:rsidR="000F154C" w:rsidRPr="009A7096" w:rsidRDefault="000F154C" w:rsidP="009A7096">
          <w:pPr>
            <w:tabs>
              <w:tab w:val="left" w:pos="720"/>
            </w:tabs>
            <w:spacing w:line="288" w:lineRule="auto"/>
            <w:contextualSpacing/>
            <w:jc w:val="both"/>
            <w:rPr>
              <w:rFonts w:eastAsia="Calibri"/>
              <w:i/>
              <w:color w:val="000000"/>
            </w:rPr>
          </w:pPr>
          <w:bookmarkStart w:id="13" w:name="_Hlk216338660"/>
        </w:p>
        <w:p w14:paraId="74B7469E" w14:textId="364F7ACD" w:rsidR="00DC4678" w:rsidRDefault="00204683" w:rsidP="00CF2ADA">
          <w:pPr>
            <w:spacing w:before="240"/>
            <w:jc w:val="both"/>
          </w:pPr>
        </w:p>
      </w:sdtContent>
    </w:sdt>
    <w:bookmarkEnd w:id="13" w:displacedByCustomXml="prev"/>
    <w:p w14:paraId="3B35E27A" w14:textId="1D3E2C0D" w:rsidR="00563378" w:rsidRPr="00563378" w:rsidRDefault="002125B7" w:rsidP="00563378">
      <w:pPr>
        <w:pStyle w:val="Heading1"/>
        <w:spacing w:line="276" w:lineRule="auto"/>
        <w:rPr>
          <w:rFonts w:ascii="Times New Roman" w:hAnsi="Times New Roman" w:cs="Times New Roman"/>
          <w:sz w:val="24"/>
          <w:szCs w:val="24"/>
        </w:rPr>
      </w:pPr>
      <w:r w:rsidRPr="1A98504A">
        <w:rPr>
          <w:rFonts w:ascii="Times New Roman" w:hAnsi="Times New Roman" w:cs="Times New Roman"/>
          <w:sz w:val="24"/>
          <w:szCs w:val="24"/>
        </w:rPr>
        <w:t xml:space="preserve">Arsyeja e ndërhyrjes </w:t>
      </w:r>
      <w:bookmarkEnd w:id="12"/>
    </w:p>
    <w:sdt>
      <w:sdtPr>
        <w:rPr>
          <w:rFonts w:ascii="Times New Roman" w:eastAsiaTheme="majorEastAsia" w:hAnsi="Times New Roman"/>
          <w:i/>
          <w:iCs/>
          <w:sz w:val="24"/>
          <w:szCs w:val="24"/>
        </w:rPr>
        <w:id w:val="-1161541828"/>
        <w:lock w:val="contentLocked"/>
        <w:placeholder>
          <w:docPart w:val="DefaultPlaceholder_1081868574"/>
        </w:placeholder>
        <w15:color w:val="C0C0C0"/>
      </w:sdtPr>
      <w:sdtContent>
        <w:p w14:paraId="34CBFEE4" w14:textId="073C260A" w:rsidR="00372979" w:rsidRPr="00372979" w:rsidRDefault="00372979" w:rsidP="00673F28">
          <w:pPr>
            <w:pStyle w:val="ListParagraph"/>
            <w:numPr>
              <w:ilvl w:val="0"/>
              <w:numId w:val="6"/>
            </w:numPr>
            <w:spacing w:after="0" w:line="276" w:lineRule="auto"/>
            <w:jc w:val="both"/>
            <w:rPr>
              <w:rFonts w:ascii="Times New Roman" w:eastAsiaTheme="majorEastAsia" w:hAnsi="Times New Roman"/>
              <w:i/>
              <w:sz w:val="24"/>
              <w:szCs w:val="24"/>
            </w:rPr>
          </w:pPr>
          <w:r w:rsidRPr="6875B2D2">
            <w:rPr>
              <w:rFonts w:ascii="Times New Roman" w:eastAsiaTheme="majorEastAsia" w:hAnsi="Times New Roman"/>
              <w:i/>
              <w:sz w:val="24"/>
              <w:szCs w:val="24"/>
            </w:rPr>
            <w:t>Shpjegoni pse qeveria e sheh të nevojshme të ndërhyjë.</w:t>
          </w:r>
        </w:p>
        <w:p w14:paraId="10FE35C4" w14:textId="77777777" w:rsidR="00372979" w:rsidRPr="00372979" w:rsidRDefault="00372979" w:rsidP="00673F28">
          <w:pPr>
            <w:pStyle w:val="ListParagraph"/>
            <w:numPr>
              <w:ilvl w:val="0"/>
              <w:numId w:val="6"/>
            </w:numPr>
            <w:spacing w:after="0" w:line="276" w:lineRule="auto"/>
            <w:jc w:val="both"/>
            <w:rPr>
              <w:rFonts w:ascii="Times New Roman" w:eastAsiaTheme="majorEastAsia" w:hAnsi="Times New Roman"/>
              <w:i/>
              <w:sz w:val="24"/>
              <w:szCs w:val="24"/>
            </w:rPr>
          </w:pPr>
          <w:r w:rsidRPr="6875B2D2">
            <w:rPr>
              <w:rFonts w:ascii="Times New Roman" w:eastAsiaTheme="majorEastAsia" w:hAnsi="Times New Roman"/>
              <w:i/>
              <w:sz w:val="24"/>
              <w:szCs w:val="24"/>
            </w:rPr>
            <w:t>Shpjegoni se çfarë shpreson të trajtojë qeveria nëpërmjet kësaj ndërhyrjeje.</w:t>
          </w:r>
        </w:p>
        <w:p w14:paraId="036157E1" w14:textId="77777777" w:rsidR="00372979" w:rsidRPr="00372979" w:rsidRDefault="00372979" w:rsidP="00673F28">
          <w:pPr>
            <w:pStyle w:val="ListParagraph"/>
            <w:numPr>
              <w:ilvl w:val="0"/>
              <w:numId w:val="6"/>
            </w:numPr>
            <w:spacing w:after="0" w:line="276" w:lineRule="auto"/>
            <w:jc w:val="both"/>
            <w:rPr>
              <w:rFonts w:ascii="Times New Roman" w:eastAsiaTheme="majorEastAsia" w:hAnsi="Times New Roman"/>
              <w:i/>
              <w:sz w:val="24"/>
              <w:szCs w:val="24"/>
            </w:rPr>
          </w:pPr>
          <w:r w:rsidRPr="6875B2D2">
            <w:rPr>
              <w:rFonts w:ascii="Times New Roman" w:eastAsiaTheme="majorEastAsia" w:hAnsi="Times New Roman"/>
              <w:i/>
              <w:sz w:val="24"/>
              <w:szCs w:val="24"/>
            </w:rPr>
            <w:t>Shpjegoni se si i mbështet kjo ndërhyrje objektivat e nivelit të lartë të qeverisë.</w:t>
          </w:r>
        </w:p>
        <w:p w14:paraId="796883EF" w14:textId="694F60A4" w:rsidR="009E64A4" w:rsidRPr="00372979" w:rsidRDefault="00372979" w:rsidP="00673F28">
          <w:pPr>
            <w:pStyle w:val="ListParagraph"/>
            <w:numPr>
              <w:ilvl w:val="0"/>
              <w:numId w:val="6"/>
            </w:numPr>
            <w:spacing w:after="0" w:line="276" w:lineRule="auto"/>
            <w:jc w:val="both"/>
            <w:rPr>
              <w:rFonts w:ascii="Times New Roman" w:eastAsiaTheme="majorEastAsia" w:hAnsi="Times New Roman"/>
              <w:i/>
              <w:sz w:val="24"/>
              <w:szCs w:val="24"/>
            </w:rPr>
          </w:pPr>
          <w:r w:rsidRPr="6875B2D2">
            <w:rPr>
              <w:rFonts w:ascii="Times New Roman" w:eastAsiaTheme="majorEastAsia" w:hAnsi="Times New Roman"/>
              <w:i/>
              <w:sz w:val="24"/>
              <w:szCs w:val="24"/>
            </w:rPr>
            <w:t>Rendisni punën ekzistuese që është realizuar tashmë.</w:t>
          </w:r>
        </w:p>
      </w:sdtContent>
    </w:sdt>
    <w:bookmarkStart w:id="14" w:name="_Toc506919735" w:displacedByCustomXml="next"/>
    <w:sdt>
      <w:sdtPr>
        <w:rPr>
          <w:rFonts w:eastAsiaTheme="majorEastAsia"/>
          <w:color w:val="808080" w:themeColor="background1" w:themeShade="80"/>
        </w:rPr>
        <w:id w:val="-1918160353"/>
        <w:placeholder>
          <w:docPart w:val="CACB70A1168B411595FAC6FC6BEBF98B"/>
        </w:placeholder>
      </w:sdtPr>
      <w:sdtContent>
        <w:p w14:paraId="18BA52DE" w14:textId="1D310F41" w:rsidR="002F08F4" w:rsidRPr="005F0EA8" w:rsidRDefault="002F08F4" w:rsidP="002F08F4">
          <w:pPr>
            <w:spacing w:after="120" w:line="288" w:lineRule="auto"/>
            <w:jc w:val="both"/>
            <w:rPr>
              <w:color w:val="808080" w:themeColor="background1" w:themeShade="80"/>
            </w:rPr>
          </w:pPr>
          <w:r w:rsidRPr="2BF24FF9">
            <w:rPr>
              <w:rFonts w:eastAsia="Calibri"/>
              <w:kern w:val="2"/>
              <w14:ligatures w14:val="standardContextual"/>
            </w:rPr>
            <w:t xml:space="preserve">Ligji nr. 66/2016 </w:t>
          </w:r>
          <w:r w:rsidRPr="6875B2D2">
            <w:rPr>
              <w:rFonts w:eastAsia="Calibri"/>
              <w:i/>
              <w:kern w:val="2"/>
              <w14:ligatures w14:val="standardContextual"/>
            </w:rPr>
            <w:t>“Për shërbimet në Republikën e Shqipërisë”</w:t>
          </w:r>
          <w:r w:rsidRPr="2BF24FF9">
            <w:rPr>
              <w:rFonts w:eastAsia="Calibri"/>
              <w:kern w:val="2"/>
              <w14:ligatures w14:val="standardContextual"/>
            </w:rPr>
            <w:t xml:space="preserve"> nuk është ende plotësisht i përafruar me Direktivën 2006/123/KE. Ky boshllëk ligjor e praktik kufizon funksionimin e tregut të shërbimeve, pengon ushtrimin e lirë të tyre dhe vonon përmbushjen e detyrimeve të Shqipërisë në kuadër të procesit të integrimit evropian. Raportet e progresit të Komisionit Evropian dhe analiza e kryer në nivel kombëtar kanë evidentuar se boshllëqet në Ligjin për Shërbimet cenojnë transparencën, barazinë e trajtimit të operatorëve dhe përputhshmërinë me acquis. Për këtë arsye, qeveria e konsideron ndërhyrjen të domosdoshme.</w:t>
          </w:r>
        </w:p>
        <w:p w14:paraId="016BE656" w14:textId="77777777" w:rsidR="00DE72D5" w:rsidRPr="005F0EA8" w:rsidRDefault="00DE72D5" w:rsidP="1A98504A">
          <w:pPr>
            <w:pStyle w:val="NormalWeb"/>
            <w:shd w:val="clear" w:color="auto" w:fill="FFFFFF" w:themeFill="background1"/>
            <w:spacing w:beforeAutospacing="0" w:after="120" w:afterAutospacing="0" w:line="288" w:lineRule="auto"/>
            <w:contextualSpacing/>
            <w:jc w:val="both"/>
            <w:textAlignment w:val="baseline"/>
            <w:rPr>
              <w:rFonts w:eastAsia="Calibri"/>
              <w:color w:val="000000"/>
            </w:rPr>
          </w:pPr>
          <w:r w:rsidRPr="6875B2D2">
            <w:rPr>
              <w:rFonts w:eastAsia="Calibri"/>
              <w:color w:val="000000" w:themeColor="text1"/>
            </w:rPr>
            <w:t>Nevoja për një ndërhyrje dhe përafrim të plotë me Direktivën e Shërbimeve lind nga faktorë të shumtë. Këto përfshijnë si qëllimin afatgjatë të integrimit në BE, me një datë të synuar 2030, sipas projeksioneve të pasqyruara në Strategjinë Kombëtare për Integrimin Evropian (SKZHI), ashtu edhe nevojën e brendshme për të përmirësuar klimën e përgjithshme të biznesit, duke nxitur një stabilitet më të madh ekonomik, transparencë si dhe mbrojtjen e konsumatorit. Ky është një proces i shumëanshëm që kërkon transformime institucionale, rregullatore dhe të tregut në përputhje me standardet e BE.</w:t>
          </w:r>
        </w:p>
        <w:p w14:paraId="23702B2A" w14:textId="7DE3EFB7" w:rsidR="00DE72D5" w:rsidRPr="005F0EA8" w:rsidRDefault="00DE72D5" w:rsidP="1A98504A">
          <w:pPr>
            <w:pStyle w:val="NormalWeb"/>
            <w:shd w:val="clear" w:color="auto" w:fill="FFFFFF" w:themeFill="background1"/>
            <w:spacing w:beforeAutospacing="0" w:after="120" w:afterAutospacing="0" w:line="288" w:lineRule="auto"/>
            <w:contextualSpacing/>
            <w:jc w:val="both"/>
            <w:textAlignment w:val="baseline"/>
          </w:pPr>
          <w:r w:rsidRPr="1A98504A">
            <w:rPr>
              <w:rFonts w:eastAsia="Calibri"/>
              <w:color w:val="000000"/>
            </w:rPr>
            <w:t xml:space="preserve">Kjo ndërhyrje fillimisht lidhet me domosdoshmërinë e përafrimit të Direktivës 2006/123/KE për ofrimin e shërbimeve, si hapi i radhës drejt procesit të integrimit. </w:t>
          </w:r>
          <w:r w:rsidRPr="005F0EA8">
            <w:t>Anëtarësimi i Republikës së Shqipërisë në BE mbetet objektivi kryesor strategjik i Republikës së Shqipërisë. Qeveria shqiptare në programin e saj qeverisës ka përcaktuar se “</w:t>
          </w:r>
          <w:r w:rsidRPr="6875B2D2">
            <w:rPr>
              <w:i/>
            </w:rPr>
            <w:t>Evropa e Bashkuar është busulla jonë dhe familja natyrale të cilës i përkasim, por ku ende mungojmë</w:t>
          </w:r>
          <w:r w:rsidRPr="005F0EA8">
            <w:t>”. Integrimi Evropian është synimi politik dhe strategjik më i rëndësishëm i Shqipërisë dhe i sistemeve të saj ligjore, ekonomike dhe institucionale. Procesi i integrimit në BE përfaqëson mbështetjen për demokratizimin e Shqipërisë, konsolidimin e institucioneve dhe të sundimit të ligjit dhe proceseve të vazhdueshme të reformave themelore në drejtim të BE dhe anëtarësimit të plotë</w:t>
          </w:r>
          <w:r w:rsidRPr="6875B2D2">
            <w:rPr>
              <w:rStyle w:val="FootnoteReference"/>
              <w:rFonts w:eastAsia="SimSun"/>
              <w:sz w:val="24"/>
              <w:szCs w:val="24"/>
            </w:rPr>
            <w:footnoteReference w:id="4"/>
          </w:r>
          <w:r w:rsidRPr="005F0EA8">
            <w:t>.</w:t>
          </w:r>
        </w:p>
        <w:p w14:paraId="2134AD66" w14:textId="77777777" w:rsidR="00DE72D5" w:rsidRPr="005F0EA8" w:rsidRDefault="00DE72D5" w:rsidP="1A98504A">
          <w:pPr>
            <w:pStyle w:val="NormalWeb"/>
            <w:shd w:val="clear" w:color="auto" w:fill="FFFFFF" w:themeFill="background1"/>
            <w:spacing w:beforeAutospacing="0" w:after="120" w:afterAutospacing="0" w:line="288" w:lineRule="auto"/>
            <w:contextualSpacing/>
            <w:jc w:val="both"/>
            <w:textAlignment w:val="baseline"/>
          </w:pPr>
        </w:p>
        <w:p w14:paraId="4F62B9E9" w14:textId="77777777" w:rsidR="003F4F38" w:rsidRPr="005F0EA8" w:rsidRDefault="003F4F38" w:rsidP="1A98504A">
          <w:pPr>
            <w:pStyle w:val="NormalWeb"/>
            <w:shd w:val="clear" w:color="auto" w:fill="FFFFFF" w:themeFill="background1"/>
            <w:spacing w:beforeAutospacing="0" w:after="120" w:afterAutospacing="0" w:line="288" w:lineRule="auto"/>
            <w:contextualSpacing/>
            <w:jc w:val="both"/>
            <w:textAlignment w:val="baseline"/>
          </w:pPr>
          <w:r w:rsidRPr="1A98504A">
            <w:rPr>
              <w:rFonts w:eastAsia="Calibri"/>
              <w:color w:val="000000"/>
            </w:rPr>
            <w:t>Në vijim, përafrimi i legjislacionit përbën ndër shtyllat kryesore për  procesin e integrimit.</w:t>
          </w:r>
          <w:r w:rsidRPr="005F0EA8">
            <w:t xml:space="preserve"> </w:t>
          </w:r>
          <w:r w:rsidRPr="1A98504A">
            <w:rPr>
              <w:rFonts w:eastAsia="Calibri"/>
              <w:color w:val="000000"/>
            </w:rPr>
            <w:t>Përafrimi i plotë i legjislacionit shqiptar me legjislacionin e BE dhe zbatimi i plotë dhe efektiv i tij, janë një nga kriteret e Kopenhagenit për anëtarësimin në BE. Procesi i negociatave të anëtarësimit është në vetvete procesi i përafrimit të legjislacionit shqiptar me legjislacionin e BE</w:t>
          </w:r>
          <w:r w:rsidRPr="6875B2D2">
            <w:rPr>
              <w:rStyle w:val="FootnoteReference"/>
              <w:rFonts w:eastAsia="Calibri"/>
              <w:sz w:val="24"/>
              <w:szCs w:val="24"/>
            </w:rPr>
            <w:footnoteReference w:id="5"/>
          </w:r>
          <w:r w:rsidRPr="1A98504A">
            <w:rPr>
              <w:rFonts w:eastAsia="Calibri"/>
              <w:color w:val="000000"/>
            </w:rPr>
            <w:t>.</w:t>
          </w:r>
        </w:p>
        <w:p w14:paraId="115A31CB" w14:textId="1982FFDB" w:rsidR="002F08F4" w:rsidRPr="005F0EA8" w:rsidRDefault="003F4F38" w:rsidP="00B24961">
          <w:pPr>
            <w:spacing w:line="288" w:lineRule="auto"/>
            <w:jc w:val="both"/>
            <w:rPr>
              <w:rFonts w:eastAsiaTheme="majorEastAsia"/>
              <w:color w:val="808080" w:themeColor="background1" w:themeShade="80"/>
            </w:rPr>
          </w:pPr>
          <w:r w:rsidRPr="6875B2D2">
            <w:rPr>
              <w:rFonts w:eastAsia="Calibri"/>
              <w:color w:val="000000" w:themeColor="text1"/>
            </w:rPr>
            <w:t>Direktiva e Shërbimeve është një nga kornizat kryesore ligjore që rregullon tregun e brendshëm për shërbimet brenda BE, me fokus kryesor heqjen e pengesave për lëvizjen e lirë të shërbimeve përtej kufijve, të promovojë konkurrencën dhe të sigurojë që ofruesit e shërbimeve të mund të operojnë më lirshëm në shtete të ndryshme anëtare. Duke përafruar plotësisht Direktivën e Shërbimeve, Shqipëria mund të përmirësojë kuadrin e saj rregullator për ofrimin e shërbimeve, të reduktojë barrën administrative dhe të nxisë një treg më të hapur dhe konkurrues. Kjo përfshin reduktimin e kërkesave të panevojshme për licencim, thjeshtimin e procedurave të autorizimit dhe krijimin e rregulloreve transparente që lejojnë bizneset, veçanërisht ndërmarrjet e vogla dhe të mesme (SME-të), të operojnë me më pak pengesa. Nga ana tjetër, promovon sipërmarrjen, inkurajon investimet e huaja direkte dhe përmirëson tregtinë ndërkufitare në</w:t>
          </w:r>
        </w:p>
        <w:p w14:paraId="105053CC" w14:textId="77777777" w:rsidR="00EB3E53" w:rsidRPr="005F0EA8" w:rsidRDefault="00EB3E53" w:rsidP="00B24961">
          <w:pPr>
            <w:pStyle w:val="NormalWeb"/>
            <w:shd w:val="clear" w:color="auto" w:fill="FFFFFF" w:themeFill="background1"/>
            <w:spacing w:beforeAutospacing="0" w:afterAutospacing="0" w:line="288" w:lineRule="auto"/>
            <w:contextualSpacing/>
            <w:jc w:val="both"/>
            <w:textAlignment w:val="baseline"/>
            <w:rPr>
              <w:rFonts w:eastAsia="Calibri"/>
              <w:color w:val="000000"/>
            </w:rPr>
          </w:pPr>
          <w:r w:rsidRPr="6875B2D2">
            <w:rPr>
              <w:rFonts w:eastAsia="Calibri"/>
              <w:color w:val="000000" w:themeColor="text1"/>
            </w:rPr>
            <w:t>shërbime.</w:t>
          </w:r>
          <w:r w:rsidRPr="6875B2D2">
            <w:t xml:space="preserve"> </w:t>
          </w:r>
          <w:r w:rsidRPr="6875B2D2">
            <w:rPr>
              <w:rFonts w:eastAsia="Calibri"/>
              <w:color w:val="000000" w:themeColor="text1"/>
            </w:rPr>
            <w:t>Zbatimi i plotë i direktivës do të çonte në krijimin e mekanizmave më të fortë për të mbrojtur të drejtat e konsumatorëve, për të garantuar cilësinë dhe sigurinë e shërbimeve.</w:t>
          </w:r>
        </w:p>
        <w:p w14:paraId="74AB68B0" w14:textId="77777777" w:rsidR="00EB3E53" w:rsidRPr="005F0EA8" w:rsidRDefault="00EB3E53" w:rsidP="1A98504A">
          <w:pPr>
            <w:pStyle w:val="NormalWeb"/>
            <w:shd w:val="clear" w:color="auto" w:fill="FFFFFF" w:themeFill="background1"/>
            <w:spacing w:beforeAutospacing="0" w:after="120" w:afterAutospacing="0" w:line="288" w:lineRule="auto"/>
            <w:contextualSpacing/>
            <w:jc w:val="both"/>
            <w:textAlignment w:val="baseline"/>
            <w:rPr>
              <w:rFonts w:eastAsia="Calibri"/>
              <w:color w:val="000000"/>
            </w:rPr>
          </w:pPr>
        </w:p>
        <w:p w14:paraId="1C71291E" w14:textId="73A29E07" w:rsidR="002F08F4" w:rsidRPr="005F0EA8" w:rsidRDefault="00EB3E53" w:rsidP="00EB3E53">
          <w:pPr>
            <w:spacing w:after="120" w:line="288" w:lineRule="auto"/>
            <w:jc w:val="both"/>
            <w:rPr>
              <w:rFonts w:eastAsiaTheme="majorEastAsia"/>
              <w:color w:val="808080" w:themeColor="background1" w:themeShade="80"/>
            </w:rPr>
          </w:pPr>
          <w:r w:rsidRPr="6875B2D2">
            <w:rPr>
              <w:rFonts w:eastAsia="Calibri"/>
              <w:color w:val="000000" w:themeColor="text1"/>
            </w:rPr>
            <w:t>Një aspekt tjetër thelbësor është gatishmëria e administratës publike të Shqipërisë për t’i zbatuar këto ndryshime me efektivitet. Tranzicioni drejt përputhshmërisë me standartet e BE përfshin një barrë të konsiderueshme administrative që kërkon më shumë sesa thjesht ndryshime legjislative por edhe  trajnimin e nëpunësve civilë, përmirësimin dhe rritjen e kapaciteteve institucionale dhe zhvillimin e kornizave të forta ligjore dhe teknike për të ofruar një mjedis lehtësues për tregun e shërbimeve, për të qenë më konkurrues në treg, si dhe për të garantuar interesat e marrësve të shërbimeve</w:t>
          </w:r>
          <w:r w:rsidR="00C615E3" w:rsidRPr="6875B2D2">
            <w:rPr>
              <w:rFonts w:eastAsia="Calibri"/>
              <w:color w:val="000000" w:themeColor="text1"/>
            </w:rPr>
            <w:t>.</w:t>
          </w:r>
        </w:p>
        <w:p w14:paraId="409557FF" w14:textId="77777777" w:rsidR="00C615E3" w:rsidRPr="005F0EA8" w:rsidRDefault="00C615E3" w:rsidP="1A98504A">
          <w:pPr>
            <w:pStyle w:val="NormalWeb"/>
            <w:shd w:val="clear" w:color="auto" w:fill="FFFFFF" w:themeFill="background1"/>
            <w:spacing w:beforeAutospacing="0" w:after="120" w:afterAutospacing="0" w:line="288" w:lineRule="auto"/>
            <w:jc w:val="both"/>
            <w:textAlignment w:val="baseline"/>
            <w:rPr>
              <w:rFonts w:eastAsia="Calibri"/>
              <w:color w:val="000000"/>
            </w:rPr>
          </w:pPr>
          <w:r w:rsidRPr="6875B2D2">
            <w:rPr>
              <w:rFonts w:eastAsia="Calibri"/>
              <w:color w:val="000000" w:themeColor="text1"/>
            </w:rPr>
            <w:t>Po aq i rëndësishëm është aspekti i bashkëpunimit administrativ, veçanërisht në kuadrin e ofrimit të shërbimeve ndërkufitare dhe sigurimit të zbatimit të pandërprerë të rregullave të BE. Një nga mjetet kryesore në këtë bashkëpunim është Sistemi i Informacionit të Tregut të Brendshëm (IMI). Sistemi IMI është thelbësor për sigurimin e bashkëpunimit efektiv midis autoriteteve kombëtare në shtete të ndryshme anëtare, duke i ndihmuar ata të menaxhojnë çështjet ndërkufitare, të ndajnë informacionin në mënyrë më efikase. Duke krijuar kushtet për të ndërvepruar me sistemin IMI, Shqipëria mund të përmirësojë transparencën, të zvogëlojë barrën administrative dhe të sigurojë që është plotësisht e pajisur për të menaxhuar aspektet ndërkufitare të tregut të brendshëm pas anëtarësimit.</w:t>
          </w:r>
        </w:p>
        <w:p w14:paraId="3C5DA93A" w14:textId="77F17CB6" w:rsidR="00C615E3" w:rsidRPr="005F0EA8" w:rsidRDefault="00C615E3" w:rsidP="1A98504A">
          <w:pPr>
            <w:pStyle w:val="NormalWeb"/>
            <w:shd w:val="clear" w:color="auto" w:fill="FFFFFF" w:themeFill="background1"/>
            <w:spacing w:beforeAutospacing="0" w:after="120" w:afterAutospacing="0" w:line="288" w:lineRule="auto"/>
            <w:jc w:val="both"/>
            <w:textAlignment w:val="baseline"/>
          </w:pPr>
          <w:r w:rsidRPr="6875B2D2">
            <w:rPr>
              <w:rFonts w:eastAsia="Calibri"/>
              <w:color w:val="000000" w:themeColor="text1"/>
            </w:rPr>
            <w:t>Vlen të theksohet se kjo nismë vjen si fazë e dytë e një iniciativë të nisur me miratimin e Ligjit për Shërbimet në vitin 2016, akteve në zbatim të tij (VKM 299/2017 dhe VKM 300/2017) si dhe krijimi sistemin e koordinimit ndër-institucional për implementimin e parashikimeve të diktuara në përputhje me direktivën edhe në legjislacionin sektorial.</w:t>
          </w:r>
          <w:r w:rsidRPr="6875B2D2">
            <w:t xml:space="preserve"> Një pjesë e mirë e dispozitave të këtij ligji, siç u theksua më lart, janë trupëzuar në akte ligjore të tjera kuadër (Kodi i Procedurave Administrative, Ligji për Lejet dhe Licencat, i ndryshuar etj.). </w:t>
          </w:r>
        </w:p>
        <w:p w14:paraId="0AEC8C70" w14:textId="67EBD108" w:rsidR="00A3294E" w:rsidRPr="005F0EA8" w:rsidRDefault="00A3294E" w:rsidP="1A98504A">
          <w:pPr>
            <w:pStyle w:val="NormalWeb"/>
            <w:shd w:val="clear" w:color="auto" w:fill="FFFFFF" w:themeFill="background1"/>
            <w:spacing w:beforeAutospacing="0" w:after="120" w:afterAutospacing="0" w:line="288" w:lineRule="auto"/>
            <w:jc w:val="both"/>
            <w:textAlignment w:val="baseline"/>
          </w:pPr>
          <w:r w:rsidRPr="005F0EA8">
            <w:t>Pengesat</w:t>
          </w:r>
          <w:r w:rsidRPr="005F0EA8">
            <w:rPr>
              <w:rFonts w:eastAsia="Calibri"/>
              <w:color w:val="000000"/>
            </w:rPr>
            <w:t xml:space="preserve"> për lirinë e vendosjes dhe lëvizjen e lirë të shërbimeve nën drejtimin e Ministrisë përgjegjëse për ekonominë</w:t>
          </w:r>
          <w:r w:rsidRPr="6875B2D2">
            <w:rPr>
              <w:rStyle w:val="FootnoteReference"/>
              <w:rFonts w:eastAsia="Calibri"/>
              <w:sz w:val="24"/>
              <w:szCs w:val="24"/>
            </w:rPr>
            <w:footnoteReference w:id="6"/>
          </w:r>
          <w:r w:rsidRPr="005F0EA8">
            <w:rPr>
              <w:rFonts w:eastAsia="Calibri"/>
              <w:color w:val="000000"/>
            </w:rPr>
            <w:t xml:space="preserve"> e me mbështetjen e asistencës teknike gjermane, janë evidentuar ne </w:t>
          </w:r>
          <w:r w:rsidRPr="6875B2D2">
            <w:rPr>
              <w:rFonts w:eastAsia="Calibri"/>
              <w:i/>
              <w:color w:val="000000"/>
            </w:rPr>
            <w:t>screening</w:t>
          </w:r>
          <w:r w:rsidRPr="005F0EA8">
            <w:rPr>
              <w:rFonts w:eastAsia="Calibri"/>
              <w:color w:val="000000"/>
            </w:rPr>
            <w:t>-un e shërbimeve në dhjetor 2022</w:t>
          </w:r>
          <w:r w:rsidRPr="6875B2D2">
            <w:rPr>
              <w:rStyle w:val="FootnoteReference"/>
              <w:rFonts w:eastAsia="Calibri"/>
              <w:sz w:val="24"/>
              <w:szCs w:val="24"/>
            </w:rPr>
            <w:footnoteReference w:id="7"/>
          </w:r>
          <w:r w:rsidRPr="005F0EA8">
            <w:rPr>
              <w:rFonts w:eastAsia="Calibri"/>
              <w:color w:val="000000"/>
            </w:rPr>
            <w:t xml:space="preserve">. Bazuar mbi rezultatet e </w:t>
          </w:r>
          <w:r w:rsidRPr="6875B2D2">
            <w:rPr>
              <w:rFonts w:eastAsia="Calibri"/>
              <w:i/>
              <w:color w:val="000000"/>
            </w:rPr>
            <w:t>screening</w:t>
          </w:r>
          <w:r w:rsidRPr="005F0EA8">
            <w:rPr>
              <w:rFonts w:eastAsia="Calibri"/>
              <w:color w:val="000000"/>
            </w:rPr>
            <w:t xml:space="preserve"> është krijuar një databazë e qartë për gjitha ndryshimet e nevojshme në legjislacionin kuadër dhe atë sektorial, në përputhje më parashikimet e përfshira nga Ligji për Shërbimet deri tani. </w:t>
          </w:r>
        </w:p>
        <w:p w14:paraId="2FD45EDF" w14:textId="77777777" w:rsidR="00A3294E" w:rsidRDefault="00A3294E" w:rsidP="1A98504A">
          <w:pPr>
            <w:shd w:val="clear" w:color="auto" w:fill="FFFFFF" w:themeFill="background1"/>
            <w:spacing w:after="120" w:line="288" w:lineRule="auto"/>
            <w:jc w:val="both"/>
            <w:textAlignment w:val="baseline"/>
            <w:rPr>
              <w:rFonts w:eastAsia="Calibri"/>
              <w:color w:val="000000"/>
            </w:rPr>
          </w:pPr>
          <w:r w:rsidRPr="2BF24FF9">
            <w:rPr>
              <w:rFonts w:eastAsia="Calibri"/>
              <w:color w:val="000000"/>
            </w:rPr>
            <w:t>Në vijim, duke marrë në konsideratë faktin qe janë hapur formalisht negociatat me BE përafrimi i plote legjislacionit është kërkesë e kohës dhe është përcaktuar si një ndër hapat parësorë në</w:t>
          </w:r>
          <w:r w:rsidRPr="2BF24FF9">
            <w:t xml:space="preserve"> </w:t>
          </w:r>
          <w:r w:rsidRPr="2BF24FF9">
            <w:rPr>
              <w:rFonts w:eastAsia="Calibri"/>
              <w:color w:val="000000"/>
            </w:rPr>
            <w:t>Planin Kombëtar për Integrimin Evropian 2024-2026 dhe miratimin brenda vitit 2025 (PKIE 2024-2026)</w:t>
          </w:r>
          <w:r w:rsidRPr="2BF24FF9">
            <w:rPr>
              <w:rFonts w:eastAsia="Calibri"/>
              <w:vertAlign w:val="superscript"/>
            </w:rPr>
            <w:footnoteReference w:id="8"/>
          </w:r>
          <w:r w:rsidRPr="2BF24FF9">
            <w:rPr>
              <w:rFonts w:eastAsia="Calibri"/>
              <w:color w:val="000000"/>
            </w:rPr>
            <w:t>.</w:t>
          </w:r>
        </w:p>
        <w:p w14:paraId="3ECFE814" w14:textId="3AC5E7D8" w:rsidR="001C08AD" w:rsidRPr="005F0EA8" w:rsidRDefault="001C08AD" w:rsidP="1A98504A">
          <w:pPr>
            <w:shd w:val="clear" w:color="auto" w:fill="FFFFFF" w:themeFill="background1"/>
            <w:spacing w:after="120" w:line="288" w:lineRule="auto"/>
            <w:jc w:val="both"/>
            <w:textAlignment w:val="baseline"/>
            <w:rPr>
              <w:rFonts w:eastAsia="Calibri"/>
              <w:color w:val="000000"/>
            </w:rPr>
          </w:pPr>
          <w:r w:rsidRPr="001C08AD">
            <w:rPr>
              <w:rFonts w:eastAsia="Calibri"/>
              <w:color w:val="000000"/>
            </w:rPr>
            <w:t xml:space="preserve">Qeveria synon të trajtojë boshllëqet rregullatore që ekzistojnë aktualisht në Ligjin nr. 66/2016 “Për shërbimet në Republikën e Shqipërisë”, të cilat e pengojnë funksionimin e plotë, të unifikuar dhe konkurrues të tregut të shërbimeve në Shqipëri. Përmes kësaj ndërhyrjeje, qeveria </w:t>
          </w:r>
          <w:r>
            <w:rPr>
              <w:rFonts w:eastAsia="Calibri"/>
              <w:color w:val="000000"/>
            </w:rPr>
            <w:t>synon</w:t>
          </w:r>
          <w:r w:rsidRPr="001C08AD">
            <w:rPr>
              <w:rFonts w:eastAsia="Calibri"/>
              <w:color w:val="000000"/>
            </w:rPr>
            <w:t>:</w:t>
          </w:r>
        </w:p>
        <w:p w14:paraId="29A1161B" w14:textId="2B501268" w:rsidR="00D02642" w:rsidRDefault="00D02642" w:rsidP="00A3294E">
          <w:pPr>
            <w:spacing w:after="120" w:line="288" w:lineRule="auto"/>
            <w:jc w:val="both"/>
            <w:rPr>
              <w:rFonts w:eastAsia="Calibri"/>
              <w:kern w:val="2"/>
              <w14:ligatures w14:val="standardContextual"/>
            </w:rPr>
          </w:pPr>
        </w:p>
        <w:p w14:paraId="70F4A91E" w14:textId="77777777" w:rsidR="001C08AD" w:rsidRPr="00F955A6" w:rsidRDefault="001C08AD" w:rsidP="00CC709C">
          <w:pPr>
            <w:pStyle w:val="Heading3"/>
            <w:numPr>
              <w:ilvl w:val="0"/>
              <w:numId w:val="37"/>
            </w:numPr>
          </w:pPr>
          <w:r>
            <w:rPr>
              <w:rStyle w:val="Strong"/>
              <w:b/>
              <w:bCs/>
            </w:rPr>
            <w:t>përafrim të plotë me Direktivën 2006/123/KE</w:t>
          </w:r>
        </w:p>
        <w:p w14:paraId="0941200D" w14:textId="03600C23" w:rsidR="001C08AD" w:rsidRDefault="001C08AD" w:rsidP="001C08AD">
          <w:pPr>
            <w:pStyle w:val="NormalWeb"/>
            <w:ind w:left="360"/>
            <w:jc w:val="both"/>
          </w:pPr>
          <w:r>
            <w:t>Ndryshimet synojnë të integrojnë dispozita të rëndësishme të Direktivës të cilat aktualisht mungojnë, si liria e ofrimit të shërbimeve ndërkufitare, bashkëpunimi administrativ mes autoriteteve, përdorimi i Sistemit IMI dhe njohja e garancive profesionale. Përafrimi i plotë do të garantojë përputhshmëri me standardet e BE-së dhe përgatitjen e vendit për fazat e ardhshme të procesit të integrimit;</w:t>
          </w:r>
        </w:p>
        <w:p w14:paraId="27BB8021" w14:textId="39DEDEF2" w:rsidR="001C08AD" w:rsidRPr="001C08AD" w:rsidRDefault="001C08AD" w:rsidP="00F955A6">
          <w:pPr>
            <w:pStyle w:val="NormalWeb"/>
            <w:ind w:left="360"/>
            <w:jc w:val="both"/>
            <w:rPr>
              <w:rFonts w:eastAsia="Calibri"/>
              <w:kern w:val="2"/>
              <w14:ligatures w14:val="standardContextual"/>
            </w:rPr>
          </w:pPr>
          <w:r>
            <w:rPr>
              <w:rFonts w:eastAsia="Calibri"/>
              <w:kern w:val="2"/>
              <w14:ligatures w14:val="standardContextual"/>
            </w:rPr>
            <w:t>f</w:t>
          </w:r>
          <w:r w:rsidRPr="001C08AD">
            <w:rPr>
              <w:rFonts w:eastAsia="Calibri"/>
              <w:kern w:val="2"/>
              <w14:ligatures w14:val="standardContextual"/>
            </w:rPr>
            <w:t>orcojë sigurinë juridike për operatorët ekonomikë</w:t>
          </w:r>
          <w:r>
            <w:rPr>
              <w:rFonts w:eastAsia="Calibri"/>
              <w:kern w:val="2"/>
              <w14:ligatures w14:val="standardContextual"/>
            </w:rPr>
            <w:t>;</w:t>
          </w:r>
        </w:p>
        <w:p w14:paraId="1BA359C2" w14:textId="77777777" w:rsidR="00EA6A3C" w:rsidRPr="005F0EA8" w:rsidRDefault="00EA6A3C" w:rsidP="00CC709C">
          <w:pPr>
            <w:numPr>
              <w:ilvl w:val="0"/>
              <w:numId w:val="15"/>
            </w:numPr>
            <w:spacing w:after="120" w:line="288" w:lineRule="auto"/>
            <w:jc w:val="both"/>
            <w:rPr>
              <w:rFonts w:eastAsia="Calibri"/>
              <w:kern w:val="2"/>
              <w14:ligatures w14:val="standardContextual"/>
            </w:rPr>
          </w:pPr>
          <w:r w:rsidRPr="2BF24FF9">
            <w:rPr>
              <w:rFonts w:eastAsia="Calibri"/>
              <w:kern w:val="2"/>
              <w14:ligatures w14:val="standardContextual"/>
            </w:rPr>
            <w:t>eliminimin e pengesave diskriminuese dhe joproporcionale për ofruesit e shërbimeve;</w:t>
          </w:r>
        </w:p>
        <w:p w14:paraId="64B73AA5" w14:textId="77777777" w:rsidR="00EA6A3C" w:rsidRPr="005F0EA8" w:rsidRDefault="00EA6A3C" w:rsidP="00CC709C">
          <w:pPr>
            <w:numPr>
              <w:ilvl w:val="0"/>
              <w:numId w:val="15"/>
            </w:numPr>
            <w:spacing w:after="120" w:line="288" w:lineRule="auto"/>
            <w:jc w:val="both"/>
            <w:rPr>
              <w:rFonts w:eastAsia="Calibri"/>
              <w:kern w:val="2"/>
              <w14:ligatures w14:val="standardContextual"/>
            </w:rPr>
          </w:pPr>
          <w:r w:rsidRPr="2BF24FF9">
            <w:rPr>
              <w:rFonts w:eastAsia="Calibri"/>
              <w:kern w:val="2"/>
              <w14:ligatures w14:val="standardContextual"/>
            </w:rPr>
            <w:t>krijimin e parakushteve për ndërveprim me mekanizmat e BE, veçanërisht Sistemin e Informacionit të Tregut të Brendshëm (IMI);</w:t>
          </w:r>
        </w:p>
        <w:p w14:paraId="6451BD9B" w14:textId="77777777" w:rsidR="00EA6A3C" w:rsidRPr="005F0EA8" w:rsidRDefault="00EA6A3C" w:rsidP="00CC709C">
          <w:pPr>
            <w:numPr>
              <w:ilvl w:val="0"/>
              <w:numId w:val="15"/>
            </w:numPr>
            <w:spacing w:after="120" w:line="288" w:lineRule="auto"/>
            <w:jc w:val="both"/>
            <w:rPr>
              <w:rFonts w:eastAsia="Calibri"/>
              <w:kern w:val="2"/>
              <w14:ligatures w14:val="standardContextual"/>
            </w:rPr>
          </w:pPr>
          <w:r w:rsidRPr="2BF24FF9">
            <w:rPr>
              <w:rFonts w:eastAsia="Calibri"/>
              <w:kern w:val="2"/>
              <w14:ligatures w14:val="standardContextual"/>
            </w:rPr>
            <w:t>lehtësimin e qasjes në treg për operatorët vendas dhe të huaj;</w:t>
          </w:r>
        </w:p>
        <w:p w14:paraId="2EE3D234" w14:textId="361BC879" w:rsidR="00EA6A3C" w:rsidRDefault="001C08AD" w:rsidP="00CC709C">
          <w:pPr>
            <w:numPr>
              <w:ilvl w:val="0"/>
              <w:numId w:val="15"/>
            </w:numPr>
            <w:spacing w:after="120" w:line="288" w:lineRule="auto"/>
            <w:jc w:val="both"/>
            <w:rPr>
              <w:rFonts w:eastAsia="Calibri"/>
              <w:kern w:val="2"/>
              <w14:ligatures w14:val="standardContextual"/>
            </w:rPr>
          </w:pPr>
          <w:r>
            <w:rPr>
              <w:rFonts w:eastAsia="Calibri"/>
              <w:kern w:val="2"/>
              <w14:ligatures w14:val="standardContextual"/>
            </w:rPr>
            <w:t>g</w:t>
          </w:r>
          <w:r w:rsidRPr="001C08AD">
            <w:rPr>
              <w:rFonts w:eastAsia="Calibri"/>
              <w:kern w:val="2"/>
              <w14:ligatures w14:val="standardContextual"/>
            </w:rPr>
            <w:t>arantojë standarde më të larta të cilësisë dhe mbrojtjes së konsumatorit</w:t>
          </w:r>
          <w:r>
            <w:rPr>
              <w:rFonts w:eastAsia="Calibri"/>
              <w:kern w:val="2"/>
              <w14:ligatures w14:val="standardContextual"/>
            </w:rPr>
            <w:t>;</w:t>
          </w:r>
          <w:r w:rsidR="00EA6A3C" w:rsidRPr="2BF24FF9">
            <w:rPr>
              <w:rFonts w:eastAsia="Calibri"/>
              <w:kern w:val="2"/>
              <w14:ligatures w14:val="standardContextual"/>
            </w:rPr>
            <w:t>.</w:t>
          </w:r>
        </w:p>
        <w:p w14:paraId="3A7FC2B9" w14:textId="78B4DF45" w:rsidR="00B647EF" w:rsidRDefault="001C08AD" w:rsidP="00CC709C">
          <w:pPr>
            <w:numPr>
              <w:ilvl w:val="0"/>
              <w:numId w:val="15"/>
            </w:numPr>
            <w:spacing w:after="120" w:line="288" w:lineRule="auto"/>
            <w:jc w:val="both"/>
            <w:rPr>
              <w:rFonts w:eastAsia="Calibri"/>
              <w:kern w:val="2"/>
              <w14:ligatures w14:val="standardContextual"/>
            </w:rPr>
          </w:pPr>
          <w:r>
            <w:t>r</w:t>
          </w:r>
          <w:r w:rsidRPr="001C08AD">
            <w:t>risë bashkëpunimin administrativ me shtetet e BE-së</w:t>
          </w:r>
          <w:r>
            <w:t>,</w:t>
          </w:r>
          <w:r w:rsidR="00B647EF">
            <w:rPr>
              <w:rFonts w:eastAsia="Calibri"/>
              <w:kern w:val="2"/>
              <w14:ligatures w14:val="standardContextual"/>
            </w:rPr>
            <w:t>, monitorimi</w:t>
          </w:r>
          <w:r>
            <w:rPr>
              <w:rFonts w:eastAsia="Calibri"/>
              <w:kern w:val="2"/>
              <w14:ligatures w14:val="standardContextual"/>
            </w:rPr>
            <w:t>n</w:t>
          </w:r>
          <w:r w:rsidR="00B647EF">
            <w:rPr>
              <w:rFonts w:eastAsia="Calibri"/>
              <w:kern w:val="2"/>
              <w14:ligatures w14:val="standardContextual"/>
            </w:rPr>
            <w:t xml:space="preserve"> dhe </w:t>
          </w:r>
          <w:r w:rsidR="006B5ADD">
            <w:rPr>
              <w:rFonts w:eastAsia="Calibri"/>
              <w:kern w:val="2"/>
              <w14:ligatures w14:val="standardContextual"/>
            </w:rPr>
            <w:t>raportimi</w:t>
          </w:r>
          <w:r>
            <w:rPr>
              <w:rFonts w:eastAsia="Calibri"/>
              <w:kern w:val="2"/>
              <w14:ligatures w14:val="standardContextual"/>
            </w:rPr>
            <w:t>n</w:t>
          </w:r>
          <w:r w:rsidR="006B5ADD">
            <w:rPr>
              <w:rFonts w:eastAsia="Calibri"/>
              <w:kern w:val="2"/>
              <w14:ligatures w14:val="standardContextual"/>
            </w:rPr>
            <w:t xml:space="preserve">. </w:t>
          </w:r>
        </w:p>
        <w:p w14:paraId="756BE9B1" w14:textId="4DE6533A" w:rsidR="00E74C62" w:rsidRPr="00E74C62" w:rsidRDefault="001C08AD" w:rsidP="00CC709C">
          <w:pPr>
            <w:pStyle w:val="ListParagraph"/>
            <w:numPr>
              <w:ilvl w:val="0"/>
              <w:numId w:val="15"/>
            </w:numPr>
            <w:tabs>
              <w:tab w:val="clear" w:pos="567"/>
              <w:tab w:val="left" w:pos="360"/>
            </w:tabs>
            <w:spacing w:line="288" w:lineRule="auto"/>
            <w:jc w:val="both"/>
            <w:rPr>
              <w:rFonts w:eastAsia="Calibri"/>
              <w:kern w:val="2"/>
              <w14:ligatures w14:val="standardContextual"/>
            </w:rPr>
          </w:pPr>
          <w:r>
            <w:rPr>
              <w:rFonts w:eastAsia="Calibri"/>
              <w:kern w:val="2"/>
              <w14:ligatures w14:val="standardContextual"/>
            </w:rPr>
            <w:t>n</w:t>
          </w:r>
          <w:r w:rsidRPr="001C08AD">
            <w:rPr>
              <w:rFonts w:eastAsia="Calibri"/>
              <w:kern w:val="2"/>
              <w14:ligatures w14:val="standardContextual"/>
            </w:rPr>
            <w:t>xisë zhvillimin ekonomik dhe tërheqjen e investimeve</w:t>
          </w:r>
          <w:r>
            <w:rPr>
              <w:rFonts w:eastAsia="Calibri"/>
              <w:kern w:val="2"/>
              <w14:ligatures w14:val="standardContextual"/>
            </w:rPr>
            <w:t>;</w:t>
          </w:r>
          <w:r w:rsidR="00E74C62" w:rsidRPr="6875B2D2">
            <w:rPr>
              <w:rFonts w:ascii="Times New Roman" w:eastAsia="Calibri" w:hAnsi="Times New Roman"/>
              <w:kern w:val="2"/>
              <w:sz w:val="24"/>
              <w:szCs w:val="24"/>
              <w14:ligatures w14:val="standardContextual"/>
            </w:rPr>
            <w:t>si dhe, sistematizimin e plotë të dipozitave horizontale që përmban Direktiva 2006/123;</w:t>
          </w:r>
        </w:p>
        <w:p w14:paraId="7503E822" w14:textId="77777777" w:rsidR="00EA6A3C" w:rsidRPr="005F0EA8" w:rsidRDefault="00EA6A3C" w:rsidP="00EA6A3C">
          <w:pPr>
            <w:spacing w:after="120" w:line="288" w:lineRule="auto"/>
            <w:jc w:val="both"/>
            <w:rPr>
              <w:rFonts w:eastAsia="Calibri"/>
              <w:kern w:val="2"/>
              <w14:ligatures w14:val="standardContextual"/>
            </w:rPr>
          </w:pPr>
          <w:r w:rsidRPr="2BF24FF9">
            <w:rPr>
              <w:rFonts w:eastAsia="Calibri"/>
              <w:kern w:val="2"/>
              <w14:ligatures w14:val="standardContextual"/>
            </w:rPr>
            <w:t>Ndërhyrja lidhet ngushtësisht me objektivat strategjike të qeverisë për integrimin evropian. Përafrimi i plotë i legjislacionit shqiptar me acquis dhe zbatimi efektiv i tij përbën një nga kriteret e Kopenhagenit për anëtarësim. Objektivi politik dhe strategjik mbetet anëtarësimi i plotë në BE deri në vitin 2030, i përcaktuar në Strategjinë Kombëtare për Integrimin Evropian dhe në Planin Kombëtar për Integrimin Evropian 2024–2026. Përafrimi i Ligjit për Shërbimet kontribuon drejtpërdrejt në këtë synim, duke forcuar sundimin e ligjit, konsoliduar institucionet, përmirësuar klimën e biznesit dhe rritur konkurrueshmërinë e tregut.</w:t>
          </w:r>
        </w:p>
        <w:p w14:paraId="31ED58FD" w14:textId="77777777" w:rsidR="00EA6A3C" w:rsidRPr="005F0EA8" w:rsidRDefault="00EA6A3C" w:rsidP="00EA6A3C">
          <w:pPr>
            <w:spacing w:after="120" w:line="288" w:lineRule="auto"/>
            <w:jc w:val="both"/>
            <w:rPr>
              <w:rFonts w:eastAsia="Calibri"/>
              <w:kern w:val="2"/>
              <w14:ligatures w14:val="standardContextual"/>
            </w:rPr>
          </w:pPr>
          <w:r w:rsidRPr="2BF24FF9">
            <w:rPr>
              <w:rFonts w:eastAsia="Calibri"/>
              <w:kern w:val="2"/>
              <w14:ligatures w14:val="standardContextual"/>
            </w:rPr>
            <w:t>Procesi i screening-ut i zhvilluar në periudhën korrik 2020 – nëntor 2022, me mbështetjen e projektit GIZ SANECA, ka krijuar një bazë solide për ndërhyrje. Rezultatet kryesore:</w:t>
          </w:r>
        </w:p>
        <w:p w14:paraId="797BA651" w14:textId="77777777" w:rsidR="00EA6A3C" w:rsidRPr="005F0EA8" w:rsidRDefault="00EA6A3C" w:rsidP="00CC709C">
          <w:pPr>
            <w:numPr>
              <w:ilvl w:val="0"/>
              <w:numId w:val="16"/>
            </w:numPr>
            <w:spacing w:after="120" w:line="288" w:lineRule="auto"/>
            <w:jc w:val="both"/>
            <w:rPr>
              <w:rFonts w:eastAsia="Calibri"/>
              <w:kern w:val="2"/>
              <w14:ligatures w14:val="standardContextual"/>
            </w:rPr>
          </w:pPr>
          <w:r w:rsidRPr="2BF24FF9">
            <w:rPr>
              <w:rFonts w:eastAsia="Calibri"/>
              <w:kern w:val="2"/>
              <w14:ligatures w14:val="standardContextual"/>
            </w:rPr>
            <w:t>u identifikuan 275 akte (85 ligje dhe 190 akte nënligjore) që i përkasin fushës së Direktivës së Shërbimeve;</w:t>
          </w:r>
        </w:p>
        <w:p w14:paraId="17A86B69" w14:textId="77777777" w:rsidR="00EA6A3C" w:rsidRPr="005F0EA8" w:rsidRDefault="00EA6A3C" w:rsidP="00CC709C">
          <w:pPr>
            <w:numPr>
              <w:ilvl w:val="0"/>
              <w:numId w:val="16"/>
            </w:numPr>
            <w:spacing w:after="120" w:line="288" w:lineRule="auto"/>
            <w:jc w:val="both"/>
            <w:rPr>
              <w:rFonts w:eastAsia="Calibri"/>
              <w:kern w:val="2"/>
              <w14:ligatures w14:val="standardContextual"/>
            </w:rPr>
          </w:pPr>
          <w:r w:rsidRPr="2BF24FF9">
            <w:rPr>
              <w:rFonts w:eastAsia="Calibri"/>
              <w:kern w:val="2"/>
              <w14:ligatures w14:val="standardContextual"/>
            </w:rPr>
            <w:t>këto akte rregullojnë gjithsej 547 shërbime dhe aktivitete ekonomike;</w:t>
          </w:r>
        </w:p>
        <w:p w14:paraId="332D69E5" w14:textId="77777777" w:rsidR="00EA6A3C" w:rsidRPr="005F0EA8" w:rsidRDefault="00EA6A3C" w:rsidP="00CC709C">
          <w:pPr>
            <w:numPr>
              <w:ilvl w:val="0"/>
              <w:numId w:val="16"/>
            </w:numPr>
            <w:spacing w:after="120" w:line="288" w:lineRule="auto"/>
            <w:jc w:val="both"/>
            <w:rPr>
              <w:rFonts w:eastAsia="Calibri"/>
              <w:kern w:val="2"/>
              <w14:ligatures w14:val="standardContextual"/>
            </w:rPr>
          </w:pPr>
          <w:r w:rsidRPr="2BF24FF9">
            <w:rPr>
              <w:rFonts w:eastAsia="Calibri"/>
              <w:kern w:val="2"/>
              <w14:ligatures w14:val="standardContextual"/>
            </w:rPr>
            <w:t>u hartua një pasqyrë gjithëpërfshirëse mbi autoritetet përgjegjëse, kufizimet ekzistuese, masat për harmonizim dhe afatet kohore për miratimin e ndryshimeve;</w:t>
          </w:r>
        </w:p>
        <w:p w14:paraId="70444C5B" w14:textId="77777777" w:rsidR="00EA6A3C" w:rsidRPr="005F0EA8" w:rsidRDefault="00EA6A3C" w:rsidP="00CC709C">
          <w:pPr>
            <w:numPr>
              <w:ilvl w:val="0"/>
              <w:numId w:val="16"/>
            </w:numPr>
            <w:spacing w:after="120" w:line="288" w:lineRule="auto"/>
            <w:jc w:val="both"/>
            <w:rPr>
              <w:rFonts w:eastAsia="Calibri"/>
              <w:kern w:val="2"/>
              <w14:ligatures w14:val="standardContextual"/>
            </w:rPr>
          </w:pPr>
          <w:r w:rsidRPr="2BF24FF9">
            <w:rPr>
              <w:rFonts w:eastAsia="Calibri"/>
              <w:kern w:val="2"/>
              <w14:ligatures w14:val="standardContextual"/>
            </w:rPr>
            <w:t>u ngrit një databazë e dedikuar që udhëzon planifikimin e reformave të mëtejshme ligjore dhe sektoriale.</w:t>
          </w:r>
        </w:p>
        <w:p w14:paraId="07323AEB" w14:textId="77777777" w:rsidR="00EA6A3C" w:rsidRPr="005F0EA8" w:rsidRDefault="00EA6A3C" w:rsidP="00EA6A3C">
          <w:pPr>
            <w:tabs>
              <w:tab w:val="left" w:pos="720"/>
            </w:tabs>
            <w:spacing w:after="120" w:line="288" w:lineRule="auto"/>
            <w:contextualSpacing/>
            <w:jc w:val="both"/>
            <w:rPr>
              <w:rFonts w:eastAsia="Calibri"/>
              <w:color w:val="000000"/>
            </w:rPr>
          </w:pPr>
          <w:r w:rsidRPr="6875B2D2">
            <w:rPr>
              <w:rFonts w:eastAsia="Calibri"/>
              <w:color w:val="000000" w:themeColor="text1"/>
            </w:rPr>
            <w:t>Në linjë me sa më sipër, procesi i skanimit të legjislacionit (</w:t>
          </w:r>
          <w:r w:rsidRPr="6875B2D2">
            <w:rPr>
              <w:rFonts w:eastAsia="Calibri"/>
              <w:i/>
              <w:color w:val="000000" w:themeColor="text1"/>
            </w:rPr>
            <w:t>screening</w:t>
          </w:r>
          <w:r w:rsidRPr="6875B2D2">
            <w:rPr>
              <w:rFonts w:eastAsia="Calibri"/>
              <w:color w:val="000000" w:themeColor="text1"/>
            </w:rPr>
            <w:t>) për evidentimin e nivelit të përputhshmërisë më Ligjin e Shërbimeve, detyrim ky që ritheksojmë që buron nga vetë ligji (neni16) , shërbeu për të krijuar një pasqyrë të qartë për:</w:t>
          </w:r>
        </w:p>
        <w:p w14:paraId="2D0B0697" w14:textId="77777777" w:rsidR="00EA6A3C" w:rsidRPr="005F0EA8" w:rsidRDefault="00EA6A3C" w:rsidP="008E7522">
          <w:pPr>
            <w:pStyle w:val="ListParagraph"/>
            <w:numPr>
              <w:ilvl w:val="0"/>
              <w:numId w:val="12"/>
            </w:numPr>
            <w:tabs>
              <w:tab w:val="clear" w:pos="567"/>
            </w:tabs>
            <w:spacing w:line="288" w:lineRule="auto"/>
            <w:jc w:val="both"/>
            <w:rPr>
              <w:rFonts w:ascii="Times New Roman" w:hAnsi="Times New Roman"/>
              <w:sz w:val="24"/>
              <w:szCs w:val="24"/>
            </w:rPr>
          </w:pPr>
          <w:r w:rsidRPr="6875B2D2">
            <w:rPr>
              <w:rFonts w:ascii="Times New Roman" w:hAnsi="Times New Roman"/>
              <w:sz w:val="24"/>
              <w:szCs w:val="24"/>
            </w:rPr>
            <w:t>shërbimet që përfshihen në objektin e Direktivës së Shërbimeve - të identifikuara në sektorin përkatës të shërbimeve; autoriteti/institucioni kompetent (përgjegjës për rregullimin e qasjes  në treg dhe ushtrimin e veprimtarisë së shërbimit në sektorin përkatës);</w:t>
          </w:r>
        </w:p>
        <w:p w14:paraId="1B0891B2" w14:textId="77777777" w:rsidR="00EA6A3C" w:rsidRPr="005F0EA8" w:rsidRDefault="00EA6A3C" w:rsidP="008E7522">
          <w:pPr>
            <w:pStyle w:val="ListParagraph"/>
            <w:numPr>
              <w:ilvl w:val="0"/>
              <w:numId w:val="12"/>
            </w:numPr>
            <w:tabs>
              <w:tab w:val="clear" w:pos="567"/>
            </w:tabs>
            <w:spacing w:line="288" w:lineRule="auto"/>
            <w:jc w:val="both"/>
            <w:rPr>
              <w:rFonts w:ascii="Times New Roman" w:hAnsi="Times New Roman"/>
              <w:sz w:val="24"/>
              <w:szCs w:val="24"/>
            </w:rPr>
          </w:pPr>
          <w:r w:rsidRPr="6875B2D2">
            <w:rPr>
              <w:rFonts w:ascii="Times New Roman" w:hAnsi="Times New Roman"/>
              <w:sz w:val="24"/>
              <w:szCs w:val="24"/>
            </w:rPr>
            <w:t>legjislacionin kombëtar (ligjet dhe rregulloret që rregullojnë shërbimin(et) në fjalë);</w:t>
          </w:r>
        </w:p>
        <w:p w14:paraId="32CA0E0A" w14:textId="77777777" w:rsidR="00EA6A3C" w:rsidRPr="005F0EA8" w:rsidRDefault="00EA6A3C" w:rsidP="008E7522">
          <w:pPr>
            <w:pStyle w:val="ListParagraph"/>
            <w:numPr>
              <w:ilvl w:val="0"/>
              <w:numId w:val="12"/>
            </w:numPr>
            <w:tabs>
              <w:tab w:val="clear" w:pos="567"/>
            </w:tabs>
            <w:spacing w:line="288" w:lineRule="auto"/>
            <w:jc w:val="both"/>
            <w:rPr>
              <w:rFonts w:ascii="Times New Roman" w:hAnsi="Times New Roman"/>
              <w:sz w:val="24"/>
              <w:szCs w:val="24"/>
            </w:rPr>
          </w:pPr>
          <w:r w:rsidRPr="6875B2D2">
            <w:rPr>
              <w:rFonts w:ascii="Times New Roman" w:hAnsi="Times New Roman"/>
              <w:sz w:val="24"/>
              <w:szCs w:val="24"/>
            </w:rPr>
            <w:t>dispozita(et) kombëtare që kufizojnë qasjen ose ushtrimin e aktivitetit të shërbimit në fjalë;</w:t>
          </w:r>
        </w:p>
        <w:p w14:paraId="0C896E34" w14:textId="77777777" w:rsidR="00EA6A3C" w:rsidRPr="005F0EA8" w:rsidRDefault="00EA6A3C" w:rsidP="008E7522">
          <w:pPr>
            <w:pStyle w:val="ListParagraph"/>
            <w:numPr>
              <w:ilvl w:val="0"/>
              <w:numId w:val="12"/>
            </w:numPr>
            <w:tabs>
              <w:tab w:val="clear" w:pos="567"/>
            </w:tabs>
            <w:spacing w:line="288" w:lineRule="auto"/>
            <w:jc w:val="both"/>
            <w:rPr>
              <w:rFonts w:ascii="Times New Roman" w:hAnsi="Times New Roman"/>
              <w:sz w:val="24"/>
              <w:szCs w:val="24"/>
            </w:rPr>
          </w:pPr>
          <w:r w:rsidRPr="6875B2D2">
            <w:rPr>
              <w:rFonts w:ascii="Times New Roman" w:hAnsi="Times New Roman"/>
              <w:sz w:val="24"/>
              <w:szCs w:val="24"/>
            </w:rPr>
            <w:t>dispozitat përkatëse të Direktivës së Shërbimeve me të cilat dispozitat kombëtare duhet të jenë në përputhje;</w:t>
          </w:r>
        </w:p>
        <w:p w14:paraId="68D814B8" w14:textId="77777777" w:rsidR="005F0EA8" w:rsidRPr="005F0EA8" w:rsidRDefault="005F0EA8" w:rsidP="008E7522">
          <w:pPr>
            <w:pStyle w:val="ListParagraph"/>
            <w:numPr>
              <w:ilvl w:val="0"/>
              <w:numId w:val="12"/>
            </w:numPr>
            <w:tabs>
              <w:tab w:val="clear" w:pos="567"/>
            </w:tabs>
            <w:spacing w:line="288" w:lineRule="auto"/>
            <w:jc w:val="both"/>
            <w:rPr>
              <w:rFonts w:ascii="Times New Roman" w:hAnsi="Times New Roman"/>
              <w:sz w:val="24"/>
              <w:szCs w:val="24"/>
            </w:rPr>
          </w:pPr>
          <w:r w:rsidRPr="6875B2D2">
            <w:rPr>
              <w:rFonts w:ascii="Times New Roman" w:hAnsi="Times New Roman"/>
              <w:sz w:val="24"/>
              <w:szCs w:val="24"/>
            </w:rPr>
            <w:t>masat e nevojshme që duhen marrë në bazë të analizës së vlerësimit të përputhshmërisë, d.m.th. ose mbajtja e kërkesave jodiskriminuese për qasje në treg/ndjekja e aktivitetit, të cilat konsiderohen të nevojshme dhe proporcionale për të mbrojtur arsyet kryesore të interesit publik, ose dispozita të tjera që mundësojnë qasjen në treg/ndjekjen e veprimtarisë, ose heqjen/ndryshimin e kërkesave diskriminuese ose jodiskriminuese të cilat nuk konsiderohen të nevojshme/proporcionale për mbrojtjen e interesit publik;</w:t>
          </w:r>
        </w:p>
        <w:p w14:paraId="449FB780" w14:textId="77777777" w:rsidR="005F0EA8" w:rsidRPr="005F0EA8" w:rsidRDefault="005F0EA8" w:rsidP="008E7522">
          <w:pPr>
            <w:pStyle w:val="ListParagraph"/>
            <w:numPr>
              <w:ilvl w:val="0"/>
              <w:numId w:val="12"/>
            </w:numPr>
            <w:tabs>
              <w:tab w:val="clear" w:pos="567"/>
            </w:tabs>
            <w:spacing w:line="288" w:lineRule="auto"/>
            <w:jc w:val="both"/>
            <w:rPr>
              <w:rFonts w:ascii="Times New Roman" w:hAnsi="Times New Roman"/>
              <w:sz w:val="24"/>
              <w:szCs w:val="24"/>
            </w:rPr>
          </w:pPr>
          <w:r w:rsidRPr="6875B2D2">
            <w:rPr>
              <w:rFonts w:ascii="Times New Roman" w:hAnsi="Times New Roman"/>
              <w:sz w:val="24"/>
              <w:szCs w:val="24"/>
            </w:rPr>
            <w:t>afatin kohor për përfshirjen e ndryshimeve në legjislacionin kombëtar;</w:t>
          </w:r>
        </w:p>
        <w:p w14:paraId="3E4F8F7A" w14:textId="77777777" w:rsidR="005F0EA8" w:rsidRPr="005F0EA8" w:rsidRDefault="005F0EA8" w:rsidP="008E7522">
          <w:pPr>
            <w:pStyle w:val="ListParagraph"/>
            <w:numPr>
              <w:ilvl w:val="0"/>
              <w:numId w:val="12"/>
            </w:numPr>
            <w:tabs>
              <w:tab w:val="clear" w:pos="567"/>
            </w:tabs>
            <w:spacing w:line="288" w:lineRule="auto"/>
            <w:jc w:val="both"/>
            <w:rPr>
              <w:rFonts w:ascii="Times New Roman" w:hAnsi="Times New Roman"/>
              <w:sz w:val="24"/>
              <w:szCs w:val="24"/>
            </w:rPr>
          </w:pPr>
          <w:r w:rsidRPr="6875B2D2">
            <w:rPr>
              <w:rFonts w:ascii="Times New Roman" w:hAnsi="Times New Roman"/>
              <w:sz w:val="24"/>
              <w:szCs w:val="24"/>
            </w:rPr>
            <w:t>afatin kohor për hyrjen në fuqi të ndryshimeve të planifikuara.</w:t>
          </w:r>
        </w:p>
        <w:p w14:paraId="1F1E5468" w14:textId="183C1E19" w:rsidR="00971717" w:rsidRPr="00660CED" w:rsidRDefault="00971717" w:rsidP="1A98504A">
          <w:pPr>
            <w:pStyle w:val="NormalWeb"/>
            <w:shd w:val="clear" w:color="auto" w:fill="FFFFFF" w:themeFill="background1"/>
            <w:spacing w:beforeAutospacing="0" w:after="120" w:afterAutospacing="0" w:line="288" w:lineRule="auto"/>
            <w:jc w:val="both"/>
            <w:textAlignment w:val="baseline"/>
            <w:rPr>
              <w:rFonts w:eastAsia="Calibri"/>
              <w:color w:val="000000"/>
            </w:rPr>
          </w:pPr>
          <w:r w:rsidRPr="6875B2D2">
            <w:rPr>
              <w:rFonts w:eastAsia="Calibri"/>
              <w:color w:val="000000" w:themeColor="text1"/>
            </w:rPr>
            <w:t xml:space="preserve">Procesi ka evidentuar nevojën për përfshirjen e dispozitave te Direktivës qe ende mungojnë, dhe rregullimin e zbatimit te tyre ne sektorë specifike e ku në legjislacionin sektorial, me parashikimin e hyrjes në fuqi në momentin e anëtarësimit. Nisma parashikon të ndikojë një numër të rëndësishëm aktesh ligjore ne nivel horizontal e vertikal. Megjithëse si përmendur me lart disa nga parimet kryesore te Direktivës përfshihen tanimë ne akte ligjore ne fuqi si KPA, ligje te tjera si Ligji për Regjistrimin e Bizneseve apo Ligji për te Huajt do te preken nga parimet e reja qe do te përfshijë Ligji për Shërbimet pasi do te linde nevoja për rregullimin e ofrimit te shërbimeve nga ofrues te themeluar ne vende te BE pa pasur prezence ne Shqipëri dhe lëvizjen e lire te shtetasve te vendeve te BE, pa kufizime dokumentare, pas anëtarësimit te Shqipërisë ne BE.  </w:t>
          </w:r>
        </w:p>
        <w:p w14:paraId="15BF604C" w14:textId="77777777" w:rsidR="00460FEC" w:rsidRPr="005A733E" w:rsidRDefault="00460FEC" w:rsidP="1A98504A">
          <w:pPr>
            <w:pStyle w:val="NormalWeb"/>
            <w:shd w:val="clear" w:color="auto" w:fill="FFFFFF" w:themeFill="background1"/>
            <w:spacing w:beforeAutospacing="0" w:after="120" w:afterAutospacing="0" w:line="288" w:lineRule="auto"/>
            <w:jc w:val="both"/>
            <w:textAlignment w:val="baseline"/>
            <w:rPr>
              <w:rFonts w:eastAsia="Calibri"/>
              <w:color w:val="000000"/>
            </w:rPr>
          </w:pPr>
          <w:r w:rsidRPr="6875B2D2">
            <w:rPr>
              <w:rFonts w:eastAsia="Calibri"/>
              <w:color w:val="000000" w:themeColor="text1"/>
            </w:rPr>
            <w:t>Në mënyrë të përmbledhur,</w:t>
          </w:r>
          <w:r w:rsidRPr="6875B2D2">
            <w:t xml:space="preserve"> ndërhyrja me qëllim përafrimin e plotë me Direktivën e Shërbimeve nuk shërben vetëm si parakusht për anëtarësimin në BE, por edhe si masë strategjike për të përmirësuar tregun e brendshëm të Shqipërisë, për të nxitur rritjen ekonomike dhe për të përgatitur sektorin publik për të menaxhuar kompleksitetin e anëtarësimit në BE. Duke adresuar këto fusha, Shqipëria pozicionohet për të përballuar sfidat dhe mundësitë e një tregu evropian më të integruar dhe konkurrues.</w:t>
          </w:r>
        </w:p>
        <w:p w14:paraId="5E17A4F5" w14:textId="3530AA53" w:rsidR="00204A92" w:rsidRDefault="001810B2" w:rsidP="002F08F4">
          <w:pPr>
            <w:spacing w:after="120" w:line="288" w:lineRule="auto"/>
            <w:jc w:val="both"/>
            <w:rPr>
              <w:rFonts w:eastAsia="Calibri"/>
              <w:kern w:val="2"/>
              <w14:ligatures w14:val="standardContextual"/>
            </w:rPr>
          </w:pPr>
          <w:r w:rsidRPr="2BF24FF9">
            <w:rPr>
              <w:rFonts w:eastAsia="Calibri"/>
              <w:kern w:val="2"/>
              <w14:ligatures w14:val="standardContextual"/>
            </w:rPr>
            <w:t>Ndërhyrja për përafrimin e plotë me Direktivën e Shërbimeve nuk është vetëm një parakusht për anëtarësim në BE, por edhe një masë strategjike për të modernizuar tregun e shërbimeve në Shqipëri, për të nxitur rritjen ekonomike, për të tërhequr investime, për të mbrojtur konsumatorët dhe për të përgatitur administratën publike për sfidat e anëtarësimit.</w:t>
          </w:r>
        </w:p>
        <w:p w14:paraId="030045E2" w14:textId="057F451F" w:rsidR="00B432BF" w:rsidRPr="00F047C9" w:rsidRDefault="00B432BF" w:rsidP="00B432BF">
          <w:pPr>
            <w:spacing w:after="160" w:line="278" w:lineRule="auto"/>
            <w:jc w:val="both"/>
          </w:pPr>
          <w:r w:rsidRPr="00F047C9">
            <w:t xml:space="preserve">Kjo ndërhyrje </w:t>
          </w:r>
          <w:r>
            <w:t xml:space="preserve">gjithashtu </w:t>
          </w:r>
          <w:r w:rsidRPr="00F047C9">
            <w:t>mbështet drejtpërdrejt objektivat strategjikë të nivelit të lartë të Qeverisë për periudhën 2025–2029, të cilat synojnë forcimin e qeverisjes së mirë, rritjen e efikasitetit institucional dhe përmirësimin e cilësisë së shërbimeve publike. Në veçanti, ndërhyrja kontribuon në zbatimin e prioriteteve të Programit të Qeverisë që lidhen me:</w:t>
          </w:r>
        </w:p>
        <w:p w14:paraId="3C859457" w14:textId="77777777" w:rsidR="00B432BF" w:rsidRPr="00F047C9" w:rsidRDefault="00B432BF" w:rsidP="00CC709C">
          <w:pPr>
            <w:numPr>
              <w:ilvl w:val="0"/>
              <w:numId w:val="38"/>
            </w:numPr>
            <w:tabs>
              <w:tab w:val="num" w:pos="720"/>
            </w:tabs>
            <w:spacing w:after="160" w:line="278" w:lineRule="auto"/>
            <w:jc w:val="both"/>
          </w:pPr>
          <w:r w:rsidRPr="00F047C9">
            <w:t>Modernizimin e kuadrit ligjor dhe përmirësimin e proceseve administrative, duke siguruar rregulla më të qarta, më funksionale dhe të harmonizuara me standardet e Bashkimit Europian.</w:t>
          </w:r>
        </w:p>
        <w:p w14:paraId="6B98B202" w14:textId="77777777" w:rsidR="00B432BF" w:rsidRPr="00F047C9" w:rsidRDefault="00B432BF" w:rsidP="00CC709C">
          <w:pPr>
            <w:numPr>
              <w:ilvl w:val="0"/>
              <w:numId w:val="38"/>
            </w:numPr>
            <w:tabs>
              <w:tab w:val="num" w:pos="720"/>
            </w:tabs>
            <w:spacing w:after="160" w:line="278" w:lineRule="auto"/>
            <w:jc w:val="both"/>
          </w:pPr>
          <w:r w:rsidRPr="00F047C9">
            <w:t>Rritjen e transparencës dhe llogaridhënies, nëpërmjet qartësimit të kompetencave institucionale dhe vendosjes së procedurave më të standardizuara.</w:t>
          </w:r>
        </w:p>
        <w:p w14:paraId="5BF1F6DA" w14:textId="77777777" w:rsidR="00B432BF" w:rsidRPr="00F047C9" w:rsidRDefault="00B432BF" w:rsidP="00CC709C">
          <w:pPr>
            <w:numPr>
              <w:ilvl w:val="0"/>
              <w:numId w:val="38"/>
            </w:numPr>
            <w:tabs>
              <w:tab w:val="num" w:pos="720"/>
            </w:tabs>
            <w:spacing w:after="160" w:line="278" w:lineRule="auto"/>
            <w:jc w:val="both"/>
          </w:pPr>
          <w:r w:rsidRPr="00F047C9">
            <w:t>Forcimin e shtetit të së drejtës dhe eficiencës në zbatimin e politikave publike, një objektiv kyç i Strategjisë Ndërsektoriale të Reformës në Administratë Publike dhe strategjive sektoriale përkatëse (varësisht fushës që prek projektligji).</w:t>
          </w:r>
        </w:p>
        <w:p w14:paraId="6C97FA69" w14:textId="77777777" w:rsidR="00B432BF" w:rsidRPr="00F047C9" w:rsidRDefault="00B432BF" w:rsidP="00CC709C">
          <w:pPr>
            <w:numPr>
              <w:ilvl w:val="0"/>
              <w:numId w:val="38"/>
            </w:numPr>
            <w:tabs>
              <w:tab w:val="num" w:pos="720"/>
            </w:tabs>
            <w:spacing w:after="160" w:line="278" w:lineRule="auto"/>
            <w:jc w:val="both"/>
          </w:pPr>
          <w:r w:rsidRPr="00F047C9">
            <w:t>Avancimin e procesit të integrimit europian, duke përafruar legjislacionin kombëtar me acquis të BE-së dhe duke përmbushur angazhimet në kuadër të kapitujve të negociatave.</w:t>
          </w:r>
        </w:p>
        <w:p w14:paraId="1D6E7998" w14:textId="0FD4C230" w:rsidR="00B432BF" w:rsidRDefault="00B432BF" w:rsidP="00B432BF">
          <w:pPr>
            <w:spacing w:after="160" w:line="278" w:lineRule="auto"/>
            <w:jc w:val="both"/>
          </w:pPr>
          <w:r w:rsidRPr="00F047C9">
            <w:t>Në këtë mënyrë, ndërhyrja jo vetëm adreson problematikat e identifikuara në sektor, por edhe kontribuon në realizimin e prioriteteve më të gjera qeveritare për një administratë më efikase, një sistem më transparent dhe një kuadër ligjor të harmonizuar me praktikat më të mira europiane.</w:t>
          </w:r>
        </w:p>
        <w:p w14:paraId="5552AE34" w14:textId="77777777" w:rsidR="00B432BF" w:rsidRPr="00F047C9" w:rsidRDefault="00B432BF" w:rsidP="00B432BF">
          <w:pPr>
            <w:spacing w:after="160" w:line="278" w:lineRule="auto"/>
            <w:rPr>
              <w:b/>
              <w:bCs/>
            </w:rPr>
          </w:pPr>
          <w:r w:rsidRPr="00F047C9">
            <w:rPr>
              <w:b/>
              <w:bCs/>
            </w:rPr>
            <w:t>Pun</w:t>
          </w:r>
          <w:r>
            <w:rPr>
              <w:b/>
              <w:bCs/>
            </w:rPr>
            <w:t>a</w:t>
          </w:r>
          <w:r w:rsidRPr="00F047C9">
            <w:rPr>
              <w:b/>
              <w:bCs/>
            </w:rPr>
            <w:t xml:space="preserve"> ekzistuese e realizuar tashmë nga qeveria dhe administrata për mbështetjen e lirisë së ofrimit të shërbimeve</w:t>
          </w:r>
          <w:r>
            <w:rPr>
              <w:b/>
              <w:bCs/>
            </w:rPr>
            <w:t>:</w:t>
          </w:r>
        </w:p>
        <w:p w14:paraId="5FF1D8A1" w14:textId="77777777" w:rsidR="00B432BF" w:rsidRPr="00F047C9" w:rsidRDefault="00B432BF" w:rsidP="00CC709C">
          <w:pPr>
            <w:numPr>
              <w:ilvl w:val="0"/>
              <w:numId w:val="39"/>
            </w:numPr>
            <w:tabs>
              <w:tab w:val="num" w:pos="720"/>
            </w:tabs>
            <w:spacing w:after="160" w:line="278" w:lineRule="auto"/>
          </w:pPr>
          <w:r w:rsidRPr="00F047C9">
            <w:rPr>
              <w:b/>
              <w:bCs/>
            </w:rPr>
            <w:t>Përafrimi i kuadrit ligjor me acquis të BE-së</w:t>
          </w:r>
        </w:p>
        <w:p w14:paraId="5C108D3A" w14:textId="77777777" w:rsidR="00B432BF" w:rsidRPr="00F047C9" w:rsidRDefault="00B432BF" w:rsidP="00B432BF">
          <w:pPr>
            <w:spacing w:after="160" w:line="278" w:lineRule="auto"/>
            <w:jc w:val="both"/>
          </w:pPr>
          <w:r w:rsidRPr="00F047C9">
            <w:t>Janë ndërmarrë ndryshime të vazhdueshme ligjore dhe nënligjore për të harmonizuar rregullat e ofrimit të shërbimeve me Direktivat e BE-së, veçanërisht ato që lidhen me lëvizjen e lirë të shërbimeve dhe profesionet e rregulluara.</w:t>
          </w:r>
        </w:p>
        <w:p w14:paraId="0206C3C3" w14:textId="77777777" w:rsidR="00B432BF" w:rsidRPr="00F047C9" w:rsidRDefault="00B432BF" w:rsidP="00CC709C">
          <w:pPr>
            <w:numPr>
              <w:ilvl w:val="0"/>
              <w:numId w:val="39"/>
            </w:numPr>
            <w:tabs>
              <w:tab w:val="num" w:pos="720"/>
            </w:tabs>
            <w:spacing w:after="160" w:line="278" w:lineRule="auto"/>
          </w:pPr>
          <w:r w:rsidRPr="00F047C9">
            <w:rPr>
              <w:b/>
              <w:bCs/>
            </w:rPr>
            <w:t>Rregullimi dhe thjeshtimi i procedurave të licencimit</w:t>
          </w:r>
        </w:p>
        <w:p w14:paraId="5890D393" w14:textId="77777777" w:rsidR="00B432BF" w:rsidRPr="00F047C9" w:rsidRDefault="00B432BF" w:rsidP="00CC709C">
          <w:pPr>
            <w:numPr>
              <w:ilvl w:val="1"/>
              <w:numId w:val="39"/>
            </w:numPr>
            <w:tabs>
              <w:tab w:val="num" w:pos="1440"/>
            </w:tabs>
            <w:spacing w:after="160" w:line="278" w:lineRule="auto"/>
            <w:jc w:val="both"/>
          </w:pPr>
          <w:r w:rsidRPr="00F047C9">
            <w:t>Përmes reformës “</w:t>
          </w:r>
          <w:r w:rsidRPr="00F047C9">
            <w:rPr>
              <w:b/>
              <w:bCs/>
            </w:rPr>
            <w:t>Leje – Licenca – Autorizime</w:t>
          </w:r>
          <w:r w:rsidRPr="00F047C9">
            <w:t>”, qeveria ka reduktuar dokumentacionin, afatet dhe kostot për subjektet, duke mundësuar një qasje më të thjeshtë në tregun e shërbimeve.</w:t>
          </w:r>
        </w:p>
        <w:p w14:paraId="47119009" w14:textId="77777777" w:rsidR="00B432BF" w:rsidRPr="00F955A6" w:rsidRDefault="00B432BF" w:rsidP="00CC709C">
          <w:pPr>
            <w:numPr>
              <w:ilvl w:val="1"/>
              <w:numId w:val="39"/>
            </w:numPr>
            <w:tabs>
              <w:tab w:val="num" w:pos="1440"/>
            </w:tabs>
            <w:spacing w:after="160" w:line="278" w:lineRule="auto"/>
            <w:jc w:val="both"/>
          </w:pPr>
          <w:r w:rsidRPr="00F955A6">
            <w:t xml:space="preserve">Platforma </w:t>
          </w:r>
          <w:r w:rsidRPr="00F955A6">
            <w:rPr>
              <w:b/>
              <w:bCs/>
            </w:rPr>
            <w:t>e-Albania</w:t>
          </w:r>
          <w:r w:rsidRPr="00F955A6">
            <w:t xml:space="preserve"> ka centralizuar dhënien e shumë licencave dhe autorizimeve, duke rritur qartësinë dhe aksesin.</w:t>
          </w:r>
        </w:p>
        <w:p w14:paraId="07CF8DC1" w14:textId="77777777" w:rsidR="00B432BF" w:rsidRPr="00F047C9" w:rsidRDefault="00B432BF" w:rsidP="00CC709C">
          <w:pPr>
            <w:numPr>
              <w:ilvl w:val="0"/>
              <w:numId w:val="39"/>
            </w:numPr>
            <w:tabs>
              <w:tab w:val="num" w:pos="720"/>
            </w:tabs>
            <w:spacing w:after="160" w:line="278" w:lineRule="auto"/>
          </w:pPr>
          <w:r w:rsidRPr="00F047C9">
            <w:rPr>
              <w:b/>
              <w:bCs/>
            </w:rPr>
            <w:t>Krijimi i Regjistrit Kombëtar të Profesioneve të Rregulluara</w:t>
          </w:r>
        </w:p>
        <w:p w14:paraId="407DC87B" w14:textId="77777777" w:rsidR="00B432BF" w:rsidRPr="00F047C9" w:rsidRDefault="00B432BF" w:rsidP="00B432BF">
          <w:pPr>
            <w:spacing w:after="160" w:line="278" w:lineRule="auto"/>
            <w:jc w:val="both"/>
          </w:pPr>
          <w:r w:rsidRPr="00F047C9">
            <w:t>Është ngritur një regjistër unik që përcakton profesionet e rregulluara, kriteret e pranimit dhe procedurat e njohjes, në përputhje me standardet e BE-së, duke lehtësuar ofrimin e shërbimeve nga profesionistë vendas dhe të huaj.</w:t>
          </w:r>
        </w:p>
        <w:p w14:paraId="3480E655" w14:textId="77777777" w:rsidR="00B432BF" w:rsidRPr="00F955A6" w:rsidRDefault="00B432BF" w:rsidP="00CC709C">
          <w:pPr>
            <w:numPr>
              <w:ilvl w:val="0"/>
              <w:numId w:val="39"/>
            </w:numPr>
            <w:tabs>
              <w:tab w:val="num" w:pos="720"/>
            </w:tabs>
            <w:spacing w:after="160" w:line="278" w:lineRule="auto"/>
          </w:pPr>
          <w:r w:rsidRPr="00F955A6">
            <w:rPr>
              <w:b/>
              <w:bCs/>
            </w:rPr>
            <w:t>Zbatimi i kornizave të modernizuara për njohjen e kualifikimeve profesionale</w:t>
          </w:r>
        </w:p>
        <w:p w14:paraId="501127F0" w14:textId="77777777" w:rsidR="00B432BF" w:rsidRPr="00F955A6" w:rsidRDefault="00B432BF" w:rsidP="00B432BF">
          <w:pPr>
            <w:spacing w:after="160" w:line="278" w:lineRule="auto"/>
            <w:jc w:val="both"/>
          </w:pPr>
          <w:r w:rsidRPr="00F955A6">
            <w:t>Shqipëria ka ndërmarrë hapa për të përmirësuar procedurat e njohjes së kualifikimeve profesionale të shtetasve të huaj dhe të BE-së, duke reduktuar barrierat administrative dhe duke mundësuar hyrjen më të lehtë në tregun e shërbimeve.</w:t>
          </w:r>
        </w:p>
        <w:p w14:paraId="3D3612F4" w14:textId="77777777" w:rsidR="00B432BF" w:rsidRPr="00F047C9" w:rsidRDefault="00B432BF" w:rsidP="00CC709C">
          <w:pPr>
            <w:numPr>
              <w:ilvl w:val="0"/>
              <w:numId w:val="39"/>
            </w:numPr>
            <w:tabs>
              <w:tab w:val="num" w:pos="720"/>
            </w:tabs>
            <w:spacing w:after="160" w:line="278" w:lineRule="auto"/>
          </w:pPr>
          <w:r w:rsidRPr="00F047C9">
            <w:rPr>
              <w:b/>
              <w:bCs/>
            </w:rPr>
            <w:t>Reformat në administratën publike për rritjen e transparencës dhe efikasitetit</w:t>
          </w:r>
        </w:p>
        <w:p w14:paraId="5E8202A4" w14:textId="77777777" w:rsidR="00B432BF" w:rsidRPr="00F047C9" w:rsidRDefault="00B432BF" w:rsidP="00B432BF">
          <w:pPr>
            <w:spacing w:after="160" w:line="278" w:lineRule="auto"/>
            <w:jc w:val="both"/>
          </w:pPr>
          <w:r w:rsidRPr="00F047C9">
            <w:t>Përmes Strategjisë së Reformës në Administratën Publike (2022–2030), janë ndërmarrë masa për modernizimin e institucioneve, dixhitalizimin e shërbimeve dhe standardizimin e procedurave administrative, çka kontribuon në një mjedis më të favorshëm për ofruesit e shërbimeve.</w:t>
          </w:r>
        </w:p>
        <w:p w14:paraId="3CAC2BEA" w14:textId="77777777" w:rsidR="00B432BF" w:rsidRPr="00F955A6" w:rsidRDefault="00B432BF" w:rsidP="00CC709C">
          <w:pPr>
            <w:numPr>
              <w:ilvl w:val="0"/>
              <w:numId w:val="39"/>
            </w:numPr>
            <w:tabs>
              <w:tab w:val="num" w:pos="720"/>
            </w:tabs>
            <w:spacing w:after="160" w:line="278" w:lineRule="auto"/>
          </w:pPr>
          <w:r w:rsidRPr="00F955A6">
            <w:rPr>
              <w:b/>
              <w:bCs/>
            </w:rPr>
            <w:t>Promovimi i konkurrencës së ndershme dhe heqja e barrierave të panevojshme</w:t>
          </w:r>
        </w:p>
        <w:p w14:paraId="341D7DC9" w14:textId="77777777" w:rsidR="00B432BF" w:rsidRPr="00F955A6" w:rsidRDefault="00B432BF" w:rsidP="00B432BF">
          <w:pPr>
            <w:spacing w:after="160" w:line="278" w:lineRule="auto"/>
            <w:jc w:val="both"/>
          </w:pPr>
          <w:r w:rsidRPr="00F955A6">
            <w:t>Autoriteti i Konkurrencës ka rekomanduar heqjen e barrierave të parregullta apo joproporcionale që kufizojnë hyrjen e ofruesve të rinj, duke synuar një treg shërbimesh më të hapur dhe më konkurrues.</w:t>
          </w:r>
        </w:p>
        <w:p w14:paraId="6A6F5053" w14:textId="77777777" w:rsidR="00B432BF" w:rsidRPr="00F955A6" w:rsidRDefault="00B432BF" w:rsidP="00CC709C">
          <w:pPr>
            <w:numPr>
              <w:ilvl w:val="0"/>
              <w:numId w:val="39"/>
            </w:numPr>
            <w:tabs>
              <w:tab w:val="num" w:pos="720"/>
            </w:tabs>
            <w:spacing w:after="160" w:line="278" w:lineRule="auto"/>
          </w:pPr>
          <w:r w:rsidRPr="00F955A6">
            <w:rPr>
              <w:b/>
              <w:bCs/>
            </w:rPr>
            <w:t>Reformat për përmirësimin e klimës së biznesit</w:t>
          </w:r>
        </w:p>
        <w:p w14:paraId="4B6964DB" w14:textId="77777777" w:rsidR="00B432BF" w:rsidRPr="00F955A6" w:rsidRDefault="00B432BF" w:rsidP="00B432BF">
          <w:pPr>
            <w:spacing w:after="160" w:line="278" w:lineRule="auto"/>
            <w:jc w:val="both"/>
          </w:pPr>
          <w:r w:rsidRPr="00F955A6">
            <w:t>Iniciativa si “</w:t>
          </w:r>
          <w:r w:rsidRPr="00F955A6">
            <w:rPr>
              <w:b/>
              <w:bCs/>
            </w:rPr>
            <w:t>Business Climate Reform</w:t>
          </w:r>
          <w:r w:rsidRPr="00F955A6">
            <w:t>”, thjeshtimi fiskal, reduktimi i barrës rregullatore dhe digjitalizimi i procedurave të regjistrimit të biznesit kanë ndihmuar për të krijuar një mjedis më të hapur për ofrimin e shërbimeve.</w:t>
          </w:r>
        </w:p>
        <w:p w14:paraId="254F0432" w14:textId="77777777" w:rsidR="00B432BF" w:rsidRPr="00F955A6" w:rsidRDefault="00B432BF" w:rsidP="00CC709C">
          <w:pPr>
            <w:numPr>
              <w:ilvl w:val="0"/>
              <w:numId w:val="39"/>
            </w:numPr>
            <w:tabs>
              <w:tab w:val="num" w:pos="720"/>
            </w:tabs>
            <w:spacing w:after="160" w:line="278" w:lineRule="auto"/>
          </w:pPr>
          <w:r w:rsidRPr="00F955A6">
            <w:rPr>
              <w:b/>
              <w:bCs/>
            </w:rPr>
            <w:t>Hapat drejt integrimit europian dhe negociatat e Kapitullit 3 – E Drejta e Vendosjes dhe Liria e Ofrimit të Shërbimeve</w:t>
          </w:r>
        </w:p>
        <w:p w14:paraId="421264D1" w14:textId="453232B8" w:rsidR="00B432BF" w:rsidRPr="008A73CA" w:rsidRDefault="00B432BF" w:rsidP="00B432BF">
          <w:pPr>
            <w:spacing w:after="160" w:line="278" w:lineRule="auto"/>
            <w:jc w:val="both"/>
          </w:pPr>
          <w:r w:rsidRPr="00F955A6">
            <w:t>Përgatitja e dokumenteve të screening, raportet e përputhshmërisë dhe masat e ndërmarra nga institucionet përgjegjëse përmbajnë analizë të detajuar dhe reforma të ndërmarra për afrimin me standardet e BE-së.</w:t>
          </w:r>
        </w:p>
        <w:p w14:paraId="45A95748" w14:textId="77777777" w:rsidR="001C08AD" w:rsidRPr="00936D3F" w:rsidRDefault="00204683" w:rsidP="002F08F4">
          <w:pPr>
            <w:spacing w:after="120" w:line="288" w:lineRule="auto"/>
            <w:jc w:val="both"/>
            <w:rPr>
              <w:rFonts w:eastAsia="Calibri"/>
              <w:kern w:val="2"/>
              <w14:ligatures w14:val="standardContextual"/>
            </w:rPr>
          </w:pPr>
        </w:p>
      </w:sdtContent>
    </w:sdt>
    <w:p w14:paraId="6B360632" w14:textId="7C30DDBB" w:rsidR="002125B7" w:rsidRPr="00325A1F" w:rsidRDefault="00FF616D" w:rsidP="009D13F4">
      <w:pPr>
        <w:pStyle w:val="Heading1"/>
        <w:spacing w:line="276" w:lineRule="auto"/>
        <w:rPr>
          <w:rFonts w:ascii="Times New Roman" w:hAnsi="Times New Roman" w:cs="Times New Roman"/>
          <w:sz w:val="24"/>
          <w:szCs w:val="24"/>
        </w:rPr>
      </w:pPr>
      <w:r w:rsidRPr="1A98504A">
        <w:rPr>
          <w:rFonts w:ascii="Times New Roman" w:hAnsi="Times New Roman" w:cs="Times New Roman"/>
          <w:sz w:val="24"/>
          <w:szCs w:val="24"/>
        </w:rPr>
        <w:t>Objektivi i pol</w:t>
      </w:r>
      <w:r w:rsidR="009E64A4" w:rsidRPr="1A98504A">
        <w:rPr>
          <w:rFonts w:ascii="Times New Roman" w:hAnsi="Times New Roman" w:cs="Times New Roman"/>
          <w:sz w:val="24"/>
          <w:szCs w:val="24"/>
        </w:rPr>
        <w:t>i</w:t>
      </w:r>
      <w:r w:rsidR="002125B7" w:rsidRPr="1A98504A">
        <w:rPr>
          <w:rFonts w:ascii="Times New Roman" w:hAnsi="Times New Roman" w:cs="Times New Roman"/>
          <w:sz w:val="24"/>
          <w:szCs w:val="24"/>
        </w:rPr>
        <w:t>tikës</w:t>
      </w:r>
      <w:bookmarkEnd w:id="14"/>
    </w:p>
    <w:sdt>
      <w:sdtPr>
        <w:rPr>
          <w:rFonts w:ascii="Times New Roman" w:hAnsi="Times New Roman"/>
          <w:sz w:val="24"/>
          <w:szCs w:val="24"/>
        </w:rPr>
        <w:id w:val="-531503755"/>
        <w:lock w:val="contentLocked"/>
        <w:placeholder>
          <w:docPart w:val="DefaultPlaceholder_1081868574"/>
        </w:placeholder>
      </w:sdtPr>
      <w:sdtContent>
        <w:p w14:paraId="741CBAEE" w14:textId="77777777" w:rsidR="009E64A4" w:rsidRPr="0032145B" w:rsidRDefault="009E64A4" w:rsidP="00673F28">
          <w:pPr>
            <w:pStyle w:val="ListParagraph"/>
            <w:numPr>
              <w:ilvl w:val="0"/>
              <w:numId w:val="9"/>
            </w:numPr>
            <w:spacing w:after="0" w:line="276" w:lineRule="auto"/>
            <w:rPr>
              <w:rFonts w:ascii="Times New Roman" w:hAnsi="Times New Roman"/>
              <w:i/>
              <w:sz w:val="24"/>
              <w:szCs w:val="24"/>
            </w:rPr>
          </w:pPr>
          <w:r w:rsidRPr="6875B2D2">
            <w:rPr>
              <w:rFonts w:ascii="Times New Roman" w:hAnsi="Times New Roman"/>
              <w:i/>
              <w:sz w:val="24"/>
              <w:szCs w:val="24"/>
            </w:rPr>
            <w:t>Vendosni objektiva që korrespondojnë me problemin dhe shkaqet e tij.</w:t>
          </w:r>
        </w:p>
        <w:p w14:paraId="0D3C43DC" w14:textId="77777777" w:rsidR="009E64A4" w:rsidRPr="0032145B" w:rsidRDefault="009E64A4" w:rsidP="00673F28">
          <w:pPr>
            <w:pStyle w:val="ListParagraph"/>
            <w:numPr>
              <w:ilvl w:val="0"/>
              <w:numId w:val="9"/>
            </w:numPr>
            <w:spacing w:after="0" w:line="276" w:lineRule="auto"/>
            <w:rPr>
              <w:rFonts w:ascii="Times New Roman" w:hAnsi="Times New Roman"/>
              <w:i/>
              <w:sz w:val="24"/>
              <w:szCs w:val="24"/>
            </w:rPr>
          </w:pPr>
          <w:r w:rsidRPr="6875B2D2">
            <w:rPr>
              <w:rFonts w:ascii="Times New Roman" w:hAnsi="Times New Roman"/>
              <w:i/>
              <w:sz w:val="24"/>
              <w:szCs w:val="24"/>
            </w:rPr>
            <w:t xml:space="preserve">Sigurohuni që objektivat e vendosur të korrespondojnë me ato të dhëna në përmbledhjen ekzekutive, por më të detajuara. </w:t>
          </w:r>
        </w:p>
        <w:p w14:paraId="7A8705C6" w14:textId="4490F383" w:rsidR="009E64A4" w:rsidRPr="00325A1F" w:rsidRDefault="009E64A4" w:rsidP="00673F28">
          <w:pPr>
            <w:pStyle w:val="ListParagraph"/>
            <w:numPr>
              <w:ilvl w:val="0"/>
              <w:numId w:val="9"/>
            </w:numPr>
            <w:spacing w:after="0" w:line="276" w:lineRule="auto"/>
            <w:rPr>
              <w:rFonts w:ascii="Times New Roman" w:hAnsi="Times New Roman"/>
              <w:sz w:val="24"/>
              <w:szCs w:val="24"/>
            </w:rPr>
          </w:pPr>
          <w:r w:rsidRPr="6875B2D2">
            <w:rPr>
              <w:rFonts w:ascii="Times New Roman" w:hAnsi="Times New Roman"/>
              <w:i/>
              <w:sz w:val="24"/>
              <w:szCs w:val="24"/>
            </w:rPr>
            <w:t>Sigurohuni që objektivat janë specifikë, të matshëm, të arritshëm, realë dhe në kohë.</w:t>
          </w:r>
        </w:p>
      </w:sdtContent>
    </w:sdt>
    <w:sdt>
      <w:sdtPr>
        <w:rPr>
          <w:rFonts w:eastAsiaTheme="majorEastAsia"/>
          <w:color w:val="808080" w:themeColor="background1" w:themeShade="80"/>
        </w:rPr>
        <w:id w:val="-411319569"/>
        <w:placeholder>
          <w:docPart w:val="1B5742A7A4F94DA1B86FBACFB3D31E60"/>
        </w:placeholder>
      </w:sdtPr>
      <w:sdtContent>
        <w:p w14:paraId="7BCE5441" w14:textId="30F97611" w:rsidR="0002022E" w:rsidRPr="0002022E" w:rsidRDefault="0002022E" w:rsidP="0002022E">
          <w:pPr>
            <w:spacing w:before="240" w:line="276" w:lineRule="auto"/>
            <w:jc w:val="both"/>
            <w:rPr>
              <w:rFonts w:eastAsiaTheme="majorEastAsia"/>
              <w:color w:val="000000" w:themeColor="text1"/>
            </w:rPr>
          </w:pPr>
          <w:r w:rsidRPr="0002022E">
            <w:rPr>
              <w:rFonts w:eastAsiaTheme="majorEastAsia"/>
              <w:color w:val="000000" w:themeColor="text1"/>
            </w:rPr>
            <w:t>Objektivat e politikës janë hartuar për të adresuar drejtpërdrejt problemet e identifikuara dhe për të siguruar ndërhyrje të qarta e të strukturuara në drejtim të përmirësimit të kuadrit ligjor për shërbimet. Në dritën e hartimit të një ligji të ri, objektivat synojnë të garantojnë përafrim të plotë me acquis të Bashkimit Evropian dhe të përgatisin vendin për anëtarësim, në mënyrë të planifikuar dhe të matshme. Të gjitha objektivat janë formuluar sipas modelit SMART (specifik, i matshëm, i arritshëm, realist dhe i përcaktuar në kohë), duke reflektuar analizën e nevojave dhe mekanizmat e parashikuar për zbatim.</w:t>
          </w:r>
        </w:p>
        <w:p w14:paraId="35833CDF" w14:textId="1FBFF75D" w:rsidR="0002022E" w:rsidRPr="0002022E" w:rsidRDefault="0002022E" w:rsidP="0002022E">
          <w:pPr>
            <w:spacing w:before="240" w:line="276" w:lineRule="auto"/>
            <w:jc w:val="both"/>
            <w:rPr>
              <w:rFonts w:eastAsiaTheme="majorEastAsia"/>
              <w:color w:val="000000" w:themeColor="text1"/>
            </w:rPr>
          </w:pPr>
          <w:r w:rsidRPr="0002022E">
            <w:rPr>
              <w:rFonts w:eastAsiaTheme="majorEastAsia"/>
              <w:color w:val="000000" w:themeColor="text1"/>
            </w:rPr>
            <w:t>Objektivat kryesorë të politikës janë:</w:t>
          </w:r>
        </w:p>
        <w:p w14:paraId="060BD2A1" w14:textId="79FA419E" w:rsidR="008B0D6E" w:rsidRPr="0002022E" w:rsidRDefault="00BF4464" w:rsidP="00CC709C">
          <w:pPr>
            <w:pStyle w:val="ListParagraph"/>
            <w:numPr>
              <w:ilvl w:val="0"/>
              <w:numId w:val="48"/>
            </w:numPr>
            <w:tabs>
              <w:tab w:val="clear" w:pos="567"/>
              <w:tab w:val="left" w:pos="810"/>
            </w:tabs>
            <w:spacing w:before="240" w:line="276" w:lineRule="auto"/>
            <w:jc w:val="both"/>
            <w:rPr>
              <w:rFonts w:ascii="Times New Roman" w:eastAsiaTheme="majorEastAsia" w:hAnsi="Times New Roman"/>
              <w:color w:val="000000" w:themeColor="text1"/>
              <w:sz w:val="24"/>
              <w:szCs w:val="24"/>
            </w:rPr>
          </w:pPr>
          <w:r>
            <w:rPr>
              <w:rFonts w:ascii="Times New Roman" w:eastAsiaTheme="majorEastAsia" w:hAnsi="Times New Roman"/>
              <w:color w:val="000000" w:themeColor="text1"/>
              <w:sz w:val="24"/>
              <w:szCs w:val="24"/>
            </w:rPr>
            <w:t>Harmonizimi i plot</w:t>
          </w:r>
          <w:r w:rsidR="00D147DB">
            <w:rPr>
              <w:rFonts w:ascii="Times New Roman" w:eastAsiaTheme="majorEastAsia" w:hAnsi="Times New Roman"/>
              <w:color w:val="000000" w:themeColor="text1"/>
              <w:sz w:val="24"/>
              <w:szCs w:val="24"/>
            </w:rPr>
            <w:t>ë</w:t>
          </w:r>
          <w:r>
            <w:rPr>
              <w:rFonts w:ascii="Times New Roman" w:eastAsiaTheme="majorEastAsia" w:hAnsi="Times New Roman"/>
              <w:color w:val="000000" w:themeColor="text1"/>
              <w:sz w:val="24"/>
              <w:szCs w:val="24"/>
            </w:rPr>
            <w:t xml:space="preserve"> i </w:t>
          </w:r>
          <w:r w:rsidR="00AF04A5">
            <w:rPr>
              <w:rFonts w:ascii="Times New Roman" w:eastAsiaTheme="majorEastAsia" w:hAnsi="Times New Roman"/>
              <w:color w:val="000000" w:themeColor="text1"/>
              <w:sz w:val="24"/>
              <w:szCs w:val="24"/>
            </w:rPr>
            <w:t>legjislacionit t</w:t>
          </w:r>
          <w:r w:rsidR="00D147DB">
            <w:rPr>
              <w:rFonts w:ascii="Times New Roman" w:eastAsiaTheme="majorEastAsia" w:hAnsi="Times New Roman"/>
              <w:color w:val="000000" w:themeColor="text1"/>
              <w:sz w:val="24"/>
              <w:szCs w:val="24"/>
            </w:rPr>
            <w:t>ë</w:t>
          </w:r>
          <w:r w:rsidR="00AF04A5">
            <w:rPr>
              <w:rFonts w:ascii="Times New Roman" w:eastAsiaTheme="majorEastAsia" w:hAnsi="Times New Roman"/>
              <w:color w:val="000000" w:themeColor="text1"/>
              <w:sz w:val="24"/>
              <w:szCs w:val="24"/>
            </w:rPr>
            <w:t xml:space="preserve"> brendsh</w:t>
          </w:r>
          <w:r w:rsidR="00D147DB">
            <w:rPr>
              <w:rFonts w:ascii="Times New Roman" w:eastAsiaTheme="majorEastAsia" w:hAnsi="Times New Roman"/>
              <w:color w:val="000000" w:themeColor="text1"/>
              <w:sz w:val="24"/>
              <w:szCs w:val="24"/>
            </w:rPr>
            <w:t>ë</w:t>
          </w:r>
          <w:r w:rsidR="00AF04A5">
            <w:rPr>
              <w:rFonts w:ascii="Times New Roman" w:eastAsiaTheme="majorEastAsia" w:hAnsi="Times New Roman"/>
              <w:color w:val="000000" w:themeColor="text1"/>
              <w:sz w:val="24"/>
              <w:szCs w:val="24"/>
            </w:rPr>
            <w:t>m me</w:t>
          </w:r>
          <w:r w:rsidR="008B0D6E" w:rsidRPr="6875B2D2">
            <w:rPr>
              <w:rFonts w:ascii="Times New Roman" w:eastAsiaTheme="majorEastAsia" w:hAnsi="Times New Roman"/>
              <w:color w:val="000000" w:themeColor="text1"/>
              <w:sz w:val="24"/>
              <w:szCs w:val="24"/>
            </w:rPr>
            <w:t xml:space="preserve"> Direktivë</w:t>
          </w:r>
          <w:r w:rsidR="00AF04A5">
            <w:rPr>
              <w:rFonts w:ascii="Times New Roman" w:eastAsiaTheme="majorEastAsia" w:hAnsi="Times New Roman"/>
              <w:color w:val="000000" w:themeColor="text1"/>
              <w:sz w:val="24"/>
              <w:szCs w:val="24"/>
            </w:rPr>
            <w:t>n</w:t>
          </w:r>
          <w:r w:rsidR="008B0D6E" w:rsidRPr="6875B2D2">
            <w:rPr>
              <w:rFonts w:ascii="Times New Roman" w:eastAsiaTheme="majorEastAsia" w:hAnsi="Times New Roman"/>
              <w:color w:val="000000" w:themeColor="text1"/>
              <w:sz w:val="24"/>
              <w:szCs w:val="24"/>
            </w:rPr>
            <w:t xml:space="preserve"> 2006/123/KE, </w:t>
          </w:r>
          <w:r w:rsidR="00AF04A5">
            <w:rPr>
              <w:rFonts w:ascii="Times New Roman" w:eastAsiaTheme="majorEastAsia" w:hAnsi="Times New Roman"/>
              <w:color w:val="000000" w:themeColor="text1"/>
              <w:sz w:val="24"/>
              <w:szCs w:val="24"/>
            </w:rPr>
            <w:t>brenda vitit 2025</w:t>
          </w:r>
          <w:r w:rsidR="008B0D6E" w:rsidRPr="6875B2D2">
            <w:rPr>
              <w:rFonts w:ascii="Times New Roman" w:eastAsiaTheme="majorEastAsia" w:hAnsi="Times New Roman"/>
              <w:color w:val="000000" w:themeColor="text1"/>
              <w:sz w:val="24"/>
              <w:szCs w:val="24"/>
            </w:rPr>
            <w:t>.</w:t>
          </w:r>
        </w:p>
        <w:p w14:paraId="0E9C266F" w14:textId="1FCB3711" w:rsidR="008B0D6E" w:rsidRPr="0002022E" w:rsidRDefault="008B0D6E" w:rsidP="00CC709C">
          <w:pPr>
            <w:numPr>
              <w:ilvl w:val="0"/>
              <w:numId w:val="48"/>
            </w:numPr>
            <w:tabs>
              <w:tab w:val="left" w:pos="810"/>
            </w:tabs>
            <w:spacing w:before="240" w:line="276" w:lineRule="auto"/>
            <w:ind w:left="810"/>
            <w:jc w:val="both"/>
            <w:rPr>
              <w:rFonts w:eastAsiaTheme="majorEastAsia"/>
              <w:color w:val="000000" w:themeColor="text1"/>
            </w:rPr>
          </w:pPr>
          <w:r w:rsidRPr="0002022E">
            <w:rPr>
              <w:rFonts w:eastAsiaTheme="majorEastAsia"/>
              <w:color w:val="000000" w:themeColor="text1"/>
            </w:rPr>
            <w:t>Përfshirja dhe ristrukturimi i koncepteve bazë që lidhen me të drejtën e vendosjes dhe mbrojtjen e përfituesve të shërbimeve, brenda vitit 2025, përmes një kuadri të unifikuar dhe të digjitalizuar</w:t>
          </w:r>
          <w:r w:rsidR="00AF04A5">
            <w:rPr>
              <w:rFonts w:eastAsiaTheme="majorEastAsia"/>
              <w:color w:val="000000" w:themeColor="text1"/>
            </w:rPr>
            <w:t xml:space="preserve"> 100%</w:t>
          </w:r>
          <w:r w:rsidRPr="0002022E">
            <w:rPr>
              <w:rFonts w:eastAsiaTheme="majorEastAsia"/>
              <w:color w:val="000000" w:themeColor="text1"/>
            </w:rPr>
            <w:t xml:space="preserve"> të procedurave administrative dhe autorizimeve.</w:t>
          </w:r>
        </w:p>
        <w:p w14:paraId="177B2FCB" w14:textId="10B446EF" w:rsidR="008B0D6E" w:rsidRPr="0002022E" w:rsidRDefault="008B0D6E" w:rsidP="00CC709C">
          <w:pPr>
            <w:numPr>
              <w:ilvl w:val="0"/>
              <w:numId w:val="48"/>
            </w:numPr>
            <w:tabs>
              <w:tab w:val="left" w:pos="810"/>
            </w:tabs>
            <w:spacing w:before="240" w:line="276" w:lineRule="auto"/>
            <w:ind w:left="810"/>
            <w:jc w:val="both"/>
            <w:rPr>
              <w:rFonts w:eastAsiaTheme="majorEastAsia"/>
              <w:color w:val="000000" w:themeColor="text1"/>
            </w:rPr>
          </w:pPr>
          <w:r w:rsidRPr="0002022E">
            <w:rPr>
              <w:rFonts w:eastAsiaTheme="majorEastAsia"/>
              <w:color w:val="000000" w:themeColor="text1"/>
            </w:rPr>
            <w:t xml:space="preserve">Rikonceptimi dhe thjeshtimi i kuadrit ligjor për ofrimin e shërbimeve ndërkufitare, </w:t>
          </w:r>
          <w:r w:rsidR="00AF04A5">
            <w:rPr>
              <w:rFonts w:eastAsiaTheme="majorEastAsia"/>
              <w:color w:val="000000" w:themeColor="text1"/>
            </w:rPr>
            <w:t xml:space="preserve">brenda vitit 2025, </w:t>
          </w:r>
          <w:r w:rsidRPr="0002022E">
            <w:rPr>
              <w:rFonts w:eastAsiaTheme="majorEastAsia"/>
              <w:color w:val="000000" w:themeColor="text1"/>
            </w:rPr>
            <w:t>duke vendosur dispozita kuadër në ligjin e ri, të cilat do të jenë të aktivizueshme në momentin e anëtarësimit në BE</w:t>
          </w:r>
          <w:r w:rsidR="00AF04A5">
            <w:rPr>
              <w:rFonts w:eastAsiaTheme="majorEastAsia"/>
              <w:color w:val="000000" w:themeColor="text1"/>
            </w:rPr>
            <w:t>,</w:t>
          </w:r>
          <w:r w:rsidRPr="0002022E">
            <w:rPr>
              <w:rFonts w:eastAsiaTheme="majorEastAsia"/>
              <w:color w:val="000000" w:themeColor="text1"/>
            </w:rPr>
            <w:t>për të garantuar koherencën pas hyrjes në BE.</w:t>
          </w:r>
        </w:p>
        <w:p w14:paraId="6BE52C73" w14:textId="6F11EE1A" w:rsidR="008B0D6E" w:rsidRPr="0002022E" w:rsidRDefault="008B0D6E" w:rsidP="00CC709C">
          <w:pPr>
            <w:numPr>
              <w:ilvl w:val="0"/>
              <w:numId w:val="48"/>
            </w:numPr>
            <w:tabs>
              <w:tab w:val="left" w:pos="810"/>
            </w:tabs>
            <w:spacing w:before="240" w:line="276" w:lineRule="auto"/>
            <w:ind w:left="810"/>
            <w:jc w:val="both"/>
            <w:rPr>
              <w:rFonts w:eastAsiaTheme="majorEastAsia"/>
              <w:color w:val="000000" w:themeColor="text1"/>
            </w:rPr>
          </w:pPr>
          <w:r w:rsidRPr="0002022E">
            <w:rPr>
              <w:rFonts w:eastAsiaTheme="majorEastAsia"/>
              <w:color w:val="000000" w:themeColor="text1"/>
            </w:rPr>
            <w:t>Vendosja e një kuadri të qartë për bashkëpunimin administrativ dhe përdorimin e sistemit IMI, brenda vitit 2025, me hyrje në fuqi efektive në datën e anëtarësimit ose më herët sipas parimit të reciprocitetit me BE-në.</w:t>
          </w:r>
        </w:p>
        <w:p w14:paraId="51E73056" w14:textId="5465FF86" w:rsidR="008B0D6E" w:rsidRDefault="008B0D6E" w:rsidP="00CC709C">
          <w:pPr>
            <w:numPr>
              <w:ilvl w:val="0"/>
              <w:numId w:val="48"/>
            </w:numPr>
            <w:tabs>
              <w:tab w:val="left" w:pos="810"/>
            </w:tabs>
            <w:spacing w:before="240" w:line="276" w:lineRule="auto"/>
            <w:ind w:left="810"/>
            <w:jc w:val="both"/>
            <w:rPr>
              <w:rFonts w:eastAsiaTheme="majorEastAsia"/>
              <w:color w:val="000000" w:themeColor="text1"/>
            </w:rPr>
          </w:pPr>
          <w:r w:rsidRPr="0002022E">
            <w:rPr>
              <w:rFonts w:eastAsiaTheme="majorEastAsia"/>
              <w:color w:val="000000" w:themeColor="text1"/>
            </w:rPr>
            <w:t>Unifikimi i legjislacionit sektorial dhe përafrimi i kërkesave për ofrimin e shërbimeve, në përputhje me parimet dhe dispozitat e ligjit të ri, përmes një procesi të koordinuar ndërinstitucional brenda afatit të parashikuar në Planin Kombëtar për Integrimin Evropian 2024–2026.</w:t>
          </w:r>
        </w:p>
        <w:p w14:paraId="43AB7C88" w14:textId="5CE2A521" w:rsidR="00AF04A5" w:rsidRDefault="00AF04A5" w:rsidP="00CC709C">
          <w:pPr>
            <w:numPr>
              <w:ilvl w:val="0"/>
              <w:numId w:val="48"/>
            </w:numPr>
            <w:tabs>
              <w:tab w:val="left" w:pos="810"/>
            </w:tabs>
            <w:spacing w:before="240" w:line="276" w:lineRule="auto"/>
            <w:ind w:left="810"/>
            <w:jc w:val="both"/>
            <w:rPr>
              <w:rFonts w:eastAsiaTheme="majorEastAsia"/>
              <w:color w:val="000000" w:themeColor="text1"/>
            </w:rPr>
          </w:pPr>
          <w:r w:rsidRPr="00AF04A5">
            <w:rPr>
              <w:rFonts w:eastAsiaTheme="majorEastAsia"/>
              <w:color w:val="000000" w:themeColor="text1"/>
            </w:rPr>
            <w:t>Rregullimi i qartë i kushteve për ofrimin e shërbimeve multidisiplinore, duke mundësuar operimin në disa disiplina për të njëjtin operator</w:t>
          </w:r>
          <w:r>
            <w:rPr>
              <w:rFonts w:eastAsiaTheme="majorEastAsia"/>
              <w:color w:val="000000" w:themeColor="text1"/>
            </w:rPr>
            <w:t>, brenda vitit 2025</w:t>
          </w:r>
          <w:r w:rsidRPr="00AF04A5">
            <w:rPr>
              <w:rFonts w:eastAsiaTheme="majorEastAsia"/>
              <w:color w:val="000000" w:themeColor="text1"/>
            </w:rPr>
            <w:t>.</w:t>
          </w:r>
        </w:p>
        <w:p w14:paraId="70E5A7B3" w14:textId="492BBCE3" w:rsidR="00AF04A5" w:rsidRDefault="00AF04A5" w:rsidP="00CC709C">
          <w:pPr>
            <w:numPr>
              <w:ilvl w:val="0"/>
              <w:numId w:val="48"/>
            </w:numPr>
            <w:tabs>
              <w:tab w:val="left" w:pos="810"/>
            </w:tabs>
            <w:spacing w:before="240" w:line="276" w:lineRule="auto"/>
            <w:ind w:left="810"/>
            <w:jc w:val="both"/>
            <w:rPr>
              <w:rFonts w:eastAsiaTheme="majorEastAsia"/>
              <w:color w:val="000000" w:themeColor="text1"/>
            </w:rPr>
          </w:pPr>
          <w:r>
            <w:rPr>
              <w:rFonts w:eastAsiaTheme="majorEastAsia"/>
              <w:color w:val="000000" w:themeColor="text1"/>
            </w:rPr>
            <w:t>S</w:t>
          </w:r>
          <w:r w:rsidRPr="00AF04A5">
            <w:rPr>
              <w:rFonts w:eastAsiaTheme="majorEastAsia"/>
              <w:color w:val="000000" w:themeColor="text1"/>
            </w:rPr>
            <w:t>igur</w:t>
          </w:r>
          <w:r>
            <w:rPr>
              <w:rFonts w:eastAsiaTheme="majorEastAsia"/>
              <w:color w:val="000000" w:themeColor="text1"/>
            </w:rPr>
            <w:t>imi i</w:t>
          </w:r>
          <w:r w:rsidRPr="00AF04A5">
            <w:rPr>
              <w:rFonts w:eastAsiaTheme="majorEastAsia"/>
              <w:color w:val="000000" w:themeColor="text1"/>
            </w:rPr>
            <w:t xml:space="preserve"> njohj</w:t>
          </w:r>
          <w:r>
            <w:rPr>
              <w:rFonts w:eastAsiaTheme="majorEastAsia"/>
              <w:color w:val="000000" w:themeColor="text1"/>
            </w:rPr>
            <w:t>es</w:t>
          </w:r>
          <w:r w:rsidRPr="00AF04A5">
            <w:rPr>
              <w:rFonts w:eastAsiaTheme="majorEastAsia"/>
              <w:color w:val="000000" w:themeColor="text1"/>
            </w:rPr>
            <w:t xml:space="preserve"> </w:t>
          </w:r>
          <w:r>
            <w:rPr>
              <w:rFonts w:eastAsiaTheme="majorEastAsia"/>
              <w:color w:val="000000" w:themeColor="text1"/>
            </w:rPr>
            <w:t>s</w:t>
          </w:r>
          <w:r w:rsidR="00D147DB">
            <w:rPr>
              <w:rFonts w:eastAsiaTheme="majorEastAsia"/>
              <w:color w:val="000000" w:themeColor="text1"/>
            </w:rPr>
            <w:t>ë</w:t>
          </w:r>
          <w:r w:rsidRPr="00AF04A5">
            <w:rPr>
              <w:rFonts w:eastAsiaTheme="majorEastAsia"/>
              <w:color w:val="000000" w:themeColor="text1"/>
            </w:rPr>
            <w:t xml:space="preserve"> garancive dhe sigurimeve të ofruara në vendet anëtare të BE-së, duke shmangur diskriminimin ndaj operatorëve të huaj</w:t>
          </w:r>
          <w:r>
            <w:rPr>
              <w:rFonts w:eastAsiaTheme="majorEastAsia"/>
              <w:color w:val="000000" w:themeColor="text1"/>
            </w:rPr>
            <w:t>, brenda vitit 2025</w:t>
          </w:r>
          <w:r w:rsidRPr="00AF04A5">
            <w:rPr>
              <w:rFonts w:eastAsiaTheme="majorEastAsia"/>
              <w:color w:val="000000" w:themeColor="text1"/>
            </w:rPr>
            <w:t>.</w:t>
          </w:r>
        </w:p>
        <w:p w14:paraId="2C38EB01" w14:textId="17A901B7" w:rsidR="00AF04A5" w:rsidRDefault="00601F0B" w:rsidP="00CC709C">
          <w:pPr>
            <w:numPr>
              <w:ilvl w:val="0"/>
              <w:numId w:val="48"/>
            </w:numPr>
            <w:tabs>
              <w:tab w:val="left" w:pos="810"/>
            </w:tabs>
            <w:spacing w:before="240" w:line="276" w:lineRule="auto"/>
            <w:ind w:left="810"/>
            <w:jc w:val="both"/>
            <w:rPr>
              <w:rFonts w:eastAsiaTheme="majorEastAsia"/>
              <w:color w:val="000000" w:themeColor="text1"/>
            </w:rPr>
          </w:pPr>
          <w:r w:rsidRPr="00601F0B">
            <w:rPr>
              <w:rFonts w:eastAsiaTheme="majorEastAsia"/>
              <w:color w:val="000000" w:themeColor="text1"/>
            </w:rPr>
            <w:t>Garantimi i të drejtave të konsumatorëve dhe përfituesve të shërbimeve sipas standardeve të BE-së, duke përfshirë transparencën, informimin dhe mbrojtjen nga praktikat e padrejta.</w:t>
          </w:r>
          <w:r>
            <w:rPr>
              <w:rFonts w:eastAsiaTheme="majorEastAsia"/>
              <w:color w:val="000000" w:themeColor="text1"/>
            </w:rPr>
            <w:t>.</w:t>
          </w:r>
        </w:p>
        <w:p w14:paraId="7BE59704" w14:textId="70E267C1" w:rsidR="00601F0B" w:rsidRPr="0002022E" w:rsidRDefault="00601F0B" w:rsidP="00CC709C">
          <w:pPr>
            <w:numPr>
              <w:ilvl w:val="0"/>
              <w:numId w:val="48"/>
            </w:numPr>
            <w:tabs>
              <w:tab w:val="left" w:pos="810"/>
            </w:tabs>
            <w:spacing w:before="240" w:line="276" w:lineRule="auto"/>
            <w:ind w:left="810"/>
            <w:jc w:val="both"/>
            <w:rPr>
              <w:rFonts w:eastAsiaTheme="majorEastAsia"/>
              <w:color w:val="000000" w:themeColor="text1"/>
            </w:rPr>
          </w:pPr>
          <w:r w:rsidRPr="00601F0B">
            <w:rPr>
              <w:rFonts w:eastAsiaTheme="majorEastAsia"/>
              <w:color w:val="000000" w:themeColor="text1"/>
            </w:rPr>
            <w:t>Ndërveprimi me sistemet</w:t>
          </w:r>
          <w:r>
            <w:rPr>
              <w:rFonts w:eastAsiaTheme="majorEastAsia"/>
              <w:color w:val="000000" w:themeColor="text1"/>
            </w:rPr>
            <w:t>/platformat komb</w:t>
          </w:r>
          <w:r w:rsidR="00D147DB">
            <w:rPr>
              <w:rFonts w:eastAsiaTheme="majorEastAsia"/>
              <w:color w:val="000000" w:themeColor="text1"/>
            </w:rPr>
            <w:t>ë</w:t>
          </w:r>
          <w:r>
            <w:rPr>
              <w:rFonts w:eastAsiaTheme="majorEastAsia"/>
              <w:color w:val="000000" w:themeColor="text1"/>
            </w:rPr>
            <w:t>tare</w:t>
          </w:r>
          <w:r w:rsidRPr="00601F0B">
            <w:rPr>
              <w:rFonts w:eastAsiaTheme="majorEastAsia"/>
              <w:color w:val="000000" w:themeColor="text1"/>
            </w:rPr>
            <w:t xml:space="preserve"> digjitale për</w:t>
          </w:r>
          <w:r>
            <w:rPr>
              <w:rFonts w:eastAsiaTheme="majorEastAsia"/>
              <w:color w:val="000000" w:themeColor="text1"/>
            </w:rPr>
            <w:t>,</w:t>
          </w:r>
          <w:r w:rsidRPr="00601F0B">
            <w:rPr>
              <w:rFonts w:eastAsiaTheme="majorEastAsia"/>
              <w:color w:val="000000" w:themeColor="text1"/>
            </w:rPr>
            <w:t xml:space="preserve"> monitorim</w:t>
          </w:r>
          <w:r w:rsidRPr="00601F0B">
            <w:t xml:space="preserve"> </w:t>
          </w:r>
          <w:r w:rsidRPr="00601F0B">
            <w:rPr>
              <w:rFonts w:eastAsiaTheme="majorEastAsia"/>
              <w:color w:val="000000" w:themeColor="text1"/>
            </w:rPr>
            <w:t>mbikëqyrje dhe raportim të veprimtarive të ofruesve, duke garantuar efikasitet dhe kontroll të vazhdueshëm.</w:t>
          </w:r>
        </w:p>
        <w:p w14:paraId="2D363720" w14:textId="097AEF8A" w:rsidR="008B0D6E" w:rsidRPr="0002022E" w:rsidRDefault="008B0D6E" w:rsidP="0002022E">
          <w:pPr>
            <w:spacing w:before="240" w:line="276" w:lineRule="auto"/>
            <w:jc w:val="both"/>
            <w:rPr>
              <w:rFonts w:eastAsiaTheme="majorEastAsia"/>
              <w:color w:val="000000" w:themeColor="text1"/>
            </w:rPr>
          </w:pPr>
          <w:r w:rsidRPr="0002022E">
            <w:rPr>
              <w:rFonts w:eastAsiaTheme="majorEastAsia"/>
              <w:color w:val="000000" w:themeColor="text1"/>
            </w:rPr>
            <w:t>Këto objektiva janë formuluar në përputhje me mekanizmat e zbatimit, afatet dhe strukturën e parashikuar të projektligjit. Ato adresojnë drejtpërdrejt dobësitë e identifikuara në legjislacionin aktual, përmirësojnë sigurinë juridike, rrisin transparencën dhe digjitalizimin e procedurave administrative, dhe vendosin bazat rregullatore për funksionim tërësor në tregun e përbashkët të shërbimeve pas anëtarësimit në BE.</w:t>
          </w:r>
        </w:p>
        <w:p w14:paraId="15A320BA" w14:textId="4C57F198" w:rsidR="002362E1" w:rsidRPr="003339CA" w:rsidRDefault="00204683" w:rsidP="003339CA">
          <w:pPr>
            <w:shd w:val="clear" w:color="auto" w:fill="FFFFFF" w:themeFill="background1"/>
            <w:tabs>
              <w:tab w:val="left" w:pos="567"/>
            </w:tabs>
            <w:spacing w:after="120" w:line="288" w:lineRule="auto"/>
            <w:jc w:val="both"/>
          </w:pPr>
        </w:p>
      </w:sdtContent>
    </w:sdt>
    <w:p w14:paraId="7B42B565" w14:textId="77777777" w:rsidR="002125B7" w:rsidRPr="00325A1F" w:rsidRDefault="002125B7" w:rsidP="009D13F4">
      <w:pPr>
        <w:pStyle w:val="Heading1"/>
        <w:spacing w:line="276" w:lineRule="auto"/>
        <w:rPr>
          <w:rFonts w:ascii="Times New Roman" w:hAnsi="Times New Roman" w:cs="Times New Roman"/>
          <w:sz w:val="24"/>
          <w:szCs w:val="24"/>
        </w:rPr>
      </w:pPr>
      <w:r w:rsidRPr="1A98504A">
        <w:rPr>
          <w:rFonts w:ascii="Times New Roman" w:hAnsi="Times New Roman" w:cs="Times New Roman"/>
          <w:sz w:val="24"/>
          <w:szCs w:val="24"/>
        </w:rPr>
        <w:t>Përshkrimi i opsioneve të shqyrtuara</w:t>
      </w:r>
    </w:p>
    <w:sdt>
      <w:sdtPr>
        <w:rPr>
          <w:rFonts w:ascii="Times New Roman" w:hAnsi="Times New Roman"/>
          <w:sz w:val="24"/>
          <w:szCs w:val="24"/>
        </w:rPr>
        <w:id w:val="483215"/>
        <w:lock w:val="contentLocked"/>
        <w:placeholder>
          <w:docPart w:val="DefaultPlaceholder_1081868574"/>
        </w:placeholder>
      </w:sdtPr>
      <w:sdtEndPr>
        <w:rPr>
          <w:i/>
          <w:iCs/>
        </w:rPr>
      </w:sdtEndPr>
      <w:sdtContent>
        <w:p w14:paraId="023513BA" w14:textId="77777777" w:rsidR="009E64A4" w:rsidRPr="0032145B" w:rsidRDefault="009E64A4" w:rsidP="00673F28">
          <w:pPr>
            <w:pStyle w:val="ListParagraph"/>
            <w:numPr>
              <w:ilvl w:val="0"/>
              <w:numId w:val="7"/>
            </w:numPr>
            <w:spacing w:after="0" w:line="276" w:lineRule="auto"/>
            <w:jc w:val="both"/>
            <w:rPr>
              <w:rFonts w:ascii="Times New Roman" w:hAnsi="Times New Roman"/>
              <w:i/>
              <w:sz w:val="24"/>
              <w:szCs w:val="24"/>
            </w:rPr>
          </w:pPr>
          <w:r w:rsidRPr="6875B2D2">
            <w:rPr>
              <w:rFonts w:ascii="Times New Roman" w:hAnsi="Times New Roman"/>
              <w:i/>
              <w:sz w:val="24"/>
              <w:szCs w:val="24"/>
            </w:rPr>
            <w:t xml:space="preserve">Përshkruani opsionin e status quo-së. </w:t>
          </w:r>
        </w:p>
        <w:p w14:paraId="49427CE5" w14:textId="77777777" w:rsidR="009E64A4" w:rsidRPr="0032145B" w:rsidRDefault="009E64A4" w:rsidP="00673F28">
          <w:pPr>
            <w:pStyle w:val="ListParagraph"/>
            <w:numPr>
              <w:ilvl w:val="0"/>
              <w:numId w:val="7"/>
            </w:numPr>
            <w:spacing w:after="0" w:line="276" w:lineRule="auto"/>
            <w:jc w:val="both"/>
            <w:rPr>
              <w:rFonts w:ascii="Times New Roman" w:hAnsi="Times New Roman"/>
              <w:i/>
              <w:sz w:val="24"/>
              <w:szCs w:val="24"/>
            </w:rPr>
          </w:pPr>
          <w:r w:rsidRPr="6875B2D2">
            <w:rPr>
              <w:rFonts w:ascii="Times New Roman" w:hAnsi="Times New Roman"/>
              <w:i/>
              <w:sz w:val="24"/>
              <w:szCs w:val="24"/>
            </w:rPr>
            <w:t>Identifikoni dhe përshkruani të gjitha opsionet e politikave që keni marrë parasysh.</w:t>
          </w:r>
        </w:p>
        <w:p w14:paraId="75A3EFFB" w14:textId="245859E2" w:rsidR="009E64A4" w:rsidRPr="0032145B" w:rsidRDefault="009E64A4" w:rsidP="00673F28">
          <w:pPr>
            <w:pStyle w:val="ListParagraph"/>
            <w:numPr>
              <w:ilvl w:val="0"/>
              <w:numId w:val="7"/>
            </w:numPr>
            <w:spacing w:after="0" w:line="276" w:lineRule="auto"/>
            <w:jc w:val="both"/>
            <w:rPr>
              <w:rFonts w:ascii="Times New Roman" w:hAnsi="Times New Roman"/>
              <w:i/>
              <w:sz w:val="24"/>
              <w:szCs w:val="24"/>
            </w:rPr>
          </w:pPr>
          <w:r w:rsidRPr="6875B2D2">
            <w:rPr>
              <w:rFonts w:ascii="Times New Roman" w:hAnsi="Times New Roman"/>
              <w:i/>
              <w:sz w:val="24"/>
              <w:szCs w:val="24"/>
            </w:rPr>
            <w:t xml:space="preserve">Shpjegoni se si janë identifikuar opsionet e politikës.  </w:t>
          </w:r>
        </w:p>
      </w:sdtContent>
    </w:sdt>
    <w:sdt>
      <w:sdtPr>
        <w:rPr>
          <w:rFonts w:eastAsiaTheme="majorEastAsia"/>
          <w:color w:val="808080" w:themeColor="background1" w:themeShade="80"/>
        </w:rPr>
        <w:id w:val="1247768188"/>
        <w:placeholder>
          <w:docPart w:val="094A48B080684960BF3A114CBE910244"/>
        </w:placeholder>
      </w:sdtPr>
      <w:sdtContent>
        <w:p w14:paraId="437DF2FD" w14:textId="6E12D59D" w:rsidR="00BD5DE3" w:rsidRPr="003854E4" w:rsidRDefault="00451FA1" w:rsidP="00130B06">
          <w:pPr>
            <w:spacing w:before="240" w:line="276" w:lineRule="auto"/>
            <w:jc w:val="both"/>
            <w:rPr>
              <w:color w:val="000000"/>
            </w:rPr>
          </w:pPr>
          <w:r w:rsidRPr="6875B2D2">
            <w:rPr>
              <w:color w:val="000000" w:themeColor="text1"/>
            </w:rPr>
            <w:t xml:space="preserve"> Opsionet e mëposhtme janë vlerësuar në funksion të arritjes së objektivave të politikave:</w:t>
          </w:r>
        </w:p>
        <w:p w14:paraId="72D769AA" w14:textId="77777777" w:rsidR="002829F1" w:rsidRPr="003854E4" w:rsidRDefault="002829F1" w:rsidP="00130B06">
          <w:pPr>
            <w:spacing w:before="240" w:line="276" w:lineRule="auto"/>
            <w:jc w:val="both"/>
            <w:rPr>
              <w:color w:val="000000"/>
            </w:rPr>
          </w:pPr>
        </w:p>
        <w:p w14:paraId="3288AA72" w14:textId="7D097ACC" w:rsidR="002829F1" w:rsidRPr="00F955A6" w:rsidRDefault="002829F1" w:rsidP="00130B06">
          <w:pPr>
            <w:tabs>
              <w:tab w:val="left" w:pos="10080"/>
            </w:tabs>
            <w:spacing w:after="120" w:line="276" w:lineRule="auto"/>
            <w:jc w:val="both"/>
            <w:rPr>
              <w:b/>
              <w:color w:val="000000" w:themeColor="text1"/>
            </w:rPr>
          </w:pPr>
          <w:r w:rsidRPr="00F955A6">
            <w:rPr>
              <w:b/>
              <w:color w:val="000000" w:themeColor="text1"/>
            </w:rPr>
            <w:t>Opsioni 0 – (ruajtja e status quo) – Të vijohet me kuadrin ligjor ekzistues.</w:t>
          </w:r>
        </w:p>
        <w:p w14:paraId="20411973" w14:textId="53C6F3D8" w:rsidR="00D754F0" w:rsidRPr="00F955A6" w:rsidRDefault="00AB6AF9" w:rsidP="00130B06">
          <w:pPr>
            <w:tabs>
              <w:tab w:val="left" w:pos="10080"/>
            </w:tabs>
            <w:spacing w:after="120" w:line="276" w:lineRule="auto"/>
            <w:jc w:val="both"/>
            <w:rPr>
              <w:b/>
              <w:color w:val="000000" w:themeColor="text1"/>
            </w:rPr>
          </w:pPr>
          <w:r w:rsidRPr="00F955A6">
            <w:rPr>
              <w:b/>
              <w:color w:val="000000" w:themeColor="text1"/>
            </w:rPr>
            <w:t xml:space="preserve">Opsioni 1 (i preferuar) – </w:t>
          </w:r>
          <w:r w:rsidR="00D754F0" w:rsidRPr="00F955A6">
            <w:rPr>
              <w:b/>
              <w:color w:val="000000" w:themeColor="text1"/>
            </w:rPr>
            <w:t>Hartimi i një ligji të ri për shërbimet. Ky opsion nënkupton shfuqizimin e Ligjit nr. 66/2016 “Për shërbimet në Republikën e Shqipërisë” dhe hartimin nga e para të një ligji të ri.</w:t>
          </w:r>
        </w:p>
        <w:p w14:paraId="0A2C5CCE" w14:textId="77777777" w:rsidR="00615EFC" w:rsidRPr="00F955A6" w:rsidRDefault="00615EFC" w:rsidP="00130B06">
          <w:pPr>
            <w:tabs>
              <w:tab w:val="left" w:pos="10080"/>
            </w:tabs>
            <w:spacing w:after="120" w:line="276" w:lineRule="auto"/>
            <w:jc w:val="both"/>
            <w:rPr>
              <w:b/>
              <w:color w:val="000000" w:themeColor="text1"/>
            </w:rPr>
          </w:pPr>
          <w:r w:rsidRPr="00F955A6">
            <w:rPr>
              <w:b/>
              <w:color w:val="000000" w:themeColor="text1"/>
            </w:rPr>
            <w:t>Opsioni 2- Ndërhyrje të targetuara në aktet ligjore sektoriale pjesë e kuadrit rregullator ekzistues, me qëllim përafrimin e plotë të legjislacionit sektorial me Direktivën 2006/123/KE.</w:t>
          </w:r>
        </w:p>
        <w:p w14:paraId="32ADAB3C" w14:textId="26E34099" w:rsidR="00C4129E" w:rsidRDefault="00AB6AF9" w:rsidP="00130B06">
          <w:pPr>
            <w:tabs>
              <w:tab w:val="left" w:pos="10080"/>
            </w:tabs>
            <w:spacing w:after="120" w:line="276" w:lineRule="auto"/>
            <w:jc w:val="both"/>
            <w:rPr>
              <w:b/>
              <w:color w:val="000000" w:themeColor="text1"/>
            </w:rPr>
          </w:pPr>
          <w:r w:rsidRPr="00F955A6">
            <w:rPr>
              <w:b/>
              <w:color w:val="000000" w:themeColor="text1"/>
            </w:rPr>
            <w:t>Opsioni 3 –</w:t>
          </w:r>
          <w:r w:rsidR="00C4129E" w:rsidRPr="00F955A6">
            <w:rPr>
              <w:b/>
              <w:color w:val="000000" w:themeColor="text1"/>
            </w:rPr>
            <w:t xml:space="preserve"> Ndryshimi i Ligjit 66/2016 “Për shërbimet në Republikën e Shqipërisë” (“Ligji për Shërbimet”).</w:t>
          </w:r>
        </w:p>
        <w:p w14:paraId="692863BF" w14:textId="51C6D5DF" w:rsidR="00FA4214" w:rsidRPr="00F955A6" w:rsidRDefault="00FA4214" w:rsidP="00130B06">
          <w:pPr>
            <w:tabs>
              <w:tab w:val="left" w:pos="10080"/>
            </w:tabs>
            <w:spacing w:after="120" w:line="276" w:lineRule="auto"/>
            <w:jc w:val="both"/>
            <w:rPr>
              <w:b/>
              <w:color w:val="000000" w:themeColor="text1"/>
            </w:rPr>
          </w:pPr>
          <w:r>
            <w:rPr>
              <w:b/>
              <w:color w:val="000000" w:themeColor="text1"/>
            </w:rPr>
            <w:t>Opsioni 4 – Jorregullator.</w:t>
          </w:r>
        </w:p>
        <w:p w14:paraId="6B125557" w14:textId="77777777" w:rsidR="00904333" w:rsidRPr="003854E4" w:rsidRDefault="00904333" w:rsidP="00130B06">
          <w:pPr>
            <w:tabs>
              <w:tab w:val="left" w:pos="10080"/>
            </w:tabs>
            <w:spacing w:after="120" w:line="276" w:lineRule="auto"/>
            <w:jc w:val="both"/>
            <w:rPr>
              <w:b/>
              <w:color w:val="0070C0"/>
            </w:rPr>
          </w:pPr>
        </w:p>
        <w:p w14:paraId="49726E97" w14:textId="6FB8DF24" w:rsidR="00904333" w:rsidRPr="00F955A6" w:rsidRDefault="00904333" w:rsidP="00130B06">
          <w:pPr>
            <w:tabs>
              <w:tab w:val="left" w:pos="10080"/>
            </w:tabs>
            <w:spacing w:after="120" w:line="276" w:lineRule="auto"/>
            <w:jc w:val="both"/>
            <w:rPr>
              <w:rFonts w:eastAsia="Calibri"/>
              <w:b/>
              <w:color w:val="000000" w:themeColor="text1"/>
            </w:rPr>
          </w:pPr>
          <w:r w:rsidRPr="00F955A6">
            <w:rPr>
              <w:b/>
              <w:color w:val="000000" w:themeColor="text1"/>
            </w:rPr>
            <w:t xml:space="preserve">Opsioni 0  </w:t>
          </w:r>
          <w:r w:rsidR="00AF04A5" w:rsidRPr="00F955A6">
            <w:rPr>
              <w:b/>
              <w:color w:val="000000" w:themeColor="text1"/>
            </w:rPr>
            <w:t>ruajtja e status quo-s</w:t>
          </w:r>
          <w:r w:rsidR="00D147DB">
            <w:rPr>
              <w:b/>
              <w:color w:val="000000" w:themeColor="text1"/>
            </w:rPr>
            <w:t>ë</w:t>
          </w:r>
          <w:r w:rsidRPr="00F955A6">
            <w:rPr>
              <w:b/>
              <w:color w:val="000000" w:themeColor="text1"/>
            </w:rPr>
            <w:t>): Të vijohet me kuadrin ligjor ekzistues</w:t>
          </w:r>
        </w:p>
        <w:p w14:paraId="46097796" w14:textId="77777777" w:rsidR="00904333" w:rsidRPr="003854E4" w:rsidRDefault="00904333" w:rsidP="00130B06">
          <w:pPr>
            <w:tabs>
              <w:tab w:val="left" w:pos="10080"/>
            </w:tabs>
            <w:spacing w:after="120" w:line="276" w:lineRule="auto"/>
            <w:ind w:left="34"/>
            <w:jc w:val="both"/>
            <w:rPr>
              <w:color w:val="000000"/>
            </w:rPr>
          </w:pPr>
          <w:r w:rsidRPr="6875B2D2">
            <w:t>Në kuadrin e angazhimit politik nëse do të vazhdohej me këtë opsion shteti shqiptar nuk do të përmbushte një nga detyrimet bazë të procesit të integrimit, marrë përsipër nëpërmjet nënshkrimi të Marrëveshjes së Stabilizim Asociimit, siç është përafrimi i legjislacionit.</w:t>
          </w:r>
          <w:r w:rsidRPr="6875B2D2">
            <w:rPr>
              <w:b/>
              <w:color w:val="000000" w:themeColor="text1"/>
            </w:rPr>
            <w:t xml:space="preserve"> </w:t>
          </w:r>
          <w:r w:rsidRPr="6875B2D2">
            <w:rPr>
              <w:color w:val="000000" w:themeColor="text1"/>
            </w:rPr>
            <w:t xml:space="preserve">Kjo gjë natyrisht do të sillte në vonesën e mëtejshme të hapave të progresit dhe gjithashtu do të cenonte hapat e pasardhës të këtij procesi. </w:t>
          </w:r>
        </w:p>
        <w:p w14:paraId="743DA26F" w14:textId="77777777" w:rsidR="00904333" w:rsidRPr="003854E4" w:rsidRDefault="00904333" w:rsidP="00130B06">
          <w:pPr>
            <w:tabs>
              <w:tab w:val="left" w:pos="10080"/>
            </w:tabs>
            <w:spacing w:after="120" w:line="276" w:lineRule="auto"/>
            <w:ind w:left="34"/>
            <w:jc w:val="both"/>
            <w:rPr>
              <w:color w:val="000000"/>
            </w:rPr>
          </w:pPr>
          <w:r w:rsidRPr="6875B2D2">
            <w:rPr>
              <w:color w:val="000000" w:themeColor="text1"/>
            </w:rPr>
            <w:t>Në aspektin material, mosadresimi në ligj i dispozitave që rregullojnë shërbimet ndërkufitare, bashkëpunimin administrativ dhe ndërveprimin me sistemin IMI, do të pengonte ofruesit e shërbimeve nga vendet e BE të ofronin shërbime të përkohshme në Shqipëri. Kjo do të kufizonte aksesin e qytetarëve në shërbime cilësore dhe konkurruese, si dhe do të shtynte në kohë njohjen e certifikimeve, kualifikimeve apo garancive profesionale të lëshuara nga vendet anëtare.</w:t>
          </w:r>
        </w:p>
        <w:p w14:paraId="7B8D8092" w14:textId="77777777" w:rsidR="00904333" w:rsidRPr="003854E4" w:rsidRDefault="00904333" w:rsidP="00130B06">
          <w:pPr>
            <w:tabs>
              <w:tab w:val="left" w:pos="10080"/>
            </w:tabs>
            <w:spacing w:after="120" w:line="276" w:lineRule="auto"/>
            <w:ind w:left="34"/>
            <w:jc w:val="both"/>
            <w:rPr>
              <w:color w:val="000000"/>
            </w:rPr>
          </w:pPr>
          <w:r w:rsidRPr="6875B2D2">
            <w:rPr>
              <w:color w:val="000000" w:themeColor="text1"/>
            </w:rPr>
            <w:t>Mungesa e ndryshimeve do të ndikonte negativisht edhe në gatishmërinë institucionale të Shqipërisë për të marrë pjesë në tregun e brendshëm të BE. Do të krijoheshin boshllëqe në ofrimin e shërbimeve dhe vonesa në sigurimin e përfitimeve që sjell integrimi, si rritja e produktivitetit, konkurrueshmërisë dhe mirëqenies së qytetarëve</w:t>
          </w:r>
        </w:p>
        <w:p w14:paraId="7E8A51CD" w14:textId="77777777" w:rsidR="00904333" w:rsidRPr="003854E4" w:rsidRDefault="00904333" w:rsidP="00130B06">
          <w:pPr>
            <w:tabs>
              <w:tab w:val="left" w:pos="10080"/>
            </w:tabs>
            <w:spacing w:after="120" w:line="276" w:lineRule="auto"/>
            <w:jc w:val="both"/>
            <w:rPr>
              <w:color w:val="000000"/>
            </w:rPr>
          </w:pPr>
          <w:r w:rsidRPr="6875B2D2">
            <w:rPr>
              <w:color w:val="000000" w:themeColor="text1"/>
            </w:rPr>
            <w:t xml:space="preserve">Për më tepër, mungesa e një nisme të tillë do të përbente edhe mospërmbushje të një ndër qëllimeve parësore të qeverisë shqiptare miratuar në Plani Kombëtar për Integrimin Evropian 2024-2026. </w:t>
          </w:r>
        </w:p>
        <w:p w14:paraId="1B7133EA" w14:textId="77777777" w:rsidR="00904333" w:rsidRPr="003854E4" w:rsidRDefault="00904333" w:rsidP="00130B06">
          <w:pPr>
            <w:tabs>
              <w:tab w:val="left" w:pos="10080"/>
            </w:tabs>
            <w:spacing w:after="120" w:line="276" w:lineRule="auto"/>
            <w:jc w:val="both"/>
            <w:rPr>
              <w:color w:val="000000"/>
            </w:rPr>
          </w:pPr>
          <w:r w:rsidRPr="2BF24FF9">
            <w:rPr>
              <w:color w:val="000000"/>
            </w:rPr>
            <w:t xml:space="preserve">Vlen të ndalemi në faktin se në përputhje me metodologjinë e vlerësimit të ndikimit, një opsioni të tillë (cilësuar edhe si opsioni 0) në rastin e vlerësimi të ndikimit për projektligjet që transpozojnë </w:t>
          </w:r>
          <w:r w:rsidRPr="6875B2D2">
            <w:rPr>
              <w:i/>
              <w:color w:val="000000"/>
            </w:rPr>
            <w:t>acquis</w:t>
          </w:r>
          <w:r w:rsidRPr="2BF24FF9">
            <w:rPr>
              <w:color w:val="000000"/>
            </w:rPr>
            <w:t xml:space="preserve"> të BE në shumicën e rasteve </w:t>
          </w:r>
          <w:r w:rsidRPr="00F955A6">
            <w:rPr>
              <w:bCs/>
              <w:color w:val="000000"/>
            </w:rPr>
            <w:t>nuk ekziston (opsioni i “</w:t>
          </w:r>
          <w:r w:rsidRPr="00F955A6">
            <w:rPr>
              <w:bCs/>
              <w:i/>
              <w:color w:val="000000"/>
            </w:rPr>
            <w:t>status quo-së</w:t>
          </w:r>
          <w:r w:rsidRPr="00F955A6">
            <w:rPr>
              <w:bCs/>
              <w:color w:val="000000"/>
            </w:rPr>
            <w:t>”)</w:t>
          </w:r>
          <w:r w:rsidRPr="00601F0B">
            <w:rPr>
              <w:bCs/>
              <w:color w:val="000000"/>
            </w:rPr>
            <w:t>, kjo</w:t>
          </w:r>
          <w:r w:rsidRPr="2BF24FF9">
            <w:rPr>
              <w:color w:val="000000"/>
            </w:rPr>
            <w:t xml:space="preserve"> pasi ekziston detyrimi (angazhimi) për harmonizimin</w:t>
          </w:r>
          <w:r w:rsidRPr="6875B2D2">
            <w:rPr>
              <w:rStyle w:val="FootnoteReference"/>
              <w:rFonts w:eastAsia="SimSun"/>
              <w:sz w:val="24"/>
              <w:szCs w:val="24"/>
            </w:rPr>
            <w:footnoteReference w:id="9"/>
          </w:r>
          <w:r w:rsidRPr="2BF24FF9">
            <w:rPr>
              <w:color w:val="000000"/>
            </w:rPr>
            <w:t>. Rrjedhimisht në rastin konkret është përfshirë pasi opsioni i “nivelit bazë” vepron si bazë përkundrejt së cilës maten të gjitha opsionet e tjera. Është pikërisht ndryshimi nga opsioni i "nivelit bazë" dhe ndikimi i tij që duhet të matet</w:t>
          </w:r>
          <w:r w:rsidRPr="6875B2D2">
            <w:rPr>
              <w:rStyle w:val="FootnoteReference"/>
              <w:rFonts w:eastAsia="SimSun"/>
              <w:sz w:val="24"/>
              <w:szCs w:val="24"/>
            </w:rPr>
            <w:footnoteReference w:id="10"/>
          </w:r>
          <w:r w:rsidRPr="2BF24FF9">
            <w:rPr>
              <w:color w:val="000000"/>
            </w:rPr>
            <w:t>.</w:t>
          </w:r>
        </w:p>
        <w:p w14:paraId="2965C95C" w14:textId="77B5A6BC" w:rsidR="00904333" w:rsidRPr="00F955A6" w:rsidRDefault="00904333" w:rsidP="00130B06">
          <w:pPr>
            <w:tabs>
              <w:tab w:val="left" w:pos="10080"/>
            </w:tabs>
            <w:spacing w:after="120" w:line="276" w:lineRule="auto"/>
            <w:jc w:val="both"/>
            <w:rPr>
              <w:b/>
              <w:color w:val="000000" w:themeColor="text1"/>
            </w:rPr>
          </w:pPr>
          <w:r w:rsidRPr="00F955A6">
            <w:rPr>
              <w:b/>
              <w:color w:val="000000" w:themeColor="text1"/>
            </w:rPr>
            <w:t>Opsioni 1 (i preferuar) – Hartimi i një ligji të ri për shërbimet. Ky opsion nënkupton shfuqizimin e Ligjit nr. 66/2016 “Për shërbimet në Republikën e Shqipërisë” dhe hartimin nga e para të një ligji të ri.</w:t>
          </w:r>
        </w:p>
        <w:p w14:paraId="6330D4A6" w14:textId="37BED8B3" w:rsidR="00EE4918" w:rsidRPr="00EE4918" w:rsidRDefault="00EE4918" w:rsidP="00EE4918">
          <w:pPr>
            <w:tabs>
              <w:tab w:val="left" w:pos="5310"/>
              <w:tab w:val="left" w:pos="10080"/>
            </w:tabs>
            <w:spacing w:after="120" w:line="276" w:lineRule="auto"/>
            <w:ind w:left="29"/>
            <w:jc w:val="both"/>
            <w:rPr>
              <w:color w:val="000000" w:themeColor="text1"/>
            </w:rPr>
          </w:pPr>
          <w:r w:rsidRPr="00EE4918">
            <w:rPr>
              <w:color w:val="000000" w:themeColor="text1"/>
            </w:rPr>
            <w:t>Opsioni i hartimit të një ligji tërësisht të ri për shërbimet, përmes shfuqizimit të Ligjit nr. 66/2016, paraqitet si zgjidhja më koherente dhe afatgjatë për përafrimin e legjislacionit shqiptar me Direktivën 2006/123/KE dhe me zhvillimet e mëtejshme të së drejtës së Bashkimit Evropian. Kjo qasje lejon ndërtimin e një akti të ri kuadër që pasqyron në mënyrë të plotë dhe të paekuivok parimet e lirisë së ofrimit të shërbimeve dhe konceptet përkatëse të tregut të brendshëm evropian. Duke filluar nga një tekst i ri ligjor, bëhet e mundur të shmangen pasiguritë juridike që rrjedhin nga ndërhyrjet e pjesshme në ligjin ekzistues, si dhe fragmentimi rregullator që karakterizon opsionet e bazuara në amendime të pjesshme.</w:t>
          </w:r>
        </w:p>
        <w:p w14:paraId="635AC483" w14:textId="22554BCF" w:rsidR="00EE4918" w:rsidRPr="00EE4918" w:rsidRDefault="00EE4918" w:rsidP="00EE4918">
          <w:pPr>
            <w:tabs>
              <w:tab w:val="left" w:pos="5310"/>
              <w:tab w:val="left" w:pos="10080"/>
            </w:tabs>
            <w:spacing w:after="120" w:line="276" w:lineRule="auto"/>
            <w:ind w:left="29"/>
            <w:jc w:val="both"/>
            <w:rPr>
              <w:color w:val="000000" w:themeColor="text1"/>
            </w:rPr>
          </w:pPr>
          <w:r w:rsidRPr="00EE4918">
            <w:rPr>
              <w:color w:val="000000" w:themeColor="text1"/>
            </w:rPr>
            <w:t xml:space="preserve">Ligji i ri është i aftë të transpozojë në mënyrë të integruar të gjitha dispozitat që deri më sot kanë mbetur jashtë ligjit atëhershëm, sidomos ato që lidhen me ofrimin e përkohshëm të shërbimeve ndërkufitare, me bashkëpunimin administrativ ndërmjet autoriteteve, me funksionimin e sistemit IMI dhe me rregullimin e shërbimeve multidisiplinore dhe të garancive profesionale të njohura në vendet e BE-së. Për më tepër, si një akt modern, ligji i ri ka kapacitet të përfshijë në mënyrë të natyrshme </w:t>
          </w:r>
          <w:r w:rsidR="006F664C">
            <w:rPr>
              <w:color w:val="000000" w:themeColor="text1"/>
            </w:rPr>
            <w:t>parashikimet rregullatore</w:t>
          </w:r>
          <w:r w:rsidRPr="00EE4918">
            <w:rPr>
              <w:color w:val="000000" w:themeColor="text1"/>
            </w:rPr>
            <w:t xml:space="preserve"> teknologjike dhe të digjitalizimit që janë bërë tashmë pjesë e rregullimit e</w:t>
          </w:r>
          <w:r w:rsidR="00043DFA">
            <w:rPr>
              <w:color w:val="000000" w:themeColor="text1"/>
            </w:rPr>
            <w:t>u</w:t>
          </w:r>
          <w:r w:rsidRPr="00EE4918">
            <w:rPr>
              <w:color w:val="000000" w:themeColor="text1"/>
            </w:rPr>
            <w:t xml:space="preserve">ropian, </w:t>
          </w:r>
          <w:r w:rsidR="00043DFA">
            <w:rPr>
              <w:color w:val="000000" w:themeColor="text1"/>
            </w:rPr>
            <w:t>si p.sh.,</w:t>
          </w:r>
          <w:r w:rsidR="00860285">
            <w:rPr>
              <w:color w:val="000000" w:themeColor="text1"/>
            </w:rPr>
            <w:t xml:space="preserve"> </w:t>
          </w:r>
          <w:r w:rsidR="00860285" w:rsidRPr="00860285">
            <w:rPr>
              <w:color w:val="000000" w:themeColor="text1"/>
            </w:rPr>
            <w:t>Rregulloren (BE) 2018/1724 për Portalin e Vetëm Digjital (Single Digital Gate</w:t>
          </w:r>
          <w:r w:rsidR="00D147DB">
            <w:rPr>
              <w:color w:val="000000" w:themeColor="text1"/>
            </w:rPr>
            <w:t>ë</w:t>
          </w:r>
          <w:r w:rsidR="00860285" w:rsidRPr="00860285">
            <w:rPr>
              <w:color w:val="000000" w:themeColor="text1"/>
            </w:rPr>
            <w:t>ay), duke mundësuar ndërveprim automatik me sistemin IMI dhe digjitalizimin e procedurave administrative për ofruesit e shërbimeve. Kjo është një nga kërkesat e qarta të BE-së për lehtësimin e lëvizjes së lirë të shërbimeve dhe për efiçencë të administratës publike.</w:t>
          </w:r>
        </w:p>
        <w:p w14:paraId="2C31B81F" w14:textId="38A9CEAB" w:rsidR="00EE4918" w:rsidRPr="00EE4918" w:rsidRDefault="00EE4918" w:rsidP="00EE4918">
          <w:pPr>
            <w:tabs>
              <w:tab w:val="left" w:pos="5310"/>
              <w:tab w:val="left" w:pos="10080"/>
            </w:tabs>
            <w:spacing w:after="120" w:line="276" w:lineRule="auto"/>
            <w:ind w:left="29"/>
            <w:jc w:val="both"/>
            <w:rPr>
              <w:color w:val="000000" w:themeColor="text1"/>
            </w:rPr>
          </w:pPr>
          <w:r w:rsidRPr="00EE4918">
            <w:rPr>
              <w:color w:val="000000" w:themeColor="text1"/>
            </w:rPr>
            <w:t xml:space="preserve">Qartësia dhe kohezioni i </w:t>
          </w:r>
          <w:r w:rsidR="0060226C">
            <w:rPr>
              <w:color w:val="000000" w:themeColor="text1"/>
            </w:rPr>
            <w:t xml:space="preserve">një </w:t>
          </w:r>
          <w:r w:rsidRPr="00EE4918">
            <w:rPr>
              <w:color w:val="000000" w:themeColor="text1"/>
            </w:rPr>
            <w:t>ligji të ri krijojnë një mjedis më të favorshëm për operatorët ekonomikë, të cilët mund të ushtrojnë aktivitetin e tyre në një treg më të rregulluar, më të qëndrueshëm dhe më të parashikueshëm. Një kuadër i tillë ofron siguri juridike dhe shmang interpretimet e ndryshueshme që lindin kur parashikimet bazë janë të shpërndara në akte të ndara ose të trajtuara në mënyrë të pjesshme.</w:t>
          </w:r>
        </w:p>
        <w:p w14:paraId="0A7151A2" w14:textId="2224A7CF" w:rsidR="00EE4918" w:rsidRPr="00EE4918" w:rsidRDefault="00EE4918" w:rsidP="00EE4918">
          <w:pPr>
            <w:tabs>
              <w:tab w:val="left" w:pos="5310"/>
              <w:tab w:val="left" w:pos="10080"/>
            </w:tabs>
            <w:spacing w:after="120" w:line="276" w:lineRule="auto"/>
            <w:ind w:left="29"/>
            <w:jc w:val="both"/>
            <w:rPr>
              <w:color w:val="000000" w:themeColor="text1"/>
            </w:rPr>
          </w:pPr>
          <w:r w:rsidRPr="00EE4918">
            <w:rPr>
              <w:color w:val="000000" w:themeColor="text1"/>
            </w:rPr>
            <w:t>Ky opsion i jep gjithashtu Shqipërisë mundësinë për të integruar dispozita tranzitore, të cilat mund të hyjnë në fuqi në faza të caktuara, përfshirë disa pas anëtarësimit në BE, duke shmangur kështu tronditjet administrative si dhe efektet e menjëhershme që mund t’i shoqërojnë ndryshimet sektoriale të njëpasnjëshme. Fleksibiliteti i parashikimit të normave të kushtëzuara nga statusi i anëtarësimit e bën ligjin të efektshëm në afat të gjatë dhe të përshtatshëm për trajektoren politike dhe administrative të Shqipërisë.</w:t>
          </w:r>
        </w:p>
        <w:p w14:paraId="38557B8F" w14:textId="1DEE6B1E" w:rsidR="00EE4918" w:rsidRPr="00EE4918" w:rsidRDefault="00EE4918" w:rsidP="00EE4918">
          <w:pPr>
            <w:tabs>
              <w:tab w:val="left" w:pos="5310"/>
              <w:tab w:val="left" w:pos="10080"/>
            </w:tabs>
            <w:spacing w:after="120" w:line="276" w:lineRule="auto"/>
            <w:ind w:left="29"/>
            <w:jc w:val="both"/>
            <w:rPr>
              <w:color w:val="000000" w:themeColor="text1"/>
            </w:rPr>
          </w:pPr>
          <w:r w:rsidRPr="00EE4918">
            <w:rPr>
              <w:color w:val="000000" w:themeColor="text1"/>
            </w:rPr>
            <w:t>Zbatimi i një ligji të ri redukton edhe koston e përgjithshme administrative, pasi shmang ndërhyrje të ndërlikuara dhe të përsëritura në dhjetëra ligje sektoriale. Kjo qasje e integruar, përmes përqendrimit në një instrument ligjor të vetëm, eliminon ngarkesën e tri ose katër cikleve legjislative, të cilat do të kërkoheshin për ndryshimet e shpërndara në sistemin ekzistues ligjor.</w:t>
          </w:r>
        </w:p>
        <w:p w14:paraId="4271F045" w14:textId="7882798B" w:rsidR="00EE4918" w:rsidRPr="00EE4918" w:rsidRDefault="00EE4918" w:rsidP="00EE4918">
          <w:pPr>
            <w:tabs>
              <w:tab w:val="left" w:pos="5310"/>
              <w:tab w:val="left" w:pos="10080"/>
            </w:tabs>
            <w:spacing w:after="120" w:line="276" w:lineRule="auto"/>
            <w:ind w:left="29"/>
            <w:jc w:val="both"/>
            <w:rPr>
              <w:color w:val="000000" w:themeColor="text1"/>
            </w:rPr>
          </w:pPr>
          <w:r w:rsidRPr="00EE4918">
            <w:rPr>
              <w:color w:val="000000" w:themeColor="text1"/>
            </w:rPr>
            <w:t>Në fund, ky opsion përbën përgjigjen më të përputhshme ndaj detyrimeve ndërkombëtare të sanksionuara në nenin 70 të Marrëveshjes së Stabilizim-Asociimit, si dhe synimeve të Planit Kombëtar për Integrimin Evropian 2024–2026, që vendos miratimin e një ligji tërësor për shërbimet si prioritet themelor deri në vitin 2025. Për më tepër, ai mbështetet nga praktika komparative e vendeve të BE-së që kanë qenë në situata të ngjashme me Shqipërinë, si Kroacia, e cila transpozoi Direktivën përmes një ligji kuadër para anëtarësimit, duke siguruar një qasje metodologjike të konsoliduar dhe të suksesshme.</w:t>
          </w:r>
        </w:p>
        <w:p w14:paraId="281B604F" w14:textId="5D658926" w:rsidR="00EE4918" w:rsidRDefault="00EE4918" w:rsidP="00EE4918">
          <w:pPr>
            <w:tabs>
              <w:tab w:val="left" w:pos="5310"/>
              <w:tab w:val="left" w:pos="10080"/>
            </w:tabs>
            <w:spacing w:after="120" w:line="276" w:lineRule="auto"/>
            <w:ind w:left="29"/>
            <w:jc w:val="both"/>
            <w:rPr>
              <w:color w:val="000000" w:themeColor="text1"/>
            </w:rPr>
          </w:pPr>
          <w:r w:rsidRPr="00EE4918">
            <w:rPr>
              <w:color w:val="000000" w:themeColor="text1"/>
            </w:rPr>
            <w:t>Për të gjitha arsyet e sipërpërmendura, opsioni i hartimit të një ligji të ri për shërbimet konsiderohet jo vetëm teknikisht më i realizueshmi, por edhe më strategjikisht i përshtatshmi për të garantuar një qasje të qëndrueshme, të koordinuar dhe afatgjatë për tregun e shërbimeve në Shqipëri në kontekstin e integrimit evropian.</w:t>
          </w:r>
        </w:p>
        <w:p w14:paraId="751ED441" w14:textId="0F2E8648" w:rsidR="00601F0B" w:rsidRPr="00EE4918" w:rsidRDefault="00601F0B" w:rsidP="00EE4918">
          <w:pPr>
            <w:tabs>
              <w:tab w:val="left" w:pos="5310"/>
              <w:tab w:val="left" w:pos="10080"/>
            </w:tabs>
            <w:spacing w:after="120" w:line="276" w:lineRule="auto"/>
            <w:ind w:left="29"/>
            <w:jc w:val="both"/>
            <w:rPr>
              <w:color w:val="000000" w:themeColor="text1"/>
            </w:rPr>
          </w:pPr>
          <w:r w:rsidRPr="00601F0B">
            <w:rPr>
              <w:color w:val="000000" w:themeColor="text1"/>
            </w:rPr>
            <w:t>Megjithatë, hartimi i një ligji tërësisht të ri sjell disa disavantazhe të mundshme. Ky proces kërkon kohë dhe burime të konsiderueshme administrative, përfshirë përgatitjen e analizave ligjore, konsultimin me aktorët e interesuar dhe koordinimin ndërinstitucional, gjë që mund të shtyjë afatet fillestare të zbatimit. Ndërhyrja e plotë në kuadër ligjor mund të shkaktojë një periudhë tranzitore ku aktorët ekonomikë dhe administrata mund të përballen me pasiguri ose nevojën për adaptim të procedurave dhe sistemeve ekzistuese. Gjithashtu, shfuqizimi i ligjit aktual dhe hartimi i një teksti të ri mund të rrisë kompleksitetin fillestar të implementimit, pasi kërkon trajnime të stafit administrativ, përshtatje të sistemeve digjitale dhe harmonizim me legjislacionin sektorial që mbetet në fuqi. Në një nivel më të gjerë, ndryshimet e mëdha ligjore mund të hasin rezistencë institucionale ose nga aktorët privatë që janë mësuar me kuadrin aktual, duke rritur nevojën për menaxhim të kujdesshëm të komunikimit dhe përfshirjes së palëve të interesuara.</w:t>
          </w:r>
        </w:p>
        <w:p w14:paraId="78878BB0" w14:textId="6EA127E8" w:rsidR="009554E6" w:rsidRPr="00F955A6" w:rsidRDefault="009554E6" w:rsidP="00130B06">
          <w:pPr>
            <w:tabs>
              <w:tab w:val="left" w:pos="5310"/>
              <w:tab w:val="left" w:pos="10080"/>
            </w:tabs>
            <w:spacing w:after="120" w:line="276" w:lineRule="auto"/>
            <w:ind w:left="29"/>
            <w:jc w:val="both"/>
            <w:rPr>
              <w:b/>
              <w:color w:val="000000" w:themeColor="text1"/>
            </w:rPr>
          </w:pPr>
          <w:r w:rsidRPr="00F955A6">
            <w:rPr>
              <w:b/>
              <w:color w:val="000000" w:themeColor="text1"/>
            </w:rPr>
            <w:t>Opsioni 2</w:t>
          </w:r>
          <w:r w:rsidR="003854E4" w:rsidRPr="00F955A6">
            <w:rPr>
              <w:b/>
              <w:color w:val="000000" w:themeColor="text1"/>
            </w:rPr>
            <w:t xml:space="preserve"> </w:t>
          </w:r>
          <w:r w:rsidRPr="00F955A6">
            <w:rPr>
              <w:b/>
              <w:color w:val="000000" w:themeColor="text1"/>
            </w:rPr>
            <w:t xml:space="preserve">- Ndërhyrje të targetuara në aktet ligjore sektoriale pjesë e kuadrit rregullator ekzistues, me qëllim përafrimin e plotë të legjislacionit sektorial me </w:t>
          </w:r>
          <w:r w:rsidRPr="00F955A6">
            <w:rPr>
              <w:rFonts w:eastAsia="Calibri"/>
              <w:b/>
              <w:color w:val="000000" w:themeColor="text1"/>
            </w:rPr>
            <w:t>Direktivën 2006/123/KE</w:t>
          </w:r>
          <w:r w:rsidRPr="00AF04A5">
            <w:rPr>
              <w:rFonts w:eastAsia="Calibri"/>
              <w:b/>
              <w:color w:val="000000" w:themeColor="text1"/>
            </w:rPr>
            <w:t>.</w:t>
          </w:r>
        </w:p>
        <w:p w14:paraId="38244B6A" w14:textId="6283B06D" w:rsidR="009554E6" w:rsidRPr="00D84A5A" w:rsidRDefault="009554E6" w:rsidP="1A98504A">
          <w:pPr>
            <w:pStyle w:val="ListParagraph"/>
            <w:shd w:val="clear" w:color="auto" w:fill="FFFFFF" w:themeFill="background1"/>
            <w:spacing w:line="276" w:lineRule="auto"/>
            <w:ind w:left="34" w:hanging="34"/>
            <w:jc w:val="both"/>
            <w:rPr>
              <w:rFonts w:ascii="Times New Roman" w:hAnsi="Times New Roman"/>
              <w:color w:val="000000"/>
              <w:sz w:val="24"/>
              <w:szCs w:val="24"/>
            </w:rPr>
          </w:pPr>
          <w:r w:rsidRPr="6875B2D2">
            <w:rPr>
              <w:rFonts w:ascii="Times New Roman" w:hAnsi="Times New Roman"/>
              <w:color w:val="000000" w:themeColor="text1"/>
              <w:sz w:val="24"/>
              <w:szCs w:val="24"/>
            </w:rPr>
            <w:t>Ndërhyrja në legjislacionet sektoriale është e pashmangshme në përafrimin dhe implementimin e plotë të Direktivës 2016/123/KE.</w:t>
          </w:r>
          <w:r w:rsidR="00601F0B">
            <w:rPr>
              <w:rFonts w:ascii="Times New Roman" w:hAnsi="Times New Roman"/>
              <w:color w:val="000000" w:themeColor="text1"/>
              <w:sz w:val="24"/>
              <w:szCs w:val="24"/>
            </w:rPr>
            <w:t xml:space="preserve"> </w:t>
          </w:r>
          <w:r w:rsidR="00601F0B" w:rsidRPr="00601F0B">
            <w:rPr>
              <w:rFonts w:ascii="Times New Roman" w:hAnsi="Times New Roman"/>
              <w:color w:val="000000" w:themeColor="text1"/>
              <w:sz w:val="24"/>
              <w:szCs w:val="24"/>
            </w:rPr>
            <w:t>Avantazhet kryesore të këtij opsioni qëndrojnë në aftësinë për të ruajtur kuadrin ligjor ekzistues, duke e përmirësuar dhe përfshirë gradualisht atë për të arritur përafrimin me Direktivën 2006/123/KE, pa pasur nevojë për një ligj të ri kuadër. Kjo qasje mundëson mbajtjen e stabilitetit ligjor dhe administrativ, duke shmangur ndërprerjet e menjëhershme që mund të shkaktojë shfuqizimi i Ligjit nr. 66/2016. Ndërhyrjet sektoriale janë më të fokusuara dhe mund të targetojnë direkt dispozitat që nuk janë përputhur, duke lehtësuar zbatimin dhe përshtatjen nga autoritetet dhe ofruesit e shërbimeve. Ky opsion gjithashtu mund të jetë më i shpejtë në fillimin e implementimit të ndryshimeve të caktuara, duke reduktuar pjesërisht ngarkesën administrative krahasuar me hartimin e një ligji tërësisht të ri, dhe mund të përdoret për të rritur ndërgjegjësimin institucional mbi Direktivën dhe parimet e saj para se të fillojë zbatimi praktik.</w:t>
          </w:r>
        </w:p>
        <w:p w14:paraId="636DF2E1" w14:textId="77777777" w:rsidR="009554E6" w:rsidRPr="003854E4" w:rsidRDefault="009554E6" w:rsidP="1A98504A">
          <w:pPr>
            <w:pStyle w:val="ListParagraph"/>
            <w:shd w:val="clear" w:color="auto" w:fill="FFFFFF" w:themeFill="background1"/>
            <w:spacing w:line="276" w:lineRule="auto"/>
            <w:ind w:left="34" w:hanging="34"/>
            <w:jc w:val="both"/>
            <w:rPr>
              <w:rFonts w:ascii="Times New Roman" w:hAnsi="Times New Roman"/>
              <w:color w:val="000000"/>
              <w:sz w:val="24"/>
              <w:szCs w:val="24"/>
            </w:rPr>
          </w:pPr>
          <w:r w:rsidRPr="6875B2D2">
            <w:rPr>
              <w:rFonts w:ascii="Times New Roman" w:hAnsi="Times New Roman"/>
              <w:color w:val="000000" w:themeColor="text1"/>
              <w:sz w:val="24"/>
              <w:szCs w:val="24"/>
            </w:rPr>
            <w:t xml:space="preserve">Eksperienca e vendeve të tjera për transpozimin e Direktivës së Shërbimeve ka qenë e shumëllojshme. Një numër shtetesh anëtarë të BE kanë ndërhyrë me lëvizje të organizuar drejtpërdrejtë në legjislacionin ekzistues sektorial, përmendim këtu shtete si: Gjermani, Belgjikë, Suedi, Holanda. </w:t>
          </w:r>
        </w:p>
        <w:p w14:paraId="0C0B9CA0" w14:textId="77777777" w:rsidR="009554E6" w:rsidRPr="003854E4" w:rsidRDefault="009554E6" w:rsidP="1A98504A">
          <w:pPr>
            <w:shd w:val="clear" w:color="auto" w:fill="FFFFFF" w:themeFill="background1"/>
            <w:spacing w:after="120" w:line="276" w:lineRule="auto"/>
            <w:contextualSpacing/>
            <w:jc w:val="both"/>
            <w:rPr>
              <w:color w:val="000000"/>
            </w:rPr>
          </w:pPr>
          <w:r w:rsidRPr="6875B2D2">
            <w:rPr>
              <w:color w:val="000000" w:themeColor="text1"/>
            </w:rPr>
            <w:t xml:space="preserve">Nga ana tjetër, një pjesë e mirë e shteteve (Bullgaria, Estonia, Çekia, Irlanda etj.) kanë vendosur qasjen e parashtruar në Opsionin 1, ndërhyrjen me një ligj kuadër. Vlen të theksohet se kjo qasje është përkrahur veçanërisht nga shtete me situata të ngjashme, saktësisht Kroacia, e cila ka miratuar ligjin kuadër për shërbimet, përpara anëtarësimit të saj në BE. </w:t>
          </w:r>
        </w:p>
        <w:p w14:paraId="53CD41DC" w14:textId="3462739E" w:rsidR="009554E6" w:rsidRDefault="009554E6" w:rsidP="1A98504A">
          <w:pPr>
            <w:shd w:val="clear" w:color="auto" w:fill="FFFFFF" w:themeFill="background1"/>
            <w:spacing w:after="120" w:line="276" w:lineRule="auto"/>
            <w:contextualSpacing/>
            <w:jc w:val="both"/>
            <w:rPr>
              <w:color w:val="000000"/>
            </w:rPr>
          </w:pPr>
          <w:r w:rsidRPr="6875B2D2">
            <w:rPr>
              <w:color w:val="000000" w:themeColor="text1"/>
            </w:rPr>
            <w:t>Një rrugëtim i tillë, siç është theksuar edhe me lart, është ndjekur që në qasjen e Shqipërisë për përafrimin e direktivës me miratimin e Ligjit nr. 66/2016 “Për shërbimet në Republikën e Shqipërisë” , i cili krijoi premisat për përshtatjen e legjislacionit sektorial në kuadër të lirisë së themelimit dhe lehtësirave të tjera administrative.</w:t>
          </w:r>
        </w:p>
        <w:p w14:paraId="21724A6B" w14:textId="77777777" w:rsidR="00D84A5A" w:rsidRPr="003854E4" w:rsidRDefault="00D84A5A" w:rsidP="1A98504A">
          <w:pPr>
            <w:shd w:val="clear" w:color="auto" w:fill="FFFFFF" w:themeFill="background1"/>
            <w:spacing w:after="120" w:line="276" w:lineRule="auto"/>
            <w:contextualSpacing/>
            <w:jc w:val="both"/>
            <w:rPr>
              <w:color w:val="000000"/>
            </w:rPr>
          </w:pPr>
        </w:p>
        <w:p w14:paraId="1BFFC041" w14:textId="7A23621C" w:rsidR="009554E6" w:rsidRDefault="009554E6" w:rsidP="1A98504A">
          <w:pPr>
            <w:shd w:val="clear" w:color="auto" w:fill="FFFFFF" w:themeFill="background1"/>
            <w:spacing w:after="120" w:line="276" w:lineRule="auto"/>
            <w:contextualSpacing/>
            <w:jc w:val="both"/>
            <w:rPr>
              <w:color w:val="000000"/>
            </w:rPr>
          </w:pPr>
          <w:r w:rsidRPr="6875B2D2">
            <w:rPr>
              <w:color w:val="000000" w:themeColor="text1"/>
            </w:rPr>
            <w:t>Me ndjekjen e Opsionit 2, do duhet fillimisht të bëhet një hap mbrapa për të zhbërë proceset e kryera deri tani për krijimin e ligjit kuadër, gjë kjo që mund të çojë në mënyrë të pashmangshme në ngadalësi të procesit të harmonizimit në tërësi.</w:t>
          </w:r>
        </w:p>
        <w:p w14:paraId="11E4AD1A" w14:textId="77777777" w:rsidR="00D84A5A" w:rsidRPr="003854E4" w:rsidRDefault="00D84A5A" w:rsidP="1A98504A">
          <w:pPr>
            <w:shd w:val="clear" w:color="auto" w:fill="FFFFFF" w:themeFill="background1"/>
            <w:spacing w:after="120" w:line="276" w:lineRule="auto"/>
            <w:contextualSpacing/>
            <w:jc w:val="both"/>
            <w:rPr>
              <w:color w:val="000000"/>
            </w:rPr>
          </w:pPr>
        </w:p>
        <w:p w14:paraId="3D7F4EC3" w14:textId="77777777" w:rsidR="009554E6" w:rsidRPr="003854E4" w:rsidRDefault="009554E6" w:rsidP="1A98504A">
          <w:pPr>
            <w:shd w:val="clear" w:color="auto" w:fill="FFFFFF" w:themeFill="background1"/>
            <w:spacing w:after="120" w:line="276" w:lineRule="auto"/>
            <w:contextualSpacing/>
            <w:jc w:val="both"/>
            <w:rPr>
              <w:color w:val="000000"/>
            </w:rPr>
          </w:pPr>
          <w:r w:rsidRPr="6875B2D2">
            <w:rPr>
              <w:color w:val="000000" w:themeColor="text1"/>
            </w:rPr>
            <w:t>Një opsion i tillë nuk do të ishte në linjë me atë çka legjislatori ka vendosur me miratimin e Ligjit për Shërbimet dhe mund të sillte vonesa dhe problematika të tjera si rezultat i mungesës së koordinimit dhe mbikëqyrjes së procesit (rol qe aktualisht kryhet nga Ministria përgjegjëse për ekonominë).</w:t>
          </w:r>
        </w:p>
        <w:p w14:paraId="57FD5DD0" w14:textId="77777777" w:rsidR="009554E6" w:rsidRPr="003854E4" w:rsidRDefault="009554E6" w:rsidP="1A98504A">
          <w:pPr>
            <w:pStyle w:val="ListParagraph"/>
            <w:shd w:val="clear" w:color="auto" w:fill="FFFFFF" w:themeFill="background1"/>
            <w:spacing w:line="276" w:lineRule="auto"/>
            <w:ind w:left="34" w:hanging="34"/>
            <w:jc w:val="both"/>
            <w:rPr>
              <w:rFonts w:ascii="Times New Roman" w:hAnsi="Times New Roman"/>
              <w:color w:val="000000"/>
              <w:sz w:val="24"/>
              <w:szCs w:val="24"/>
            </w:rPr>
          </w:pPr>
          <w:r w:rsidRPr="6875B2D2">
            <w:rPr>
              <w:rFonts w:ascii="Times New Roman" w:hAnsi="Times New Roman"/>
              <w:color w:val="000000" w:themeColor="text1"/>
              <w:sz w:val="24"/>
              <w:szCs w:val="24"/>
            </w:rPr>
            <w:t>Saktësisht, në rast të përzgjedhjes së këtij opsioni, hapat që do duhen të ndërmerren janë si fillim:</w:t>
          </w:r>
        </w:p>
        <w:p w14:paraId="2E04DFA3" w14:textId="77777777" w:rsidR="009554E6" w:rsidRPr="003854E4" w:rsidRDefault="009554E6" w:rsidP="00CC709C">
          <w:pPr>
            <w:pStyle w:val="ListParagraph"/>
            <w:numPr>
              <w:ilvl w:val="0"/>
              <w:numId w:val="17"/>
            </w:numPr>
            <w:shd w:val="clear" w:color="auto" w:fill="FFFFFF" w:themeFill="background1"/>
            <w:tabs>
              <w:tab w:val="clear" w:pos="567"/>
            </w:tabs>
            <w:spacing w:line="276" w:lineRule="auto"/>
            <w:ind w:left="360" w:hanging="450"/>
            <w:jc w:val="both"/>
            <w:rPr>
              <w:rFonts w:ascii="Times New Roman" w:hAnsi="Times New Roman"/>
              <w:color w:val="000000"/>
              <w:sz w:val="24"/>
              <w:szCs w:val="24"/>
            </w:rPr>
          </w:pPr>
          <w:r w:rsidRPr="6875B2D2">
            <w:rPr>
              <w:rFonts w:ascii="Times New Roman" w:hAnsi="Times New Roman"/>
              <w:color w:val="000000" w:themeColor="text1"/>
              <w:sz w:val="24"/>
              <w:szCs w:val="24"/>
            </w:rPr>
            <w:t>Inicimi i nismës ligjore për shfuqizimin e Ligjit për Shërbimet, që do të vononte ndjeshëm gjithë procesin në tërësi.</w:t>
          </w:r>
        </w:p>
        <w:p w14:paraId="0C043959" w14:textId="77777777" w:rsidR="009554E6" w:rsidRPr="003854E4" w:rsidRDefault="009554E6" w:rsidP="00CC709C">
          <w:pPr>
            <w:pStyle w:val="ListParagraph"/>
            <w:numPr>
              <w:ilvl w:val="0"/>
              <w:numId w:val="17"/>
            </w:numPr>
            <w:shd w:val="clear" w:color="auto" w:fill="FFFFFF" w:themeFill="background1"/>
            <w:tabs>
              <w:tab w:val="clear" w:pos="567"/>
            </w:tabs>
            <w:spacing w:line="276" w:lineRule="auto"/>
            <w:ind w:left="360" w:hanging="450"/>
            <w:jc w:val="both"/>
            <w:rPr>
              <w:rFonts w:ascii="Times New Roman" w:hAnsi="Times New Roman"/>
              <w:color w:val="000000"/>
              <w:sz w:val="24"/>
              <w:szCs w:val="24"/>
            </w:rPr>
          </w:pPr>
          <w:r w:rsidRPr="6875B2D2">
            <w:rPr>
              <w:rFonts w:ascii="Times New Roman" w:hAnsi="Times New Roman"/>
              <w:color w:val="000000" w:themeColor="text1"/>
              <w:sz w:val="24"/>
              <w:szCs w:val="24"/>
            </w:rPr>
            <w:t>Identifikimi dhe shqyrtimi i të gjitha akteve të tjera ligjore që lidhen me zbatimin e këtij ligji dhe marrja e masave të nevojshme për ndryshimin ose shfuqizimin e tyre (p.sh., VKM 299/2017 dhe VKM 300/2017).</w:t>
          </w:r>
        </w:p>
        <w:p w14:paraId="1918C99A" w14:textId="06F8CA38" w:rsidR="009554E6" w:rsidRPr="003854E4" w:rsidRDefault="009554E6" w:rsidP="00CC709C">
          <w:pPr>
            <w:pStyle w:val="ListParagraph"/>
            <w:numPr>
              <w:ilvl w:val="0"/>
              <w:numId w:val="17"/>
            </w:numPr>
            <w:shd w:val="clear" w:color="auto" w:fill="FFFFFF" w:themeFill="background1"/>
            <w:tabs>
              <w:tab w:val="clear" w:pos="567"/>
            </w:tabs>
            <w:spacing w:line="276" w:lineRule="auto"/>
            <w:ind w:left="360" w:hanging="450"/>
            <w:jc w:val="both"/>
            <w:rPr>
              <w:rFonts w:ascii="Times New Roman" w:hAnsi="Times New Roman"/>
              <w:color w:val="000000"/>
              <w:sz w:val="24"/>
              <w:szCs w:val="24"/>
            </w:rPr>
          </w:pPr>
          <w:r w:rsidRPr="6875B2D2">
            <w:rPr>
              <w:rFonts w:ascii="Times New Roman" w:hAnsi="Times New Roman"/>
              <w:color w:val="000000" w:themeColor="text1"/>
              <w:sz w:val="24"/>
              <w:szCs w:val="24"/>
            </w:rPr>
            <w:t xml:space="preserve">Rishikimi i akteve të tjera horizontale dhe vertikale të identifikuara gjatë procesit të </w:t>
          </w:r>
          <w:r w:rsidRPr="6875B2D2">
            <w:rPr>
              <w:rFonts w:ascii="Times New Roman" w:hAnsi="Times New Roman"/>
              <w:i/>
              <w:color w:val="000000" w:themeColor="text1"/>
              <w:sz w:val="24"/>
              <w:szCs w:val="24"/>
            </w:rPr>
            <w:t>screening</w:t>
          </w:r>
          <w:r w:rsidRPr="6875B2D2">
            <w:rPr>
              <w:rFonts w:ascii="Times New Roman" w:hAnsi="Times New Roman"/>
              <w:color w:val="000000" w:themeColor="text1"/>
              <w:sz w:val="24"/>
              <w:szCs w:val="24"/>
            </w:rPr>
            <w:t>-ut, dhe përditësimet e tyre. Ndërhyrja ligjore në secilin akt për të përfshirë ne këtë skenar, përveç dispozitave jo të përafruara te Direktivës se Shërbimeve do te duhet te përfshijë nga e para  dhe ato ekzistuese ne Ligjin aktual për Shërbimet, si  dispozitat lidhur me parimin e mosdiskriminimit, lehtësimit te procedurave për skemat e autorizimit, regjimit te vendosjes,  komunikimin administrativ, etj., në rastet kur këto nuk janë përfshirë tanimë në ligje të tjera si Kodi i Procedurave Administrative (KPA).</w:t>
          </w:r>
        </w:p>
        <w:p w14:paraId="66FACA3F" w14:textId="77777777" w:rsidR="009554E6" w:rsidRPr="003854E4" w:rsidRDefault="009554E6" w:rsidP="00CC709C">
          <w:pPr>
            <w:pStyle w:val="ListParagraph"/>
            <w:numPr>
              <w:ilvl w:val="0"/>
              <w:numId w:val="17"/>
            </w:numPr>
            <w:shd w:val="clear" w:color="auto" w:fill="FFFFFF" w:themeFill="background1"/>
            <w:tabs>
              <w:tab w:val="clear" w:pos="567"/>
            </w:tabs>
            <w:spacing w:line="276" w:lineRule="auto"/>
            <w:ind w:left="360" w:hanging="450"/>
            <w:jc w:val="both"/>
            <w:rPr>
              <w:rFonts w:ascii="Times New Roman" w:hAnsi="Times New Roman"/>
              <w:color w:val="000000"/>
              <w:sz w:val="24"/>
              <w:szCs w:val="24"/>
            </w:rPr>
          </w:pPr>
          <w:r w:rsidRPr="6875B2D2">
            <w:rPr>
              <w:rFonts w:ascii="Times New Roman" w:hAnsi="Times New Roman"/>
              <w:color w:val="000000" w:themeColor="text1"/>
              <w:sz w:val="24"/>
              <w:szCs w:val="24"/>
            </w:rPr>
            <w:t>Përveç sa më sipër, ky opsion kërkon rikonceptimin e funksionimit të PVK-së dhe krijimin e një instrumenti ligjor që do të mbështesë punën dhe organizimin e PVK-së, në përputhje me kërkesat e BE për këto institucione.</w:t>
          </w:r>
        </w:p>
        <w:p w14:paraId="3E2DC0A8" w14:textId="77777777" w:rsidR="009554E6" w:rsidRPr="003854E4" w:rsidRDefault="009554E6" w:rsidP="00CC709C">
          <w:pPr>
            <w:pStyle w:val="ListParagraph"/>
            <w:numPr>
              <w:ilvl w:val="0"/>
              <w:numId w:val="17"/>
            </w:numPr>
            <w:shd w:val="clear" w:color="auto" w:fill="FFFFFF" w:themeFill="background1"/>
            <w:tabs>
              <w:tab w:val="clear" w:pos="567"/>
            </w:tabs>
            <w:spacing w:line="276" w:lineRule="auto"/>
            <w:ind w:left="360" w:hanging="450"/>
            <w:jc w:val="both"/>
            <w:rPr>
              <w:rFonts w:ascii="Times New Roman" w:hAnsi="Times New Roman"/>
              <w:color w:val="000000"/>
              <w:sz w:val="24"/>
              <w:szCs w:val="24"/>
            </w:rPr>
          </w:pPr>
          <w:r w:rsidRPr="6875B2D2">
            <w:rPr>
              <w:rFonts w:ascii="Times New Roman" w:hAnsi="Times New Roman"/>
              <w:color w:val="000000" w:themeColor="text1"/>
              <w:sz w:val="24"/>
              <w:szCs w:val="24"/>
            </w:rPr>
            <w:t>Për të mundësuar ndryshimin ligjor, është sërish i nevojshëm identifikimi i një institucioni koordinues dhe, duke marrë parasysh ndikimin ne tregun brendshëm, do të ishte logjike që ky institucion të ishte Ministria Përgjegjëse për Ekonominë. Mungesa e një akti ligjor bazë që përcakton parimet kryesore do të sillte vështirësi në koordinimin dhe mbikëqyrjen nga ana e Ministrisë përgjegjëse për ekonominë për një përafrim të njëtrajtshëm të parimeve në aktet sektoriale. Ky fakt do të paraqiste gjithashtu një sfidë për arritjen e përafrimit brenda vitit 2028, dhe mundësinë e rishikimit analitik para anëtarësimit ne BE në vitin 2030.</w:t>
          </w:r>
        </w:p>
        <w:p w14:paraId="7C44CAD7" w14:textId="77777777" w:rsidR="009554E6" w:rsidRPr="003854E4" w:rsidRDefault="009554E6" w:rsidP="00CC709C">
          <w:pPr>
            <w:pStyle w:val="ListParagraph"/>
            <w:numPr>
              <w:ilvl w:val="0"/>
              <w:numId w:val="17"/>
            </w:numPr>
            <w:shd w:val="clear" w:color="auto" w:fill="FFFFFF" w:themeFill="background1"/>
            <w:tabs>
              <w:tab w:val="clear" w:pos="567"/>
            </w:tabs>
            <w:spacing w:line="276" w:lineRule="auto"/>
            <w:ind w:left="360" w:hanging="450"/>
            <w:jc w:val="both"/>
            <w:rPr>
              <w:rFonts w:ascii="Times New Roman" w:hAnsi="Times New Roman"/>
              <w:color w:val="000000"/>
              <w:sz w:val="24"/>
              <w:szCs w:val="24"/>
            </w:rPr>
          </w:pPr>
          <w:r w:rsidRPr="6875B2D2">
            <w:rPr>
              <w:rFonts w:ascii="Times New Roman" w:hAnsi="Times New Roman"/>
              <w:color w:val="000000" w:themeColor="text1"/>
              <w:sz w:val="24"/>
              <w:szCs w:val="24"/>
            </w:rPr>
            <w:t xml:space="preserve">Ndërgjegjësimi institucional për Direktivën e Shërbimeve dhe parimet e saj, i cili duhet të zhvillohet përpara se të fillojë zbatimi praktik. Kjo do të mundësojë që autoritetet përgjegjëse fillimisht të kenë një kuptim të plotë të implikimeve ligjore dhe më pas të kalojnë në përfshirjen e tyre ne aktet ligjore e zbatimin praktik të tyre. Ky proces duhet të bashkërendohet ne çdo rast me rritjen e kapaciteteve institucionale. </w:t>
          </w:r>
        </w:p>
        <w:p w14:paraId="28EA6115" w14:textId="7127AA0A" w:rsidR="003854E4" w:rsidRPr="00F955A6" w:rsidRDefault="009C5777" w:rsidP="00130B06">
          <w:pPr>
            <w:tabs>
              <w:tab w:val="left" w:pos="5310"/>
              <w:tab w:val="left" w:pos="10080"/>
            </w:tabs>
            <w:spacing w:line="276" w:lineRule="auto"/>
            <w:jc w:val="both"/>
            <w:rPr>
              <w:b/>
              <w:color w:val="000000" w:themeColor="text1"/>
            </w:rPr>
          </w:pPr>
          <w:r w:rsidRPr="00F955A6">
            <w:rPr>
              <w:b/>
              <w:color w:val="000000" w:themeColor="text1"/>
            </w:rPr>
            <w:t xml:space="preserve">Opsioni </w:t>
          </w:r>
          <w:r w:rsidR="00021544" w:rsidRPr="00F955A6">
            <w:rPr>
              <w:b/>
              <w:color w:val="000000" w:themeColor="text1"/>
            </w:rPr>
            <w:t>3</w:t>
          </w:r>
          <w:r w:rsidR="003854E4" w:rsidRPr="00F955A6">
            <w:rPr>
              <w:b/>
              <w:color w:val="000000" w:themeColor="text1"/>
            </w:rPr>
            <w:t xml:space="preserve"> – Ndryshimi i Ligjit 66/2016 “</w:t>
          </w:r>
          <w:r w:rsidR="003854E4" w:rsidRPr="00F955A6">
            <w:rPr>
              <w:b/>
              <w:i/>
              <w:color w:val="000000" w:themeColor="text1"/>
            </w:rPr>
            <w:t>Për shërbimet në Republikën e Shqipërisë</w:t>
          </w:r>
          <w:r w:rsidR="003854E4" w:rsidRPr="00F955A6">
            <w:rPr>
              <w:b/>
              <w:color w:val="000000" w:themeColor="text1"/>
            </w:rPr>
            <w:t>” (“</w:t>
          </w:r>
          <w:r w:rsidR="003854E4" w:rsidRPr="00F955A6">
            <w:rPr>
              <w:b/>
              <w:i/>
              <w:color w:val="000000" w:themeColor="text1"/>
            </w:rPr>
            <w:t>Ligji për Shërbimet”).</w:t>
          </w:r>
        </w:p>
        <w:p w14:paraId="4D0AF9F0" w14:textId="13B3B0F1" w:rsidR="00D84A5A" w:rsidRPr="00D84A5A" w:rsidRDefault="00D84A5A" w:rsidP="1A98504A">
          <w:pPr>
            <w:shd w:val="clear" w:color="auto" w:fill="FFFFFF" w:themeFill="background1"/>
            <w:spacing w:line="276" w:lineRule="auto"/>
            <w:ind w:left="-90"/>
            <w:jc w:val="both"/>
            <w:rPr>
              <w:color w:val="000000"/>
            </w:rPr>
          </w:pPr>
          <w:r w:rsidRPr="6875B2D2">
            <w:rPr>
              <w:color w:val="000000" w:themeColor="text1"/>
            </w:rPr>
            <w:t>Ky opsion parasheh ndërhyrje të pjesshme në Ligjin nr. 66/2016, me qëllim për të transpozuar dispozitat e mbetura të Direktivës 2006/123/KE. Ndryshimet do të konsistonin në shtimin e një kreu të ri mbi shërbimet ndërkufitare, krijimin ose përmirësimin e një kornize për bashkëpunim administrativ, si dhe përfshirjen e disa dispozitave shtesë horizontale, përfshi ato që lidhen me shërbimet multidisiplinore dhe njohjen e garancive.</w:t>
          </w:r>
        </w:p>
        <w:p w14:paraId="3923420E" w14:textId="77777777" w:rsidR="00D84A5A" w:rsidRPr="00D84A5A" w:rsidRDefault="00D84A5A" w:rsidP="1A98504A">
          <w:pPr>
            <w:shd w:val="clear" w:color="auto" w:fill="FFFFFF" w:themeFill="background1"/>
            <w:spacing w:line="276" w:lineRule="auto"/>
            <w:ind w:left="-90"/>
            <w:jc w:val="both"/>
            <w:rPr>
              <w:color w:val="000000"/>
            </w:rPr>
          </w:pPr>
          <w:r w:rsidRPr="6875B2D2">
            <w:rPr>
              <w:color w:val="000000" w:themeColor="text1"/>
            </w:rPr>
            <w:t>Megjithatë, ky opsion mbart disa kufizime të rëndësishme:</w:t>
          </w:r>
        </w:p>
        <w:p w14:paraId="18A9F312" w14:textId="0A05A5AB" w:rsidR="00D84A5A" w:rsidRPr="00121D11" w:rsidRDefault="00D84A5A" w:rsidP="00CC709C">
          <w:pPr>
            <w:pStyle w:val="ListParagraph"/>
            <w:numPr>
              <w:ilvl w:val="0"/>
              <w:numId w:val="32"/>
            </w:numPr>
            <w:shd w:val="clear" w:color="auto" w:fill="FFFFFF" w:themeFill="background1"/>
            <w:spacing w:line="276" w:lineRule="auto"/>
            <w:ind w:left="540"/>
            <w:jc w:val="both"/>
            <w:rPr>
              <w:rFonts w:ascii="Times New Roman" w:hAnsi="Times New Roman"/>
              <w:color w:val="000000"/>
              <w:sz w:val="24"/>
              <w:szCs w:val="24"/>
            </w:rPr>
          </w:pPr>
          <w:r w:rsidRPr="6875B2D2">
            <w:rPr>
              <w:rFonts w:ascii="Times New Roman" w:hAnsi="Times New Roman"/>
              <w:color w:val="000000" w:themeColor="text1"/>
              <w:sz w:val="24"/>
              <w:szCs w:val="24"/>
            </w:rPr>
            <w:t>Ndryshimet që priten të ndërmerren janë thelbësore në shumë prej pikave kyçe të ligjit dhe mund të tejkalojnë 50% të dispozitave ekzistuese, duke aktivizuar rregullin e zbatueshëm nga Ministria e Drejtësisë. Sipas këtij rregulli të brendshëm, nëse amendimet prekin më shumë se 50% të një ligji ekzistues, duhet të procedohet me hartimin e një akti të ri ligjor në vend të një akti ndryshues. Kjo shmang fragmentimin e panevojshëm dhe garanton cilësinë e ligjit të ri.</w:t>
          </w:r>
        </w:p>
        <w:p w14:paraId="4ADEC72A" w14:textId="5D4C1CEA" w:rsidR="00D84A5A" w:rsidRPr="00121D11" w:rsidRDefault="00D84A5A" w:rsidP="00CC709C">
          <w:pPr>
            <w:pStyle w:val="ListParagraph"/>
            <w:numPr>
              <w:ilvl w:val="0"/>
              <w:numId w:val="32"/>
            </w:numPr>
            <w:shd w:val="clear" w:color="auto" w:fill="FFFFFF" w:themeFill="background1"/>
            <w:spacing w:line="276" w:lineRule="auto"/>
            <w:ind w:left="540"/>
            <w:jc w:val="both"/>
            <w:rPr>
              <w:rFonts w:ascii="Times New Roman" w:hAnsi="Times New Roman"/>
              <w:color w:val="000000"/>
              <w:sz w:val="24"/>
              <w:szCs w:val="24"/>
            </w:rPr>
          </w:pPr>
          <w:r w:rsidRPr="6875B2D2">
            <w:rPr>
              <w:rFonts w:ascii="Times New Roman" w:hAnsi="Times New Roman"/>
              <w:color w:val="000000" w:themeColor="text1"/>
              <w:sz w:val="24"/>
              <w:szCs w:val="24"/>
            </w:rPr>
            <w:t>Rreziku i ekzistencës së dy niveleve të normimit (pjesë të vjetra dhe të reja) mund të krijojë paqartësi dhe interpretim të fragmentarizuar, sidomos në fusha ku kërkohet koherencë horizontale dhe harmonizim i rregullave ndërsektoriale siç është rasti i shërbimeve.</w:t>
          </w:r>
        </w:p>
        <w:p w14:paraId="5F8B76FD" w14:textId="0098085C" w:rsidR="00D84A5A" w:rsidRPr="00121D11" w:rsidRDefault="00D84A5A" w:rsidP="00CC709C">
          <w:pPr>
            <w:pStyle w:val="ListParagraph"/>
            <w:numPr>
              <w:ilvl w:val="0"/>
              <w:numId w:val="32"/>
            </w:numPr>
            <w:shd w:val="clear" w:color="auto" w:fill="FFFFFF" w:themeFill="background1"/>
            <w:spacing w:line="276" w:lineRule="auto"/>
            <w:ind w:left="540"/>
            <w:jc w:val="both"/>
            <w:rPr>
              <w:rFonts w:ascii="Times New Roman" w:hAnsi="Times New Roman"/>
              <w:color w:val="000000"/>
              <w:sz w:val="24"/>
              <w:szCs w:val="24"/>
            </w:rPr>
          </w:pPr>
          <w:r w:rsidRPr="6875B2D2">
            <w:rPr>
              <w:rFonts w:ascii="Times New Roman" w:hAnsi="Times New Roman"/>
              <w:color w:val="000000" w:themeColor="text1"/>
              <w:sz w:val="24"/>
              <w:szCs w:val="24"/>
            </w:rPr>
            <w:t>Ndryshimet e pjesshme nuk e risin në mënyrë të natyrshme përputhshmërinë e ligjit me konceptet moderne të zhvilluara nga BE pas vitit 2006, si digjitalizimi i shërbimeve, lehtësimi për sipërmarrësit, portat e vetme për procedurat e biznesit, dhe monitorimi dinamik i barrierave administrative.</w:t>
          </w:r>
        </w:p>
        <w:p w14:paraId="0460B4DC" w14:textId="65E15F60" w:rsidR="00D84A5A" w:rsidRPr="00121D11" w:rsidRDefault="00D84A5A" w:rsidP="00CC709C">
          <w:pPr>
            <w:pStyle w:val="ListParagraph"/>
            <w:numPr>
              <w:ilvl w:val="0"/>
              <w:numId w:val="32"/>
            </w:numPr>
            <w:shd w:val="clear" w:color="auto" w:fill="FFFFFF" w:themeFill="background1"/>
            <w:spacing w:line="276" w:lineRule="auto"/>
            <w:ind w:left="540"/>
            <w:jc w:val="both"/>
            <w:rPr>
              <w:rFonts w:ascii="Times New Roman" w:hAnsi="Times New Roman"/>
              <w:color w:val="000000"/>
              <w:sz w:val="24"/>
              <w:szCs w:val="24"/>
            </w:rPr>
          </w:pPr>
          <w:r w:rsidRPr="6875B2D2">
            <w:rPr>
              <w:rFonts w:ascii="Times New Roman" w:hAnsi="Times New Roman"/>
              <w:color w:val="000000" w:themeColor="text1"/>
              <w:sz w:val="24"/>
              <w:szCs w:val="24"/>
            </w:rPr>
            <w:t>Ecuria procedurale për amendime të shumta dhe të thella kërkon gjithsesi një periudhë të ngjashme konsultimi, rishikimi ndërinstitucional dhe trajnimi administrativ, duke e kufizuar kështu avantazhin e supozuar të "shpejtësisë" në raport me hartimin e një ligji të ri.</w:t>
          </w:r>
        </w:p>
        <w:p w14:paraId="77C2C9E3" w14:textId="1EED7C76" w:rsidR="00BD5DE3" w:rsidRDefault="00D84A5A" w:rsidP="00121D11">
          <w:pPr>
            <w:shd w:val="clear" w:color="auto" w:fill="FFFFFF" w:themeFill="background1"/>
            <w:spacing w:line="276" w:lineRule="auto"/>
            <w:ind w:left="-90"/>
            <w:jc w:val="both"/>
            <w:rPr>
              <w:color w:val="000000" w:themeColor="text1"/>
            </w:rPr>
          </w:pPr>
          <w:r w:rsidRPr="6875B2D2">
            <w:rPr>
              <w:color w:val="000000" w:themeColor="text1"/>
            </w:rPr>
            <w:t>Për këto arsye, ndonëse teknikisht i mundshëm, ky opsion vlerësohet si më pak koherent dhe efektiv në kushtet aktuale të Shqipërisë, sidomos duke pasur parasysh objektivin e plotë të përafrimit brenda vitit 2025 dhe nevojën për një kuadër të qartë, të përditësuar dhe të harmonizuar me acquis të BE-së.</w:t>
          </w:r>
        </w:p>
        <w:p w14:paraId="0618A214" w14:textId="77777777" w:rsidR="00601F0B" w:rsidRDefault="00601F0B" w:rsidP="00121D11">
          <w:pPr>
            <w:shd w:val="clear" w:color="auto" w:fill="FFFFFF" w:themeFill="background1"/>
            <w:spacing w:line="276" w:lineRule="auto"/>
            <w:ind w:left="-90"/>
            <w:jc w:val="both"/>
            <w:rPr>
              <w:color w:val="000000" w:themeColor="text1"/>
            </w:rPr>
          </w:pPr>
        </w:p>
        <w:p w14:paraId="3CBEF87B" w14:textId="77777777" w:rsidR="00601F0B" w:rsidRPr="00F955A6" w:rsidRDefault="00601F0B" w:rsidP="00601F0B">
          <w:pPr>
            <w:shd w:val="clear" w:color="auto" w:fill="FFFFFF" w:themeFill="background1"/>
            <w:spacing w:line="276" w:lineRule="auto"/>
            <w:ind w:left="-90"/>
            <w:jc w:val="both"/>
            <w:rPr>
              <w:color w:val="000000" w:themeColor="text1"/>
            </w:rPr>
          </w:pPr>
          <w:commentRangeStart w:id="15"/>
          <w:r w:rsidRPr="00F955A6">
            <w:rPr>
              <w:b/>
              <w:bCs/>
              <w:color w:val="000000" w:themeColor="text1"/>
            </w:rPr>
            <w:t xml:space="preserve">Opsioni 4 – Jorregullator- </w:t>
          </w:r>
          <w:r w:rsidRPr="00F955A6">
            <w:rPr>
              <w:color w:val="000000" w:themeColor="text1"/>
            </w:rPr>
            <w:t>Ky opsion konsiston në ndërhyrje jorregullatore, duke përdorur mjete si udhëzime administrative, manuale për praktikat e mirë, programe trajnimi, digjitalizim të procedurave dhe bashkëpunim ndërinstitucional për ofruesit dhe autoritetet. Qëllimi është të përmirësohet funksionimi i tregut të shërbimeve dhe mbrojtja e përfituesve pa ndryshuar direkt kuadrin ligjor ekzistues. Ky opsion fokusohet në instrumente fleksibël që mund të përditësohen shpejt, si udhëzime, platforma online për autorizime dhe monitorim, trajnime për administratën dhe operatorët, dhe promovim të bashkëpunimit ndërinstitucional dhe ndërkufitar.</w:t>
          </w:r>
        </w:p>
        <w:p w14:paraId="4E5CA733" w14:textId="77777777" w:rsidR="00601F0B" w:rsidRPr="00F955A6" w:rsidRDefault="00601F0B" w:rsidP="00601F0B">
          <w:pPr>
            <w:shd w:val="clear" w:color="auto" w:fill="FFFFFF" w:themeFill="background1"/>
            <w:spacing w:line="276" w:lineRule="auto"/>
            <w:ind w:left="-90"/>
            <w:jc w:val="both"/>
            <w:rPr>
              <w:color w:val="000000" w:themeColor="text1"/>
            </w:rPr>
          </w:pPr>
          <w:r w:rsidRPr="00F955A6">
            <w:rPr>
              <w:color w:val="000000" w:themeColor="text1"/>
            </w:rPr>
            <w:t>Ky opsion ka avantazhin kryesor të shpejtësisë dhe fleksibilitetit, pasi nuk kërkon proces legjislativ të gjatë dhe mund të zbatohet menjëherë nga autoritetet dhe ofruesit e shërbimeve. Ai lejon testimin e praktikave të reja dhe përshtatjen e shpejtë të procedurave administrative, pa pasur nevojë për ndërhyrje të rënda ligjore. Gjithashtu, mund të shërbejë si një mjet ndërmjetësues për ndërgjegjësimin dhe trajnimin institucional, duke rritur kapacitetin e autoriteteve për të zbatuar standardet e BE-së dhe duke mbështetur operatorët në përputhshmërinë praktike me parimet e Direktivës 2006/123/KE. Ky opsion gjithashtu minimizon rrezikun e konfliktit me aktet ekzistuese ligjore dhe redukton koston administrative të menjëhershme që mund të lindte nga një reformë ligjore e plotë.</w:t>
          </w:r>
        </w:p>
        <w:p w14:paraId="04DD3AB8" w14:textId="77777777" w:rsidR="00601F0B" w:rsidRPr="00F955A6" w:rsidRDefault="00601F0B" w:rsidP="00601F0B">
          <w:pPr>
            <w:shd w:val="clear" w:color="auto" w:fill="FFFFFF" w:themeFill="background1"/>
            <w:spacing w:line="276" w:lineRule="auto"/>
            <w:ind w:left="-90"/>
            <w:jc w:val="both"/>
            <w:rPr>
              <w:color w:val="000000" w:themeColor="text1"/>
            </w:rPr>
          </w:pPr>
          <w:r w:rsidRPr="00F955A6">
            <w:rPr>
              <w:color w:val="000000" w:themeColor="text1"/>
            </w:rPr>
            <w:t>Megjithatë, opsioni jorregullator ka kufizimet e tij. Ai nuk krijon siguri ligjore afatgjatë, pasi udhëzimet dhe manualet nuk kanë forcë të barabartë me ligjin dhe mund të interpretohen në mënyra të ndryshme nga autoritetet ose operatorët. Për më tepër, nuk garanton përafrimin formal me Direktivën 2006/123/KE, gjë që mund të pengojë përfitimet e lëvizjes së lirë të shërbimeve dhe mund të mos plotësojë kërkesat e BE-së për anëtarësim. Ky opsion gjithashtu mbetet i varur nga vullneti dhe kapaciteti i administratës, duke rritur rrezikun që praktikat e mira të mos zbatohen në mënyrë të njëtrajtshme në të gjithë territorin. Për më tepër, mungesa e një kuadri ligjor të unifikuar mund të krijojë pasiguri për operatorët ekonomikë, sidomos ata që ofrojnë shërbime ndërkufitare ose multidisiplinore, dhe mund të kërkojë ndërhyrje të mëtejshme ligjore në të ardhmen.</w:t>
          </w:r>
          <w:commentRangeEnd w:id="15"/>
          <w:r w:rsidRPr="00F955A6">
            <w:rPr>
              <w:rStyle w:val="CommentReference"/>
              <w:color w:val="000000" w:themeColor="text1"/>
              <w:sz w:val="24"/>
              <w:szCs w:val="20"/>
            </w:rPr>
            <w:commentReference w:id="15"/>
          </w:r>
        </w:p>
        <w:p w14:paraId="6BD07A2E" w14:textId="77777777" w:rsidR="00B25CB1" w:rsidRDefault="00B25CB1" w:rsidP="00F955A6">
          <w:pPr>
            <w:shd w:val="clear" w:color="auto" w:fill="FFFFFF" w:themeFill="background1"/>
            <w:spacing w:line="276" w:lineRule="auto"/>
            <w:jc w:val="both"/>
            <w:rPr>
              <w:color w:val="000000" w:themeColor="text1"/>
            </w:rPr>
          </w:pPr>
        </w:p>
        <w:p w14:paraId="3B85F668" w14:textId="1A612166" w:rsidR="00B8520F" w:rsidRPr="00B8520F" w:rsidRDefault="00B8520F" w:rsidP="00121D11">
          <w:pPr>
            <w:shd w:val="clear" w:color="auto" w:fill="FFFFFF" w:themeFill="background1"/>
            <w:spacing w:line="276" w:lineRule="auto"/>
            <w:ind w:left="-90"/>
            <w:jc w:val="both"/>
            <w:rPr>
              <w:b/>
              <w:i/>
              <w:color w:val="1F497D" w:themeColor="text2"/>
            </w:rPr>
          </w:pPr>
          <w:r w:rsidRPr="6875B2D2">
            <w:rPr>
              <w:b/>
              <w:i/>
              <w:color w:val="1F497D" w:themeColor="text2"/>
            </w:rPr>
            <w:t>Mënyra e identifikimit të opsioneve</w:t>
          </w:r>
        </w:p>
        <w:p w14:paraId="7D9D5F6E" w14:textId="594945B7" w:rsidR="00B25CB1" w:rsidRPr="00B25CB1" w:rsidRDefault="00B25CB1" w:rsidP="00B25CB1">
          <w:pPr>
            <w:shd w:val="clear" w:color="auto" w:fill="FFFFFF" w:themeFill="background1"/>
            <w:spacing w:line="276" w:lineRule="auto"/>
            <w:ind w:left="-90"/>
            <w:jc w:val="both"/>
            <w:rPr>
              <w:color w:val="000000"/>
            </w:rPr>
          </w:pPr>
          <w:r w:rsidRPr="6875B2D2">
            <w:rPr>
              <w:color w:val="000000" w:themeColor="text1"/>
            </w:rPr>
            <w:t>Opsionet e politikës janë identifikuar duke kombinuar tre burime kryesore të analizës rregullatore:</w:t>
          </w:r>
        </w:p>
        <w:p w14:paraId="1962F859" w14:textId="1D0B4049" w:rsidR="00B25CB1" w:rsidRPr="00B25CB1" w:rsidRDefault="00B25CB1" w:rsidP="00B25CB1">
          <w:pPr>
            <w:shd w:val="clear" w:color="auto" w:fill="FFFFFF" w:themeFill="background1"/>
            <w:spacing w:line="276" w:lineRule="auto"/>
            <w:ind w:left="-90"/>
            <w:jc w:val="both"/>
            <w:rPr>
              <w:color w:val="000000"/>
            </w:rPr>
          </w:pPr>
          <w:r w:rsidRPr="6875B2D2">
            <w:rPr>
              <w:color w:val="000000" w:themeColor="text1"/>
            </w:rPr>
            <w:t>Së pari, janë shqyrtuar objektivat dhe detyrimet e përafrimit ligjor sipas acquis të Bashkimit Evropian, veçanërisht në kuadër të nenit 70 të Marrëveshjes së Stabilizim-Asociimit dhe kërkesave të Direktivës 2006/123/KE për shërbimet. Kjo analizë ndihmoi në përcaktimin e alternativave që nga status quo-ja deri te përafrimi i plotë.</w:t>
          </w:r>
        </w:p>
        <w:p w14:paraId="04DE2BB4" w14:textId="6E091F64" w:rsidR="00B25CB1" w:rsidRPr="00B25CB1" w:rsidRDefault="00B25CB1" w:rsidP="00B25CB1">
          <w:pPr>
            <w:shd w:val="clear" w:color="auto" w:fill="FFFFFF" w:themeFill="background1"/>
            <w:spacing w:line="276" w:lineRule="auto"/>
            <w:ind w:left="-90"/>
            <w:jc w:val="both"/>
            <w:rPr>
              <w:color w:val="000000"/>
            </w:rPr>
          </w:pPr>
          <w:r w:rsidRPr="6875B2D2">
            <w:rPr>
              <w:color w:val="000000" w:themeColor="text1"/>
            </w:rPr>
            <w:t>Së dyti, janë analizuar praktikat e vendeve të tjera të BE-së dhe vendeve aspirante që kanë transpozuar të njëjtën direktivë, duke marrë në konsideratë modelet e përshtatshme për Shqipërinë (p.sh., Kroacia me hartimin e ligjit kuadër dhe Gjermania me ndërhyrje sektoriale).</w:t>
          </w:r>
        </w:p>
        <w:p w14:paraId="5A3F42CC" w14:textId="3A6CC333" w:rsidR="00B25CB1" w:rsidRPr="00B25CB1" w:rsidRDefault="00B25CB1" w:rsidP="00B25CB1">
          <w:pPr>
            <w:shd w:val="clear" w:color="auto" w:fill="FFFFFF" w:themeFill="background1"/>
            <w:spacing w:line="276" w:lineRule="auto"/>
            <w:ind w:left="-90"/>
            <w:jc w:val="both"/>
            <w:rPr>
              <w:color w:val="000000"/>
            </w:rPr>
          </w:pPr>
          <w:r w:rsidRPr="6875B2D2">
            <w:rPr>
              <w:color w:val="000000" w:themeColor="text1"/>
            </w:rPr>
            <w:t>Së treti, janë vlerësuar kapacitetet aktuale institucionale, strukturat ekzistuese ligjore dhe praktika e brendshme legjislative (p.sh., rregulli i Ministrisë së Drejtësisë për ndërhyrje në ligjet që preken mbi 50%), për të përcaktuar opsionet e politikave që janë jo vetëm të dëshirueshme teorikisht, por edhe teknikisht të zbatueshme në afatin e përcaktuar nga PKIE 2024–2026.</w:t>
          </w:r>
        </w:p>
        <w:p w14:paraId="47F284F8" w14:textId="3D8ED842" w:rsidR="00B25CB1" w:rsidRPr="00B25CB1" w:rsidRDefault="00B25CB1" w:rsidP="00B25CB1">
          <w:pPr>
            <w:shd w:val="clear" w:color="auto" w:fill="FFFFFF" w:themeFill="background1"/>
            <w:spacing w:line="276" w:lineRule="auto"/>
            <w:ind w:left="-90"/>
            <w:jc w:val="both"/>
            <w:rPr>
              <w:color w:val="000000"/>
            </w:rPr>
          </w:pPr>
          <w:r w:rsidRPr="6875B2D2">
            <w:rPr>
              <w:color w:val="000000" w:themeColor="text1"/>
            </w:rPr>
            <w:t>Nga kjo analizë janë identifikuar katër opsione të mundshme, nga ajo më konservatore (status quo) deri te ajo që garanton përputhjen e plotë dhe koherencën rregullatore (hartimi i një ligji të ri për shërbimet).</w:t>
          </w:r>
        </w:p>
        <w:p w14:paraId="5F7EF73C" w14:textId="77777777" w:rsidR="00B25CB1" w:rsidRPr="00121D11" w:rsidRDefault="00204683" w:rsidP="00121D11">
          <w:pPr>
            <w:shd w:val="clear" w:color="auto" w:fill="FFFFFF" w:themeFill="background1"/>
            <w:spacing w:line="276" w:lineRule="auto"/>
            <w:ind w:left="-90"/>
            <w:jc w:val="both"/>
            <w:rPr>
              <w:color w:val="000000"/>
            </w:rPr>
          </w:pPr>
        </w:p>
      </w:sdtContent>
    </w:sdt>
    <w:p w14:paraId="38233EFF" w14:textId="45DC09F9" w:rsidR="00D3286E"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1155AF">
        <w:rPr>
          <w:rFonts w:ascii="Times New Roman" w:hAnsi="Times New Roman" w:cs="Times New Roman"/>
          <w:sz w:val="24"/>
          <w:szCs w:val="24"/>
          <w:lang w:val="it-IT"/>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iCs/>
          <w:sz w:val="24"/>
          <w:szCs w:val="24"/>
        </w:rPr>
        <w:id w:val="1457907593"/>
        <w:lock w:val="contentLocked"/>
        <w:placeholder>
          <w:docPart w:val="DefaultPlaceholder_1081868574"/>
        </w:placeholder>
      </w:sdtPr>
      <w:sdtContent>
        <w:p w14:paraId="4C2051C8" w14:textId="77777777" w:rsidR="0097570D" w:rsidRPr="0032145B" w:rsidRDefault="0097570D" w:rsidP="00673F28">
          <w:pPr>
            <w:pStyle w:val="BodyText"/>
            <w:numPr>
              <w:ilvl w:val="0"/>
              <w:numId w:val="4"/>
            </w:numPr>
            <w:tabs>
              <w:tab w:val="left" w:pos="567"/>
            </w:tabs>
            <w:spacing w:after="0" w:line="276" w:lineRule="auto"/>
            <w:jc w:val="both"/>
            <w:rPr>
              <w:rFonts w:cs="Times New Roman"/>
              <w:i/>
              <w:sz w:val="24"/>
              <w:szCs w:val="24"/>
            </w:rPr>
          </w:pPr>
          <w:r w:rsidRPr="1A98504A">
            <w:rPr>
              <w:rFonts w:cs="Times New Roman"/>
              <w:i/>
              <w:sz w:val="24"/>
              <w:szCs w:val="24"/>
            </w:rPr>
            <w:t>Identifikoni grupet e prekura.</w:t>
          </w:r>
        </w:p>
        <w:p w14:paraId="0EEE4232" w14:textId="77777777" w:rsidR="0097570D" w:rsidRPr="0032145B" w:rsidRDefault="0097570D" w:rsidP="00673F28">
          <w:pPr>
            <w:pStyle w:val="BodyText"/>
            <w:numPr>
              <w:ilvl w:val="0"/>
              <w:numId w:val="4"/>
            </w:numPr>
            <w:tabs>
              <w:tab w:val="left" w:pos="567"/>
            </w:tabs>
            <w:spacing w:after="0" w:line="276" w:lineRule="auto"/>
            <w:ind w:left="540" w:hanging="180"/>
            <w:jc w:val="both"/>
            <w:rPr>
              <w:rFonts w:cs="Times New Roman"/>
              <w:i/>
              <w:sz w:val="24"/>
              <w:szCs w:val="24"/>
            </w:rPr>
          </w:pPr>
          <w:r w:rsidRPr="1A98504A">
            <w:rPr>
              <w:rFonts w:cs="Times New Roman"/>
              <w:i/>
              <w:sz w:val="24"/>
              <w:szCs w:val="24"/>
            </w:rPr>
            <w:t>Identifikoni llojet e ndikimeve për secilin grup të prekur, bëni dallimin midis ndikimeve të drejtpërdrejta dhe jo të drejtpërdrejta.</w:t>
          </w:r>
        </w:p>
        <w:p w14:paraId="656E3827" w14:textId="77777777" w:rsidR="0097570D" w:rsidRPr="0032145B" w:rsidRDefault="0097570D" w:rsidP="00673F28">
          <w:pPr>
            <w:pStyle w:val="BodyText"/>
            <w:numPr>
              <w:ilvl w:val="0"/>
              <w:numId w:val="4"/>
            </w:numPr>
            <w:tabs>
              <w:tab w:val="left" w:pos="567"/>
            </w:tabs>
            <w:spacing w:after="0" w:line="276" w:lineRule="auto"/>
            <w:jc w:val="both"/>
            <w:rPr>
              <w:rFonts w:cs="Times New Roman"/>
              <w:i/>
              <w:sz w:val="24"/>
              <w:szCs w:val="24"/>
            </w:rPr>
          </w:pPr>
          <w:r w:rsidRPr="1A98504A">
            <w:rPr>
              <w:rFonts w:cs="Times New Roman"/>
              <w:i/>
              <w:sz w:val="24"/>
              <w:szCs w:val="24"/>
            </w:rPr>
            <w:t>Për ndikimet e drejtpërdrejta:</w:t>
          </w:r>
        </w:p>
        <w:p w14:paraId="506D0EA7" w14:textId="77777777" w:rsidR="0097570D" w:rsidRPr="0032145B" w:rsidRDefault="0097570D" w:rsidP="009D13F4">
          <w:pPr>
            <w:pStyle w:val="BodyText"/>
            <w:spacing w:after="0" w:line="276" w:lineRule="auto"/>
            <w:ind w:left="720"/>
            <w:jc w:val="both"/>
            <w:rPr>
              <w:rFonts w:cs="Times New Roman"/>
              <w:i/>
              <w:sz w:val="24"/>
              <w:szCs w:val="24"/>
            </w:rPr>
          </w:pPr>
          <w:r w:rsidRPr="1A98504A">
            <w:rPr>
              <w:rFonts w:cs="Times New Roman"/>
              <w:i/>
              <w:sz w:val="24"/>
              <w:szCs w:val="24"/>
            </w:rPr>
            <w:t xml:space="preserve"> </w:t>
          </w:r>
        </w:p>
        <w:p w14:paraId="02D7F862" w14:textId="77777777" w:rsidR="0097570D" w:rsidRPr="0032145B" w:rsidRDefault="0097570D" w:rsidP="00673F28">
          <w:pPr>
            <w:pStyle w:val="BodyText"/>
            <w:numPr>
              <w:ilvl w:val="1"/>
              <w:numId w:val="4"/>
            </w:numPr>
            <w:tabs>
              <w:tab w:val="left" w:pos="567"/>
            </w:tabs>
            <w:spacing w:after="0" w:line="276" w:lineRule="auto"/>
            <w:jc w:val="both"/>
            <w:rPr>
              <w:rFonts w:eastAsiaTheme="majorEastAsia" w:cs="Times New Roman"/>
              <w:i/>
              <w:sz w:val="24"/>
              <w:szCs w:val="24"/>
            </w:rPr>
          </w:pPr>
          <w:r w:rsidRPr="1A98504A">
            <w:rPr>
              <w:rFonts w:eastAsiaTheme="majorEastAsia" w:cs="Times New Roman"/>
              <w:i/>
              <w:sz w:val="24"/>
              <w:szCs w:val="24"/>
            </w:rPr>
            <w:t>Përshkruani nga ana cilësore ndikimet e drejtpërdrejta mbi grupet e prekura.</w:t>
          </w:r>
        </w:p>
        <w:p w14:paraId="326087AB" w14:textId="77777777" w:rsidR="0097570D" w:rsidRPr="0032145B" w:rsidRDefault="0097570D" w:rsidP="00673F28">
          <w:pPr>
            <w:pStyle w:val="BodyText"/>
            <w:numPr>
              <w:ilvl w:val="1"/>
              <w:numId w:val="4"/>
            </w:numPr>
            <w:tabs>
              <w:tab w:val="left" w:pos="567"/>
            </w:tabs>
            <w:spacing w:after="0" w:line="276" w:lineRule="auto"/>
            <w:jc w:val="both"/>
            <w:rPr>
              <w:rFonts w:eastAsiaTheme="majorEastAsia" w:cs="Times New Roman"/>
              <w:i/>
              <w:sz w:val="24"/>
              <w:szCs w:val="24"/>
            </w:rPr>
          </w:pPr>
          <w:r w:rsidRPr="1A98504A">
            <w:rPr>
              <w:rFonts w:eastAsiaTheme="majorEastAsia" w:cs="Times New Roman"/>
              <w:i/>
              <w:sz w:val="24"/>
              <w:szCs w:val="24"/>
            </w:rPr>
            <w:t>Analizoni nga ana sasiore ndikimet më të rëndësishme të drejtpërdrejta.</w:t>
          </w:r>
        </w:p>
        <w:p w14:paraId="3C416A37" w14:textId="6ED3752E" w:rsidR="0097570D" w:rsidRPr="0032145B" w:rsidRDefault="0097570D" w:rsidP="00673F28">
          <w:pPr>
            <w:pStyle w:val="BodyText"/>
            <w:numPr>
              <w:ilvl w:val="1"/>
              <w:numId w:val="4"/>
            </w:numPr>
            <w:tabs>
              <w:tab w:val="left" w:pos="567"/>
            </w:tabs>
            <w:spacing w:after="0" w:line="276" w:lineRule="auto"/>
            <w:jc w:val="both"/>
            <w:rPr>
              <w:rFonts w:eastAsiaTheme="majorEastAsia" w:cs="Times New Roman"/>
              <w:i/>
              <w:sz w:val="24"/>
              <w:szCs w:val="24"/>
            </w:rPr>
          </w:pPr>
          <w:r w:rsidRPr="1A98504A">
            <w:rPr>
              <w:rFonts w:eastAsiaTheme="majorEastAsia" w:cs="Times New Roman"/>
              <w:i/>
              <w:sz w:val="24"/>
              <w:szCs w:val="24"/>
            </w:rPr>
            <w:t xml:space="preserve">Përcaktoni vlerën monetare të ndikimeve më të rëndësishme të drejtpërdrejta aty ku është e mundur (përdor tabelën në </w:t>
          </w:r>
          <w:r w:rsidR="00BD1479" w:rsidRPr="1A98504A">
            <w:rPr>
              <w:rFonts w:eastAsiaTheme="majorEastAsia" w:cs="Times New Roman"/>
              <w:i/>
              <w:sz w:val="24"/>
              <w:szCs w:val="24"/>
            </w:rPr>
            <w:t>A</w:t>
          </w:r>
          <w:r w:rsidRPr="1A98504A">
            <w:rPr>
              <w:rFonts w:eastAsiaTheme="majorEastAsia" w:cs="Times New Roman"/>
              <w:i/>
              <w:sz w:val="24"/>
              <w:szCs w:val="24"/>
            </w:rPr>
            <w:t>neksin 2/a të këtij dokumenti).</w:t>
          </w:r>
        </w:p>
        <w:p w14:paraId="413A5D5A" w14:textId="3C5CE3FC" w:rsidR="0097570D" w:rsidRPr="0032145B" w:rsidRDefault="0097570D" w:rsidP="00673F28">
          <w:pPr>
            <w:pStyle w:val="BodyText"/>
            <w:numPr>
              <w:ilvl w:val="1"/>
              <w:numId w:val="4"/>
            </w:numPr>
            <w:tabs>
              <w:tab w:val="left" w:pos="567"/>
            </w:tabs>
            <w:spacing w:line="276" w:lineRule="auto"/>
            <w:jc w:val="both"/>
            <w:rPr>
              <w:rFonts w:cs="Times New Roman"/>
              <w:i/>
              <w:sz w:val="24"/>
              <w:szCs w:val="24"/>
            </w:rPr>
          </w:pPr>
          <w:r w:rsidRPr="1A98504A">
            <w:rPr>
              <w:rFonts w:eastAsiaTheme="majorEastAsia" w:cs="Times New Roman"/>
              <w:i/>
              <w:sz w:val="24"/>
              <w:szCs w:val="24"/>
            </w:rPr>
            <w:t>Analizoni ndikimin mbi ndërmarrjet e vogla dhe të mesme (nëse ka).</w:t>
          </w:r>
        </w:p>
        <w:p w14:paraId="0E48AD0E" w14:textId="076371C2" w:rsidR="0097570D" w:rsidRPr="0032145B" w:rsidRDefault="0097570D" w:rsidP="00673F28">
          <w:pPr>
            <w:pStyle w:val="BodyText"/>
            <w:numPr>
              <w:ilvl w:val="0"/>
              <w:numId w:val="4"/>
            </w:numPr>
            <w:tabs>
              <w:tab w:val="left" w:pos="567"/>
            </w:tabs>
            <w:spacing w:after="0" w:line="276" w:lineRule="auto"/>
            <w:jc w:val="both"/>
            <w:rPr>
              <w:rFonts w:cs="Times New Roman"/>
              <w:i/>
              <w:sz w:val="24"/>
              <w:szCs w:val="24"/>
            </w:rPr>
          </w:pPr>
          <w:r w:rsidRPr="1A98504A">
            <w:rPr>
              <w:rFonts w:cs="Times New Roman"/>
              <w:i/>
              <w:sz w:val="24"/>
              <w:szCs w:val="24"/>
            </w:rPr>
            <w:t>Për ndikimet jo të drejtpërdrejta:</w:t>
          </w:r>
        </w:p>
        <w:p w14:paraId="1523AD82" w14:textId="77777777" w:rsidR="0097570D" w:rsidRPr="0032145B" w:rsidRDefault="0097570D" w:rsidP="00673F28">
          <w:pPr>
            <w:pStyle w:val="BodyText"/>
            <w:numPr>
              <w:ilvl w:val="1"/>
              <w:numId w:val="4"/>
            </w:numPr>
            <w:tabs>
              <w:tab w:val="left" w:pos="567"/>
            </w:tabs>
            <w:spacing w:after="0" w:line="276" w:lineRule="auto"/>
            <w:jc w:val="both"/>
            <w:rPr>
              <w:rFonts w:cs="Times New Roman"/>
              <w:i/>
              <w:sz w:val="24"/>
              <w:szCs w:val="24"/>
            </w:rPr>
          </w:pPr>
          <w:r w:rsidRPr="1A98504A">
            <w:rPr>
              <w:rFonts w:eastAsiaTheme="majorEastAsia" w:cs="Times New Roman"/>
              <w:i/>
              <w:sz w:val="24"/>
              <w:szCs w:val="24"/>
            </w:rPr>
            <w:t>Përshkruani nga ana cilësore ndikimet jo të drejtpërdrejta mbi grupet e prekura.</w:t>
          </w:r>
        </w:p>
        <w:p w14:paraId="3FA4B359" w14:textId="2BC6772B" w:rsidR="0097570D" w:rsidRPr="0032145B" w:rsidRDefault="0097570D" w:rsidP="00673F28">
          <w:pPr>
            <w:pStyle w:val="BodyText"/>
            <w:numPr>
              <w:ilvl w:val="1"/>
              <w:numId w:val="4"/>
            </w:numPr>
            <w:tabs>
              <w:tab w:val="left" w:pos="567"/>
            </w:tabs>
            <w:spacing w:line="276" w:lineRule="auto"/>
            <w:jc w:val="both"/>
            <w:rPr>
              <w:rFonts w:cs="Times New Roman"/>
              <w:i/>
              <w:sz w:val="24"/>
              <w:szCs w:val="24"/>
            </w:rPr>
          </w:pPr>
          <w:r w:rsidRPr="1A98504A">
            <w:rPr>
              <w:rFonts w:eastAsiaTheme="majorEastAsia" w:cs="Times New Roman"/>
              <w:i/>
              <w:sz w:val="24"/>
              <w:szCs w:val="24"/>
            </w:rPr>
            <w:t>Analizoni ndikimin mbi konkurrencën.</w:t>
          </w:r>
          <w:r w:rsidRPr="1A98504A">
            <w:rPr>
              <w:rFonts w:cs="Times New Roman"/>
              <w:i/>
              <w:sz w:val="24"/>
              <w:szCs w:val="24"/>
            </w:rPr>
            <w:t xml:space="preserve">  </w:t>
          </w:r>
        </w:p>
        <w:p w14:paraId="72A4965F" w14:textId="352220CF" w:rsidR="0097570D" w:rsidRPr="0032145B" w:rsidRDefault="0097570D" w:rsidP="00673F28">
          <w:pPr>
            <w:pStyle w:val="BodyText"/>
            <w:numPr>
              <w:ilvl w:val="0"/>
              <w:numId w:val="4"/>
            </w:numPr>
            <w:tabs>
              <w:tab w:val="left" w:pos="567"/>
            </w:tabs>
            <w:spacing w:after="0" w:line="276" w:lineRule="auto"/>
            <w:jc w:val="both"/>
            <w:rPr>
              <w:rFonts w:cs="Times New Roman"/>
              <w:i/>
              <w:sz w:val="24"/>
              <w:szCs w:val="24"/>
            </w:rPr>
          </w:pPr>
          <w:r w:rsidRPr="1A98504A">
            <w:rPr>
              <w:rFonts w:cs="Times New Roman"/>
              <w:i/>
              <w:sz w:val="24"/>
              <w:szCs w:val="24"/>
            </w:rPr>
            <w:t>Diskutoni kufizimin e analizës:</w:t>
          </w:r>
        </w:p>
        <w:p w14:paraId="2F29AF67" w14:textId="77777777" w:rsidR="0097570D" w:rsidRPr="0032145B" w:rsidRDefault="0097570D" w:rsidP="00673F28">
          <w:pPr>
            <w:pStyle w:val="BodyText"/>
            <w:numPr>
              <w:ilvl w:val="1"/>
              <w:numId w:val="4"/>
            </w:numPr>
            <w:tabs>
              <w:tab w:val="left" w:pos="567"/>
            </w:tabs>
            <w:spacing w:after="0" w:line="276" w:lineRule="auto"/>
            <w:jc w:val="both"/>
            <w:rPr>
              <w:rFonts w:cs="Times New Roman"/>
              <w:i/>
              <w:sz w:val="24"/>
              <w:szCs w:val="24"/>
            </w:rPr>
          </w:pPr>
          <w:bookmarkStart w:id="16" w:name="_Hlk506917230"/>
          <w:r w:rsidRPr="1A98504A">
            <w:rPr>
              <w:rFonts w:cs="Times New Roman"/>
              <w:i/>
              <w:sz w:val="24"/>
              <w:szCs w:val="24"/>
            </w:rPr>
            <w:t>Jepni supozimet në të cilat janë bazuar parashikimet dhe risqet, të cilave ato u nënshtrohen.</w:t>
          </w:r>
        </w:p>
        <w:p w14:paraId="0271CC12" w14:textId="6A4CCF7F" w:rsidR="0097570D" w:rsidRPr="0032145B" w:rsidRDefault="0097570D" w:rsidP="00673F28">
          <w:pPr>
            <w:pStyle w:val="BodyText"/>
            <w:numPr>
              <w:ilvl w:val="1"/>
              <w:numId w:val="4"/>
            </w:numPr>
            <w:tabs>
              <w:tab w:val="left" w:pos="567"/>
            </w:tabs>
            <w:spacing w:line="276" w:lineRule="auto"/>
            <w:jc w:val="both"/>
            <w:rPr>
              <w:rFonts w:cs="Times New Roman"/>
              <w:i/>
              <w:sz w:val="24"/>
              <w:szCs w:val="24"/>
            </w:rPr>
          </w:pPr>
          <w:r w:rsidRPr="1A98504A">
            <w:rPr>
              <w:rFonts w:cs="Times New Roman"/>
              <w:i/>
              <w:sz w:val="24"/>
              <w:szCs w:val="24"/>
            </w:rPr>
            <w:t>Tregoni se çfarë mund të pengojë realizimin e përfitimeve, të rrisë kostot ose të sjellë pasoja të papritura.</w:t>
          </w:r>
        </w:p>
        <w:p w14:paraId="5D0C1620" w14:textId="3C215225" w:rsidR="0097570D" w:rsidRPr="0032145B" w:rsidRDefault="0097570D" w:rsidP="00673F28">
          <w:pPr>
            <w:pStyle w:val="BodyText"/>
            <w:numPr>
              <w:ilvl w:val="0"/>
              <w:numId w:val="4"/>
            </w:numPr>
            <w:tabs>
              <w:tab w:val="left" w:pos="567"/>
            </w:tabs>
            <w:spacing w:after="0" w:line="276" w:lineRule="auto"/>
            <w:jc w:val="both"/>
            <w:rPr>
              <w:rFonts w:cs="Times New Roman"/>
              <w:i/>
              <w:sz w:val="24"/>
              <w:szCs w:val="24"/>
            </w:rPr>
          </w:pPr>
          <w:r w:rsidRPr="1A98504A">
            <w:rPr>
              <w:rFonts w:cs="Times New Roman"/>
              <w:i/>
              <w:sz w:val="24"/>
              <w:szCs w:val="24"/>
            </w:rPr>
            <w:t>Përmblidhni vlerësimin e opsioneve:</w:t>
          </w:r>
        </w:p>
        <w:p w14:paraId="33B9A856" w14:textId="77777777" w:rsidR="0097570D" w:rsidRPr="0032145B" w:rsidRDefault="0097570D" w:rsidP="00673F28">
          <w:pPr>
            <w:pStyle w:val="BodyText"/>
            <w:numPr>
              <w:ilvl w:val="1"/>
              <w:numId w:val="4"/>
            </w:numPr>
            <w:tabs>
              <w:tab w:val="left" w:pos="567"/>
            </w:tabs>
            <w:spacing w:after="0" w:line="276" w:lineRule="auto"/>
            <w:jc w:val="both"/>
            <w:rPr>
              <w:rFonts w:cs="Times New Roman"/>
              <w:i/>
              <w:sz w:val="24"/>
              <w:szCs w:val="24"/>
            </w:rPr>
          </w:pPr>
          <w:r w:rsidRPr="1A98504A">
            <w:rPr>
              <w:rFonts w:cs="Times New Roman"/>
              <w:i/>
              <w:sz w:val="24"/>
              <w:szCs w:val="24"/>
            </w:rPr>
            <w:t>Paraqisni një pasqyrë përmbledhëse të të gjitha ndikimeve të opsioneve të analizuara.</w:t>
          </w:r>
        </w:p>
        <w:p w14:paraId="747BB57E" w14:textId="77777777" w:rsidR="0097570D" w:rsidRPr="0032145B" w:rsidRDefault="0097570D" w:rsidP="00673F28">
          <w:pPr>
            <w:pStyle w:val="BodyText"/>
            <w:numPr>
              <w:ilvl w:val="1"/>
              <w:numId w:val="4"/>
            </w:numPr>
            <w:tabs>
              <w:tab w:val="left" w:pos="567"/>
            </w:tabs>
            <w:spacing w:after="0" w:line="276" w:lineRule="auto"/>
            <w:jc w:val="both"/>
            <w:rPr>
              <w:rFonts w:cs="Times New Roman"/>
              <w:i/>
              <w:sz w:val="24"/>
              <w:szCs w:val="24"/>
            </w:rPr>
          </w:pPr>
          <w:r w:rsidRPr="1A98504A">
            <w:rPr>
              <w:rFonts w:cs="Times New Roman"/>
              <w:i/>
              <w:sz w:val="24"/>
              <w:szCs w:val="24"/>
            </w:rPr>
            <w:t>Shpjegoni se si ndikimet e të gjitha opsioneve të analizuara krahasohen me njëra-tjetrën.</w:t>
          </w:r>
        </w:p>
        <w:p w14:paraId="01586808" w14:textId="11F643D2" w:rsidR="002125B7" w:rsidRPr="0032145B" w:rsidRDefault="0097570D" w:rsidP="00673F28">
          <w:pPr>
            <w:pStyle w:val="BodyText"/>
            <w:numPr>
              <w:ilvl w:val="1"/>
              <w:numId w:val="4"/>
            </w:numPr>
            <w:tabs>
              <w:tab w:val="left" w:pos="567"/>
            </w:tabs>
            <w:spacing w:after="0" w:line="276" w:lineRule="auto"/>
            <w:jc w:val="both"/>
            <w:rPr>
              <w:rFonts w:cs="Times New Roman"/>
              <w:i/>
              <w:sz w:val="24"/>
              <w:szCs w:val="24"/>
            </w:rPr>
          </w:pPr>
          <w:r w:rsidRPr="1A98504A">
            <w:rPr>
              <w:rFonts w:cs="Times New Roman"/>
              <w:i/>
              <w:sz w:val="24"/>
              <w:szCs w:val="24"/>
            </w:rPr>
            <w:t xml:space="preserve">Paraqisni përllogaritjet më të mira të përgjithshme neto të ndikimit me vlerë monetare të përcaktuar për çdo opsion </w:t>
          </w:r>
          <w:r w:rsidR="00372979" w:rsidRPr="1A98504A">
            <w:rPr>
              <w:rFonts w:eastAsiaTheme="majorEastAsia" w:cs="Times New Roman"/>
              <w:i/>
              <w:sz w:val="24"/>
              <w:szCs w:val="24"/>
            </w:rPr>
            <w:t>(përdor tabelën në A</w:t>
          </w:r>
          <w:r w:rsidRPr="1A98504A">
            <w:rPr>
              <w:rFonts w:eastAsiaTheme="majorEastAsia" w:cs="Times New Roman"/>
              <w:i/>
              <w:sz w:val="24"/>
              <w:szCs w:val="24"/>
            </w:rPr>
            <w:t>neksin 2/b të këtij dokumenti).</w:t>
          </w:r>
        </w:p>
      </w:sdtContent>
    </w:sdt>
    <w:bookmarkStart w:id="17" w:name="_Toc506919738" w:displacedByCustomXml="prev"/>
    <w:bookmarkEnd w:id="17" w:displacedByCustomXml="next"/>
    <w:bookmarkEnd w:id="16" w:displacedByCustomXml="next"/>
    <w:sdt>
      <w:sdtPr>
        <w:rPr>
          <w:rFonts w:eastAsiaTheme="majorEastAsia"/>
          <w:color w:val="808080" w:themeColor="background1" w:themeShade="80"/>
        </w:rPr>
        <w:id w:val="1625265021"/>
        <w:placeholder>
          <w:docPart w:val="867EF0DB10CB4A10BB29112D1FCD9786"/>
        </w:placeholder>
      </w:sdtPr>
      <w:sdtContent>
        <w:p w14:paraId="7C757899" w14:textId="77777777" w:rsidR="00972850" w:rsidRDefault="00972850" w:rsidP="00A52C51">
          <w:pPr>
            <w:tabs>
              <w:tab w:val="left" w:pos="1165"/>
              <w:tab w:val="left" w:pos="10080"/>
            </w:tabs>
            <w:spacing w:line="288" w:lineRule="auto"/>
            <w:ind w:right="26"/>
            <w:contextualSpacing/>
            <w:jc w:val="both"/>
            <w:rPr>
              <w:rFonts w:eastAsiaTheme="majorEastAsia"/>
              <w:color w:val="808080" w:themeColor="background1" w:themeShade="80"/>
            </w:rPr>
          </w:pPr>
        </w:p>
        <w:p w14:paraId="78E10BE7" w14:textId="4B364803" w:rsidR="00A52C51" w:rsidRPr="0034656C" w:rsidRDefault="0055681D" w:rsidP="00A52C51">
          <w:pPr>
            <w:tabs>
              <w:tab w:val="left" w:pos="1165"/>
              <w:tab w:val="left" w:pos="10080"/>
            </w:tabs>
            <w:spacing w:line="288" w:lineRule="auto"/>
            <w:ind w:right="26"/>
            <w:contextualSpacing/>
            <w:jc w:val="both"/>
            <w:rPr>
              <w:rFonts w:eastAsiaTheme="majorEastAsia"/>
              <w:color w:val="808080" w:themeColor="background1" w:themeShade="80"/>
            </w:rPr>
          </w:pPr>
          <w:r w:rsidRPr="6875B2D2">
            <w:rPr>
              <w:b/>
              <w:color w:val="0070C0"/>
              <w:u w:val="single"/>
            </w:rPr>
            <w:t xml:space="preserve">Opsioni 1 (i preferuar) – </w:t>
          </w:r>
          <w:r w:rsidR="00A52C51" w:rsidRPr="00A52C51">
            <w:rPr>
              <w:b/>
              <w:bCs/>
              <w:color w:val="0070C0"/>
            </w:rPr>
            <w:t>Hartimi i një ligji të ri për shërbimet</w:t>
          </w:r>
        </w:p>
        <w:p w14:paraId="378667E5" w14:textId="77777777" w:rsidR="00396CB1" w:rsidRDefault="00396CB1" w:rsidP="00CF2ADA">
          <w:pPr>
            <w:spacing w:before="240"/>
            <w:jc w:val="both"/>
          </w:pPr>
        </w:p>
        <w:p w14:paraId="197AF1F2" w14:textId="77777777" w:rsidR="00AB4DF6" w:rsidRPr="001D0575" w:rsidRDefault="00AB4DF6" w:rsidP="00983BC7">
          <w:pPr>
            <w:spacing w:after="120" w:line="276" w:lineRule="auto"/>
            <w:jc w:val="both"/>
            <w:rPr>
              <w:b/>
            </w:rPr>
          </w:pPr>
          <w:r w:rsidRPr="6875B2D2">
            <w:rPr>
              <w:b/>
            </w:rPr>
            <w:t>Grupet e prekura nga opsioni 1 janë:</w:t>
          </w:r>
        </w:p>
        <w:p w14:paraId="1CA09EC4" w14:textId="77777777" w:rsidR="00AB4DF6" w:rsidRPr="00983BC7" w:rsidRDefault="00AB4DF6" w:rsidP="00CC709C">
          <w:pPr>
            <w:pStyle w:val="ListParagraph"/>
            <w:numPr>
              <w:ilvl w:val="0"/>
              <w:numId w:val="20"/>
            </w:numPr>
            <w:spacing w:line="276" w:lineRule="auto"/>
            <w:jc w:val="both"/>
            <w:rPr>
              <w:rFonts w:ascii="Times New Roman" w:hAnsi="Times New Roman"/>
              <w:b/>
              <w:color w:val="000000"/>
              <w:sz w:val="24"/>
              <w:szCs w:val="24"/>
            </w:rPr>
          </w:pPr>
          <w:r w:rsidRPr="6875B2D2">
            <w:rPr>
              <w:rFonts w:ascii="Times New Roman" w:hAnsi="Times New Roman"/>
              <w:b/>
              <w:color w:val="000000" w:themeColor="text1"/>
              <w:sz w:val="24"/>
              <w:szCs w:val="24"/>
            </w:rPr>
            <w:t>Qeveria dhe Autoritetet Publike:</w:t>
          </w:r>
        </w:p>
        <w:p w14:paraId="58F7947A" w14:textId="77777777" w:rsidR="00AB4DF6" w:rsidRPr="001D0575" w:rsidRDefault="00AB4DF6" w:rsidP="00983BC7">
          <w:pPr>
            <w:spacing w:after="120" w:line="276" w:lineRule="auto"/>
            <w:jc w:val="both"/>
            <w:rPr>
              <w:rFonts w:eastAsia="Calibri"/>
              <w:color w:val="000000"/>
            </w:rPr>
          </w:pPr>
          <w:r w:rsidRPr="6875B2D2">
            <w:rPr>
              <w:color w:val="000000" w:themeColor="text1"/>
            </w:rPr>
            <w:t xml:space="preserve">Ndikimet </w:t>
          </w:r>
          <w:r w:rsidRPr="6875B2D2">
            <w:rPr>
              <w:color w:val="000000" w:themeColor="text1"/>
              <w:u w:val="single"/>
            </w:rPr>
            <w:t>e drejtpërdrejta</w:t>
          </w:r>
          <w:r w:rsidRPr="6875B2D2">
            <w:rPr>
              <w:color w:val="000000" w:themeColor="text1"/>
            </w:rPr>
            <w:t xml:space="preserve"> për qeverinë janë:</w:t>
          </w:r>
          <w:bookmarkStart w:id="18" w:name="_Hlk164086855"/>
          <w:bookmarkStart w:id="19" w:name="_Hlk161499083"/>
        </w:p>
        <w:bookmarkEnd w:id="18"/>
        <w:bookmarkEnd w:id="19"/>
        <w:p w14:paraId="2D07ECE8" w14:textId="77777777" w:rsidR="00AB4DF6" w:rsidRPr="001D0575" w:rsidRDefault="00AB4DF6" w:rsidP="00CC709C">
          <w:pPr>
            <w:pStyle w:val="NormalWeb"/>
            <w:numPr>
              <w:ilvl w:val="0"/>
              <w:numId w:val="21"/>
            </w:numPr>
            <w:shd w:val="clear" w:color="auto" w:fill="FFFFFF" w:themeFill="background1"/>
            <w:spacing w:beforeAutospacing="0" w:after="120" w:afterAutospacing="0" w:line="276" w:lineRule="auto"/>
            <w:jc w:val="both"/>
            <w:textAlignment w:val="baseline"/>
          </w:pPr>
          <w:r w:rsidRPr="6875B2D2">
            <w:t>Progres në lidhje me shkallën e përafrimit të legjislacionit kombëtar me atë të BE;</w:t>
          </w:r>
        </w:p>
        <w:p w14:paraId="241838EE" w14:textId="77777777" w:rsidR="00AB4DF6" w:rsidRPr="001D0575" w:rsidRDefault="00AB4DF6" w:rsidP="00CC709C">
          <w:pPr>
            <w:pStyle w:val="NormalWeb"/>
            <w:numPr>
              <w:ilvl w:val="0"/>
              <w:numId w:val="21"/>
            </w:numPr>
            <w:shd w:val="clear" w:color="auto" w:fill="FFFFFF" w:themeFill="background1"/>
            <w:spacing w:beforeAutospacing="0" w:after="120" w:afterAutospacing="0" w:line="276" w:lineRule="auto"/>
            <w:jc w:val="both"/>
            <w:textAlignment w:val="baseline"/>
          </w:pPr>
          <w:r w:rsidRPr="6875B2D2">
            <w:t>Fillimi i procesit të rishikimit të legjislacionit sektorial i konceptuar ne dy faza kryesore:</w:t>
          </w:r>
        </w:p>
        <w:p w14:paraId="504CC239" w14:textId="77777777" w:rsidR="00AB4DF6" w:rsidRPr="001D0575" w:rsidRDefault="00AB4DF6" w:rsidP="00CC709C">
          <w:pPr>
            <w:pStyle w:val="NormalWeb"/>
            <w:numPr>
              <w:ilvl w:val="0"/>
              <w:numId w:val="22"/>
            </w:numPr>
            <w:shd w:val="clear" w:color="auto" w:fill="FFFFFF" w:themeFill="background1"/>
            <w:tabs>
              <w:tab w:val="left" w:pos="1080"/>
            </w:tabs>
            <w:spacing w:beforeAutospacing="0" w:after="120" w:afterAutospacing="0" w:line="276" w:lineRule="auto"/>
            <w:ind w:left="1080"/>
            <w:jc w:val="both"/>
            <w:textAlignment w:val="baseline"/>
          </w:pPr>
          <w:r w:rsidRPr="6875B2D2">
            <w:t>Faza e përafrimit fillestar, ku do të përfshihen parimet dhe shtesat kryesore që do të prezantohen në Ligjin për Shërbimet, si p.sh. ato te lidhura me shërbimet ndërkufitare dhe bashkëpunimin administrativ.</w:t>
          </w:r>
        </w:p>
        <w:p w14:paraId="2BC3F4A7" w14:textId="77777777" w:rsidR="00AB4DF6" w:rsidRPr="001D0575" w:rsidRDefault="00AB4DF6" w:rsidP="00CC709C">
          <w:pPr>
            <w:pStyle w:val="NormalWeb"/>
            <w:numPr>
              <w:ilvl w:val="0"/>
              <w:numId w:val="22"/>
            </w:numPr>
            <w:shd w:val="clear" w:color="auto" w:fill="FFFFFF" w:themeFill="background1"/>
            <w:tabs>
              <w:tab w:val="left" w:pos="1080"/>
            </w:tabs>
            <w:spacing w:beforeAutospacing="0" w:after="120" w:afterAutospacing="0" w:line="276" w:lineRule="auto"/>
            <w:ind w:left="1080"/>
            <w:jc w:val="both"/>
            <w:textAlignment w:val="baseline"/>
          </w:pPr>
          <w:r w:rsidRPr="6875B2D2">
            <w:t>Faza e rishikimit final, që do të kryhet përpara momentit të anëtarësimit. Kjo fazë do të jetë një rishikim i plotë për të siguruar përputhshmërinë me kërkesat për anëtarësim.</w:t>
          </w:r>
        </w:p>
        <w:p w14:paraId="1E19410C" w14:textId="1A568B37" w:rsidR="002F0B95" w:rsidRPr="00D60C54" w:rsidRDefault="002F0B95" w:rsidP="00CC709C">
          <w:pPr>
            <w:pStyle w:val="NormalWeb"/>
            <w:numPr>
              <w:ilvl w:val="0"/>
              <w:numId w:val="21"/>
            </w:numPr>
            <w:shd w:val="clear" w:color="auto" w:fill="FFFFFF" w:themeFill="background1"/>
            <w:spacing w:beforeAutospacing="0" w:after="120" w:afterAutospacing="0" w:line="276" w:lineRule="auto"/>
            <w:jc w:val="both"/>
            <w:textAlignment w:val="baseline"/>
          </w:pPr>
          <w:r w:rsidRPr="6875B2D2">
            <w:t xml:space="preserve">Mbulimi i kostove të nevojshme për ekspertët që do të angazhohen në përafrimin e ligjeve sektoriale dhe për trajnimet e punonjësve të administratës në kuadër të përgatitjes për ndryshimet. Organizimi i qartë i rolit te AKSHI-t për sa i takon rolit te tij si IMI dhe mënyra e koordinimit dhe bashkërendimit institucional brenda vendit dhe me organet homologe ne BE, mund te pasjellë nevojë për rritje kapacitetesh institucionale si nga numri i personalit ashtu dhe ne nivel trajnimi. Në përputhje me angazhimet e përcaktuara në PKIE 2024–2026 dhe prioritetet e procesit të integrimit evropian, </w:t>
          </w:r>
          <w:r w:rsidRPr="6875B2D2">
            <w:rPr>
              <w:b/>
            </w:rPr>
            <w:t>Ministria e përgjegjëse për ekonominë</w:t>
          </w:r>
          <w:r w:rsidRPr="6875B2D2">
            <w:t xml:space="preserve"> do të ushtrojë rolin udhëheqës në sigurimin e mbulimit financiar dhe institucional të procesit ë</w:t>
          </w:r>
          <w:r w:rsidR="00BA1000" w:rsidRPr="6875B2D2">
            <w:t xml:space="preserve">r hartimin e një ligji të ri për shërbimet dhe </w:t>
          </w:r>
          <w:r w:rsidRPr="6875B2D2">
            <w:t xml:space="preserve"> përafrimit </w:t>
          </w:r>
          <w:r w:rsidR="00BA1000" w:rsidRPr="6875B2D2">
            <w:t xml:space="preserve">e tij </w:t>
          </w:r>
          <w:r w:rsidRPr="6875B2D2">
            <w:t xml:space="preserve">të </w:t>
          </w:r>
          <w:r w:rsidR="006F31AE" w:rsidRPr="6875B2D2">
            <w:t xml:space="preserve">plotë </w:t>
          </w:r>
          <w:r w:rsidRPr="6875B2D2">
            <w:t>me Direktivën 2006/123/KE. Kjo ministri do të planifikojë dhe administrojë fondet për angazhimin e ekspertizës ligjore dhe teknike, si dhe për programet e trajnimit të administratës publike, në funksion të përgatitjes për ndryshimet e pritshme.</w:t>
          </w:r>
        </w:p>
        <w:p w14:paraId="49E1303E" w14:textId="77777777" w:rsidR="002F0B95" w:rsidRPr="00511888" w:rsidRDefault="002F0B95" w:rsidP="798AC229">
          <w:pPr>
            <w:pStyle w:val="NormalWeb"/>
            <w:shd w:val="clear" w:color="auto" w:fill="FFFFFF" w:themeFill="background1"/>
            <w:spacing w:beforeAutospacing="0" w:after="120" w:afterAutospacing="0" w:line="288" w:lineRule="auto"/>
            <w:ind w:left="720"/>
            <w:jc w:val="both"/>
            <w:textAlignment w:val="baseline"/>
          </w:pPr>
          <w:r w:rsidRPr="6875B2D2">
            <w:t xml:space="preserve">Institucionet sektoriale do të përfshihen proporcionalisht, duke mbuluar brenda buxheteve të tyre pjesën e kostove që lidhen me përafrimin e legjislacionit në fushat përkatëse, në koordinim me Ministrinë e Ekonomisë. </w:t>
          </w:r>
          <w:r w:rsidRPr="6875B2D2">
            <w:rPr>
              <w:b/>
            </w:rPr>
            <w:t>Agjencia Kombëtare e Shoqërisë së Informacionit (AKSHI)</w:t>
          </w:r>
          <w:r w:rsidRPr="6875B2D2">
            <w:t xml:space="preserve"> do të ketë përgjegjësi specifike për funksionalizimin dhe menaxhimin e Sistemit të Informacionit të Tregut të Brendshëm (IMI), përfshirë sigurimin e trajnimit të personelit dhe ngritjen e kapaciteteve teknike të nevojshme.</w:t>
          </w:r>
        </w:p>
        <w:p w14:paraId="5F048DEB" w14:textId="77777777" w:rsidR="002F0B95" w:rsidRDefault="002F0B95" w:rsidP="798AC229">
          <w:pPr>
            <w:pStyle w:val="NormalWeb"/>
            <w:shd w:val="clear" w:color="auto" w:fill="FFFFFF" w:themeFill="background1"/>
            <w:spacing w:beforeAutospacing="0" w:after="120" w:afterAutospacing="0" w:line="288" w:lineRule="auto"/>
            <w:ind w:left="720"/>
            <w:jc w:val="both"/>
            <w:textAlignment w:val="baseline"/>
          </w:pPr>
          <w:r w:rsidRPr="6875B2D2">
            <w:t>Një pjesë e konsiderueshme e kostove do të mbulohet gjithashtu përmes instrumenteve të mbështetjes së Bashkimit Evropian dhe donatorëve ndërkombëtarë (p.sh. IPA III dhe projekte të asistencës teknike), duke ulur barrën financiare mbi buxhetin e shtetit dhe duke mundësuar një qasje më të integruar e të qëndrueshme. Kjo ndarje e përgjegjësive dhe burimeve garanton që procesi i përafrimit të zhvillohet me efikasitet, transparencë dhe në harmoni me objektivat strategjikë të Shqipërisë për anëtarësim në BE.</w:t>
          </w:r>
        </w:p>
        <w:p w14:paraId="53FE0B8C" w14:textId="77777777" w:rsidR="00BB0525" w:rsidRPr="001D0575" w:rsidRDefault="00BB0525" w:rsidP="00CC709C">
          <w:pPr>
            <w:pStyle w:val="NormalWeb"/>
            <w:numPr>
              <w:ilvl w:val="0"/>
              <w:numId w:val="21"/>
            </w:numPr>
            <w:shd w:val="clear" w:color="auto" w:fill="FFFFFF" w:themeFill="background1"/>
            <w:spacing w:beforeAutospacing="0" w:after="120" w:afterAutospacing="0" w:line="288" w:lineRule="auto"/>
            <w:jc w:val="both"/>
            <w:textAlignment w:val="baseline"/>
          </w:pPr>
          <w:r w:rsidRPr="6875B2D2">
            <w:t>Rritja e efikasitetit në komunikimet ndërinstitucionale me autoritetet simotra në BE, për përcjelljen e informacionit dhe dokumenteve në kohë reale dhe, si rrjedhim, shkurtimin thelbësor të procesit administrativ për autorizimet apo pranimin e dokumenteve të lëshuara në vendet e tjera, nëpërmjet Sistemin e Informacionit te Tregut te Brendshëm (sistemi IMI).</w:t>
          </w:r>
        </w:p>
        <w:p w14:paraId="4BE6D98A" w14:textId="77777777" w:rsidR="009C0862" w:rsidRPr="009C0862" w:rsidRDefault="009C0862" w:rsidP="798AC229">
          <w:pPr>
            <w:pStyle w:val="NormalWeb"/>
            <w:shd w:val="clear" w:color="auto" w:fill="FFFFFF" w:themeFill="background1"/>
            <w:spacing w:beforeAutospacing="0" w:after="120" w:afterAutospacing="0" w:line="288" w:lineRule="auto"/>
            <w:jc w:val="both"/>
            <w:textAlignment w:val="baseline"/>
            <w:rPr>
              <w:u w:val="single"/>
            </w:rPr>
          </w:pPr>
          <w:r w:rsidRPr="6875B2D2">
            <w:rPr>
              <w:u w:val="single"/>
            </w:rPr>
            <w:t>Ndikimet jo të drejtpërdrejta:</w:t>
          </w:r>
        </w:p>
        <w:p w14:paraId="723458C6" w14:textId="77777777" w:rsidR="009C0862" w:rsidRPr="009C0862" w:rsidRDefault="009C0862" w:rsidP="00CC709C">
          <w:pPr>
            <w:pStyle w:val="ListParagraph"/>
            <w:numPr>
              <w:ilvl w:val="0"/>
              <w:numId w:val="23"/>
            </w:numPr>
            <w:spacing w:line="288" w:lineRule="auto"/>
            <w:ind w:left="540"/>
            <w:jc w:val="both"/>
            <w:rPr>
              <w:rFonts w:ascii="Times New Roman" w:hAnsi="Times New Roman"/>
              <w:sz w:val="24"/>
              <w:szCs w:val="24"/>
            </w:rPr>
          </w:pPr>
          <w:r w:rsidRPr="6875B2D2">
            <w:rPr>
              <w:rFonts w:ascii="Times New Roman" w:hAnsi="Times New Roman"/>
              <w:sz w:val="24"/>
              <w:szCs w:val="24"/>
            </w:rPr>
            <w:t>Përmbushja e angazhimit për bashkëpunimin dhe adresimin e rekomandimeve të partnerëve ndërkombëtarë;</w:t>
          </w:r>
        </w:p>
        <w:p w14:paraId="5D3E955F" w14:textId="77777777" w:rsidR="009C0862" w:rsidRPr="009C0862" w:rsidRDefault="009C0862" w:rsidP="00CC709C">
          <w:pPr>
            <w:pStyle w:val="ListParagraph"/>
            <w:numPr>
              <w:ilvl w:val="0"/>
              <w:numId w:val="23"/>
            </w:numPr>
            <w:spacing w:line="288" w:lineRule="auto"/>
            <w:ind w:left="540"/>
            <w:jc w:val="both"/>
            <w:rPr>
              <w:rFonts w:ascii="Times New Roman" w:hAnsi="Times New Roman"/>
              <w:sz w:val="24"/>
              <w:szCs w:val="24"/>
            </w:rPr>
          </w:pPr>
          <w:r w:rsidRPr="6875B2D2">
            <w:rPr>
              <w:rFonts w:ascii="Times New Roman" w:hAnsi="Times New Roman"/>
              <w:sz w:val="24"/>
              <w:szCs w:val="24"/>
            </w:rPr>
            <w:t>Nevoja për trajnim dhe përgatitje të punonjësve të administratës për ndryshimet e pritshme të akteve që do të pasojnë ndryshimin e ligjit;</w:t>
          </w:r>
        </w:p>
        <w:p w14:paraId="44F53780" w14:textId="05C49CE7" w:rsidR="009C0862" w:rsidRPr="009C0862" w:rsidRDefault="009C0862" w:rsidP="00CC709C">
          <w:pPr>
            <w:pStyle w:val="ListParagraph"/>
            <w:numPr>
              <w:ilvl w:val="0"/>
              <w:numId w:val="23"/>
            </w:numPr>
            <w:spacing w:line="288" w:lineRule="auto"/>
            <w:ind w:left="540"/>
            <w:jc w:val="both"/>
            <w:rPr>
              <w:rFonts w:ascii="Times New Roman" w:hAnsi="Times New Roman"/>
              <w:sz w:val="24"/>
              <w:szCs w:val="24"/>
            </w:rPr>
          </w:pPr>
          <w:r w:rsidRPr="6875B2D2">
            <w:rPr>
              <w:rFonts w:ascii="Times New Roman" w:hAnsi="Times New Roman"/>
              <w:sz w:val="24"/>
              <w:szCs w:val="24"/>
            </w:rPr>
            <w:t>Rritje ekonomike.</w:t>
          </w:r>
        </w:p>
        <w:p w14:paraId="44653C6D" w14:textId="5CECE394" w:rsidR="00C67831" w:rsidRPr="001D0575" w:rsidRDefault="009C0862" w:rsidP="00C67831">
          <w:pPr>
            <w:spacing w:after="120" w:line="288" w:lineRule="auto"/>
            <w:jc w:val="both"/>
          </w:pPr>
          <w:r w:rsidRPr="6875B2D2">
            <w:t>Harmonizimi i ligjeve kombëtare me standardet e BE mund të përmirësojë sigurinë juridike dhe transparencën, duke lehtësuar transaksionet ndërkufitare. Gjithashtu, kuadri i përshtatur rregullator dhe efikasiteti administrativ mund të përmirësojnë mjedisin e përgjithshëm të biznesit, duke tërhequr investime të huaja dhe duke nxitur rritjen ekonomike.</w:t>
          </w:r>
        </w:p>
        <w:p w14:paraId="7ACBFE6E" w14:textId="77777777" w:rsidR="00C67831" w:rsidRPr="00B47728" w:rsidRDefault="00C67831" w:rsidP="00CC709C">
          <w:pPr>
            <w:pStyle w:val="ListParagraph"/>
            <w:numPr>
              <w:ilvl w:val="0"/>
              <w:numId w:val="20"/>
            </w:numPr>
            <w:spacing w:line="288" w:lineRule="auto"/>
            <w:jc w:val="both"/>
            <w:rPr>
              <w:rFonts w:ascii="Times New Roman" w:hAnsi="Times New Roman"/>
              <w:color w:val="000000"/>
              <w:sz w:val="24"/>
              <w:szCs w:val="24"/>
            </w:rPr>
          </w:pPr>
          <w:r w:rsidRPr="6875B2D2">
            <w:rPr>
              <w:rFonts w:ascii="Times New Roman" w:hAnsi="Times New Roman"/>
              <w:b/>
              <w:color w:val="000000" w:themeColor="text1"/>
              <w:sz w:val="24"/>
              <w:szCs w:val="24"/>
            </w:rPr>
            <w:t>Ofruesit e Shërbimeve:</w:t>
          </w:r>
        </w:p>
        <w:p w14:paraId="7EECC42F" w14:textId="77777777" w:rsidR="00C67831" w:rsidRPr="001D0575" w:rsidRDefault="00C67831" w:rsidP="00CC709C">
          <w:pPr>
            <w:numPr>
              <w:ilvl w:val="0"/>
              <w:numId w:val="20"/>
            </w:numPr>
            <w:tabs>
              <w:tab w:val="left" w:pos="567"/>
            </w:tabs>
            <w:spacing w:after="120" w:line="288" w:lineRule="auto"/>
            <w:jc w:val="both"/>
            <w:rPr>
              <w:i/>
              <w:u w:val="single"/>
            </w:rPr>
          </w:pPr>
          <w:r w:rsidRPr="6875B2D2">
            <w:rPr>
              <w:i/>
              <w:u w:val="single"/>
            </w:rPr>
            <w:t xml:space="preserve">Ofruesit Vendas të Shërbimeve </w:t>
          </w:r>
        </w:p>
        <w:p w14:paraId="5C2F3370" w14:textId="77777777" w:rsidR="00C67831" w:rsidRPr="001D0575" w:rsidRDefault="00C67831" w:rsidP="00C67831">
          <w:pPr>
            <w:spacing w:after="120" w:line="288" w:lineRule="auto"/>
            <w:jc w:val="both"/>
            <w:rPr>
              <w:rFonts w:eastAsia="Calibri"/>
              <w:color w:val="000000"/>
              <w:u w:val="single"/>
            </w:rPr>
          </w:pPr>
          <w:r w:rsidRPr="6875B2D2">
            <w:rPr>
              <w:color w:val="000000" w:themeColor="text1"/>
              <w:u w:val="single"/>
            </w:rPr>
            <w:t xml:space="preserve">Ndikimet e drejtpërdrejta: </w:t>
          </w:r>
        </w:p>
        <w:p w14:paraId="19D52CFA" w14:textId="77777777" w:rsidR="00C67831" w:rsidRPr="003474A5" w:rsidRDefault="00C67831" w:rsidP="00C67831">
          <w:pPr>
            <w:spacing w:after="120" w:line="288" w:lineRule="auto"/>
            <w:jc w:val="both"/>
          </w:pPr>
          <w:r w:rsidRPr="6875B2D2">
            <w:t>Mundësi të zgjeruara për ushtrimin e aktivitetit: Përafrimi i plotë garanton që ofruesit e shërbimeve shqiptare mund të ofrojnë shërbime në të gjithë BE pa u përballur me barriera rregullatore shtesë. Kjo hap tregje të reja dhe rrit mundësitë për rritje, veçanërisht për SME-të.</w:t>
          </w:r>
        </w:p>
        <w:p w14:paraId="222B2BC5" w14:textId="77777777" w:rsidR="00C67831" w:rsidRPr="003474A5" w:rsidRDefault="00C67831" w:rsidP="00C67831">
          <w:pPr>
            <w:spacing w:after="120" w:line="288" w:lineRule="auto"/>
            <w:jc w:val="both"/>
          </w:pPr>
          <w:r w:rsidRPr="6875B2D2">
            <w:t>Rritje e konkurrencës: Reduktimi i ndjeshëm i kostove për themelim përgjithshme ndikon  duke krijuar lehtësi për SME për të hyrë në tregun e BE në mënyrë konkurruese. Me më pak barriera logjistike, operatorët shqiptare mund të ofrojnë shërbimet e tyre me çmime konkurruese, të cilat mund të tërheqin një gamë të gjerë klientësh të BE.</w:t>
          </w:r>
        </w:p>
        <w:p w14:paraId="6D3AD9D7" w14:textId="77777777" w:rsidR="00C67831" w:rsidRPr="003474A5" w:rsidRDefault="00C67831" w:rsidP="00C67831">
          <w:pPr>
            <w:spacing w:after="120" w:line="288" w:lineRule="auto"/>
            <w:jc w:val="both"/>
          </w:pPr>
          <w:r w:rsidRPr="6875B2D2">
            <w:t>Fokusimi në shërbimet e specializuara: Operatorët shqiptare mund të pozicionohen në mënyrë strategjike për të ofruar shërbime të specializuara ose të veçanta që mund të jenë më pak të zakonshme në BE (p.sh. eko-turizmi, produktet artizanale ose shërbimet specifike kulturore). Kjo thjeshtëzon krijimin e segmente të veçanta të tregut.</w:t>
          </w:r>
        </w:p>
        <w:p w14:paraId="05C3EC91" w14:textId="77777777" w:rsidR="00C67831" w:rsidRPr="003474A5" w:rsidRDefault="00C67831" w:rsidP="1980EDC6">
          <w:pPr>
            <w:pStyle w:val="NormalWeb"/>
            <w:shd w:val="clear" w:color="auto" w:fill="FFFFFF" w:themeFill="background1"/>
            <w:spacing w:beforeAutospacing="0" w:after="120" w:afterAutospacing="0" w:line="288" w:lineRule="auto"/>
            <w:jc w:val="both"/>
            <w:textAlignment w:val="baseline"/>
          </w:pPr>
          <w:r w:rsidRPr="6875B2D2">
            <w:t>Qasja në mekanizmat mbështetës të BE: Ofruesit e shërbimeve shqiptare mund të përfitojnë nga programet, grantet dhe rrjetet e BE të krijuara për të mbështetur aktivitetet e biznesit ndërkufitar, duke forcuar më tej konkurrencën dhe kapacitetin e tyre operacional.</w:t>
          </w:r>
        </w:p>
        <w:p w14:paraId="6F05677C" w14:textId="77777777" w:rsidR="00F77168" w:rsidRDefault="00F77168" w:rsidP="1980EDC6">
          <w:pPr>
            <w:pStyle w:val="NormalWeb"/>
            <w:shd w:val="clear" w:color="auto" w:fill="FFFFFF" w:themeFill="background1"/>
            <w:spacing w:beforeAutospacing="0" w:after="120" w:afterAutospacing="0" w:line="288" w:lineRule="auto"/>
            <w:jc w:val="both"/>
            <w:textAlignment w:val="baseline"/>
            <w:rPr>
              <w:u w:val="single"/>
            </w:rPr>
          </w:pPr>
          <w:r w:rsidRPr="6875B2D2">
            <w:rPr>
              <w:u w:val="single"/>
            </w:rPr>
            <w:t>Ndikimet jo të drejtpërdrejta:</w:t>
          </w:r>
        </w:p>
        <w:p w14:paraId="3D5FF503" w14:textId="77777777" w:rsidR="00F77168" w:rsidRPr="003474A5" w:rsidRDefault="00F77168" w:rsidP="1980EDC6">
          <w:pPr>
            <w:pStyle w:val="NormalWeb"/>
            <w:shd w:val="clear" w:color="auto" w:fill="FFFFFF" w:themeFill="background1"/>
            <w:spacing w:beforeAutospacing="0" w:after="120" w:afterAutospacing="0" w:line="288" w:lineRule="auto"/>
            <w:jc w:val="both"/>
            <w:textAlignment w:val="baseline"/>
          </w:pPr>
          <w:r w:rsidRPr="6875B2D2">
            <w:t>Rritja e të ardhurave dhe kontributi ekonomik: Aftësia për të ofruar shërbime ndërkufitare në BE rrit potencialin e rritjes së ofruesve shqiptarë të shërbimeve, duke kontribuar në rritjen e gjenerimit të të ardhurave për operatorët dhe rritjen e përgjithshme ekonomike për vendin. Me zgjerimin e aktivitetit të tyre ofruesit e shërbimeve, ata kontribuojnë në krijimin e vendeve të punës si dhe në të ardhurat nga taksat, duke forcuar kështu bazën ekonomike të Shqipërisë.</w:t>
          </w:r>
        </w:p>
        <w:p w14:paraId="25473C66" w14:textId="77777777" w:rsidR="00F77168" w:rsidRPr="003474A5" w:rsidRDefault="00F77168" w:rsidP="00F77168">
          <w:pPr>
            <w:spacing w:after="120" w:line="288" w:lineRule="auto"/>
            <w:jc w:val="both"/>
          </w:pPr>
          <w:r w:rsidRPr="6875B2D2">
            <w:t>Më shumë inovacion dhe produktivitet: Me qasje më të lehtë në tregun e BE, ofruesit vendas të shërbimeve janë më të inkurajuar për të përmirësuar shërbimet e tyre për të konkurruar në mënyrë efektive. Kjo kontribuon në një ekonomi më dinamike, duke inkurajuar transferimin e njohurive dhe teknologjisë nga sektorët më të avancuar të shërbimeve të BE.</w:t>
          </w:r>
        </w:p>
        <w:p w14:paraId="74E23343" w14:textId="1920F284" w:rsidR="00E2236C" w:rsidRPr="003474A5" w:rsidRDefault="00F77168" w:rsidP="00E2236C">
          <w:pPr>
            <w:spacing w:after="120" w:line="288" w:lineRule="auto"/>
            <w:jc w:val="both"/>
          </w:pPr>
          <w:r w:rsidRPr="6875B2D2">
            <w:t>Mundësi më të mëdha bashkëpunimi: Përafrimi i plotë krijon mundësi për ofruesit e shërbimeve shqiptare për të bashkëpunuar me operatorët ne vendet e BE, duke rritur shkëmbimin e njohurive, sipërmarrjet e përbashkëta dhe partneritetet ndërkufitare që mund të nxisin rritjen e mëtejshme ekonomike dhe krijimin e vendeve të punës.</w:t>
          </w:r>
        </w:p>
        <w:p w14:paraId="24D577EB" w14:textId="77777777" w:rsidR="00E2236C" w:rsidRPr="001D0575" w:rsidRDefault="00E2236C" w:rsidP="00CC709C">
          <w:pPr>
            <w:numPr>
              <w:ilvl w:val="0"/>
              <w:numId w:val="24"/>
            </w:numPr>
            <w:tabs>
              <w:tab w:val="left" w:pos="567"/>
            </w:tabs>
            <w:spacing w:after="120" w:line="288" w:lineRule="auto"/>
            <w:jc w:val="both"/>
            <w:rPr>
              <w:i/>
              <w:u w:val="single"/>
            </w:rPr>
          </w:pPr>
          <w:r w:rsidRPr="6875B2D2">
            <w:rPr>
              <w:i/>
              <w:u w:val="single"/>
            </w:rPr>
            <w:t>Ofruesit e Shërbimeve të Vendeve të BE</w:t>
          </w:r>
        </w:p>
        <w:p w14:paraId="2C663F79" w14:textId="77777777" w:rsidR="00E2236C" w:rsidRPr="001D0575" w:rsidRDefault="00E2236C" w:rsidP="00E2236C">
          <w:pPr>
            <w:spacing w:after="120" w:line="288" w:lineRule="auto"/>
            <w:jc w:val="both"/>
            <w:rPr>
              <w:u w:val="single"/>
            </w:rPr>
          </w:pPr>
          <w:r w:rsidRPr="6875B2D2">
            <w:rPr>
              <w:u w:val="single"/>
            </w:rPr>
            <w:t>Ndikimet e drejtpërdrejta</w:t>
          </w:r>
        </w:p>
        <w:p w14:paraId="699DDB46" w14:textId="77777777" w:rsidR="00E2236C" w:rsidRPr="00DB67A6" w:rsidRDefault="00E2236C" w:rsidP="00E2236C">
          <w:pPr>
            <w:spacing w:after="120" w:line="288" w:lineRule="auto"/>
            <w:jc w:val="both"/>
          </w:pPr>
          <w:r w:rsidRPr="6875B2D2">
            <w:t>Hyrja e thjeshtëzuar në tregun shqiptar: Përafrimi i plotë i Direktivës së Shërbimeve të BE duke përfshirë ofrimin e shërbimeve ndërkufitare, u mundëson ofruesve të shërbimeve të BE të hyjnë në tregun shqiptar pa pasur nevojë për një prani fizike duke reduktuar dhe rrjedhimisht bërë më të lehtë dhe më të përballueshme për ofrimin e shërbimeve të tyre. Kjo u jep operatorëve të BE qasje në ekonominë në rritje të Shqipërisë, veçanërisht në sektorë me kërkesë të lartë si ndërtimi, turizmi apo teknologjia e informacionit.</w:t>
          </w:r>
        </w:p>
        <w:p w14:paraId="67F1EFDB" w14:textId="77777777" w:rsidR="00E2236C" w:rsidRPr="00DB67A6" w:rsidRDefault="00E2236C" w:rsidP="00E2236C">
          <w:pPr>
            <w:spacing w:after="120" w:line="288" w:lineRule="auto"/>
            <w:jc w:val="both"/>
          </w:pPr>
          <w:r w:rsidRPr="6875B2D2">
            <w:t>Qasje në një bazë konsumatori në rritje: Ndërsa Shqipëria përafron sektorin e saj të shërbimeve me standardet e BE, baza e konsumatorëve të vendit bëhet më e aksesueshme për bizneset e BE. Kjo përfshin jo vetëm konsumatorët individualë, por edhe SME-të dhe korporatave që kërkojnë shërbime të cilësisë më të lartë ose të specializuara nga ofruesit e BE. Operatorët e BE, veçanërisht SME, mund të zgjerojnë bazën e tyre të klientëve me përpjekje minimale shtesë, duke përfituar nga kërkesa në rritje e konsumatorëve të Shqipërisë për shërbime të larmishme.</w:t>
          </w:r>
        </w:p>
        <w:p w14:paraId="478BA62F" w14:textId="2004735E" w:rsidR="00E2236C" w:rsidRPr="00DB67A6" w:rsidRDefault="00E2236C" w:rsidP="00E2236C">
          <w:pPr>
            <w:spacing w:after="120" w:line="288" w:lineRule="auto"/>
            <w:jc w:val="both"/>
          </w:pPr>
          <w:r w:rsidRPr="6875B2D2">
            <w:t>Avantazhi konkurrues: Reputacioni si ofrues shërbimesh me cilësi të lart (për shkak të eksperiencës afatgjatë në treg) mund të përdoret për të fituar më lehtë besimin e konsumatorëve. Kjo u jep atyre një avantazh konkurrues ndaj ofruesve vendas që mund të mos përmbushin ende të njëjtin nivel standardizimi, inovacioni ose garanci për mbrojtjen e konsumatorit.</w:t>
          </w:r>
        </w:p>
        <w:p w14:paraId="53733C0E" w14:textId="77777777" w:rsidR="00E2236C" w:rsidRPr="00DB67A6" w:rsidRDefault="00E2236C" w:rsidP="00E2236C">
          <w:pPr>
            <w:spacing w:after="120" w:line="288" w:lineRule="auto"/>
            <w:jc w:val="both"/>
          </w:pPr>
          <w:r w:rsidRPr="6875B2D2">
            <w:t xml:space="preserve">Pjesëmarrja në projektet e zhvillimit lokal: Përafrimi i plotë hap mundësi për ofruesit e shërbimeve të BE për të marrë pjesë në tenderë publikë, projekte qeveritare dhe iniciativa zhvillimi në shkallë të gjerë në Shqipëri. </w:t>
          </w:r>
        </w:p>
        <w:p w14:paraId="13989C83" w14:textId="77777777" w:rsidR="005F6FC1" w:rsidRPr="00FF3999" w:rsidRDefault="005F6FC1" w:rsidP="005F6FC1">
          <w:pPr>
            <w:spacing w:after="120" w:line="288" w:lineRule="auto"/>
            <w:jc w:val="both"/>
            <w:rPr>
              <w:u w:val="single"/>
            </w:rPr>
          </w:pPr>
          <w:r w:rsidRPr="6875B2D2">
            <w:rPr>
              <w:u w:val="single"/>
            </w:rPr>
            <w:t>Ndikimet jo të drejtpërdrejta:</w:t>
          </w:r>
        </w:p>
        <w:p w14:paraId="60B90FE6" w14:textId="77777777" w:rsidR="005F6FC1" w:rsidRPr="00FF3999" w:rsidRDefault="005F6FC1" w:rsidP="005F6FC1">
          <w:pPr>
            <w:spacing w:after="120" w:line="288" w:lineRule="auto"/>
            <w:jc w:val="both"/>
          </w:pPr>
          <w:r w:rsidRPr="6875B2D2">
            <w:t>Rritje e sigurisë juridike: Përafrimi i plotë i Direktivës së Shërbimeve të BE dhe rrjedhimisht kuadër i harmonizuar rregullator me standardet e BE rrit sigurinë juridike dhe potencialisht iniciativën për të investuar në Shqipëri.</w:t>
          </w:r>
        </w:p>
        <w:p w14:paraId="36A3E13E" w14:textId="77777777" w:rsidR="005F6FC1" w:rsidRPr="001A7340" w:rsidRDefault="005F6FC1" w:rsidP="005F6FC1">
          <w:pPr>
            <w:spacing w:after="120" w:line="288" w:lineRule="auto"/>
            <w:jc w:val="both"/>
          </w:pPr>
          <w:r w:rsidRPr="6875B2D2">
            <w:t>Rritje e fitimit nëpërmjet zgjerimit të tregut: Me më pak barriera rregullatore dhe kosto më të ulëta për operim, ofruesit e shërbimeve të BE mund të rrisin marzhet e tyre të fitimit duke operuar në tregun shqiptar. Ofrimi i shërbimeve të specializuara që mund të mos jetë gjerësisht i disponueshme në vend duke i mundësuar ofrueseve të BE një avantazh në treg.</w:t>
          </w:r>
        </w:p>
        <w:p w14:paraId="4804D693" w14:textId="77777777" w:rsidR="005F6FC1" w:rsidRPr="001A7340" w:rsidRDefault="005F6FC1" w:rsidP="005F6FC1">
          <w:pPr>
            <w:spacing w:after="120" w:line="288" w:lineRule="auto"/>
            <w:jc w:val="both"/>
          </w:pPr>
          <w:r w:rsidRPr="6875B2D2">
            <w:t>Krijimi i një rrjeti të ri bashkëpunimi: Ofruesit e shërbimeve të BE që hyjnë në tregun shqiptar mund të krijojnë marrëdhënie afatgjata me bizneset, furnitorët dhe klientët vendas. Ky bashkëpunim ndërkufitar shtrihet përtej kontratave të drejtpërdrejta dhe mund të evoluojë në partneritete të qëndrueshme, sipërmarrje të përbashkëta ose rrjete furnizuese që rrisin qëndrueshmërinë dhe integrimin e ekonomisë rajonale.</w:t>
          </w:r>
        </w:p>
        <w:p w14:paraId="585C3849" w14:textId="77777777" w:rsidR="00D26104" w:rsidRPr="001A7340" w:rsidRDefault="00D26104" w:rsidP="00D26104">
          <w:pPr>
            <w:spacing w:after="120" w:line="288" w:lineRule="auto"/>
            <w:jc w:val="both"/>
          </w:pPr>
          <w:r w:rsidRPr="6875B2D2">
            <w:t>Në vijim të efekteve që do të pasojnë përshtatjen e Ligjit të Shërbimeve duhen theksuar ndryshimet e nevojshme sipas kërkesave të Direktivës në:</w:t>
          </w:r>
        </w:p>
        <w:p w14:paraId="64E830AB" w14:textId="77777777" w:rsidR="00D26104" w:rsidRPr="00D37504" w:rsidRDefault="00D26104" w:rsidP="00CC709C">
          <w:pPr>
            <w:pStyle w:val="ListParagraph"/>
            <w:numPr>
              <w:ilvl w:val="0"/>
              <w:numId w:val="24"/>
            </w:numPr>
            <w:spacing w:line="288" w:lineRule="auto"/>
            <w:jc w:val="both"/>
            <w:rPr>
              <w:rFonts w:ascii="Times New Roman" w:hAnsi="Times New Roman"/>
              <w:sz w:val="24"/>
              <w:szCs w:val="24"/>
            </w:rPr>
          </w:pPr>
          <w:r w:rsidRPr="6875B2D2">
            <w:rPr>
              <w:rFonts w:ascii="Times New Roman" w:hAnsi="Times New Roman"/>
              <w:sz w:val="24"/>
              <w:szCs w:val="24"/>
            </w:rPr>
            <w:t>Akte të tjera të rëndësishme kuadër;</w:t>
          </w:r>
        </w:p>
        <w:p w14:paraId="3A9FFC65" w14:textId="77777777" w:rsidR="00D26104" w:rsidRPr="00D37504" w:rsidRDefault="00D26104" w:rsidP="00CC709C">
          <w:pPr>
            <w:pStyle w:val="ListParagraph"/>
            <w:numPr>
              <w:ilvl w:val="0"/>
              <w:numId w:val="24"/>
            </w:numPr>
            <w:spacing w:line="288" w:lineRule="auto"/>
            <w:jc w:val="both"/>
            <w:rPr>
              <w:rFonts w:ascii="Times New Roman" w:hAnsi="Times New Roman"/>
              <w:sz w:val="24"/>
              <w:szCs w:val="24"/>
            </w:rPr>
          </w:pPr>
          <w:r w:rsidRPr="6875B2D2">
            <w:rPr>
              <w:rFonts w:ascii="Times New Roman" w:hAnsi="Times New Roman"/>
              <w:sz w:val="24"/>
              <w:szCs w:val="24"/>
            </w:rPr>
            <w:t>Ligjet sektoriale.</w:t>
          </w:r>
        </w:p>
        <w:p w14:paraId="26A2743A" w14:textId="77777777" w:rsidR="00D26104" w:rsidRPr="001D0575" w:rsidRDefault="00D26104" w:rsidP="00D26104">
          <w:pPr>
            <w:spacing w:after="120" w:line="288" w:lineRule="auto"/>
            <w:jc w:val="both"/>
          </w:pPr>
          <w:r w:rsidRPr="6875B2D2">
            <w:t xml:space="preserve">Për të sjellë një ilustrim konkret rreth ndërhyrjes në ligjet sektoriale si dhe në përputhje me analizën e cituar më sipër dhe procesin </w:t>
          </w:r>
          <w:r w:rsidRPr="6875B2D2">
            <w:rPr>
              <w:i/>
            </w:rPr>
            <w:t>screening</w:t>
          </w:r>
          <w:r w:rsidRPr="6875B2D2">
            <w:t xml:space="preserve"> të realizuar nga administrata me mbështetjen e asistencës teknike gjermane (Projekti GIZ SANECA), në vijim do të marrim në analizë dy sektorë kyç turizmin dhe ndërtimin – për të parë nivelin e përafrimit dhe masat e nevojshme pasuese për përafrimin e plotë. </w:t>
          </w:r>
        </w:p>
        <w:p w14:paraId="41519E20" w14:textId="77777777" w:rsidR="00D26104" w:rsidRPr="001D0575" w:rsidRDefault="00D26104" w:rsidP="00D26104">
          <w:pPr>
            <w:spacing w:after="120" w:line="288" w:lineRule="auto"/>
            <w:jc w:val="both"/>
            <w:rPr>
              <w:b/>
              <w:i/>
              <w:u w:val="single"/>
            </w:rPr>
          </w:pPr>
          <w:r w:rsidRPr="6875B2D2">
            <w:rPr>
              <w:b/>
              <w:i/>
              <w:u w:val="single"/>
            </w:rPr>
            <w:t>Turizmi</w:t>
          </w:r>
        </w:p>
        <w:p w14:paraId="732C0F48" w14:textId="77777777" w:rsidR="00D26104" w:rsidRPr="001D0575" w:rsidRDefault="00D26104" w:rsidP="00D26104">
          <w:pPr>
            <w:spacing w:after="120" w:line="288" w:lineRule="auto"/>
            <w:jc w:val="both"/>
          </w:pPr>
          <w:r w:rsidRPr="6875B2D2">
            <w:t>Ligji nr. 93/2015 “</w:t>
          </w:r>
          <w:r w:rsidRPr="6875B2D2">
            <w:rPr>
              <w:i/>
            </w:rPr>
            <w:t>Për Turizmin</w:t>
          </w:r>
          <w:r w:rsidRPr="6875B2D2">
            <w:t>” rregullon fushën e gjerë të shërbimeve turistike dhe ndër të tjera shërbimet e agjencive turistike dhe operatorëve turistikë.</w:t>
          </w:r>
        </w:p>
        <w:p w14:paraId="7C533F4E" w14:textId="77777777" w:rsidR="00D26104" w:rsidRPr="001D0575" w:rsidRDefault="00D26104" w:rsidP="00D26104">
          <w:pPr>
            <w:spacing w:after="120" w:line="288" w:lineRule="auto"/>
            <w:jc w:val="both"/>
          </w:pPr>
          <w:r w:rsidRPr="6875B2D2">
            <w:t>Agjencitë e udhëtimit në Shqipëri, si një nga aktivitetet kryesore në sektorin e turizmit, mund të ofrojnë shërbimet e tyre si persona fizikë ose juridikë, pasi të jenë licencuar dhe regjistruar në Qendrën Kombëtare të Regjistrimit, me objekt veprimtarie si agjenci udhëtimi. Pas publikimit të licencës në Regjistrin Kombëtar të Licencave dhe Lejeve, Ministria përgjegjëse për turizmin, e regjistron këtë licencë në Regjistrin Qendror të Turizmit.</w:t>
          </w:r>
        </w:p>
        <w:p w14:paraId="20B080CF" w14:textId="77777777" w:rsidR="00D26104" w:rsidRPr="001D0575" w:rsidRDefault="00D26104" w:rsidP="00D26104">
          <w:pPr>
            <w:spacing w:after="120" w:line="288" w:lineRule="auto"/>
            <w:jc w:val="both"/>
          </w:pPr>
          <w:r w:rsidRPr="6875B2D2">
            <w:t>Në të njëjtën linjë, Operatori Turistik në Shqipëri, përpara fillimit të ushtrimit të këtij aktiviteti, pajiset me licencë, duke ndjekur disa kritere: të jetë i regjistruar në Qendrën Kombëtare të Regjistrimit, me objekt veprimtarie si “operator turistik”.</w:t>
          </w:r>
        </w:p>
        <w:p w14:paraId="2E4A4736" w14:textId="3E7D46FB" w:rsidR="00D26104" w:rsidRPr="001D0575" w:rsidRDefault="00D26104" w:rsidP="00D26104">
          <w:pPr>
            <w:spacing w:after="120" w:line="288" w:lineRule="auto"/>
            <w:jc w:val="both"/>
          </w:pPr>
          <w:r w:rsidRPr="6875B2D2">
            <w:t>N</w:t>
          </w:r>
          <w:r w:rsidR="002E55DE" w:rsidRPr="6875B2D2">
            <w:t>ë</w:t>
          </w:r>
          <w:r w:rsidRPr="6875B2D2">
            <w:t xml:space="preserve"> Ligjin për Turizmin nuk është identifikuar ndonjë kufizim përkatës në bazë të kombësisë ose vendit të banimit. Kjo do të thotë se personat juridikë të huaj mund të ofrojnë shërbimet përkatëse në Shqipëri, duke krijuar një degë ose duke aplikuar për licencë ose në bashkëpunim me ndërmjetës vendas ose duke krijuar një agjenci të re udhëtimi, pasi nuk janë identifikuar parakushte apo kufizime specifike. </w:t>
          </w:r>
        </w:p>
        <w:p w14:paraId="35152D84" w14:textId="77777777" w:rsidR="00E62B75" w:rsidRPr="001D0575" w:rsidRDefault="00E62B75" w:rsidP="00E62B75">
          <w:pPr>
            <w:spacing w:after="120" w:line="288" w:lineRule="auto"/>
            <w:jc w:val="both"/>
          </w:pPr>
          <w:r w:rsidRPr="6875B2D2">
            <w:t>Ligji i zbatueshëm kërkon si detyrim për operatorin turistik të paturit të një kontrate sigurimi për sigurimin e përgjegjësisë ndaj palëve të treta. Do duhet qartësuar domosdoshmëria e njohjes së një dokumenti të tillë të lëshuar në një nga vendet anëtare në mënyrë që të mos konsiderohet si një kriter pengues i pajustifikuar, në kuptimin e Ligjit për Shërbimet.</w:t>
          </w:r>
        </w:p>
        <w:p w14:paraId="087FFF4B" w14:textId="6F5622F5" w:rsidR="00E62B75" w:rsidRPr="001D0575" w:rsidRDefault="00E62B75" w:rsidP="00E62B75">
          <w:pPr>
            <w:spacing w:after="120" w:line="288" w:lineRule="auto"/>
            <w:jc w:val="both"/>
          </w:pPr>
          <w:r w:rsidRPr="6875B2D2">
            <w:t>Vend për ndërhyrje identifikohet edhe në parashikimin në lidhje me guidat turistike. Ligji parashikon se si personat fizikë ashtu edhe ata juridikë mund të ofrojnë shërbimet përkatëse, megjithatë ka një kufizim për sa i përket kombësisë pasi ekziston një kategori, pasi ajo aplikohet vetëm për “shtetasit”. Aktualisht, në Shqipëri udhërrëfyesi turistik i huaj, i cili nuk është i certifikuar në Shqipëri për ushtrimin e veprimtarisë së udhërrëfyesit turistik, mund të shoqërojë grupe vizitorësh apo turistësh të huaj, për qëllime turistike, në territorin e Shqipërisë, në cilësinë e shoqëruesit të udhëtimi. Ai duhet të shoqërohet nga një guidë turistike e certifikuar në bazë të një kontrate shërbimi. Gjithashtu, në rastin kur një shtetas i huaj do të ushtrojë profesionin e udhërrëfyesit turistik në Shqipëri, përveçse të plotësojë kriteret e përcaktuara në ligj, ai duhet të jetë edhe rezident, jo më pak se një vit, dhe të ketë njohuri bazë të gjuh</w:t>
          </w:r>
          <w:r w:rsidR="00D866B0" w:rsidRPr="6875B2D2">
            <w:t>ës</w:t>
          </w:r>
          <w:r w:rsidRPr="6875B2D2">
            <w:t xml:space="preserve"> shqipe.</w:t>
          </w:r>
        </w:p>
        <w:p w14:paraId="317187A9" w14:textId="77777777" w:rsidR="00E62B75" w:rsidRPr="001D0575" w:rsidRDefault="00E62B75" w:rsidP="00E62B75">
          <w:pPr>
            <w:spacing w:after="120" w:line="288" w:lineRule="auto"/>
            <w:jc w:val="both"/>
          </w:pPr>
          <w:r w:rsidRPr="6875B2D2">
            <w:t>Ndryshime të tjera në këtë sektor mund të prekin edhe Vendimin e Këshillit të Ministrave nr. 709 12.10.2016 “Për miratimin e rregullores “</w:t>
          </w:r>
          <w:r w:rsidRPr="6875B2D2">
            <w:rPr>
              <w:i/>
            </w:rPr>
            <w:t>Për kërkesat dhe kriteret për ushtrimin e veprimtarisë së agjencisë së udhëtimit</w:t>
          </w:r>
          <w:r w:rsidRPr="6875B2D2">
            <w:t>””. Në bazë parashikimeve të këtij vendimi, kërkohet që një numër minimal prej dy (2) punonjësish të operojnë një agjenci udhëtimi. Gjatë takimeve konsultative me ministrinë kompetente, është rekomanduar që ky numër minimal të zvogëlohet në një, pasi nuk ka asnjë justifikim me një arsye thelbësore që lidhet me interesin publik që mund ta konsideronte të pranueshme një kërkesë të tillë.</w:t>
          </w:r>
        </w:p>
        <w:p w14:paraId="71B545CE" w14:textId="77777777" w:rsidR="005D231A" w:rsidRPr="001D0575" w:rsidRDefault="005D231A" w:rsidP="005D231A">
          <w:pPr>
            <w:spacing w:after="120" w:line="288" w:lineRule="auto"/>
            <w:jc w:val="both"/>
            <w:rPr>
              <w:u w:val="single"/>
            </w:rPr>
          </w:pPr>
          <w:r w:rsidRPr="6875B2D2">
            <w:rPr>
              <w:b/>
              <w:i/>
              <w:u w:val="single"/>
            </w:rPr>
            <w:t>Ndërtimi</w:t>
          </w:r>
        </w:p>
        <w:p w14:paraId="5243D969" w14:textId="77777777" w:rsidR="005D231A" w:rsidRPr="001D0575" w:rsidRDefault="005D231A" w:rsidP="005D231A">
          <w:pPr>
            <w:spacing w:after="120" w:line="288" w:lineRule="auto"/>
            <w:jc w:val="both"/>
          </w:pPr>
          <w:r w:rsidRPr="6875B2D2">
            <w:t>Ndër aktet më të rëndësishme rregullatore sektoriale sa i takon fushës së ndërtimit konsistojnë në si vijon:</w:t>
          </w:r>
        </w:p>
        <w:p w14:paraId="0FF86870" w14:textId="77777777" w:rsidR="005D231A" w:rsidRPr="00B47728" w:rsidRDefault="005D231A" w:rsidP="00CC709C">
          <w:pPr>
            <w:pStyle w:val="ListParagraph"/>
            <w:numPr>
              <w:ilvl w:val="0"/>
              <w:numId w:val="24"/>
            </w:numPr>
            <w:spacing w:line="288" w:lineRule="auto"/>
            <w:jc w:val="both"/>
            <w:rPr>
              <w:rFonts w:ascii="Times New Roman" w:hAnsi="Times New Roman"/>
              <w:sz w:val="24"/>
              <w:szCs w:val="24"/>
            </w:rPr>
          </w:pPr>
          <w:r w:rsidRPr="6875B2D2">
            <w:rPr>
              <w:rFonts w:ascii="Times New Roman" w:hAnsi="Times New Roman"/>
              <w:sz w:val="24"/>
              <w:szCs w:val="24"/>
            </w:rPr>
            <w:t>Ligj nr. 107/2014 “</w:t>
          </w:r>
          <w:r w:rsidRPr="6875B2D2">
            <w:rPr>
              <w:rFonts w:ascii="Times New Roman" w:hAnsi="Times New Roman"/>
              <w:i/>
              <w:sz w:val="24"/>
              <w:szCs w:val="24"/>
            </w:rPr>
            <w:t>Për planifikimin dhe zhvillimin e territorit</w:t>
          </w:r>
          <w:r w:rsidRPr="6875B2D2">
            <w:rPr>
              <w:rFonts w:ascii="Times New Roman" w:hAnsi="Times New Roman"/>
              <w:sz w:val="24"/>
              <w:szCs w:val="24"/>
            </w:rPr>
            <w:t>”, i ndryshuar;</w:t>
          </w:r>
        </w:p>
        <w:p w14:paraId="47CB5B9E" w14:textId="77777777" w:rsidR="005D231A" w:rsidRPr="00B47728" w:rsidRDefault="005D231A" w:rsidP="00CC709C">
          <w:pPr>
            <w:pStyle w:val="ListParagraph"/>
            <w:numPr>
              <w:ilvl w:val="0"/>
              <w:numId w:val="24"/>
            </w:numPr>
            <w:spacing w:line="288" w:lineRule="auto"/>
            <w:jc w:val="both"/>
            <w:rPr>
              <w:rFonts w:ascii="Times New Roman" w:hAnsi="Times New Roman"/>
              <w:sz w:val="24"/>
              <w:szCs w:val="24"/>
            </w:rPr>
          </w:pPr>
          <w:r w:rsidRPr="6875B2D2">
            <w:rPr>
              <w:rFonts w:ascii="Times New Roman" w:hAnsi="Times New Roman"/>
              <w:sz w:val="24"/>
              <w:szCs w:val="24"/>
            </w:rPr>
            <w:t>Ligj nr. 8402, datë 10.9.1998 “</w:t>
          </w:r>
          <w:r w:rsidRPr="6875B2D2">
            <w:rPr>
              <w:rFonts w:ascii="Times New Roman" w:hAnsi="Times New Roman"/>
              <w:i/>
              <w:sz w:val="24"/>
              <w:szCs w:val="24"/>
            </w:rPr>
            <w:t>Për kontrollin dhe disiplinimin e punimeve te ndërtimit</w:t>
          </w:r>
          <w:r w:rsidRPr="6875B2D2">
            <w:rPr>
              <w:rFonts w:ascii="Times New Roman" w:hAnsi="Times New Roman"/>
              <w:sz w:val="24"/>
              <w:szCs w:val="24"/>
            </w:rPr>
            <w:t>”, i ndryshuar;</w:t>
          </w:r>
        </w:p>
        <w:p w14:paraId="5F868873" w14:textId="77777777" w:rsidR="005D231A" w:rsidRPr="00B47728" w:rsidRDefault="005D231A" w:rsidP="00CC709C">
          <w:pPr>
            <w:pStyle w:val="ListParagraph"/>
            <w:numPr>
              <w:ilvl w:val="0"/>
              <w:numId w:val="24"/>
            </w:numPr>
            <w:spacing w:line="288" w:lineRule="auto"/>
            <w:ind w:left="540" w:hanging="180"/>
            <w:jc w:val="both"/>
            <w:rPr>
              <w:rFonts w:ascii="Times New Roman" w:hAnsi="Times New Roman"/>
              <w:sz w:val="24"/>
              <w:szCs w:val="24"/>
            </w:rPr>
          </w:pPr>
          <w:r w:rsidRPr="6875B2D2">
            <w:rPr>
              <w:rFonts w:ascii="Times New Roman" w:hAnsi="Times New Roman"/>
              <w:sz w:val="24"/>
              <w:szCs w:val="24"/>
            </w:rPr>
            <w:t>VKM nr. 759, datë 12.11.2014,  “</w:t>
          </w:r>
          <w:r w:rsidRPr="6875B2D2">
            <w:rPr>
              <w:rFonts w:ascii="Times New Roman" w:hAnsi="Times New Roman"/>
              <w:i/>
              <w:sz w:val="24"/>
              <w:szCs w:val="24"/>
            </w:rPr>
            <w:t>Për licencimin profesional të individëve dhe personave juridikë që do të ushtrojnë veprimtari në fushën e studimit e të projektimit në ndërtim dhe mbikëqyrjes e kolaudimit të punimeve të zbatimit në ndërtim</w:t>
          </w:r>
          <w:r w:rsidRPr="6875B2D2">
            <w:rPr>
              <w:rFonts w:ascii="Times New Roman" w:hAnsi="Times New Roman"/>
              <w:sz w:val="24"/>
              <w:szCs w:val="24"/>
            </w:rPr>
            <w:t>”, i ndryshuar.</w:t>
          </w:r>
        </w:p>
        <w:p w14:paraId="472D8BA1" w14:textId="77777777" w:rsidR="005D231A" w:rsidRPr="001D0575" w:rsidRDefault="005D231A" w:rsidP="005D231A">
          <w:pPr>
            <w:spacing w:after="120" w:line="288" w:lineRule="auto"/>
            <w:jc w:val="both"/>
          </w:pPr>
          <w:r w:rsidRPr="6875B2D2">
            <w:t xml:space="preserve">Gjatë procesit </w:t>
          </w:r>
          <w:r w:rsidRPr="6875B2D2">
            <w:rPr>
              <w:i/>
            </w:rPr>
            <w:t>screening</w:t>
          </w:r>
          <w:r w:rsidRPr="6875B2D2">
            <w:t xml:space="preserve"> janë identifikuar në secilin prej tyre dispozita që nevojitën të përshtaten me kushtet dhe parimet e Direktivës së Shërbimeve, saktësisht: </w:t>
          </w:r>
        </w:p>
        <w:p w14:paraId="39526FE3" w14:textId="77777777" w:rsidR="005D231A" w:rsidRPr="001D0575" w:rsidRDefault="005D231A" w:rsidP="005D231A">
          <w:pPr>
            <w:spacing w:after="120" w:line="288" w:lineRule="auto"/>
            <w:jc w:val="both"/>
          </w:pPr>
          <w:r w:rsidRPr="6875B2D2">
            <w:t>Paraqitën kufizime sa i takon mundësisë së ofrimit të shërbimeve pa patur një vendosje të përhershme/seli si subjekt i regjistruar në Republikën e Shqipërisë.</w:t>
          </w:r>
        </w:p>
        <w:p w14:paraId="2A9B2D7C" w14:textId="77777777" w:rsidR="005D231A" w:rsidRPr="001D0575" w:rsidRDefault="005D231A" w:rsidP="005D231A">
          <w:pPr>
            <w:spacing w:after="120" w:line="288" w:lineRule="auto"/>
            <w:jc w:val="both"/>
          </w:pPr>
          <w:r w:rsidRPr="6875B2D2">
            <w:t xml:space="preserve">Gjithashtu, ligji për kontrollin dhe disiplinimin e punimeve te ndërtimit e kufizon zgjedhjen e formës juridike në rastin e kryerësit të punëve ndërtimore vetëm për personat juridikë. Kjo është duke përjashtuar sipërmarrësit (personat fizikë) për ofrimin e këtij shërbimi, duke kufizuar kështu qasjen në këtë segment të rëndësishëm të tregut kombëtar të ndërtimit për sipërmarrësit nga vendet anëtare të BE. </w:t>
          </w:r>
        </w:p>
        <w:p w14:paraId="1E2CB59B" w14:textId="77777777" w:rsidR="005D231A" w:rsidRPr="001D0575" w:rsidRDefault="005D231A" w:rsidP="005D231A">
          <w:pPr>
            <w:spacing w:after="120" w:line="288" w:lineRule="auto"/>
            <w:jc w:val="both"/>
          </w:pPr>
          <w:r w:rsidRPr="6875B2D2">
            <w:t>Kufizime identifikohen edhe sa i takon kohëzgjatjes së licencës. Për personat fizik licenca është me kohëzgjatje të pakufizuar, ka kufizim të vlefshmërisë së licencës në rastin e shoqërive për studim dhe projektim dhe shoqërive për mbikëqyrje dhe kolaudim të punimeve të ndërtimit. Ky limitim pasqyron periudhën e vlefshmërisë së kontratës së shoqërisë me menaxherin/menaxherin teknik, e cila në çdo rast mund të jetë maksimumi 5 vjet.</w:t>
          </w:r>
        </w:p>
        <w:p w14:paraId="343FC0B1" w14:textId="77777777" w:rsidR="00B47728" w:rsidRPr="001D0575" w:rsidRDefault="005D231A" w:rsidP="00B47728">
          <w:pPr>
            <w:spacing w:after="120" w:line="288" w:lineRule="auto"/>
            <w:jc w:val="both"/>
          </w:pPr>
          <w:r w:rsidRPr="6875B2D2">
            <w:t>Një tjetër parashikim për të cilin kërkohet ndërhyrje i përket sigurimit dhe garancive të përgjegjësisë profesionale, ligji duhet të ndryshohet në mënyrë që të lejojë njohjen e ofruesve ekzistues të sigurimit (nga shtetet anëtare të BE), pasi këto të jenë ekuivalente ose në thelb të krahasueshme me ato të vendosura në vend.</w:t>
          </w:r>
        </w:p>
        <w:p w14:paraId="5BA20E0D" w14:textId="77777777" w:rsidR="00B47728" w:rsidRPr="001D0575" w:rsidRDefault="00B47728" w:rsidP="00CC709C">
          <w:pPr>
            <w:numPr>
              <w:ilvl w:val="0"/>
              <w:numId w:val="20"/>
            </w:numPr>
            <w:spacing w:after="120" w:line="288" w:lineRule="auto"/>
            <w:jc w:val="both"/>
            <w:rPr>
              <w:b/>
            </w:rPr>
          </w:pPr>
          <w:r w:rsidRPr="6875B2D2">
            <w:rPr>
              <w:b/>
            </w:rPr>
            <w:t>Përfituesit e Shërbimeve/Qytetarët:</w:t>
          </w:r>
        </w:p>
        <w:p w14:paraId="7301DDB0" w14:textId="77777777" w:rsidR="00B47728" w:rsidRPr="001D0575" w:rsidRDefault="00B47728" w:rsidP="00CC709C">
          <w:pPr>
            <w:numPr>
              <w:ilvl w:val="0"/>
              <w:numId w:val="24"/>
            </w:numPr>
            <w:tabs>
              <w:tab w:val="left" w:pos="567"/>
            </w:tabs>
            <w:spacing w:after="120" w:line="288" w:lineRule="auto"/>
            <w:jc w:val="both"/>
            <w:rPr>
              <w:i/>
              <w:u w:val="single"/>
            </w:rPr>
          </w:pPr>
          <w:r w:rsidRPr="6875B2D2">
            <w:rPr>
              <w:i/>
              <w:u w:val="single"/>
            </w:rPr>
            <w:t xml:space="preserve">Përfituesit Vendas të Shërbimeve </w:t>
          </w:r>
        </w:p>
        <w:p w14:paraId="29A2A864" w14:textId="77777777" w:rsidR="00B47728" w:rsidRPr="00FF3999" w:rsidRDefault="00B47728" w:rsidP="00B47728">
          <w:pPr>
            <w:spacing w:after="120" w:line="288" w:lineRule="auto"/>
            <w:jc w:val="both"/>
            <w:rPr>
              <w:u w:val="single"/>
            </w:rPr>
          </w:pPr>
          <w:bookmarkStart w:id="20" w:name="_Hlk161496298"/>
          <w:r w:rsidRPr="6875B2D2">
            <w:rPr>
              <w:u w:val="single"/>
            </w:rPr>
            <w:t xml:space="preserve">Ndikimet e drejtpërdrejta </w:t>
          </w:r>
          <w:bookmarkEnd w:id="20"/>
          <w:r w:rsidRPr="6875B2D2">
            <w:rPr>
              <w:u w:val="single"/>
            </w:rPr>
            <w:t>:</w:t>
          </w:r>
        </w:p>
        <w:p w14:paraId="6022DD1E" w14:textId="77777777" w:rsidR="00B47728" w:rsidRPr="00AC06F6" w:rsidRDefault="00B47728" w:rsidP="00B47728">
          <w:pPr>
            <w:spacing w:after="120" w:line="288" w:lineRule="auto"/>
            <w:jc w:val="both"/>
          </w:pPr>
          <w:r w:rsidRPr="6875B2D2">
            <w:t>Qasje në një gamë më të gjerë shërbimesh: Konsumatorët dhe bizneset shqiptare do të kenë qasje më të madh në shërbime të specializuara dhe me cilësi të lartë nga ofruesit e BE. Kjo mundëson një numër më të madh zgjedhjesh dhe prezanton shërbime që mund të mos jenë të disponueshme në nivel lokal.</w:t>
          </w:r>
        </w:p>
        <w:p w14:paraId="3489AB1B" w14:textId="77777777" w:rsidR="00B47728" w:rsidRPr="00AC06F6" w:rsidRDefault="00B47728" w:rsidP="00B47728">
          <w:pPr>
            <w:spacing w:after="120" w:line="288" w:lineRule="auto"/>
            <w:jc w:val="both"/>
          </w:pPr>
          <w:r w:rsidRPr="6875B2D2">
            <w:t>Cilësi dhe standarde të përmirësuara të shërbimit: Përafrimi i plotë do të sjellë përmirësim të cilësisë së shërbimit si rrjedhojë e hyrjes në treg të operatorëve të BE. Shërbimet e ofruara nga këta të fundit, si rezultat e eksperiencës së gjatë, njihet për standarde të larta, kjo do të vendosë kushte të tilla tregu edhe për ofruesit vendas, duke siguruar besueshmëri dhe profesionalizëm në ofrimin e shërbimeve.</w:t>
          </w:r>
        </w:p>
        <w:p w14:paraId="2075F12B" w14:textId="78FB72E5" w:rsidR="00B47728" w:rsidRPr="001D0575" w:rsidRDefault="00B47728" w:rsidP="00B47728">
          <w:pPr>
            <w:spacing w:after="120" w:line="288" w:lineRule="auto"/>
            <w:jc w:val="both"/>
          </w:pPr>
          <w:r w:rsidRPr="6875B2D2">
            <w:t>Mbrojtje më e mirë e të drejtave të konsumatorit: Konsumatorët shqiptarë do mund të përfitojnë nga masa më të forta për mbrojtjen e konsumatorit pas përafrimit të plotë me standardet e BE. Kjo përfshin të drejta më të prekshme për konsumatorët në fusha të tilla si garancitë e shërbimit dhe zgjidhjen e mosmarrëveshjeve.</w:t>
          </w:r>
        </w:p>
        <w:p w14:paraId="67B1C799" w14:textId="77777777" w:rsidR="00B47728" w:rsidRPr="001D0575" w:rsidRDefault="00B47728" w:rsidP="00B47728">
          <w:pPr>
            <w:spacing w:after="120" w:line="288" w:lineRule="auto"/>
            <w:jc w:val="both"/>
            <w:rPr>
              <w:b/>
              <w:u w:val="single"/>
            </w:rPr>
          </w:pPr>
          <w:r w:rsidRPr="6875B2D2">
            <w:rPr>
              <w:u w:val="single"/>
            </w:rPr>
            <w:t>Ndikimet jo të drejtpërdrejta</w:t>
          </w:r>
          <w:r w:rsidRPr="6875B2D2">
            <w:t>:</w:t>
          </w:r>
        </w:p>
        <w:p w14:paraId="2A4335A4" w14:textId="6914B5EC" w:rsidR="00B47728" w:rsidRPr="009D426C" w:rsidRDefault="00B47728" w:rsidP="00B47728">
          <w:pPr>
            <w:spacing w:after="120" w:line="288" w:lineRule="auto"/>
            <w:jc w:val="both"/>
          </w:pPr>
          <w:r w:rsidRPr="6875B2D2">
            <w:t xml:space="preserve">Rritja ekonomike dhe krijimi i vendeve të punës: Hyrja e ofruesve të shërbimeve në BE mund të çojë në një aktivitet më të madh ekonomik, investime dhe krijimin e vendeve të punës në Shqipëri. Konsumatorët vendas përfitojnë nga një ekonomi më </w:t>
          </w:r>
          <w:r w:rsidR="00224F40" w:rsidRPr="6875B2D2">
            <w:t>dinamike</w:t>
          </w:r>
          <w:r w:rsidRPr="6875B2D2">
            <w:t>, me mundësi punësimi në rritje dhe infrastrukturë të përmirësuar në sektorët e shërbimeve.</w:t>
          </w:r>
        </w:p>
        <w:p w14:paraId="6F6D8E1F" w14:textId="77777777" w:rsidR="00B47728" w:rsidRPr="009D426C" w:rsidRDefault="00B47728" w:rsidP="00B47728">
          <w:pPr>
            <w:spacing w:after="120" w:line="288" w:lineRule="auto"/>
            <w:jc w:val="both"/>
          </w:pPr>
          <w:r w:rsidRPr="6875B2D2">
            <w:t xml:space="preserve">Çmime konkurruese: Rritja e konkurrencës ndërmjet ofruesve të shërbimeve të BE dhe Shqipërisë mund të ulë çmimet në sektorë të ndryshëm, duke i bërë shërbimet me cilësi të lartë më të përballueshme për konsumatorët dhe bizneset vendase. </w:t>
          </w:r>
        </w:p>
        <w:p w14:paraId="58F22848" w14:textId="10D938ED" w:rsidR="00B47728" w:rsidRDefault="00B47728" w:rsidP="00B47728">
          <w:pPr>
            <w:spacing w:after="120" w:line="288" w:lineRule="auto"/>
            <w:jc w:val="both"/>
          </w:pPr>
          <w:r w:rsidRPr="6875B2D2">
            <w:t>Transferimi i njohurive dhe aftësive</w:t>
          </w:r>
          <w:r w:rsidRPr="6875B2D2">
            <w:rPr>
              <w:i/>
            </w:rPr>
            <w:t xml:space="preserve"> (kno</w:t>
          </w:r>
          <w:r w:rsidR="00D147DB">
            <w:rPr>
              <w:i/>
            </w:rPr>
            <w:t>ë</w:t>
          </w:r>
          <w:r w:rsidRPr="6875B2D2">
            <w:rPr>
              <w:i/>
            </w:rPr>
            <w:t>-ho</w:t>
          </w:r>
          <w:r w:rsidR="00D147DB">
            <w:rPr>
              <w:i/>
            </w:rPr>
            <w:t>ë</w:t>
          </w:r>
          <w:r w:rsidRPr="6875B2D2">
            <w:rPr>
              <w:i/>
            </w:rPr>
            <w:t xml:space="preserve">): </w:t>
          </w:r>
          <w:r w:rsidRPr="6875B2D2">
            <w:t>Me fluksin e ofruesve të shërbimeve të BE, pritet të ketë një transferim të njohurive, praktikave më të mira dhe ekspertizës në tregun shqiptar. Kjo në mënyrë indirekte përfiton konsumatorët shqiptarë pasi ofruesit vendas adoptojnë standarde më të larta dhe praktika moderne, duke përmirësuar cilësinë e përgjithshme të shërbimit në vend.</w:t>
          </w:r>
        </w:p>
        <w:p w14:paraId="5D003715" w14:textId="77777777" w:rsidR="00B47728" w:rsidRPr="001D0575" w:rsidRDefault="00B47728" w:rsidP="00B47728">
          <w:pPr>
            <w:spacing w:after="120" w:line="288" w:lineRule="auto"/>
            <w:jc w:val="both"/>
            <w:rPr>
              <w:b/>
              <w:u w:val="single"/>
            </w:rPr>
          </w:pPr>
        </w:p>
        <w:p w14:paraId="6C4E142A" w14:textId="77777777" w:rsidR="00B47728" w:rsidRPr="001D0575" w:rsidRDefault="00B47728" w:rsidP="00CC709C">
          <w:pPr>
            <w:numPr>
              <w:ilvl w:val="0"/>
              <w:numId w:val="24"/>
            </w:numPr>
            <w:tabs>
              <w:tab w:val="left" w:pos="567"/>
            </w:tabs>
            <w:spacing w:after="120" w:line="288" w:lineRule="auto"/>
            <w:jc w:val="both"/>
            <w:rPr>
              <w:i/>
              <w:u w:val="single"/>
            </w:rPr>
          </w:pPr>
          <w:r w:rsidRPr="6875B2D2">
            <w:rPr>
              <w:i/>
              <w:u w:val="single"/>
            </w:rPr>
            <w:t>Përfituesit e Shërbimeve të Vendeve të BE</w:t>
          </w:r>
        </w:p>
        <w:p w14:paraId="0A6892E9" w14:textId="77777777" w:rsidR="00B47728" w:rsidRPr="001D0575" w:rsidRDefault="00B47728" w:rsidP="00B47728">
          <w:pPr>
            <w:spacing w:after="120" w:line="288" w:lineRule="auto"/>
            <w:jc w:val="both"/>
            <w:rPr>
              <w:u w:val="single"/>
            </w:rPr>
          </w:pPr>
          <w:r w:rsidRPr="6875B2D2">
            <w:rPr>
              <w:u w:val="single"/>
            </w:rPr>
            <w:t>Ndikimet e drejtpërdrejta:</w:t>
          </w:r>
        </w:p>
        <w:p w14:paraId="68D8ADAA" w14:textId="77777777" w:rsidR="00B47728" w:rsidRPr="00EB4CE4" w:rsidRDefault="00B47728" w:rsidP="00B47728">
          <w:pPr>
            <w:spacing w:after="120" w:line="288" w:lineRule="auto"/>
            <w:jc w:val="both"/>
          </w:pPr>
          <w:r w:rsidRPr="6875B2D2">
            <w:t>Qasja në Shërbimet Shqiptare: Bizneset dhe konsumatorët e BE do të kenë qasje më të lehtë në shërbimet e ofruara nga ofruesit shqiptarë. Heqja e barrierave ndërkufitare e bën më të thjeshtë angazhimin me ofruesit shqiptarë dhe përfitimin nga mundësitë që ata ofrojnë.</w:t>
          </w:r>
        </w:p>
        <w:p w14:paraId="5B8B355D" w14:textId="77777777" w:rsidR="00B47728" w:rsidRPr="00EB4CE4" w:rsidRDefault="00B47728" w:rsidP="00B47728">
          <w:pPr>
            <w:spacing w:after="120" w:line="288" w:lineRule="auto"/>
            <w:jc w:val="both"/>
          </w:pPr>
          <w:r w:rsidRPr="6875B2D2">
            <w:t>Shërbime me kosto efektive: Përfituesit e BE mund të gëzojnë shërbime me kosto më të ulët nga Shqipëria, veçanërisht në sektorë intensivë të punës si kontraktimi i IT-së, ndërtimi dhe mikpritja. Ofruesit e shërbimeve shqiptare shpesh ofrojnë çmime konkurruese duke ruajtur cilësinë e mirë, duke përfituar bizneset dhe konsumatorët e BE që kërkojnë zgjidhje të përballueshme.</w:t>
          </w:r>
        </w:p>
        <w:p w14:paraId="068B0C20" w14:textId="77777777" w:rsidR="00B47728" w:rsidRPr="00EB4CE4" w:rsidRDefault="00B47728" w:rsidP="00B47728">
          <w:pPr>
            <w:spacing w:after="120" w:line="288" w:lineRule="auto"/>
            <w:jc w:val="both"/>
          </w:pPr>
          <w:r w:rsidRPr="6875B2D2">
            <w:t>Konsistenca në standardet e shërbimit: Me përshtatjen e standardeve rregullatore të BE në Shqipëri, përfituesit e BE mund të presin cilësi dhe besueshmëri të qëndrueshme të shërbimit kur angazhohen me ofruesit shqiptarë. Ky harmonizim redukton shqetësimet në lidhje me përputhshmërinë me standardet e BE, duke i bërë transaksionet e shërbimeve ndërkufitare më të buta.</w:t>
          </w:r>
        </w:p>
        <w:p w14:paraId="1F5CEB36" w14:textId="77777777" w:rsidR="00B47728" w:rsidRPr="00FF3999" w:rsidRDefault="00B47728" w:rsidP="00B47728">
          <w:pPr>
            <w:spacing w:after="120" w:line="288" w:lineRule="auto"/>
            <w:jc w:val="both"/>
            <w:rPr>
              <w:u w:val="single"/>
            </w:rPr>
          </w:pPr>
          <w:r w:rsidRPr="6875B2D2">
            <w:rPr>
              <w:u w:val="single"/>
            </w:rPr>
            <w:t>Ndikimet jo të drejtpërdrejta:</w:t>
          </w:r>
        </w:p>
        <w:p w14:paraId="4AB84A50" w14:textId="77777777" w:rsidR="00B47728" w:rsidRPr="004A5836" w:rsidRDefault="00B47728" w:rsidP="00B47728">
          <w:pPr>
            <w:spacing w:after="120" w:line="288" w:lineRule="auto"/>
            <w:jc w:val="both"/>
          </w:pPr>
          <w:r w:rsidRPr="6875B2D2">
            <w:t>Mundësi zgjedhjesh dhe larmi: Përfituesit e BE do të kenë qasje në një grup më të larmishëm ofruesish shërbimesh. Operatorët shqiptare do të jenë në gjendje të ofrojnë alternativa konkurruese, duke u dhënë konsumatorëve të BE më shumë opsione për sa i përket çmimit, cilësisë dhe inovacionit.</w:t>
          </w:r>
        </w:p>
        <w:p w14:paraId="1B07B4C8" w14:textId="77777777" w:rsidR="00B47728" w:rsidRPr="00FF3999" w:rsidRDefault="00B47728" w:rsidP="00B47728">
          <w:pPr>
            <w:spacing w:after="120" w:line="288" w:lineRule="auto"/>
            <w:jc w:val="both"/>
            <w:rPr>
              <w:u w:val="single"/>
            </w:rPr>
          </w:pPr>
          <w:r w:rsidRPr="6875B2D2">
            <w:t>Integrimi ekonomik dhe shkëmbimi kulturor: Përafrimi i plotë lehtëson një integrim më të ndjeshëm ekonomik midis Shqipërisë dhe BE. Ndërsa shërbimet ofrohen më lirshëm, do të ketë mundësi më të mëdha për shkëmbim kulturor dhe bashkëpunim të ndërsjellë. Përfituesit e shërbimeve të BE mund të përfitojnë nga kjo nëpërmjet partneriteteve të reja biznesi, ofertave të zgjeruara turistike dhe nismave ndërkufitare.</w:t>
          </w:r>
        </w:p>
        <w:p w14:paraId="44E5B548" w14:textId="77777777" w:rsidR="00E87EDD" w:rsidRPr="001D0575" w:rsidRDefault="00E87EDD" w:rsidP="00E87EDD">
          <w:pPr>
            <w:spacing w:after="120" w:line="288" w:lineRule="auto"/>
            <w:jc w:val="both"/>
            <w:rPr>
              <w:b/>
              <w:u w:val="single"/>
            </w:rPr>
          </w:pPr>
        </w:p>
        <w:p w14:paraId="3B68666B" w14:textId="77777777" w:rsidR="00E87EDD" w:rsidRPr="00E87EDD" w:rsidRDefault="00E87EDD" w:rsidP="00E87EDD">
          <w:pPr>
            <w:tabs>
              <w:tab w:val="left" w:pos="5310"/>
              <w:tab w:val="left" w:pos="10080"/>
            </w:tabs>
            <w:spacing w:after="120" w:line="288" w:lineRule="auto"/>
            <w:ind w:left="29"/>
            <w:jc w:val="both"/>
            <w:rPr>
              <w:b/>
              <w:color w:val="000000"/>
            </w:rPr>
          </w:pPr>
          <w:r w:rsidRPr="00E87EDD">
            <w:rPr>
              <w:b/>
              <w:color w:val="0070C0"/>
            </w:rPr>
            <w:t xml:space="preserve">Opsioni 2- Ndërhyrje të targetuara në aktet ligjore sektoriale pjesë e kuadrit rregullator ekzistues, me qëllim përafrimin e plotë të legjislacionit sektorial me </w:t>
          </w:r>
          <w:r w:rsidRPr="00E87EDD">
            <w:rPr>
              <w:rFonts w:eastAsia="Calibri"/>
              <w:b/>
              <w:color w:val="0070C0"/>
            </w:rPr>
            <w:t>Direktivën 2006/123/KE</w:t>
          </w:r>
          <w:r w:rsidRPr="6875B2D2">
            <w:rPr>
              <w:rFonts w:eastAsia="Calibri"/>
              <w:b/>
              <w:color w:val="000000" w:themeColor="text1"/>
            </w:rPr>
            <w:t>.</w:t>
          </w:r>
        </w:p>
        <w:p w14:paraId="2F2DF9DA" w14:textId="77777777" w:rsidR="00E87EDD" w:rsidRPr="00E87EDD" w:rsidRDefault="00E87EDD" w:rsidP="00E87EDD">
          <w:pPr>
            <w:spacing w:after="120" w:line="288" w:lineRule="auto"/>
            <w:jc w:val="both"/>
          </w:pPr>
          <w:r w:rsidRPr="6875B2D2">
            <w:t xml:space="preserve">Është e rëndësishme të parashtrohet që ndikimet afatgjata dhe afatmesme të përafrimit të legjislacionit në tërësi me Direktivën e Shërbimeve, qoftë me ligj kuadër apo me ndërhyrje të drejtpërdrejtë në aktet sektoriale, mbetën në thelb të njëjta pasi kanë në fokus liberalizimin e tregut dhe garantimin e plotë të së drejtës së vendosjes dhe lirisë së shërbimeve. Rrjedhimisht, gjithë analiza e bërë më sipër në këtë kuadër vlen edhe për opsionin 2. </w:t>
          </w:r>
        </w:p>
        <w:p w14:paraId="11D6F804" w14:textId="77777777" w:rsidR="00E87EDD" w:rsidRPr="00E87EDD" w:rsidRDefault="00E87EDD" w:rsidP="00E87EDD">
          <w:pPr>
            <w:spacing w:after="120" w:line="288" w:lineRule="auto"/>
            <w:jc w:val="both"/>
          </w:pPr>
          <w:r w:rsidRPr="6875B2D2">
            <w:t>Ndjekja e kësaj qasje, siç u prek pak dhe më sipër, do të sillte ndryshime vetëm nga ana administrative dhe logjistike e koordinimit të procesit, ndaj në vijim po ndalemi vetëm në elementët që diferencojnë nga opsioni 1.</w:t>
          </w:r>
        </w:p>
        <w:p w14:paraId="7EF5606E" w14:textId="77777777" w:rsidR="00E87EDD" w:rsidRPr="00E87EDD" w:rsidRDefault="00E87EDD" w:rsidP="00E87EDD">
          <w:pPr>
            <w:spacing w:after="120" w:line="288" w:lineRule="auto"/>
            <w:jc w:val="both"/>
            <w:rPr>
              <w:b/>
            </w:rPr>
          </w:pPr>
          <w:r w:rsidRPr="6875B2D2">
            <w:rPr>
              <w:b/>
            </w:rPr>
            <w:t>Grupet e prekura nga opsioni 2 janë:</w:t>
          </w:r>
        </w:p>
        <w:p w14:paraId="268157E5" w14:textId="77777777" w:rsidR="00E87EDD" w:rsidRPr="00E87EDD" w:rsidRDefault="00E87EDD" w:rsidP="00CC709C">
          <w:pPr>
            <w:pStyle w:val="ListParagraph"/>
            <w:numPr>
              <w:ilvl w:val="0"/>
              <w:numId w:val="19"/>
            </w:numPr>
            <w:spacing w:line="288" w:lineRule="auto"/>
            <w:jc w:val="both"/>
            <w:rPr>
              <w:rFonts w:ascii="Times New Roman" w:hAnsi="Times New Roman"/>
              <w:sz w:val="24"/>
              <w:szCs w:val="24"/>
            </w:rPr>
          </w:pPr>
          <w:r w:rsidRPr="6875B2D2">
            <w:rPr>
              <w:rFonts w:ascii="Times New Roman" w:hAnsi="Times New Roman"/>
              <w:b/>
              <w:sz w:val="24"/>
              <w:szCs w:val="24"/>
            </w:rPr>
            <w:t>Qeveria dhe Autoritetet Publike</w:t>
          </w:r>
        </w:p>
        <w:p w14:paraId="4B15B04D" w14:textId="77777777" w:rsidR="00E87EDD" w:rsidRPr="00E87EDD" w:rsidRDefault="00E87EDD" w:rsidP="00E87EDD">
          <w:pPr>
            <w:spacing w:after="120" w:line="288" w:lineRule="auto"/>
          </w:pPr>
          <w:r w:rsidRPr="6875B2D2">
            <w:t>Qeveria dhe autoritet publike do të duhen të përballen me:</w:t>
          </w:r>
        </w:p>
        <w:p w14:paraId="1A195816" w14:textId="77777777" w:rsidR="00E87EDD" w:rsidRPr="00E87EDD" w:rsidRDefault="00E87EDD" w:rsidP="00E87EDD">
          <w:pPr>
            <w:spacing w:after="120" w:line="288" w:lineRule="auto"/>
            <w:jc w:val="both"/>
          </w:pPr>
          <w:r w:rsidRPr="6875B2D2">
            <w:t>Kosto më të larta të hartimit ligjor: Ndryshimi i ligjeve individuale sektoriale veçmas në vend të miratimit të një ligji kuadër gjithëpërfshirës do t’i kushtojë qeverisë dhe autoriteteve publike të kryejë raunde të shumta të hartimit ligjor, konsultimeve dhe angazhimit të ekspertëve. Çdo do të duhet të rishikohet dhe të ndryshohet veçmas por duke konsideruar dhe ndërhyrjet në sektorët e tjerë, duke rritur koston e ndërhyrjeve ligjore.</w:t>
          </w:r>
        </w:p>
        <w:p w14:paraId="5954FCDD" w14:textId="77777777" w:rsidR="00E87EDD" w:rsidRPr="00E87EDD" w:rsidRDefault="00E87EDD" w:rsidP="00E87EDD">
          <w:pPr>
            <w:spacing w:after="120" w:line="288" w:lineRule="auto"/>
            <w:jc w:val="both"/>
          </w:pPr>
          <w:r w:rsidRPr="6875B2D2">
            <w:t>Nevoja e shtuar për burime njerëzore: Qeverisë do t’i duhet të shtojë ndjeshëm burime njerëzore dhe financiare nëpër ministri dhe agjenci të ndryshme për të trajtuar kompleksitetin e ndryshimeve të pjesshme të ligjit. Kjo do të përfshijë ekipe të specializuara ligjore për çdo sektor, gjë që rrit kostot operative.</w:t>
          </w:r>
        </w:p>
        <w:p w14:paraId="2C757EF5" w14:textId="77777777" w:rsidR="00E87EDD" w:rsidRPr="00E87EDD" w:rsidRDefault="00E87EDD" w:rsidP="00E87EDD">
          <w:pPr>
            <w:spacing w:after="120" w:line="288" w:lineRule="auto"/>
            <w:jc w:val="both"/>
          </w:pPr>
          <w:r w:rsidRPr="6875B2D2">
            <w:t>Afatet kohore të zgjeruara legjislative: Ndryshimi i ligjeve sektoriale një nga një në mënyrë të pakoordinuar dhe sipas një plan veprimi të qartë bazuar në një ligj kuadër që dikton ndërhyrjet ka të ngjarë të zgjasë shumë më shumë në kohë, duke zgjatur kostot që lidhen me përafrimin e legjislacionit.</w:t>
          </w:r>
        </w:p>
        <w:p w14:paraId="32943A39" w14:textId="77777777" w:rsidR="00E87EDD" w:rsidRPr="00E87EDD" w:rsidRDefault="00E87EDD" w:rsidP="00E87EDD">
          <w:pPr>
            <w:spacing w:after="120" w:line="288" w:lineRule="auto"/>
            <w:jc w:val="both"/>
          </w:pPr>
          <w:r w:rsidRPr="6875B2D2">
            <w:t>Sfidat e koordinimit të politikave: Me ndryshimet sektoriale, koordinimi i qeverisë bëhet më kompleks. Ministritë dhe agjencitë e ndryshme mund të kenë vështirësi në ruajtjen e koherencës në të gjitha ligjet e ndryshuara, duke çuar potencialisht në mospërputhje dhe boshllëqe në kuadrin ligjor. Kjo mund të komprometojë objektivin e përgjithshëm të përafrimit me standardet e BE dhe mund të dobësojë aftësinë e qeverisë për të garantuar qartësi të plotë ligjore në të gjithë sektorët.</w:t>
          </w:r>
        </w:p>
        <w:p w14:paraId="7B8A5F8A" w14:textId="77777777" w:rsidR="00E87EDD" w:rsidRPr="00E87EDD" w:rsidRDefault="00E87EDD" w:rsidP="00E87EDD">
          <w:pPr>
            <w:spacing w:after="120" w:line="288" w:lineRule="auto"/>
            <w:jc w:val="both"/>
          </w:pPr>
          <w:r w:rsidRPr="6875B2D2">
            <w:t>Rritja e rrezikut të mbivendosjeve dhe konflikteve: Pa një ligj kuadër për të koordinuar ndërhyrjet, rritet mundësia e mbivendosjeve rregullatore ose dispozitave kontradiktore ndërmjet sektorëve të ndryshëm. Kjo mund të çojë në konfuzion midis autoriteteve publike dhe ofruesve të shërbimeve, duke kërkuar përpjekje shtesë për të zgjidhur mospërputhjet, duke rritur kostot për qeverinë.</w:t>
          </w:r>
        </w:p>
        <w:p w14:paraId="0680323D" w14:textId="77777777" w:rsidR="00E87EDD" w:rsidRPr="00E87EDD" w:rsidRDefault="00E87EDD" w:rsidP="00CC709C">
          <w:pPr>
            <w:pStyle w:val="ListParagraph"/>
            <w:numPr>
              <w:ilvl w:val="0"/>
              <w:numId w:val="19"/>
            </w:numPr>
            <w:spacing w:line="288" w:lineRule="auto"/>
            <w:jc w:val="both"/>
            <w:rPr>
              <w:rFonts w:ascii="Times New Roman" w:hAnsi="Times New Roman"/>
              <w:b/>
              <w:sz w:val="24"/>
              <w:szCs w:val="24"/>
            </w:rPr>
          </w:pPr>
          <w:bookmarkStart w:id="21" w:name="_Hlk179039297"/>
          <w:r w:rsidRPr="6875B2D2">
            <w:rPr>
              <w:rFonts w:ascii="Times New Roman" w:hAnsi="Times New Roman"/>
              <w:b/>
              <w:sz w:val="24"/>
              <w:szCs w:val="24"/>
            </w:rPr>
            <w:t xml:space="preserve">Ofruesit Shërbimeve </w:t>
          </w:r>
        </w:p>
        <w:bookmarkEnd w:id="21"/>
        <w:p w14:paraId="7F14006F" w14:textId="77777777" w:rsidR="00E87EDD" w:rsidRPr="00E87EDD" w:rsidRDefault="00E87EDD" w:rsidP="00E87EDD">
          <w:pPr>
            <w:spacing w:after="120" w:line="288" w:lineRule="auto"/>
            <w:jc w:val="both"/>
            <w:rPr>
              <w:b/>
            </w:rPr>
          </w:pPr>
          <w:r w:rsidRPr="6875B2D2">
            <w:rPr>
              <w:b/>
            </w:rPr>
            <w:t>Kërkesa rregullatore të fragmentarizuara:</w:t>
          </w:r>
        </w:p>
        <w:p w14:paraId="3D619DF5" w14:textId="77777777" w:rsidR="00E87EDD" w:rsidRPr="001D0575" w:rsidRDefault="00E87EDD" w:rsidP="00E87EDD">
          <w:pPr>
            <w:spacing w:after="120" w:line="288" w:lineRule="auto"/>
            <w:jc w:val="both"/>
            <w:rPr>
              <w:b/>
            </w:rPr>
          </w:pPr>
          <w:r w:rsidRPr="6875B2D2">
            <w:t>Ofruesit Shqiptarë: Për ofruesit vendas të shërbimeve, ndryshimet sektoriale nënkuptojnë se industri të ndryshme do të rregullohen sipas afateve dhe rregullave të ndryshme. Kjo krijon pasiguri ligjore dhe rrit barrën administrative. Ndërmarrjet e vogla dhe të mesme (SME) në Shqipëri mund të përballen me kosto më të larta në lidhje me shërbimet ligjore dhe përshtatjen e operacioneve të tyre me rregullat që ndryshojnë vazhdimisht.</w:t>
          </w:r>
        </w:p>
        <w:p w14:paraId="64F58E9A" w14:textId="77777777" w:rsidR="00E87EDD" w:rsidRPr="00FF3999" w:rsidRDefault="00E87EDD" w:rsidP="00E87EDD">
          <w:pPr>
            <w:spacing w:after="120" w:line="288" w:lineRule="auto"/>
            <w:jc w:val="both"/>
          </w:pPr>
          <w:r w:rsidRPr="6875B2D2">
            <w:t>Ofruesit e BE: Ofruesit e shërbimeve të BE që operojnë ose kërkojnë të hyjnë në tregun shqiptar do të përballen gjithashtu me sfida për shkak të mungesës së një kuadri të unifikuar. Ata mund të kenë nevojë të përballen ligje të shumta specifike për sektorët, duke rritur kompleksitetin dhe koston e të bërit biznes në Shqipëri. Mungesa e një ligji të vetëm për të garantuar ndërhyrjet ligjore vonon thjeshtimin e procedurave, duke e bërë më të vështirë për ofruesit e BE shfrytëzimin e plotë të tregut shqiptar.</w:t>
          </w:r>
        </w:p>
        <w:p w14:paraId="3B6C988A" w14:textId="77777777" w:rsidR="00E87EDD" w:rsidRPr="001D0575" w:rsidRDefault="00E87EDD" w:rsidP="00E87EDD">
          <w:pPr>
            <w:spacing w:after="120" w:line="288" w:lineRule="auto"/>
            <w:jc w:val="both"/>
          </w:pPr>
          <w:r w:rsidRPr="6875B2D2">
            <w:t>Kosto më të larta operacionale: Si ofruesit e shërbimeve shqiptare ashtu edhe ato të BE do të duhet të përballen me kosto më të larta operacionale për shkak të nevojës për të respektuar një sërë rregulloresh sektoriale specifike për veprimtaritë e tyre. Tarifat ligjore, shpenzimet administrative dhe kostoja e monitorimit të respektimit të ligjeve në ndryshim do të rriten, duke e bërë më pak tërheqës operimin në Shqipëri.</w:t>
          </w:r>
        </w:p>
        <w:p w14:paraId="5024C3DE" w14:textId="77777777" w:rsidR="00E87EDD" w:rsidRPr="00915403" w:rsidRDefault="00E87EDD" w:rsidP="00CC709C">
          <w:pPr>
            <w:pStyle w:val="ListParagraph"/>
            <w:numPr>
              <w:ilvl w:val="0"/>
              <w:numId w:val="19"/>
            </w:numPr>
            <w:spacing w:line="288" w:lineRule="auto"/>
            <w:jc w:val="both"/>
            <w:rPr>
              <w:rFonts w:ascii="Times New Roman" w:hAnsi="Times New Roman"/>
              <w:b/>
              <w:sz w:val="24"/>
              <w:szCs w:val="24"/>
            </w:rPr>
          </w:pPr>
          <w:r w:rsidRPr="6875B2D2">
            <w:rPr>
              <w:rFonts w:ascii="Times New Roman" w:hAnsi="Times New Roman"/>
              <w:b/>
              <w:sz w:val="24"/>
              <w:szCs w:val="24"/>
            </w:rPr>
            <w:t xml:space="preserve">Përfituesit e Shërbimeve </w:t>
          </w:r>
        </w:p>
        <w:p w14:paraId="2D7AFE68" w14:textId="77777777" w:rsidR="00E87EDD" w:rsidRPr="009A24C2" w:rsidRDefault="00E87EDD" w:rsidP="00E87EDD">
          <w:pPr>
            <w:tabs>
              <w:tab w:val="left" w:pos="1165"/>
              <w:tab w:val="left" w:pos="10080"/>
            </w:tabs>
            <w:spacing w:after="120" w:line="288" w:lineRule="auto"/>
            <w:ind w:right="26"/>
            <w:contextualSpacing/>
            <w:jc w:val="both"/>
            <w:rPr>
              <w:bCs/>
              <w:color w:val="000000"/>
            </w:rPr>
          </w:pPr>
          <w:r w:rsidRPr="6875B2D2">
            <w:rPr>
              <w:color w:val="000000" w:themeColor="text1"/>
            </w:rPr>
            <w:t>Pasiguri ligjore për konsumatorët: Në përafrimin e ligjeve me Direktivën në shpejtësi të ndryshme për sektorë të ndryshëm, konsumatorët do të përballen me pasiguri ligjore, veçanërisht në sektorët ku ndryshimet nuk janë zbatuar ende. Kjo mund të nënkuptojë nivele më të ulëta të mbrojtjes së konsumatorit dhe cilësisë së shërbimit në këta sektorë.</w:t>
          </w:r>
        </w:p>
        <w:p w14:paraId="584407A2" w14:textId="18B81CCC" w:rsidR="00E87EDD" w:rsidRPr="00E87EDD" w:rsidRDefault="00E87EDD" w:rsidP="00E87EDD">
          <w:pPr>
            <w:tabs>
              <w:tab w:val="left" w:pos="1165"/>
              <w:tab w:val="left" w:pos="10080"/>
            </w:tabs>
            <w:spacing w:after="120" w:line="288" w:lineRule="auto"/>
            <w:ind w:right="26"/>
            <w:contextualSpacing/>
            <w:jc w:val="both"/>
            <w:rPr>
              <w:color w:val="000000"/>
            </w:rPr>
          </w:pPr>
        </w:p>
        <w:p w14:paraId="3A4C9E59" w14:textId="7B4C8C59" w:rsidR="00396CB1" w:rsidRDefault="00396CB1" w:rsidP="00396CB1">
          <w:pPr>
            <w:spacing w:after="120" w:line="288" w:lineRule="auto"/>
            <w:jc w:val="both"/>
            <w:rPr>
              <w:b/>
              <w:color w:val="0070C0"/>
              <w:u w:val="single"/>
            </w:rPr>
          </w:pPr>
          <w:r w:rsidRPr="5073DC32">
            <w:rPr>
              <w:b/>
              <w:color w:val="0070C0"/>
              <w:u w:val="single"/>
            </w:rPr>
            <w:t xml:space="preserve">Opsioni 3 – Ndryshimi i Ligjit nr. 66/2016 “Për shërbimet në Republikën e Shqipërisë”  </w:t>
          </w:r>
        </w:p>
        <w:p w14:paraId="223BE4AC" w14:textId="63C46E15" w:rsidR="00673F28" w:rsidRPr="00673F28" w:rsidRDefault="00CF75B3" w:rsidP="00673F28">
          <w:pPr>
            <w:spacing w:before="100" w:beforeAutospacing="1" w:after="100" w:afterAutospacing="1"/>
            <w:rPr>
              <w:color w:val="000000"/>
            </w:rPr>
          </w:pPr>
          <w:r w:rsidRPr="6875B2D2">
            <w:rPr>
              <w:color w:val="000000" w:themeColor="text1"/>
            </w:rPr>
            <w:t>K</w:t>
          </w:r>
          <w:r w:rsidR="00673F28" w:rsidRPr="6875B2D2">
            <w:rPr>
              <w:color w:val="000000" w:themeColor="text1"/>
            </w:rPr>
            <w:t>y opsion do të ishte, në thelb, i ngjashëm me hartimin e një ligji të ri, për shkak të thellësisë dhe gjerësisë së ndryshimeve të nevojshme për transpozimin e plotë të Direktivës 2006/123/KE. Megjithatë, ai mbart disa pasoja negative që e bëjnë më pak të favorshëm:</w:t>
          </w:r>
        </w:p>
        <w:p w14:paraId="6EC04E8F" w14:textId="203EDF76" w:rsidR="00673F28" w:rsidRPr="00673F28" w:rsidRDefault="00673F28" w:rsidP="00CC709C">
          <w:pPr>
            <w:pStyle w:val="ListParagraph"/>
            <w:numPr>
              <w:ilvl w:val="1"/>
              <w:numId w:val="18"/>
            </w:numPr>
            <w:tabs>
              <w:tab w:val="clear" w:pos="567"/>
              <w:tab w:val="left" w:pos="630"/>
            </w:tabs>
            <w:spacing w:before="100" w:beforeAutospacing="1" w:after="100" w:afterAutospacing="1" w:line="276" w:lineRule="auto"/>
            <w:ind w:left="630" w:hanging="450"/>
            <w:rPr>
              <w:rFonts w:ascii="Times New Roman" w:hAnsi="Times New Roman"/>
              <w:color w:val="000000"/>
              <w:sz w:val="24"/>
              <w:szCs w:val="24"/>
            </w:rPr>
          </w:pPr>
          <w:r w:rsidRPr="6875B2D2">
            <w:rPr>
              <w:rFonts w:ascii="Times New Roman" w:hAnsi="Times New Roman"/>
              <w:color w:val="000000" w:themeColor="text1"/>
              <w:sz w:val="24"/>
              <w:szCs w:val="24"/>
            </w:rPr>
            <w:t>Ndërhyrjet parashikohen të prekin rreth ose mbi 50% të dispozitave ekzistuese, duke aktivizuar rregullin e Ministrisë së Drejtësisë që e bën të domosdoshme hartimin e një akti të ri në raste të tilla;</w:t>
          </w:r>
        </w:p>
        <w:p w14:paraId="6292A701" w14:textId="307A1DE7" w:rsidR="00673F28" w:rsidRPr="00673F28" w:rsidRDefault="00673F28" w:rsidP="00CC709C">
          <w:pPr>
            <w:pStyle w:val="ListParagraph"/>
            <w:numPr>
              <w:ilvl w:val="1"/>
              <w:numId w:val="18"/>
            </w:numPr>
            <w:tabs>
              <w:tab w:val="clear" w:pos="567"/>
              <w:tab w:val="left" w:pos="630"/>
            </w:tabs>
            <w:spacing w:before="100" w:beforeAutospacing="1" w:after="100" w:afterAutospacing="1" w:line="276" w:lineRule="auto"/>
            <w:ind w:left="630" w:hanging="450"/>
            <w:rPr>
              <w:rFonts w:ascii="Times New Roman" w:hAnsi="Times New Roman"/>
              <w:color w:val="000000"/>
              <w:sz w:val="24"/>
              <w:szCs w:val="24"/>
            </w:rPr>
          </w:pPr>
          <w:r w:rsidRPr="6875B2D2">
            <w:rPr>
              <w:rFonts w:ascii="Times New Roman" w:hAnsi="Times New Roman"/>
              <w:color w:val="000000" w:themeColor="text1"/>
              <w:sz w:val="24"/>
              <w:szCs w:val="24"/>
            </w:rPr>
            <w:t>Amendimet do të prodhonin një strukturë të përzier mes dispozitave të vjetra dhe të reja, duke rritur pasigurinë juridike për operatorët dhe interpretimin e fragmentarizuar;</w:t>
          </w:r>
        </w:p>
        <w:p w14:paraId="2F1DB026" w14:textId="7D398955" w:rsidR="00673F28" w:rsidRPr="00673F28" w:rsidRDefault="00673F28" w:rsidP="00CC709C">
          <w:pPr>
            <w:pStyle w:val="ListParagraph"/>
            <w:numPr>
              <w:ilvl w:val="1"/>
              <w:numId w:val="18"/>
            </w:numPr>
            <w:tabs>
              <w:tab w:val="clear" w:pos="567"/>
              <w:tab w:val="left" w:pos="630"/>
            </w:tabs>
            <w:spacing w:before="100" w:beforeAutospacing="1" w:after="100" w:afterAutospacing="1" w:line="276" w:lineRule="auto"/>
            <w:ind w:left="630" w:hanging="450"/>
            <w:rPr>
              <w:rFonts w:ascii="Times New Roman" w:hAnsi="Times New Roman"/>
              <w:color w:val="000000"/>
              <w:sz w:val="24"/>
              <w:szCs w:val="24"/>
            </w:rPr>
          </w:pPr>
          <w:r w:rsidRPr="6875B2D2">
            <w:rPr>
              <w:rFonts w:ascii="Times New Roman" w:hAnsi="Times New Roman"/>
              <w:color w:val="000000" w:themeColor="text1"/>
              <w:sz w:val="24"/>
              <w:szCs w:val="24"/>
            </w:rPr>
            <w:t>Procesi i tranzicionit për administratën dhe bizneset do të ishte i zgjatur dhe i kushtueshëm, ndërkohë që përfitimet e harmonizimit me acquis-in do të vonoheshin;</w:t>
          </w:r>
        </w:p>
        <w:p w14:paraId="20FB7307" w14:textId="100326E0" w:rsidR="00673F28" w:rsidRPr="00673F28" w:rsidRDefault="00673F28" w:rsidP="00CC709C">
          <w:pPr>
            <w:pStyle w:val="ListParagraph"/>
            <w:numPr>
              <w:ilvl w:val="1"/>
              <w:numId w:val="18"/>
            </w:numPr>
            <w:tabs>
              <w:tab w:val="clear" w:pos="567"/>
              <w:tab w:val="left" w:pos="630"/>
            </w:tabs>
            <w:spacing w:before="100" w:beforeAutospacing="1" w:after="100" w:afterAutospacing="1" w:line="276" w:lineRule="auto"/>
            <w:ind w:left="630" w:hanging="450"/>
            <w:rPr>
              <w:rFonts w:ascii="Times New Roman" w:hAnsi="Times New Roman"/>
              <w:color w:val="000000"/>
              <w:sz w:val="24"/>
              <w:szCs w:val="24"/>
            </w:rPr>
          </w:pPr>
          <w:r w:rsidRPr="6875B2D2">
            <w:rPr>
              <w:rFonts w:ascii="Times New Roman" w:hAnsi="Times New Roman"/>
              <w:color w:val="000000" w:themeColor="text1"/>
              <w:sz w:val="24"/>
              <w:szCs w:val="24"/>
            </w:rPr>
            <w:t>Ndryshimet e pjesshme nuk do të garantonin një kuadër të përditësuar, të qartë dhe të unifikuar, siç e kërkon funksionimi i tregut të brendshëm të shërbimeve në BE.</w:t>
          </w:r>
        </w:p>
        <w:p w14:paraId="6978A97C" w14:textId="77777777" w:rsidR="00673F28" w:rsidRPr="00673F28" w:rsidRDefault="00673F28" w:rsidP="00673F28">
          <w:pPr>
            <w:spacing w:before="100" w:beforeAutospacing="1" w:after="100" w:afterAutospacing="1"/>
            <w:rPr>
              <w:color w:val="000000"/>
            </w:rPr>
          </w:pPr>
          <w:r w:rsidRPr="6875B2D2">
            <w:rPr>
              <w:color w:val="000000" w:themeColor="text1"/>
            </w:rPr>
            <w:t>Për këto arsye, ky opsion mbetet më pak efektiv dhe më pak i qëndrueshëm krahasuar me hartimin e një ligji të ri, i cili ofron koherencë, qartësi dhe përafrim substancial me standardet e BE-së.</w:t>
          </w:r>
        </w:p>
        <w:p w14:paraId="6A5E2F86" w14:textId="786992DE" w:rsidR="0027033B" w:rsidRPr="00F955A6" w:rsidRDefault="0055681D" w:rsidP="0027033B">
          <w:pPr>
            <w:spacing w:before="240"/>
            <w:jc w:val="both"/>
            <w:rPr>
              <w:b/>
              <w:bCs/>
            </w:rPr>
          </w:pPr>
          <w:r w:rsidRPr="6875B2D2">
            <w:t xml:space="preserve"> </w:t>
          </w:r>
          <w:r w:rsidR="0027033B" w:rsidRPr="00F955A6">
            <w:rPr>
              <w:b/>
              <w:bCs/>
            </w:rPr>
            <w:t>Opsioni 4 – Opsion Jorregullator</w:t>
          </w:r>
          <w:r w:rsidR="0027033B">
            <w:rPr>
              <w:b/>
              <w:bCs/>
            </w:rPr>
            <w:t xml:space="preserve">. </w:t>
          </w:r>
          <w:r w:rsidR="0027033B" w:rsidRPr="00F955A6">
            <w:t xml:space="preserve">Ky opsion parashikon </w:t>
          </w:r>
          <w:r w:rsidR="0027033B" w:rsidRPr="00F955A6">
            <w:rPr>
              <w:b/>
              <w:bCs/>
            </w:rPr>
            <w:t>mosndërhyrjen në ligjin ekzistues ose në kuadrin rregullator aktual</w:t>
          </w:r>
          <w:r w:rsidR="0027033B" w:rsidRPr="00F955A6">
            <w:t>, duke ruajtur status quo-në dhe duke mos ndërhyrë për përafrimin me Direktivën 2006/123/KE. Ky opsion nuk ka për qëllim të sjellë ndryshime të drejtpërdrejta në ligjet sektoriale apo në Ligjin nr. 66/2016 “Për shërbimet në Republikën e Shqipërisë”.</w:t>
          </w:r>
        </w:p>
        <w:p w14:paraId="3A5207AA" w14:textId="77777777" w:rsidR="0027033B" w:rsidRPr="00F955A6" w:rsidRDefault="0027033B" w:rsidP="0027033B">
          <w:pPr>
            <w:spacing w:before="240"/>
            <w:jc w:val="both"/>
            <w:rPr>
              <w:lang w:val="it-IT"/>
            </w:rPr>
          </w:pPr>
          <w:r w:rsidRPr="00F955A6">
            <w:rPr>
              <w:b/>
              <w:bCs/>
              <w:lang w:val="it-IT"/>
            </w:rPr>
            <w:t>Grupet e prekura nga opsioni 4 janë:</w:t>
          </w:r>
        </w:p>
        <w:p w14:paraId="77FCD261" w14:textId="77777777" w:rsidR="0027033B" w:rsidRPr="0027033B" w:rsidRDefault="0027033B" w:rsidP="00CC709C">
          <w:pPr>
            <w:numPr>
              <w:ilvl w:val="0"/>
              <w:numId w:val="45"/>
            </w:numPr>
            <w:tabs>
              <w:tab w:val="num" w:pos="720"/>
            </w:tabs>
            <w:spacing w:before="240"/>
            <w:jc w:val="both"/>
            <w:rPr>
              <w:lang w:val="en-US"/>
            </w:rPr>
          </w:pPr>
          <w:proofErr w:type="spellStart"/>
          <w:r w:rsidRPr="0027033B">
            <w:rPr>
              <w:b/>
              <w:bCs/>
              <w:lang w:val="en-US"/>
            </w:rPr>
            <w:t>Qeveria</w:t>
          </w:r>
          <w:proofErr w:type="spellEnd"/>
          <w:r w:rsidRPr="0027033B">
            <w:rPr>
              <w:b/>
              <w:bCs/>
              <w:lang w:val="en-US"/>
            </w:rPr>
            <w:t xml:space="preserve"> </w:t>
          </w:r>
          <w:proofErr w:type="spellStart"/>
          <w:r w:rsidRPr="0027033B">
            <w:rPr>
              <w:b/>
              <w:bCs/>
              <w:lang w:val="en-US"/>
            </w:rPr>
            <w:t>dhe</w:t>
          </w:r>
          <w:proofErr w:type="spellEnd"/>
          <w:r w:rsidRPr="0027033B">
            <w:rPr>
              <w:b/>
              <w:bCs/>
              <w:lang w:val="en-US"/>
            </w:rPr>
            <w:t xml:space="preserve"> </w:t>
          </w:r>
          <w:proofErr w:type="spellStart"/>
          <w:r w:rsidRPr="0027033B">
            <w:rPr>
              <w:b/>
              <w:bCs/>
              <w:lang w:val="en-US"/>
            </w:rPr>
            <w:t>Autoritetet</w:t>
          </w:r>
          <w:proofErr w:type="spellEnd"/>
          <w:r w:rsidRPr="0027033B">
            <w:rPr>
              <w:b/>
              <w:bCs/>
              <w:lang w:val="en-US"/>
            </w:rPr>
            <w:t xml:space="preserve"> </w:t>
          </w:r>
          <w:proofErr w:type="spellStart"/>
          <w:r w:rsidRPr="0027033B">
            <w:rPr>
              <w:b/>
              <w:bCs/>
              <w:lang w:val="en-US"/>
            </w:rPr>
            <w:t>Publike</w:t>
          </w:r>
          <w:proofErr w:type="spellEnd"/>
          <w:r w:rsidRPr="0027033B">
            <w:rPr>
              <w:b/>
              <w:bCs/>
              <w:lang w:val="en-US"/>
            </w:rPr>
            <w:t>:</w:t>
          </w:r>
        </w:p>
        <w:p w14:paraId="391FDA56" w14:textId="77777777" w:rsidR="0027033B" w:rsidRPr="0027033B" w:rsidRDefault="0027033B" w:rsidP="00CC709C">
          <w:pPr>
            <w:numPr>
              <w:ilvl w:val="1"/>
              <w:numId w:val="45"/>
            </w:numPr>
            <w:tabs>
              <w:tab w:val="num" w:pos="1440"/>
            </w:tabs>
            <w:spacing w:before="240"/>
            <w:jc w:val="both"/>
            <w:rPr>
              <w:lang w:val="en-US"/>
            </w:rPr>
          </w:pPr>
          <w:proofErr w:type="spellStart"/>
          <w:r w:rsidRPr="00F955A6">
            <w:rPr>
              <w:lang w:val="en-US"/>
            </w:rPr>
            <w:t>Ndikimet</w:t>
          </w:r>
          <w:proofErr w:type="spellEnd"/>
          <w:r w:rsidRPr="00F955A6">
            <w:rPr>
              <w:lang w:val="en-US"/>
            </w:rPr>
            <w:t xml:space="preserve"> e </w:t>
          </w:r>
          <w:proofErr w:type="spellStart"/>
          <w:r w:rsidRPr="00F955A6">
            <w:rPr>
              <w:lang w:val="en-US"/>
            </w:rPr>
            <w:t>drejtpërdrejta</w:t>
          </w:r>
          <w:proofErr w:type="spellEnd"/>
          <w:r w:rsidRPr="00F955A6">
            <w:rPr>
              <w:lang w:val="en-US"/>
            </w:rPr>
            <w:t>:</w:t>
          </w:r>
          <w:r w:rsidRPr="0027033B">
            <w:rPr>
              <w:lang w:val="en-US"/>
            </w:rPr>
            <w:t xml:space="preserve"> Nuk ka </w:t>
          </w:r>
          <w:proofErr w:type="spellStart"/>
          <w:r w:rsidRPr="0027033B">
            <w:rPr>
              <w:lang w:val="en-US"/>
            </w:rPr>
            <w:t>kosto</w:t>
          </w:r>
          <w:proofErr w:type="spellEnd"/>
          <w:r w:rsidRPr="0027033B">
            <w:rPr>
              <w:lang w:val="en-US"/>
            </w:rPr>
            <w:t xml:space="preserve"> </w:t>
          </w:r>
          <w:proofErr w:type="spellStart"/>
          <w:r w:rsidRPr="0027033B">
            <w:rPr>
              <w:lang w:val="en-US"/>
            </w:rPr>
            <w:t>shtesë</w:t>
          </w:r>
          <w:proofErr w:type="spellEnd"/>
          <w:r w:rsidRPr="0027033B">
            <w:rPr>
              <w:lang w:val="en-US"/>
            </w:rPr>
            <w:t xml:space="preserve"> </w:t>
          </w:r>
          <w:proofErr w:type="spellStart"/>
          <w:r w:rsidRPr="0027033B">
            <w:rPr>
              <w:lang w:val="en-US"/>
            </w:rPr>
            <w:t>për</w:t>
          </w:r>
          <w:proofErr w:type="spellEnd"/>
          <w:r w:rsidRPr="0027033B">
            <w:rPr>
              <w:lang w:val="en-US"/>
            </w:rPr>
            <w:t xml:space="preserve"> </w:t>
          </w:r>
          <w:proofErr w:type="spellStart"/>
          <w:r w:rsidRPr="0027033B">
            <w:rPr>
              <w:lang w:val="en-US"/>
            </w:rPr>
            <w:t>hartimin</w:t>
          </w:r>
          <w:proofErr w:type="spellEnd"/>
          <w:r w:rsidRPr="0027033B">
            <w:rPr>
              <w:lang w:val="en-US"/>
            </w:rPr>
            <w:t xml:space="preserve"> </w:t>
          </w:r>
          <w:proofErr w:type="spellStart"/>
          <w:r w:rsidRPr="0027033B">
            <w:rPr>
              <w:lang w:val="en-US"/>
            </w:rPr>
            <w:t>ligjor</w:t>
          </w:r>
          <w:proofErr w:type="spellEnd"/>
          <w:r w:rsidRPr="0027033B">
            <w:rPr>
              <w:lang w:val="en-US"/>
            </w:rPr>
            <w:t xml:space="preserve"> </w:t>
          </w:r>
          <w:proofErr w:type="spellStart"/>
          <w:r w:rsidRPr="0027033B">
            <w:rPr>
              <w:lang w:val="en-US"/>
            </w:rPr>
            <w:t>ose</w:t>
          </w:r>
          <w:proofErr w:type="spellEnd"/>
          <w:r w:rsidRPr="0027033B">
            <w:rPr>
              <w:lang w:val="en-US"/>
            </w:rPr>
            <w:t xml:space="preserve"> </w:t>
          </w:r>
          <w:proofErr w:type="spellStart"/>
          <w:r w:rsidRPr="0027033B">
            <w:rPr>
              <w:lang w:val="en-US"/>
            </w:rPr>
            <w:t>trajnimin</w:t>
          </w:r>
          <w:proofErr w:type="spellEnd"/>
          <w:r w:rsidRPr="0027033B">
            <w:rPr>
              <w:lang w:val="en-US"/>
            </w:rPr>
            <w:t xml:space="preserve"> e </w:t>
          </w:r>
          <w:proofErr w:type="spellStart"/>
          <w:r w:rsidRPr="0027033B">
            <w:rPr>
              <w:lang w:val="en-US"/>
            </w:rPr>
            <w:t>administratës</w:t>
          </w:r>
          <w:proofErr w:type="spellEnd"/>
          <w:r w:rsidRPr="0027033B">
            <w:rPr>
              <w:lang w:val="en-US"/>
            </w:rPr>
            <w:t xml:space="preserve">, </w:t>
          </w:r>
          <w:proofErr w:type="spellStart"/>
          <w:r w:rsidRPr="0027033B">
            <w:rPr>
              <w:lang w:val="en-US"/>
            </w:rPr>
            <w:t>pasi</w:t>
          </w:r>
          <w:proofErr w:type="spellEnd"/>
          <w:r w:rsidRPr="0027033B">
            <w:rPr>
              <w:lang w:val="en-US"/>
            </w:rPr>
            <w:t xml:space="preserve"> </w:t>
          </w:r>
          <w:proofErr w:type="spellStart"/>
          <w:r w:rsidRPr="0027033B">
            <w:rPr>
              <w:lang w:val="en-US"/>
            </w:rPr>
            <w:t>nuk</w:t>
          </w:r>
          <w:proofErr w:type="spellEnd"/>
          <w:r w:rsidRPr="0027033B">
            <w:rPr>
              <w:lang w:val="en-US"/>
            </w:rPr>
            <w:t xml:space="preserve"> </w:t>
          </w:r>
          <w:proofErr w:type="spellStart"/>
          <w:r w:rsidRPr="0027033B">
            <w:rPr>
              <w:lang w:val="en-US"/>
            </w:rPr>
            <w:t>kryhen</w:t>
          </w:r>
          <w:proofErr w:type="spellEnd"/>
          <w:r w:rsidRPr="0027033B">
            <w:rPr>
              <w:lang w:val="en-US"/>
            </w:rPr>
            <w:t xml:space="preserve"> </w:t>
          </w:r>
          <w:proofErr w:type="spellStart"/>
          <w:r w:rsidRPr="0027033B">
            <w:rPr>
              <w:lang w:val="en-US"/>
            </w:rPr>
            <w:t>ndryshime</w:t>
          </w:r>
          <w:proofErr w:type="spellEnd"/>
          <w:r w:rsidRPr="0027033B">
            <w:rPr>
              <w:lang w:val="en-US"/>
            </w:rPr>
            <w:t xml:space="preserve">. </w:t>
          </w:r>
          <w:proofErr w:type="spellStart"/>
          <w:r w:rsidRPr="0027033B">
            <w:rPr>
              <w:lang w:val="en-US"/>
            </w:rPr>
            <w:t>Burimet</w:t>
          </w:r>
          <w:proofErr w:type="spellEnd"/>
          <w:r w:rsidRPr="0027033B">
            <w:rPr>
              <w:lang w:val="en-US"/>
            </w:rPr>
            <w:t xml:space="preserve"> </w:t>
          </w:r>
          <w:proofErr w:type="spellStart"/>
          <w:r w:rsidRPr="0027033B">
            <w:rPr>
              <w:lang w:val="en-US"/>
            </w:rPr>
            <w:t>njerëzore</w:t>
          </w:r>
          <w:proofErr w:type="spellEnd"/>
          <w:r w:rsidRPr="0027033B">
            <w:rPr>
              <w:lang w:val="en-US"/>
            </w:rPr>
            <w:t xml:space="preserve"> </w:t>
          </w:r>
          <w:proofErr w:type="spellStart"/>
          <w:r w:rsidRPr="0027033B">
            <w:rPr>
              <w:lang w:val="en-US"/>
            </w:rPr>
            <w:t>dhe</w:t>
          </w:r>
          <w:proofErr w:type="spellEnd"/>
          <w:r w:rsidRPr="0027033B">
            <w:rPr>
              <w:lang w:val="en-US"/>
            </w:rPr>
            <w:t xml:space="preserve"> </w:t>
          </w:r>
          <w:proofErr w:type="spellStart"/>
          <w:r w:rsidRPr="0027033B">
            <w:rPr>
              <w:lang w:val="en-US"/>
            </w:rPr>
            <w:t>financiare</w:t>
          </w:r>
          <w:proofErr w:type="spellEnd"/>
          <w:r w:rsidRPr="0027033B">
            <w:rPr>
              <w:lang w:val="en-US"/>
            </w:rPr>
            <w:t xml:space="preserve"> </w:t>
          </w:r>
          <w:proofErr w:type="spellStart"/>
          <w:r w:rsidRPr="0027033B">
            <w:rPr>
              <w:lang w:val="en-US"/>
            </w:rPr>
            <w:t>nuk</w:t>
          </w:r>
          <w:proofErr w:type="spellEnd"/>
          <w:r w:rsidRPr="0027033B">
            <w:rPr>
              <w:lang w:val="en-US"/>
            </w:rPr>
            <w:t xml:space="preserve"> </w:t>
          </w:r>
          <w:proofErr w:type="spellStart"/>
          <w:r w:rsidRPr="0027033B">
            <w:rPr>
              <w:lang w:val="en-US"/>
            </w:rPr>
            <w:t>rriten</w:t>
          </w:r>
          <w:proofErr w:type="spellEnd"/>
          <w:r w:rsidRPr="0027033B">
            <w:rPr>
              <w:lang w:val="en-US"/>
            </w:rPr>
            <w:t>.</w:t>
          </w:r>
        </w:p>
        <w:p w14:paraId="1607DBE7" w14:textId="77777777" w:rsidR="0027033B" w:rsidRPr="0027033B" w:rsidRDefault="0027033B" w:rsidP="00CC709C">
          <w:pPr>
            <w:numPr>
              <w:ilvl w:val="1"/>
              <w:numId w:val="45"/>
            </w:numPr>
            <w:tabs>
              <w:tab w:val="num" w:pos="1440"/>
            </w:tabs>
            <w:spacing w:before="240"/>
            <w:jc w:val="both"/>
            <w:rPr>
              <w:lang w:val="en-US"/>
            </w:rPr>
          </w:pPr>
          <w:proofErr w:type="spellStart"/>
          <w:r w:rsidRPr="00F955A6">
            <w:rPr>
              <w:lang w:val="en-US"/>
            </w:rPr>
            <w:t>Ndikimet</w:t>
          </w:r>
          <w:proofErr w:type="spellEnd"/>
          <w:r w:rsidRPr="00F955A6">
            <w:rPr>
              <w:lang w:val="en-US"/>
            </w:rPr>
            <w:t xml:space="preserve"> jo </w:t>
          </w:r>
          <w:proofErr w:type="spellStart"/>
          <w:r w:rsidRPr="00F955A6">
            <w:rPr>
              <w:lang w:val="en-US"/>
            </w:rPr>
            <w:t>të</w:t>
          </w:r>
          <w:proofErr w:type="spellEnd"/>
          <w:r w:rsidRPr="00F955A6">
            <w:rPr>
              <w:lang w:val="en-US"/>
            </w:rPr>
            <w:t xml:space="preserve"> </w:t>
          </w:r>
          <w:proofErr w:type="spellStart"/>
          <w:r w:rsidRPr="00F955A6">
            <w:rPr>
              <w:lang w:val="en-US"/>
            </w:rPr>
            <w:t>drejtpërdrejta</w:t>
          </w:r>
          <w:proofErr w:type="spellEnd"/>
          <w:r w:rsidRPr="00F955A6">
            <w:rPr>
              <w:lang w:val="en-US"/>
            </w:rPr>
            <w:t>:</w:t>
          </w:r>
          <w:r w:rsidRPr="0027033B">
            <w:rPr>
              <w:lang w:val="en-US"/>
            </w:rPr>
            <w:t xml:space="preserve"> </w:t>
          </w:r>
          <w:proofErr w:type="spellStart"/>
          <w:r w:rsidRPr="0027033B">
            <w:rPr>
              <w:lang w:val="en-US"/>
            </w:rPr>
            <w:t>Pabarazitë</w:t>
          </w:r>
          <w:proofErr w:type="spellEnd"/>
          <w:r w:rsidRPr="0027033B">
            <w:rPr>
              <w:lang w:val="en-US"/>
            </w:rPr>
            <w:t xml:space="preserve"> </w:t>
          </w:r>
          <w:proofErr w:type="spellStart"/>
          <w:r w:rsidRPr="0027033B">
            <w:rPr>
              <w:lang w:val="en-US"/>
            </w:rPr>
            <w:t>dhe</w:t>
          </w:r>
          <w:proofErr w:type="spellEnd"/>
          <w:r w:rsidRPr="0027033B">
            <w:rPr>
              <w:lang w:val="en-US"/>
            </w:rPr>
            <w:t xml:space="preserve"> </w:t>
          </w:r>
          <w:proofErr w:type="spellStart"/>
          <w:r w:rsidRPr="0027033B">
            <w:rPr>
              <w:lang w:val="en-US"/>
            </w:rPr>
            <w:t>mangësitë</w:t>
          </w:r>
          <w:proofErr w:type="spellEnd"/>
          <w:r w:rsidRPr="0027033B">
            <w:rPr>
              <w:lang w:val="en-US"/>
            </w:rPr>
            <w:t xml:space="preserve"> </w:t>
          </w:r>
          <w:proofErr w:type="spellStart"/>
          <w:r w:rsidRPr="0027033B">
            <w:rPr>
              <w:lang w:val="en-US"/>
            </w:rPr>
            <w:t>në</w:t>
          </w:r>
          <w:proofErr w:type="spellEnd"/>
          <w:r w:rsidRPr="0027033B">
            <w:rPr>
              <w:lang w:val="en-US"/>
            </w:rPr>
            <w:t xml:space="preserve"> </w:t>
          </w:r>
          <w:proofErr w:type="spellStart"/>
          <w:r w:rsidRPr="0027033B">
            <w:rPr>
              <w:lang w:val="en-US"/>
            </w:rPr>
            <w:t>përafrimin</w:t>
          </w:r>
          <w:proofErr w:type="spellEnd"/>
          <w:r w:rsidRPr="0027033B">
            <w:rPr>
              <w:lang w:val="en-US"/>
            </w:rPr>
            <w:t xml:space="preserve"> e </w:t>
          </w:r>
          <w:proofErr w:type="spellStart"/>
          <w:r w:rsidRPr="0027033B">
            <w:rPr>
              <w:lang w:val="en-US"/>
            </w:rPr>
            <w:t>ligjeve</w:t>
          </w:r>
          <w:proofErr w:type="spellEnd"/>
          <w:r w:rsidRPr="0027033B">
            <w:rPr>
              <w:lang w:val="en-US"/>
            </w:rPr>
            <w:t xml:space="preserve"> me </w:t>
          </w:r>
          <w:proofErr w:type="spellStart"/>
          <w:r w:rsidRPr="0027033B">
            <w:rPr>
              <w:lang w:val="en-US"/>
            </w:rPr>
            <w:t>standardet</w:t>
          </w:r>
          <w:proofErr w:type="spellEnd"/>
          <w:r w:rsidRPr="0027033B">
            <w:rPr>
              <w:lang w:val="en-US"/>
            </w:rPr>
            <w:t xml:space="preserve"> e BE </w:t>
          </w:r>
          <w:proofErr w:type="spellStart"/>
          <w:r w:rsidRPr="0027033B">
            <w:rPr>
              <w:lang w:val="en-US"/>
            </w:rPr>
            <w:t>mbeten</w:t>
          </w:r>
          <w:proofErr w:type="spellEnd"/>
          <w:r w:rsidRPr="0027033B">
            <w:rPr>
              <w:lang w:val="en-US"/>
            </w:rPr>
            <w:t xml:space="preserve"> </w:t>
          </w:r>
          <w:proofErr w:type="spellStart"/>
          <w:r w:rsidRPr="0027033B">
            <w:rPr>
              <w:lang w:val="en-US"/>
            </w:rPr>
            <w:t>të</w:t>
          </w:r>
          <w:proofErr w:type="spellEnd"/>
          <w:r w:rsidRPr="0027033B">
            <w:rPr>
              <w:lang w:val="en-US"/>
            </w:rPr>
            <w:t xml:space="preserve"> </w:t>
          </w:r>
          <w:proofErr w:type="spellStart"/>
          <w:r w:rsidRPr="0027033B">
            <w:rPr>
              <w:lang w:val="en-US"/>
            </w:rPr>
            <w:t>paprekura</w:t>
          </w:r>
          <w:proofErr w:type="spellEnd"/>
          <w:r w:rsidRPr="0027033B">
            <w:rPr>
              <w:lang w:val="en-US"/>
            </w:rPr>
            <w:t xml:space="preserve">, duke </w:t>
          </w:r>
          <w:proofErr w:type="spellStart"/>
          <w:r w:rsidRPr="0027033B">
            <w:rPr>
              <w:lang w:val="en-US"/>
            </w:rPr>
            <w:t>rritur</w:t>
          </w:r>
          <w:proofErr w:type="spellEnd"/>
          <w:r w:rsidRPr="0027033B">
            <w:rPr>
              <w:lang w:val="en-US"/>
            </w:rPr>
            <w:t xml:space="preserve"> </w:t>
          </w:r>
          <w:proofErr w:type="spellStart"/>
          <w:r w:rsidRPr="0027033B">
            <w:rPr>
              <w:lang w:val="en-US"/>
            </w:rPr>
            <w:t>rrezikun</w:t>
          </w:r>
          <w:proofErr w:type="spellEnd"/>
          <w:r w:rsidRPr="0027033B">
            <w:rPr>
              <w:lang w:val="en-US"/>
            </w:rPr>
            <w:t xml:space="preserve"> e </w:t>
          </w:r>
          <w:proofErr w:type="spellStart"/>
          <w:r w:rsidRPr="0027033B">
            <w:rPr>
              <w:lang w:val="en-US"/>
            </w:rPr>
            <w:t>vonesave</w:t>
          </w:r>
          <w:proofErr w:type="spellEnd"/>
          <w:r w:rsidRPr="0027033B">
            <w:rPr>
              <w:lang w:val="en-US"/>
            </w:rPr>
            <w:t xml:space="preserve"> </w:t>
          </w:r>
          <w:proofErr w:type="spellStart"/>
          <w:r w:rsidRPr="0027033B">
            <w:rPr>
              <w:lang w:val="en-US"/>
            </w:rPr>
            <w:t>në</w:t>
          </w:r>
          <w:proofErr w:type="spellEnd"/>
          <w:r w:rsidRPr="0027033B">
            <w:rPr>
              <w:lang w:val="en-US"/>
            </w:rPr>
            <w:t xml:space="preserve"> </w:t>
          </w:r>
          <w:proofErr w:type="spellStart"/>
          <w:r w:rsidRPr="0027033B">
            <w:rPr>
              <w:lang w:val="en-US"/>
            </w:rPr>
            <w:t>procesin</w:t>
          </w:r>
          <w:proofErr w:type="spellEnd"/>
          <w:r w:rsidRPr="0027033B">
            <w:rPr>
              <w:lang w:val="en-US"/>
            </w:rPr>
            <w:t xml:space="preserve"> e </w:t>
          </w:r>
          <w:proofErr w:type="spellStart"/>
          <w:r w:rsidRPr="0027033B">
            <w:rPr>
              <w:lang w:val="en-US"/>
            </w:rPr>
            <w:t>integrimit</w:t>
          </w:r>
          <w:proofErr w:type="spellEnd"/>
          <w:r w:rsidRPr="0027033B">
            <w:rPr>
              <w:lang w:val="en-US"/>
            </w:rPr>
            <w:t xml:space="preserve"> </w:t>
          </w:r>
          <w:proofErr w:type="spellStart"/>
          <w:r w:rsidRPr="0027033B">
            <w:rPr>
              <w:lang w:val="en-US"/>
            </w:rPr>
            <w:t>evropian</w:t>
          </w:r>
          <w:proofErr w:type="spellEnd"/>
          <w:r w:rsidRPr="0027033B">
            <w:rPr>
              <w:lang w:val="en-US"/>
            </w:rPr>
            <w:t xml:space="preserve"> </w:t>
          </w:r>
          <w:proofErr w:type="spellStart"/>
          <w:r w:rsidRPr="0027033B">
            <w:rPr>
              <w:lang w:val="en-US"/>
            </w:rPr>
            <w:t>dhe</w:t>
          </w:r>
          <w:proofErr w:type="spellEnd"/>
          <w:r w:rsidRPr="0027033B">
            <w:rPr>
              <w:lang w:val="en-US"/>
            </w:rPr>
            <w:t xml:space="preserve"> duke </w:t>
          </w:r>
          <w:proofErr w:type="spellStart"/>
          <w:r w:rsidRPr="0027033B">
            <w:rPr>
              <w:lang w:val="en-US"/>
            </w:rPr>
            <w:t>reduktuar</w:t>
          </w:r>
          <w:proofErr w:type="spellEnd"/>
          <w:r w:rsidRPr="0027033B">
            <w:rPr>
              <w:lang w:val="en-US"/>
            </w:rPr>
            <w:t xml:space="preserve"> </w:t>
          </w:r>
          <w:proofErr w:type="spellStart"/>
          <w:r w:rsidRPr="0027033B">
            <w:rPr>
              <w:lang w:val="en-US"/>
            </w:rPr>
            <w:t>efikasitetin</w:t>
          </w:r>
          <w:proofErr w:type="spellEnd"/>
          <w:r w:rsidRPr="0027033B">
            <w:rPr>
              <w:lang w:val="en-US"/>
            </w:rPr>
            <w:t xml:space="preserve"> </w:t>
          </w:r>
          <w:proofErr w:type="spellStart"/>
          <w:r w:rsidRPr="0027033B">
            <w:rPr>
              <w:lang w:val="en-US"/>
            </w:rPr>
            <w:t>administrativ</w:t>
          </w:r>
          <w:proofErr w:type="spellEnd"/>
          <w:r w:rsidRPr="0027033B">
            <w:rPr>
              <w:lang w:val="en-US"/>
            </w:rPr>
            <w:t>.</w:t>
          </w:r>
        </w:p>
        <w:p w14:paraId="468BEB68" w14:textId="77777777" w:rsidR="0027033B" w:rsidRPr="00CC709C" w:rsidRDefault="0027033B" w:rsidP="00CC709C">
          <w:pPr>
            <w:numPr>
              <w:ilvl w:val="0"/>
              <w:numId w:val="45"/>
            </w:numPr>
            <w:tabs>
              <w:tab w:val="num" w:pos="720"/>
            </w:tabs>
            <w:spacing w:before="240"/>
            <w:jc w:val="both"/>
            <w:rPr>
              <w:lang w:val="it-IT"/>
            </w:rPr>
          </w:pPr>
          <w:r w:rsidRPr="00CC709C">
            <w:rPr>
              <w:b/>
              <w:bCs/>
              <w:lang w:val="it-IT"/>
            </w:rPr>
            <w:t>Ofruesit e Shërbimeve (vendas dhe të BE-së):</w:t>
          </w:r>
        </w:p>
        <w:p w14:paraId="00D2E15B" w14:textId="77777777" w:rsidR="0027033B" w:rsidRPr="0027033B" w:rsidRDefault="0027033B" w:rsidP="00CC709C">
          <w:pPr>
            <w:numPr>
              <w:ilvl w:val="1"/>
              <w:numId w:val="45"/>
            </w:numPr>
            <w:tabs>
              <w:tab w:val="num" w:pos="1440"/>
            </w:tabs>
            <w:spacing w:before="240"/>
            <w:jc w:val="both"/>
            <w:rPr>
              <w:lang w:val="en-US"/>
            </w:rPr>
          </w:pPr>
          <w:r w:rsidRPr="00CC709C">
            <w:rPr>
              <w:lang w:val="it-IT"/>
            </w:rPr>
            <w:t xml:space="preserve">Ndikimet e drejtpërdrejta: Barriera për ofruesit vendas dhe të huaj mbeten të njëjta, duke kufizuar mundësitë për zgjerim në tregjet ndërkufitare dhe përfitimet nga liberalizimi i shërbimeve. </w:t>
          </w:r>
          <w:r w:rsidRPr="0027033B">
            <w:rPr>
              <w:lang w:val="en-US"/>
            </w:rPr>
            <w:t xml:space="preserve">Nuk ka </w:t>
          </w:r>
          <w:proofErr w:type="spellStart"/>
          <w:r w:rsidRPr="0027033B">
            <w:rPr>
              <w:lang w:val="en-US"/>
            </w:rPr>
            <w:t>përfitim</w:t>
          </w:r>
          <w:proofErr w:type="spellEnd"/>
          <w:r w:rsidRPr="0027033B">
            <w:rPr>
              <w:lang w:val="en-US"/>
            </w:rPr>
            <w:t xml:space="preserve"> </w:t>
          </w:r>
          <w:proofErr w:type="spellStart"/>
          <w:r w:rsidRPr="0027033B">
            <w:rPr>
              <w:lang w:val="en-US"/>
            </w:rPr>
            <w:t>konkurrues</w:t>
          </w:r>
          <w:proofErr w:type="spellEnd"/>
          <w:r w:rsidRPr="0027033B">
            <w:rPr>
              <w:lang w:val="en-US"/>
            </w:rPr>
            <w:t xml:space="preserve"> </w:t>
          </w:r>
          <w:proofErr w:type="spellStart"/>
          <w:r w:rsidRPr="0027033B">
            <w:rPr>
              <w:lang w:val="en-US"/>
            </w:rPr>
            <w:t>nga</w:t>
          </w:r>
          <w:proofErr w:type="spellEnd"/>
          <w:r w:rsidRPr="0027033B">
            <w:rPr>
              <w:lang w:val="en-US"/>
            </w:rPr>
            <w:t xml:space="preserve"> </w:t>
          </w:r>
          <w:proofErr w:type="spellStart"/>
          <w:r w:rsidRPr="0027033B">
            <w:rPr>
              <w:lang w:val="en-US"/>
            </w:rPr>
            <w:t>harmonizimi</w:t>
          </w:r>
          <w:proofErr w:type="spellEnd"/>
          <w:r w:rsidRPr="0027033B">
            <w:rPr>
              <w:lang w:val="en-US"/>
            </w:rPr>
            <w:t xml:space="preserve"> </w:t>
          </w:r>
          <w:proofErr w:type="spellStart"/>
          <w:r w:rsidRPr="0027033B">
            <w:rPr>
              <w:lang w:val="en-US"/>
            </w:rPr>
            <w:t>i</w:t>
          </w:r>
          <w:proofErr w:type="spellEnd"/>
          <w:r w:rsidRPr="0027033B">
            <w:rPr>
              <w:lang w:val="en-US"/>
            </w:rPr>
            <w:t xml:space="preserve"> </w:t>
          </w:r>
          <w:proofErr w:type="spellStart"/>
          <w:r w:rsidRPr="0027033B">
            <w:rPr>
              <w:lang w:val="en-US"/>
            </w:rPr>
            <w:t>standardeve</w:t>
          </w:r>
          <w:proofErr w:type="spellEnd"/>
          <w:r w:rsidRPr="0027033B">
            <w:rPr>
              <w:lang w:val="en-US"/>
            </w:rPr>
            <w:t>.</w:t>
          </w:r>
        </w:p>
        <w:p w14:paraId="351C1B1A" w14:textId="77777777" w:rsidR="0027033B" w:rsidRPr="00CC709C" w:rsidRDefault="0027033B" w:rsidP="00CC709C">
          <w:pPr>
            <w:numPr>
              <w:ilvl w:val="1"/>
              <w:numId w:val="45"/>
            </w:numPr>
            <w:tabs>
              <w:tab w:val="num" w:pos="1440"/>
            </w:tabs>
            <w:spacing w:before="240"/>
            <w:jc w:val="both"/>
            <w:rPr>
              <w:lang w:val="it-IT"/>
            </w:rPr>
          </w:pPr>
          <w:proofErr w:type="spellStart"/>
          <w:r w:rsidRPr="00F955A6">
            <w:rPr>
              <w:lang w:val="en-US"/>
            </w:rPr>
            <w:t>Ndikimet</w:t>
          </w:r>
          <w:proofErr w:type="spellEnd"/>
          <w:r w:rsidRPr="00F955A6">
            <w:rPr>
              <w:lang w:val="en-US"/>
            </w:rPr>
            <w:t xml:space="preserve"> jo </w:t>
          </w:r>
          <w:proofErr w:type="spellStart"/>
          <w:r w:rsidRPr="00F955A6">
            <w:rPr>
              <w:lang w:val="en-US"/>
            </w:rPr>
            <w:t>të</w:t>
          </w:r>
          <w:proofErr w:type="spellEnd"/>
          <w:r w:rsidRPr="00F955A6">
            <w:rPr>
              <w:lang w:val="en-US"/>
            </w:rPr>
            <w:t xml:space="preserve"> </w:t>
          </w:r>
          <w:proofErr w:type="spellStart"/>
          <w:r w:rsidRPr="00F955A6">
            <w:rPr>
              <w:lang w:val="en-US"/>
            </w:rPr>
            <w:t>drejtpërdrejta</w:t>
          </w:r>
          <w:proofErr w:type="spellEnd"/>
          <w:r w:rsidRPr="00F955A6">
            <w:rPr>
              <w:lang w:val="en-US"/>
            </w:rPr>
            <w:t>:</w:t>
          </w:r>
          <w:r w:rsidRPr="0027033B">
            <w:rPr>
              <w:lang w:val="en-US"/>
            </w:rPr>
            <w:t xml:space="preserve"> Mund </w:t>
          </w:r>
          <w:proofErr w:type="spellStart"/>
          <w:r w:rsidRPr="0027033B">
            <w:rPr>
              <w:lang w:val="en-US"/>
            </w:rPr>
            <w:t>të</w:t>
          </w:r>
          <w:proofErr w:type="spellEnd"/>
          <w:r w:rsidRPr="0027033B">
            <w:rPr>
              <w:lang w:val="en-US"/>
            </w:rPr>
            <w:t xml:space="preserve"> </w:t>
          </w:r>
          <w:proofErr w:type="spellStart"/>
          <w:r w:rsidRPr="0027033B">
            <w:rPr>
              <w:lang w:val="en-US"/>
            </w:rPr>
            <w:t>rritet</w:t>
          </w:r>
          <w:proofErr w:type="spellEnd"/>
          <w:r w:rsidRPr="0027033B">
            <w:rPr>
              <w:lang w:val="en-US"/>
            </w:rPr>
            <w:t xml:space="preserve"> </w:t>
          </w:r>
          <w:proofErr w:type="spellStart"/>
          <w:r w:rsidRPr="0027033B">
            <w:rPr>
              <w:lang w:val="en-US"/>
            </w:rPr>
            <w:t>pasiguria</w:t>
          </w:r>
          <w:proofErr w:type="spellEnd"/>
          <w:r w:rsidRPr="0027033B">
            <w:rPr>
              <w:lang w:val="en-US"/>
            </w:rPr>
            <w:t xml:space="preserve"> </w:t>
          </w:r>
          <w:proofErr w:type="spellStart"/>
          <w:r w:rsidRPr="0027033B">
            <w:rPr>
              <w:lang w:val="en-US"/>
            </w:rPr>
            <w:t>juridike</w:t>
          </w:r>
          <w:proofErr w:type="spellEnd"/>
          <w:r w:rsidRPr="0027033B">
            <w:rPr>
              <w:lang w:val="en-US"/>
            </w:rPr>
            <w:t xml:space="preserve"> </w:t>
          </w:r>
          <w:proofErr w:type="spellStart"/>
          <w:r w:rsidRPr="0027033B">
            <w:rPr>
              <w:lang w:val="en-US"/>
            </w:rPr>
            <w:t>dhe</w:t>
          </w:r>
          <w:proofErr w:type="spellEnd"/>
          <w:r w:rsidRPr="0027033B">
            <w:rPr>
              <w:lang w:val="en-US"/>
            </w:rPr>
            <w:t xml:space="preserve"> </w:t>
          </w:r>
          <w:proofErr w:type="spellStart"/>
          <w:r w:rsidRPr="0027033B">
            <w:rPr>
              <w:lang w:val="en-US"/>
            </w:rPr>
            <w:t>administrativë</w:t>
          </w:r>
          <w:proofErr w:type="spellEnd"/>
          <w:r w:rsidRPr="0027033B">
            <w:rPr>
              <w:lang w:val="en-US"/>
            </w:rPr>
            <w:t xml:space="preserve"> </w:t>
          </w:r>
          <w:proofErr w:type="spellStart"/>
          <w:r w:rsidRPr="0027033B">
            <w:rPr>
              <w:lang w:val="en-US"/>
            </w:rPr>
            <w:t>për</w:t>
          </w:r>
          <w:proofErr w:type="spellEnd"/>
          <w:r w:rsidRPr="0027033B">
            <w:rPr>
              <w:lang w:val="en-US"/>
            </w:rPr>
            <w:t xml:space="preserve"> </w:t>
          </w:r>
          <w:proofErr w:type="spellStart"/>
          <w:r w:rsidRPr="0027033B">
            <w:rPr>
              <w:lang w:val="en-US"/>
            </w:rPr>
            <w:t>ofruesit</w:t>
          </w:r>
          <w:proofErr w:type="spellEnd"/>
          <w:r w:rsidRPr="0027033B">
            <w:rPr>
              <w:lang w:val="en-US"/>
            </w:rPr>
            <w:t xml:space="preserve">, </w:t>
          </w:r>
          <w:proofErr w:type="spellStart"/>
          <w:r w:rsidRPr="0027033B">
            <w:rPr>
              <w:lang w:val="en-US"/>
            </w:rPr>
            <w:t>pasi</w:t>
          </w:r>
          <w:proofErr w:type="spellEnd"/>
          <w:r w:rsidRPr="0027033B">
            <w:rPr>
              <w:lang w:val="en-US"/>
            </w:rPr>
            <w:t xml:space="preserve"> </w:t>
          </w:r>
          <w:proofErr w:type="spellStart"/>
          <w:r w:rsidRPr="0027033B">
            <w:rPr>
              <w:lang w:val="en-US"/>
            </w:rPr>
            <w:t>nuk</w:t>
          </w:r>
          <w:proofErr w:type="spellEnd"/>
          <w:r w:rsidRPr="0027033B">
            <w:rPr>
              <w:lang w:val="en-US"/>
            </w:rPr>
            <w:t xml:space="preserve"> ka </w:t>
          </w:r>
          <w:proofErr w:type="spellStart"/>
          <w:r w:rsidRPr="0027033B">
            <w:rPr>
              <w:lang w:val="en-US"/>
            </w:rPr>
            <w:t>një</w:t>
          </w:r>
          <w:proofErr w:type="spellEnd"/>
          <w:r w:rsidRPr="0027033B">
            <w:rPr>
              <w:lang w:val="en-US"/>
            </w:rPr>
            <w:t xml:space="preserve"> </w:t>
          </w:r>
          <w:proofErr w:type="spellStart"/>
          <w:r w:rsidRPr="0027033B">
            <w:rPr>
              <w:lang w:val="en-US"/>
            </w:rPr>
            <w:t>kuadër</w:t>
          </w:r>
          <w:proofErr w:type="spellEnd"/>
          <w:r w:rsidRPr="0027033B">
            <w:rPr>
              <w:lang w:val="en-US"/>
            </w:rPr>
            <w:t xml:space="preserve"> </w:t>
          </w:r>
          <w:proofErr w:type="spellStart"/>
          <w:r w:rsidRPr="0027033B">
            <w:rPr>
              <w:lang w:val="en-US"/>
            </w:rPr>
            <w:t>të</w:t>
          </w:r>
          <w:proofErr w:type="spellEnd"/>
          <w:r w:rsidRPr="0027033B">
            <w:rPr>
              <w:lang w:val="en-US"/>
            </w:rPr>
            <w:t xml:space="preserve"> </w:t>
          </w:r>
          <w:proofErr w:type="spellStart"/>
          <w:r w:rsidRPr="0027033B">
            <w:rPr>
              <w:lang w:val="en-US"/>
            </w:rPr>
            <w:t>qartë</w:t>
          </w:r>
          <w:proofErr w:type="spellEnd"/>
          <w:r w:rsidRPr="0027033B">
            <w:rPr>
              <w:lang w:val="en-US"/>
            </w:rPr>
            <w:t xml:space="preserve"> </w:t>
          </w:r>
          <w:proofErr w:type="spellStart"/>
          <w:r w:rsidRPr="0027033B">
            <w:rPr>
              <w:lang w:val="en-US"/>
            </w:rPr>
            <w:t>të</w:t>
          </w:r>
          <w:proofErr w:type="spellEnd"/>
          <w:r w:rsidRPr="0027033B">
            <w:rPr>
              <w:lang w:val="en-US"/>
            </w:rPr>
            <w:t xml:space="preserve"> </w:t>
          </w:r>
          <w:proofErr w:type="spellStart"/>
          <w:r w:rsidRPr="0027033B">
            <w:rPr>
              <w:lang w:val="en-US"/>
            </w:rPr>
            <w:t>standardeve</w:t>
          </w:r>
          <w:proofErr w:type="spellEnd"/>
          <w:r w:rsidRPr="0027033B">
            <w:rPr>
              <w:lang w:val="en-US"/>
            </w:rPr>
            <w:t xml:space="preserve"> </w:t>
          </w:r>
          <w:proofErr w:type="spellStart"/>
          <w:r w:rsidRPr="0027033B">
            <w:rPr>
              <w:lang w:val="en-US"/>
            </w:rPr>
            <w:t>të</w:t>
          </w:r>
          <w:proofErr w:type="spellEnd"/>
          <w:r w:rsidRPr="0027033B">
            <w:rPr>
              <w:lang w:val="en-US"/>
            </w:rPr>
            <w:t xml:space="preserve"> BE. </w:t>
          </w:r>
          <w:r w:rsidRPr="00CC709C">
            <w:rPr>
              <w:lang w:val="it-IT"/>
            </w:rPr>
            <w:t>Kjo mund të ndikojë negativisht në investimet e ardhshme dhe inovacionin.</w:t>
          </w:r>
        </w:p>
        <w:p w14:paraId="12489362" w14:textId="77777777" w:rsidR="0027033B" w:rsidRPr="00CC709C" w:rsidRDefault="0027033B" w:rsidP="00CC709C">
          <w:pPr>
            <w:numPr>
              <w:ilvl w:val="0"/>
              <w:numId w:val="45"/>
            </w:numPr>
            <w:tabs>
              <w:tab w:val="num" w:pos="720"/>
            </w:tabs>
            <w:spacing w:before="240"/>
            <w:jc w:val="both"/>
            <w:rPr>
              <w:lang w:val="it-IT"/>
            </w:rPr>
          </w:pPr>
          <w:r w:rsidRPr="00CC709C">
            <w:rPr>
              <w:b/>
              <w:bCs/>
              <w:lang w:val="it-IT"/>
            </w:rPr>
            <w:t>Përfituesit e Shërbimeve (konsumatorët vendas dhe të BE-së):</w:t>
          </w:r>
        </w:p>
        <w:p w14:paraId="054ADAE7" w14:textId="77777777" w:rsidR="0027033B" w:rsidRPr="00CC709C" w:rsidRDefault="0027033B" w:rsidP="00CC709C">
          <w:pPr>
            <w:numPr>
              <w:ilvl w:val="1"/>
              <w:numId w:val="45"/>
            </w:numPr>
            <w:tabs>
              <w:tab w:val="num" w:pos="1440"/>
            </w:tabs>
            <w:spacing w:before="240"/>
            <w:jc w:val="both"/>
            <w:rPr>
              <w:lang w:val="it-IT"/>
            </w:rPr>
          </w:pPr>
          <w:r w:rsidRPr="00CC709C">
            <w:rPr>
              <w:b/>
              <w:bCs/>
              <w:lang w:val="it-IT"/>
            </w:rPr>
            <w:t>Ndikimet e drejtpërdrejta:</w:t>
          </w:r>
          <w:r w:rsidRPr="00CC709C">
            <w:rPr>
              <w:lang w:val="it-IT"/>
            </w:rPr>
            <w:t xml:space="preserve"> Qasja në shërbime mbetet e kufizuar; cilësia dhe standardet e shërbimit nuk përmirësohen në mënyrë të ndjeshme.</w:t>
          </w:r>
        </w:p>
        <w:p w14:paraId="23BC85E8" w14:textId="77777777" w:rsidR="0027033B" w:rsidRPr="00CC709C" w:rsidRDefault="0027033B" w:rsidP="00CC709C">
          <w:pPr>
            <w:numPr>
              <w:ilvl w:val="1"/>
              <w:numId w:val="45"/>
            </w:numPr>
            <w:tabs>
              <w:tab w:val="num" w:pos="1440"/>
            </w:tabs>
            <w:spacing w:before="240"/>
            <w:jc w:val="both"/>
            <w:rPr>
              <w:lang w:val="it-IT"/>
            </w:rPr>
          </w:pPr>
          <w:r w:rsidRPr="00CC709C">
            <w:rPr>
              <w:b/>
              <w:bCs/>
              <w:lang w:val="it-IT"/>
            </w:rPr>
            <w:t>Ndikimet jo të drejtpërdrejta:</w:t>
          </w:r>
          <w:r w:rsidRPr="00CC709C">
            <w:rPr>
              <w:lang w:val="it-IT"/>
            </w:rPr>
            <w:t xml:space="preserve"> Nuk ka përfitime nga konkurrenca dhe inovacioni ndërkufitar; mund të rritet çmimi i shërbimeve dhe të reduktohen mundësitë për zgjedhje për konsumatorët.</w:t>
          </w:r>
        </w:p>
        <w:p w14:paraId="1269D709" w14:textId="77777777" w:rsidR="0027033B" w:rsidRPr="00CC709C" w:rsidRDefault="0027033B" w:rsidP="00F955A6">
          <w:pPr>
            <w:spacing w:before="240"/>
            <w:rPr>
              <w:lang w:val="it-IT"/>
            </w:rPr>
          </w:pPr>
          <w:r w:rsidRPr="00CC709C">
            <w:rPr>
              <w:b/>
              <w:bCs/>
              <w:lang w:val="it-IT"/>
            </w:rPr>
            <w:t>Vlerësimi i Ndikimit Gjinor (VNGj):</w:t>
          </w:r>
          <w:r w:rsidRPr="00CC709C">
            <w:rPr>
              <w:lang w:val="it-IT"/>
            </w:rPr>
            <w:br/>
            <w:t>Ky opsion nuk ndërhyn në mënyrë aktive në sektorin e shërbimeve, prandaj nuk ka përfitime të reja për barazinë gjinore. Pabarazitë ekzistuese në punësim dhe sipërmarrje për gratë mbeten të paprekura. Gratë dhe burrat vazhdojnë të përballen me të njëjtat sfida në qasje dhe mundësi në tregun e shërbimeve.</w:t>
          </w:r>
        </w:p>
        <w:p w14:paraId="016B2384" w14:textId="77777777" w:rsidR="0027033B" w:rsidRPr="0027033B" w:rsidRDefault="0027033B" w:rsidP="0027033B">
          <w:pPr>
            <w:spacing w:before="240"/>
            <w:jc w:val="both"/>
            <w:rPr>
              <w:lang w:val="en-US"/>
            </w:rPr>
          </w:pPr>
          <w:proofErr w:type="spellStart"/>
          <w:r w:rsidRPr="0027033B">
            <w:rPr>
              <w:b/>
              <w:bCs/>
              <w:lang w:val="en-US"/>
            </w:rPr>
            <w:t>Avantazhet</w:t>
          </w:r>
          <w:proofErr w:type="spellEnd"/>
          <w:r w:rsidRPr="0027033B">
            <w:rPr>
              <w:b/>
              <w:bCs/>
              <w:lang w:val="en-US"/>
            </w:rPr>
            <w:t xml:space="preserve"> e </w:t>
          </w:r>
          <w:proofErr w:type="spellStart"/>
          <w:r w:rsidRPr="0027033B">
            <w:rPr>
              <w:b/>
              <w:bCs/>
              <w:lang w:val="en-US"/>
            </w:rPr>
            <w:t>opsionit</w:t>
          </w:r>
          <w:proofErr w:type="spellEnd"/>
          <w:r w:rsidRPr="0027033B">
            <w:rPr>
              <w:b/>
              <w:bCs/>
              <w:lang w:val="en-US"/>
            </w:rPr>
            <w:t xml:space="preserve"> </w:t>
          </w:r>
          <w:proofErr w:type="spellStart"/>
          <w:r w:rsidRPr="0027033B">
            <w:rPr>
              <w:b/>
              <w:bCs/>
              <w:lang w:val="en-US"/>
            </w:rPr>
            <w:t>jorregullator</w:t>
          </w:r>
          <w:proofErr w:type="spellEnd"/>
          <w:r w:rsidRPr="0027033B">
            <w:rPr>
              <w:b/>
              <w:bCs/>
              <w:lang w:val="en-US"/>
            </w:rPr>
            <w:t>:</w:t>
          </w:r>
        </w:p>
        <w:p w14:paraId="063E335F" w14:textId="77777777" w:rsidR="0027033B" w:rsidRPr="00F955A6" w:rsidRDefault="0027033B" w:rsidP="00CC709C">
          <w:pPr>
            <w:numPr>
              <w:ilvl w:val="0"/>
              <w:numId w:val="46"/>
            </w:numPr>
            <w:spacing w:before="240"/>
            <w:jc w:val="both"/>
            <w:rPr>
              <w:lang w:val="it-IT"/>
            </w:rPr>
          </w:pPr>
          <w:r w:rsidRPr="00F955A6">
            <w:rPr>
              <w:lang w:val="it-IT"/>
            </w:rPr>
            <w:t>Nuk ka kosto shtesë financiare ose administrative.</w:t>
          </w:r>
        </w:p>
        <w:p w14:paraId="1B456605" w14:textId="77777777" w:rsidR="0027033B" w:rsidRPr="00F955A6" w:rsidRDefault="0027033B" w:rsidP="00CC709C">
          <w:pPr>
            <w:numPr>
              <w:ilvl w:val="0"/>
              <w:numId w:val="46"/>
            </w:numPr>
            <w:spacing w:before="240"/>
            <w:jc w:val="both"/>
            <w:rPr>
              <w:lang w:val="it-IT"/>
            </w:rPr>
          </w:pPr>
          <w:r w:rsidRPr="00F955A6">
            <w:rPr>
              <w:lang w:val="it-IT"/>
            </w:rPr>
            <w:t>Nuk kërkon rritje të burimeve njerëzore ose trajnime të administratës.</w:t>
          </w:r>
        </w:p>
        <w:p w14:paraId="5067925F" w14:textId="77777777" w:rsidR="0027033B" w:rsidRPr="00F955A6" w:rsidRDefault="0027033B" w:rsidP="00CC709C">
          <w:pPr>
            <w:numPr>
              <w:ilvl w:val="0"/>
              <w:numId w:val="46"/>
            </w:numPr>
            <w:spacing w:before="240"/>
            <w:jc w:val="both"/>
            <w:rPr>
              <w:lang w:val="it-IT"/>
            </w:rPr>
          </w:pPr>
          <w:r w:rsidRPr="00F955A6">
            <w:rPr>
              <w:lang w:val="it-IT"/>
            </w:rPr>
            <w:t>Ruhet status quo dhe stabiliteti ligjor afatshkurtër.</w:t>
          </w:r>
        </w:p>
        <w:p w14:paraId="3067206D" w14:textId="77777777" w:rsidR="0027033B" w:rsidRPr="0027033B" w:rsidRDefault="0027033B" w:rsidP="0027033B">
          <w:pPr>
            <w:spacing w:before="240"/>
            <w:jc w:val="both"/>
            <w:rPr>
              <w:lang w:val="en-US"/>
            </w:rPr>
          </w:pPr>
          <w:proofErr w:type="spellStart"/>
          <w:r w:rsidRPr="0027033B">
            <w:rPr>
              <w:b/>
              <w:bCs/>
              <w:lang w:val="en-US"/>
            </w:rPr>
            <w:t>Disavantazhet</w:t>
          </w:r>
          <w:proofErr w:type="spellEnd"/>
          <w:r w:rsidRPr="0027033B">
            <w:rPr>
              <w:b/>
              <w:bCs/>
              <w:lang w:val="en-US"/>
            </w:rPr>
            <w:t xml:space="preserve"> e </w:t>
          </w:r>
          <w:proofErr w:type="spellStart"/>
          <w:r w:rsidRPr="0027033B">
            <w:rPr>
              <w:b/>
              <w:bCs/>
              <w:lang w:val="en-US"/>
            </w:rPr>
            <w:t>opsionit</w:t>
          </w:r>
          <w:proofErr w:type="spellEnd"/>
          <w:r w:rsidRPr="0027033B">
            <w:rPr>
              <w:b/>
              <w:bCs/>
              <w:lang w:val="en-US"/>
            </w:rPr>
            <w:t xml:space="preserve"> </w:t>
          </w:r>
          <w:proofErr w:type="spellStart"/>
          <w:r w:rsidRPr="0027033B">
            <w:rPr>
              <w:b/>
              <w:bCs/>
              <w:lang w:val="en-US"/>
            </w:rPr>
            <w:t>jorregullator</w:t>
          </w:r>
          <w:proofErr w:type="spellEnd"/>
          <w:r w:rsidRPr="0027033B">
            <w:rPr>
              <w:b/>
              <w:bCs/>
              <w:lang w:val="en-US"/>
            </w:rPr>
            <w:t>:</w:t>
          </w:r>
        </w:p>
        <w:p w14:paraId="7F53CE3C" w14:textId="77777777" w:rsidR="0027033B" w:rsidRPr="00F955A6" w:rsidRDefault="0027033B" w:rsidP="00CC709C">
          <w:pPr>
            <w:numPr>
              <w:ilvl w:val="0"/>
              <w:numId w:val="47"/>
            </w:numPr>
            <w:spacing w:before="240"/>
            <w:jc w:val="both"/>
            <w:rPr>
              <w:lang w:val="it-IT"/>
            </w:rPr>
          </w:pPr>
          <w:r w:rsidRPr="00F955A6">
            <w:rPr>
              <w:lang w:val="it-IT"/>
            </w:rPr>
            <w:t>Nuk kontribuon në përafrimin me Direktivën e BE dhe vonon procesin e integrimit.</w:t>
          </w:r>
        </w:p>
        <w:p w14:paraId="4D1BCF6E" w14:textId="77777777" w:rsidR="0027033B" w:rsidRPr="00F955A6" w:rsidRDefault="0027033B" w:rsidP="00CC709C">
          <w:pPr>
            <w:numPr>
              <w:ilvl w:val="0"/>
              <w:numId w:val="47"/>
            </w:numPr>
            <w:spacing w:before="240"/>
            <w:jc w:val="both"/>
            <w:rPr>
              <w:lang w:val="it-IT"/>
            </w:rPr>
          </w:pPr>
          <w:r w:rsidRPr="00F955A6">
            <w:rPr>
              <w:lang w:val="it-IT"/>
            </w:rPr>
            <w:t>Mbart rreziqe për pasiguri juridike dhe barrierë për ofruesit e shërbimeve.</w:t>
          </w:r>
        </w:p>
        <w:p w14:paraId="3EF17DB6" w14:textId="77777777" w:rsidR="0027033B" w:rsidRPr="00F955A6" w:rsidRDefault="0027033B" w:rsidP="00CC709C">
          <w:pPr>
            <w:numPr>
              <w:ilvl w:val="0"/>
              <w:numId w:val="47"/>
            </w:numPr>
            <w:spacing w:before="240"/>
            <w:jc w:val="both"/>
            <w:rPr>
              <w:lang w:val="it-IT"/>
            </w:rPr>
          </w:pPr>
          <w:r w:rsidRPr="00F955A6">
            <w:rPr>
              <w:lang w:val="it-IT"/>
            </w:rPr>
            <w:t>Nuk sjell përfitime për qytetarët, konsumatorët dhe sipërmarrësit (veçanërisht SME).</w:t>
          </w:r>
        </w:p>
        <w:p w14:paraId="51708549" w14:textId="77777777" w:rsidR="0027033B" w:rsidRPr="00F955A6" w:rsidRDefault="0027033B" w:rsidP="00CC709C">
          <w:pPr>
            <w:numPr>
              <w:ilvl w:val="0"/>
              <w:numId w:val="47"/>
            </w:numPr>
            <w:spacing w:before="240"/>
            <w:jc w:val="both"/>
            <w:rPr>
              <w:lang w:val="it-IT"/>
            </w:rPr>
          </w:pPr>
          <w:r w:rsidRPr="00F955A6">
            <w:rPr>
              <w:lang w:val="it-IT"/>
            </w:rPr>
            <w:t>Nuk kontribuon në përmirësimin e barazisë gjinore dhe nuk nxit inovacionin dhe konkurrencën.</w:t>
          </w:r>
        </w:p>
        <w:p w14:paraId="4D7C5536" w14:textId="05344663" w:rsidR="005106C6" w:rsidRDefault="005106C6" w:rsidP="00CF2ADA">
          <w:pPr>
            <w:spacing w:before="240"/>
            <w:jc w:val="both"/>
          </w:pPr>
        </w:p>
        <w:p w14:paraId="50FF7395" w14:textId="77777777" w:rsidR="00004074" w:rsidRPr="00004074" w:rsidRDefault="00004074" w:rsidP="00CC709C">
          <w:pPr>
            <w:pStyle w:val="ListParagraph"/>
            <w:numPr>
              <w:ilvl w:val="0"/>
              <w:numId w:val="26"/>
            </w:numPr>
            <w:tabs>
              <w:tab w:val="left" w:pos="10080"/>
            </w:tabs>
            <w:spacing w:line="276" w:lineRule="auto"/>
            <w:jc w:val="both"/>
            <w:rPr>
              <w:rFonts w:ascii="Times New Roman" w:hAnsi="Times New Roman"/>
              <w:b/>
              <w:spacing w:val="-4"/>
              <w:kern w:val="32"/>
              <w:sz w:val="24"/>
              <w:szCs w:val="24"/>
            </w:rPr>
          </w:pPr>
          <w:bookmarkStart w:id="22" w:name="_Hlk164088953"/>
          <w:r w:rsidRPr="6875B2D2">
            <w:rPr>
              <w:rFonts w:ascii="Times New Roman" w:hAnsi="Times New Roman"/>
              <w:b/>
              <w:spacing w:val="-4"/>
              <w:kern w:val="32"/>
              <w:sz w:val="24"/>
              <w:szCs w:val="24"/>
            </w:rPr>
            <w:t>Vlerësimi i Ndikimit Gjinor (VNGj) për ndryshimet në Ligjin 66/2016 “</w:t>
          </w:r>
          <w:r w:rsidRPr="6875B2D2">
            <w:rPr>
              <w:rFonts w:ascii="Times New Roman" w:hAnsi="Times New Roman"/>
              <w:b/>
              <w:i/>
              <w:spacing w:val="-4"/>
              <w:kern w:val="32"/>
              <w:sz w:val="24"/>
              <w:szCs w:val="24"/>
            </w:rPr>
            <w:t>Për Shërbimet në Republikën e Shqipërisë</w:t>
          </w:r>
          <w:r w:rsidRPr="6875B2D2">
            <w:rPr>
              <w:rFonts w:ascii="Times New Roman" w:hAnsi="Times New Roman"/>
              <w:b/>
              <w:spacing w:val="-4"/>
              <w:kern w:val="32"/>
              <w:sz w:val="24"/>
              <w:szCs w:val="24"/>
            </w:rPr>
            <w:t>”</w:t>
          </w:r>
        </w:p>
        <w:bookmarkEnd w:id="22"/>
        <w:p w14:paraId="7301F1F8" w14:textId="77777777" w:rsidR="00004074" w:rsidRPr="000E393A" w:rsidRDefault="00004074" w:rsidP="00004074">
          <w:pPr>
            <w:tabs>
              <w:tab w:val="left" w:pos="10080"/>
            </w:tabs>
            <w:spacing w:line="276" w:lineRule="auto"/>
            <w:ind w:left="34"/>
            <w:jc w:val="both"/>
            <w:rPr>
              <w:b/>
              <w:bCs/>
              <w:sz w:val="8"/>
              <w:szCs w:val="8"/>
            </w:rPr>
          </w:pPr>
        </w:p>
        <w:p w14:paraId="2CACA4F1" w14:textId="77777777" w:rsidR="00004074" w:rsidRPr="009866CE" w:rsidRDefault="00004074" w:rsidP="00004074">
          <w:pPr>
            <w:spacing w:after="120" w:line="288" w:lineRule="auto"/>
            <w:contextualSpacing/>
            <w:jc w:val="both"/>
          </w:pPr>
          <w:r w:rsidRPr="009866CE">
            <w:t>Vlerësimi i Ndikimit Gjinor fokusohet në vlerësimin e ndikimeve të mundshme të ndryshimeve legjislative në:</w:t>
          </w:r>
        </w:p>
        <w:p w14:paraId="76406FF7" w14:textId="77777777" w:rsidR="00004074" w:rsidRPr="009866CE" w:rsidRDefault="00004074" w:rsidP="00CC709C">
          <w:pPr>
            <w:pStyle w:val="ListParagraph"/>
            <w:numPr>
              <w:ilvl w:val="0"/>
              <w:numId w:val="25"/>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Mundësitë e punësimit në sektorin e shërbimeve.</w:t>
          </w:r>
        </w:p>
        <w:p w14:paraId="21143C56" w14:textId="77777777" w:rsidR="00004074" w:rsidRPr="009866CE" w:rsidRDefault="00004074" w:rsidP="00CC709C">
          <w:pPr>
            <w:pStyle w:val="ListParagraph"/>
            <w:numPr>
              <w:ilvl w:val="0"/>
              <w:numId w:val="25"/>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Sipërmarrjen e grave.</w:t>
          </w:r>
        </w:p>
        <w:p w14:paraId="205B6E69" w14:textId="676ADDDB" w:rsidR="00004074" w:rsidRPr="009866CE" w:rsidRDefault="00004074" w:rsidP="00CC709C">
          <w:pPr>
            <w:pStyle w:val="ListParagraph"/>
            <w:numPr>
              <w:ilvl w:val="0"/>
              <w:numId w:val="25"/>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Qasja në shërbime, veçanërisht ato që mbështesin zhvillimin ekonomik dhe profesional të grave.</w:t>
          </w:r>
        </w:p>
        <w:p w14:paraId="6EA76A57" w14:textId="7F5F5385" w:rsidR="00004074" w:rsidRPr="00700100" w:rsidRDefault="00004074" w:rsidP="00004074">
          <w:pPr>
            <w:spacing w:after="120" w:line="288" w:lineRule="auto"/>
            <w:contextualSpacing/>
            <w:jc w:val="both"/>
          </w:pPr>
          <w:r w:rsidRPr="009866CE">
            <w:t>Për zhvillimin e analizës, VNGj</w:t>
          </w:r>
          <w:r w:rsidRPr="00700100">
            <w:t xml:space="preserve"> përfshin të dhëna të ndara sipas gjinisë për punësimin në sektorin e shërbimeve dhe statistika mbi sipërmarrjen e grave brenda sektorëve të ndikuar.</w:t>
          </w:r>
        </w:p>
        <w:p w14:paraId="27A76E4A" w14:textId="3E9D2813" w:rsidR="00004074" w:rsidRDefault="00004074" w:rsidP="00004074">
          <w:pPr>
            <w:spacing w:after="120" w:line="288" w:lineRule="auto"/>
            <w:contextualSpacing/>
            <w:jc w:val="both"/>
          </w:pPr>
          <w:r w:rsidRPr="00700100">
            <w:t xml:space="preserve">Sipas INSTAT (2023), shkalla e punësimit për popullsinë 15-64 vjeç është 71,3 % për burrat dhe 58,9 % për gratë në këtë grupmoshë. Struktura e të punësuarve sipas statusit të aktivitetit tregon se 45,4 % e grave janë të punësuara me pagë, ndërsa 23,5 % e tyre janë punëtorë pa pagesë në biznesin familjar. Për </w:t>
          </w:r>
          <w:r>
            <w:t>burrat</w:t>
          </w:r>
          <w:r w:rsidRPr="00700100">
            <w:t xml:space="preserve"> e punësuar, këto shifra janë përkatësisht 42,8 % dhe 13,2 %. Një pjesë e konsiderueshme e </w:t>
          </w:r>
          <w:r>
            <w:t xml:space="preserve">burrave </w:t>
          </w:r>
          <w:r w:rsidRPr="00700100">
            <w:t xml:space="preserve">janë të vetëpunësuar 33,1 %, ndërsa </w:t>
          </w:r>
          <w:r>
            <w:t>gratë</w:t>
          </w:r>
          <w:r w:rsidRPr="00700100">
            <w:t xml:space="preserve"> e vetëpunësuara përbëjnë 20,4 %.</w:t>
          </w:r>
        </w:p>
        <w:p w14:paraId="5D3EC8E6" w14:textId="3BD63606" w:rsidR="00004074" w:rsidRPr="00700100" w:rsidRDefault="00004074" w:rsidP="00004074">
          <w:pPr>
            <w:spacing w:after="120" w:line="288" w:lineRule="auto"/>
            <w:jc w:val="both"/>
          </w:pPr>
          <w:r w:rsidRPr="00700100">
            <w:t>Për më tepër, sipas regjistrit të bizneseve përqindja e grave sipërmarrëse është 31%</w:t>
          </w:r>
          <w:r>
            <w:t>. Në fushat si</w:t>
          </w:r>
          <w:r w:rsidRPr="00700100">
            <w:t xml:space="preserve"> Tregtia, Transporti, Akomodimi dhe Ushqimi, dhe Shërbimet e Biznesit dhe Administratës </w:t>
          </w:r>
          <w:r>
            <w:t xml:space="preserve">kjo përqindje është </w:t>
          </w:r>
          <w:r w:rsidRPr="00700100">
            <w:t xml:space="preserve">(22.5%) dhe </w:t>
          </w:r>
          <w:r>
            <w:t xml:space="preserve">në fushat </w:t>
          </w:r>
          <w:r w:rsidRPr="00700100">
            <w:t>Administrata Publike, Komuniteti, Shërbimet dhe Aktivitetet Sociale dhe të tjera (21.2%).</w:t>
          </w:r>
        </w:p>
        <w:p w14:paraId="4CAE0C5A" w14:textId="1354316A" w:rsidR="00004074" w:rsidRPr="00DF29D6" w:rsidRDefault="00004074" w:rsidP="00004074">
          <w:pPr>
            <w:spacing w:after="120" w:line="288" w:lineRule="auto"/>
            <w:jc w:val="both"/>
          </w:pPr>
          <w:r w:rsidRPr="00DF29D6">
            <w:t xml:space="preserve">Është e rëndësishme të konstatohet që në fillim se ndërhyrja rregullatore prima facie (në </w:t>
          </w:r>
          <w:r>
            <w:t>pamje t</w:t>
          </w:r>
          <w:r w:rsidR="00FC3210">
            <w:t>ë</w:t>
          </w:r>
          <w:r>
            <w:t xml:space="preserve"> par</w:t>
          </w:r>
          <w:r w:rsidRPr="00DF29D6">
            <w:t xml:space="preserve">ë) është neutrale ndaj gjinisë. </w:t>
          </w:r>
          <w:r w:rsidR="0062726D">
            <w:t xml:space="preserve">Normat e ligjit të ri </w:t>
          </w:r>
          <w:r w:rsidRPr="00DF29D6">
            <w:t xml:space="preserve"> nuk targetojnë specifikisht as burrat dhe as gratë, por synojnë të krijojnë kushte më të favorshme për të gjithë në tregun e shërbimeve. Megjithatë, edhe pse ndërhyrjet mund të duken neutrale në sipërfaqe, ato mund të kenë një ndikim </w:t>
          </w:r>
          <w:r>
            <w:t xml:space="preserve">jo te njëjtë </w:t>
          </w:r>
          <w:r w:rsidRPr="00DF29D6">
            <w:t>mbi gratë dhe burrat për shkak të pabarazive ekzistuese në tregun e punës dhe në sipërmarrje.</w:t>
          </w:r>
        </w:p>
        <w:p w14:paraId="4C1CA8A5" w14:textId="27B1C5C2" w:rsidR="00004074" w:rsidRPr="00171606" w:rsidRDefault="00004074" w:rsidP="00004074">
          <w:pPr>
            <w:spacing w:after="120" w:line="288" w:lineRule="auto"/>
            <w:jc w:val="both"/>
            <w:rPr>
              <w:b/>
              <w:bCs/>
            </w:rPr>
          </w:pPr>
          <w:r w:rsidRPr="00171606">
            <w:rPr>
              <w:b/>
              <w:bCs/>
            </w:rPr>
            <w:t>1. Rreziqet e mosndërhyrjes dhe ndikimi në barazinë gjinore</w:t>
          </w:r>
        </w:p>
        <w:p w14:paraId="027E9484" w14:textId="25C34A64" w:rsidR="00004074" w:rsidRPr="00DF29D6" w:rsidRDefault="00004074" w:rsidP="00004074">
          <w:pPr>
            <w:spacing w:after="120" w:line="288" w:lineRule="auto"/>
            <w:jc w:val="both"/>
          </w:pPr>
          <w:r w:rsidRPr="00DF29D6">
            <w:t>Nëse nuk ndërmerren ndryshimet ligjore të propozuara,</w:t>
          </w:r>
          <w:r w:rsidR="003F60F9">
            <w:t xml:space="preserve"> nëpërmjet hartimit të një ligji të ri,</w:t>
          </w:r>
          <w:r w:rsidRPr="00DF29D6">
            <w:t xml:space="preserve"> pabarazitë gjinore në sektorin e shërbimeve dhe në sipërmarrjen e grave mund të thellohen. Pabarazitë ekzistuese reflektohen në:</w:t>
          </w:r>
        </w:p>
        <w:p w14:paraId="4D1445DF" w14:textId="56BC30A1" w:rsidR="00004074" w:rsidRPr="003F60F9"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Normat më të ulëta të punësimit për gratë (58.9%) krahasuar me burrat (71.3%).</w:t>
          </w:r>
        </w:p>
        <w:p w14:paraId="1DC96584" w14:textId="1CA78D56" w:rsidR="00004074" w:rsidRPr="003F60F9"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Pjesëmarrjen e lartë të grave si punonjëse të papaguara në bizneset familjare (23.5% kundrejt 13.2% për burrat).</w:t>
          </w:r>
        </w:p>
        <w:p w14:paraId="524839D7" w14:textId="4439B6E1" w:rsidR="00004074" w:rsidRPr="003F60F9"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 xml:space="preserve"> Përqindjen më të ulët të grave të vetëpunësuara (20.4%) në krahasim me burrat (33.1%).</w:t>
          </w:r>
        </w:p>
        <w:p w14:paraId="37DFD27C" w14:textId="77777777" w:rsidR="00004074" w:rsidRPr="00DF29D6" w:rsidRDefault="00004074" w:rsidP="00004074">
          <w:pPr>
            <w:spacing w:after="120" w:line="288" w:lineRule="auto"/>
            <w:jc w:val="both"/>
          </w:pPr>
          <w:r w:rsidRPr="00DF29D6">
            <w:t>Në mungesë të një ndërhyrjeje të duhur, gratë do të vazhdojnë të jenë të nën përfaqësuara në sektorë të ndryshëm, duke mos përfituar plotësisht nga mundësitë që ofron tregu i shërbimeve</w:t>
          </w:r>
          <w:r>
            <w:t>.</w:t>
          </w:r>
        </w:p>
        <w:p w14:paraId="209AAFAC" w14:textId="77777777" w:rsidR="00004074" w:rsidRPr="00171606" w:rsidRDefault="00004074" w:rsidP="00004074">
          <w:pPr>
            <w:spacing w:after="120" w:line="288" w:lineRule="auto"/>
            <w:jc w:val="both"/>
            <w:rPr>
              <w:b/>
              <w:bCs/>
            </w:rPr>
          </w:pPr>
          <w:r w:rsidRPr="00171606">
            <w:rPr>
              <w:b/>
              <w:bCs/>
            </w:rPr>
            <w:t>2. Përfitimet e ndërhyrjes për barazinë gjinore</w:t>
          </w:r>
        </w:p>
        <w:p w14:paraId="69521E0B" w14:textId="4C1BF7ED" w:rsidR="00004074" w:rsidRPr="00DF29D6" w:rsidRDefault="000A48D6" w:rsidP="00004074">
          <w:pPr>
            <w:spacing w:after="120" w:line="288" w:lineRule="auto"/>
            <w:jc w:val="both"/>
          </w:pPr>
          <w:r>
            <w:t>Hartimi i një ligji të ri</w:t>
          </w:r>
          <w:r w:rsidR="00004074" w:rsidRPr="00DF29D6">
            <w:t xml:space="preserve"> për shërbimet ka potencial të </w:t>
          </w:r>
          <w:r w:rsidR="00CB11D5">
            <w:t>konsiderueshëm</w:t>
          </w:r>
          <w:r w:rsidR="00004074" w:rsidRPr="00DF29D6">
            <w:t xml:space="preserve"> për të promovuar barazinë gjinore, duke ndikuar në përmirësimin e situatës për gratë si punonjëse dhe sipërmarrëse. </w:t>
          </w:r>
        </w:p>
        <w:p w14:paraId="0E576D8E" w14:textId="77777777" w:rsidR="00004074" w:rsidRPr="00313E03"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Përafrimi me Direktivën për Shërbimet mund të çojë në lehtësimin e ofrimit të shërbimeve ndërkufitare, duke krijuar më shumë mundësi punësimi dhe vetëpunësimi për gratë në sektorin e shërbimeve, i cili është tradicionalisht i dominuar nga to.</w:t>
          </w:r>
        </w:p>
        <w:p w14:paraId="4B12A718" w14:textId="77777777" w:rsidR="00004074" w:rsidRPr="00313E03"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Nxitja e sipërmarrjes së grave: Me gratë që përbëjnë 31% të sipërmarrësve, përmirësimi i kuadrit ligjor do të krijojë kushte më të favorshme për gratë sipërmarrëse, veçanërisht në sektorët ku ato janë të nën përfaqësuara si tregtia, transporti dhe shërbimet ushqimore. Kjo do të ndihmojë në zgjerimin e mundësive për gratë për të ofruar shërbime ndërkufitare, duke rritur mundësinë e tyre për të hyrë në tregje të reja.</w:t>
          </w:r>
        </w:p>
        <w:p w14:paraId="25A11AA3" w14:textId="77777777" w:rsidR="00004074" w:rsidRPr="00313E03"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Lehtësimi i proceseve administrative për themelimin dhe menaxhimin e bizneseve është një faktor kyç për nxitjen e barazisë gjinore. Kjo do të thjeshtojë proceset burokratike për të dyja gjinitë, por mund të ketë një ndikim të veçantë tek gratë, të cilat përballen me më shumë pengesa për të hyrë në sipërmarrje.</w:t>
          </w:r>
        </w:p>
        <w:p w14:paraId="3087ADAB" w14:textId="77777777" w:rsidR="00004074" w:rsidRPr="00DF29D6" w:rsidRDefault="00004074" w:rsidP="00004074">
          <w:pPr>
            <w:spacing w:after="120" w:line="288" w:lineRule="auto"/>
            <w:jc w:val="both"/>
            <w:rPr>
              <w:b/>
            </w:rPr>
          </w:pPr>
          <w:r>
            <w:t>3</w:t>
          </w:r>
          <w:r w:rsidRPr="00171606">
            <w:rPr>
              <w:b/>
              <w:bCs/>
            </w:rPr>
            <w:t>. Ndikimi në sektorët e punësimit dhe shërbimeve</w:t>
          </w:r>
        </w:p>
        <w:p w14:paraId="601E336A" w14:textId="52F298C3" w:rsidR="00004074" w:rsidRPr="00DF29D6" w:rsidRDefault="001473CD" w:rsidP="00004074">
          <w:pPr>
            <w:spacing w:after="120" w:line="288" w:lineRule="auto"/>
            <w:jc w:val="both"/>
          </w:pPr>
          <w:r>
            <w:t xml:space="preserve">Hartimi </w:t>
          </w:r>
          <w:r w:rsidR="00A72A69">
            <w:t>i</w:t>
          </w:r>
          <w:r>
            <w:t xml:space="preserve"> ligjit t</w:t>
          </w:r>
          <w:r w:rsidR="00A72A69">
            <w:t>ë</w:t>
          </w:r>
          <w:r>
            <w:t xml:space="preserve"> ri</w:t>
          </w:r>
          <w:r w:rsidR="00A72A69">
            <w:t xml:space="preserve"> </w:t>
          </w:r>
          <w:r>
            <w:t>dhe p</w:t>
          </w:r>
          <w:r w:rsidR="00A72A69">
            <w:t>ë</w:t>
          </w:r>
          <w:r>
            <w:t>rputhja e tij e plot</w:t>
          </w:r>
          <w:r w:rsidR="00A72A69">
            <w:t>ë</w:t>
          </w:r>
          <w:r>
            <w:t xml:space="preserve"> me Direktiv</w:t>
          </w:r>
          <w:r w:rsidR="00A72A69">
            <w:t>ë</w:t>
          </w:r>
          <w:r>
            <w:t>n</w:t>
          </w:r>
          <w:r w:rsidR="00A72A69">
            <w:t xml:space="preserve"> 2006/123,</w:t>
          </w:r>
          <w:r w:rsidR="00004074" w:rsidRPr="00DF29D6">
            <w:t xml:space="preserve"> mund të krijojnë kushte më të favorshme për gratë në sektorë të ndryshëm të shërbimeve ku ato janë të përfshira:</w:t>
          </w:r>
        </w:p>
        <w:p w14:paraId="01A74F7D" w14:textId="77777777" w:rsidR="00004074" w:rsidRPr="001473CD"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Sektori i bujqësisë dhe tregtisë: Aktualisht, 40.1% e grave janë të punësuara në bujqësi dhe një pjesë e madhe e tyre janë të përfshira në sektorin e tregtisë dhe transportit (22.5%). Ndërhyrjet rregullatore mund të kontribuojnë në përmirësimin e kushteve dhe krijimin e mundësive më të barabarta për gratë në këto sektorë.</w:t>
          </w:r>
        </w:p>
        <w:p w14:paraId="0AA12A0F" w14:textId="77777777" w:rsidR="00004074" w:rsidRPr="001473CD"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Shërbimet ndërkufitare: Përafrimi i kuadrit ligjor me direktivën e BE do të krijojë mundësi të reja për gratë që ofrojnë shërbime në sektorin ndërkufitar, duke iu dhënë më shumë qasje për të ofruar shërbime përtej kufijve të Shqipërisë.</w:t>
          </w:r>
        </w:p>
        <w:p w14:paraId="63D7250A" w14:textId="0B5F6132" w:rsidR="00004074" w:rsidRPr="00DF29D6" w:rsidRDefault="00004074" w:rsidP="00004074">
          <w:pPr>
            <w:spacing w:after="120" w:line="288" w:lineRule="auto"/>
            <w:jc w:val="both"/>
            <w:rPr>
              <w:b/>
            </w:rPr>
          </w:pPr>
          <w:r>
            <w:t>4</w:t>
          </w:r>
          <w:r w:rsidRPr="00171606">
            <w:rPr>
              <w:b/>
              <w:bCs/>
            </w:rPr>
            <w:t>. Qasje në shërbime</w:t>
          </w:r>
        </w:p>
        <w:p w14:paraId="4FB4E0B0" w14:textId="51092CCC" w:rsidR="00004074" w:rsidRPr="00DF29D6" w:rsidRDefault="00004074" w:rsidP="00004074">
          <w:pPr>
            <w:spacing w:after="120" w:line="288" w:lineRule="auto"/>
            <w:jc w:val="both"/>
          </w:pPr>
          <w:r>
            <w:t>Përafrimi</w:t>
          </w:r>
          <w:r w:rsidRPr="00DF29D6">
            <w:t xml:space="preserve"> i kuadrit rregullator do të rrisë cilësinë dhe disponueshmërinë e shërbimeve në fusha që kanë rëndësi të veçantë për gratë, duke përfshirë:</w:t>
          </w:r>
        </w:p>
        <w:p w14:paraId="691C9F52" w14:textId="3EF54D4F" w:rsidR="00004074" w:rsidRPr="00A72A69"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Kujdesin për fëmijët dhe shërbimet e kujdesit shëndetësor, që janë kritike për gratë që kërkojnë të përfshihen më aktivisht në tregun e punës dhe në sipërmarrje.</w:t>
          </w:r>
        </w:p>
        <w:p w14:paraId="0A18EF66" w14:textId="46D24428" w:rsidR="00004074" w:rsidRPr="00A72A69" w:rsidRDefault="00004074" w:rsidP="00CC709C">
          <w:pPr>
            <w:pStyle w:val="ListParagraph"/>
            <w:numPr>
              <w:ilvl w:val="0"/>
              <w:numId w:val="24"/>
            </w:numPr>
            <w:tabs>
              <w:tab w:val="clear" w:pos="567"/>
            </w:tabs>
            <w:spacing w:line="288" w:lineRule="auto"/>
            <w:contextualSpacing/>
            <w:jc w:val="both"/>
            <w:rPr>
              <w:rFonts w:ascii="Times New Roman" w:hAnsi="Times New Roman"/>
              <w:sz w:val="24"/>
              <w:szCs w:val="24"/>
            </w:rPr>
          </w:pPr>
          <w:r w:rsidRPr="6875B2D2">
            <w:rPr>
              <w:rFonts w:ascii="Times New Roman" w:hAnsi="Times New Roman"/>
              <w:sz w:val="24"/>
              <w:szCs w:val="24"/>
            </w:rPr>
            <w:t>Shërbimet për zhvillimin profesional, të cilat do të luajnë një rol të rëndësishëm në rritjen e mundësive për gratë që të zhvillojnë karrierën e tyre në sektorët e shërbimeve.</w:t>
          </w:r>
        </w:p>
        <w:p w14:paraId="79A4D107" w14:textId="415FD144" w:rsidR="00004074" w:rsidRDefault="00004074" w:rsidP="00004074">
          <w:pPr>
            <w:spacing w:after="120" w:line="288" w:lineRule="auto"/>
            <w:jc w:val="both"/>
          </w:pPr>
          <w:r w:rsidRPr="00DF29D6">
            <w:t xml:space="preserve">Sa më sipër, </w:t>
          </w:r>
          <w:r w:rsidR="00996806">
            <w:t xml:space="preserve">hartimi </w:t>
          </w:r>
          <w:r w:rsidR="005B4F44">
            <w:t>i</w:t>
          </w:r>
          <w:r w:rsidR="00996806">
            <w:t xml:space="preserve"> normave të reja</w:t>
          </w:r>
          <w:r w:rsidRPr="00DF29D6">
            <w:t xml:space="preserve"> në </w:t>
          </w:r>
          <w:r w:rsidR="00922BDF">
            <w:t>l</w:t>
          </w:r>
          <w:r w:rsidRPr="00DF29D6">
            <w:t>igjin</w:t>
          </w:r>
          <w:r w:rsidR="00996806">
            <w:t xml:space="preserve"> e ri</w:t>
          </w:r>
          <w:r w:rsidRPr="00DF29D6">
            <w:t xml:space="preserve"> për </w:t>
          </w:r>
          <w:r w:rsidR="00922BDF">
            <w:t>s</w:t>
          </w:r>
          <w:r w:rsidRPr="00DF29D6">
            <w:t xml:space="preserve">hërbimet, edhe pse në dukje neutrale ndaj gjinisë, kanë potencial të madh për të ndikuar pozitivisht në barazinë gjinore. Këto mund të përmirësojnë situatën e grave në tregun e punës dhe në sipërmarrje, duke u ofruar atyre mundësi më të mëdha për zhvillim ekonomik dhe profesional. </w:t>
          </w:r>
        </w:p>
        <w:p w14:paraId="42F3E37E" w14:textId="30F2E996" w:rsidR="00004074" w:rsidRPr="00DF29D6" w:rsidRDefault="00004074" w:rsidP="00004074">
          <w:pPr>
            <w:spacing w:after="120" w:line="288" w:lineRule="auto"/>
            <w:jc w:val="both"/>
          </w:pPr>
          <w:r w:rsidRPr="00DF29D6">
            <w:t>Duke përfshirë një qasje të ndjeshme ndaj gjinisë dhe duke i kushtuar vëmendje të dhënave gjinore në sektorët kyç, këto ndërhyrje rregullatore mund të ndihmojnë në mbylljen e hendekut gjinor dhe në promovimin e një tregu më të barabartë për të dyja gjinitë.</w:t>
          </w:r>
        </w:p>
        <w:p w14:paraId="216B2C78" w14:textId="77777777" w:rsidR="00004074" w:rsidRDefault="00004074" w:rsidP="00004074">
          <w:pPr>
            <w:tabs>
              <w:tab w:val="left" w:pos="10080"/>
            </w:tabs>
            <w:spacing w:line="276" w:lineRule="auto"/>
            <w:ind w:left="34"/>
            <w:jc w:val="both"/>
            <w:rPr>
              <w:b/>
              <w:bCs/>
            </w:rPr>
          </w:pPr>
        </w:p>
        <w:p w14:paraId="494A827E" w14:textId="63DEE64E" w:rsidR="00666D7B" w:rsidRPr="008F0CC0" w:rsidRDefault="00666D7B" w:rsidP="00CC709C">
          <w:pPr>
            <w:pStyle w:val="ListParagraph"/>
            <w:numPr>
              <w:ilvl w:val="0"/>
              <w:numId w:val="26"/>
            </w:numPr>
            <w:tabs>
              <w:tab w:val="left" w:pos="10080"/>
            </w:tabs>
            <w:spacing w:line="276" w:lineRule="auto"/>
            <w:jc w:val="both"/>
            <w:rPr>
              <w:rFonts w:ascii="Times New Roman" w:hAnsi="Times New Roman"/>
              <w:b/>
              <w:spacing w:val="-4"/>
              <w:kern w:val="32"/>
              <w:sz w:val="24"/>
              <w:szCs w:val="24"/>
            </w:rPr>
          </w:pPr>
          <w:r w:rsidRPr="6875B2D2">
            <w:rPr>
              <w:rFonts w:ascii="Times New Roman" w:hAnsi="Times New Roman"/>
              <w:b/>
              <w:sz w:val="24"/>
              <w:szCs w:val="24"/>
            </w:rPr>
            <w:t>Analiza Financiare</w:t>
          </w:r>
        </w:p>
        <w:p w14:paraId="4A7CF217" w14:textId="469E0CDD" w:rsidR="00666D7B" w:rsidRPr="006B5B0C" w:rsidRDefault="00666D7B" w:rsidP="00666D7B">
          <w:pPr>
            <w:tabs>
              <w:tab w:val="left" w:pos="10080"/>
            </w:tabs>
            <w:spacing w:after="120" w:line="288" w:lineRule="auto"/>
            <w:jc w:val="both"/>
          </w:pPr>
          <w:r w:rsidRPr="006B5B0C">
            <w:t>Ky vlerësim përshkruan ndikimet e pritshme ekonomike dhe financiare të përafrimit të Direktivës 2006/123/KE në legjislacionin shqiptar, në kuadër të procesit të anëtarësimit në Bashkimin Evropian. Një vlerësim i plotë dhe material kërkon disponueshmërinë e të dhënave të sakta, si aktuale ashtu edhe historike, për të siguruar një analizë të gjithanshme dhe të saktë.</w:t>
          </w:r>
        </w:p>
        <w:p w14:paraId="36603FC9" w14:textId="77777777" w:rsidR="00666D7B" w:rsidRPr="006B5B0C" w:rsidRDefault="00666D7B" w:rsidP="00666D7B">
          <w:pPr>
            <w:tabs>
              <w:tab w:val="left" w:pos="10080"/>
            </w:tabs>
            <w:spacing w:after="120" w:line="288" w:lineRule="auto"/>
            <w:jc w:val="both"/>
          </w:pPr>
        </w:p>
        <w:p w14:paraId="257BDD49" w14:textId="77777777" w:rsidR="00666D7B" w:rsidRPr="006B5B0C" w:rsidRDefault="00666D7B" w:rsidP="00666D7B">
          <w:pPr>
            <w:tabs>
              <w:tab w:val="left" w:pos="10080"/>
            </w:tabs>
            <w:spacing w:after="120" w:line="288" w:lineRule="auto"/>
            <w:jc w:val="both"/>
            <w:rPr>
              <w:b/>
              <w:bCs/>
            </w:rPr>
          </w:pPr>
          <w:r w:rsidRPr="006B5B0C">
            <w:rPr>
              <w:b/>
              <w:bCs/>
            </w:rPr>
            <w:t>Përafrimi me kuadrin e BE-së dhe kërkesat për të dhëna:</w:t>
          </w:r>
        </w:p>
        <w:p w14:paraId="6DDE6FAE" w14:textId="11AC07C4" w:rsidR="00D62C48" w:rsidRPr="006B5B0C" w:rsidRDefault="00666D7B" w:rsidP="00D62C48">
          <w:pPr>
            <w:tabs>
              <w:tab w:val="left" w:pos="10080"/>
            </w:tabs>
            <w:spacing w:after="120" w:line="288" w:lineRule="auto"/>
            <w:jc w:val="both"/>
          </w:pPr>
          <w:r w:rsidRPr="006B5B0C">
            <w:t xml:space="preserve">Përafrimi me këtë direktivë përbën një hap kyç në procesin e anëtarësimit të Shqipërisë në BE, me qëllim </w:t>
          </w:r>
          <w:r w:rsidRPr="00FF3999">
            <w:t>krijimin e kushteve për ofrimin e shërbimeve ndërkufitare, shumedisiplinore, rregullimin bashkëpunimit administrativ dhe ndërveprimin me Sistemin e Informacionit të</w:t>
          </w:r>
          <w:r w:rsidR="00D62C48">
            <w:t xml:space="preserve"> </w:t>
          </w:r>
          <w:r w:rsidR="00D62C48" w:rsidRPr="00FF3999">
            <w:t>Tregut te Vetëm, në kuadër të detyrimeve të ndërmarra nga Republika e Shqipërisë me qëllim anëtarësimin në Bashkimin Evropian (“BE”</w:t>
          </w:r>
          <w:r w:rsidR="00D62C48" w:rsidRPr="006B5B0C">
            <w:t>). Ky proces kërkon një analizë të kujdesshme të ndryshimeve mes legjislacionit shqiptar ekzistues dhe kërkesave të direktivës. Për të vlerësuar në mënyrë të efektshme ndikimet e këtyre ndryshimeve, është thelbësore të ketë akses në të dhëna të besueshme, aktuale për grupet e prekura, ofruesish te shërbimeve si dhe të dhëna historike për të ndërtuar trende dhe baza krahasimi.</w:t>
          </w:r>
        </w:p>
        <w:p w14:paraId="096F45AC" w14:textId="77777777" w:rsidR="00D62C48" w:rsidRPr="006B5B0C" w:rsidRDefault="00D62C48" w:rsidP="00D62C48">
          <w:pPr>
            <w:tabs>
              <w:tab w:val="left" w:pos="10080"/>
            </w:tabs>
            <w:spacing w:after="120" w:line="288" w:lineRule="auto"/>
            <w:jc w:val="both"/>
            <w:rPr>
              <w:b/>
              <w:bCs/>
            </w:rPr>
          </w:pPr>
          <w:r w:rsidRPr="006B5B0C">
            <w:rPr>
              <w:b/>
              <w:bCs/>
            </w:rPr>
            <w:t>• Efektet ekonomike dhe roli i të dhënave:</w:t>
          </w:r>
        </w:p>
        <w:p w14:paraId="0CD09AB3" w14:textId="2072CEA4" w:rsidR="00D62C48" w:rsidRPr="006B5B0C" w:rsidRDefault="00D62C48" w:rsidP="00D62C48">
          <w:pPr>
            <w:tabs>
              <w:tab w:val="left" w:pos="10080"/>
            </w:tabs>
            <w:spacing w:after="120" w:line="288" w:lineRule="auto"/>
            <w:jc w:val="both"/>
          </w:pPr>
          <w:r w:rsidRPr="006B5B0C">
            <w:t xml:space="preserve">Konsideratat makroekonomike: Zbatimi i </w:t>
          </w:r>
          <w:r w:rsidR="00E43F18">
            <w:t>normave të përputhura me Direktivën 2006/123</w:t>
          </w:r>
          <w:r w:rsidRPr="006B5B0C">
            <w:t xml:space="preserve"> pritet të ketë ndikime në politika fiskale, politika monetare, rregullat tregtare, PBB, investime dhe konsum. Gjithashtu, pritet të ketë ndikime në nivelet e punësimit. Modelet dhe parashikimet makroekonomike të sakta kërkojnë të dhëna historike solide për të identifikuar tendencat dhe lidhjet midis variablave ekonomikë, si dhe të dhëna aktuale që pasqyrojnë gjendjen aktuale të ekonomisë shqiptare.</w:t>
          </w:r>
        </w:p>
        <w:p w14:paraId="1B8D4640" w14:textId="77777777" w:rsidR="00583744" w:rsidRPr="006B5B0C" w:rsidRDefault="00583744" w:rsidP="00583744">
          <w:pPr>
            <w:tabs>
              <w:tab w:val="left" w:pos="10080"/>
            </w:tabs>
            <w:spacing w:after="120" w:line="288" w:lineRule="auto"/>
            <w:jc w:val="both"/>
          </w:pPr>
          <w:r w:rsidRPr="006B5B0C">
            <w:t>Vlerësimi i këtyre ndikimeve kërkon ndërtimin e një modeli simulues të ndikimit ekonomik, në bashkëpunim me Ministrinë e Financave dhe Ekonomisë dhe INSTAT, i cili të mbështetet në të dhëna historike dhe të aktualizuara që pasqyrojnë gjendjen e ekonomisë shqiptare. Një model i tillë do të mundësonte analizën e lidhjeve ndërmjet zbatimit të kuadrit të ri ligjor dhe indikatorëve si PBB-ja, punësimi dhe eksporti i shërbimeve.</w:t>
          </w:r>
        </w:p>
        <w:p w14:paraId="15CCD38E" w14:textId="77777777" w:rsidR="00583744" w:rsidRPr="006B5B0C" w:rsidRDefault="00583744" w:rsidP="00583744">
          <w:pPr>
            <w:tabs>
              <w:tab w:val="left" w:pos="10080"/>
            </w:tabs>
            <w:spacing w:after="120" w:line="288" w:lineRule="auto"/>
            <w:jc w:val="both"/>
          </w:pPr>
          <w:r w:rsidRPr="006B5B0C">
            <w:rPr>
              <w:b/>
              <w:bCs/>
            </w:rPr>
            <w:t>Ndikimet në financat publike:</w:t>
          </w:r>
          <w:r w:rsidRPr="006B5B0C">
            <w:t xml:space="preserve"> Ndryshimet pritet të ndikojnë në të ardhurat shtetërore, përfshirë të ardhurat nga taksat. Ndërsa në fazën fillestare zbatimi mund të sjellë rritje të shpenzimeve, në afat mesëm dhe të gjatë ekziston potenciali për rritje të të ardhurave dhe zhvillim ekonomik që do të ndikojë pozitivisht në financat publike. Vlerësimi i këtyre ndikimeve kërkon të dhëna historike të detajuara mbi të ardhurat dhe shpenzimet e qeverisë, si dhe të dhëna aktuale për të projektuar me saktësi rezultatet e mundshme.</w:t>
          </w:r>
        </w:p>
        <w:p w14:paraId="3FB24899" w14:textId="77777777" w:rsidR="00574AB1" w:rsidRPr="006B5B0C" w:rsidRDefault="00574AB1" w:rsidP="00574AB1">
          <w:pPr>
            <w:tabs>
              <w:tab w:val="left" w:pos="10080"/>
            </w:tabs>
            <w:spacing w:after="120" w:line="288" w:lineRule="auto"/>
            <w:jc w:val="both"/>
          </w:pPr>
          <w:r w:rsidRPr="006B5B0C">
            <w:t>Si në tabelën e paraqitur në vijim, ne kemi listuar</w:t>
          </w:r>
        </w:p>
        <w:p w14:paraId="3597EEAC" w14:textId="77777777" w:rsidR="00574AB1" w:rsidRPr="00574AB1" w:rsidRDefault="00574AB1" w:rsidP="00CC709C">
          <w:pPr>
            <w:pStyle w:val="ListParagraph"/>
            <w:numPr>
              <w:ilvl w:val="1"/>
              <w:numId w:val="16"/>
            </w:numPr>
            <w:tabs>
              <w:tab w:val="clear" w:pos="567"/>
              <w:tab w:val="left" w:pos="10080"/>
            </w:tabs>
            <w:spacing w:line="288" w:lineRule="auto"/>
            <w:contextualSpacing/>
            <w:jc w:val="both"/>
            <w:rPr>
              <w:rFonts w:ascii="Times New Roman" w:hAnsi="Times New Roman"/>
              <w:sz w:val="24"/>
              <w:szCs w:val="24"/>
            </w:rPr>
          </w:pPr>
          <w:r w:rsidRPr="6875B2D2">
            <w:rPr>
              <w:rFonts w:ascii="Times New Roman" w:hAnsi="Times New Roman"/>
              <w:sz w:val="24"/>
              <w:szCs w:val="24"/>
            </w:rPr>
            <w:t xml:space="preserve">ndikimet e drejtpërdrejta dhe të tërthorta në terma të kostove dhe përfitimeve lidhur me secilin grup të prekur , </w:t>
          </w:r>
        </w:p>
        <w:p w14:paraId="20AC1534" w14:textId="77777777" w:rsidR="00574AB1" w:rsidRPr="00574AB1" w:rsidRDefault="00574AB1" w:rsidP="00CC709C">
          <w:pPr>
            <w:pStyle w:val="ListParagraph"/>
            <w:numPr>
              <w:ilvl w:val="1"/>
              <w:numId w:val="16"/>
            </w:numPr>
            <w:tabs>
              <w:tab w:val="clear" w:pos="567"/>
              <w:tab w:val="left" w:pos="10080"/>
            </w:tabs>
            <w:spacing w:line="288" w:lineRule="auto"/>
            <w:contextualSpacing/>
            <w:jc w:val="both"/>
            <w:rPr>
              <w:rFonts w:ascii="Times New Roman" w:hAnsi="Times New Roman"/>
              <w:sz w:val="24"/>
              <w:szCs w:val="24"/>
            </w:rPr>
          </w:pPr>
          <w:r w:rsidRPr="6875B2D2">
            <w:rPr>
              <w:rFonts w:ascii="Times New Roman" w:hAnsi="Times New Roman"/>
              <w:sz w:val="24"/>
              <w:szCs w:val="24"/>
            </w:rPr>
            <w:t xml:space="preserve">shpeshtësinë e tyre (një herë apo përsëriten), </w:t>
          </w:r>
        </w:p>
        <w:p w14:paraId="04B621C5" w14:textId="77777777" w:rsidR="00574AB1" w:rsidRPr="00574AB1" w:rsidRDefault="00574AB1" w:rsidP="00CC709C">
          <w:pPr>
            <w:pStyle w:val="ListParagraph"/>
            <w:numPr>
              <w:ilvl w:val="1"/>
              <w:numId w:val="16"/>
            </w:numPr>
            <w:tabs>
              <w:tab w:val="clear" w:pos="567"/>
              <w:tab w:val="left" w:pos="10080"/>
            </w:tabs>
            <w:spacing w:line="288" w:lineRule="auto"/>
            <w:contextualSpacing/>
            <w:jc w:val="both"/>
            <w:rPr>
              <w:rFonts w:ascii="Times New Roman" w:hAnsi="Times New Roman"/>
              <w:sz w:val="24"/>
              <w:szCs w:val="24"/>
            </w:rPr>
          </w:pPr>
          <w:r w:rsidRPr="6875B2D2">
            <w:rPr>
              <w:rFonts w:ascii="Times New Roman" w:hAnsi="Times New Roman"/>
              <w:sz w:val="24"/>
              <w:szCs w:val="24"/>
            </w:rPr>
            <w:t xml:space="preserve">të dhënat e nevojshme për përcaktimin e vlerës së kostove dhe përfitimeve, dhe </w:t>
          </w:r>
        </w:p>
        <w:p w14:paraId="03EAD02F" w14:textId="11761EB3" w:rsidR="00574AB1" w:rsidRPr="00587DFB" w:rsidRDefault="00574AB1" w:rsidP="00CC709C">
          <w:pPr>
            <w:pStyle w:val="ListParagraph"/>
            <w:numPr>
              <w:ilvl w:val="1"/>
              <w:numId w:val="16"/>
            </w:numPr>
            <w:tabs>
              <w:tab w:val="clear" w:pos="567"/>
              <w:tab w:val="left" w:pos="10080"/>
            </w:tabs>
            <w:spacing w:line="288" w:lineRule="auto"/>
            <w:contextualSpacing/>
            <w:jc w:val="both"/>
            <w:rPr>
              <w:rFonts w:ascii="Times New Roman" w:hAnsi="Times New Roman"/>
              <w:sz w:val="24"/>
              <w:szCs w:val="24"/>
            </w:rPr>
          </w:pPr>
          <w:r w:rsidRPr="6875B2D2">
            <w:rPr>
              <w:rFonts w:ascii="Times New Roman" w:hAnsi="Times New Roman"/>
              <w:sz w:val="24"/>
              <w:szCs w:val="24"/>
            </w:rPr>
            <w:t>burimin e informacionit nga mund të gjenden të dhënat e besueshme:</w:t>
          </w:r>
        </w:p>
        <w:p w14:paraId="19166D3B" w14:textId="39CB75E2" w:rsidR="005106C6" w:rsidRDefault="005106C6" w:rsidP="00666D7B">
          <w:pPr>
            <w:spacing w:before="2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
            <w:gridCol w:w="1109"/>
            <w:gridCol w:w="1570"/>
            <w:gridCol w:w="1719"/>
            <w:gridCol w:w="1289"/>
            <w:gridCol w:w="1136"/>
            <w:gridCol w:w="1113"/>
            <w:gridCol w:w="1307"/>
            <w:gridCol w:w="797"/>
          </w:tblGrid>
          <w:tr w:rsidR="00587DFB" w:rsidRPr="00754F3E" w14:paraId="76911E94" w14:textId="77777777" w:rsidTr="00D004C1">
            <w:trPr>
              <w:tblHeader/>
            </w:trPr>
            <w:tc>
              <w:tcPr>
                <w:tcW w:w="73" w:type="pct"/>
                <w:hideMark/>
              </w:tcPr>
              <w:p w14:paraId="265523CB" w14:textId="77777777" w:rsidR="00587DFB" w:rsidRPr="00754F3E" w:rsidRDefault="00587DFB" w:rsidP="00D004C1">
                <w:pPr>
                  <w:jc w:val="center"/>
                  <w:rPr>
                    <w:b/>
                    <w:bCs/>
                    <w:sz w:val="18"/>
                    <w:szCs w:val="18"/>
                  </w:rPr>
                </w:pPr>
                <w:r w:rsidRPr="00754F3E">
                  <w:rPr>
                    <w:b/>
                    <w:bCs/>
                    <w:sz w:val="18"/>
                    <w:szCs w:val="18"/>
                  </w:rPr>
                  <w:t>#</w:t>
                </w:r>
              </w:p>
            </w:tc>
            <w:tc>
              <w:tcPr>
                <w:tcW w:w="526" w:type="pct"/>
                <w:hideMark/>
              </w:tcPr>
              <w:p w14:paraId="2B4AED74" w14:textId="77777777" w:rsidR="00587DFB" w:rsidRPr="00754F3E" w:rsidRDefault="00587DFB" w:rsidP="00D004C1">
                <w:pPr>
                  <w:jc w:val="center"/>
                  <w:rPr>
                    <w:b/>
                    <w:bCs/>
                    <w:sz w:val="18"/>
                    <w:szCs w:val="18"/>
                  </w:rPr>
                </w:pPr>
                <w:r w:rsidRPr="00754F3E">
                  <w:rPr>
                    <w:b/>
                    <w:bCs/>
                    <w:sz w:val="18"/>
                    <w:szCs w:val="18"/>
                  </w:rPr>
                  <w:t>Grupi i Prekur</w:t>
                </w:r>
              </w:p>
            </w:tc>
            <w:tc>
              <w:tcPr>
                <w:tcW w:w="744" w:type="pct"/>
                <w:hideMark/>
              </w:tcPr>
              <w:p w14:paraId="74843249" w14:textId="77777777" w:rsidR="00587DFB" w:rsidRPr="00754F3E" w:rsidRDefault="00587DFB" w:rsidP="00D004C1">
                <w:pPr>
                  <w:jc w:val="center"/>
                  <w:rPr>
                    <w:b/>
                    <w:bCs/>
                    <w:sz w:val="18"/>
                    <w:szCs w:val="18"/>
                  </w:rPr>
                </w:pPr>
                <w:r w:rsidRPr="00754F3E">
                  <w:rPr>
                    <w:b/>
                    <w:bCs/>
                    <w:sz w:val="18"/>
                    <w:szCs w:val="18"/>
                  </w:rPr>
                  <w:t>Kostot Direkte</w:t>
                </w:r>
              </w:p>
            </w:tc>
            <w:tc>
              <w:tcPr>
                <w:tcW w:w="815" w:type="pct"/>
                <w:hideMark/>
              </w:tcPr>
              <w:p w14:paraId="0E8A0EBD" w14:textId="77777777" w:rsidR="00587DFB" w:rsidRPr="00754F3E" w:rsidRDefault="00587DFB" w:rsidP="00D004C1">
                <w:pPr>
                  <w:jc w:val="center"/>
                  <w:rPr>
                    <w:b/>
                    <w:bCs/>
                    <w:sz w:val="18"/>
                    <w:szCs w:val="18"/>
                  </w:rPr>
                </w:pPr>
                <w:r w:rsidRPr="00754F3E">
                  <w:rPr>
                    <w:b/>
                    <w:bCs/>
                    <w:sz w:val="18"/>
                    <w:szCs w:val="18"/>
                  </w:rPr>
                  <w:t>Kostot Indirekte</w:t>
                </w:r>
              </w:p>
            </w:tc>
            <w:tc>
              <w:tcPr>
                <w:tcW w:w="611" w:type="pct"/>
                <w:hideMark/>
              </w:tcPr>
              <w:p w14:paraId="616411A5" w14:textId="77777777" w:rsidR="00587DFB" w:rsidRPr="00754F3E" w:rsidRDefault="00587DFB" w:rsidP="00D004C1">
                <w:pPr>
                  <w:jc w:val="center"/>
                  <w:rPr>
                    <w:b/>
                    <w:bCs/>
                    <w:sz w:val="18"/>
                    <w:szCs w:val="18"/>
                  </w:rPr>
                </w:pPr>
                <w:r w:rsidRPr="00754F3E">
                  <w:rPr>
                    <w:b/>
                    <w:bCs/>
                    <w:sz w:val="18"/>
                    <w:szCs w:val="18"/>
                  </w:rPr>
                  <w:t>Përfitimet e Drejtpërdrejta</w:t>
                </w:r>
              </w:p>
            </w:tc>
            <w:tc>
              <w:tcPr>
                <w:tcW w:w="538" w:type="pct"/>
                <w:hideMark/>
              </w:tcPr>
              <w:p w14:paraId="5705CE7E" w14:textId="77777777" w:rsidR="00587DFB" w:rsidRPr="00754F3E" w:rsidRDefault="00587DFB" w:rsidP="00D004C1">
                <w:pPr>
                  <w:jc w:val="center"/>
                  <w:rPr>
                    <w:b/>
                    <w:bCs/>
                    <w:sz w:val="18"/>
                    <w:szCs w:val="18"/>
                  </w:rPr>
                </w:pPr>
                <w:r w:rsidRPr="00754F3E">
                  <w:rPr>
                    <w:b/>
                    <w:bCs/>
                    <w:sz w:val="18"/>
                    <w:szCs w:val="18"/>
                  </w:rPr>
                  <w:t>Përfitimet e Tërthorta</w:t>
                </w:r>
              </w:p>
            </w:tc>
            <w:tc>
              <w:tcPr>
                <w:tcW w:w="528" w:type="pct"/>
                <w:hideMark/>
              </w:tcPr>
              <w:p w14:paraId="14CF92AA" w14:textId="77777777" w:rsidR="00587DFB" w:rsidRPr="00754F3E" w:rsidRDefault="00587DFB" w:rsidP="00D004C1">
                <w:pPr>
                  <w:jc w:val="center"/>
                  <w:rPr>
                    <w:b/>
                    <w:bCs/>
                    <w:sz w:val="18"/>
                    <w:szCs w:val="18"/>
                  </w:rPr>
                </w:pPr>
                <w:r w:rsidRPr="00754F3E">
                  <w:rPr>
                    <w:b/>
                    <w:bCs/>
                    <w:sz w:val="18"/>
                    <w:szCs w:val="18"/>
                  </w:rPr>
                  <w:t>Shpeshtësia</w:t>
                </w:r>
              </w:p>
            </w:tc>
            <w:tc>
              <w:tcPr>
                <w:tcW w:w="620" w:type="pct"/>
                <w:hideMark/>
              </w:tcPr>
              <w:p w14:paraId="7A3A43E5" w14:textId="77777777" w:rsidR="00587DFB" w:rsidRPr="00754F3E" w:rsidRDefault="00587DFB" w:rsidP="00D004C1">
                <w:pPr>
                  <w:jc w:val="center"/>
                  <w:rPr>
                    <w:b/>
                    <w:bCs/>
                    <w:sz w:val="18"/>
                    <w:szCs w:val="18"/>
                  </w:rPr>
                </w:pPr>
                <w:r w:rsidRPr="00754F3E">
                  <w:rPr>
                    <w:b/>
                    <w:bCs/>
                    <w:sz w:val="18"/>
                    <w:szCs w:val="18"/>
                  </w:rPr>
                  <w:t>Të Dhëna / Indikatorë</w:t>
                </w:r>
              </w:p>
            </w:tc>
            <w:tc>
              <w:tcPr>
                <w:tcW w:w="378" w:type="pct"/>
                <w:hideMark/>
              </w:tcPr>
              <w:p w14:paraId="284B949D" w14:textId="77777777" w:rsidR="00587DFB" w:rsidRPr="00754F3E" w:rsidRDefault="00587DFB" w:rsidP="00D004C1">
                <w:pPr>
                  <w:jc w:val="center"/>
                  <w:rPr>
                    <w:b/>
                    <w:bCs/>
                    <w:sz w:val="18"/>
                    <w:szCs w:val="18"/>
                  </w:rPr>
                </w:pPr>
                <w:r w:rsidRPr="00754F3E">
                  <w:rPr>
                    <w:b/>
                    <w:bCs/>
                    <w:sz w:val="18"/>
                    <w:szCs w:val="18"/>
                  </w:rPr>
                  <w:t>Burimi i të Dhënave</w:t>
                </w:r>
              </w:p>
            </w:tc>
          </w:tr>
          <w:tr w:rsidR="00587DFB" w:rsidRPr="00754F3E" w14:paraId="6C52D631" w14:textId="77777777" w:rsidTr="00D004C1">
            <w:tc>
              <w:tcPr>
                <w:tcW w:w="73" w:type="pct"/>
                <w:hideMark/>
              </w:tcPr>
              <w:p w14:paraId="384F01E9" w14:textId="77777777" w:rsidR="00587DFB" w:rsidRPr="00754F3E" w:rsidRDefault="00587DFB" w:rsidP="00D004C1">
                <w:pPr>
                  <w:rPr>
                    <w:sz w:val="18"/>
                    <w:szCs w:val="18"/>
                  </w:rPr>
                </w:pPr>
                <w:r w:rsidRPr="00754F3E">
                  <w:rPr>
                    <w:sz w:val="18"/>
                    <w:szCs w:val="18"/>
                  </w:rPr>
                  <w:t>1</w:t>
                </w:r>
              </w:p>
            </w:tc>
            <w:tc>
              <w:tcPr>
                <w:tcW w:w="526" w:type="pct"/>
                <w:hideMark/>
              </w:tcPr>
              <w:p w14:paraId="4A0921EF" w14:textId="77777777" w:rsidR="00587DFB" w:rsidRPr="00754F3E" w:rsidRDefault="00587DFB" w:rsidP="00D004C1">
                <w:pPr>
                  <w:rPr>
                    <w:sz w:val="18"/>
                    <w:szCs w:val="18"/>
                  </w:rPr>
                </w:pPr>
                <w:r w:rsidRPr="00754F3E">
                  <w:rPr>
                    <w:sz w:val="18"/>
                    <w:szCs w:val="18"/>
                  </w:rPr>
                  <w:t>Qeveria &amp; Autoritetet Publike</w:t>
                </w:r>
              </w:p>
            </w:tc>
            <w:tc>
              <w:tcPr>
                <w:tcW w:w="744" w:type="pct"/>
                <w:hideMark/>
              </w:tcPr>
              <w:p w14:paraId="5B67A2F1" w14:textId="77777777" w:rsidR="00587DFB" w:rsidRPr="00754F3E" w:rsidRDefault="00587DFB" w:rsidP="00D004C1">
                <w:pPr>
                  <w:rPr>
                    <w:sz w:val="18"/>
                    <w:szCs w:val="18"/>
                  </w:rPr>
                </w:pPr>
                <w:r w:rsidRPr="00754F3E">
                  <w:rPr>
                    <w:sz w:val="18"/>
                    <w:szCs w:val="18"/>
                  </w:rPr>
                  <w:t xml:space="preserve">- Investime në IT &amp; PSC (p.sh., e-Albania) </w:t>
                </w:r>
                <w:r w:rsidRPr="00754F3E">
                  <w:rPr>
                    <w:sz w:val="18"/>
                    <w:szCs w:val="18"/>
                  </w:rPr>
                  <w:br/>
                  <w:t xml:space="preserve">- Trajnimi i stafit </w:t>
                </w:r>
                <w:r w:rsidRPr="00754F3E">
                  <w:rPr>
                    <w:sz w:val="18"/>
                    <w:szCs w:val="18"/>
                  </w:rPr>
                  <w:br/>
                  <w:t>- Draftimi/ndryshimi i ligjeve</w:t>
                </w:r>
              </w:p>
            </w:tc>
            <w:tc>
              <w:tcPr>
                <w:tcW w:w="815" w:type="pct"/>
                <w:hideMark/>
              </w:tcPr>
              <w:p w14:paraId="31E2DE94" w14:textId="77777777" w:rsidR="00587DFB" w:rsidRPr="00754F3E" w:rsidRDefault="00587DFB" w:rsidP="00D004C1">
                <w:pPr>
                  <w:rPr>
                    <w:sz w:val="18"/>
                    <w:szCs w:val="18"/>
                  </w:rPr>
                </w:pPr>
                <w:r w:rsidRPr="00754F3E">
                  <w:rPr>
                    <w:sz w:val="18"/>
                    <w:szCs w:val="18"/>
                  </w:rPr>
                  <w:t xml:space="preserve">- Kohë dhe burime administrative shtesë </w:t>
                </w:r>
                <w:r w:rsidRPr="00754F3E">
                  <w:rPr>
                    <w:sz w:val="18"/>
                    <w:szCs w:val="18"/>
                  </w:rPr>
                  <w:br/>
                  <w:t>- Mundësi për rritje fillestare të ngarkesës burokratike</w:t>
                </w:r>
              </w:p>
            </w:tc>
            <w:tc>
              <w:tcPr>
                <w:tcW w:w="611" w:type="pct"/>
                <w:hideMark/>
              </w:tcPr>
              <w:p w14:paraId="6781A43D" w14:textId="77777777" w:rsidR="00587DFB" w:rsidRPr="00754F3E" w:rsidRDefault="00587DFB" w:rsidP="00D004C1">
                <w:pPr>
                  <w:rPr>
                    <w:sz w:val="18"/>
                    <w:szCs w:val="18"/>
                  </w:rPr>
                </w:pPr>
                <w:r w:rsidRPr="00754F3E">
                  <w:rPr>
                    <w:sz w:val="18"/>
                    <w:szCs w:val="18"/>
                  </w:rPr>
                  <w:t xml:space="preserve">- Kursime afatgjata nga reduktimi i procedurave </w:t>
                </w:r>
                <w:r w:rsidRPr="00754F3E">
                  <w:rPr>
                    <w:sz w:val="18"/>
                    <w:szCs w:val="18"/>
                  </w:rPr>
                  <w:br/>
                  <w:t>- Të ardhura fiskale shtesë nga aktiviteti ekonomik më i lartë</w:t>
                </w:r>
              </w:p>
            </w:tc>
            <w:tc>
              <w:tcPr>
                <w:tcW w:w="538" w:type="pct"/>
                <w:hideMark/>
              </w:tcPr>
              <w:p w14:paraId="73869525" w14:textId="77777777" w:rsidR="00587DFB" w:rsidRPr="00754F3E" w:rsidRDefault="00587DFB" w:rsidP="00D004C1">
                <w:pPr>
                  <w:rPr>
                    <w:sz w:val="18"/>
                    <w:szCs w:val="18"/>
                  </w:rPr>
                </w:pPr>
                <w:r w:rsidRPr="00754F3E">
                  <w:rPr>
                    <w:sz w:val="18"/>
                    <w:szCs w:val="18"/>
                  </w:rPr>
                  <w:t xml:space="preserve">- Rritje e transparencës dhe besimit publik </w:t>
                </w:r>
                <w:r w:rsidRPr="00754F3E">
                  <w:rPr>
                    <w:sz w:val="18"/>
                    <w:szCs w:val="18"/>
                  </w:rPr>
                  <w:br/>
                  <w:t>- Forcim i imazhit të Shqipërisë në BE</w:t>
                </w:r>
              </w:p>
            </w:tc>
            <w:tc>
              <w:tcPr>
                <w:tcW w:w="528" w:type="pct"/>
                <w:hideMark/>
              </w:tcPr>
              <w:p w14:paraId="0D14963E" w14:textId="77777777" w:rsidR="00587DFB" w:rsidRPr="00754F3E" w:rsidRDefault="00587DFB" w:rsidP="00D004C1">
                <w:pPr>
                  <w:rPr>
                    <w:sz w:val="18"/>
                    <w:szCs w:val="18"/>
                  </w:rPr>
                </w:pPr>
                <w:r w:rsidRPr="00754F3E">
                  <w:rPr>
                    <w:sz w:val="18"/>
                    <w:szCs w:val="18"/>
                  </w:rPr>
                  <w:t xml:space="preserve">Kosto: afatshkurtra </w:t>
                </w:r>
                <w:r w:rsidRPr="00754F3E">
                  <w:rPr>
                    <w:sz w:val="18"/>
                    <w:szCs w:val="18"/>
                  </w:rPr>
                  <w:br/>
                  <w:t>Përfitime: afatmesme–afatgjata</w:t>
                </w:r>
              </w:p>
            </w:tc>
            <w:tc>
              <w:tcPr>
                <w:tcW w:w="620" w:type="pct"/>
                <w:hideMark/>
              </w:tcPr>
              <w:p w14:paraId="69D48E48" w14:textId="77777777" w:rsidR="00587DFB" w:rsidRPr="00754F3E" w:rsidRDefault="00587DFB" w:rsidP="00D004C1">
                <w:pPr>
                  <w:rPr>
                    <w:sz w:val="18"/>
                    <w:szCs w:val="18"/>
                  </w:rPr>
                </w:pPr>
                <w:r w:rsidRPr="00754F3E">
                  <w:rPr>
                    <w:sz w:val="18"/>
                    <w:szCs w:val="18"/>
                  </w:rPr>
                  <w:t xml:space="preserve">- Buxheti i shtetit </w:t>
                </w:r>
                <w:r w:rsidRPr="00754F3E">
                  <w:rPr>
                    <w:sz w:val="18"/>
                    <w:szCs w:val="18"/>
                  </w:rPr>
                  <w:br/>
                  <w:t xml:space="preserve">- Raporte zbatimi </w:t>
                </w:r>
                <w:r w:rsidRPr="00754F3E">
                  <w:rPr>
                    <w:sz w:val="18"/>
                    <w:szCs w:val="18"/>
                  </w:rPr>
                  <w:br/>
                  <w:t>- Indeksi i barrës administrative</w:t>
                </w:r>
              </w:p>
            </w:tc>
            <w:tc>
              <w:tcPr>
                <w:tcW w:w="378" w:type="pct"/>
                <w:hideMark/>
              </w:tcPr>
              <w:p w14:paraId="1A633E1E" w14:textId="77777777" w:rsidR="00587DFB" w:rsidRPr="00754F3E" w:rsidRDefault="00587DFB" w:rsidP="00D004C1">
                <w:pPr>
                  <w:rPr>
                    <w:sz w:val="18"/>
                    <w:szCs w:val="18"/>
                  </w:rPr>
                </w:pPr>
                <w:r w:rsidRPr="00754F3E">
                  <w:rPr>
                    <w:sz w:val="18"/>
                    <w:szCs w:val="18"/>
                  </w:rPr>
                  <w:t>MF, AKSHI, Raporte KE</w:t>
                </w:r>
              </w:p>
            </w:tc>
          </w:tr>
          <w:tr w:rsidR="00587DFB" w:rsidRPr="00754F3E" w14:paraId="5A686AA8" w14:textId="77777777" w:rsidTr="00D004C1">
            <w:tc>
              <w:tcPr>
                <w:tcW w:w="73" w:type="pct"/>
                <w:hideMark/>
              </w:tcPr>
              <w:p w14:paraId="40F01913" w14:textId="77777777" w:rsidR="00587DFB" w:rsidRPr="00754F3E" w:rsidRDefault="00587DFB" w:rsidP="00D004C1">
                <w:pPr>
                  <w:rPr>
                    <w:sz w:val="18"/>
                    <w:szCs w:val="18"/>
                  </w:rPr>
                </w:pPr>
                <w:r w:rsidRPr="00754F3E">
                  <w:rPr>
                    <w:sz w:val="18"/>
                    <w:szCs w:val="18"/>
                  </w:rPr>
                  <w:t>2</w:t>
                </w:r>
              </w:p>
            </w:tc>
            <w:tc>
              <w:tcPr>
                <w:tcW w:w="526" w:type="pct"/>
                <w:hideMark/>
              </w:tcPr>
              <w:p w14:paraId="55FED0BB" w14:textId="77777777" w:rsidR="00587DFB" w:rsidRPr="00754F3E" w:rsidRDefault="00587DFB" w:rsidP="00D004C1">
                <w:pPr>
                  <w:rPr>
                    <w:sz w:val="18"/>
                    <w:szCs w:val="18"/>
                  </w:rPr>
                </w:pPr>
                <w:r w:rsidRPr="00754F3E">
                  <w:rPr>
                    <w:sz w:val="18"/>
                    <w:szCs w:val="18"/>
                  </w:rPr>
                  <w:t>Ofruesit e Shërbimeve (biznese, SME, profesione të lira)</w:t>
                </w:r>
              </w:p>
            </w:tc>
            <w:tc>
              <w:tcPr>
                <w:tcW w:w="744" w:type="pct"/>
                <w:hideMark/>
              </w:tcPr>
              <w:p w14:paraId="2B9A862E" w14:textId="77777777" w:rsidR="00587DFB" w:rsidRPr="00754F3E" w:rsidRDefault="00587DFB" w:rsidP="00D004C1">
                <w:pPr>
                  <w:rPr>
                    <w:sz w:val="18"/>
                    <w:szCs w:val="18"/>
                  </w:rPr>
                </w:pPr>
                <w:r w:rsidRPr="00754F3E">
                  <w:rPr>
                    <w:sz w:val="18"/>
                    <w:szCs w:val="18"/>
                  </w:rPr>
                  <w:t xml:space="preserve">- Përshtatja me standardet e reja </w:t>
                </w:r>
                <w:r w:rsidRPr="00754F3E">
                  <w:rPr>
                    <w:sz w:val="18"/>
                    <w:szCs w:val="18"/>
                  </w:rPr>
                  <w:br/>
                  <w:t xml:space="preserve">- Tarifa për licenca dhe certifikime </w:t>
                </w:r>
                <w:r w:rsidRPr="00754F3E">
                  <w:rPr>
                    <w:sz w:val="18"/>
                    <w:szCs w:val="18"/>
                  </w:rPr>
                  <w:br/>
                  <w:t>- Investime në dokumentacion &amp; pajtueshmëri (compliance)</w:t>
                </w:r>
              </w:p>
            </w:tc>
            <w:tc>
              <w:tcPr>
                <w:tcW w:w="815" w:type="pct"/>
                <w:hideMark/>
              </w:tcPr>
              <w:p w14:paraId="621A49EE" w14:textId="77777777" w:rsidR="00587DFB" w:rsidRPr="00754F3E" w:rsidRDefault="00587DFB" w:rsidP="00D004C1">
                <w:pPr>
                  <w:rPr>
                    <w:sz w:val="18"/>
                    <w:szCs w:val="18"/>
                  </w:rPr>
                </w:pPr>
                <w:r w:rsidRPr="00754F3E">
                  <w:rPr>
                    <w:sz w:val="18"/>
                    <w:szCs w:val="18"/>
                  </w:rPr>
                  <w:t xml:space="preserve">- Kosto kohe për tranzicion </w:t>
                </w:r>
                <w:r w:rsidRPr="00754F3E">
                  <w:rPr>
                    <w:sz w:val="18"/>
                    <w:szCs w:val="18"/>
                  </w:rPr>
                  <w:br/>
                  <w:t>- Mungesë informacioni/qartësie fillimisht</w:t>
                </w:r>
              </w:p>
            </w:tc>
            <w:tc>
              <w:tcPr>
                <w:tcW w:w="611" w:type="pct"/>
                <w:hideMark/>
              </w:tcPr>
              <w:p w14:paraId="25932AA5" w14:textId="77777777" w:rsidR="00587DFB" w:rsidRPr="00754F3E" w:rsidRDefault="00587DFB" w:rsidP="00D004C1">
                <w:pPr>
                  <w:rPr>
                    <w:sz w:val="18"/>
                    <w:szCs w:val="18"/>
                  </w:rPr>
                </w:pPr>
                <w:r w:rsidRPr="00754F3E">
                  <w:rPr>
                    <w:sz w:val="18"/>
                    <w:szCs w:val="18"/>
                  </w:rPr>
                  <w:t xml:space="preserve">- Lehtësim në hyrjen në treg </w:t>
                </w:r>
                <w:r w:rsidRPr="00754F3E">
                  <w:rPr>
                    <w:sz w:val="18"/>
                    <w:szCs w:val="18"/>
                  </w:rPr>
                  <w:br/>
                  <w:t>- Procedura më të shpejta dhe më pak barriera</w:t>
                </w:r>
              </w:p>
            </w:tc>
            <w:tc>
              <w:tcPr>
                <w:tcW w:w="538" w:type="pct"/>
                <w:hideMark/>
              </w:tcPr>
              <w:p w14:paraId="19D7C719" w14:textId="77777777" w:rsidR="00587DFB" w:rsidRPr="00754F3E" w:rsidRDefault="00587DFB" w:rsidP="00D004C1">
                <w:pPr>
                  <w:rPr>
                    <w:sz w:val="18"/>
                    <w:szCs w:val="18"/>
                  </w:rPr>
                </w:pPr>
                <w:r w:rsidRPr="00754F3E">
                  <w:rPr>
                    <w:sz w:val="18"/>
                    <w:szCs w:val="18"/>
                  </w:rPr>
                  <w:t xml:space="preserve">Mundësi për zgjerim rajonal/BE </w:t>
                </w:r>
                <w:r w:rsidRPr="00754F3E">
                  <w:rPr>
                    <w:sz w:val="18"/>
                    <w:szCs w:val="18"/>
                  </w:rPr>
                  <w:br/>
                  <w:t xml:space="preserve">- Rritje e investimeve dhe IHD </w:t>
                </w:r>
                <w:r w:rsidRPr="00754F3E">
                  <w:rPr>
                    <w:sz w:val="18"/>
                    <w:szCs w:val="18"/>
                  </w:rPr>
                  <w:br/>
                  <w:t>- Përmirësim i reputacionit ndërkombëtar</w:t>
                </w:r>
              </w:p>
            </w:tc>
            <w:tc>
              <w:tcPr>
                <w:tcW w:w="528" w:type="pct"/>
                <w:hideMark/>
              </w:tcPr>
              <w:p w14:paraId="05FDC4AE" w14:textId="77777777" w:rsidR="00587DFB" w:rsidRPr="00754F3E" w:rsidRDefault="00587DFB" w:rsidP="00D004C1">
                <w:pPr>
                  <w:rPr>
                    <w:sz w:val="18"/>
                    <w:szCs w:val="18"/>
                  </w:rPr>
                </w:pPr>
                <w:r w:rsidRPr="00754F3E">
                  <w:rPr>
                    <w:sz w:val="18"/>
                    <w:szCs w:val="18"/>
                  </w:rPr>
                  <w:t xml:space="preserve">Kosto: njëherëshe + mirëmbajtje </w:t>
                </w:r>
                <w:r w:rsidRPr="00754F3E">
                  <w:rPr>
                    <w:sz w:val="18"/>
                    <w:szCs w:val="18"/>
                  </w:rPr>
                  <w:br/>
                  <w:t>Përfitime: të vazhdueshme</w:t>
                </w:r>
              </w:p>
            </w:tc>
            <w:tc>
              <w:tcPr>
                <w:tcW w:w="620" w:type="pct"/>
                <w:hideMark/>
              </w:tcPr>
              <w:p w14:paraId="736EFC55" w14:textId="77777777" w:rsidR="00587DFB" w:rsidRPr="00754F3E" w:rsidRDefault="00587DFB" w:rsidP="00D004C1">
                <w:pPr>
                  <w:rPr>
                    <w:sz w:val="18"/>
                    <w:szCs w:val="18"/>
                  </w:rPr>
                </w:pPr>
                <w:r w:rsidRPr="00754F3E">
                  <w:rPr>
                    <w:sz w:val="18"/>
                    <w:szCs w:val="18"/>
                  </w:rPr>
                  <w:t xml:space="preserve">- Numri i lejeve/licencave </w:t>
                </w:r>
                <w:r w:rsidRPr="00754F3E">
                  <w:rPr>
                    <w:sz w:val="18"/>
                    <w:szCs w:val="18"/>
                  </w:rPr>
                  <w:br/>
                  <w:t xml:space="preserve">- Regjistrime të reja biznesesh </w:t>
                </w:r>
                <w:r w:rsidRPr="00754F3E">
                  <w:rPr>
                    <w:sz w:val="18"/>
                    <w:szCs w:val="18"/>
                  </w:rPr>
                  <w:br/>
                  <w:t>- Flukset e IHD</w:t>
                </w:r>
              </w:p>
            </w:tc>
            <w:tc>
              <w:tcPr>
                <w:tcW w:w="378" w:type="pct"/>
                <w:hideMark/>
              </w:tcPr>
              <w:p w14:paraId="03D340C5" w14:textId="77777777" w:rsidR="00587DFB" w:rsidRPr="00754F3E" w:rsidRDefault="00587DFB" w:rsidP="00D004C1">
                <w:pPr>
                  <w:rPr>
                    <w:sz w:val="18"/>
                    <w:szCs w:val="18"/>
                  </w:rPr>
                </w:pPr>
                <w:r w:rsidRPr="00754F3E">
                  <w:rPr>
                    <w:sz w:val="18"/>
                    <w:szCs w:val="18"/>
                  </w:rPr>
                  <w:t>INSTAT, AIDA, Eurostat</w:t>
                </w:r>
              </w:p>
            </w:tc>
          </w:tr>
          <w:tr w:rsidR="00587DFB" w:rsidRPr="00754F3E" w14:paraId="3C774D18" w14:textId="77777777" w:rsidTr="00D004C1">
            <w:tc>
              <w:tcPr>
                <w:tcW w:w="73" w:type="pct"/>
                <w:hideMark/>
              </w:tcPr>
              <w:p w14:paraId="72D0857F" w14:textId="77777777" w:rsidR="00587DFB" w:rsidRPr="00754F3E" w:rsidRDefault="00587DFB" w:rsidP="00D004C1">
                <w:pPr>
                  <w:rPr>
                    <w:sz w:val="18"/>
                    <w:szCs w:val="18"/>
                  </w:rPr>
                </w:pPr>
                <w:r w:rsidRPr="00754F3E">
                  <w:rPr>
                    <w:sz w:val="18"/>
                    <w:szCs w:val="18"/>
                  </w:rPr>
                  <w:t>3</w:t>
                </w:r>
              </w:p>
            </w:tc>
            <w:tc>
              <w:tcPr>
                <w:tcW w:w="526" w:type="pct"/>
                <w:hideMark/>
              </w:tcPr>
              <w:p w14:paraId="449E4A81" w14:textId="77777777" w:rsidR="00587DFB" w:rsidRPr="00754F3E" w:rsidRDefault="00587DFB" w:rsidP="00D004C1">
                <w:pPr>
                  <w:rPr>
                    <w:sz w:val="18"/>
                    <w:szCs w:val="18"/>
                  </w:rPr>
                </w:pPr>
                <w:r w:rsidRPr="00754F3E">
                  <w:rPr>
                    <w:sz w:val="18"/>
                    <w:szCs w:val="18"/>
                  </w:rPr>
                  <w:t>Përfituesit e Shërbimeve (qytetarë, konsumatorë, përdorues fundorë)</w:t>
                </w:r>
              </w:p>
            </w:tc>
            <w:tc>
              <w:tcPr>
                <w:tcW w:w="744" w:type="pct"/>
                <w:hideMark/>
              </w:tcPr>
              <w:p w14:paraId="079D09F6" w14:textId="77777777" w:rsidR="00587DFB" w:rsidRPr="00754F3E" w:rsidRDefault="00587DFB" w:rsidP="00D004C1">
                <w:pPr>
                  <w:rPr>
                    <w:sz w:val="18"/>
                    <w:szCs w:val="18"/>
                  </w:rPr>
                </w:pPr>
                <w:r w:rsidRPr="00754F3E">
                  <w:rPr>
                    <w:sz w:val="18"/>
                    <w:szCs w:val="18"/>
                  </w:rPr>
                  <w:t>- Kosto minimale për informim mbi procedurat e reja</w:t>
                </w:r>
              </w:p>
            </w:tc>
            <w:tc>
              <w:tcPr>
                <w:tcW w:w="815" w:type="pct"/>
                <w:hideMark/>
              </w:tcPr>
              <w:p w14:paraId="2E93E6B4" w14:textId="77777777" w:rsidR="00587DFB" w:rsidRPr="00754F3E" w:rsidRDefault="00587DFB" w:rsidP="00D004C1">
                <w:pPr>
                  <w:rPr>
                    <w:sz w:val="18"/>
                    <w:szCs w:val="18"/>
                  </w:rPr>
                </w:pPr>
                <w:r w:rsidRPr="00754F3E">
                  <w:rPr>
                    <w:sz w:val="18"/>
                    <w:szCs w:val="18"/>
                  </w:rPr>
                  <w:t>- Kohë për t’u përshtatur me rregullat e reja</w:t>
                </w:r>
              </w:p>
            </w:tc>
            <w:tc>
              <w:tcPr>
                <w:tcW w:w="611" w:type="pct"/>
                <w:hideMark/>
              </w:tcPr>
              <w:p w14:paraId="7B06540A" w14:textId="77777777" w:rsidR="00587DFB" w:rsidRPr="00754F3E" w:rsidRDefault="00587DFB" w:rsidP="00D004C1">
                <w:pPr>
                  <w:rPr>
                    <w:sz w:val="18"/>
                    <w:szCs w:val="18"/>
                  </w:rPr>
                </w:pPr>
                <w:r w:rsidRPr="00754F3E">
                  <w:rPr>
                    <w:sz w:val="18"/>
                    <w:szCs w:val="18"/>
                  </w:rPr>
                  <w:t xml:space="preserve">- Çmime më konkurruese </w:t>
                </w:r>
                <w:r w:rsidRPr="00754F3E">
                  <w:rPr>
                    <w:sz w:val="18"/>
                    <w:szCs w:val="18"/>
                  </w:rPr>
                  <w:br/>
                  <w:t xml:space="preserve">- Shërbime më cilësore dhe të larmishme </w:t>
                </w:r>
                <w:r w:rsidRPr="00754F3E">
                  <w:rPr>
                    <w:sz w:val="18"/>
                    <w:szCs w:val="18"/>
                  </w:rPr>
                  <w:br/>
                  <w:t>- Qasje më e lehtë në shërbime ndërkufitare</w:t>
                </w:r>
              </w:p>
            </w:tc>
            <w:tc>
              <w:tcPr>
                <w:tcW w:w="538" w:type="pct"/>
                <w:hideMark/>
              </w:tcPr>
              <w:p w14:paraId="3CD2FCDE" w14:textId="77777777" w:rsidR="00587DFB" w:rsidRPr="00754F3E" w:rsidRDefault="00587DFB" w:rsidP="00D004C1">
                <w:pPr>
                  <w:rPr>
                    <w:sz w:val="18"/>
                    <w:szCs w:val="18"/>
                  </w:rPr>
                </w:pPr>
                <w:r w:rsidRPr="00754F3E">
                  <w:rPr>
                    <w:sz w:val="18"/>
                    <w:szCs w:val="18"/>
                  </w:rPr>
                  <w:t xml:space="preserve">- Rritje e besimit në treg </w:t>
                </w:r>
                <w:r w:rsidRPr="00754F3E">
                  <w:rPr>
                    <w:sz w:val="18"/>
                    <w:szCs w:val="18"/>
                  </w:rPr>
                  <w:br/>
                  <w:t>- Përfshirje më e mirë sociale (akses më i barabartë në shërbime</w:t>
                </w:r>
              </w:p>
            </w:tc>
            <w:tc>
              <w:tcPr>
                <w:tcW w:w="528" w:type="pct"/>
                <w:hideMark/>
              </w:tcPr>
              <w:p w14:paraId="053BA672" w14:textId="77777777" w:rsidR="00587DFB" w:rsidRPr="00754F3E" w:rsidRDefault="00587DFB" w:rsidP="00D004C1">
                <w:pPr>
                  <w:rPr>
                    <w:sz w:val="18"/>
                    <w:szCs w:val="18"/>
                  </w:rPr>
                </w:pPr>
              </w:p>
            </w:tc>
            <w:tc>
              <w:tcPr>
                <w:tcW w:w="620" w:type="pct"/>
                <w:hideMark/>
              </w:tcPr>
              <w:p w14:paraId="5C6D1610" w14:textId="77777777" w:rsidR="00587DFB" w:rsidRPr="00754F3E" w:rsidRDefault="00587DFB" w:rsidP="00D004C1">
                <w:pPr>
                  <w:rPr>
                    <w:sz w:val="18"/>
                    <w:szCs w:val="18"/>
                  </w:rPr>
                </w:pPr>
              </w:p>
            </w:tc>
            <w:tc>
              <w:tcPr>
                <w:tcW w:w="378" w:type="pct"/>
                <w:hideMark/>
              </w:tcPr>
              <w:p w14:paraId="5FF45BEC" w14:textId="77777777" w:rsidR="00587DFB" w:rsidRPr="00754F3E" w:rsidRDefault="00587DFB" w:rsidP="00D004C1">
                <w:pPr>
                  <w:rPr>
                    <w:sz w:val="18"/>
                    <w:szCs w:val="18"/>
                  </w:rPr>
                </w:pPr>
              </w:p>
            </w:tc>
          </w:tr>
        </w:tbl>
        <w:p w14:paraId="6B25A6DB" w14:textId="77777777" w:rsidR="00587DFB" w:rsidRDefault="00587DFB" w:rsidP="00666D7B">
          <w:pPr>
            <w:spacing w:before="240"/>
            <w:jc w:val="both"/>
          </w:pPr>
        </w:p>
        <w:p w14:paraId="2BB7D357" w14:textId="77777777" w:rsidR="00C64F2A" w:rsidRPr="00B50C69" w:rsidRDefault="00C64F2A" w:rsidP="00C64F2A">
          <w:pPr>
            <w:tabs>
              <w:tab w:val="left" w:pos="10080"/>
            </w:tabs>
            <w:spacing w:after="120" w:line="288" w:lineRule="auto"/>
            <w:jc w:val="both"/>
          </w:pPr>
          <w:r w:rsidRPr="00FF3999">
            <w:t>Për shkak të mungesës së informacionit dhe pamundësisë së analizave konkrete për vlerësimin sasior të kostove apo përfitimeve të identifikuara, matrica e kosto-përfitimit mbetet e pa-kuantifikuar. Megjithatë, duke konsideruar të dhënat e specifikuara me referencë burimet e besueshme të informacionit nga ku mund te merren këto të dhëna, mund të përllogaritet një vlerësim sasior e kostove dhe përfitimeve për këtë grup</w:t>
          </w:r>
          <w:r w:rsidRPr="00B50C69">
            <w:t>.</w:t>
          </w:r>
        </w:p>
        <w:p w14:paraId="46336C66" w14:textId="77777777" w:rsidR="00C64F2A" w:rsidRPr="00B50C69" w:rsidRDefault="00C64F2A" w:rsidP="00C64F2A">
          <w:pPr>
            <w:tabs>
              <w:tab w:val="left" w:pos="10080"/>
            </w:tabs>
            <w:spacing w:after="120" w:line="288" w:lineRule="auto"/>
            <w:jc w:val="both"/>
          </w:pPr>
          <w:r w:rsidRPr="00B50C69">
            <w:t>Duke qenë se zbatimi i Direktivës pritet të ketë ndikime në politikat fiskale dhe monetare, rregullat tregtare, PBB, investime dhe konsum, për të përllogaritur mbulimin e efekteve makroekonomike, do të sugjerohej ndërtimi i një modeli financiar me analiza sensitiviteti dhe skenarë te ndryshëm si modele CGE, analiza input - output, dhe modele të tjera simuluese në bashkëpunim me Ministrinë e Financave dhe INSTAT, për të matur ndikimin në PBB si dhe punësim dhe eksport shërbimesh.</w:t>
          </w:r>
        </w:p>
        <w:p w14:paraId="3DD25CF2" w14:textId="77777777" w:rsidR="00C64F2A" w:rsidRPr="00B50C69" w:rsidRDefault="00C64F2A" w:rsidP="00C64F2A">
          <w:pPr>
            <w:tabs>
              <w:tab w:val="left" w:pos="10080"/>
            </w:tabs>
            <w:spacing w:after="120" w:line="288" w:lineRule="auto"/>
            <w:jc w:val="both"/>
          </w:pPr>
          <w:r w:rsidRPr="00B50C69">
            <w:t>Matrica e sugjeruar me kostot dhe përfitimet nga implementimi i Direktivës, mund të hasin në sfida si: kompleksiteti i kuadrit ligjor dhe mungesa e ekspertizës së brendshme, përbën një faktor rreziku me ndikim të drejtpërdrejtë në zbatimin e plotë dhe koherent të dispozitave përkatëse të parashikuara në aktin rregullator të Bashkimit Europian. Nga pikëpamja institucionale, mungesa e bashkëpunimit ndërmjet institucioneve, kapacitetet e kufizuara për organizimin e trajnimeve dhe rezistenca e mundshme ndaj ndryshimeve, përbëjnë barriera të cilat mund të ndikojnë në efikasitetin dhe qëndrueshmërinë e implementimit të Direktivës.</w:t>
          </w:r>
        </w:p>
        <w:p w14:paraId="4A448C3A" w14:textId="77777777" w:rsidR="00C64F2A" w:rsidRPr="00B50C69" w:rsidRDefault="00C64F2A" w:rsidP="00C64F2A">
          <w:pPr>
            <w:tabs>
              <w:tab w:val="left" w:pos="10080"/>
            </w:tabs>
            <w:spacing w:after="120" w:line="288" w:lineRule="auto"/>
            <w:jc w:val="both"/>
          </w:pPr>
          <w:r w:rsidRPr="00B50C69">
            <w:t>Financimi i përgjithshëm për implementimin e Direktivës, synohet të realizohet përmes rialokimit të buxhetit të institucioneve qeveritare, të cilat përcaktohen nga buxheti i shtetit. Ministria e Financave dhe Ekonomisë publikon alokimin e buxheteve në Ministritë përkatëse. Në rast të papërballueshmërisë buxhetore, qeveria mund të kërkojë burime financimi nga BE ose IPA III.</w:t>
          </w:r>
        </w:p>
        <w:p w14:paraId="513D1AB9" w14:textId="59C08349" w:rsidR="00983EB7" w:rsidRDefault="0079095B" w:rsidP="00A47931">
          <w:pPr>
            <w:tabs>
              <w:tab w:val="left" w:pos="10080"/>
            </w:tabs>
            <w:spacing w:after="120" w:line="288" w:lineRule="auto"/>
            <w:jc w:val="both"/>
          </w:pPr>
          <w:r w:rsidRPr="006922EC">
            <w:rPr>
              <w:b/>
              <w:bCs/>
            </w:rPr>
            <w:t>Kosto administrative:</w:t>
          </w:r>
          <w:r>
            <w:t xml:space="preserve"> </w:t>
          </w:r>
          <w:r w:rsidRPr="00286F7A">
            <w:t>Ndryshimet ligjore</w:t>
          </w:r>
          <w:r w:rsidR="0024012C">
            <w:t xml:space="preserve"> nëpërmjet hartimit të një ligji të ri</w:t>
          </w:r>
          <w:r w:rsidRPr="00286F7A">
            <w:t xml:space="preserve"> do të shoqërohen me kosto administrative, veçanërisht për institucionet publike që janë përgjegjëse për zbatimin dhe mbikëqyrjen e kuadrit të ri rregullator. Këto kosto përfshijnë nevojën për forcimin e kapaciteteve institucionale për zbatimin efektiv dhe të qëndrueshëm të testit të proporcionalitetit, përfshirë zhvillimin e metodologjive vlerësuese, trajnimin e stafit dhe ngritjen e mekanizmave të bashkëpunimit ndërinstitucional. Matja e këtyre kostove kërkon të dhëna aktuale mbi proceset administrative, burimet njerëzore dhe alokimet buxhetore brenda institucioneve përkatëse, si dhe parashikime për investime shtesë që kërkohen për përmbushjen e këtyre përgjegjësive.</w:t>
          </w:r>
        </w:p>
        <w:p w14:paraId="2D4A93EC" w14:textId="317EEB82" w:rsidR="0025427F" w:rsidRDefault="0027033B" w:rsidP="00A47931">
          <w:pPr>
            <w:tabs>
              <w:tab w:val="left" w:pos="10080"/>
            </w:tabs>
            <w:spacing w:after="120" w:line="288" w:lineRule="auto"/>
            <w:jc w:val="both"/>
          </w:pPr>
          <w:r w:rsidRPr="0027033B">
            <w:t>Në</w:t>
          </w:r>
          <w:r>
            <w:t xml:space="preserve"> rastin konkret</w:t>
          </w:r>
          <w:r w:rsidRPr="0027033B">
            <w:t xml:space="preserve">, kryerja e një analize sasiore ekonomike për </w:t>
          </w:r>
          <w:r>
            <w:t>opsionin e preferuar</w:t>
          </w:r>
          <w:r w:rsidRPr="0027033B">
            <w:t xml:space="preserve"> nuk është e mundur ose nuk ofron rezultate të besueshme. Kjo ndodh kur ndikimet e</w:t>
          </w:r>
          <w:r>
            <w:t xml:space="preserve"> projektligjit</w:t>
          </w:r>
          <w:r w:rsidRPr="0027033B">
            <w:t xml:space="preserve"> janë të ndërlikuara, të shpërndara në sektorë të ndryshëm, ose kur mungojnë të dhëna të sakta dhe të besueshme. Mungesa e informacionit të plotë, së bashku me paqartësitë rreth reagimit të tregut dhe ndikimeve sociale dhe gjinore, e bën të pamundur një vlerësim numerik të saktë. Arsyet objektive për këtë janë:</w:t>
          </w:r>
        </w:p>
        <w:p w14:paraId="66C2C77D" w14:textId="2A66C9E6" w:rsidR="0027033B" w:rsidRPr="00F955A6" w:rsidRDefault="0027033B" w:rsidP="0027033B">
          <w:pPr>
            <w:tabs>
              <w:tab w:val="left" w:pos="10080"/>
            </w:tabs>
            <w:spacing w:after="120" w:line="288" w:lineRule="auto"/>
            <w:jc w:val="both"/>
          </w:pPr>
          <w:r w:rsidRPr="00F955A6">
            <w:rPr>
              <w:b/>
              <w:bCs/>
            </w:rPr>
            <w:t xml:space="preserve"> Mungesa e të dhënave të detajuara statistikore</w:t>
          </w:r>
        </w:p>
        <w:p w14:paraId="596BF9CC" w14:textId="77777777" w:rsidR="0027033B" w:rsidRPr="00F955A6" w:rsidRDefault="0027033B" w:rsidP="00CC709C">
          <w:pPr>
            <w:numPr>
              <w:ilvl w:val="0"/>
              <w:numId w:val="40"/>
            </w:numPr>
            <w:tabs>
              <w:tab w:val="num" w:pos="720"/>
              <w:tab w:val="left" w:pos="10080"/>
            </w:tabs>
            <w:spacing w:after="120" w:line="288" w:lineRule="auto"/>
            <w:jc w:val="both"/>
          </w:pPr>
          <w:r w:rsidRPr="00F955A6">
            <w:t>Nuk ka të dhëna të detajuara mbi shpenzimet reale operative, kostot administrative ose investimet e nevojshme për ofruesit e shërbimeve dhe qeverinë.</w:t>
          </w:r>
        </w:p>
        <w:p w14:paraId="1E5AFCD3" w14:textId="77777777" w:rsidR="0027033B" w:rsidRPr="00F955A6" w:rsidRDefault="0027033B" w:rsidP="00CC709C">
          <w:pPr>
            <w:numPr>
              <w:ilvl w:val="0"/>
              <w:numId w:val="40"/>
            </w:numPr>
            <w:tabs>
              <w:tab w:val="num" w:pos="720"/>
              <w:tab w:val="left" w:pos="10080"/>
            </w:tabs>
            <w:spacing w:after="120" w:line="288" w:lineRule="auto"/>
            <w:jc w:val="both"/>
          </w:pPr>
          <w:r w:rsidRPr="00F955A6">
            <w:t>Nuk ekzistojnë të dhëna të sakta mbi numrin dhe strukturën e biznesve që do të preken nga ndryshimet, duke e bërë vlerësimin e ndikimit financiar të paqëndrueshëm.</w:t>
          </w:r>
        </w:p>
        <w:p w14:paraId="23A1EBD8" w14:textId="41E8F8A1" w:rsidR="0027033B" w:rsidRPr="00F955A6" w:rsidRDefault="0027033B" w:rsidP="0027033B">
          <w:pPr>
            <w:tabs>
              <w:tab w:val="left" w:pos="10080"/>
            </w:tabs>
            <w:spacing w:after="120" w:line="288" w:lineRule="auto"/>
            <w:jc w:val="both"/>
          </w:pPr>
          <w:r w:rsidRPr="00F955A6">
            <w:rPr>
              <w:b/>
              <w:bCs/>
            </w:rPr>
            <w:t xml:space="preserve"> Ndikime të ndërlikuara dhe të shpërndara</w:t>
          </w:r>
        </w:p>
        <w:p w14:paraId="15E171FF" w14:textId="77777777" w:rsidR="0027033B" w:rsidRPr="00F955A6" w:rsidRDefault="0027033B" w:rsidP="00CC709C">
          <w:pPr>
            <w:numPr>
              <w:ilvl w:val="0"/>
              <w:numId w:val="41"/>
            </w:numPr>
            <w:tabs>
              <w:tab w:val="left" w:pos="10080"/>
            </w:tabs>
            <w:spacing w:after="120" w:line="288" w:lineRule="auto"/>
            <w:jc w:val="both"/>
          </w:pPr>
          <w:r w:rsidRPr="00F955A6">
            <w:t>Ndikimet e projektligjit shtrihen mbi shumë sektorë (turizmi, ndërtimi, shërbime të biznesit etj.) dhe janë të ndërlidhura. Kjo e bën të vështirë modelimin sasiore për secilin grup të prekura.</w:t>
          </w:r>
        </w:p>
        <w:p w14:paraId="04DF03C7" w14:textId="48CC743D" w:rsidR="0027033B" w:rsidRPr="00F955A6" w:rsidRDefault="0027033B" w:rsidP="00CC709C">
          <w:pPr>
            <w:numPr>
              <w:ilvl w:val="0"/>
              <w:numId w:val="41"/>
            </w:numPr>
            <w:tabs>
              <w:tab w:val="left" w:pos="10080"/>
            </w:tabs>
            <w:spacing w:after="120" w:line="288" w:lineRule="auto"/>
            <w:jc w:val="both"/>
          </w:pPr>
          <w:r w:rsidRPr="00F955A6">
            <w:t>Shumica e përfitimeve dhe kostove janë të shpërndara dhe afatgjata (p.sh. investime në trajnime, harmonizim ligjor, rritje konkurruese), dhe nuk mund të kuantifikohen me një numër të saktë.</w:t>
          </w:r>
        </w:p>
        <w:p w14:paraId="7AA0AF59" w14:textId="08E4AB2B" w:rsidR="0027033B" w:rsidRPr="00F955A6" w:rsidRDefault="0027033B" w:rsidP="0027033B">
          <w:pPr>
            <w:tabs>
              <w:tab w:val="left" w:pos="10080"/>
            </w:tabs>
            <w:spacing w:after="120" w:line="288" w:lineRule="auto"/>
            <w:jc w:val="both"/>
            <w:rPr>
              <w:lang w:val="it-IT"/>
            </w:rPr>
          </w:pPr>
          <w:r w:rsidRPr="00F955A6">
            <w:rPr>
              <w:b/>
              <w:bCs/>
            </w:rPr>
            <w:t xml:space="preserve"> </w:t>
          </w:r>
          <w:r w:rsidRPr="00F955A6">
            <w:rPr>
              <w:b/>
              <w:bCs/>
              <w:lang w:val="it-IT"/>
            </w:rPr>
            <w:t>Paqartësitë rreth sjelljes së tregut</w:t>
          </w:r>
        </w:p>
        <w:p w14:paraId="0173E32B" w14:textId="77777777" w:rsidR="0027033B" w:rsidRPr="00F955A6" w:rsidRDefault="0027033B" w:rsidP="00CC709C">
          <w:pPr>
            <w:numPr>
              <w:ilvl w:val="0"/>
              <w:numId w:val="42"/>
            </w:numPr>
            <w:tabs>
              <w:tab w:val="left" w:pos="10080"/>
            </w:tabs>
            <w:spacing w:after="120" w:line="288" w:lineRule="auto"/>
            <w:jc w:val="both"/>
            <w:rPr>
              <w:lang w:val="it-IT"/>
            </w:rPr>
          </w:pPr>
          <w:r w:rsidRPr="00F955A6">
            <w:rPr>
              <w:lang w:val="it-IT"/>
            </w:rPr>
            <w:t>Nuk mund të parashikohet me saktësi sesi ofruesit vendas dhe të huaj do të reagojnë ndaj hapjes së tregut dhe liberalizimit të shërbimeve.</w:t>
          </w:r>
        </w:p>
        <w:p w14:paraId="55DEA995" w14:textId="77777777" w:rsidR="0027033B" w:rsidRPr="00F955A6" w:rsidRDefault="0027033B" w:rsidP="00CC709C">
          <w:pPr>
            <w:numPr>
              <w:ilvl w:val="0"/>
              <w:numId w:val="42"/>
            </w:numPr>
            <w:tabs>
              <w:tab w:val="left" w:pos="10080"/>
            </w:tabs>
            <w:spacing w:after="120" w:line="288" w:lineRule="auto"/>
            <w:jc w:val="both"/>
            <w:rPr>
              <w:lang w:val="it-IT"/>
            </w:rPr>
          </w:pPr>
          <w:r w:rsidRPr="00F955A6">
            <w:rPr>
              <w:lang w:val="it-IT"/>
            </w:rPr>
            <w:t>Nuk mund të llogaritet me saktësi se sa do të rriten të ardhurat nga eksporti i shërbimeve apo numri i punësimeve të reja, sepse kjo varet nga faktorë të jashtëm si kërkesa e BE, konkurrenca, dhe sjellja e konsumatorit.</w:t>
          </w:r>
        </w:p>
        <w:p w14:paraId="5A1CA57A" w14:textId="3585FA3C" w:rsidR="0027033B" w:rsidRPr="00F955A6" w:rsidRDefault="0027033B" w:rsidP="0027033B">
          <w:pPr>
            <w:tabs>
              <w:tab w:val="left" w:pos="10080"/>
            </w:tabs>
            <w:spacing w:after="120" w:line="288" w:lineRule="auto"/>
            <w:jc w:val="both"/>
            <w:rPr>
              <w:lang w:val="it-IT"/>
            </w:rPr>
          </w:pPr>
          <w:r>
            <w:rPr>
              <w:b/>
              <w:bCs/>
              <w:lang w:val="it-IT"/>
            </w:rPr>
            <w:t xml:space="preserve"> </w:t>
          </w:r>
          <w:r w:rsidRPr="00F955A6">
            <w:rPr>
              <w:b/>
              <w:bCs/>
              <w:lang w:val="it-IT"/>
            </w:rPr>
            <w:t>Ndikime të paqarta mbi barazinë gjinore dhe sociale</w:t>
          </w:r>
        </w:p>
        <w:p w14:paraId="1805114A" w14:textId="77777777" w:rsidR="0027033B" w:rsidRPr="00F955A6" w:rsidRDefault="0027033B" w:rsidP="00CC709C">
          <w:pPr>
            <w:numPr>
              <w:ilvl w:val="0"/>
              <w:numId w:val="43"/>
            </w:numPr>
            <w:tabs>
              <w:tab w:val="left" w:pos="10080"/>
            </w:tabs>
            <w:spacing w:after="120" w:line="288" w:lineRule="auto"/>
            <w:jc w:val="both"/>
            <w:rPr>
              <w:lang w:val="it-IT"/>
            </w:rPr>
          </w:pPr>
          <w:r w:rsidRPr="00F955A6">
            <w:rPr>
              <w:lang w:val="it-IT"/>
            </w:rPr>
            <w:t>Ndikimet gjinore dhe sociale nuk janë të matshme lehtësisht me numra. Për shembull, është e vështirë të vlerësohet saktësisht sa do të ndikojë një ligj i ri në sipërmarrjen e grave ose në pjesëmarrjen e tyre në treg.</w:t>
          </w:r>
        </w:p>
        <w:p w14:paraId="157500CD" w14:textId="4F5A82D5" w:rsidR="0027033B" w:rsidRPr="00F955A6" w:rsidRDefault="0027033B" w:rsidP="0027033B">
          <w:pPr>
            <w:tabs>
              <w:tab w:val="left" w:pos="10080"/>
            </w:tabs>
            <w:spacing w:after="120" w:line="288" w:lineRule="auto"/>
            <w:jc w:val="both"/>
            <w:rPr>
              <w:lang w:val="it-IT"/>
            </w:rPr>
          </w:pPr>
          <w:r>
            <w:rPr>
              <w:b/>
              <w:bCs/>
              <w:lang w:val="it-IT"/>
            </w:rPr>
            <w:t xml:space="preserve"> </w:t>
          </w:r>
          <w:r w:rsidRPr="00F955A6">
            <w:rPr>
              <w:b/>
              <w:bCs/>
              <w:lang w:val="it-IT"/>
            </w:rPr>
            <w:t>Përfitimet dhe kostot janë të paqarta ose indirekte</w:t>
          </w:r>
        </w:p>
        <w:p w14:paraId="44AC85CC" w14:textId="77777777" w:rsidR="0027033B" w:rsidRPr="00F955A6" w:rsidRDefault="0027033B" w:rsidP="00CC709C">
          <w:pPr>
            <w:numPr>
              <w:ilvl w:val="0"/>
              <w:numId w:val="44"/>
            </w:numPr>
            <w:tabs>
              <w:tab w:val="left" w:pos="10080"/>
            </w:tabs>
            <w:spacing w:after="120" w:line="288" w:lineRule="auto"/>
            <w:jc w:val="both"/>
            <w:rPr>
              <w:lang w:val="it-IT"/>
            </w:rPr>
          </w:pPr>
          <w:r w:rsidRPr="00F955A6">
            <w:rPr>
              <w:lang w:val="it-IT"/>
            </w:rPr>
            <w:t>Shumica e përfitimeve ekonomike janë afatmesme ose afatgjata, si përmirësimi i investimeve të huaja, konkurrenca, rritja e inovacionit.</w:t>
          </w:r>
        </w:p>
        <w:p w14:paraId="2995CE55" w14:textId="77777777" w:rsidR="0027033B" w:rsidRPr="00F955A6" w:rsidRDefault="0027033B" w:rsidP="00CC709C">
          <w:pPr>
            <w:numPr>
              <w:ilvl w:val="0"/>
              <w:numId w:val="44"/>
            </w:numPr>
            <w:tabs>
              <w:tab w:val="left" w:pos="10080"/>
            </w:tabs>
            <w:spacing w:after="120" w:line="288" w:lineRule="auto"/>
            <w:jc w:val="both"/>
            <w:rPr>
              <w:lang w:val="it-IT"/>
            </w:rPr>
          </w:pPr>
          <w:r w:rsidRPr="00F955A6">
            <w:rPr>
              <w:lang w:val="it-IT"/>
            </w:rPr>
            <w:t>Kostot e një pjese të ndryshimeve (p.sh., trajnime, konsultime ligjore, rritje të kapaciteteve të AKSHI) nuk janë të përllogaritura saktësisht.</w:t>
          </w:r>
        </w:p>
        <w:p w14:paraId="56A3E220" w14:textId="77777777" w:rsidR="0027033B" w:rsidRDefault="0027033B" w:rsidP="00A47931">
          <w:pPr>
            <w:tabs>
              <w:tab w:val="left" w:pos="10080"/>
            </w:tabs>
            <w:spacing w:after="120" w:line="288" w:lineRule="auto"/>
            <w:jc w:val="both"/>
          </w:pPr>
        </w:p>
        <w:p w14:paraId="6324EE29" w14:textId="11B0E4B8" w:rsidR="00D565D2" w:rsidRPr="00D565D2" w:rsidRDefault="00D565D2" w:rsidP="00D565D2">
          <w:pPr>
            <w:tabs>
              <w:tab w:val="left" w:pos="10080"/>
            </w:tabs>
            <w:spacing w:after="120" w:line="288" w:lineRule="auto"/>
            <w:jc w:val="both"/>
          </w:pPr>
          <w:r w:rsidRPr="00D565D2">
            <w:t xml:space="preserve">Në përmbledhje të vlerësimit të opsioneve, </w:t>
          </w:r>
          <w:r w:rsidR="1A9F106D" w:rsidRPr="6875B2D2">
            <w:t xml:space="preserve">analiza e </w:t>
          </w:r>
          <w:r w:rsidRPr="6875B2D2">
            <w:t>vlerësimi</w:t>
          </w:r>
          <w:r w:rsidR="34C31A0B" w:rsidRPr="6875B2D2">
            <w:t>t të ndikimit</w:t>
          </w:r>
          <w:r w:rsidRPr="6875B2D2">
            <w:t xml:space="preserve"> </w:t>
          </w:r>
          <w:r w:rsidR="58C51834" w:rsidRPr="6875B2D2">
            <w:t>për</w:t>
          </w:r>
          <w:r w:rsidRPr="00D565D2">
            <w:t xml:space="preserve"> ndërhyrjeve të mundshme në kuadrin ligjor për shërbimet në Shqipëri </w:t>
          </w:r>
          <w:r w:rsidR="72B7396E" w:rsidRPr="6875B2D2">
            <w:t>është kryer për</w:t>
          </w:r>
          <w:r w:rsidRPr="00D565D2">
            <w:t xml:space="preserve"> katër alternativa kryesore, të cilat dallojnë ndjeshëm sipas natyrës së qasjes rregullatore, shkallës së përafrimit me acquis të Bashkimit Evropian dhe burimeve të nevojshme për zbatim. Secili opsion reflekton një nivel të ndryshëm të gatishmërisë institucionale dhe ndikimeve ekonomike e rregullatore, duke shtrirë spektrin e mundësive nga mosveprimi total deri te hartimi i një ligji krejtësisht të ri, të sinkronizuar me të drejtën e BE-së dhe objektivat strategjike të integrimit.</w:t>
          </w:r>
        </w:p>
        <w:p w14:paraId="1AD1787C" w14:textId="02E3ED00" w:rsidR="00D565D2" w:rsidRPr="00D565D2" w:rsidRDefault="00D565D2" w:rsidP="00D565D2">
          <w:pPr>
            <w:tabs>
              <w:tab w:val="left" w:pos="10080"/>
            </w:tabs>
            <w:spacing w:after="120" w:line="288" w:lineRule="auto"/>
            <w:jc w:val="both"/>
          </w:pPr>
          <w:r w:rsidRPr="00D565D2">
            <w:t>Në skenarin e parë, mosndërhyrja (</w:t>
          </w:r>
          <w:r w:rsidRPr="00754F3E">
            <w:rPr>
              <w:b/>
              <w:bCs/>
            </w:rPr>
            <w:t>Opsioni 0</w:t>
          </w:r>
          <w:r w:rsidRPr="00D565D2">
            <w:t>) ruan status quo-në dhe shmang kostot financiare të menjëhershme, por cenon rëndë besueshmërinë institucionale dhe penalizon progresin drejt anëtarësimit në BE. Mospërputhjet ekzistuese – si mungesa e rregullave për shërbimet ndërkufitare, kufizimet e të drejtës së vendosjes dhe mungesa e bashkëpunimit administrativ përmes IMI – mbeten të patrajtuara, duke krijuar boshllëqe rregullatore, rreziqe ligjore dhe ngecje në përafrimin me kapitujt e acquis. Ndikimet negative shtrihen në të gjitha grupet e interesit: shteti përballet me mungesë të harmonizimit të kërkuar nga KE, ofruesit vendas dhe të huaj mbeten të izoluar nga tregu i përbashkët i shërbimeve, ndërsa qytetarët shqiptarë humbasin aksesin në shërbime më cilësore dhe konkurruese.</w:t>
          </w:r>
        </w:p>
        <w:p w14:paraId="7107DB80" w14:textId="53E11A78" w:rsidR="00D565D2" w:rsidRPr="00D565D2" w:rsidRDefault="00D565D2" w:rsidP="00D565D2">
          <w:pPr>
            <w:tabs>
              <w:tab w:val="left" w:pos="10080"/>
            </w:tabs>
            <w:spacing w:after="120" w:line="288" w:lineRule="auto"/>
            <w:jc w:val="both"/>
          </w:pPr>
          <w:r w:rsidRPr="00754F3E">
            <w:rPr>
              <w:b/>
              <w:bCs/>
            </w:rPr>
            <w:t>Opsioni 1</w:t>
          </w:r>
          <w:r w:rsidRPr="00D565D2">
            <w:t xml:space="preserve">, hartimi i një ligji të ri kuadër për shërbimet, përfaqëson qasjen më koherente dhe strategjike. Ky opsion krijon bazën e nevojshme ligjore horizontale për të gjitha shërbimet në territor dhe mundëson transpozimin e plotë të Direktivës 2006/123/KE brenda një afati të përcaktuar në PKIE 2024–2026. Përmes një teksti të ri, </w:t>
          </w:r>
          <w:r w:rsidR="00C92006">
            <w:t>bashkëkohor</w:t>
          </w:r>
          <w:r w:rsidRPr="00D565D2">
            <w:t xml:space="preserve"> dhe të harmonizuar, garantohen dispozita të qarta për lirinë e ofrimit të shërbimeve ndërkufitare, të drejtën e vendosjes, eliminimin e pengesave të panevojshme administrative, shkëmbimin e informacionit përmes platformës IMI dhe asistencën ndaj përfituesve. Një kuadër i tillë rigjeneron sigurinë ligjore, shmang fragmentimin sektorial, krijon baza të forta për rishikimin e ligjeve sektoriale dhe siguron mundësi të qarta financimi përmes fondeve IPA dhe asistencave të BE-së. Përfitimet ekonomike janë të prekshme: rritet konkurrueshmëria, zgjerohen mundësitë tregtare, përmirësohet klimа </w:t>
          </w:r>
          <w:r w:rsidR="00B1281B">
            <w:t xml:space="preserve">e </w:t>
          </w:r>
          <w:r w:rsidRPr="00D565D2">
            <w:t>bizne</w:t>
          </w:r>
          <w:r w:rsidR="00B1281B">
            <w:t>sit</w:t>
          </w:r>
          <w:r w:rsidRPr="00D565D2">
            <w:t>, dhe krijohet potencial për rritje të investimeve dhe punësimit.</w:t>
          </w:r>
        </w:p>
        <w:p w14:paraId="557CAF04" w14:textId="47FD48C0" w:rsidR="00D565D2" w:rsidRPr="00D565D2" w:rsidRDefault="00D565D2" w:rsidP="00D565D2">
          <w:pPr>
            <w:tabs>
              <w:tab w:val="left" w:pos="10080"/>
            </w:tabs>
            <w:spacing w:after="120" w:line="288" w:lineRule="auto"/>
            <w:jc w:val="both"/>
          </w:pPr>
          <w:r w:rsidRPr="00754F3E">
            <w:rPr>
              <w:b/>
              <w:bCs/>
            </w:rPr>
            <w:t>Opsioni 2</w:t>
          </w:r>
          <w:r w:rsidRPr="00D565D2">
            <w:t>, ndryshimet e pjesshme sektoriale, mbetet një qasje e kufizuar në efektivitetin afatgjatë. Edhe pse mund të korrigjojë disa mospërputhje të drejtpërdrejta në sektorët e identifikuar, mungon një bazë ligjore horizontale për garantimin e koherencës ndërinstitucionale. Kjo krijon rreziqe të fragmentimit rregullator, ngarkesë të shtuar administrative, vonesa në matjen e progresit dhe rritje të kostove kumulative për administratën publike. Ndikimet pozitive ekonomike dhe ligjore do të ishin të pjesshme dhe të vonuara, ndërkohë që potenciali për përafrim të plotë mbetet i pezulluar.</w:t>
          </w:r>
        </w:p>
        <w:p w14:paraId="2B530D7D" w14:textId="708CBBD6" w:rsidR="00D565D2" w:rsidRDefault="00D565D2" w:rsidP="00D565D2">
          <w:pPr>
            <w:tabs>
              <w:tab w:val="left" w:pos="10080"/>
            </w:tabs>
            <w:spacing w:after="120" w:line="288" w:lineRule="auto"/>
            <w:jc w:val="both"/>
          </w:pPr>
          <w:r w:rsidRPr="00D565D2">
            <w:t xml:space="preserve">Ndërsa </w:t>
          </w:r>
          <w:r w:rsidRPr="00234986">
            <w:rPr>
              <w:b/>
              <w:bCs/>
            </w:rPr>
            <w:t>opsioni 3</w:t>
          </w:r>
          <w:r w:rsidRPr="00D565D2">
            <w:t>, një ndryshim i thelluar i Ligjit nr. 66/2016</w:t>
          </w:r>
          <w:r w:rsidR="20F41701" w:rsidRPr="6875B2D2">
            <w:t xml:space="preserve"> Për Shërbimet</w:t>
          </w:r>
          <w:r w:rsidRPr="00D565D2">
            <w:t xml:space="preserve"> përballet me kufizime të ngjashme: amendimet e shumta krijojnë një tekst të përzier dhe rrisin rrezikun e mospërputhjeve dhe paqartësive juridike. Ndryshimet mbi 50% të aktit aktivizojnë nevojën për rihartim nga fillimi, sipas standardeve të Ministrisë së Drejtësisë, duke e nxjerrë këtë opsion si teknikisht të mundur, por më pak efikas dhe jo të orientuar drejt rezultateve të qëndrueshme.</w:t>
          </w:r>
        </w:p>
        <w:p w14:paraId="05FE27C1" w14:textId="46723439" w:rsidR="00490876" w:rsidRPr="00D565D2" w:rsidRDefault="00490876" w:rsidP="00D565D2">
          <w:pPr>
            <w:tabs>
              <w:tab w:val="left" w:pos="10080"/>
            </w:tabs>
            <w:spacing w:after="120" w:line="288" w:lineRule="auto"/>
            <w:jc w:val="both"/>
          </w:pPr>
          <w:r w:rsidRPr="00F955A6">
            <w:rPr>
              <w:b/>
              <w:bCs/>
            </w:rPr>
            <w:t>Opsioni 4,</w:t>
          </w:r>
          <w:r w:rsidRPr="00F955A6">
            <w:t xml:space="preserve"> si opsion jorregullator, parashikon mosndërhyrjen në kuadrin ligjor aktual dhe ruajtjen e status quo-së, duke shmangur kostot administrative dhe nevojën për burime shtesë. Megjithatë, ky opsion nuk sjell përfitime për konsumatorët, ofruesit e shërbimeve apo administratën, pasi barrierat ekzistuese, pasiguria juridike dhe pabarazitë gjinore mbeten të paprekura. Në këtë mënyrë, ndërkohë që ruhet stabiliteti ligjor afatshkurtër, vonohet përafrimi me standardet e BE-së, kufizohen mundësitë për inovacion dhe konkurrencë në treg, dhe nuk përmirësohet cilësia e shërbimeve për qytetarët.</w:t>
          </w:r>
        </w:p>
        <w:p w14:paraId="2C393081" w14:textId="36EFF13A" w:rsidR="00D565D2" w:rsidRPr="00D565D2" w:rsidRDefault="00D565D2" w:rsidP="00D565D2">
          <w:pPr>
            <w:tabs>
              <w:tab w:val="left" w:pos="10080"/>
            </w:tabs>
            <w:spacing w:after="120" w:line="288" w:lineRule="auto"/>
            <w:jc w:val="both"/>
          </w:pPr>
          <w:r w:rsidRPr="00D565D2">
            <w:t>Krahasimi evidenton qartë se opsioni më i balancuar, me ndikim pozitiv në konkurrueshmëri, siguri ligjore, mbështetje institucionale dhe financiare, është hartimi i një ligji të ri për shërbimet. Ky opsion garanton zbatimin në kohë të angazhimeve të Shqipërisë për integrim dhe krijon një mekanizëm rregullator që i shërben sa interesit të shtetit, aq edhe nevojave të tregut dhe qytetarëve, duke ndërtuar themelet e një tregu të hapur, transparent dhe të standardizuar në përputhje me acquis të BE-së.</w:t>
          </w:r>
        </w:p>
        <w:p w14:paraId="010069E3" w14:textId="48995DDA" w:rsidR="00E5462D" w:rsidRPr="00EC5989" w:rsidRDefault="000C6DFC" w:rsidP="00A47931">
          <w:pPr>
            <w:tabs>
              <w:tab w:val="left" w:pos="10080"/>
            </w:tabs>
            <w:spacing w:after="120" w:line="288" w:lineRule="auto"/>
            <w:jc w:val="both"/>
          </w:pPr>
          <w:r w:rsidRPr="002A4FC6">
            <w:t>Nga një analizë krahasimore të opsioneve, rezulton se Opsioni 1 (Hartimi i një ligji tëri) është me leverdishmi për sa i përket kostove dhe përfitimeve</w:t>
          </w:r>
          <w:r w:rsidR="002A4FC6" w:rsidRPr="002A4FC6">
            <w:t>:</w:t>
          </w:r>
        </w:p>
        <w:p w14:paraId="498F89F7" w14:textId="77777777" w:rsidR="00796A2C" w:rsidRPr="00796A2C" w:rsidRDefault="00796A2C" w:rsidP="00796A2C">
          <w:pPr>
            <w:tabs>
              <w:tab w:val="left" w:pos="10080"/>
            </w:tabs>
            <w:spacing w:after="120" w:line="288" w:lineRule="auto"/>
            <w:jc w:val="both"/>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809"/>
            <w:gridCol w:w="1111"/>
            <w:gridCol w:w="1350"/>
            <w:gridCol w:w="4930"/>
          </w:tblGrid>
          <w:tr w:rsidR="00754F3E" w:rsidRPr="00754F3E" w14:paraId="7416E36F" w14:textId="5769467C" w:rsidTr="00754F3E">
            <w:tc>
              <w:tcPr>
                <w:tcW w:w="0" w:type="auto"/>
                <w:vMerge w:val="restart"/>
              </w:tcPr>
              <w:p w14:paraId="22ACB275" w14:textId="77777777" w:rsidR="00754F3E" w:rsidRPr="00754F3E" w:rsidRDefault="00754F3E" w:rsidP="00796A2C">
                <w:pPr>
                  <w:tabs>
                    <w:tab w:val="left" w:pos="10080"/>
                  </w:tabs>
                  <w:spacing w:after="120" w:line="288" w:lineRule="auto"/>
                  <w:jc w:val="both"/>
                  <w:rPr>
                    <w:b/>
                    <w:sz w:val="20"/>
                  </w:rPr>
                </w:pPr>
                <w:r w:rsidRPr="00754F3E">
                  <w:rPr>
                    <w:b/>
                    <w:sz w:val="20"/>
                  </w:rPr>
                  <w:t>Opsioni</w:t>
                </w:r>
              </w:p>
            </w:tc>
            <w:tc>
              <w:tcPr>
                <w:tcW w:w="0" w:type="auto"/>
                <w:gridSpan w:val="2"/>
              </w:tcPr>
              <w:p w14:paraId="5646F14B" w14:textId="77777777" w:rsidR="00754F3E" w:rsidRPr="00754F3E" w:rsidRDefault="00754F3E" w:rsidP="00796A2C">
                <w:pPr>
                  <w:tabs>
                    <w:tab w:val="left" w:pos="10080"/>
                  </w:tabs>
                  <w:spacing w:after="120" w:line="288" w:lineRule="auto"/>
                  <w:jc w:val="both"/>
                  <w:rPr>
                    <w:b/>
                    <w:sz w:val="20"/>
                  </w:rPr>
                </w:pPr>
                <w:r w:rsidRPr="00754F3E">
                  <w:rPr>
                    <w:b/>
                    <w:sz w:val="20"/>
                  </w:rPr>
                  <w:t>Vlera aktuale në milionë lekë</w:t>
                </w:r>
              </w:p>
            </w:tc>
            <w:tc>
              <w:tcPr>
                <w:tcW w:w="0" w:type="auto"/>
                <w:vMerge w:val="restart"/>
              </w:tcPr>
              <w:p w14:paraId="7AA3AC53" w14:textId="77777777" w:rsidR="00754F3E" w:rsidRPr="00754F3E" w:rsidRDefault="00754F3E" w:rsidP="00796A2C">
                <w:pPr>
                  <w:tabs>
                    <w:tab w:val="left" w:pos="10080"/>
                  </w:tabs>
                  <w:spacing w:after="120" w:line="288" w:lineRule="auto"/>
                  <w:jc w:val="both"/>
                  <w:rPr>
                    <w:b/>
                    <w:sz w:val="20"/>
                  </w:rPr>
                </w:pPr>
                <w:r w:rsidRPr="00754F3E">
                  <w:rPr>
                    <w:b/>
                    <w:sz w:val="20"/>
                  </w:rPr>
                  <w:t>Vlera aktuale neto në milionë lekë</w:t>
                </w:r>
              </w:p>
            </w:tc>
            <w:tc>
              <w:tcPr>
                <w:tcW w:w="0" w:type="auto"/>
                <w:vMerge w:val="restart"/>
              </w:tcPr>
              <w:p w14:paraId="7CC1DA2F" w14:textId="33B696C8" w:rsidR="00754F3E" w:rsidRPr="00754F3E" w:rsidRDefault="00754F3E" w:rsidP="00796A2C">
                <w:pPr>
                  <w:tabs>
                    <w:tab w:val="left" w:pos="10080"/>
                  </w:tabs>
                  <w:spacing w:after="120" w:line="288" w:lineRule="auto"/>
                  <w:jc w:val="both"/>
                  <w:rPr>
                    <w:b/>
                    <w:sz w:val="20"/>
                  </w:rPr>
                </w:pPr>
                <w:r w:rsidRPr="00754F3E">
                  <w:rPr>
                    <w:b/>
                    <w:sz w:val="20"/>
                  </w:rPr>
                  <w:t>Shënime</w:t>
                </w:r>
              </w:p>
            </w:tc>
          </w:tr>
          <w:tr w:rsidR="00754F3E" w:rsidRPr="00754F3E" w14:paraId="48C4CF96" w14:textId="33DC46CB" w:rsidTr="00754F3E">
            <w:tc>
              <w:tcPr>
                <w:tcW w:w="0" w:type="auto"/>
                <w:vMerge/>
              </w:tcPr>
              <w:p w14:paraId="2D20201F" w14:textId="77777777" w:rsidR="00754F3E" w:rsidRPr="00754F3E" w:rsidRDefault="00754F3E" w:rsidP="00796A2C">
                <w:pPr>
                  <w:tabs>
                    <w:tab w:val="left" w:pos="10080"/>
                  </w:tabs>
                  <w:spacing w:after="120" w:line="288" w:lineRule="auto"/>
                  <w:jc w:val="both"/>
                  <w:rPr>
                    <w:sz w:val="20"/>
                  </w:rPr>
                </w:pPr>
              </w:p>
            </w:tc>
            <w:tc>
              <w:tcPr>
                <w:tcW w:w="0" w:type="auto"/>
              </w:tcPr>
              <w:p w14:paraId="447D1669" w14:textId="77777777" w:rsidR="00754F3E" w:rsidRPr="00754F3E" w:rsidRDefault="00754F3E" w:rsidP="00796A2C">
                <w:pPr>
                  <w:tabs>
                    <w:tab w:val="left" w:pos="10080"/>
                  </w:tabs>
                  <w:spacing w:after="120" w:line="288" w:lineRule="auto"/>
                  <w:jc w:val="both"/>
                  <w:rPr>
                    <w:b/>
                    <w:sz w:val="20"/>
                  </w:rPr>
                </w:pPr>
                <w:r w:rsidRPr="00754F3E">
                  <w:rPr>
                    <w:b/>
                    <w:sz w:val="20"/>
                  </w:rPr>
                  <w:t>Kosto</w:t>
                </w:r>
              </w:p>
            </w:tc>
            <w:tc>
              <w:tcPr>
                <w:tcW w:w="0" w:type="auto"/>
              </w:tcPr>
              <w:p w14:paraId="0DD1891F" w14:textId="77777777" w:rsidR="00754F3E" w:rsidRPr="00754F3E" w:rsidRDefault="00754F3E" w:rsidP="00796A2C">
                <w:pPr>
                  <w:tabs>
                    <w:tab w:val="left" w:pos="10080"/>
                  </w:tabs>
                  <w:spacing w:after="120" w:line="288" w:lineRule="auto"/>
                  <w:jc w:val="both"/>
                  <w:rPr>
                    <w:b/>
                    <w:sz w:val="20"/>
                  </w:rPr>
                </w:pPr>
                <w:r w:rsidRPr="00754F3E">
                  <w:rPr>
                    <w:b/>
                    <w:sz w:val="20"/>
                  </w:rPr>
                  <w:t>Përfitimi</w:t>
                </w:r>
              </w:p>
            </w:tc>
            <w:tc>
              <w:tcPr>
                <w:tcW w:w="0" w:type="auto"/>
                <w:vMerge/>
              </w:tcPr>
              <w:p w14:paraId="3A862EF9" w14:textId="77777777" w:rsidR="00754F3E" w:rsidRPr="00754F3E" w:rsidRDefault="00754F3E" w:rsidP="00796A2C">
                <w:pPr>
                  <w:tabs>
                    <w:tab w:val="left" w:pos="10080"/>
                  </w:tabs>
                  <w:spacing w:after="120" w:line="288" w:lineRule="auto"/>
                  <w:jc w:val="both"/>
                  <w:rPr>
                    <w:sz w:val="20"/>
                  </w:rPr>
                </w:pPr>
              </w:p>
            </w:tc>
            <w:tc>
              <w:tcPr>
                <w:tcW w:w="0" w:type="auto"/>
                <w:vMerge/>
              </w:tcPr>
              <w:p w14:paraId="2494AE31" w14:textId="77777777" w:rsidR="00754F3E" w:rsidRPr="00754F3E" w:rsidRDefault="00754F3E" w:rsidP="00796A2C">
                <w:pPr>
                  <w:tabs>
                    <w:tab w:val="left" w:pos="10080"/>
                  </w:tabs>
                  <w:spacing w:after="120" w:line="288" w:lineRule="auto"/>
                  <w:jc w:val="both"/>
                  <w:rPr>
                    <w:sz w:val="20"/>
                  </w:rPr>
                </w:pPr>
              </w:p>
            </w:tc>
          </w:tr>
          <w:tr w:rsidR="00754F3E" w:rsidRPr="00754F3E" w14:paraId="7EEB2339" w14:textId="76EB5C79" w:rsidTr="00754F3E">
            <w:tc>
              <w:tcPr>
                <w:tcW w:w="0" w:type="auto"/>
              </w:tcPr>
              <w:p w14:paraId="415C921F" w14:textId="48F66EB1" w:rsidR="00754F3E" w:rsidRPr="00754F3E" w:rsidRDefault="00754F3E" w:rsidP="00234986">
                <w:pPr>
                  <w:tabs>
                    <w:tab w:val="left" w:pos="10080"/>
                  </w:tabs>
                  <w:spacing w:after="120" w:line="288" w:lineRule="auto"/>
                  <w:rPr>
                    <w:sz w:val="20"/>
                  </w:rPr>
                </w:pPr>
                <w:r w:rsidRPr="00754F3E">
                  <w:rPr>
                    <w:sz w:val="20"/>
                  </w:rPr>
                  <w:t>Opsioni 0: Status quo – Pa ndryshime ligjore</w:t>
                </w:r>
              </w:p>
            </w:tc>
            <w:tc>
              <w:tcPr>
                <w:tcW w:w="0" w:type="auto"/>
              </w:tcPr>
              <w:p w14:paraId="175E86EE" w14:textId="31285ABB"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206B1FDF" w14:textId="57ADACD8"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48B26575" w14:textId="5B6517D7"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3E478385" w14:textId="6ED4DB26" w:rsidR="00754F3E" w:rsidRPr="00754F3E" w:rsidRDefault="00754F3E" w:rsidP="00754F3E">
                <w:pPr>
                  <w:tabs>
                    <w:tab w:val="left" w:pos="10080"/>
                  </w:tabs>
                  <w:spacing w:after="120" w:line="288" w:lineRule="auto"/>
                  <w:rPr>
                    <w:sz w:val="20"/>
                  </w:rPr>
                </w:pPr>
                <w:r w:rsidRPr="00754F3E">
                  <w:rPr>
                    <w:sz w:val="20"/>
                  </w:rPr>
                  <w:t>Kuantifikimi nuk realizohet për shkak mungese të dhënash</w:t>
                </w:r>
              </w:p>
            </w:tc>
          </w:tr>
          <w:tr w:rsidR="00754F3E" w:rsidRPr="00754F3E" w14:paraId="709A2EAE" w14:textId="588D5F01" w:rsidTr="00754F3E">
            <w:tc>
              <w:tcPr>
                <w:tcW w:w="0" w:type="auto"/>
              </w:tcPr>
              <w:p w14:paraId="41F3F131" w14:textId="0D0B6E02" w:rsidR="00754F3E" w:rsidRPr="00754F3E" w:rsidRDefault="00754F3E" w:rsidP="00234986">
                <w:pPr>
                  <w:tabs>
                    <w:tab w:val="left" w:pos="10080"/>
                  </w:tabs>
                  <w:spacing w:after="120" w:line="288" w:lineRule="auto"/>
                  <w:rPr>
                    <w:sz w:val="20"/>
                  </w:rPr>
                </w:pPr>
                <w:r w:rsidRPr="00754F3E">
                  <w:rPr>
                    <w:sz w:val="20"/>
                  </w:rPr>
                  <w:t>Opsioni 1: Hartimi i një ligji të ri për shërbimet</w:t>
                </w:r>
              </w:p>
            </w:tc>
            <w:tc>
              <w:tcPr>
                <w:tcW w:w="0" w:type="auto"/>
              </w:tcPr>
              <w:p w14:paraId="4678B08E" w14:textId="742D9451"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1F1A0391" w14:textId="3CCCBD60"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44078C32" w14:textId="505085D2"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1A8380AD" w14:textId="1F2A2D94" w:rsidR="00234986" w:rsidRDefault="00754F3E" w:rsidP="00754F3E">
                <w:pPr>
                  <w:tabs>
                    <w:tab w:val="left" w:pos="10080"/>
                  </w:tabs>
                  <w:spacing w:after="120" w:line="288" w:lineRule="auto"/>
                  <w:rPr>
                    <w:sz w:val="20"/>
                  </w:rPr>
                </w:pPr>
                <w:r>
                  <w:rPr>
                    <w:sz w:val="20"/>
                  </w:rPr>
                  <w:t>Vlerësim cilësor i ponderuar – opsioni më i favorshëm; kërkon kuantifikim në të ardhmen me një seri treguesish (INSTAT; MF; AKSHI etj.)</w:t>
                </w:r>
              </w:p>
              <w:p w14:paraId="42829376" w14:textId="302350DF" w:rsidR="00754F3E" w:rsidRPr="00754F3E" w:rsidRDefault="00234986" w:rsidP="00754F3E">
                <w:pPr>
                  <w:tabs>
                    <w:tab w:val="left" w:pos="10080"/>
                  </w:tabs>
                  <w:spacing w:after="120" w:line="288" w:lineRule="auto"/>
                  <w:rPr>
                    <w:sz w:val="20"/>
                  </w:rPr>
                </w:pPr>
                <w:r>
                  <w:rPr>
                    <w:sz w:val="20"/>
                  </w:rPr>
                  <w:t>*</w:t>
                </w:r>
                <w:r w:rsidRPr="00234986">
                  <w:rPr>
                    <w:sz w:val="20"/>
                  </w:rPr>
                  <w:t>Kuantifikimi parashikohet pas sigurimit të treguesve bazë (p.sh. numri i lejeve/licencave, kohëzgjatja mesatare e procedurave, flukset e IHD, të ardhurat tatimore), në bashkëpunim me MF, INSTAT, AKSHI</w:t>
                </w:r>
                <w:r>
                  <w:rPr>
                    <w:sz w:val="20"/>
                  </w:rPr>
                  <w:t>.</w:t>
                </w:r>
              </w:p>
            </w:tc>
          </w:tr>
          <w:tr w:rsidR="00754F3E" w:rsidRPr="00754F3E" w14:paraId="71B0FCA4" w14:textId="265FF780" w:rsidTr="00754F3E">
            <w:tc>
              <w:tcPr>
                <w:tcW w:w="0" w:type="auto"/>
              </w:tcPr>
              <w:p w14:paraId="1DB34D3A" w14:textId="29A5A8E4" w:rsidR="00754F3E" w:rsidRPr="00754F3E" w:rsidRDefault="00754F3E" w:rsidP="00234986">
                <w:pPr>
                  <w:tabs>
                    <w:tab w:val="left" w:pos="10080"/>
                  </w:tabs>
                  <w:spacing w:after="120" w:line="288" w:lineRule="auto"/>
                  <w:rPr>
                    <w:sz w:val="20"/>
                  </w:rPr>
                </w:pPr>
                <w:r w:rsidRPr="00754F3E">
                  <w:rPr>
                    <w:sz w:val="20"/>
                  </w:rPr>
                  <w:t>Opsioni 2: Ndërhyrje sektoriale të targetuara</w:t>
                </w:r>
              </w:p>
            </w:tc>
            <w:tc>
              <w:tcPr>
                <w:tcW w:w="0" w:type="auto"/>
              </w:tcPr>
              <w:p w14:paraId="02A665CB" w14:textId="784F3F9D"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449BC74E" w14:textId="64E57EAB"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2739DBC6" w14:textId="4B481495"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4AA6B6FA" w14:textId="09AB6271" w:rsidR="00754F3E" w:rsidRPr="00754F3E" w:rsidRDefault="00234986" w:rsidP="00754F3E">
                <w:pPr>
                  <w:tabs>
                    <w:tab w:val="left" w:pos="10080"/>
                  </w:tabs>
                  <w:spacing w:after="120" w:line="288" w:lineRule="auto"/>
                  <w:rPr>
                    <w:sz w:val="20"/>
                  </w:rPr>
                </w:pPr>
                <w:r>
                  <w:rPr>
                    <w:sz w:val="20"/>
                  </w:rPr>
                  <w:t>Përfitime të pjesshme; rrezik fragmetimi.</w:t>
                </w:r>
              </w:p>
            </w:tc>
          </w:tr>
          <w:tr w:rsidR="00754F3E" w:rsidRPr="00754F3E" w14:paraId="7FCB375A" w14:textId="78C6679D" w:rsidTr="00754F3E">
            <w:tc>
              <w:tcPr>
                <w:tcW w:w="0" w:type="auto"/>
              </w:tcPr>
              <w:p w14:paraId="62EC97C6" w14:textId="0FE5CD61" w:rsidR="00754F3E" w:rsidRPr="00754F3E" w:rsidRDefault="00754F3E" w:rsidP="00234986">
                <w:pPr>
                  <w:tabs>
                    <w:tab w:val="left" w:pos="10080"/>
                  </w:tabs>
                  <w:spacing w:after="120" w:line="288" w:lineRule="auto"/>
                  <w:rPr>
                    <w:sz w:val="20"/>
                  </w:rPr>
                </w:pPr>
                <w:r w:rsidRPr="00754F3E">
                  <w:rPr>
                    <w:sz w:val="20"/>
                  </w:rPr>
                  <w:t>Opsioni 3: Ndryshime të pjesshme në Ligjin 66/2016</w:t>
                </w:r>
              </w:p>
            </w:tc>
            <w:tc>
              <w:tcPr>
                <w:tcW w:w="0" w:type="auto"/>
              </w:tcPr>
              <w:p w14:paraId="29878436" w14:textId="7DFEDDAC"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4EE7DA11" w14:textId="358B130F"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2FA59ED6" w14:textId="3366FECA" w:rsidR="00754F3E" w:rsidRPr="00754F3E" w:rsidRDefault="00754F3E" w:rsidP="00754F3E">
                <w:pPr>
                  <w:tabs>
                    <w:tab w:val="left" w:pos="10080"/>
                  </w:tabs>
                  <w:spacing w:after="120" w:line="288" w:lineRule="auto"/>
                  <w:jc w:val="both"/>
                  <w:rPr>
                    <w:sz w:val="20"/>
                  </w:rPr>
                </w:pPr>
                <w:r w:rsidRPr="00754F3E">
                  <w:rPr>
                    <w:sz w:val="20"/>
                  </w:rPr>
                  <w:t>N/A</w:t>
                </w:r>
              </w:p>
            </w:tc>
            <w:tc>
              <w:tcPr>
                <w:tcW w:w="0" w:type="auto"/>
              </w:tcPr>
              <w:p w14:paraId="19151B68" w14:textId="77777777" w:rsidR="00754F3E" w:rsidRDefault="00234986" w:rsidP="00754F3E">
                <w:pPr>
                  <w:tabs>
                    <w:tab w:val="left" w:pos="10080"/>
                  </w:tabs>
                  <w:spacing w:after="120" w:line="288" w:lineRule="auto"/>
                  <w:rPr>
                    <w:sz w:val="20"/>
                  </w:rPr>
                </w:pPr>
                <w:r w:rsidRPr="00234986">
                  <w:rPr>
                    <w:sz w:val="20"/>
                  </w:rPr>
                  <w:t>Përshtatje e thellë e ligjit ekzistues me rrezik paqartësie.</w:t>
                </w:r>
              </w:p>
              <w:p w14:paraId="6561AD4D" w14:textId="77777777" w:rsidR="00490876" w:rsidRDefault="00490876" w:rsidP="00754F3E">
                <w:pPr>
                  <w:tabs>
                    <w:tab w:val="left" w:pos="10080"/>
                  </w:tabs>
                  <w:spacing w:after="120" w:line="288" w:lineRule="auto"/>
                  <w:rPr>
                    <w:sz w:val="20"/>
                  </w:rPr>
                </w:pPr>
              </w:p>
              <w:p w14:paraId="6E81E738" w14:textId="0893E08B" w:rsidR="00490876" w:rsidRPr="00754F3E" w:rsidRDefault="00490876" w:rsidP="00754F3E">
                <w:pPr>
                  <w:tabs>
                    <w:tab w:val="left" w:pos="10080"/>
                  </w:tabs>
                  <w:spacing w:after="120" w:line="288" w:lineRule="auto"/>
                  <w:rPr>
                    <w:sz w:val="20"/>
                  </w:rPr>
                </w:pPr>
              </w:p>
            </w:tc>
          </w:tr>
          <w:tr w:rsidR="00490876" w:rsidRPr="00754F3E" w14:paraId="4D755F40" w14:textId="77777777" w:rsidTr="00F955A6">
            <w:tc>
              <w:tcPr>
                <w:tcW w:w="0" w:type="auto"/>
                <w:shd w:val="clear" w:color="auto" w:fill="FFFFFF" w:themeFill="background1"/>
              </w:tcPr>
              <w:p w14:paraId="09865C9C" w14:textId="65A5377F" w:rsidR="00490876" w:rsidRPr="00490876" w:rsidRDefault="00490876" w:rsidP="00490876">
                <w:pPr>
                  <w:tabs>
                    <w:tab w:val="left" w:pos="10080"/>
                  </w:tabs>
                  <w:spacing w:after="120" w:line="288" w:lineRule="auto"/>
                  <w:rPr>
                    <w:sz w:val="20"/>
                  </w:rPr>
                </w:pPr>
                <w:r w:rsidRPr="00490876">
                  <w:rPr>
                    <w:sz w:val="20"/>
                  </w:rPr>
                  <w:t>Opsioni 4: Masa jorregullatore</w:t>
                </w:r>
              </w:p>
            </w:tc>
            <w:tc>
              <w:tcPr>
                <w:tcW w:w="0" w:type="auto"/>
                <w:shd w:val="clear" w:color="auto" w:fill="FFFFFF" w:themeFill="background1"/>
              </w:tcPr>
              <w:p w14:paraId="029B89BE" w14:textId="31DF8778" w:rsidR="00490876" w:rsidRPr="00490876" w:rsidRDefault="00490876" w:rsidP="00490876">
                <w:pPr>
                  <w:tabs>
                    <w:tab w:val="left" w:pos="10080"/>
                  </w:tabs>
                  <w:spacing w:after="120" w:line="288" w:lineRule="auto"/>
                  <w:jc w:val="both"/>
                  <w:rPr>
                    <w:sz w:val="20"/>
                  </w:rPr>
                </w:pPr>
                <w:r w:rsidRPr="00490876">
                  <w:rPr>
                    <w:sz w:val="20"/>
                  </w:rPr>
                  <w:t>N/A</w:t>
                </w:r>
              </w:p>
            </w:tc>
            <w:tc>
              <w:tcPr>
                <w:tcW w:w="0" w:type="auto"/>
                <w:shd w:val="clear" w:color="auto" w:fill="FFFFFF" w:themeFill="background1"/>
              </w:tcPr>
              <w:p w14:paraId="23FFF2ED" w14:textId="675CD1BF" w:rsidR="00490876" w:rsidRPr="00490876" w:rsidRDefault="00490876" w:rsidP="00490876">
                <w:pPr>
                  <w:tabs>
                    <w:tab w:val="left" w:pos="10080"/>
                  </w:tabs>
                  <w:spacing w:after="120" w:line="288" w:lineRule="auto"/>
                  <w:jc w:val="both"/>
                  <w:rPr>
                    <w:sz w:val="20"/>
                  </w:rPr>
                </w:pPr>
                <w:r w:rsidRPr="00490876">
                  <w:rPr>
                    <w:sz w:val="20"/>
                  </w:rPr>
                  <w:t>N/A</w:t>
                </w:r>
              </w:p>
            </w:tc>
            <w:tc>
              <w:tcPr>
                <w:tcW w:w="0" w:type="auto"/>
                <w:shd w:val="clear" w:color="auto" w:fill="FFFFFF" w:themeFill="background1"/>
              </w:tcPr>
              <w:p w14:paraId="2D172AB8" w14:textId="6EE76D57" w:rsidR="00490876" w:rsidRPr="00490876" w:rsidRDefault="00490876" w:rsidP="00490876">
                <w:pPr>
                  <w:tabs>
                    <w:tab w:val="left" w:pos="10080"/>
                  </w:tabs>
                  <w:spacing w:after="120" w:line="288" w:lineRule="auto"/>
                  <w:jc w:val="both"/>
                  <w:rPr>
                    <w:sz w:val="20"/>
                  </w:rPr>
                </w:pPr>
                <w:r w:rsidRPr="00490876">
                  <w:rPr>
                    <w:sz w:val="20"/>
                  </w:rPr>
                  <w:t>N/A</w:t>
                </w:r>
              </w:p>
            </w:tc>
            <w:tc>
              <w:tcPr>
                <w:tcW w:w="0" w:type="auto"/>
                <w:shd w:val="clear" w:color="auto" w:fill="F2F2F2" w:themeFill="background1" w:themeFillShade="F2"/>
              </w:tcPr>
              <w:p w14:paraId="6CCE9D4C" w14:textId="22DC2E4E" w:rsidR="00490876" w:rsidRPr="00490876" w:rsidRDefault="00490876" w:rsidP="00490876">
                <w:pPr>
                  <w:tabs>
                    <w:tab w:val="left" w:pos="10080"/>
                  </w:tabs>
                  <w:spacing w:after="120" w:line="288" w:lineRule="auto"/>
                  <w:rPr>
                    <w:sz w:val="20"/>
                  </w:rPr>
                </w:pPr>
                <w:r w:rsidRPr="00490876">
                  <w:rPr>
                    <w:sz w:val="20"/>
                  </w:rPr>
                  <w:t>Ndërhyrja jorregullatore nuk parashikon ndryshime ligjore ose administrative të drejtpërdrejta; si rrjedhojë, nuk mund të bëhet kuantifikim ekonomik apo financiar.</w:t>
                </w:r>
              </w:p>
            </w:tc>
          </w:tr>
        </w:tbl>
        <w:p w14:paraId="7CE34EBA" w14:textId="77777777" w:rsidR="00E5462D" w:rsidRPr="00690D18" w:rsidRDefault="00204683" w:rsidP="00A47931">
          <w:pPr>
            <w:tabs>
              <w:tab w:val="left" w:pos="10080"/>
            </w:tabs>
            <w:spacing w:after="120" w:line="288" w:lineRule="auto"/>
            <w:jc w:val="both"/>
          </w:pPr>
        </w:p>
      </w:sdtContent>
    </w:sdt>
    <w:p w14:paraId="28DC5294" w14:textId="77777777" w:rsidR="0055681D" w:rsidRPr="00563378" w:rsidRDefault="0055681D" w:rsidP="00CF2ADA">
      <w:pPr>
        <w:spacing w:before="240"/>
        <w:jc w:val="both"/>
        <w:rPr>
          <w:color w:val="808080" w:themeColor="background1" w:themeShade="80"/>
        </w:rPr>
      </w:pPr>
    </w:p>
    <w:p w14:paraId="379BB2CE" w14:textId="77777777" w:rsidR="002125B7" w:rsidRPr="00325A1F" w:rsidRDefault="002125B7" w:rsidP="009D13F4">
      <w:pPr>
        <w:pStyle w:val="Heading1"/>
        <w:spacing w:line="276" w:lineRule="auto"/>
        <w:rPr>
          <w:rFonts w:ascii="Times New Roman" w:hAnsi="Times New Roman" w:cs="Times New Roman"/>
          <w:sz w:val="24"/>
          <w:szCs w:val="24"/>
        </w:rPr>
      </w:pPr>
      <w:r w:rsidRPr="1A98504A">
        <w:rPr>
          <w:rFonts w:ascii="Times New Roman" w:hAnsi="Times New Roman" w:cs="Times New Roman"/>
          <w:sz w:val="24"/>
          <w:szCs w:val="24"/>
        </w:rPr>
        <w:t>Arsyetimi i opsionit të preferuar</w:t>
      </w:r>
    </w:p>
    <w:sdt>
      <w:sdtPr>
        <w:rPr>
          <w:rFonts w:ascii="Times New Roman" w:hAnsi="Times New Roman"/>
          <w:i/>
          <w:iCs/>
          <w:sz w:val="24"/>
          <w:szCs w:val="24"/>
        </w:rPr>
        <w:id w:val="-1317640879"/>
        <w:lock w:val="contentLocked"/>
        <w:placeholder>
          <w:docPart w:val="DefaultPlaceholder_1081868574"/>
        </w:placeholder>
      </w:sdtPr>
      <w:sdtContent>
        <w:p w14:paraId="0F57971F" w14:textId="6FD2F48E" w:rsidR="0097570D" w:rsidRPr="0032145B" w:rsidRDefault="0097570D" w:rsidP="00673F28">
          <w:pPr>
            <w:pStyle w:val="ListParagraph"/>
            <w:numPr>
              <w:ilvl w:val="0"/>
              <w:numId w:val="8"/>
            </w:numPr>
            <w:spacing w:after="0" w:line="276" w:lineRule="auto"/>
            <w:rPr>
              <w:rFonts w:ascii="Times New Roman" w:hAnsi="Times New Roman"/>
              <w:i/>
              <w:sz w:val="24"/>
              <w:szCs w:val="24"/>
            </w:rPr>
          </w:pPr>
          <w:r w:rsidRPr="6875B2D2">
            <w:rPr>
              <w:rFonts w:ascii="Times New Roman" w:hAnsi="Times New Roman"/>
              <w:i/>
              <w:sz w:val="24"/>
              <w:szCs w:val="24"/>
            </w:rPr>
            <w:t>Zgjidhni opsionin e preferuar</w:t>
          </w:r>
          <w:r w:rsidR="00372979" w:rsidRPr="6875B2D2">
            <w:rPr>
              <w:rFonts w:ascii="Times New Roman" w:hAnsi="Times New Roman"/>
              <w:i/>
              <w:sz w:val="24"/>
              <w:szCs w:val="24"/>
            </w:rPr>
            <w:t>,</w:t>
          </w:r>
          <w:r w:rsidRPr="6875B2D2">
            <w:rPr>
              <w:rFonts w:ascii="Times New Roman" w:hAnsi="Times New Roman"/>
              <w:i/>
              <w:sz w:val="24"/>
              <w:szCs w:val="24"/>
            </w:rPr>
            <w:t xml:space="preserve"> bazuar në analizë. </w:t>
          </w:r>
        </w:p>
        <w:p w14:paraId="1FD60097" w14:textId="15453140" w:rsidR="002125B7" w:rsidRPr="0032145B" w:rsidRDefault="0097570D" w:rsidP="00673F28">
          <w:pPr>
            <w:pStyle w:val="ListParagraph"/>
            <w:numPr>
              <w:ilvl w:val="0"/>
              <w:numId w:val="8"/>
            </w:numPr>
            <w:spacing w:after="0" w:line="276" w:lineRule="auto"/>
            <w:rPr>
              <w:rFonts w:ascii="Times New Roman" w:hAnsi="Times New Roman"/>
              <w:i/>
              <w:sz w:val="24"/>
              <w:szCs w:val="24"/>
            </w:rPr>
          </w:pPr>
          <w:r w:rsidRPr="6875B2D2">
            <w:rPr>
              <w:rFonts w:ascii="Times New Roman" w:hAnsi="Times New Roman"/>
              <w:i/>
              <w:sz w:val="24"/>
              <w:szCs w:val="24"/>
            </w:rPr>
            <w:t>Shpjegoni arsyetimin tuaj.</w:t>
          </w:r>
        </w:p>
      </w:sdtContent>
    </w:sdt>
    <w:bookmarkStart w:id="23" w:name="_Toc506919739" w:displacedByCustomXml="prev"/>
    <w:sdt>
      <w:sdtPr>
        <w:rPr>
          <w:rFonts w:eastAsiaTheme="majorEastAsia"/>
          <w:color w:val="808080" w:themeColor="background1" w:themeShade="80"/>
        </w:rPr>
        <w:id w:val="-113368952"/>
        <w:placeholder>
          <w:docPart w:val="2C6B1E60C1A14643A06F2DDC18E211CF"/>
        </w:placeholder>
      </w:sdtPr>
      <w:sdtContent>
        <w:p w14:paraId="7C888DF3" w14:textId="146E159D" w:rsidR="00C25729" w:rsidRPr="001A6F9A" w:rsidRDefault="00C25729" w:rsidP="00C25729">
          <w:pPr>
            <w:spacing w:before="240"/>
            <w:jc w:val="both"/>
            <w:rPr>
              <w:color w:val="000000"/>
            </w:rPr>
          </w:pPr>
          <w:r w:rsidRPr="00B96C29">
            <w:rPr>
              <w:b/>
              <w:bCs/>
              <w:color w:val="0070C0"/>
            </w:rPr>
            <w:t>Nga sa më lart</w:t>
          </w:r>
          <w:r w:rsidR="001A6F9A">
            <w:rPr>
              <w:b/>
              <w:bCs/>
              <w:color w:val="0070C0"/>
            </w:rPr>
            <w:t>,</w:t>
          </w:r>
        </w:p>
        <w:p w14:paraId="5DD3D52D" w14:textId="22C14C70" w:rsidR="001B4A80" w:rsidRPr="001B4A80" w:rsidRDefault="001B4A80" w:rsidP="001B4A80">
          <w:pPr>
            <w:tabs>
              <w:tab w:val="left" w:pos="10080"/>
            </w:tabs>
            <w:spacing w:line="288" w:lineRule="auto"/>
            <w:contextualSpacing/>
            <w:jc w:val="both"/>
            <w:rPr>
              <w:color w:val="000000"/>
            </w:rPr>
          </w:pPr>
          <w:r w:rsidRPr="6875B2D2">
            <w:rPr>
              <w:color w:val="000000" w:themeColor="text1"/>
            </w:rPr>
            <w:t>Opsioni i preferuar është hartimi i një ligji të ri “Për lirinë e vendosjes dhe ofrimin e shërbimeve në Republikën e Shqipërisë”. Ky opsion siguron transpozimin e plotë, të qartë dhe funksional të Direktivës 2006/123/KE, duke vendosur një bazë të re unike dhe të harmonizuar për rregullimin e tregut të shërbimeve në Shqipëri.</w:t>
          </w:r>
        </w:p>
        <w:p w14:paraId="22A61297" w14:textId="67DDD1CD" w:rsidR="001B4A80" w:rsidRPr="001B4A80" w:rsidRDefault="001B4A80" w:rsidP="001B4A80">
          <w:pPr>
            <w:tabs>
              <w:tab w:val="left" w:pos="10080"/>
            </w:tabs>
            <w:spacing w:line="288" w:lineRule="auto"/>
            <w:contextualSpacing/>
            <w:jc w:val="both"/>
            <w:rPr>
              <w:color w:val="000000"/>
            </w:rPr>
          </w:pPr>
          <w:r w:rsidRPr="6875B2D2">
            <w:rPr>
              <w:color w:val="000000" w:themeColor="text1"/>
            </w:rPr>
            <w:t>Ky opsion është përzgjedhur për disa arsye të argumentuara:</w:t>
          </w:r>
        </w:p>
        <w:p w14:paraId="7989B984" w14:textId="77777777" w:rsidR="001A6F9A" w:rsidRDefault="001A6F9A" w:rsidP="001B4A80">
          <w:pPr>
            <w:tabs>
              <w:tab w:val="left" w:pos="10080"/>
            </w:tabs>
            <w:spacing w:line="288" w:lineRule="auto"/>
            <w:contextualSpacing/>
            <w:jc w:val="both"/>
            <w:rPr>
              <w:color w:val="000000"/>
            </w:rPr>
          </w:pPr>
        </w:p>
        <w:p w14:paraId="5823F7BB" w14:textId="1F65AFBF" w:rsidR="001B4A80" w:rsidRPr="001B4A80" w:rsidRDefault="001B4A80" w:rsidP="001B4A80">
          <w:pPr>
            <w:tabs>
              <w:tab w:val="left" w:pos="10080"/>
            </w:tabs>
            <w:spacing w:line="288" w:lineRule="auto"/>
            <w:contextualSpacing/>
            <w:jc w:val="both"/>
            <w:rPr>
              <w:color w:val="000000"/>
            </w:rPr>
          </w:pPr>
          <w:r w:rsidRPr="6875B2D2">
            <w:rPr>
              <w:color w:val="000000" w:themeColor="text1"/>
            </w:rPr>
            <w:t>Së pari, ligji aktual për shërbimet nuk siguron përputhje me pjesët thelbësore të Direktivës, sidomos ato që kanë të bëjnë me lirinë e përkohshme të ofrimit të shërbimeve ndërkufitare, të drejtën e operatorëve të BE-së për të hyrë në treg pa u vendosur fizikisht, bashkëpunimin administrativ ndërmjet shteteve anëtare dhe përdorimin e platformës IMI. Këto parashikime, që kanë rol qendror në Direktive, mungojnë ose janë të pjesshme në ligjin aktual.</w:t>
          </w:r>
        </w:p>
        <w:p w14:paraId="77A6C00E" w14:textId="77777777" w:rsidR="001A6F9A" w:rsidRDefault="001A6F9A" w:rsidP="001B4A80">
          <w:pPr>
            <w:tabs>
              <w:tab w:val="left" w:pos="10080"/>
            </w:tabs>
            <w:spacing w:line="288" w:lineRule="auto"/>
            <w:contextualSpacing/>
            <w:jc w:val="both"/>
            <w:rPr>
              <w:color w:val="000000"/>
            </w:rPr>
          </w:pPr>
        </w:p>
        <w:p w14:paraId="76E3A8B5" w14:textId="1DF93ABA" w:rsidR="001B4A80" w:rsidRPr="001B4A80" w:rsidRDefault="001B4A80" w:rsidP="001B4A80">
          <w:pPr>
            <w:tabs>
              <w:tab w:val="left" w:pos="10080"/>
            </w:tabs>
            <w:spacing w:line="288" w:lineRule="auto"/>
            <w:contextualSpacing/>
            <w:jc w:val="both"/>
            <w:rPr>
              <w:color w:val="000000"/>
            </w:rPr>
          </w:pPr>
          <w:r w:rsidRPr="6875B2D2">
            <w:rPr>
              <w:color w:val="000000" w:themeColor="text1"/>
            </w:rPr>
            <w:t>Së dyti, ndërhyrjet e pjesshme në ligjet sektoriale, pa një reformulim të ligjit bazë, do të çonin në një kuadër rregullator të fragmentuar, me dispozita të ndryshme dhe shpesh të paqëndrueshme nga një sektor në tjetrin. Në ndryshim nga kjo, ligji i ri horizontal për lirinë e vendosjes dhe ofrimin e shërbimeve garanton një bazë të unifikuar që do të udhëheqë të gjitha përshtatjet sektoriale në vijim, duke krijuar koherencë dhe siguri juridike.</w:t>
          </w:r>
        </w:p>
        <w:p w14:paraId="2A32FE26" w14:textId="77777777" w:rsidR="001A6F9A" w:rsidRDefault="001A6F9A" w:rsidP="001B4A80">
          <w:pPr>
            <w:tabs>
              <w:tab w:val="left" w:pos="10080"/>
            </w:tabs>
            <w:spacing w:line="288" w:lineRule="auto"/>
            <w:contextualSpacing/>
            <w:jc w:val="both"/>
            <w:rPr>
              <w:color w:val="000000"/>
            </w:rPr>
          </w:pPr>
        </w:p>
        <w:p w14:paraId="16CC178D" w14:textId="40508FE4" w:rsidR="001B4A80" w:rsidRPr="001B4A80" w:rsidRDefault="001B4A80" w:rsidP="001B4A80">
          <w:pPr>
            <w:tabs>
              <w:tab w:val="left" w:pos="10080"/>
            </w:tabs>
            <w:spacing w:line="288" w:lineRule="auto"/>
            <w:contextualSpacing/>
            <w:jc w:val="both"/>
            <w:rPr>
              <w:color w:val="000000"/>
            </w:rPr>
          </w:pPr>
          <w:r w:rsidRPr="6875B2D2">
            <w:rPr>
              <w:color w:val="000000" w:themeColor="text1"/>
            </w:rPr>
            <w:t>Së treti, ky opsion u krijon operatorëve ekonomikë dhe qytetarëve një kuadër më të qartë dhe më funksional: siguron zbatimin e të drejtave të plota për ofrimin e shërbimeve brenda hapësirës së BE-së, eliminon pengesat e pajustifikuara për hyrjen e shërbimeve të huaja dhe promovon konkurrencën dhe cilësinë në tregun vendas të shërbimeve.</w:t>
          </w:r>
        </w:p>
        <w:p w14:paraId="11D72ECF" w14:textId="77777777" w:rsidR="001A6F9A" w:rsidRDefault="001A6F9A" w:rsidP="001B4A80">
          <w:pPr>
            <w:tabs>
              <w:tab w:val="left" w:pos="10080"/>
            </w:tabs>
            <w:spacing w:line="288" w:lineRule="auto"/>
            <w:contextualSpacing/>
            <w:jc w:val="both"/>
            <w:rPr>
              <w:color w:val="000000"/>
            </w:rPr>
          </w:pPr>
        </w:p>
        <w:p w14:paraId="2EB03000" w14:textId="024927D5" w:rsidR="001B4A80" w:rsidRPr="001B4A80" w:rsidRDefault="001B4A80" w:rsidP="001B4A80">
          <w:pPr>
            <w:tabs>
              <w:tab w:val="left" w:pos="10080"/>
            </w:tabs>
            <w:spacing w:line="288" w:lineRule="auto"/>
            <w:contextualSpacing/>
            <w:jc w:val="both"/>
            <w:rPr>
              <w:color w:val="000000"/>
            </w:rPr>
          </w:pPr>
          <w:r w:rsidRPr="6875B2D2">
            <w:rPr>
              <w:color w:val="000000" w:themeColor="text1"/>
            </w:rPr>
            <w:t>Së fundi, ky opsion është plotësisht në përputhje me prioritetet e përcaktuara në Planin Kombëtar për Integrimin Evropian 2024-2026 dhe me praktikat më të mira të vendeve anëtare të BE-së, të cilat kanë miratuar ligje kuadër të posaçme për transpozimin e Direktivës.</w:t>
          </w:r>
        </w:p>
        <w:p w14:paraId="7E3F30FA" w14:textId="77777777" w:rsidR="001A6F9A" w:rsidRDefault="001A6F9A" w:rsidP="009441C8">
          <w:pPr>
            <w:tabs>
              <w:tab w:val="left" w:pos="10080"/>
            </w:tabs>
            <w:spacing w:line="288" w:lineRule="auto"/>
            <w:contextualSpacing/>
            <w:jc w:val="both"/>
            <w:rPr>
              <w:color w:val="000000"/>
            </w:rPr>
          </w:pPr>
        </w:p>
        <w:p w14:paraId="3AAC8039" w14:textId="5A910834" w:rsidR="009A7A3D" w:rsidRPr="009441C8" w:rsidRDefault="001B4A80" w:rsidP="009441C8">
          <w:pPr>
            <w:tabs>
              <w:tab w:val="left" w:pos="10080"/>
            </w:tabs>
            <w:spacing w:line="288" w:lineRule="auto"/>
            <w:contextualSpacing/>
            <w:jc w:val="both"/>
            <w:rPr>
              <w:color w:val="000000"/>
            </w:rPr>
          </w:pPr>
          <w:r w:rsidRPr="6875B2D2">
            <w:rPr>
              <w:color w:val="000000" w:themeColor="text1"/>
            </w:rPr>
            <w:t>Për këto arsye, hartimi i ligjit të ri “Për lirinë e vendosjes dhe ofrimi</w:t>
          </w:r>
          <w:r w:rsidR="001F663A" w:rsidRPr="6875B2D2">
            <w:rPr>
              <w:color w:val="000000" w:themeColor="text1"/>
            </w:rPr>
            <w:t>t</w:t>
          </w:r>
          <w:r w:rsidRPr="6875B2D2">
            <w:rPr>
              <w:color w:val="000000" w:themeColor="text1"/>
            </w:rPr>
            <w:t xml:space="preserve"> </w:t>
          </w:r>
          <w:r w:rsidR="001F663A" w:rsidRPr="6875B2D2">
            <w:rPr>
              <w:color w:val="000000" w:themeColor="text1"/>
            </w:rPr>
            <w:t>të</w:t>
          </w:r>
          <w:r w:rsidRPr="6875B2D2">
            <w:rPr>
              <w:color w:val="000000" w:themeColor="text1"/>
            </w:rPr>
            <w:t xml:space="preserve"> shërbimeve” është opsioni më i justifikuar, i qëndrueshëm dhe i zbatueshëm në praktikë, duke garantuar integrim të plotë të parimeve të Direktivës dhe një transformim gradual, të kontrolluar dhe efikas të legjislacionit sektorial në vijim.</w:t>
          </w:r>
        </w:p>
        <w:p w14:paraId="76D1D100" w14:textId="77777777" w:rsidR="001A6F9A" w:rsidRDefault="001A6F9A" w:rsidP="009A7A3D">
          <w:pPr>
            <w:tabs>
              <w:tab w:val="left" w:pos="10080"/>
            </w:tabs>
            <w:spacing w:after="120" w:line="288" w:lineRule="auto"/>
            <w:contextualSpacing/>
            <w:jc w:val="both"/>
            <w:rPr>
              <w:color w:val="000000"/>
            </w:rPr>
          </w:pPr>
        </w:p>
        <w:p w14:paraId="2663A95E" w14:textId="7E61539E" w:rsidR="009A7A3D" w:rsidRPr="00FF3999" w:rsidRDefault="009A7A3D" w:rsidP="009A7A3D">
          <w:pPr>
            <w:tabs>
              <w:tab w:val="left" w:pos="10080"/>
            </w:tabs>
            <w:spacing w:after="120" w:line="288" w:lineRule="auto"/>
            <w:contextualSpacing/>
            <w:jc w:val="both"/>
            <w:rPr>
              <w:color w:val="000000"/>
            </w:rPr>
          </w:pPr>
          <w:r w:rsidRPr="6875B2D2">
            <w:rPr>
              <w:color w:val="000000" w:themeColor="text1"/>
            </w:rPr>
            <w:t>Një tjetër element me rëndësi është kursimi i burimeve administrative dhe financiare. Ndryshimi i drejtpërdrejtë i dhjetëra ligjeve sektoriale do të kërkonte shumë më tepër burime njerëzore dhe financiare, si dhe kohë më të gjatë për përfundim. Ndërsa hartimi i një ligji të ri kuadër krijon një efekt kaskadë, që redukton nevojën për ndërhyrje të përsëritura dhe e bën procesin më efikas.</w:t>
          </w:r>
        </w:p>
        <w:p w14:paraId="58654AB9" w14:textId="77777777" w:rsidR="009A7A3D" w:rsidRPr="00FF3999" w:rsidRDefault="009A7A3D" w:rsidP="009A7A3D">
          <w:pPr>
            <w:tabs>
              <w:tab w:val="left" w:pos="10080"/>
            </w:tabs>
            <w:spacing w:after="120" w:line="288" w:lineRule="auto"/>
            <w:contextualSpacing/>
            <w:jc w:val="both"/>
            <w:rPr>
              <w:color w:val="000000"/>
            </w:rPr>
          </w:pPr>
          <w:r w:rsidRPr="6875B2D2">
            <w:rPr>
              <w:color w:val="000000" w:themeColor="text1"/>
            </w:rPr>
            <w:t>Në fund, ky opsion rrit sigurinë juridike dhe besimin e tregut. Një ligj kuadër i përafruar plotësisht me Direktivën krijon qartësi ligjore për operatorët ekonomikë, rrit besimin e investitorëve dhe u jep atyre garanci për një treg shërbimesh më të lirë dhe më konkurrues.</w:t>
          </w:r>
        </w:p>
        <w:p w14:paraId="40F0714D" w14:textId="77777777" w:rsidR="009A7A3D" w:rsidRDefault="009A7A3D" w:rsidP="009A7A3D">
          <w:pPr>
            <w:tabs>
              <w:tab w:val="left" w:pos="10080"/>
            </w:tabs>
            <w:spacing w:after="120" w:line="288" w:lineRule="auto"/>
            <w:contextualSpacing/>
            <w:jc w:val="both"/>
            <w:rPr>
              <w:color w:val="000000"/>
            </w:rPr>
          </w:pPr>
        </w:p>
        <w:p w14:paraId="6337657F" w14:textId="77777777" w:rsidR="009A7A3D" w:rsidRPr="00FF3999" w:rsidRDefault="009A7A3D" w:rsidP="009A7A3D">
          <w:pPr>
            <w:tabs>
              <w:tab w:val="left" w:pos="10080"/>
            </w:tabs>
            <w:spacing w:after="120" w:line="288" w:lineRule="auto"/>
            <w:contextualSpacing/>
            <w:jc w:val="both"/>
            <w:rPr>
              <w:color w:val="000000"/>
            </w:rPr>
          </w:pPr>
          <w:r w:rsidRPr="6875B2D2">
            <w:rPr>
              <w:color w:val="000000" w:themeColor="text1"/>
            </w:rPr>
            <w:t>Prandaj, hartimi i ligjit të ri Për Shërbimet shihet si opsioni më i qëndrueshëm, më efikas dhe më i sigurt, sepse siguron një bazë ligjore unike, koherencë dhe një qasje të përshkallëzuar, duke respektuar kapacitetet vendore dhe duke përputhur ritmin e integrimit me Bashkimin Evropian.</w:t>
          </w:r>
        </w:p>
        <w:p w14:paraId="2BEC84CA" w14:textId="77777777" w:rsidR="00A47931" w:rsidRDefault="00A47931" w:rsidP="0076598D">
          <w:pPr>
            <w:pStyle w:val="BodyText"/>
            <w:tabs>
              <w:tab w:val="left" w:pos="1165"/>
              <w:tab w:val="left" w:pos="10080"/>
            </w:tabs>
            <w:spacing w:line="288" w:lineRule="auto"/>
            <w:ind w:right="26"/>
            <w:contextualSpacing/>
            <w:jc w:val="both"/>
            <w:rPr>
              <w:b/>
              <w:sz w:val="24"/>
              <w:szCs w:val="24"/>
            </w:rPr>
          </w:pPr>
        </w:p>
        <w:p w14:paraId="12D0F603" w14:textId="5D296B4E" w:rsidR="0076598D" w:rsidRPr="001D0575" w:rsidRDefault="0076598D" w:rsidP="0076598D">
          <w:pPr>
            <w:pStyle w:val="BodyText"/>
            <w:tabs>
              <w:tab w:val="left" w:pos="1165"/>
              <w:tab w:val="left" w:pos="10080"/>
            </w:tabs>
            <w:spacing w:line="288" w:lineRule="auto"/>
            <w:ind w:right="26"/>
            <w:contextualSpacing/>
            <w:jc w:val="both"/>
            <w:rPr>
              <w:b/>
              <w:bCs/>
              <w:sz w:val="24"/>
              <w:szCs w:val="24"/>
            </w:rPr>
          </w:pPr>
          <w:r w:rsidRPr="001D0575">
            <w:rPr>
              <w:b/>
              <w:sz w:val="24"/>
              <w:szCs w:val="24"/>
            </w:rPr>
            <w:t>Analiza e kosto – efektivitetit</w:t>
          </w:r>
        </w:p>
        <w:p w14:paraId="379029CA" w14:textId="77777777" w:rsidR="007C535A" w:rsidRPr="007C535A" w:rsidRDefault="007C535A" w:rsidP="007C535A">
          <w:pPr>
            <w:spacing w:after="120" w:line="288" w:lineRule="auto"/>
            <w:contextualSpacing/>
            <w:jc w:val="both"/>
            <w:rPr>
              <w:rFonts w:eastAsia="Aptos"/>
              <w:kern w:val="2"/>
              <w14:ligatures w14:val="standardContextual"/>
            </w:rPr>
          </w:pPr>
          <w:r w:rsidRPr="002A4FC6">
            <w:rPr>
              <w:rFonts w:eastAsia="Aptos"/>
              <w:b/>
              <w:bCs/>
              <w:kern w:val="2"/>
              <w14:ligatures w14:val="standardContextual"/>
            </w:rPr>
            <w:t>Opsioni 0</w:t>
          </w:r>
          <w:r w:rsidRPr="007C535A">
            <w:rPr>
              <w:rFonts w:eastAsia="Aptos"/>
              <w:kern w:val="2"/>
              <w14:ligatures w14:val="standardContextual"/>
            </w:rPr>
            <w:t>, që parashikon mosndërhyrjen në kuadrin ligjor ekzistues, nuk sjell kosto shtesë financiare, por nuk adreson asnjë prej boshllëqeve të identifikuara në raport me Direktivën 2006/123/KE. Si pasojë, krijon një kosto të lartë të mbartur për shtetin dhe aktorët e tregut, duke ngadalësuar procesin e integrimit në BE dhe rritur pasigurinë juridike. Kostot indirekte pasqyrohen në vonesën e përfitimeve të integrimit evropian dhe në stagnimin e konkurrueshmërisë së tregut të shërbimeve.</w:t>
          </w:r>
        </w:p>
        <w:p w14:paraId="30A00173" w14:textId="3548475D" w:rsidR="007C535A" w:rsidRPr="007C535A" w:rsidRDefault="007C535A" w:rsidP="007C535A">
          <w:pPr>
            <w:spacing w:after="120" w:line="288" w:lineRule="auto"/>
            <w:contextualSpacing/>
            <w:jc w:val="both"/>
            <w:rPr>
              <w:rFonts w:eastAsia="Aptos"/>
              <w:kern w:val="2"/>
              <w14:ligatures w14:val="standardContextual"/>
            </w:rPr>
          </w:pPr>
          <w:r w:rsidRPr="002A4FC6">
            <w:rPr>
              <w:rFonts w:eastAsia="Aptos"/>
              <w:b/>
              <w:bCs/>
              <w:kern w:val="2"/>
              <w14:ligatures w14:val="standardContextual"/>
            </w:rPr>
            <w:t>Opsioni 1</w:t>
          </w:r>
          <w:r w:rsidRPr="007C535A">
            <w:rPr>
              <w:rFonts w:eastAsia="Aptos"/>
              <w:kern w:val="2"/>
              <w14:ligatures w14:val="standardContextual"/>
            </w:rPr>
            <w:t xml:space="preserve">, hartimi i një ligji të ri kuadër </w:t>
          </w:r>
          <w:r w:rsidR="005A2088">
            <w:rPr>
              <w:rFonts w:eastAsia="Aptos"/>
              <w:kern w:val="2"/>
              <w14:ligatures w14:val="standardContextual"/>
            </w:rPr>
            <w:t>p</w:t>
          </w:r>
          <w:r w:rsidRPr="007C535A">
            <w:rPr>
              <w:rFonts w:eastAsia="Aptos"/>
              <w:kern w:val="2"/>
              <w14:ligatures w14:val="standardContextual"/>
            </w:rPr>
            <w:t>ër shërbimet, sjell kosto fillestare të lidhura me procesin e hartimit, konsultimeve ndërinstitucionale dhe përgatitjes së akteve nënligjore. Megjithatë, ky opsion krijon një strukturë unike dhe tërësisht të përafruar, duke reduktuar ndjeshëm nevojën për ndërhyrje të fragmentuara dhe të përsëritura në të ardhmen. Efikasiteti i lartë i këtij opsioni reflektohet në jetëgjatësinë dhe koherencën e tij ligjore, duke e bërë atë më kosto–efektiv në afatgjatë.</w:t>
          </w:r>
        </w:p>
        <w:p w14:paraId="0564752B" w14:textId="77777777" w:rsidR="007C535A" w:rsidRPr="007C535A" w:rsidRDefault="007C535A" w:rsidP="007C535A">
          <w:pPr>
            <w:spacing w:after="120" w:line="288" w:lineRule="auto"/>
            <w:contextualSpacing/>
            <w:jc w:val="both"/>
            <w:rPr>
              <w:rFonts w:eastAsia="Aptos"/>
              <w:kern w:val="2"/>
              <w14:ligatures w14:val="standardContextual"/>
            </w:rPr>
          </w:pPr>
          <w:r w:rsidRPr="002A4FC6">
            <w:rPr>
              <w:rFonts w:eastAsia="Aptos"/>
              <w:b/>
              <w:bCs/>
              <w:kern w:val="2"/>
              <w14:ligatures w14:val="standardContextual"/>
            </w:rPr>
            <w:t>Opsioni 2</w:t>
          </w:r>
          <w:r w:rsidRPr="007C535A">
            <w:rPr>
              <w:rFonts w:eastAsia="Aptos"/>
              <w:kern w:val="2"/>
              <w14:ligatures w14:val="standardContextual"/>
            </w:rPr>
            <w:t>, ndërhyrja me ndryshime të pjesshme në ligjet sektoriale, kërkon angazhim të konsiderueshëm të burimeve administrative dhe teknike për koordinim të vazhdueshëm ndërministror, ekspertizë të specializuar për secilin akt sektorial dhe procese të shumëfishta konsultimi publik. Për shkak të numrit të madh të ligjeve të prekura, kjo qasje përbën zgjidhje më të kushtueshme dhe më pak efektive sesa ndërhyrja e unifikuar me një ligj të ri kuadër.</w:t>
          </w:r>
        </w:p>
        <w:p w14:paraId="79EFA4AC" w14:textId="77777777" w:rsidR="007C535A" w:rsidRPr="007C535A" w:rsidRDefault="007C535A" w:rsidP="007C535A">
          <w:pPr>
            <w:spacing w:after="120" w:line="288" w:lineRule="auto"/>
            <w:contextualSpacing/>
            <w:jc w:val="both"/>
            <w:rPr>
              <w:rFonts w:eastAsia="Aptos"/>
              <w:kern w:val="2"/>
              <w14:ligatures w14:val="standardContextual"/>
            </w:rPr>
          </w:pPr>
          <w:r w:rsidRPr="002A4FC6">
            <w:rPr>
              <w:rFonts w:eastAsia="Aptos"/>
              <w:b/>
              <w:bCs/>
              <w:kern w:val="2"/>
              <w14:ligatures w14:val="standardContextual"/>
            </w:rPr>
            <w:t>Opsioni 3</w:t>
          </w:r>
          <w:r w:rsidRPr="007C535A">
            <w:rPr>
              <w:rFonts w:eastAsia="Aptos"/>
              <w:kern w:val="2"/>
              <w14:ligatures w14:val="standardContextual"/>
            </w:rPr>
            <w:t>, ndryshimi i thelluar i Ligjit nr. 66/2016, ul kostot fillestare në raport me hartimin e një ligji të ri, por praktikisht kërkon riformatim të më shumë se gjysmës së dispozitave aktuale. Kjo gjeneron kosto të larta tranzicioni, kufizon qartësinë tekniko-juridike gjatë periudhës së zbatimit dhe rrit rrezikun e fragmentimit të kuadrit ligjor, duke ulur gradualisht efektivitetin e ndërhyrjes.</w:t>
          </w:r>
        </w:p>
        <w:p w14:paraId="798D4135" w14:textId="77777777" w:rsidR="007C535A" w:rsidRPr="007C535A" w:rsidRDefault="007C535A" w:rsidP="007C535A">
          <w:pPr>
            <w:spacing w:after="120" w:line="288" w:lineRule="auto"/>
            <w:contextualSpacing/>
            <w:jc w:val="both"/>
            <w:rPr>
              <w:rFonts w:eastAsia="Aptos"/>
              <w:kern w:val="2"/>
              <w14:ligatures w14:val="standardContextual"/>
            </w:rPr>
          </w:pPr>
          <w:r w:rsidRPr="007C535A">
            <w:rPr>
              <w:rFonts w:eastAsia="Aptos"/>
              <w:kern w:val="2"/>
              <w14:ligatures w14:val="standardContextual"/>
            </w:rPr>
            <w:t>Duke peshuar kostot direkte dhe indirekte, si dhe nevojën për garantimin e një kuadri të qartë, të unifikuar dhe të qëndrueshëm për të ardhmen, Opsioni 1 ofron raportin më të favorshëm kosto–efektiviteti. Ai konsolidon ndërhyrjen legjislative në një akt të vetëm, redukton kostot administrative dhe siguron bazën e duhur ligjore për një përafrim të koordinuar dhe të qëndrueshëm, si në nivel horizontal, ashtu edhe në nivel sektorial.</w:t>
          </w:r>
        </w:p>
        <w:p w14:paraId="65248372" w14:textId="789C3BDB" w:rsidR="0076598D" w:rsidRDefault="0076598D" w:rsidP="0076598D">
          <w:pPr>
            <w:spacing w:after="120" w:line="288" w:lineRule="auto"/>
            <w:contextualSpacing/>
            <w:jc w:val="both"/>
            <w:rPr>
              <w:rFonts w:eastAsia="Aptos"/>
              <w:kern w:val="2"/>
              <w14:ligatures w14:val="standardContextual"/>
            </w:rPr>
          </w:pPr>
        </w:p>
        <w:p w14:paraId="23D3004E" w14:textId="77777777" w:rsidR="00A47931" w:rsidRPr="001D0575" w:rsidRDefault="00A47931" w:rsidP="00A47931">
          <w:pPr>
            <w:pStyle w:val="BodyText"/>
            <w:tabs>
              <w:tab w:val="left" w:pos="1165"/>
              <w:tab w:val="left" w:pos="10080"/>
            </w:tabs>
            <w:spacing w:line="288" w:lineRule="auto"/>
            <w:ind w:right="26"/>
            <w:contextualSpacing/>
            <w:jc w:val="both"/>
            <w:rPr>
              <w:b/>
              <w:bCs/>
              <w:sz w:val="24"/>
              <w:szCs w:val="24"/>
            </w:rPr>
          </w:pPr>
          <w:r w:rsidRPr="001D0575">
            <w:rPr>
              <w:b/>
              <w:sz w:val="24"/>
              <w:szCs w:val="24"/>
            </w:rPr>
            <w:t>Analiza me shumë kritere</w:t>
          </w:r>
        </w:p>
        <w:p w14:paraId="70BF7BB6" w14:textId="22BE68D5" w:rsidR="00A47931" w:rsidRPr="001D0575" w:rsidRDefault="00A47931" w:rsidP="00A47931">
          <w:pPr>
            <w:spacing w:after="120" w:line="288" w:lineRule="auto"/>
            <w:contextualSpacing/>
            <w:jc w:val="both"/>
            <w:rPr>
              <w:rFonts w:eastAsiaTheme="majorEastAsia"/>
              <w:color w:val="808080" w:themeColor="background1" w:themeShade="80"/>
            </w:rPr>
          </w:pPr>
          <w:r w:rsidRPr="001D0575">
            <w:rPr>
              <w:rFonts w:eastAsiaTheme="majorEastAsia"/>
              <w:color w:val="000000" w:themeColor="text1"/>
            </w:rPr>
            <w:t>Kriteret për vlerësimin e opsioneve dhe pesha e secilit sipas rëndësisë relative:</w:t>
          </w:r>
        </w:p>
        <w:p w14:paraId="4143A969" w14:textId="0297DF8B" w:rsidR="00000B44" w:rsidRPr="00000B44" w:rsidRDefault="00000B44" w:rsidP="00CC709C">
          <w:pPr>
            <w:pStyle w:val="BodyText"/>
            <w:numPr>
              <w:ilvl w:val="0"/>
              <w:numId w:val="30"/>
            </w:numPr>
            <w:tabs>
              <w:tab w:val="left" w:pos="1165"/>
              <w:tab w:val="left" w:pos="10080"/>
            </w:tabs>
            <w:spacing w:line="288" w:lineRule="auto"/>
            <w:ind w:right="26"/>
            <w:contextualSpacing/>
            <w:jc w:val="both"/>
          </w:pPr>
          <w:r w:rsidRPr="6875B2D2">
            <w:t>Përafrimi i plotë me Direktivën 2006/123/KE – pesha 5</w:t>
          </w:r>
        </w:p>
        <w:p w14:paraId="5BC6F357" w14:textId="758F2203" w:rsidR="00000B44" w:rsidRPr="00000B44" w:rsidRDefault="006C64E6" w:rsidP="00CC709C">
          <w:pPr>
            <w:pStyle w:val="BodyText"/>
            <w:numPr>
              <w:ilvl w:val="0"/>
              <w:numId w:val="30"/>
            </w:numPr>
            <w:tabs>
              <w:tab w:val="left" w:pos="1165"/>
              <w:tab w:val="left" w:pos="10080"/>
            </w:tabs>
            <w:spacing w:line="288" w:lineRule="auto"/>
            <w:ind w:right="26"/>
            <w:contextualSpacing/>
            <w:jc w:val="both"/>
          </w:pPr>
          <w:r w:rsidRPr="001D0575">
            <w:rPr>
              <w:sz w:val="24"/>
              <w:szCs w:val="24"/>
            </w:rPr>
            <w:t>Krijimi i premisave për ofrimin</w:t>
          </w:r>
          <w:r w:rsidRPr="6875B2D2">
            <w:t xml:space="preserve"> e </w:t>
          </w:r>
          <w:r w:rsidR="00000B44" w:rsidRPr="6875B2D2">
            <w:t>shërbimeve ndërkufitare BE – pesha 3</w:t>
          </w:r>
        </w:p>
        <w:p w14:paraId="7A723468" w14:textId="21F149DE" w:rsidR="00000B44" w:rsidRPr="00000B44" w:rsidRDefault="00000B44" w:rsidP="00CC709C">
          <w:pPr>
            <w:pStyle w:val="BodyText"/>
            <w:numPr>
              <w:ilvl w:val="0"/>
              <w:numId w:val="30"/>
            </w:numPr>
            <w:tabs>
              <w:tab w:val="left" w:pos="1165"/>
              <w:tab w:val="left" w:pos="10080"/>
            </w:tabs>
            <w:spacing w:line="288" w:lineRule="auto"/>
            <w:ind w:right="26"/>
            <w:contextualSpacing/>
            <w:jc w:val="both"/>
          </w:pPr>
          <w:r w:rsidRPr="6875B2D2">
            <w:t>Përmirësimi i bashkëpunimit administrativ (p.sh. IMI) – pesha 2</w:t>
          </w:r>
        </w:p>
        <w:p w14:paraId="0A5177E4" w14:textId="637695BA" w:rsidR="00000B44" w:rsidRPr="00000B44" w:rsidRDefault="00000B44" w:rsidP="00CC709C">
          <w:pPr>
            <w:pStyle w:val="BodyText"/>
            <w:numPr>
              <w:ilvl w:val="0"/>
              <w:numId w:val="30"/>
            </w:numPr>
            <w:tabs>
              <w:tab w:val="left" w:pos="1165"/>
              <w:tab w:val="left" w:pos="10080"/>
            </w:tabs>
            <w:spacing w:line="288" w:lineRule="auto"/>
            <w:ind w:right="26"/>
            <w:contextualSpacing/>
            <w:jc w:val="both"/>
          </w:pPr>
          <w:r w:rsidRPr="6875B2D2">
            <w:t>Përafrimi sektorial dhe standardizimi horizontal – pesha 4</w:t>
          </w:r>
        </w:p>
        <w:p w14:paraId="72710DE9" w14:textId="4D19D361" w:rsidR="00000B44" w:rsidRPr="00000B44" w:rsidRDefault="00000B44" w:rsidP="00CC709C">
          <w:pPr>
            <w:pStyle w:val="BodyText"/>
            <w:numPr>
              <w:ilvl w:val="0"/>
              <w:numId w:val="30"/>
            </w:numPr>
            <w:tabs>
              <w:tab w:val="left" w:pos="1165"/>
              <w:tab w:val="left" w:pos="10080"/>
            </w:tabs>
            <w:spacing w:line="288" w:lineRule="auto"/>
            <w:ind w:right="26"/>
            <w:contextualSpacing/>
            <w:jc w:val="both"/>
          </w:pPr>
          <w:r w:rsidRPr="6875B2D2">
            <w:t xml:space="preserve">Kosto-efektiviteti afatgjatë – pesha </w:t>
          </w:r>
          <w:r w:rsidR="00490876">
            <w:t>5</w:t>
          </w:r>
        </w:p>
        <w:p w14:paraId="762FAAAA" w14:textId="1C04CC18" w:rsidR="00000B44" w:rsidRPr="00000B44" w:rsidRDefault="00000B44" w:rsidP="00000B44">
          <w:pPr>
            <w:pStyle w:val="BodyText"/>
            <w:tabs>
              <w:tab w:val="left" w:pos="1165"/>
              <w:tab w:val="left" w:pos="10080"/>
            </w:tabs>
            <w:spacing w:line="288" w:lineRule="auto"/>
            <w:ind w:right="26"/>
            <w:contextualSpacing/>
            <w:jc w:val="both"/>
          </w:pPr>
          <w:r w:rsidRPr="6875B2D2">
            <w:t>Shkalla e performancës: 0–5 (0 më pak i preferuar; 5 më i preferuar)</w:t>
          </w:r>
        </w:p>
        <w:p w14:paraId="1DB321BD" w14:textId="07552823" w:rsidR="00000B44" w:rsidRDefault="00000B44" w:rsidP="00000B44">
          <w:pPr>
            <w:pStyle w:val="BodyText"/>
            <w:tabs>
              <w:tab w:val="left" w:pos="1165"/>
              <w:tab w:val="left" w:pos="10080"/>
            </w:tabs>
            <w:spacing w:line="288" w:lineRule="auto"/>
            <w:ind w:right="26"/>
            <w:contextualSpacing/>
            <w:jc w:val="both"/>
          </w:pPr>
          <w:r w:rsidRPr="6875B2D2">
            <w:t>Tabela e pikëzimit dhe rezultateve të peshuara</w:t>
          </w:r>
        </w:p>
        <w:p w14:paraId="52793AA5" w14:textId="77777777" w:rsidR="009C0309" w:rsidRPr="00000B44" w:rsidRDefault="009C0309" w:rsidP="00000B44">
          <w:pPr>
            <w:pStyle w:val="BodyText"/>
            <w:tabs>
              <w:tab w:val="left" w:pos="1165"/>
              <w:tab w:val="left" w:pos="10080"/>
            </w:tabs>
            <w:spacing w:line="288" w:lineRule="auto"/>
            <w:ind w:right="26"/>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9"/>
            <w:gridCol w:w="921"/>
            <w:gridCol w:w="1260"/>
            <w:gridCol w:w="1365"/>
            <w:gridCol w:w="1260"/>
            <w:gridCol w:w="1440"/>
            <w:gridCol w:w="1920"/>
          </w:tblGrid>
          <w:tr w:rsidR="00EA1C19" w:rsidRPr="00000B44" w14:paraId="55CE3786" w14:textId="169A0399" w:rsidTr="00F955A6">
            <w:trPr>
              <w:tblHeader/>
            </w:trPr>
            <w:tc>
              <w:tcPr>
                <w:tcW w:w="0" w:type="auto"/>
                <w:vAlign w:val="center"/>
                <w:hideMark/>
              </w:tcPr>
              <w:p w14:paraId="7C220B60" w14:textId="77777777" w:rsidR="00490876" w:rsidRPr="00000B44" w:rsidRDefault="00490876" w:rsidP="00000B44">
                <w:pPr>
                  <w:pStyle w:val="BodyText"/>
                  <w:tabs>
                    <w:tab w:val="left" w:pos="1165"/>
                    <w:tab w:val="left" w:pos="10080"/>
                  </w:tabs>
                  <w:spacing w:line="288" w:lineRule="auto"/>
                  <w:ind w:right="26"/>
                  <w:contextualSpacing/>
                  <w:jc w:val="both"/>
                  <w:rPr>
                    <w:b/>
                  </w:rPr>
                </w:pPr>
                <w:r w:rsidRPr="6875B2D2">
                  <w:rPr>
                    <w:b/>
                  </w:rPr>
                  <w:t>Kriteri</w:t>
                </w:r>
              </w:p>
            </w:tc>
            <w:tc>
              <w:tcPr>
                <w:tcW w:w="921" w:type="dxa"/>
                <w:vAlign w:val="center"/>
                <w:hideMark/>
              </w:tcPr>
              <w:p w14:paraId="411B5929" w14:textId="77777777" w:rsidR="00490876" w:rsidRPr="00000B44" w:rsidRDefault="00490876" w:rsidP="00000B44">
                <w:pPr>
                  <w:pStyle w:val="BodyText"/>
                  <w:tabs>
                    <w:tab w:val="left" w:pos="1165"/>
                    <w:tab w:val="left" w:pos="10080"/>
                  </w:tabs>
                  <w:spacing w:line="288" w:lineRule="auto"/>
                  <w:ind w:right="26"/>
                  <w:contextualSpacing/>
                  <w:jc w:val="both"/>
                  <w:rPr>
                    <w:b/>
                  </w:rPr>
                </w:pPr>
                <w:r w:rsidRPr="6875B2D2">
                  <w:rPr>
                    <w:b/>
                  </w:rPr>
                  <w:t>Pesha</w:t>
                </w:r>
              </w:p>
            </w:tc>
            <w:tc>
              <w:tcPr>
                <w:tcW w:w="1260" w:type="dxa"/>
                <w:vAlign w:val="center"/>
                <w:hideMark/>
              </w:tcPr>
              <w:p w14:paraId="51385A54" w14:textId="77777777" w:rsidR="00490876" w:rsidRPr="00000B44" w:rsidRDefault="00490876" w:rsidP="00000B44">
                <w:pPr>
                  <w:pStyle w:val="BodyText"/>
                  <w:tabs>
                    <w:tab w:val="left" w:pos="1165"/>
                    <w:tab w:val="left" w:pos="10080"/>
                  </w:tabs>
                  <w:spacing w:line="288" w:lineRule="auto"/>
                  <w:ind w:right="26"/>
                  <w:contextualSpacing/>
                  <w:jc w:val="both"/>
                  <w:rPr>
                    <w:b/>
                  </w:rPr>
                </w:pPr>
                <w:r w:rsidRPr="6875B2D2">
                  <w:rPr>
                    <w:b/>
                  </w:rPr>
                  <w:t>Opsioni 0: Status quo</w:t>
                </w:r>
              </w:p>
            </w:tc>
            <w:tc>
              <w:tcPr>
                <w:tcW w:w="1365" w:type="dxa"/>
                <w:vAlign w:val="center"/>
                <w:hideMark/>
              </w:tcPr>
              <w:p w14:paraId="79EE1996" w14:textId="77777777" w:rsidR="00490876" w:rsidRPr="00000B44" w:rsidRDefault="00490876" w:rsidP="00000B44">
                <w:pPr>
                  <w:pStyle w:val="BodyText"/>
                  <w:tabs>
                    <w:tab w:val="left" w:pos="1165"/>
                    <w:tab w:val="left" w:pos="10080"/>
                  </w:tabs>
                  <w:spacing w:line="288" w:lineRule="auto"/>
                  <w:ind w:right="26"/>
                  <w:contextualSpacing/>
                  <w:jc w:val="both"/>
                  <w:rPr>
                    <w:b/>
                  </w:rPr>
                </w:pPr>
                <w:r w:rsidRPr="6875B2D2">
                  <w:rPr>
                    <w:b/>
                  </w:rPr>
                  <w:t>Opsioni 1: Ligj i ri</w:t>
                </w:r>
              </w:p>
            </w:tc>
            <w:tc>
              <w:tcPr>
                <w:tcW w:w="1260" w:type="dxa"/>
                <w:vAlign w:val="center"/>
                <w:hideMark/>
              </w:tcPr>
              <w:p w14:paraId="3E587DDD" w14:textId="77777777" w:rsidR="00490876" w:rsidRPr="00000B44" w:rsidRDefault="00490876" w:rsidP="00000B44">
                <w:pPr>
                  <w:pStyle w:val="BodyText"/>
                  <w:tabs>
                    <w:tab w:val="left" w:pos="1165"/>
                    <w:tab w:val="left" w:pos="10080"/>
                  </w:tabs>
                  <w:spacing w:line="288" w:lineRule="auto"/>
                  <w:ind w:right="26"/>
                  <w:contextualSpacing/>
                  <w:jc w:val="both"/>
                  <w:rPr>
                    <w:b/>
                  </w:rPr>
                </w:pPr>
                <w:r w:rsidRPr="6875B2D2">
                  <w:rPr>
                    <w:b/>
                  </w:rPr>
                  <w:t>Opsioni 2: Ndryshime sektoriale</w:t>
                </w:r>
              </w:p>
            </w:tc>
            <w:tc>
              <w:tcPr>
                <w:tcW w:w="1440" w:type="dxa"/>
                <w:vAlign w:val="center"/>
                <w:hideMark/>
              </w:tcPr>
              <w:p w14:paraId="63E15030" w14:textId="77777777" w:rsidR="00490876" w:rsidRPr="00000B44" w:rsidRDefault="00490876" w:rsidP="00000B44">
                <w:pPr>
                  <w:pStyle w:val="BodyText"/>
                  <w:tabs>
                    <w:tab w:val="left" w:pos="1165"/>
                    <w:tab w:val="left" w:pos="10080"/>
                  </w:tabs>
                  <w:spacing w:line="288" w:lineRule="auto"/>
                  <w:ind w:right="26"/>
                  <w:contextualSpacing/>
                  <w:jc w:val="both"/>
                  <w:rPr>
                    <w:b/>
                  </w:rPr>
                </w:pPr>
                <w:r w:rsidRPr="6875B2D2">
                  <w:rPr>
                    <w:b/>
                  </w:rPr>
                  <w:t>Opsioni 3: Ndryshim i Ligjit 66/2016</w:t>
                </w:r>
              </w:p>
            </w:tc>
            <w:tc>
              <w:tcPr>
                <w:tcW w:w="1920" w:type="dxa"/>
              </w:tcPr>
              <w:p w14:paraId="2D88BE34" w14:textId="32E8DDB3" w:rsidR="00490876" w:rsidRPr="6875B2D2" w:rsidRDefault="00490876" w:rsidP="00000B44">
                <w:pPr>
                  <w:pStyle w:val="BodyText"/>
                  <w:tabs>
                    <w:tab w:val="left" w:pos="1165"/>
                    <w:tab w:val="left" w:pos="10080"/>
                  </w:tabs>
                  <w:spacing w:line="288" w:lineRule="auto"/>
                  <w:ind w:right="26"/>
                  <w:contextualSpacing/>
                  <w:jc w:val="both"/>
                  <w:rPr>
                    <w:b/>
                  </w:rPr>
                </w:pPr>
                <w:r>
                  <w:rPr>
                    <w:b/>
                  </w:rPr>
                  <w:t>Opsioni 4- Jorregullator</w:t>
                </w:r>
              </w:p>
            </w:tc>
          </w:tr>
          <w:tr w:rsidR="00EA1C19" w:rsidRPr="00000B44" w14:paraId="2A11797F" w14:textId="71F59E83" w:rsidTr="00F955A6">
            <w:tc>
              <w:tcPr>
                <w:tcW w:w="0" w:type="auto"/>
                <w:vAlign w:val="center"/>
                <w:hideMark/>
              </w:tcPr>
              <w:p w14:paraId="6334F3B5" w14:textId="77777777" w:rsidR="00490876" w:rsidRPr="00000B44" w:rsidRDefault="00490876" w:rsidP="00000B44">
                <w:pPr>
                  <w:pStyle w:val="BodyText"/>
                  <w:tabs>
                    <w:tab w:val="left" w:pos="1165"/>
                    <w:tab w:val="left" w:pos="10080"/>
                  </w:tabs>
                  <w:spacing w:line="288" w:lineRule="auto"/>
                  <w:ind w:right="26"/>
                  <w:contextualSpacing/>
                  <w:jc w:val="both"/>
                </w:pPr>
                <w:r w:rsidRPr="6875B2D2">
                  <w:t>Përafrimi me Dir. 2006/123/KE</w:t>
                </w:r>
              </w:p>
            </w:tc>
            <w:tc>
              <w:tcPr>
                <w:tcW w:w="921" w:type="dxa"/>
                <w:vAlign w:val="center"/>
                <w:hideMark/>
              </w:tcPr>
              <w:p w14:paraId="01765367" w14:textId="77777777" w:rsidR="00490876" w:rsidRPr="00000B44" w:rsidRDefault="00490876" w:rsidP="00000B44">
                <w:pPr>
                  <w:pStyle w:val="BodyText"/>
                  <w:tabs>
                    <w:tab w:val="left" w:pos="1165"/>
                    <w:tab w:val="left" w:pos="10080"/>
                  </w:tabs>
                  <w:spacing w:line="288" w:lineRule="auto"/>
                  <w:ind w:right="26"/>
                  <w:contextualSpacing/>
                  <w:jc w:val="both"/>
                </w:pPr>
                <w:r w:rsidRPr="6875B2D2">
                  <w:t>5</w:t>
                </w:r>
              </w:p>
            </w:tc>
            <w:tc>
              <w:tcPr>
                <w:tcW w:w="1260" w:type="dxa"/>
                <w:vAlign w:val="center"/>
                <w:hideMark/>
              </w:tcPr>
              <w:p w14:paraId="336A586E" w14:textId="79C5866A" w:rsidR="00490876" w:rsidRPr="00000B44" w:rsidRDefault="00490876" w:rsidP="00000B44">
                <w:pPr>
                  <w:pStyle w:val="BodyText"/>
                  <w:tabs>
                    <w:tab w:val="left" w:pos="1165"/>
                    <w:tab w:val="left" w:pos="10080"/>
                  </w:tabs>
                  <w:spacing w:line="288" w:lineRule="auto"/>
                  <w:ind w:right="26"/>
                  <w:contextualSpacing/>
                  <w:jc w:val="both"/>
                </w:pPr>
                <w:r w:rsidRPr="6875B2D2">
                  <w:t>0</w:t>
                </w:r>
                <w:r>
                  <w:t xml:space="preserve"> (0)</w:t>
                </w:r>
              </w:p>
            </w:tc>
            <w:tc>
              <w:tcPr>
                <w:tcW w:w="1365" w:type="dxa"/>
                <w:vAlign w:val="center"/>
                <w:hideMark/>
              </w:tcPr>
              <w:p w14:paraId="11CF4EC7" w14:textId="2088E67E" w:rsidR="00490876" w:rsidRPr="00000B44" w:rsidRDefault="00490876" w:rsidP="00000B44">
                <w:pPr>
                  <w:pStyle w:val="BodyText"/>
                  <w:tabs>
                    <w:tab w:val="left" w:pos="1165"/>
                    <w:tab w:val="left" w:pos="10080"/>
                  </w:tabs>
                  <w:spacing w:line="288" w:lineRule="auto"/>
                  <w:ind w:right="26"/>
                  <w:contextualSpacing/>
                  <w:jc w:val="both"/>
                </w:pPr>
                <w:r w:rsidRPr="6875B2D2">
                  <w:t>5</w:t>
                </w:r>
                <w:r>
                  <w:t xml:space="preserve"> (25)</w:t>
                </w:r>
              </w:p>
            </w:tc>
            <w:tc>
              <w:tcPr>
                <w:tcW w:w="1260" w:type="dxa"/>
                <w:vAlign w:val="center"/>
                <w:hideMark/>
              </w:tcPr>
              <w:p w14:paraId="590DECF7" w14:textId="5CAAEE98" w:rsidR="00490876" w:rsidRPr="00000B44" w:rsidRDefault="00490876" w:rsidP="00000B44">
                <w:pPr>
                  <w:pStyle w:val="BodyText"/>
                  <w:tabs>
                    <w:tab w:val="left" w:pos="1165"/>
                    <w:tab w:val="left" w:pos="10080"/>
                  </w:tabs>
                  <w:spacing w:line="288" w:lineRule="auto"/>
                  <w:ind w:right="26"/>
                  <w:contextualSpacing/>
                  <w:jc w:val="both"/>
                </w:pPr>
                <w:r w:rsidRPr="6875B2D2">
                  <w:t>2</w:t>
                </w:r>
                <w:r>
                  <w:t xml:space="preserve"> (10)</w:t>
                </w:r>
              </w:p>
            </w:tc>
            <w:tc>
              <w:tcPr>
                <w:tcW w:w="1440" w:type="dxa"/>
                <w:vAlign w:val="center"/>
                <w:hideMark/>
              </w:tcPr>
              <w:p w14:paraId="06489890" w14:textId="2D1438A2" w:rsidR="00490876" w:rsidRPr="00000B44" w:rsidRDefault="00490876" w:rsidP="00000B44">
                <w:pPr>
                  <w:pStyle w:val="BodyText"/>
                  <w:tabs>
                    <w:tab w:val="left" w:pos="1165"/>
                    <w:tab w:val="left" w:pos="10080"/>
                  </w:tabs>
                  <w:spacing w:line="288" w:lineRule="auto"/>
                  <w:ind w:right="26"/>
                  <w:contextualSpacing/>
                  <w:jc w:val="both"/>
                </w:pPr>
                <w:r w:rsidRPr="6875B2D2">
                  <w:t>3</w:t>
                </w:r>
                <w:r w:rsidR="00EA1C19">
                  <w:t xml:space="preserve"> (15)</w:t>
                </w:r>
              </w:p>
            </w:tc>
            <w:tc>
              <w:tcPr>
                <w:tcW w:w="1920" w:type="dxa"/>
              </w:tcPr>
              <w:p w14:paraId="76CF0EAF" w14:textId="1EAA7528" w:rsidR="00490876" w:rsidRPr="6875B2D2" w:rsidRDefault="00EA1C19" w:rsidP="00000B44">
                <w:pPr>
                  <w:pStyle w:val="BodyText"/>
                  <w:tabs>
                    <w:tab w:val="left" w:pos="1165"/>
                    <w:tab w:val="left" w:pos="10080"/>
                  </w:tabs>
                  <w:spacing w:line="288" w:lineRule="auto"/>
                  <w:ind w:right="26"/>
                  <w:contextualSpacing/>
                  <w:jc w:val="both"/>
                </w:pPr>
                <w:r>
                  <w:t xml:space="preserve"> </w:t>
                </w:r>
                <w:r w:rsidRPr="6875B2D2">
                  <w:t>0</w:t>
                </w:r>
                <w:r>
                  <w:t xml:space="preserve"> (0)</w:t>
                </w:r>
              </w:p>
            </w:tc>
          </w:tr>
          <w:tr w:rsidR="00EA1C19" w:rsidRPr="00000B44" w14:paraId="584B18CE" w14:textId="00733C99" w:rsidTr="00F955A6">
            <w:tc>
              <w:tcPr>
                <w:tcW w:w="0" w:type="auto"/>
                <w:vAlign w:val="center"/>
                <w:hideMark/>
              </w:tcPr>
              <w:p w14:paraId="7B6EC4EA" w14:textId="77777777" w:rsidR="00EA1C19" w:rsidRPr="00000B44" w:rsidRDefault="00EA1C19" w:rsidP="00EA1C19">
                <w:pPr>
                  <w:pStyle w:val="BodyText"/>
                  <w:tabs>
                    <w:tab w:val="left" w:pos="1165"/>
                    <w:tab w:val="left" w:pos="10080"/>
                  </w:tabs>
                  <w:spacing w:line="288" w:lineRule="auto"/>
                  <w:ind w:right="26"/>
                  <w:contextualSpacing/>
                  <w:jc w:val="both"/>
                </w:pPr>
                <w:r w:rsidRPr="6875B2D2">
                  <w:t>Shërbimet ndërkufitare (BE)</w:t>
                </w:r>
              </w:p>
            </w:tc>
            <w:tc>
              <w:tcPr>
                <w:tcW w:w="921" w:type="dxa"/>
                <w:vAlign w:val="center"/>
                <w:hideMark/>
              </w:tcPr>
              <w:p w14:paraId="638545A8" w14:textId="77777777" w:rsidR="00EA1C19" w:rsidRPr="00000B44" w:rsidRDefault="00EA1C19" w:rsidP="00EA1C19">
                <w:pPr>
                  <w:pStyle w:val="BodyText"/>
                  <w:tabs>
                    <w:tab w:val="left" w:pos="1165"/>
                    <w:tab w:val="left" w:pos="10080"/>
                  </w:tabs>
                  <w:spacing w:line="288" w:lineRule="auto"/>
                  <w:ind w:right="26"/>
                  <w:contextualSpacing/>
                  <w:jc w:val="both"/>
                </w:pPr>
                <w:r w:rsidRPr="6875B2D2">
                  <w:t>3</w:t>
                </w:r>
              </w:p>
            </w:tc>
            <w:tc>
              <w:tcPr>
                <w:tcW w:w="1260" w:type="dxa"/>
                <w:vAlign w:val="center"/>
                <w:hideMark/>
              </w:tcPr>
              <w:p w14:paraId="0ACE3997" w14:textId="6C8E2721" w:rsidR="00EA1C19" w:rsidRPr="00000B44" w:rsidRDefault="00EA1C19" w:rsidP="00EA1C19">
                <w:pPr>
                  <w:pStyle w:val="BodyText"/>
                  <w:tabs>
                    <w:tab w:val="left" w:pos="1165"/>
                    <w:tab w:val="left" w:pos="10080"/>
                  </w:tabs>
                  <w:spacing w:line="288" w:lineRule="auto"/>
                  <w:ind w:right="26"/>
                  <w:contextualSpacing/>
                  <w:jc w:val="both"/>
                </w:pPr>
                <w:r w:rsidRPr="6875B2D2">
                  <w:t>0</w:t>
                </w:r>
                <w:r>
                  <w:t xml:space="preserve"> (0)</w:t>
                </w:r>
              </w:p>
            </w:tc>
            <w:tc>
              <w:tcPr>
                <w:tcW w:w="1365" w:type="dxa"/>
                <w:vAlign w:val="center"/>
                <w:hideMark/>
              </w:tcPr>
              <w:p w14:paraId="24841D7D" w14:textId="72CF1816" w:rsidR="00EA1C19" w:rsidRPr="00000B44" w:rsidRDefault="00EA1C19" w:rsidP="00EA1C19">
                <w:pPr>
                  <w:pStyle w:val="BodyText"/>
                  <w:tabs>
                    <w:tab w:val="left" w:pos="1165"/>
                    <w:tab w:val="left" w:pos="10080"/>
                  </w:tabs>
                  <w:spacing w:line="288" w:lineRule="auto"/>
                  <w:ind w:right="26"/>
                  <w:contextualSpacing/>
                  <w:jc w:val="both"/>
                </w:pPr>
                <w:r>
                  <w:t>3 (9)</w:t>
                </w:r>
              </w:p>
            </w:tc>
            <w:tc>
              <w:tcPr>
                <w:tcW w:w="1260" w:type="dxa"/>
                <w:vAlign w:val="center"/>
                <w:hideMark/>
              </w:tcPr>
              <w:p w14:paraId="7B6C10C2" w14:textId="0DDBFAC2" w:rsidR="00EA1C19" w:rsidRPr="00000B44" w:rsidRDefault="00EA1C19" w:rsidP="00EA1C19">
                <w:pPr>
                  <w:pStyle w:val="BodyText"/>
                  <w:tabs>
                    <w:tab w:val="left" w:pos="1165"/>
                    <w:tab w:val="left" w:pos="10080"/>
                  </w:tabs>
                  <w:spacing w:line="288" w:lineRule="auto"/>
                  <w:ind w:right="26"/>
                  <w:contextualSpacing/>
                  <w:jc w:val="both"/>
                </w:pPr>
                <w:r>
                  <w:t>2 (6)</w:t>
                </w:r>
              </w:p>
            </w:tc>
            <w:tc>
              <w:tcPr>
                <w:tcW w:w="1440" w:type="dxa"/>
                <w:vAlign w:val="center"/>
                <w:hideMark/>
              </w:tcPr>
              <w:p w14:paraId="7BCBE632" w14:textId="28D23289" w:rsidR="00EA1C19" w:rsidRPr="00000B44" w:rsidRDefault="00EA1C19" w:rsidP="00EA1C19">
                <w:pPr>
                  <w:pStyle w:val="BodyText"/>
                  <w:tabs>
                    <w:tab w:val="left" w:pos="1165"/>
                    <w:tab w:val="left" w:pos="10080"/>
                  </w:tabs>
                  <w:spacing w:line="288" w:lineRule="auto"/>
                  <w:ind w:right="26"/>
                  <w:contextualSpacing/>
                  <w:jc w:val="both"/>
                </w:pPr>
                <w:r w:rsidRPr="6875B2D2">
                  <w:t>3</w:t>
                </w:r>
                <w:r>
                  <w:t xml:space="preserve"> (9)</w:t>
                </w:r>
              </w:p>
            </w:tc>
            <w:tc>
              <w:tcPr>
                <w:tcW w:w="1920" w:type="dxa"/>
                <w:vAlign w:val="center"/>
              </w:tcPr>
              <w:p w14:paraId="5FE87825" w14:textId="4605E368" w:rsidR="00EA1C19" w:rsidRPr="6875B2D2" w:rsidRDefault="00EA1C19" w:rsidP="00EA1C19">
                <w:pPr>
                  <w:pStyle w:val="BodyText"/>
                  <w:tabs>
                    <w:tab w:val="left" w:pos="1165"/>
                    <w:tab w:val="left" w:pos="10080"/>
                  </w:tabs>
                  <w:spacing w:line="288" w:lineRule="auto"/>
                  <w:ind w:right="26"/>
                  <w:contextualSpacing/>
                  <w:jc w:val="both"/>
                </w:pPr>
                <w:r w:rsidRPr="6875B2D2">
                  <w:t>0</w:t>
                </w:r>
                <w:r>
                  <w:t xml:space="preserve"> (0)</w:t>
                </w:r>
              </w:p>
            </w:tc>
          </w:tr>
          <w:tr w:rsidR="00EA1C19" w:rsidRPr="00000B44" w14:paraId="25281482" w14:textId="745616FB" w:rsidTr="00F955A6">
            <w:tc>
              <w:tcPr>
                <w:tcW w:w="0" w:type="auto"/>
                <w:vAlign w:val="center"/>
                <w:hideMark/>
              </w:tcPr>
              <w:p w14:paraId="54036E6D" w14:textId="77777777" w:rsidR="00EA1C19" w:rsidRPr="00000B44" w:rsidRDefault="00EA1C19" w:rsidP="00EA1C19">
                <w:pPr>
                  <w:pStyle w:val="BodyText"/>
                  <w:tabs>
                    <w:tab w:val="left" w:pos="1165"/>
                    <w:tab w:val="left" w:pos="10080"/>
                  </w:tabs>
                  <w:spacing w:line="288" w:lineRule="auto"/>
                  <w:ind w:right="26"/>
                  <w:contextualSpacing/>
                  <w:jc w:val="both"/>
                </w:pPr>
                <w:r w:rsidRPr="6875B2D2">
                  <w:t>Bashkëpunimi administrativ/IMI</w:t>
                </w:r>
              </w:p>
            </w:tc>
            <w:tc>
              <w:tcPr>
                <w:tcW w:w="921" w:type="dxa"/>
                <w:vAlign w:val="center"/>
                <w:hideMark/>
              </w:tcPr>
              <w:p w14:paraId="22B03267" w14:textId="77777777" w:rsidR="00EA1C19" w:rsidRPr="00000B44" w:rsidRDefault="00EA1C19" w:rsidP="00EA1C19">
                <w:pPr>
                  <w:pStyle w:val="BodyText"/>
                  <w:tabs>
                    <w:tab w:val="left" w:pos="1165"/>
                    <w:tab w:val="left" w:pos="10080"/>
                  </w:tabs>
                  <w:spacing w:line="288" w:lineRule="auto"/>
                  <w:ind w:right="26"/>
                  <w:contextualSpacing/>
                  <w:jc w:val="both"/>
                </w:pPr>
                <w:r w:rsidRPr="6875B2D2">
                  <w:t>2</w:t>
                </w:r>
              </w:p>
            </w:tc>
            <w:tc>
              <w:tcPr>
                <w:tcW w:w="1260" w:type="dxa"/>
                <w:vAlign w:val="center"/>
                <w:hideMark/>
              </w:tcPr>
              <w:p w14:paraId="5C8A54FC" w14:textId="7146FB10" w:rsidR="00EA1C19" w:rsidRPr="00000B44" w:rsidRDefault="00EA1C19" w:rsidP="00EA1C19">
                <w:pPr>
                  <w:pStyle w:val="BodyText"/>
                  <w:tabs>
                    <w:tab w:val="left" w:pos="1165"/>
                    <w:tab w:val="left" w:pos="10080"/>
                  </w:tabs>
                  <w:spacing w:line="288" w:lineRule="auto"/>
                  <w:ind w:right="26"/>
                  <w:contextualSpacing/>
                  <w:jc w:val="both"/>
                </w:pPr>
                <w:r w:rsidRPr="6875B2D2">
                  <w:t>0</w:t>
                </w:r>
                <w:r>
                  <w:t xml:space="preserve"> (0)</w:t>
                </w:r>
              </w:p>
            </w:tc>
            <w:tc>
              <w:tcPr>
                <w:tcW w:w="1365" w:type="dxa"/>
                <w:vAlign w:val="center"/>
                <w:hideMark/>
              </w:tcPr>
              <w:p w14:paraId="41EB30E5" w14:textId="4B2F9435" w:rsidR="00EA1C19" w:rsidRPr="00000B44" w:rsidRDefault="00EA1C19" w:rsidP="00EA1C19">
                <w:pPr>
                  <w:pStyle w:val="BodyText"/>
                  <w:tabs>
                    <w:tab w:val="left" w:pos="1165"/>
                    <w:tab w:val="left" w:pos="10080"/>
                  </w:tabs>
                  <w:spacing w:line="288" w:lineRule="auto"/>
                  <w:ind w:right="26"/>
                  <w:contextualSpacing/>
                  <w:jc w:val="both"/>
                </w:pPr>
                <w:r>
                  <w:t>2 (4)</w:t>
                </w:r>
              </w:p>
            </w:tc>
            <w:tc>
              <w:tcPr>
                <w:tcW w:w="1260" w:type="dxa"/>
                <w:vAlign w:val="center"/>
                <w:hideMark/>
              </w:tcPr>
              <w:p w14:paraId="76BFA9DD" w14:textId="6AFBB50F" w:rsidR="00EA1C19" w:rsidRPr="00000B44" w:rsidRDefault="00EA1C19" w:rsidP="00EA1C19">
                <w:pPr>
                  <w:pStyle w:val="BodyText"/>
                  <w:tabs>
                    <w:tab w:val="left" w:pos="1165"/>
                    <w:tab w:val="left" w:pos="10080"/>
                  </w:tabs>
                  <w:spacing w:line="288" w:lineRule="auto"/>
                  <w:ind w:right="26"/>
                  <w:contextualSpacing/>
                  <w:jc w:val="both"/>
                </w:pPr>
                <w:r w:rsidRPr="6875B2D2">
                  <w:t>2</w:t>
                </w:r>
                <w:r>
                  <w:t xml:space="preserve"> (4)</w:t>
                </w:r>
              </w:p>
            </w:tc>
            <w:tc>
              <w:tcPr>
                <w:tcW w:w="1440" w:type="dxa"/>
                <w:vAlign w:val="center"/>
                <w:hideMark/>
              </w:tcPr>
              <w:p w14:paraId="31E479F9" w14:textId="7B5583C7" w:rsidR="00EA1C19" w:rsidRPr="00000B44" w:rsidRDefault="00EA1C19" w:rsidP="00EA1C19">
                <w:pPr>
                  <w:pStyle w:val="BodyText"/>
                  <w:tabs>
                    <w:tab w:val="left" w:pos="1165"/>
                    <w:tab w:val="left" w:pos="10080"/>
                  </w:tabs>
                  <w:spacing w:line="288" w:lineRule="auto"/>
                  <w:ind w:right="26"/>
                  <w:contextualSpacing/>
                  <w:jc w:val="both"/>
                </w:pPr>
                <w:r>
                  <w:t>2 (4)</w:t>
                </w:r>
              </w:p>
            </w:tc>
            <w:tc>
              <w:tcPr>
                <w:tcW w:w="1920" w:type="dxa"/>
              </w:tcPr>
              <w:p w14:paraId="25BC83EF" w14:textId="068D40E6" w:rsidR="00EA1C19" w:rsidRPr="6875B2D2" w:rsidRDefault="00EA1C19" w:rsidP="00EA1C19">
                <w:pPr>
                  <w:pStyle w:val="BodyText"/>
                  <w:tabs>
                    <w:tab w:val="left" w:pos="1165"/>
                    <w:tab w:val="left" w:pos="10080"/>
                  </w:tabs>
                  <w:spacing w:line="288" w:lineRule="auto"/>
                  <w:ind w:right="26"/>
                  <w:contextualSpacing/>
                  <w:jc w:val="both"/>
                </w:pPr>
                <w:r>
                  <w:t>1 (2)</w:t>
                </w:r>
              </w:p>
            </w:tc>
          </w:tr>
          <w:tr w:rsidR="00EA1C19" w:rsidRPr="00000B44" w14:paraId="6111EDB6" w14:textId="4C1E3F44" w:rsidTr="00F955A6">
            <w:tc>
              <w:tcPr>
                <w:tcW w:w="0" w:type="auto"/>
                <w:vAlign w:val="center"/>
                <w:hideMark/>
              </w:tcPr>
              <w:p w14:paraId="0DA78AE8" w14:textId="77777777" w:rsidR="00EA1C19" w:rsidRPr="00000B44" w:rsidRDefault="00EA1C19" w:rsidP="00EA1C19">
                <w:pPr>
                  <w:pStyle w:val="BodyText"/>
                  <w:tabs>
                    <w:tab w:val="left" w:pos="1165"/>
                    <w:tab w:val="left" w:pos="10080"/>
                  </w:tabs>
                  <w:spacing w:line="288" w:lineRule="auto"/>
                  <w:ind w:right="26"/>
                  <w:contextualSpacing/>
                  <w:jc w:val="both"/>
                </w:pPr>
                <w:r w:rsidRPr="6875B2D2">
                  <w:t>Përafrimi sektorial/standardizim</w:t>
                </w:r>
              </w:p>
            </w:tc>
            <w:tc>
              <w:tcPr>
                <w:tcW w:w="921" w:type="dxa"/>
                <w:vAlign w:val="center"/>
                <w:hideMark/>
              </w:tcPr>
              <w:p w14:paraId="6F88AB4A" w14:textId="77777777" w:rsidR="00EA1C19" w:rsidRPr="00000B44" w:rsidRDefault="00EA1C19" w:rsidP="00EA1C19">
                <w:pPr>
                  <w:pStyle w:val="BodyText"/>
                  <w:tabs>
                    <w:tab w:val="left" w:pos="1165"/>
                    <w:tab w:val="left" w:pos="10080"/>
                  </w:tabs>
                  <w:spacing w:line="288" w:lineRule="auto"/>
                  <w:ind w:right="26"/>
                  <w:contextualSpacing/>
                  <w:jc w:val="both"/>
                </w:pPr>
                <w:r w:rsidRPr="6875B2D2">
                  <w:t>4</w:t>
                </w:r>
              </w:p>
            </w:tc>
            <w:tc>
              <w:tcPr>
                <w:tcW w:w="1260" w:type="dxa"/>
                <w:vAlign w:val="center"/>
                <w:hideMark/>
              </w:tcPr>
              <w:p w14:paraId="69201AE2" w14:textId="1AAD50EC" w:rsidR="00EA1C19" w:rsidRPr="00000B44" w:rsidRDefault="00EA1C19" w:rsidP="00EA1C19">
                <w:pPr>
                  <w:pStyle w:val="BodyText"/>
                  <w:tabs>
                    <w:tab w:val="left" w:pos="1165"/>
                    <w:tab w:val="left" w:pos="10080"/>
                  </w:tabs>
                  <w:spacing w:line="288" w:lineRule="auto"/>
                  <w:ind w:right="26"/>
                  <w:contextualSpacing/>
                  <w:jc w:val="both"/>
                </w:pPr>
                <w:r>
                  <w:t xml:space="preserve"> 1 (4)</w:t>
                </w:r>
              </w:p>
            </w:tc>
            <w:tc>
              <w:tcPr>
                <w:tcW w:w="1365" w:type="dxa"/>
                <w:vAlign w:val="center"/>
                <w:hideMark/>
              </w:tcPr>
              <w:p w14:paraId="0FB44A9D" w14:textId="0606294E" w:rsidR="00EA1C19" w:rsidRPr="00000B44" w:rsidRDefault="00EA1C19" w:rsidP="00EA1C19">
                <w:pPr>
                  <w:pStyle w:val="BodyText"/>
                  <w:tabs>
                    <w:tab w:val="left" w:pos="1165"/>
                    <w:tab w:val="left" w:pos="10080"/>
                  </w:tabs>
                  <w:spacing w:line="288" w:lineRule="auto"/>
                  <w:ind w:right="26"/>
                  <w:contextualSpacing/>
                  <w:jc w:val="both"/>
                </w:pPr>
                <w:r>
                  <w:t>4 (16)</w:t>
                </w:r>
              </w:p>
            </w:tc>
            <w:tc>
              <w:tcPr>
                <w:tcW w:w="1260" w:type="dxa"/>
                <w:vAlign w:val="center"/>
                <w:hideMark/>
              </w:tcPr>
              <w:p w14:paraId="129F1BD7" w14:textId="5DCB4136" w:rsidR="00EA1C19" w:rsidRPr="00000B44" w:rsidRDefault="00EA1C19" w:rsidP="00EA1C19">
                <w:pPr>
                  <w:pStyle w:val="BodyText"/>
                  <w:tabs>
                    <w:tab w:val="left" w:pos="1165"/>
                    <w:tab w:val="left" w:pos="10080"/>
                  </w:tabs>
                  <w:spacing w:line="288" w:lineRule="auto"/>
                  <w:ind w:right="26"/>
                  <w:contextualSpacing/>
                  <w:jc w:val="both"/>
                </w:pPr>
                <w:r w:rsidRPr="6875B2D2">
                  <w:t>3</w:t>
                </w:r>
                <w:r>
                  <w:t xml:space="preserve"> (12)</w:t>
                </w:r>
              </w:p>
            </w:tc>
            <w:tc>
              <w:tcPr>
                <w:tcW w:w="1440" w:type="dxa"/>
                <w:vAlign w:val="center"/>
                <w:hideMark/>
              </w:tcPr>
              <w:p w14:paraId="7CFBC06C" w14:textId="51991648" w:rsidR="00EA1C19" w:rsidRPr="00000B44" w:rsidRDefault="00EA1C19" w:rsidP="00EA1C19">
                <w:pPr>
                  <w:pStyle w:val="BodyText"/>
                  <w:tabs>
                    <w:tab w:val="left" w:pos="1165"/>
                    <w:tab w:val="left" w:pos="10080"/>
                  </w:tabs>
                  <w:spacing w:line="288" w:lineRule="auto"/>
                  <w:ind w:right="26"/>
                  <w:contextualSpacing/>
                  <w:jc w:val="both"/>
                </w:pPr>
                <w:r w:rsidRPr="6875B2D2">
                  <w:t>4</w:t>
                </w:r>
                <w:r>
                  <w:t xml:space="preserve"> (16)</w:t>
                </w:r>
              </w:p>
            </w:tc>
            <w:tc>
              <w:tcPr>
                <w:tcW w:w="1920" w:type="dxa"/>
                <w:vAlign w:val="center"/>
              </w:tcPr>
              <w:p w14:paraId="3F6DEC92" w14:textId="7579A67E" w:rsidR="00EA1C19" w:rsidRPr="6875B2D2" w:rsidRDefault="00EA1C19" w:rsidP="00EA1C19">
                <w:pPr>
                  <w:pStyle w:val="BodyText"/>
                  <w:tabs>
                    <w:tab w:val="left" w:pos="1165"/>
                    <w:tab w:val="left" w:pos="10080"/>
                  </w:tabs>
                  <w:spacing w:line="288" w:lineRule="auto"/>
                  <w:ind w:right="26"/>
                  <w:contextualSpacing/>
                  <w:jc w:val="both"/>
                </w:pPr>
                <w:r w:rsidRPr="6875B2D2">
                  <w:t>0</w:t>
                </w:r>
                <w:r>
                  <w:t xml:space="preserve"> (0)</w:t>
                </w:r>
              </w:p>
            </w:tc>
          </w:tr>
          <w:tr w:rsidR="00EA1C19" w:rsidRPr="00000B44" w14:paraId="42E3D85D" w14:textId="771960D9" w:rsidTr="00F955A6">
            <w:tc>
              <w:tcPr>
                <w:tcW w:w="0" w:type="auto"/>
                <w:vAlign w:val="center"/>
                <w:hideMark/>
              </w:tcPr>
              <w:p w14:paraId="07D95056" w14:textId="77777777" w:rsidR="00EA1C19" w:rsidRPr="00000B44" w:rsidRDefault="00EA1C19" w:rsidP="00EA1C19">
                <w:pPr>
                  <w:pStyle w:val="BodyText"/>
                  <w:tabs>
                    <w:tab w:val="left" w:pos="1165"/>
                    <w:tab w:val="left" w:pos="10080"/>
                  </w:tabs>
                  <w:spacing w:line="288" w:lineRule="auto"/>
                  <w:ind w:right="26"/>
                  <w:contextualSpacing/>
                  <w:jc w:val="both"/>
                </w:pPr>
                <w:r w:rsidRPr="6875B2D2">
                  <w:t>Kosto-efektiviteti</w:t>
                </w:r>
              </w:p>
            </w:tc>
            <w:tc>
              <w:tcPr>
                <w:tcW w:w="921" w:type="dxa"/>
                <w:vAlign w:val="center"/>
                <w:hideMark/>
              </w:tcPr>
              <w:p w14:paraId="36EBB854" w14:textId="356B5853" w:rsidR="00EA1C19" w:rsidRPr="00000B44" w:rsidRDefault="00EA1C19" w:rsidP="00EA1C19">
                <w:pPr>
                  <w:pStyle w:val="BodyText"/>
                  <w:tabs>
                    <w:tab w:val="left" w:pos="1165"/>
                    <w:tab w:val="left" w:pos="10080"/>
                  </w:tabs>
                  <w:spacing w:line="288" w:lineRule="auto"/>
                  <w:ind w:right="26"/>
                  <w:contextualSpacing/>
                  <w:jc w:val="both"/>
                </w:pPr>
                <w:r>
                  <w:t>5</w:t>
                </w:r>
              </w:p>
            </w:tc>
            <w:tc>
              <w:tcPr>
                <w:tcW w:w="1260" w:type="dxa"/>
                <w:vAlign w:val="center"/>
                <w:hideMark/>
              </w:tcPr>
              <w:p w14:paraId="0C0B3421" w14:textId="72282A76" w:rsidR="00EA1C19" w:rsidRPr="00000B44" w:rsidRDefault="00EA1C19" w:rsidP="00EA1C19">
                <w:pPr>
                  <w:pStyle w:val="BodyText"/>
                  <w:tabs>
                    <w:tab w:val="left" w:pos="1165"/>
                    <w:tab w:val="left" w:pos="10080"/>
                  </w:tabs>
                  <w:spacing w:line="288" w:lineRule="auto"/>
                  <w:ind w:right="26"/>
                  <w:contextualSpacing/>
                  <w:jc w:val="both"/>
                </w:pPr>
                <w:r>
                  <w:t>1 (5)</w:t>
                </w:r>
              </w:p>
            </w:tc>
            <w:tc>
              <w:tcPr>
                <w:tcW w:w="1365" w:type="dxa"/>
                <w:vAlign w:val="center"/>
                <w:hideMark/>
              </w:tcPr>
              <w:p w14:paraId="24DB7FA7" w14:textId="09F1E78F" w:rsidR="00EA1C19" w:rsidRPr="00000B44" w:rsidRDefault="00EA1C19" w:rsidP="00EA1C19">
                <w:pPr>
                  <w:pStyle w:val="BodyText"/>
                  <w:tabs>
                    <w:tab w:val="left" w:pos="1165"/>
                    <w:tab w:val="left" w:pos="10080"/>
                  </w:tabs>
                  <w:spacing w:line="288" w:lineRule="auto"/>
                  <w:ind w:right="26"/>
                  <w:contextualSpacing/>
                  <w:jc w:val="both"/>
                </w:pPr>
                <w:r>
                  <w:t xml:space="preserve"> 5 (25)</w:t>
                </w:r>
              </w:p>
            </w:tc>
            <w:tc>
              <w:tcPr>
                <w:tcW w:w="1260" w:type="dxa"/>
                <w:vAlign w:val="center"/>
                <w:hideMark/>
              </w:tcPr>
              <w:p w14:paraId="13BCDCD9" w14:textId="09B16EFA" w:rsidR="00EA1C19" w:rsidRPr="00000B44" w:rsidRDefault="00EA1C19" w:rsidP="00EA1C19">
                <w:pPr>
                  <w:pStyle w:val="BodyText"/>
                  <w:tabs>
                    <w:tab w:val="left" w:pos="1165"/>
                    <w:tab w:val="left" w:pos="10080"/>
                  </w:tabs>
                  <w:spacing w:line="288" w:lineRule="auto"/>
                  <w:ind w:right="26"/>
                  <w:contextualSpacing/>
                  <w:jc w:val="both"/>
                </w:pPr>
                <w:r w:rsidRPr="6875B2D2">
                  <w:t>3</w:t>
                </w:r>
                <w:r>
                  <w:t xml:space="preserve"> (15)</w:t>
                </w:r>
              </w:p>
            </w:tc>
            <w:tc>
              <w:tcPr>
                <w:tcW w:w="1440" w:type="dxa"/>
                <w:vAlign w:val="center"/>
                <w:hideMark/>
              </w:tcPr>
              <w:p w14:paraId="4F7126A1" w14:textId="204D01A3" w:rsidR="00EA1C19" w:rsidRPr="00000B44" w:rsidRDefault="00EA1C19" w:rsidP="00EA1C19">
                <w:pPr>
                  <w:pStyle w:val="BodyText"/>
                  <w:tabs>
                    <w:tab w:val="left" w:pos="1165"/>
                    <w:tab w:val="left" w:pos="10080"/>
                  </w:tabs>
                  <w:spacing w:line="288" w:lineRule="auto"/>
                  <w:ind w:right="26"/>
                  <w:contextualSpacing/>
                  <w:jc w:val="both"/>
                </w:pPr>
                <w:r>
                  <w:t>4 (20)</w:t>
                </w:r>
              </w:p>
            </w:tc>
            <w:tc>
              <w:tcPr>
                <w:tcW w:w="1920" w:type="dxa"/>
              </w:tcPr>
              <w:p w14:paraId="23A54D6F" w14:textId="67671E59" w:rsidR="00EA1C19" w:rsidRPr="6875B2D2" w:rsidRDefault="00EA1C19" w:rsidP="00EA1C19">
                <w:pPr>
                  <w:pStyle w:val="BodyText"/>
                  <w:tabs>
                    <w:tab w:val="left" w:pos="1165"/>
                    <w:tab w:val="left" w:pos="10080"/>
                  </w:tabs>
                  <w:spacing w:line="288" w:lineRule="auto"/>
                  <w:ind w:right="26"/>
                  <w:contextualSpacing/>
                  <w:jc w:val="both"/>
                </w:pPr>
                <w:r>
                  <w:t>2 (10)</w:t>
                </w:r>
              </w:p>
            </w:tc>
          </w:tr>
          <w:tr w:rsidR="00EA1C19" w:rsidRPr="00000B44" w14:paraId="7E8C2157" w14:textId="179864AF" w:rsidTr="00F955A6">
            <w:tc>
              <w:tcPr>
                <w:tcW w:w="0" w:type="auto"/>
                <w:vAlign w:val="center"/>
                <w:hideMark/>
              </w:tcPr>
              <w:p w14:paraId="39F03483" w14:textId="77777777" w:rsidR="00EA1C19" w:rsidRPr="00000B44" w:rsidRDefault="00EA1C19" w:rsidP="00EA1C19">
                <w:pPr>
                  <w:pStyle w:val="BodyText"/>
                  <w:tabs>
                    <w:tab w:val="left" w:pos="1165"/>
                    <w:tab w:val="left" w:pos="10080"/>
                  </w:tabs>
                  <w:spacing w:line="288" w:lineRule="auto"/>
                  <w:ind w:right="26"/>
                  <w:contextualSpacing/>
                  <w:jc w:val="both"/>
                </w:pPr>
                <w:r w:rsidRPr="6875B2D2">
                  <w:t>Totali i peshuar</w:t>
                </w:r>
              </w:p>
            </w:tc>
            <w:tc>
              <w:tcPr>
                <w:tcW w:w="921" w:type="dxa"/>
                <w:vAlign w:val="center"/>
                <w:hideMark/>
              </w:tcPr>
              <w:p w14:paraId="4F1B5F6E" w14:textId="77777777" w:rsidR="00EA1C19" w:rsidRPr="00000B44" w:rsidRDefault="00EA1C19" w:rsidP="00EA1C19">
                <w:pPr>
                  <w:pStyle w:val="BodyText"/>
                  <w:tabs>
                    <w:tab w:val="left" w:pos="1165"/>
                    <w:tab w:val="left" w:pos="10080"/>
                  </w:tabs>
                  <w:spacing w:line="288" w:lineRule="auto"/>
                  <w:ind w:right="26"/>
                  <w:contextualSpacing/>
                  <w:jc w:val="both"/>
                </w:pPr>
              </w:p>
            </w:tc>
            <w:tc>
              <w:tcPr>
                <w:tcW w:w="1260" w:type="dxa"/>
                <w:vAlign w:val="center"/>
                <w:hideMark/>
              </w:tcPr>
              <w:p w14:paraId="6828D0A1" w14:textId="454495E4" w:rsidR="00EA1C19" w:rsidRPr="00000B44" w:rsidRDefault="00EA1C19" w:rsidP="00EA1C19">
                <w:pPr>
                  <w:pStyle w:val="BodyText"/>
                  <w:tabs>
                    <w:tab w:val="left" w:pos="1165"/>
                    <w:tab w:val="left" w:pos="10080"/>
                  </w:tabs>
                  <w:spacing w:line="288" w:lineRule="auto"/>
                  <w:ind w:right="26"/>
                  <w:contextualSpacing/>
                  <w:jc w:val="both"/>
                </w:pPr>
                <w:r>
                  <w:t>9</w:t>
                </w:r>
              </w:p>
            </w:tc>
            <w:tc>
              <w:tcPr>
                <w:tcW w:w="1365" w:type="dxa"/>
                <w:vAlign w:val="center"/>
                <w:hideMark/>
              </w:tcPr>
              <w:p w14:paraId="00D8B03F" w14:textId="73373733" w:rsidR="00EA1C19" w:rsidRPr="00000B44" w:rsidRDefault="00EA1C19" w:rsidP="00EA1C19">
                <w:pPr>
                  <w:pStyle w:val="BodyText"/>
                  <w:tabs>
                    <w:tab w:val="left" w:pos="1165"/>
                    <w:tab w:val="left" w:pos="10080"/>
                  </w:tabs>
                  <w:spacing w:line="288" w:lineRule="auto"/>
                  <w:ind w:right="26"/>
                  <w:contextualSpacing/>
                  <w:jc w:val="both"/>
                </w:pPr>
                <w:r>
                  <w:t>79</w:t>
                </w:r>
              </w:p>
            </w:tc>
            <w:tc>
              <w:tcPr>
                <w:tcW w:w="1260" w:type="dxa"/>
                <w:vAlign w:val="center"/>
                <w:hideMark/>
              </w:tcPr>
              <w:p w14:paraId="13EE08C0" w14:textId="284D8488" w:rsidR="00EA1C19" w:rsidRPr="00000B44" w:rsidRDefault="00EA1C19" w:rsidP="00EA1C19">
                <w:pPr>
                  <w:pStyle w:val="BodyText"/>
                  <w:tabs>
                    <w:tab w:val="left" w:pos="1165"/>
                    <w:tab w:val="left" w:pos="10080"/>
                  </w:tabs>
                  <w:spacing w:line="288" w:lineRule="auto"/>
                  <w:ind w:right="26"/>
                  <w:contextualSpacing/>
                  <w:jc w:val="both"/>
                </w:pPr>
                <w:r>
                  <w:t>47</w:t>
                </w:r>
              </w:p>
            </w:tc>
            <w:tc>
              <w:tcPr>
                <w:tcW w:w="1440" w:type="dxa"/>
                <w:vAlign w:val="center"/>
                <w:hideMark/>
              </w:tcPr>
              <w:p w14:paraId="2DD27981" w14:textId="40E2298D" w:rsidR="00EA1C19" w:rsidRPr="00000B44" w:rsidRDefault="00EA1C19" w:rsidP="00EA1C19">
                <w:pPr>
                  <w:pStyle w:val="BodyText"/>
                  <w:tabs>
                    <w:tab w:val="left" w:pos="1165"/>
                    <w:tab w:val="left" w:pos="10080"/>
                  </w:tabs>
                  <w:spacing w:line="288" w:lineRule="auto"/>
                  <w:ind w:right="26"/>
                  <w:contextualSpacing/>
                  <w:jc w:val="both"/>
                </w:pPr>
                <w:r>
                  <w:t>64</w:t>
                </w:r>
              </w:p>
            </w:tc>
            <w:tc>
              <w:tcPr>
                <w:tcW w:w="1920" w:type="dxa"/>
              </w:tcPr>
              <w:p w14:paraId="4C5B3A62" w14:textId="2A786FA0" w:rsidR="00EA1C19" w:rsidRPr="6875B2D2" w:rsidRDefault="00EA1C19" w:rsidP="00EA1C19">
                <w:pPr>
                  <w:pStyle w:val="BodyText"/>
                  <w:tabs>
                    <w:tab w:val="left" w:pos="1165"/>
                    <w:tab w:val="left" w:pos="10080"/>
                  </w:tabs>
                  <w:spacing w:line="288" w:lineRule="auto"/>
                  <w:ind w:right="26"/>
                  <w:contextualSpacing/>
                  <w:jc w:val="both"/>
                </w:pPr>
                <w:r>
                  <w:t>12</w:t>
                </w:r>
              </w:p>
            </w:tc>
          </w:tr>
        </w:tbl>
        <w:p w14:paraId="6899669D" w14:textId="77777777" w:rsidR="0092775A" w:rsidRDefault="0092775A" w:rsidP="00A47931">
          <w:pPr>
            <w:pStyle w:val="BodyText"/>
            <w:tabs>
              <w:tab w:val="left" w:pos="1165"/>
              <w:tab w:val="left" w:pos="10080"/>
            </w:tabs>
            <w:spacing w:line="288" w:lineRule="auto"/>
            <w:ind w:right="26"/>
            <w:contextualSpacing/>
            <w:jc w:val="both"/>
            <w:rPr>
              <w:bCs/>
              <w:sz w:val="24"/>
              <w:szCs w:val="24"/>
            </w:rPr>
          </w:pPr>
        </w:p>
        <w:p w14:paraId="2C97750E" w14:textId="5DEA5136" w:rsidR="0092775A" w:rsidRPr="002A4FC6" w:rsidRDefault="0092775A" w:rsidP="0092775A">
          <w:pPr>
            <w:pStyle w:val="BodyText"/>
            <w:tabs>
              <w:tab w:val="left" w:pos="1165"/>
              <w:tab w:val="left" w:pos="10080"/>
            </w:tabs>
            <w:spacing w:line="288" w:lineRule="auto"/>
            <w:ind w:right="26"/>
            <w:contextualSpacing/>
            <w:jc w:val="both"/>
            <w:rPr>
              <w:b/>
              <w:bCs/>
              <w:i/>
              <w:iCs/>
            </w:rPr>
          </w:pPr>
          <w:r w:rsidRPr="002A4FC6">
            <w:rPr>
              <w:b/>
              <w:bCs/>
              <w:i/>
              <w:iCs/>
            </w:rPr>
            <w:t>Interpretim i shkurtër</w:t>
          </w:r>
          <w:r w:rsidR="00E054B4" w:rsidRPr="002A4FC6">
            <w:rPr>
              <w:b/>
              <w:bCs/>
              <w:i/>
              <w:iCs/>
            </w:rPr>
            <w:t>:</w:t>
          </w:r>
        </w:p>
        <w:p w14:paraId="48AB44E1" w14:textId="7E21BE56" w:rsidR="00004B0E" w:rsidRDefault="00004B0E" w:rsidP="0092775A">
          <w:pPr>
            <w:pStyle w:val="BodyText"/>
            <w:tabs>
              <w:tab w:val="left" w:pos="1165"/>
              <w:tab w:val="left" w:pos="10080"/>
            </w:tabs>
            <w:spacing w:line="288" w:lineRule="auto"/>
            <w:ind w:right="26"/>
            <w:contextualSpacing/>
            <w:jc w:val="both"/>
          </w:pPr>
          <w:r w:rsidRPr="6875B2D2">
            <w:t>Pikët janë caktuar duke vlerësuar secilin opsion kundrejt një grupi kriteresh me peshë të ndryshme (0–5), që matin aftësinë e tyre për të përmbushur objektivat përkatëse. Për secilin kriter, opsionet morën pikë nga 0 në 5, bazuar në performancën e pritshme (0 = pa ndikim, 5 = ndikim maksimal). Këto pikë u shumëzuan me peshën e secilit kriter dhe u mbledhën për të nxjerrë rezultatin total të peshuar. Rezultati më i lartë (82 pikë) i përket Opsionit 1, i cili siguron përafrim të plotë, trajtim horizontal të shërbimeve dhe kosto-efektivitet më të mirë në afatgjatë.</w:t>
          </w:r>
        </w:p>
        <w:p w14:paraId="25C82001" w14:textId="3F60DF63" w:rsidR="0092775A" w:rsidRDefault="0092775A" w:rsidP="00CC709C">
          <w:pPr>
            <w:pStyle w:val="BodyText"/>
            <w:numPr>
              <w:ilvl w:val="1"/>
              <w:numId w:val="31"/>
            </w:numPr>
            <w:tabs>
              <w:tab w:val="left" w:pos="1165"/>
              <w:tab w:val="left" w:pos="10080"/>
            </w:tabs>
            <w:spacing w:line="288" w:lineRule="auto"/>
            <w:ind w:right="26"/>
            <w:contextualSpacing/>
            <w:jc w:val="both"/>
          </w:pPr>
          <w:r w:rsidRPr="6875B2D2">
            <w:t>Opsioni 1 (ligj i ri) ma</w:t>
          </w:r>
          <w:r w:rsidR="73143BA7" w:rsidRPr="6875B2D2">
            <w:t>ks</w:t>
          </w:r>
          <w:r w:rsidRPr="6875B2D2">
            <w:t>im</w:t>
          </w:r>
          <w:r w:rsidR="018A481B" w:rsidRPr="6875B2D2">
            <w:t>iz</w:t>
          </w:r>
          <w:r w:rsidRPr="6875B2D2">
            <w:t>on përafrimin, fut plotësisht shërbimet ndërkufitare dhe IMI, vendos standarde horizontale dhe, megjithëse ka kosto fillestare, është më kosto-efektiv në afatgjatë (</w:t>
          </w:r>
          <w:r w:rsidR="00EA1C19">
            <w:t>79</w:t>
          </w:r>
          <w:r w:rsidRPr="6875B2D2">
            <w:t>).</w:t>
          </w:r>
        </w:p>
        <w:p w14:paraId="5CF5A5F6" w14:textId="0266B8A7" w:rsidR="0092775A" w:rsidRDefault="0092775A" w:rsidP="00CC709C">
          <w:pPr>
            <w:pStyle w:val="BodyText"/>
            <w:numPr>
              <w:ilvl w:val="1"/>
              <w:numId w:val="31"/>
            </w:numPr>
            <w:tabs>
              <w:tab w:val="left" w:pos="1165"/>
              <w:tab w:val="left" w:pos="10080"/>
            </w:tabs>
            <w:spacing w:line="288" w:lineRule="auto"/>
            <w:ind w:right="26"/>
            <w:contextualSpacing/>
            <w:jc w:val="both"/>
          </w:pPr>
          <w:r w:rsidRPr="6875B2D2">
            <w:t>Opsioni 3 (ndryshim i Ligjit 66/2016) jep përmirësim kuptimplotë, por mbetet nën ligjin e ri për koherencë dhe siguri juridike; kërkon ndërhyrje të thella dhe tranzicion më të gjatë (</w:t>
          </w:r>
          <w:r w:rsidR="00EA1C19">
            <w:t>64</w:t>
          </w:r>
          <w:r w:rsidRPr="6875B2D2">
            <w:t>).</w:t>
          </w:r>
        </w:p>
        <w:p w14:paraId="7BB8CFC4" w14:textId="39C6906C" w:rsidR="0092775A" w:rsidRDefault="0092775A" w:rsidP="00CC709C">
          <w:pPr>
            <w:pStyle w:val="BodyText"/>
            <w:numPr>
              <w:ilvl w:val="1"/>
              <w:numId w:val="31"/>
            </w:numPr>
            <w:tabs>
              <w:tab w:val="left" w:pos="1165"/>
              <w:tab w:val="left" w:pos="10080"/>
            </w:tabs>
            <w:spacing w:line="288" w:lineRule="auto"/>
            <w:ind w:right="26"/>
            <w:contextualSpacing/>
            <w:jc w:val="both"/>
          </w:pPr>
          <w:r w:rsidRPr="6875B2D2">
            <w:t>Opsioni 2 (ndryshime sektoriale) ofron përafrim të pjesshëm dhe rrezikon fragmentim rregullator e kosto koordinimi; impakt i kufizuar në shërbimet ndërkufitare (</w:t>
          </w:r>
          <w:r w:rsidR="00EA1C19">
            <w:t>47</w:t>
          </w:r>
          <w:r w:rsidRPr="6875B2D2">
            <w:t>).</w:t>
          </w:r>
        </w:p>
        <w:p w14:paraId="2BD3E792" w14:textId="119F4A18" w:rsidR="0092775A" w:rsidRDefault="0092775A" w:rsidP="00CC709C">
          <w:pPr>
            <w:pStyle w:val="BodyText"/>
            <w:numPr>
              <w:ilvl w:val="1"/>
              <w:numId w:val="31"/>
            </w:numPr>
            <w:tabs>
              <w:tab w:val="left" w:pos="1165"/>
              <w:tab w:val="left" w:pos="10080"/>
            </w:tabs>
            <w:spacing w:line="288" w:lineRule="auto"/>
            <w:ind w:right="26"/>
            <w:contextualSpacing/>
            <w:jc w:val="both"/>
          </w:pPr>
          <w:r w:rsidRPr="6875B2D2">
            <w:t>Opsioni 0 (status quo) nuk adreson asnjë objektiv dhe është i papranueshëm në dritën e detyrimeve të integrimit (</w:t>
          </w:r>
          <w:r w:rsidR="00EA1C19">
            <w:t>9</w:t>
          </w:r>
          <w:r w:rsidRPr="6875B2D2">
            <w:t>).</w:t>
          </w:r>
        </w:p>
        <w:p w14:paraId="4464559C" w14:textId="0331AA43" w:rsidR="00EA1C19" w:rsidRPr="0092775A" w:rsidRDefault="00EA1C19" w:rsidP="00CC709C">
          <w:pPr>
            <w:pStyle w:val="BodyText"/>
            <w:numPr>
              <w:ilvl w:val="1"/>
              <w:numId w:val="31"/>
            </w:numPr>
            <w:tabs>
              <w:tab w:val="left" w:pos="1165"/>
              <w:tab w:val="left" w:pos="10080"/>
            </w:tabs>
            <w:spacing w:line="288" w:lineRule="auto"/>
            <w:ind w:right="26"/>
            <w:contextualSpacing/>
            <w:jc w:val="both"/>
          </w:pPr>
          <w:r w:rsidRPr="6875B2D2">
            <w:t xml:space="preserve">Opsioni </w:t>
          </w:r>
          <w:r>
            <w:t>4</w:t>
          </w:r>
          <w:r w:rsidRPr="6875B2D2">
            <w:t xml:space="preserve"> (</w:t>
          </w:r>
          <w:r>
            <w:t>jorregullator</w:t>
          </w:r>
          <w:r w:rsidRPr="6875B2D2">
            <w:t xml:space="preserve">) adreson </w:t>
          </w:r>
          <w:r>
            <w:t>bashk</w:t>
          </w:r>
          <w:r w:rsidR="00D147DB">
            <w:t>ë</w:t>
          </w:r>
          <w:r>
            <w:t>punimin administrativ dhe synon marrjen e disa masave jorregullatore pa shum</w:t>
          </w:r>
          <w:r w:rsidR="00D147DB">
            <w:t>ë</w:t>
          </w:r>
          <w:r>
            <w:t xml:space="preserve"> kosto </w:t>
          </w:r>
          <w:r w:rsidRPr="6875B2D2">
            <w:t>(</w:t>
          </w:r>
          <w:r>
            <w:t>12</w:t>
          </w:r>
          <w:r w:rsidRPr="6875B2D2">
            <w:t>).</w:t>
          </w:r>
        </w:p>
        <w:p w14:paraId="5C7EFD60" w14:textId="77777777" w:rsidR="002A4FC6" w:rsidRPr="00EA1C19" w:rsidRDefault="002A4FC6" w:rsidP="00CC709C">
          <w:pPr>
            <w:pStyle w:val="BodyText"/>
            <w:numPr>
              <w:ilvl w:val="1"/>
              <w:numId w:val="31"/>
            </w:numPr>
            <w:tabs>
              <w:tab w:val="left" w:pos="1165"/>
              <w:tab w:val="left" w:pos="10080"/>
            </w:tabs>
            <w:spacing w:line="288" w:lineRule="auto"/>
            <w:ind w:right="26"/>
            <w:contextualSpacing/>
            <w:jc w:val="both"/>
            <w:rPr>
              <w:b/>
              <w:bCs/>
              <w:i/>
              <w:iCs/>
            </w:rPr>
          </w:pPr>
        </w:p>
        <w:p w14:paraId="08957CF8" w14:textId="3EB262A4" w:rsidR="0092775A" w:rsidRPr="002A4FC6" w:rsidRDefault="0092775A" w:rsidP="0092775A">
          <w:pPr>
            <w:pStyle w:val="BodyText"/>
            <w:tabs>
              <w:tab w:val="left" w:pos="1165"/>
              <w:tab w:val="left" w:pos="10080"/>
            </w:tabs>
            <w:spacing w:line="288" w:lineRule="auto"/>
            <w:ind w:right="26"/>
            <w:contextualSpacing/>
            <w:jc w:val="both"/>
            <w:rPr>
              <w:b/>
              <w:bCs/>
              <w:i/>
              <w:iCs/>
            </w:rPr>
          </w:pPr>
          <w:r w:rsidRPr="002A4FC6">
            <w:rPr>
              <w:b/>
              <w:bCs/>
              <w:i/>
              <w:iCs/>
            </w:rPr>
            <w:t>Kufizimet e analizës</w:t>
          </w:r>
        </w:p>
        <w:p w14:paraId="7B678A27" w14:textId="39AFF2EF" w:rsidR="0092775A" w:rsidRPr="0092775A" w:rsidRDefault="0092775A" w:rsidP="0092775A">
          <w:pPr>
            <w:pStyle w:val="BodyText"/>
            <w:tabs>
              <w:tab w:val="left" w:pos="1165"/>
              <w:tab w:val="left" w:pos="10080"/>
            </w:tabs>
            <w:spacing w:line="288" w:lineRule="auto"/>
            <w:ind w:right="26"/>
            <w:contextualSpacing/>
            <w:jc w:val="both"/>
          </w:pPr>
          <w:r w:rsidRPr="6875B2D2">
            <w:t>Peshët dhe pikët bazohen në gjykimin e ekspertit dhe mund të ndryshojnë me evidencë shtesë (p.sh., detaje të vlerësimeve buxhetore, afate tranzicioni, kapacitete IT/IMI). Efektet tranzitore të trajnimit dhe harmonizimit nënligjor llogariten në aneksin fiskal.</w:t>
          </w:r>
        </w:p>
        <w:p w14:paraId="54A88D79" w14:textId="77777777" w:rsidR="00114225" w:rsidRDefault="00114225" w:rsidP="0092775A">
          <w:pPr>
            <w:pStyle w:val="BodyText"/>
            <w:tabs>
              <w:tab w:val="left" w:pos="1165"/>
              <w:tab w:val="left" w:pos="10080"/>
            </w:tabs>
            <w:spacing w:line="288" w:lineRule="auto"/>
            <w:ind w:right="26"/>
            <w:contextualSpacing/>
            <w:jc w:val="both"/>
          </w:pPr>
        </w:p>
        <w:p w14:paraId="2A8533C0" w14:textId="7E8F39B0" w:rsidR="00114225" w:rsidRPr="002A4FC6" w:rsidRDefault="0092775A" w:rsidP="0092775A">
          <w:pPr>
            <w:pStyle w:val="BodyText"/>
            <w:tabs>
              <w:tab w:val="left" w:pos="1165"/>
              <w:tab w:val="left" w:pos="10080"/>
            </w:tabs>
            <w:spacing w:line="288" w:lineRule="auto"/>
            <w:ind w:right="26"/>
            <w:contextualSpacing/>
            <w:jc w:val="both"/>
            <w:rPr>
              <w:b/>
              <w:bCs/>
            </w:rPr>
          </w:pPr>
          <w:r w:rsidRPr="002A4FC6">
            <w:rPr>
              <w:b/>
              <w:bCs/>
            </w:rPr>
            <w:t>Rekomandimi</w:t>
          </w:r>
          <w:r w:rsidR="00114225" w:rsidRPr="002A4FC6">
            <w:rPr>
              <w:b/>
              <w:bCs/>
            </w:rPr>
            <w:t>:</w:t>
          </w:r>
        </w:p>
        <w:p w14:paraId="4E2BEA43" w14:textId="5A1779E5" w:rsidR="0092775A" w:rsidRPr="0092775A" w:rsidRDefault="0092775A" w:rsidP="0092775A">
          <w:pPr>
            <w:pStyle w:val="BodyText"/>
            <w:tabs>
              <w:tab w:val="left" w:pos="1165"/>
              <w:tab w:val="left" w:pos="10080"/>
            </w:tabs>
            <w:spacing w:line="288" w:lineRule="auto"/>
            <w:ind w:right="26"/>
            <w:contextualSpacing/>
            <w:jc w:val="both"/>
          </w:pPr>
          <w:r w:rsidRPr="6875B2D2">
            <w:t xml:space="preserve">Opsioni 1 – hartimi i një ligji të ri kuadër </w:t>
          </w:r>
          <w:r w:rsidR="00114225" w:rsidRPr="6875B2D2">
            <w:t xml:space="preserve"> p</w:t>
          </w:r>
          <w:r w:rsidRPr="6875B2D2">
            <w:t>ër shërbimet – rezulton qartazi opsioni më i mirë për të arritur përafrimin e plotë me Direktivën 2006/123/KE, për të brendësuar shërbimet ndërkufitare dhe mekanizmat e bashkëpunimit administrativ, dhe për të garantuar standardizim horizontal me kosto totale më të ulëta në afatgjatë.</w:t>
          </w:r>
        </w:p>
        <w:p w14:paraId="094E8132" w14:textId="77AB43F5" w:rsidR="002D31F0" w:rsidRPr="00563378" w:rsidRDefault="00204683" w:rsidP="00CF2ADA">
          <w:pPr>
            <w:spacing w:before="240"/>
            <w:jc w:val="both"/>
            <w:rPr>
              <w:color w:val="808080" w:themeColor="background1" w:themeShade="80"/>
            </w:rPr>
          </w:pPr>
        </w:p>
      </w:sdtContent>
    </w:sdt>
    <w:p w14:paraId="6FE167F6" w14:textId="77777777" w:rsidR="002125B7" w:rsidRPr="00325A1F" w:rsidRDefault="002125B7" w:rsidP="009D13F4">
      <w:pPr>
        <w:pStyle w:val="Heading1"/>
        <w:spacing w:line="276" w:lineRule="auto"/>
        <w:rPr>
          <w:rFonts w:ascii="Times New Roman" w:hAnsi="Times New Roman" w:cs="Times New Roman"/>
          <w:sz w:val="24"/>
          <w:szCs w:val="24"/>
        </w:rPr>
      </w:pPr>
      <w:r w:rsidRPr="1A98504A">
        <w:rPr>
          <w:rFonts w:ascii="Times New Roman" w:hAnsi="Times New Roman" w:cs="Times New Roman"/>
          <w:sz w:val="24"/>
          <w:szCs w:val="24"/>
        </w:rPr>
        <w:t>Çështje të zbatimit</w:t>
      </w:r>
      <w:bookmarkEnd w:id="23"/>
    </w:p>
    <w:sdt>
      <w:sdtPr>
        <w:rPr>
          <w:rFonts w:cs="Times New Roman"/>
          <w:i/>
          <w:iCs/>
          <w:sz w:val="24"/>
          <w:szCs w:val="24"/>
        </w:rPr>
        <w:id w:val="686721506"/>
        <w:lock w:val="contentLocked"/>
        <w:placeholder>
          <w:docPart w:val="DefaultPlaceholder_1081868574"/>
        </w:placeholder>
      </w:sdtPr>
      <w:sdtEndPr>
        <w:rPr>
          <w:i w:val="0"/>
          <w:iCs w:val="0"/>
        </w:rPr>
      </w:sdtEndPr>
      <w:sdtContent>
        <w:p w14:paraId="60CA5B27" w14:textId="77777777" w:rsidR="0097570D" w:rsidRPr="0032145B" w:rsidRDefault="0097570D" w:rsidP="00673F28">
          <w:pPr>
            <w:pStyle w:val="Style1-BodyText"/>
            <w:numPr>
              <w:ilvl w:val="0"/>
              <w:numId w:val="5"/>
            </w:numPr>
            <w:spacing w:after="0" w:line="276" w:lineRule="auto"/>
            <w:rPr>
              <w:rFonts w:cs="Times New Roman"/>
              <w:i/>
              <w:sz w:val="24"/>
              <w:szCs w:val="24"/>
            </w:rPr>
          </w:pPr>
          <w:r w:rsidRPr="6875B2D2">
            <w:rPr>
              <w:rFonts w:cs="Times New Roman"/>
              <w:i/>
              <w:sz w:val="24"/>
              <w:szCs w:val="24"/>
            </w:rPr>
            <w:t>Shpjegoni se cila strukturë do të jetë përgjegjëse për zbatimin e opsionit të zgjedhur.</w:t>
          </w:r>
        </w:p>
        <w:p w14:paraId="4E17D0BE" w14:textId="77777777" w:rsidR="0097570D" w:rsidRPr="0032145B" w:rsidRDefault="0097570D" w:rsidP="00673F28">
          <w:pPr>
            <w:pStyle w:val="Style1-BodyText"/>
            <w:numPr>
              <w:ilvl w:val="0"/>
              <w:numId w:val="5"/>
            </w:numPr>
            <w:spacing w:after="0" w:line="276" w:lineRule="auto"/>
            <w:rPr>
              <w:rFonts w:cs="Times New Roman"/>
              <w:i/>
              <w:sz w:val="24"/>
              <w:szCs w:val="24"/>
            </w:rPr>
          </w:pPr>
          <w:r w:rsidRPr="6875B2D2">
            <w:rPr>
              <w:rFonts w:cs="Times New Roman"/>
              <w:i/>
              <w:sz w:val="24"/>
              <w:szCs w:val="24"/>
            </w:rPr>
            <w:t>Shpjegoni pengesat e mundshme për zbatimin e opsionit të zgjedhur.</w:t>
          </w:r>
        </w:p>
        <w:p w14:paraId="71CF11AC" w14:textId="1D405EA9" w:rsidR="0097570D" w:rsidRPr="00325A1F" w:rsidRDefault="0097570D" w:rsidP="00673F28">
          <w:pPr>
            <w:pStyle w:val="Style1-BodyText"/>
            <w:numPr>
              <w:ilvl w:val="0"/>
              <w:numId w:val="5"/>
            </w:numPr>
            <w:spacing w:after="0" w:line="276" w:lineRule="auto"/>
            <w:rPr>
              <w:rFonts w:cs="Times New Roman"/>
              <w:sz w:val="24"/>
              <w:szCs w:val="24"/>
            </w:rPr>
          </w:pPr>
          <w:r w:rsidRPr="6875B2D2">
            <w:rPr>
              <w:rFonts w:cs="Times New Roman"/>
              <w:i/>
              <w:sz w:val="24"/>
              <w:szCs w:val="24"/>
            </w:rPr>
            <w:t>Përshkruani masat që do të ndërmerren gjatë zbatimit për të arritur qëllimet e politikës.</w:t>
          </w:r>
        </w:p>
      </w:sdtContent>
    </w:sdt>
    <w:bookmarkStart w:id="24" w:name="_Toc465267003" w:displacedByCustomXml="next"/>
    <w:sdt>
      <w:sdtPr>
        <w:rPr>
          <w:rFonts w:ascii="Calibri" w:eastAsiaTheme="majorEastAsia" w:hAnsi="Calibri"/>
          <w:sz w:val="22"/>
          <w:szCs w:val="22"/>
        </w:rPr>
        <w:id w:val="-1991320087"/>
        <w:placeholder>
          <w:docPart w:val="C8F0C73A25AD4069881E7BB32D9AC3FF"/>
        </w:placeholder>
      </w:sdtPr>
      <w:sdtEndPr>
        <w:rPr>
          <w:rFonts w:ascii="Times New Roman" w:hAnsi="Times New Roman"/>
          <w:sz w:val="24"/>
          <w:szCs w:val="24"/>
        </w:rPr>
      </w:sdtEndPr>
      <w:sdtContent>
        <w:p w14:paraId="536F83D1" w14:textId="77777777" w:rsidR="00F811C2" w:rsidRPr="004D431D" w:rsidRDefault="00F811C2" w:rsidP="00F811C2">
          <w:pPr>
            <w:tabs>
              <w:tab w:val="left" w:pos="720"/>
            </w:tabs>
            <w:spacing w:after="120" w:line="288" w:lineRule="auto"/>
            <w:jc w:val="both"/>
            <w:rPr>
              <w:b/>
              <w:color w:val="000000"/>
            </w:rPr>
          </w:pPr>
          <w:r w:rsidRPr="6875B2D2">
            <w:rPr>
              <w:b/>
              <w:color w:val="000000" w:themeColor="text1"/>
            </w:rPr>
            <w:t xml:space="preserve">Institucionet përgjegjëse për zbatimin e opsionit të preferuar janë: </w:t>
          </w:r>
        </w:p>
        <w:p w14:paraId="7820C4EF" w14:textId="77777777" w:rsidR="00F811C2" w:rsidRPr="0077507F" w:rsidRDefault="00F811C2" w:rsidP="00F811C2">
          <w:pPr>
            <w:tabs>
              <w:tab w:val="left" w:pos="720"/>
            </w:tabs>
            <w:spacing w:after="120" w:line="288" w:lineRule="auto"/>
            <w:jc w:val="both"/>
            <w:rPr>
              <w:rFonts w:eastAsiaTheme="minorEastAsia"/>
            </w:rPr>
          </w:pPr>
          <w:r w:rsidRPr="0077507F">
            <w:rPr>
              <w:iCs/>
            </w:rPr>
            <w:t>Siç u përmend edhe më sipër, duke qenë se ky akt i propozuar ka shtrirje horizontale, është e nevojshme përfshirja në proces e të gjitha ministrive dhe autoriteteve rregullatorëve për sektorët përkatës (lutem shiko më sipër në seksionin “</w:t>
          </w:r>
          <w:r w:rsidRPr="0077507F">
            <w:rPr>
              <w:i/>
            </w:rPr>
            <w:t>Problemi në shqyrtim – grupet e prekura</w:t>
          </w:r>
          <w:r w:rsidRPr="0077507F">
            <w:rPr>
              <w:iCs/>
            </w:rPr>
            <w:t xml:space="preserve">”). </w:t>
          </w:r>
        </w:p>
        <w:p w14:paraId="5E8AE69A" w14:textId="11E03A1E" w:rsidR="00410409" w:rsidRPr="0077507F" w:rsidRDefault="00410409" w:rsidP="00410409">
          <w:pPr>
            <w:tabs>
              <w:tab w:val="left" w:pos="720"/>
            </w:tabs>
            <w:spacing w:after="120" w:line="288" w:lineRule="auto"/>
            <w:jc w:val="both"/>
            <w:rPr>
              <w:iCs/>
            </w:rPr>
          </w:pPr>
          <w:r w:rsidRPr="0077507F">
            <w:rPr>
              <w:iCs/>
            </w:rPr>
            <w:t xml:space="preserve">Në përputhje me sa u parashtrua për opsionin </w:t>
          </w:r>
          <w:r>
            <w:rPr>
              <w:iCs/>
            </w:rPr>
            <w:t>1</w:t>
          </w:r>
          <w:r w:rsidRPr="0077507F">
            <w:rPr>
              <w:iCs/>
            </w:rPr>
            <w:t xml:space="preserve">, zbatimi, koordinimi dhe monitorimi do të kryhet nga ana e </w:t>
          </w:r>
          <w:r w:rsidRPr="00D12E4C">
            <w:rPr>
              <w:b/>
              <w:bCs/>
              <w:iCs/>
            </w:rPr>
            <w:t>Ministri</w:t>
          </w:r>
          <w:r>
            <w:rPr>
              <w:b/>
              <w:bCs/>
              <w:iCs/>
            </w:rPr>
            <w:t>së</w:t>
          </w:r>
          <w:r w:rsidRPr="00D12E4C">
            <w:rPr>
              <w:b/>
              <w:bCs/>
              <w:iCs/>
            </w:rPr>
            <w:t xml:space="preserve"> përgjegjëse për Ekonominë</w:t>
          </w:r>
          <w:r w:rsidRPr="0077507F">
            <w:rPr>
              <w:iCs/>
            </w:rPr>
            <w:t xml:space="preserve">– për ndryshimet e propozuara dhe ligjin në tërësi si dhe veçanërisht në kuadër të implementimit në nivel vertikal, për përshtatjen e parashikimeve në aktet nënligjore përkatëse sa i takon legjislacionit sektorial.  </w:t>
          </w:r>
        </w:p>
        <w:p w14:paraId="57615721" w14:textId="327F2B5B" w:rsidR="003450F8" w:rsidRDefault="003450F8" w:rsidP="003450F8">
          <w:pPr>
            <w:tabs>
              <w:tab w:val="left" w:pos="630"/>
              <w:tab w:val="left" w:pos="1980"/>
            </w:tabs>
            <w:spacing w:after="120" w:line="288" w:lineRule="auto"/>
            <w:jc w:val="both"/>
            <w:rPr>
              <w:iCs/>
            </w:rPr>
          </w:pPr>
          <w:r w:rsidRPr="0077507F">
            <w:rPr>
              <w:iCs/>
            </w:rPr>
            <w:t xml:space="preserve">Në vijim një listim i përgjegjësive dhe masave që duhet të ndërmerren prej tyre për zbatimin e opsionit </w:t>
          </w:r>
          <w:r>
            <w:rPr>
              <w:iCs/>
            </w:rPr>
            <w:t>1</w:t>
          </w:r>
          <w:r w:rsidRPr="0077507F">
            <w:rPr>
              <w:iCs/>
            </w:rPr>
            <w:t xml:space="preserve"> – përafrimit të plotë të Ligjit për Shërbimet me parashikimet e Direktivës nga disa prej institucioneve kyçe në zbatimin e tij. </w:t>
          </w:r>
          <w:bookmarkStart w:id="25" w:name="_Hlk179109286"/>
        </w:p>
        <w:p w14:paraId="4C587B82" w14:textId="477F6B87" w:rsidR="003450F8" w:rsidRPr="0057494A" w:rsidRDefault="003450F8" w:rsidP="00CC709C">
          <w:pPr>
            <w:pStyle w:val="ListParagraph"/>
            <w:numPr>
              <w:ilvl w:val="0"/>
              <w:numId w:val="19"/>
            </w:numPr>
            <w:tabs>
              <w:tab w:val="left" w:pos="720"/>
            </w:tabs>
            <w:spacing w:line="288" w:lineRule="auto"/>
            <w:jc w:val="both"/>
            <w:rPr>
              <w:rFonts w:ascii="Times New Roman" w:hAnsi="Times New Roman"/>
              <w:b/>
              <w:sz w:val="24"/>
              <w:szCs w:val="24"/>
            </w:rPr>
          </w:pPr>
          <w:r w:rsidRPr="6875B2D2">
            <w:rPr>
              <w:rFonts w:ascii="Times New Roman" w:hAnsi="Times New Roman"/>
              <w:b/>
              <w:sz w:val="24"/>
              <w:szCs w:val="24"/>
            </w:rPr>
            <w:t>Ministria përgjegjëse për Ekonominë</w:t>
          </w:r>
        </w:p>
        <w:p w14:paraId="798700FE" w14:textId="04BD8E93" w:rsidR="003450F8" w:rsidRDefault="003450F8" w:rsidP="003450F8">
          <w:pPr>
            <w:tabs>
              <w:tab w:val="left" w:pos="630"/>
              <w:tab w:val="left" w:pos="1980"/>
            </w:tabs>
            <w:spacing w:after="120" w:line="288" w:lineRule="auto"/>
            <w:jc w:val="both"/>
            <w:rPr>
              <w:iCs/>
            </w:rPr>
          </w:pPr>
          <w:r w:rsidRPr="00563EFC">
            <w:rPr>
              <w:iCs/>
            </w:rPr>
            <w:t xml:space="preserve">Në përputhje </w:t>
          </w:r>
          <w:bookmarkEnd w:id="25"/>
          <w:r w:rsidRPr="00563EFC">
            <w:rPr>
              <w:iCs/>
            </w:rPr>
            <w:t xml:space="preserve">me kuadrin ligjor ekzistues, në nivel horizontal, </w:t>
          </w:r>
          <w:r w:rsidRPr="00FF3999">
            <w:rPr>
              <w:iCs/>
            </w:rPr>
            <w:t>Ministria përgjegjëse për Ekonominë</w:t>
          </w:r>
          <w:r>
            <w:rPr>
              <w:b/>
              <w:bCs/>
              <w:iCs/>
            </w:rPr>
            <w:t xml:space="preserve"> </w:t>
          </w:r>
          <w:r w:rsidRPr="00563EFC">
            <w:rPr>
              <w:iCs/>
            </w:rPr>
            <w:t xml:space="preserve">është përgjegjëse për të siguruar zbatimin e duhur të Ligjit për Shërbimet, dhe rrjedhimisht respektimin e Direktivës së Shërbimeve të </w:t>
          </w:r>
          <w:r>
            <w:rPr>
              <w:iCs/>
            </w:rPr>
            <w:t>BE</w:t>
          </w:r>
          <w:r w:rsidRPr="00563EFC">
            <w:rPr>
              <w:iCs/>
            </w:rPr>
            <w:t xml:space="preserve">, si duke </w:t>
          </w:r>
          <w:r>
            <w:rPr>
              <w:iCs/>
            </w:rPr>
            <w:t>filluar</w:t>
          </w:r>
          <w:r w:rsidRPr="00563EFC">
            <w:rPr>
              <w:iCs/>
            </w:rPr>
            <w:t xml:space="preserve">, udhëhequr, koordinuar dhe monitoruar shqyrtimin e legjislacionit sektorial dhe për drejtimin e sistemit të njoftimit aktet e reja rregullore që prekin shërbimet. Përgjegjësi të cilat do të mbulojnë edhe tërësinë e ndryshimeve që do të vijnë me përafrimin e plotë të Ligjit për Shërbimet dhe veçanërisht përfshirjes të shërbimeve ndërkufitare. </w:t>
          </w:r>
        </w:p>
        <w:p w14:paraId="4B3DF726" w14:textId="543FAB5F" w:rsidR="003450F8" w:rsidRPr="0057494A" w:rsidRDefault="003450F8" w:rsidP="003450F8">
          <w:pPr>
            <w:tabs>
              <w:tab w:val="left" w:pos="630"/>
              <w:tab w:val="left" w:pos="1980"/>
            </w:tabs>
            <w:spacing w:after="120" w:line="288" w:lineRule="auto"/>
            <w:jc w:val="both"/>
            <w:rPr>
              <w:iCs/>
            </w:rPr>
          </w:pPr>
          <w:r w:rsidRPr="00563EFC">
            <w:rPr>
              <w:iCs/>
            </w:rPr>
            <w:t>Drejtoria për Zhvillimin e Politikave Ekonomike, veçanërisht Sektorit të Promovimit të Biznesit brenda tij, është aktualisht i angazhuar me kompetencat si më sipër. Në përputhjen me strukturën organizative publike</w:t>
          </w:r>
          <w:r w:rsidRPr="6875B2D2">
            <w:rPr>
              <w:rStyle w:val="FootnoteReference"/>
              <w:rFonts w:eastAsia="SimSun"/>
              <w:sz w:val="24"/>
              <w:szCs w:val="24"/>
            </w:rPr>
            <w:footnoteReference w:id="11"/>
          </w:r>
          <w:r w:rsidRPr="00563EFC">
            <w:rPr>
              <w:iCs/>
            </w:rPr>
            <w:t>, vlerësojmë se një rol i tillë do mund të drejtoheshin ose minimalisht mbështet</w:t>
          </w:r>
          <w:r w:rsidR="0030052D">
            <w:rPr>
              <w:iCs/>
            </w:rPr>
            <w:t>e</w:t>
          </w:r>
          <w:r w:rsidRPr="00563EFC">
            <w:rPr>
              <w:iCs/>
            </w:rPr>
            <w:t xml:space="preserve">shin veçanërisht </w:t>
          </w:r>
          <w:r w:rsidRPr="0057494A">
            <w:rPr>
              <w:iCs/>
            </w:rPr>
            <w:t>nga strukturat në varësi të Drejtori</w:t>
          </w:r>
          <w:r w:rsidR="0030052D">
            <w:rPr>
              <w:iCs/>
            </w:rPr>
            <w:t>së</w:t>
          </w:r>
          <w:r w:rsidRPr="0057494A">
            <w:rPr>
              <w:iCs/>
            </w:rPr>
            <w:t xml:space="preserve"> </w:t>
          </w:r>
          <w:r w:rsidR="0030052D">
            <w:rPr>
              <w:iCs/>
            </w:rPr>
            <w:t>së</w:t>
          </w:r>
          <w:r w:rsidRPr="0057494A">
            <w:rPr>
              <w:iCs/>
            </w:rPr>
            <w:t xml:space="preserve"> Përgjithshme Rregullatore dhe e Përputhshmërisë si:</w:t>
          </w:r>
        </w:p>
        <w:p w14:paraId="233F55C8" w14:textId="22DE848E" w:rsidR="003450F8" w:rsidRPr="0057494A" w:rsidRDefault="003450F8" w:rsidP="00CC709C">
          <w:pPr>
            <w:pStyle w:val="ListParagraph"/>
            <w:numPr>
              <w:ilvl w:val="0"/>
              <w:numId w:val="24"/>
            </w:numPr>
            <w:tabs>
              <w:tab w:val="left" w:pos="630"/>
              <w:tab w:val="left" w:pos="1980"/>
            </w:tabs>
            <w:spacing w:line="288" w:lineRule="auto"/>
            <w:ind w:left="540"/>
            <w:jc w:val="both"/>
            <w:rPr>
              <w:rFonts w:ascii="Times New Roman" w:hAnsi="Times New Roman"/>
              <w:sz w:val="24"/>
              <w:szCs w:val="24"/>
            </w:rPr>
          </w:pPr>
          <w:r w:rsidRPr="6875B2D2">
            <w:rPr>
              <w:rFonts w:ascii="Times New Roman" w:hAnsi="Times New Roman"/>
              <w:b/>
              <w:sz w:val="24"/>
              <w:szCs w:val="24"/>
            </w:rPr>
            <w:t>Drejtoria e Programimit, Standardizimit dhe Harmonizimit të  Kuadrit Rregullator</w:t>
          </w:r>
          <w:r w:rsidRPr="6875B2D2">
            <w:rPr>
              <w:rFonts w:ascii="Times New Roman" w:hAnsi="Times New Roman"/>
              <w:sz w:val="24"/>
              <w:szCs w:val="24"/>
            </w:rPr>
            <w:t xml:space="preserve"> (Sektori i Programimit Hartimit dhe Harmonizimit të Akteve Rregullatore dhe Sektori i Standardizimit dhe Koordinimit të Mendimeve);</w:t>
          </w:r>
        </w:p>
        <w:p w14:paraId="4FCA9F7D" w14:textId="4382F28D" w:rsidR="003450F8" w:rsidRPr="0057494A" w:rsidRDefault="003450F8" w:rsidP="00CC709C">
          <w:pPr>
            <w:pStyle w:val="ListParagraph"/>
            <w:numPr>
              <w:ilvl w:val="0"/>
              <w:numId w:val="24"/>
            </w:numPr>
            <w:tabs>
              <w:tab w:val="left" w:pos="630"/>
              <w:tab w:val="left" w:pos="1980"/>
            </w:tabs>
            <w:spacing w:line="288" w:lineRule="auto"/>
            <w:ind w:left="540"/>
            <w:jc w:val="both"/>
            <w:rPr>
              <w:rFonts w:ascii="Times New Roman" w:hAnsi="Times New Roman"/>
              <w:sz w:val="24"/>
              <w:szCs w:val="24"/>
            </w:rPr>
          </w:pPr>
          <w:r w:rsidRPr="6875B2D2">
            <w:rPr>
              <w:rFonts w:ascii="Times New Roman" w:hAnsi="Times New Roman"/>
              <w:b/>
              <w:sz w:val="24"/>
              <w:szCs w:val="24"/>
            </w:rPr>
            <w:t>Drejtoria e Integrimit, Koordinimit, Marrëveshjeve dhe Asistencës</w:t>
          </w:r>
          <w:r w:rsidRPr="6875B2D2">
            <w:rPr>
              <w:rFonts w:ascii="Times New Roman" w:hAnsi="Times New Roman"/>
              <w:sz w:val="24"/>
              <w:szCs w:val="24"/>
            </w:rPr>
            <w:t xml:space="preserve"> (Sektori i Integrimit dhe Koordinimit për Kapitujt në Fushën e Ekonomisë).</w:t>
          </w:r>
        </w:p>
        <w:p w14:paraId="2B556357" w14:textId="77777777" w:rsidR="003450F8" w:rsidRPr="00D604CA" w:rsidRDefault="003450F8" w:rsidP="003450F8">
          <w:pPr>
            <w:tabs>
              <w:tab w:val="left" w:pos="630"/>
              <w:tab w:val="left" w:pos="1980"/>
            </w:tabs>
            <w:spacing w:after="120" w:line="288" w:lineRule="auto"/>
            <w:jc w:val="both"/>
          </w:pPr>
          <w:r w:rsidRPr="00D604CA">
            <w:t xml:space="preserve">Për më tepër duke konsideruar se koordinimi ndërinstitucional për sigurimin e </w:t>
          </w:r>
          <w:r w:rsidRPr="00AA5820">
            <w:rPr>
              <w:iCs/>
            </w:rPr>
            <w:t>pajtueshmërisë</w:t>
          </w:r>
          <w:r w:rsidRPr="00D604CA">
            <w:t xml:space="preserve"> me Ligjin për Shërbimet (dhe Direktivën e Shërbimeve të BE</w:t>
          </w:r>
          <w:r>
            <w:t xml:space="preserve">) </w:t>
          </w:r>
          <w:r w:rsidRPr="00D604CA">
            <w:t>rezulton të jetë ende i vështirë</w:t>
          </w:r>
          <w:r w:rsidRPr="00D604CA">
            <w:rPr>
              <w:rStyle w:val="FootnoteReference"/>
              <w:rFonts w:eastAsia="SimSun"/>
            </w:rPr>
            <w:footnoteReference w:id="12"/>
          </w:r>
          <w:r w:rsidRPr="00D604CA">
            <w:t xml:space="preserve">, rritja dhe trajnimi i kapaciteteve, veçanërisht në strukturat e mësipërme, do të duhet të ketë prioritet të lartë. </w:t>
          </w:r>
        </w:p>
        <w:p w14:paraId="05D0CDC9" w14:textId="0ECB36E0" w:rsidR="003450F8" w:rsidRDefault="003450F8" w:rsidP="003450F8">
          <w:pPr>
            <w:tabs>
              <w:tab w:val="left" w:pos="630"/>
              <w:tab w:val="left" w:pos="1980"/>
            </w:tabs>
            <w:spacing w:after="120" w:line="288" w:lineRule="auto"/>
            <w:jc w:val="both"/>
          </w:pPr>
          <w:r w:rsidRPr="00D604CA">
            <w:t xml:space="preserve">Nga ana tjetër, roli i </w:t>
          </w:r>
          <w:r w:rsidRPr="00D12E4C">
            <w:rPr>
              <w:b/>
              <w:bCs/>
              <w:iCs/>
            </w:rPr>
            <w:t>Ministri</w:t>
          </w:r>
          <w:r>
            <w:rPr>
              <w:b/>
              <w:bCs/>
              <w:iCs/>
            </w:rPr>
            <w:t>se</w:t>
          </w:r>
          <w:r w:rsidRPr="00D12E4C">
            <w:rPr>
              <w:b/>
              <w:bCs/>
              <w:iCs/>
            </w:rPr>
            <w:t xml:space="preserve"> përgjegjëse për Ekonominë</w:t>
          </w:r>
          <w:r w:rsidR="002A4FC6">
            <w:rPr>
              <w:b/>
              <w:bCs/>
              <w:iCs/>
            </w:rPr>
            <w:t xml:space="preserve"> </w:t>
          </w:r>
          <w:r w:rsidRPr="00D604CA">
            <w:t>në mënyrë indirekte në fushën e shërbimeve ushtron kompetencat me dy institucione kyç në varësi të saj si Qendra Kombëtare e Biznesit dhe Inspektorati i Mbikëqyrjes së Tregut (IMT).</w:t>
          </w:r>
        </w:p>
        <w:p w14:paraId="36734EF1" w14:textId="77777777" w:rsidR="003450F8" w:rsidRPr="0057494A" w:rsidRDefault="003450F8" w:rsidP="00CC709C">
          <w:pPr>
            <w:pStyle w:val="ListParagraph"/>
            <w:numPr>
              <w:ilvl w:val="0"/>
              <w:numId w:val="19"/>
            </w:numPr>
            <w:tabs>
              <w:tab w:val="left" w:pos="720"/>
            </w:tabs>
            <w:spacing w:line="288" w:lineRule="auto"/>
            <w:jc w:val="both"/>
            <w:rPr>
              <w:rFonts w:ascii="Times New Roman" w:hAnsi="Times New Roman"/>
              <w:b/>
              <w:sz w:val="24"/>
              <w:szCs w:val="24"/>
            </w:rPr>
          </w:pPr>
          <w:r w:rsidRPr="6875B2D2">
            <w:rPr>
              <w:rFonts w:ascii="Times New Roman" w:hAnsi="Times New Roman"/>
              <w:b/>
              <w:sz w:val="24"/>
              <w:szCs w:val="24"/>
            </w:rPr>
            <w:t>QKB</w:t>
          </w:r>
        </w:p>
        <w:p w14:paraId="00A852DD" w14:textId="77777777" w:rsidR="003450F8" w:rsidRPr="003C5459" w:rsidRDefault="003450F8" w:rsidP="003450F8">
          <w:pPr>
            <w:tabs>
              <w:tab w:val="left" w:pos="630"/>
              <w:tab w:val="left" w:pos="1980"/>
            </w:tabs>
            <w:spacing w:after="120" w:line="288" w:lineRule="auto"/>
            <w:jc w:val="both"/>
            <w:rPr>
              <w:b/>
              <w:bCs/>
              <w:iCs/>
            </w:rPr>
          </w:pPr>
          <w:r w:rsidRPr="003C5459">
            <w:rPr>
              <w:iCs/>
            </w:rPr>
            <w:t>Duke pasur parasysh fokusin e direktivës në uljen e barrës administrative, QKB, si një nga institucionet kyç në menaxhimin e procesit të verifikimit të kërkesave rregullatore të ofrimit të shërbimeve, do mund të shërbejë potencialisht si një pikë kontakti e vlefshme për bizneset që kërkojnë të ofrojnë shërbime në Shqipëri në kuadër të ofrimit të shërbimeve ndërkufitare. Kjo mund të përfshijë:</w:t>
          </w:r>
        </w:p>
        <w:p w14:paraId="547F9D8F" w14:textId="77777777" w:rsidR="003450F8" w:rsidRPr="003C5459" w:rsidRDefault="003450F8" w:rsidP="00CC709C">
          <w:pPr>
            <w:pStyle w:val="ListParagraph"/>
            <w:numPr>
              <w:ilvl w:val="0"/>
              <w:numId w:val="27"/>
            </w:numPr>
            <w:spacing w:line="288" w:lineRule="auto"/>
            <w:ind w:left="720" w:hanging="180"/>
            <w:jc w:val="both"/>
            <w:rPr>
              <w:rFonts w:ascii="Times New Roman" w:hAnsi="Times New Roman"/>
              <w:sz w:val="24"/>
              <w:szCs w:val="24"/>
            </w:rPr>
          </w:pPr>
          <w:r w:rsidRPr="6875B2D2">
            <w:rPr>
              <w:rFonts w:ascii="Times New Roman" w:hAnsi="Times New Roman"/>
              <w:i/>
              <w:sz w:val="24"/>
              <w:szCs w:val="24"/>
              <w:u w:val="single"/>
            </w:rPr>
            <w:t>Marrjen e deklaratave</w:t>
          </w:r>
          <w:r w:rsidRPr="6875B2D2">
            <w:rPr>
              <w:rFonts w:ascii="Times New Roman" w:hAnsi="Times New Roman"/>
              <w:sz w:val="24"/>
              <w:szCs w:val="24"/>
            </w:rPr>
            <w:t>: QKB mund të veprojë si njësi qendrore për ofruesit e shërbimeve nga BE të interesuar për të ofruar shërbime në Shqipëri që të dorëzojnë informacionin/deklaratat e tyre të nevojshme për ushtrimin e aktivitet ndërkufitar. QKB më pas në varësi të kompetencës mund:</w:t>
          </w:r>
        </w:p>
        <w:p w14:paraId="3ECC5669" w14:textId="77777777" w:rsidR="003450F8" w:rsidRPr="003C5459" w:rsidRDefault="003450F8" w:rsidP="00CC709C">
          <w:pPr>
            <w:pStyle w:val="ListParagraph"/>
            <w:numPr>
              <w:ilvl w:val="0"/>
              <w:numId w:val="27"/>
            </w:numPr>
            <w:spacing w:line="288" w:lineRule="auto"/>
            <w:ind w:left="720" w:hanging="180"/>
            <w:jc w:val="both"/>
            <w:rPr>
              <w:rFonts w:ascii="Times New Roman" w:hAnsi="Times New Roman"/>
              <w:sz w:val="24"/>
              <w:szCs w:val="24"/>
            </w:rPr>
          </w:pPr>
          <w:r w:rsidRPr="6875B2D2">
            <w:rPr>
              <w:rFonts w:ascii="Times New Roman" w:hAnsi="Times New Roman"/>
              <w:i/>
              <w:sz w:val="24"/>
              <w:szCs w:val="24"/>
              <w:u w:val="single"/>
            </w:rPr>
            <w:t>Ti përcjellë këto deklarata</w:t>
          </w:r>
          <w:r w:rsidRPr="6875B2D2">
            <w:rPr>
              <w:rFonts w:ascii="Times New Roman" w:hAnsi="Times New Roman"/>
              <w:sz w:val="24"/>
              <w:szCs w:val="24"/>
            </w:rPr>
            <w:t xml:space="preserve"> tek autoritetet përkatëse rregullatore, ose të </w:t>
          </w:r>
        </w:p>
        <w:p w14:paraId="401BC8D2" w14:textId="77777777" w:rsidR="003450F8" w:rsidRPr="003C5459" w:rsidRDefault="003450F8" w:rsidP="00CC709C">
          <w:pPr>
            <w:pStyle w:val="ListParagraph"/>
            <w:numPr>
              <w:ilvl w:val="0"/>
              <w:numId w:val="27"/>
            </w:numPr>
            <w:spacing w:line="288" w:lineRule="auto"/>
            <w:ind w:left="720" w:hanging="180"/>
            <w:jc w:val="both"/>
            <w:rPr>
              <w:rFonts w:ascii="Times New Roman" w:hAnsi="Times New Roman"/>
              <w:i/>
              <w:sz w:val="24"/>
              <w:szCs w:val="24"/>
              <w:u w:val="single"/>
            </w:rPr>
          </w:pPr>
          <w:r w:rsidRPr="6875B2D2">
            <w:rPr>
              <w:rFonts w:ascii="Times New Roman" w:hAnsi="Times New Roman"/>
              <w:i/>
              <w:sz w:val="24"/>
              <w:szCs w:val="24"/>
              <w:u w:val="single"/>
            </w:rPr>
            <w:t xml:space="preserve">Përcjellja e informacionin </w:t>
          </w:r>
          <w:r w:rsidRPr="6875B2D2">
            <w:rPr>
              <w:rFonts w:ascii="Times New Roman" w:hAnsi="Times New Roman"/>
              <w:sz w:val="24"/>
              <w:szCs w:val="24"/>
            </w:rPr>
            <w:t xml:space="preserve"> e nevojshëm për ofruesit e shërbimeve për konformitetin e tyre.</w:t>
          </w:r>
        </w:p>
        <w:p w14:paraId="04F3EF7E" w14:textId="77777777" w:rsidR="003450F8" w:rsidRPr="003C5459" w:rsidRDefault="003450F8" w:rsidP="003450F8">
          <w:pPr>
            <w:spacing w:after="120" w:line="288" w:lineRule="auto"/>
            <w:jc w:val="both"/>
            <w:rPr>
              <w:iCs/>
            </w:rPr>
          </w:pPr>
          <w:r w:rsidRPr="003C5459">
            <w:rPr>
              <w:iCs/>
            </w:rPr>
            <w:t xml:space="preserve">Kjo do të thjeshtonte procesin dhe do të reduktonte barrën administrative për ofruesit e shërbimeve të BE për të ushtruar aktivitetin e tyre ndërkufitar në mënyrë sa më të thjeshtësuar. </w:t>
          </w:r>
        </w:p>
        <w:p w14:paraId="1D376807" w14:textId="77777777" w:rsidR="003450F8" w:rsidRPr="003C5459" w:rsidRDefault="003450F8" w:rsidP="003450F8">
          <w:pPr>
            <w:spacing w:after="120" w:line="288" w:lineRule="auto"/>
            <w:jc w:val="both"/>
            <w:rPr>
              <w:iCs/>
            </w:rPr>
          </w:pPr>
          <w:r w:rsidRPr="003C5459">
            <w:rPr>
              <w:iCs/>
            </w:rPr>
            <w:t>Në parim, në përputhje me organigramën publike të këtij institucioni</w:t>
          </w:r>
          <w:r w:rsidRPr="6875B2D2">
            <w:rPr>
              <w:rStyle w:val="FootnoteReference"/>
              <w:rFonts w:eastAsia="SimSun"/>
              <w:sz w:val="24"/>
              <w:szCs w:val="24"/>
            </w:rPr>
            <w:footnoteReference w:id="13"/>
          </w:r>
          <w:r w:rsidRPr="003C5459">
            <w:rPr>
              <w:iCs/>
            </w:rPr>
            <w:t xml:space="preserve"> ky shërbim mund të mbulohet nga “</w:t>
          </w:r>
          <w:r w:rsidRPr="003C5459">
            <w:rPr>
              <w:i/>
            </w:rPr>
            <w:t>Sektori i trajtimit të të dhënave dhe korrespondencës</w:t>
          </w:r>
          <w:r w:rsidRPr="003C5459">
            <w:rPr>
              <w:iCs/>
            </w:rPr>
            <w:t xml:space="preserve">”, nën varësinë e Drejtorisë së Asistencës për Aplikimet </w:t>
          </w:r>
          <w:r w:rsidRPr="003C5459">
            <w:rPr>
              <w:i/>
            </w:rPr>
            <w:t>online</w:t>
          </w:r>
          <w:r w:rsidRPr="003C5459">
            <w:rPr>
              <w:iCs/>
            </w:rPr>
            <w:t xml:space="preserve"> dhe Trajtimit të të Dhënave. Në përputhje me numrin aktual të punëmarrësve në këtë sektor do mund të vlerësohet mundësia e:</w:t>
          </w:r>
        </w:p>
        <w:p w14:paraId="719E914F" w14:textId="77777777" w:rsidR="003450F8" w:rsidRPr="003C5459" w:rsidRDefault="003450F8" w:rsidP="00CC709C">
          <w:pPr>
            <w:pStyle w:val="ListParagraph"/>
            <w:numPr>
              <w:ilvl w:val="0"/>
              <w:numId w:val="27"/>
            </w:numPr>
            <w:spacing w:line="288" w:lineRule="auto"/>
            <w:ind w:left="720" w:hanging="180"/>
            <w:jc w:val="both"/>
            <w:rPr>
              <w:rFonts w:ascii="Times New Roman" w:hAnsi="Times New Roman"/>
              <w:sz w:val="24"/>
              <w:szCs w:val="24"/>
            </w:rPr>
          </w:pPr>
          <w:r w:rsidRPr="6875B2D2">
            <w:rPr>
              <w:rFonts w:ascii="Times New Roman" w:hAnsi="Times New Roman"/>
              <w:sz w:val="24"/>
              <w:szCs w:val="24"/>
            </w:rPr>
            <w:t>Trajnimit të punëmarrësve aktual për të përshtatur aftësitë e tyre me nevojat për shërbimet e reja; ose</w:t>
          </w:r>
        </w:p>
        <w:p w14:paraId="051E406B" w14:textId="1D0A568F" w:rsidR="00FC1687" w:rsidRPr="002A4FC6" w:rsidRDefault="003450F8" w:rsidP="00CC709C">
          <w:pPr>
            <w:pStyle w:val="ListParagraph"/>
            <w:numPr>
              <w:ilvl w:val="0"/>
              <w:numId w:val="27"/>
            </w:numPr>
            <w:tabs>
              <w:tab w:val="left" w:pos="720"/>
            </w:tabs>
            <w:spacing w:line="288" w:lineRule="auto"/>
            <w:ind w:left="720" w:hanging="180"/>
            <w:jc w:val="both"/>
            <w:rPr>
              <w:rFonts w:ascii="Times New Roman" w:hAnsi="Times New Roman"/>
              <w:sz w:val="24"/>
              <w:szCs w:val="24"/>
            </w:rPr>
          </w:pPr>
          <w:r w:rsidRPr="6875B2D2">
            <w:rPr>
              <w:rFonts w:ascii="Times New Roman" w:hAnsi="Times New Roman"/>
              <w:sz w:val="24"/>
              <w:szCs w:val="24"/>
            </w:rPr>
            <w:t xml:space="preserve">Rritjen e kapaciteteve njerëzore dhe hapjen e pozicioneve specifike për këtë kategori pune. </w:t>
          </w:r>
        </w:p>
        <w:p w14:paraId="148F543F" w14:textId="77777777" w:rsidR="003450F8" w:rsidRPr="003C5459" w:rsidRDefault="003450F8" w:rsidP="00CC709C">
          <w:pPr>
            <w:pStyle w:val="ListParagraph"/>
            <w:numPr>
              <w:ilvl w:val="0"/>
              <w:numId w:val="19"/>
            </w:numPr>
            <w:tabs>
              <w:tab w:val="left" w:pos="720"/>
            </w:tabs>
            <w:spacing w:line="288" w:lineRule="auto"/>
            <w:jc w:val="both"/>
            <w:rPr>
              <w:rFonts w:ascii="Times New Roman" w:hAnsi="Times New Roman"/>
              <w:b/>
              <w:sz w:val="24"/>
              <w:szCs w:val="24"/>
            </w:rPr>
          </w:pPr>
          <w:r w:rsidRPr="6875B2D2">
            <w:rPr>
              <w:rFonts w:ascii="Times New Roman" w:hAnsi="Times New Roman"/>
              <w:b/>
              <w:sz w:val="24"/>
              <w:szCs w:val="24"/>
            </w:rPr>
            <w:t xml:space="preserve">Inspektorati i Mbikëqyrjes së Tregut (IMT) </w:t>
          </w:r>
        </w:p>
        <w:p w14:paraId="599FA4EA" w14:textId="6FC14675" w:rsidR="003450F8" w:rsidRPr="003C5459" w:rsidRDefault="003450F8" w:rsidP="003450F8">
          <w:pPr>
            <w:tabs>
              <w:tab w:val="left" w:pos="567"/>
              <w:tab w:val="left" w:pos="720"/>
            </w:tabs>
            <w:spacing w:after="120" w:line="288" w:lineRule="auto"/>
            <w:jc w:val="both"/>
            <w:rPr>
              <w:iCs/>
            </w:rPr>
          </w:pPr>
          <w:r w:rsidRPr="003C5459">
            <w:rPr>
              <w:iCs/>
            </w:rPr>
            <w:t>Ne kuadrin e hapje</w:t>
          </w:r>
          <w:r w:rsidR="00FC1687">
            <w:rPr>
              <w:iCs/>
            </w:rPr>
            <w:t>s</w:t>
          </w:r>
          <w:r w:rsidRPr="003C5459">
            <w:rPr>
              <w:iCs/>
            </w:rPr>
            <w:t xml:space="preserve"> s</w:t>
          </w:r>
          <w:r w:rsidR="00FC1687">
            <w:rPr>
              <w:iCs/>
            </w:rPr>
            <w:t>ë</w:t>
          </w:r>
          <w:r w:rsidRPr="003C5459">
            <w:rPr>
              <w:iCs/>
            </w:rPr>
            <w:t xml:space="preserve"> tregut dhe pranisë s</w:t>
          </w:r>
          <w:r w:rsidR="00FC1687">
            <w:rPr>
              <w:iCs/>
            </w:rPr>
            <w:t>ë</w:t>
          </w:r>
          <w:r w:rsidRPr="003C5459">
            <w:rPr>
              <w:iCs/>
            </w:rPr>
            <w:t xml:space="preserve"> ofruesve t</w:t>
          </w:r>
          <w:r w:rsidR="00FC1687">
            <w:rPr>
              <w:iCs/>
            </w:rPr>
            <w:t>ë</w:t>
          </w:r>
          <w:r w:rsidRPr="003C5459">
            <w:rPr>
              <w:iCs/>
            </w:rPr>
            <w:t xml:space="preserve"> huaj t</w:t>
          </w:r>
          <w:r w:rsidR="00FC1687">
            <w:rPr>
              <w:iCs/>
            </w:rPr>
            <w:t>ë</w:t>
          </w:r>
          <w:r w:rsidRPr="003C5459">
            <w:rPr>
              <w:iCs/>
            </w:rPr>
            <w:t xml:space="preserve"> shërbimeve t</w:t>
          </w:r>
          <w:r w:rsidR="00FC1687">
            <w:rPr>
              <w:iCs/>
            </w:rPr>
            <w:t>ë</w:t>
          </w:r>
          <w:r w:rsidRPr="003C5459">
            <w:rPr>
              <w:iCs/>
            </w:rPr>
            <w:t xml:space="preserve"> pa vendosur n</w:t>
          </w:r>
          <w:r w:rsidR="00FC1687">
            <w:rPr>
              <w:iCs/>
            </w:rPr>
            <w:t>ë</w:t>
          </w:r>
          <w:r w:rsidRPr="003C5459">
            <w:rPr>
              <w:iCs/>
            </w:rPr>
            <w:t xml:space="preserve"> vend, ka nevojë të ridimensinojë kërkesat për inspektim n</w:t>
          </w:r>
          <w:r w:rsidR="00D15B9D">
            <w:rPr>
              <w:iCs/>
            </w:rPr>
            <w:t>ë</w:t>
          </w:r>
          <w:r w:rsidRPr="003C5459">
            <w:rPr>
              <w:iCs/>
            </w:rPr>
            <w:t xml:space="preserve"> përputhj</w:t>
          </w:r>
          <w:r w:rsidR="00D15B9D">
            <w:rPr>
              <w:iCs/>
            </w:rPr>
            <w:t>e</w:t>
          </w:r>
          <w:r w:rsidRPr="003C5459">
            <w:rPr>
              <w:iCs/>
            </w:rPr>
            <w:t xml:space="preserve"> me thjeshtëzimit t</w:t>
          </w:r>
          <w:r w:rsidR="00D15B9D">
            <w:rPr>
              <w:iCs/>
            </w:rPr>
            <w:t>ë</w:t>
          </w:r>
          <w:r w:rsidRPr="003C5459">
            <w:rPr>
              <w:iCs/>
            </w:rPr>
            <w:t xml:space="preserve"> kritereve t</w:t>
          </w:r>
          <w:r w:rsidR="00D15B9D">
            <w:rPr>
              <w:iCs/>
            </w:rPr>
            <w:t>ë</w:t>
          </w:r>
          <w:r w:rsidRPr="003C5459">
            <w:rPr>
              <w:iCs/>
            </w:rPr>
            <w:t xml:space="preserve"> nevojshme për ofrimin e shërbimeve nga ofrues të huaj. Kjo do të ndihmojë në thjeshtimin e proceseve dhe do të lehtësojë bashkëpunimin me këta ofrues. Për të përballuar sfidat e reja, IMT duhet të fokusohet në dy aspekte kryesore:</w:t>
          </w:r>
        </w:p>
        <w:p w14:paraId="5C868F68" w14:textId="77777777" w:rsidR="003450F8" w:rsidRPr="003C5459" w:rsidRDefault="003450F8" w:rsidP="00CC709C">
          <w:pPr>
            <w:pStyle w:val="ListParagraph"/>
            <w:numPr>
              <w:ilvl w:val="0"/>
              <w:numId w:val="29"/>
            </w:numPr>
            <w:tabs>
              <w:tab w:val="clear" w:pos="720"/>
              <w:tab w:val="left" w:pos="180"/>
            </w:tabs>
            <w:spacing w:line="288" w:lineRule="auto"/>
            <w:ind w:left="450" w:hanging="180"/>
            <w:contextualSpacing/>
            <w:jc w:val="both"/>
            <w:rPr>
              <w:rFonts w:ascii="Times New Roman" w:hAnsi="Times New Roman"/>
              <w:sz w:val="24"/>
              <w:szCs w:val="24"/>
            </w:rPr>
          </w:pPr>
          <w:r w:rsidRPr="6875B2D2">
            <w:rPr>
              <w:rFonts w:ascii="Times New Roman" w:hAnsi="Times New Roman"/>
              <w:sz w:val="24"/>
              <w:szCs w:val="24"/>
            </w:rPr>
            <w:t>Trajnimi i punëmarrësve aktual: Të zhvillohen programe trajnimi për të përmirësuar aftësitë e punonjësve dhe për t’i përgatitur ata për shërbimet e reja që do të ofrohen.</w:t>
          </w:r>
        </w:p>
        <w:p w14:paraId="5AC4C417" w14:textId="790C88E9" w:rsidR="003450F8" w:rsidRDefault="003450F8" w:rsidP="00CC709C">
          <w:pPr>
            <w:pStyle w:val="ListParagraph"/>
            <w:numPr>
              <w:ilvl w:val="0"/>
              <w:numId w:val="29"/>
            </w:numPr>
            <w:tabs>
              <w:tab w:val="clear" w:pos="720"/>
              <w:tab w:val="left" w:pos="180"/>
            </w:tabs>
            <w:spacing w:line="288" w:lineRule="auto"/>
            <w:ind w:left="450" w:hanging="180"/>
            <w:contextualSpacing/>
            <w:jc w:val="both"/>
            <w:rPr>
              <w:rFonts w:ascii="Times New Roman" w:hAnsi="Times New Roman"/>
              <w:sz w:val="24"/>
              <w:szCs w:val="24"/>
            </w:rPr>
          </w:pPr>
          <w:r w:rsidRPr="6875B2D2">
            <w:rPr>
              <w:rFonts w:ascii="Times New Roman" w:hAnsi="Times New Roman"/>
              <w:sz w:val="24"/>
              <w:szCs w:val="24"/>
            </w:rPr>
            <w:t>Rritja e kapaciteteve njerëzore: Të hapen pozita të reja specifike që do të përballen me kërkesat e reja të tregut dhe me sfidat që sjellin ofruesit e huaj.</w:t>
          </w:r>
        </w:p>
        <w:p w14:paraId="58E11F69" w14:textId="77777777" w:rsidR="002A4FC6" w:rsidRPr="002A4FC6" w:rsidRDefault="002A4FC6" w:rsidP="002A4FC6">
          <w:pPr>
            <w:pStyle w:val="ListParagraph"/>
            <w:tabs>
              <w:tab w:val="left" w:pos="180"/>
            </w:tabs>
            <w:spacing w:line="288" w:lineRule="auto"/>
            <w:ind w:left="450" w:firstLine="0"/>
            <w:contextualSpacing/>
            <w:jc w:val="both"/>
            <w:rPr>
              <w:rFonts w:ascii="Times New Roman" w:hAnsi="Times New Roman"/>
              <w:sz w:val="24"/>
              <w:szCs w:val="24"/>
            </w:rPr>
          </w:pPr>
        </w:p>
        <w:p w14:paraId="49A37AA6" w14:textId="77777777" w:rsidR="003450F8" w:rsidRPr="003C5459" w:rsidRDefault="003450F8" w:rsidP="00CC709C">
          <w:pPr>
            <w:pStyle w:val="ListParagraph"/>
            <w:numPr>
              <w:ilvl w:val="0"/>
              <w:numId w:val="19"/>
            </w:numPr>
            <w:tabs>
              <w:tab w:val="left" w:pos="720"/>
            </w:tabs>
            <w:spacing w:line="288" w:lineRule="auto"/>
            <w:jc w:val="both"/>
            <w:rPr>
              <w:rFonts w:ascii="Times New Roman" w:hAnsi="Times New Roman"/>
              <w:b/>
              <w:sz w:val="24"/>
              <w:szCs w:val="24"/>
            </w:rPr>
          </w:pPr>
          <w:r w:rsidRPr="6875B2D2">
            <w:rPr>
              <w:rFonts w:ascii="Times New Roman" w:hAnsi="Times New Roman"/>
              <w:b/>
              <w:sz w:val="24"/>
              <w:szCs w:val="24"/>
            </w:rPr>
            <w:t>Koordinatori Kombëtar për IMI (AKSHI)</w:t>
          </w:r>
        </w:p>
        <w:p w14:paraId="1FA51969" w14:textId="77777777" w:rsidR="003450F8" w:rsidRPr="00FA68D2" w:rsidRDefault="003450F8" w:rsidP="003450F8">
          <w:pPr>
            <w:tabs>
              <w:tab w:val="left" w:pos="720"/>
            </w:tabs>
            <w:spacing w:after="120" w:line="288" w:lineRule="auto"/>
            <w:jc w:val="both"/>
            <w:rPr>
              <w:iCs/>
            </w:rPr>
          </w:pPr>
          <w:r w:rsidRPr="00FA68D2">
            <w:rPr>
              <w:iCs/>
            </w:rPr>
            <w:t xml:space="preserve">Duke synuar anëtarësimin deri në vitin 2030, Shqipëria duhet të përafrojë kuadrin rregullator, përfshirë atë sektorial, të paktën deri në vitin 2028. Institucionet përkatëse ne vend dhe simotrat ne BE duhet të jenë të gatshme të ndërveprojnë me sistemet Sistemi i Informacionit të Tregut të Brendshëm (IMI) dhe PVK që në ditën e anëtarësimit. </w:t>
          </w:r>
        </w:p>
        <w:p w14:paraId="1BCC823A" w14:textId="77777777" w:rsidR="003450F8" w:rsidRPr="00FA68D2" w:rsidRDefault="003450F8" w:rsidP="003450F8">
          <w:pPr>
            <w:tabs>
              <w:tab w:val="left" w:pos="720"/>
            </w:tabs>
            <w:spacing w:after="120" w:line="288" w:lineRule="auto"/>
            <w:jc w:val="both"/>
            <w:rPr>
              <w:iCs/>
            </w:rPr>
          </w:pPr>
          <w:r w:rsidRPr="00FA68D2">
            <w:rPr>
              <w:iCs/>
            </w:rPr>
            <w:t>IMI është një mjet i sigurt, shumëgjuhësh on-line që lehtëson shkëmbimin e informacionit midis autoriteteve publike të përfshira në zbatimin praktik të legjislacionit të BE. Ai u mundëson atyre të përmbushin detyrimet administrative ndërkufitare në disa fusha të politikave të tregut të vetëm duke thjeshtuar procedurat e komunikimit dhe përcjelljes se dokumenteve.</w:t>
          </w:r>
        </w:p>
        <w:p w14:paraId="0FAC9D93" w14:textId="77777777" w:rsidR="003450F8" w:rsidRPr="00FA68D2" w:rsidRDefault="003450F8" w:rsidP="003450F8">
          <w:pPr>
            <w:tabs>
              <w:tab w:val="left" w:pos="720"/>
            </w:tabs>
            <w:spacing w:after="120" w:line="288" w:lineRule="auto"/>
            <w:jc w:val="both"/>
            <w:rPr>
              <w:iCs/>
            </w:rPr>
          </w:pPr>
          <w:r w:rsidRPr="00FA68D2">
            <w:rPr>
              <w:iCs/>
            </w:rPr>
            <w:t>I krijuar në vitin 2008 për të zbatuar Direktivën e Shërbimeve, IMI aktualisht mbështet 95 procedura bashkëpunimi administrative në 19 fusha të ndryshme të politikave. Modernizimi i bashkëpunimit ndërkufitar në nivel kombëtar, rajonal dhe lokal nga IMI ka përmirësuar bashkëpunimin midis autoriteteve publike. Kjo ka sjellë përfitime për publikun dhe bizneset.</w:t>
          </w:r>
        </w:p>
        <w:p w14:paraId="6C25D436" w14:textId="77777777" w:rsidR="003450F8" w:rsidRPr="00FA68D2" w:rsidRDefault="003450F8" w:rsidP="003450F8">
          <w:pPr>
            <w:tabs>
              <w:tab w:val="left" w:pos="720"/>
            </w:tabs>
            <w:spacing w:after="120" w:line="288" w:lineRule="auto"/>
            <w:jc w:val="both"/>
            <w:rPr>
              <w:iCs/>
            </w:rPr>
          </w:pPr>
          <w:r w:rsidRPr="00FA68D2">
            <w:rPr>
              <w:iCs/>
            </w:rPr>
            <w:t xml:space="preserve">Agjencia Kombëtare e Shërbimit të Informacionit, me rolin e saj si mbajtëse dhe zhvilluese e platformave qeveritare të komunikimit, përfshirë e-Albania, ka premisat dhe mundësitë për të përmbushur detyrimet e IMI. Megjithatë, për ta arritur këtë, është e nevojshme të bëhen ndryshimet përkatëse ligjore dhe rregullative për përcaktimin e qarte te përgjegjësive te këtij roli. </w:t>
          </w:r>
        </w:p>
        <w:p w14:paraId="024B0439" w14:textId="41319BA8" w:rsidR="003450F8" w:rsidRPr="00FA68D2" w:rsidRDefault="003450F8" w:rsidP="003450F8">
          <w:pPr>
            <w:tabs>
              <w:tab w:val="left" w:pos="720"/>
            </w:tabs>
            <w:spacing w:after="120" w:line="288" w:lineRule="auto"/>
            <w:jc w:val="both"/>
            <w:rPr>
              <w:iCs/>
            </w:rPr>
          </w:pPr>
          <w:r w:rsidRPr="00FA68D2">
            <w:rPr>
              <w:iCs/>
            </w:rPr>
            <w:t xml:space="preserve">Bazuar në sa më lart, forcohet nevoja që Ministria përgjegjëse për Ekonominëtë luajë rolin e mbikëqyrësit për përafrimin e Direktivës me </w:t>
          </w:r>
          <w:r w:rsidR="006721E0">
            <w:rPr>
              <w:iCs/>
            </w:rPr>
            <w:t>l</w:t>
          </w:r>
          <w:r w:rsidRPr="00FA68D2">
            <w:rPr>
              <w:iCs/>
            </w:rPr>
            <w:t>igjin e</w:t>
          </w:r>
          <w:r w:rsidR="006721E0">
            <w:rPr>
              <w:iCs/>
            </w:rPr>
            <w:t xml:space="preserve"> ri</w:t>
          </w:r>
          <w:r w:rsidRPr="00FA68D2">
            <w:rPr>
              <w:iCs/>
            </w:rPr>
            <w:t xml:space="preserve"> </w:t>
          </w:r>
          <w:r w:rsidR="006721E0">
            <w:rPr>
              <w:iCs/>
            </w:rPr>
            <w:t xml:space="preserve">Për </w:t>
          </w:r>
          <w:r w:rsidRPr="00FA68D2">
            <w:rPr>
              <w:iCs/>
            </w:rPr>
            <w:t>Shërbime</w:t>
          </w:r>
          <w:r w:rsidR="006721E0">
            <w:rPr>
              <w:iCs/>
            </w:rPr>
            <w:t>t</w:t>
          </w:r>
          <w:r w:rsidRPr="00FA68D2">
            <w:rPr>
              <w:iCs/>
            </w:rPr>
            <w:t xml:space="preserve"> dhe të monitorojë nevojën për ndryshim q</w:t>
          </w:r>
          <w:r w:rsidR="00641E58">
            <w:rPr>
              <w:iCs/>
            </w:rPr>
            <w:t>ë</w:t>
          </w:r>
          <w:r w:rsidRPr="00FA68D2">
            <w:rPr>
              <w:iCs/>
            </w:rPr>
            <w:t xml:space="preserve"> passjell ky përafrim në kuadrin ligjor sektorial. Kjo duhet të bazohet në sistemin e tanishëm të ngritur për njoftimin e vazhdueshëm, duke siguruar kështu një rishikim të vazhdueshëm dhe të harmonizuar. </w:t>
          </w:r>
        </w:p>
        <w:p w14:paraId="12EDA1B4" w14:textId="77777777" w:rsidR="003450F8" w:rsidRPr="001D3A85" w:rsidRDefault="003450F8" w:rsidP="003450F8">
          <w:pPr>
            <w:tabs>
              <w:tab w:val="left" w:pos="720"/>
            </w:tabs>
            <w:spacing w:after="120" w:line="288" w:lineRule="auto"/>
            <w:jc w:val="both"/>
            <w:rPr>
              <w:iCs/>
            </w:rPr>
          </w:pPr>
          <w:r w:rsidRPr="001D3A85">
            <w:rPr>
              <w:iCs/>
            </w:rPr>
            <w:t>Koordinatori Kombëtar për IMI do të jetë ndër institucionet që do të luajë një rol kyç në kuadër të bashk</w:t>
          </w:r>
          <w:bookmarkStart w:id="26" w:name="_Hlk179109560"/>
          <w:r w:rsidRPr="001D3A85">
            <w:rPr>
              <w:iCs/>
            </w:rPr>
            <w:t>ë</w:t>
          </w:r>
          <w:bookmarkEnd w:id="26"/>
          <w:r w:rsidRPr="001D3A85">
            <w:rPr>
              <w:iCs/>
            </w:rPr>
            <w:t>punimit administrativ. Në zbatim të masave në këtë kuadër, secili prej institucioneve rregullatorë të përfshira (përmendura më lart) do duhet të përcaktojë një koordinator të posaçëm për IMI dhe në tërësi koordinimi i tyre do të kryet nga Koordinatori Kombëtar për IMI.</w:t>
          </w:r>
        </w:p>
        <w:p w14:paraId="41612333" w14:textId="77777777" w:rsidR="003450F8" w:rsidRPr="001D3A85" w:rsidRDefault="003450F8" w:rsidP="003450F8">
          <w:pPr>
            <w:tabs>
              <w:tab w:val="left" w:pos="720"/>
            </w:tabs>
            <w:spacing w:after="120" w:line="288" w:lineRule="auto"/>
            <w:jc w:val="both"/>
            <w:rPr>
              <w:iCs/>
            </w:rPr>
          </w:pPr>
          <w:r w:rsidRPr="001D3A85">
            <w:rPr>
              <w:iCs/>
            </w:rPr>
            <w:t xml:space="preserve">Një funksion i tillë në kushtet aktuale mund të shihej e volitshme të asociohet pranë AKSHI, si institucioni që administron platformën </w:t>
          </w:r>
          <w:r w:rsidRPr="001D3A85">
            <w:rPr>
              <w:i/>
            </w:rPr>
            <w:t>e</w:t>
          </w:r>
          <w:r w:rsidRPr="001D3A85">
            <w:rPr>
              <w:iCs/>
            </w:rPr>
            <w:t>-</w:t>
          </w:r>
          <w:r w:rsidRPr="003647B0">
            <w:rPr>
              <w:iCs/>
            </w:rPr>
            <w:t>Albania</w:t>
          </w:r>
          <w:r w:rsidRPr="001D3A85">
            <w:rPr>
              <w:iCs/>
            </w:rPr>
            <w:t xml:space="preserve"> dhe si përgjegjës për shërbimet e shkëmbimit të informacionit. </w:t>
          </w:r>
        </w:p>
        <w:p w14:paraId="46903DD5" w14:textId="77777777" w:rsidR="003450F8" w:rsidRPr="001D3A85" w:rsidRDefault="003450F8" w:rsidP="003450F8">
          <w:pPr>
            <w:tabs>
              <w:tab w:val="left" w:pos="720"/>
            </w:tabs>
            <w:spacing w:after="120" w:line="288" w:lineRule="auto"/>
            <w:jc w:val="both"/>
            <w:rPr>
              <w:iCs/>
            </w:rPr>
          </w:pPr>
          <w:r w:rsidRPr="001D3A85">
            <w:rPr>
              <w:iCs/>
            </w:rPr>
            <w:t>Ndër përgjegjësitë kryesore Koordinatori Kombëtar për IMI</w:t>
          </w:r>
          <w:r w:rsidRPr="001D3A85">
            <w:rPr>
              <w:b/>
              <w:bCs/>
              <w:iCs/>
            </w:rPr>
            <w:t xml:space="preserve"> </w:t>
          </w:r>
          <w:r w:rsidRPr="001D3A85">
            <w:rPr>
              <w:iCs/>
            </w:rPr>
            <w:t>do të konsistojnë në:</w:t>
          </w:r>
        </w:p>
        <w:p w14:paraId="26A0FA35" w14:textId="77777777" w:rsidR="003450F8" w:rsidRPr="003C5459" w:rsidRDefault="003450F8" w:rsidP="00CC709C">
          <w:pPr>
            <w:pStyle w:val="ListParagraph"/>
            <w:numPr>
              <w:ilvl w:val="0"/>
              <w:numId w:val="28"/>
            </w:numPr>
            <w:tabs>
              <w:tab w:val="clear" w:pos="567"/>
              <w:tab w:val="left" w:pos="450"/>
              <w:tab w:val="left" w:pos="720"/>
            </w:tabs>
            <w:spacing w:line="288" w:lineRule="auto"/>
            <w:ind w:left="450" w:hanging="450"/>
            <w:contextualSpacing/>
            <w:jc w:val="both"/>
            <w:rPr>
              <w:rFonts w:ascii="Times New Roman" w:hAnsi="Times New Roman"/>
              <w:sz w:val="24"/>
              <w:szCs w:val="24"/>
            </w:rPr>
          </w:pPr>
          <w:r w:rsidRPr="6875B2D2">
            <w:rPr>
              <w:rFonts w:ascii="Times New Roman" w:hAnsi="Times New Roman"/>
              <w:sz w:val="24"/>
              <w:szCs w:val="24"/>
            </w:rPr>
            <w:t>Ngritja dhe përshtatja e sistemeve të nevojshme për ndërveprimin me sistemin IMI;</w:t>
          </w:r>
        </w:p>
        <w:p w14:paraId="08AB9754" w14:textId="77777777" w:rsidR="003450F8" w:rsidRPr="003C5459" w:rsidRDefault="003450F8" w:rsidP="00CC709C">
          <w:pPr>
            <w:pStyle w:val="ListParagraph"/>
            <w:numPr>
              <w:ilvl w:val="0"/>
              <w:numId w:val="28"/>
            </w:numPr>
            <w:tabs>
              <w:tab w:val="clear" w:pos="567"/>
              <w:tab w:val="left" w:pos="450"/>
              <w:tab w:val="left" w:pos="720"/>
            </w:tabs>
            <w:spacing w:line="288" w:lineRule="auto"/>
            <w:ind w:left="450" w:hanging="450"/>
            <w:contextualSpacing/>
            <w:jc w:val="both"/>
            <w:rPr>
              <w:rFonts w:ascii="Times New Roman" w:hAnsi="Times New Roman"/>
              <w:sz w:val="24"/>
              <w:szCs w:val="24"/>
            </w:rPr>
          </w:pPr>
          <w:r w:rsidRPr="6875B2D2">
            <w:rPr>
              <w:rFonts w:ascii="Times New Roman" w:hAnsi="Times New Roman"/>
              <w:sz w:val="24"/>
              <w:szCs w:val="24"/>
            </w:rPr>
            <w:t>Sigurimi i funksionimit efektiv të IMI-së;</w:t>
          </w:r>
        </w:p>
        <w:p w14:paraId="39D91D59" w14:textId="7E8C60F7" w:rsidR="003450F8" w:rsidRPr="003C5459" w:rsidRDefault="003450F8" w:rsidP="00CC709C">
          <w:pPr>
            <w:pStyle w:val="ListParagraph"/>
            <w:numPr>
              <w:ilvl w:val="0"/>
              <w:numId w:val="28"/>
            </w:numPr>
            <w:tabs>
              <w:tab w:val="clear" w:pos="567"/>
              <w:tab w:val="left" w:pos="450"/>
              <w:tab w:val="left" w:pos="720"/>
            </w:tabs>
            <w:spacing w:line="288" w:lineRule="auto"/>
            <w:ind w:left="450" w:hanging="450"/>
            <w:contextualSpacing/>
            <w:jc w:val="both"/>
            <w:rPr>
              <w:rFonts w:ascii="Times New Roman" w:hAnsi="Times New Roman"/>
              <w:sz w:val="24"/>
              <w:szCs w:val="24"/>
            </w:rPr>
          </w:pPr>
          <w:r w:rsidRPr="6875B2D2">
            <w:rPr>
              <w:rFonts w:ascii="Times New Roman" w:hAnsi="Times New Roman"/>
              <w:sz w:val="24"/>
              <w:szCs w:val="24"/>
            </w:rPr>
            <w:t>Regjistrimi dhe menaxhimi i koordinatorëve të IMI-së për çdo autoritet kompetent/rregullator;</w:t>
          </w:r>
        </w:p>
        <w:p w14:paraId="5947C323" w14:textId="1895CA06" w:rsidR="003450F8" w:rsidRPr="003C5459" w:rsidRDefault="003450F8" w:rsidP="00CC709C">
          <w:pPr>
            <w:pStyle w:val="ListParagraph"/>
            <w:numPr>
              <w:ilvl w:val="0"/>
              <w:numId w:val="28"/>
            </w:numPr>
            <w:tabs>
              <w:tab w:val="clear" w:pos="567"/>
              <w:tab w:val="left" w:pos="450"/>
              <w:tab w:val="left" w:pos="720"/>
            </w:tabs>
            <w:spacing w:line="288" w:lineRule="auto"/>
            <w:ind w:left="450" w:hanging="450"/>
            <w:contextualSpacing/>
            <w:jc w:val="both"/>
            <w:rPr>
              <w:rFonts w:ascii="Times New Roman" w:hAnsi="Times New Roman"/>
              <w:sz w:val="24"/>
              <w:szCs w:val="24"/>
            </w:rPr>
          </w:pPr>
          <w:r w:rsidRPr="6875B2D2">
            <w:rPr>
              <w:rFonts w:ascii="Times New Roman" w:hAnsi="Times New Roman"/>
              <w:sz w:val="24"/>
              <w:szCs w:val="24"/>
            </w:rPr>
            <w:t>Pika kryesore e kontaktit për pjesëmarrësit në IMI të Shteteve Anëtare për çështjet e IMI-së;</w:t>
          </w:r>
        </w:p>
        <w:p w14:paraId="7630E29C" w14:textId="4DA58728" w:rsidR="00563378" w:rsidRDefault="003450F8" w:rsidP="00CC709C">
          <w:pPr>
            <w:pStyle w:val="ListParagraph"/>
            <w:numPr>
              <w:ilvl w:val="0"/>
              <w:numId w:val="28"/>
            </w:numPr>
            <w:tabs>
              <w:tab w:val="clear" w:pos="567"/>
              <w:tab w:val="left" w:pos="450"/>
              <w:tab w:val="left" w:pos="720"/>
            </w:tabs>
            <w:spacing w:line="288" w:lineRule="auto"/>
            <w:ind w:left="450" w:hanging="450"/>
            <w:contextualSpacing/>
            <w:jc w:val="both"/>
            <w:rPr>
              <w:rFonts w:ascii="Times New Roman" w:hAnsi="Times New Roman"/>
              <w:sz w:val="24"/>
              <w:szCs w:val="24"/>
            </w:rPr>
          </w:pPr>
          <w:r w:rsidRPr="6875B2D2">
            <w:rPr>
              <w:rFonts w:ascii="Times New Roman" w:hAnsi="Times New Roman"/>
              <w:sz w:val="24"/>
              <w:szCs w:val="24"/>
            </w:rPr>
            <w:t>Sigurimi i njohurive, trajnimeve dhe mbështetjes, duke përfshirë asistencën teknike bazë, për pjesëmarrësit e IMI.</w:t>
          </w:r>
        </w:p>
        <w:p w14:paraId="5740758B" w14:textId="77777777" w:rsidR="00EA1C19" w:rsidRPr="00F955A6" w:rsidRDefault="00EA1C19" w:rsidP="00F955A6">
          <w:pPr>
            <w:spacing w:before="100" w:beforeAutospacing="1" w:after="100" w:afterAutospacing="1"/>
            <w:jc w:val="both"/>
            <w:rPr>
              <w:szCs w:val="24"/>
            </w:rPr>
          </w:pPr>
          <w:r w:rsidRPr="00F955A6">
            <w:rPr>
              <w:szCs w:val="24"/>
            </w:rPr>
            <w:t>Pengesat kryesore gjatë zbatimit të opsionit të preferuar lidhen kryesisht me koordinimin ndërinstitucional, kapacitetet njerëzore dhe përafrimin ligjor. Koordinimi ndërinstitucional mund të rezultojë i vështirë për shkak të përfshirjes së shumë ministrive dhe autoriteteve rregullatore, çka rrit rrezikun e vonesave dhe fragmentimit të veprimeve. Kapacitetet aktuale njerëzore mund të jenë të pamjaftueshme, duke kërkuar trajnime shtesë dhe, ndonjëherë, hapjen e pozicioneve të reja për të përballuar kërkesat e reja të tregut dhe të shërbimeve ndërkufitare. Po ashtu, nevoja për ndryshime ligjore dhe rregullatore për përcaktimin e qartë të përgjegjësive të institucioneve, si dhe për funksionimin efektiv të sistemeve si IMI, mund të krijojë pengesa burokratike dhe të vonojë implementimin e plotë. Përveç këtyre, sfidat teknike dhe logjistike për ndërveprimin efektiv me sistemet ekzistuese mund të komplikojnë më tej procesin e zbatimit.</w:t>
          </w:r>
        </w:p>
        <w:p w14:paraId="338BA750" w14:textId="77777777" w:rsidR="00EA1C19" w:rsidRPr="00EA1C19" w:rsidRDefault="00204683" w:rsidP="00F955A6">
          <w:pPr>
            <w:tabs>
              <w:tab w:val="left" w:pos="450"/>
              <w:tab w:val="left" w:pos="720"/>
            </w:tabs>
            <w:spacing w:line="288" w:lineRule="auto"/>
            <w:contextualSpacing/>
            <w:jc w:val="both"/>
            <w:rPr>
              <w:szCs w:val="24"/>
            </w:rPr>
          </w:pPr>
        </w:p>
      </w:sdtContent>
    </w:sdt>
    <w:p w14:paraId="0616B3DB" w14:textId="77777777" w:rsidR="002125B7" w:rsidRPr="00325A1F" w:rsidRDefault="002125B7" w:rsidP="009D13F4">
      <w:pPr>
        <w:pStyle w:val="Style1-BodyText"/>
        <w:spacing w:before="240" w:after="0" w:line="276" w:lineRule="auto"/>
        <w:rPr>
          <w:rFonts w:cs="Times New Roman"/>
          <w:b/>
          <w:sz w:val="24"/>
          <w:szCs w:val="24"/>
        </w:rPr>
      </w:pPr>
      <w:r w:rsidRPr="6875B2D2">
        <w:rPr>
          <w:rFonts w:cs="Times New Roman"/>
          <w:b/>
          <w:sz w:val="24"/>
          <w:szCs w:val="24"/>
        </w:rPr>
        <w:t>Faza e monitorimit dhe vlerësimit</w:t>
      </w:r>
    </w:p>
    <w:sdt>
      <w:sdtPr>
        <w:rPr>
          <w:rFonts w:cs="Times New Roman"/>
          <w:b/>
          <w:bCs/>
          <w:i/>
          <w:iCs/>
          <w:sz w:val="24"/>
          <w:szCs w:val="24"/>
        </w:rPr>
        <w:id w:val="1311365965"/>
        <w:lock w:val="contentLocked"/>
        <w:placeholder>
          <w:docPart w:val="DefaultPlaceholder_1081868574"/>
        </w:placeholder>
      </w:sdtPr>
      <w:sdtContent>
        <w:p w14:paraId="2A98D13E" w14:textId="77777777" w:rsidR="009E64A4" w:rsidRPr="0032145B" w:rsidRDefault="009E64A4" w:rsidP="00673F28">
          <w:pPr>
            <w:pStyle w:val="Style1-BodyText"/>
            <w:numPr>
              <w:ilvl w:val="0"/>
              <w:numId w:val="5"/>
            </w:numPr>
            <w:spacing w:after="0" w:line="276" w:lineRule="auto"/>
            <w:rPr>
              <w:rFonts w:cs="Times New Roman"/>
              <w:i/>
              <w:sz w:val="24"/>
              <w:szCs w:val="24"/>
            </w:rPr>
          </w:pPr>
          <w:r w:rsidRPr="6875B2D2">
            <w:rPr>
              <w:rFonts w:cs="Times New Roman"/>
              <w:i/>
              <w:sz w:val="24"/>
              <w:szCs w:val="24"/>
            </w:rPr>
            <w:t>Jepni një përshkrim të përmbledhur të masave të monitorimit dhe të vlerësimit.</w:t>
          </w:r>
        </w:p>
        <w:p w14:paraId="2FFE9BEC" w14:textId="13B33BF6" w:rsidR="002125B7" w:rsidRPr="0032145B" w:rsidRDefault="009E64A4" w:rsidP="00673F28">
          <w:pPr>
            <w:pStyle w:val="Style1-BodyText"/>
            <w:numPr>
              <w:ilvl w:val="0"/>
              <w:numId w:val="5"/>
            </w:numPr>
            <w:spacing w:after="0" w:line="276" w:lineRule="auto"/>
            <w:rPr>
              <w:rFonts w:cs="Times New Roman"/>
              <w:i/>
              <w:sz w:val="24"/>
              <w:szCs w:val="24"/>
            </w:rPr>
          </w:pPr>
          <w:r w:rsidRPr="6875B2D2">
            <w:rPr>
              <w:rFonts w:cs="Times New Roman"/>
              <w:i/>
              <w:sz w:val="24"/>
              <w:szCs w:val="24"/>
            </w:rPr>
            <w:t>Identifikoni kriteret/treguesit për të matur arritjen e objektivave ose progresin drejt tyre.</w:t>
          </w:r>
        </w:p>
      </w:sdtContent>
    </w:sdt>
    <w:bookmarkEnd w:id="24" w:displacedByCustomXml="next"/>
    <w:sdt>
      <w:sdtPr>
        <w:rPr>
          <w:rFonts w:eastAsiaTheme="majorEastAsia"/>
          <w:color w:val="808080" w:themeColor="background1" w:themeShade="80"/>
        </w:rPr>
        <w:id w:val="-521482689"/>
        <w:placeholder>
          <w:docPart w:val="346DADE0E4B948EEB018BC06B86F97D7"/>
        </w:placeholder>
      </w:sdtPr>
      <w:sdtContent>
        <w:p w14:paraId="7B636713" w14:textId="6DE283B5" w:rsidR="0014354B" w:rsidRPr="0014354B" w:rsidRDefault="0014354B" w:rsidP="0014354B">
          <w:pPr>
            <w:spacing w:before="120" w:line="276" w:lineRule="auto"/>
            <w:jc w:val="both"/>
          </w:pPr>
          <w:r w:rsidRPr="0014354B">
            <w:t xml:space="preserve">Zbatimi i ligjit </w:t>
          </w:r>
          <w:r>
            <w:t xml:space="preserve">të ri </w:t>
          </w:r>
          <w:r w:rsidRPr="0014354B">
            <w:t>“Për lirinë e vendosjes dhe ofrimi</w:t>
          </w:r>
          <w:r>
            <w:t>t</w:t>
          </w:r>
          <w:r w:rsidRPr="0014354B">
            <w:t xml:space="preserve"> </w:t>
          </w:r>
          <w:r>
            <w:t>të</w:t>
          </w:r>
          <w:r w:rsidRPr="0014354B">
            <w:t xml:space="preserve"> shërbimeve në Republikën e Shqipërisë” do të monitorohet dhe vlerësohet në mënyrë të vazhdueshme nga Ministria e Ekonomisë dhe Inovacionit (MEI), si institucioni përgjegjës për administrimin e ligjit k</w:t>
          </w:r>
          <w:r w:rsidR="002F7A9F">
            <w:t>uadër</w:t>
          </w:r>
          <w:r w:rsidRPr="0014354B">
            <w:t xml:space="preserve"> dhe koordinimin e përafrimit sektorial me Direktivën 2006/123/KE.</w:t>
          </w:r>
        </w:p>
        <w:p w14:paraId="2F764647" w14:textId="67702975" w:rsidR="0014354B" w:rsidRPr="0014354B" w:rsidRDefault="0014354B" w:rsidP="0014354B">
          <w:pPr>
            <w:spacing w:before="120" w:line="276" w:lineRule="auto"/>
            <w:jc w:val="both"/>
            <w:rPr>
              <w:b/>
            </w:rPr>
          </w:pPr>
          <w:r w:rsidRPr="0014354B">
            <w:rPr>
              <w:b/>
              <w:bCs/>
            </w:rPr>
            <w:t>Masat monitoruese të MEI</w:t>
          </w:r>
        </w:p>
        <w:p w14:paraId="6772EDBA" w14:textId="6066DCE6" w:rsidR="0014354B" w:rsidRPr="0014354B" w:rsidRDefault="0014354B" w:rsidP="0014354B">
          <w:pPr>
            <w:spacing w:before="120" w:line="276" w:lineRule="auto"/>
            <w:jc w:val="both"/>
          </w:pPr>
          <w:r w:rsidRPr="0014354B">
            <w:t>Për të garantuar një proces transparent, të matshëm dhe të kontrolluar, MEKI do të ndërmarrë masat e mëposhtme:</w:t>
          </w:r>
        </w:p>
        <w:p w14:paraId="0A737F3D" w14:textId="43BE2560" w:rsidR="00366195" w:rsidRDefault="0014354B" w:rsidP="00CC709C">
          <w:pPr>
            <w:pStyle w:val="ListParagraph"/>
            <w:numPr>
              <w:ilvl w:val="0"/>
              <w:numId w:val="34"/>
            </w:numPr>
            <w:spacing w:before="120" w:line="276" w:lineRule="auto"/>
            <w:ind w:left="630"/>
            <w:jc w:val="both"/>
            <w:rPr>
              <w:rFonts w:ascii="Times New Roman" w:hAnsi="Times New Roman"/>
              <w:sz w:val="24"/>
              <w:szCs w:val="24"/>
            </w:rPr>
          </w:pPr>
          <w:r w:rsidRPr="6875B2D2">
            <w:rPr>
              <w:rFonts w:ascii="Times New Roman" w:hAnsi="Times New Roman"/>
              <w:sz w:val="24"/>
              <w:szCs w:val="24"/>
            </w:rPr>
            <w:t>Hartimi i Planit Kombëtar të Zbatimit të ligjit, brenda 6 muajve nga hyrja në fuqi, duke përcaktuar afatet, institucionet përgjegjëse dhe indikatorët matës për procesin e përafrimit sektorial.</w:t>
          </w:r>
        </w:p>
        <w:p w14:paraId="22B41916" w14:textId="7EF84A3D" w:rsidR="00366195" w:rsidRDefault="0014354B" w:rsidP="00CC709C">
          <w:pPr>
            <w:pStyle w:val="ListParagraph"/>
            <w:numPr>
              <w:ilvl w:val="0"/>
              <w:numId w:val="34"/>
            </w:numPr>
            <w:spacing w:before="120" w:line="276" w:lineRule="auto"/>
            <w:ind w:left="630"/>
            <w:jc w:val="both"/>
            <w:rPr>
              <w:rFonts w:ascii="Times New Roman" w:hAnsi="Times New Roman"/>
              <w:sz w:val="24"/>
              <w:szCs w:val="24"/>
            </w:rPr>
          </w:pPr>
          <w:r w:rsidRPr="6875B2D2">
            <w:rPr>
              <w:rFonts w:ascii="Times New Roman" w:hAnsi="Times New Roman"/>
              <w:sz w:val="24"/>
              <w:szCs w:val="24"/>
            </w:rPr>
            <w:t>Krijimi i Mekanizmit Ndërinstitucional për Zbatimin e Ligjit (MNZL), me mbledhje çdo 6 muaj, për të monitoruar progresin, identifikuar vështirësitë dhe paraqitur rekomandime politike apo teknike.</w:t>
          </w:r>
        </w:p>
        <w:p w14:paraId="03AEEB68" w14:textId="7599564C" w:rsidR="00366195" w:rsidRDefault="0014354B" w:rsidP="00CC709C">
          <w:pPr>
            <w:pStyle w:val="ListParagraph"/>
            <w:numPr>
              <w:ilvl w:val="0"/>
              <w:numId w:val="34"/>
            </w:numPr>
            <w:spacing w:before="120" w:line="276" w:lineRule="auto"/>
            <w:ind w:left="630"/>
            <w:jc w:val="both"/>
            <w:rPr>
              <w:rFonts w:ascii="Times New Roman" w:hAnsi="Times New Roman"/>
              <w:sz w:val="24"/>
              <w:szCs w:val="24"/>
            </w:rPr>
          </w:pPr>
          <w:r w:rsidRPr="6875B2D2">
            <w:rPr>
              <w:rFonts w:ascii="Times New Roman" w:hAnsi="Times New Roman"/>
              <w:sz w:val="24"/>
              <w:szCs w:val="24"/>
            </w:rPr>
            <w:t>Publikimi i raportit vjetor të zbatimit dhe përafrimit, i cili i paraqitet Këshillit të Ministrave dhe publikohet në faqen zyrtare të MEKI, duke shërbyer si bazë për raportimet zyrtare të Shqipërisë ndaj institucioneve të BE-së.</w:t>
          </w:r>
        </w:p>
        <w:p w14:paraId="36B93E92" w14:textId="4B7BE3B4" w:rsidR="00366195" w:rsidRDefault="0014354B" w:rsidP="00CC709C">
          <w:pPr>
            <w:pStyle w:val="ListParagraph"/>
            <w:numPr>
              <w:ilvl w:val="0"/>
              <w:numId w:val="34"/>
            </w:numPr>
            <w:spacing w:before="120" w:line="276" w:lineRule="auto"/>
            <w:ind w:left="630"/>
            <w:jc w:val="both"/>
            <w:rPr>
              <w:rFonts w:ascii="Times New Roman" w:hAnsi="Times New Roman"/>
              <w:sz w:val="24"/>
              <w:szCs w:val="24"/>
            </w:rPr>
          </w:pPr>
          <w:r w:rsidRPr="6875B2D2">
            <w:rPr>
              <w:rFonts w:ascii="Times New Roman" w:hAnsi="Times New Roman"/>
              <w:sz w:val="24"/>
              <w:szCs w:val="24"/>
            </w:rPr>
            <w:t>Krijimi i një regjistri elektronik përmbledhës të akteve sektoriale, në bashkëpunim me Këshillin e Ministrave dhe AKSHI, që mundëson gjurmueshmëri të progresit dhe transparencë për publikun dhe institucionet ndërkombëtare.</w:t>
          </w:r>
        </w:p>
        <w:p w14:paraId="6A427FDE" w14:textId="3650EE26" w:rsidR="00366195" w:rsidRDefault="0014354B" w:rsidP="00CC709C">
          <w:pPr>
            <w:pStyle w:val="ListParagraph"/>
            <w:numPr>
              <w:ilvl w:val="0"/>
              <w:numId w:val="34"/>
            </w:numPr>
            <w:spacing w:before="120" w:line="276" w:lineRule="auto"/>
            <w:ind w:left="630"/>
            <w:jc w:val="both"/>
            <w:rPr>
              <w:rFonts w:ascii="Times New Roman" w:hAnsi="Times New Roman"/>
              <w:sz w:val="24"/>
              <w:szCs w:val="24"/>
            </w:rPr>
          </w:pPr>
          <w:r w:rsidRPr="6875B2D2">
            <w:rPr>
              <w:rFonts w:ascii="Times New Roman" w:hAnsi="Times New Roman"/>
              <w:sz w:val="24"/>
              <w:szCs w:val="24"/>
            </w:rPr>
            <w:t>Vendosja e një koordinator kombëtar për IMI (Internal Market Information System) dhe përcaktimi i strukturës përgjegjëse për administrimin e tij, në bashkëpunim me AKSHI, për funksionimin e plotë pas anëtarësimit në BE.</w:t>
          </w:r>
        </w:p>
        <w:p w14:paraId="6E97BE01" w14:textId="24176896" w:rsidR="0014354B" w:rsidRDefault="0014354B" w:rsidP="00CC709C">
          <w:pPr>
            <w:pStyle w:val="ListParagraph"/>
            <w:numPr>
              <w:ilvl w:val="0"/>
              <w:numId w:val="34"/>
            </w:numPr>
            <w:spacing w:before="120" w:line="276" w:lineRule="auto"/>
            <w:ind w:left="630"/>
            <w:jc w:val="both"/>
            <w:rPr>
              <w:rFonts w:ascii="Times New Roman" w:hAnsi="Times New Roman"/>
              <w:sz w:val="24"/>
              <w:szCs w:val="24"/>
            </w:rPr>
          </w:pPr>
          <w:r w:rsidRPr="6875B2D2">
            <w:rPr>
              <w:rFonts w:ascii="Times New Roman" w:hAnsi="Times New Roman"/>
              <w:sz w:val="24"/>
              <w:szCs w:val="24"/>
            </w:rPr>
            <w:t>Ngritja e një sistemi të matjes së ndikimit të tregut të shërbimeve, përmes monitorimit të hyrjes së operatorëve nga BE në tregun shqiptar dhe të zgjerimit të operatorëve shqiptarë në tregjet e BE-së.</w:t>
          </w:r>
        </w:p>
        <w:p w14:paraId="2C669CF5" w14:textId="77777777" w:rsidR="00366195" w:rsidRPr="00366195" w:rsidRDefault="00366195" w:rsidP="00366195">
          <w:pPr>
            <w:pStyle w:val="ListParagraph"/>
            <w:spacing w:before="120" w:line="276" w:lineRule="auto"/>
            <w:ind w:left="630" w:firstLine="0"/>
            <w:jc w:val="both"/>
            <w:rPr>
              <w:rFonts w:ascii="Times New Roman" w:hAnsi="Times New Roman"/>
              <w:sz w:val="24"/>
              <w:szCs w:val="24"/>
            </w:rPr>
          </w:pPr>
        </w:p>
        <w:p w14:paraId="4E612B71" w14:textId="145FC40D" w:rsidR="0014354B" w:rsidRPr="0014354B" w:rsidRDefault="0014354B" w:rsidP="0014354B">
          <w:pPr>
            <w:spacing w:before="120" w:line="276" w:lineRule="auto"/>
            <w:jc w:val="both"/>
            <w:rPr>
              <w:b/>
            </w:rPr>
          </w:pPr>
          <w:r w:rsidRPr="0014354B">
            <w:rPr>
              <w:b/>
              <w:bCs/>
            </w:rPr>
            <w:t>Treguesit kryesorë të matjes së progresit dhe arritjes së objektivave</w:t>
          </w:r>
        </w:p>
        <w:p w14:paraId="76BA8ED0" w14:textId="2943BF77" w:rsidR="001E730B" w:rsidRDefault="0014354B" w:rsidP="00CC709C">
          <w:pPr>
            <w:numPr>
              <w:ilvl w:val="0"/>
              <w:numId w:val="33"/>
            </w:numPr>
            <w:spacing w:before="120" w:line="276" w:lineRule="auto"/>
            <w:jc w:val="both"/>
            <w:rPr>
              <w:b/>
            </w:rPr>
          </w:pPr>
          <w:r w:rsidRPr="0014354B">
            <w:rPr>
              <w:b/>
              <w:bCs/>
            </w:rPr>
            <w:t xml:space="preserve">Shkalla e përafrimit </w:t>
          </w:r>
          <w:r w:rsidR="001E730B" w:rsidRPr="6875B2D2">
            <w:rPr>
              <w:b/>
              <w:bCs/>
            </w:rPr>
            <w:t>se</w:t>
          </w:r>
          <w:r w:rsidR="096A303B" w:rsidRPr="6875B2D2">
            <w:rPr>
              <w:b/>
              <w:bCs/>
            </w:rPr>
            <w:t>k</w:t>
          </w:r>
          <w:r w:rsidR="001E730B" w:rsidRPr="6875B2D2">
            <w:rPr>
              <w:b/>
              <w:bCs/>
            </w:rPr>
            <w:t>torial</w:t>
          </w:r>
        </w:p>
        <w:p w14:paraId="4F272688" w14:textId="710624C8" w:rsidR="001E730B" w:rsidRDefault="0014354B" w:rsidP="001E730B">
          <w:pPr>
            <w:spacing w:before="120" w:line="276" w:lineRule="auto"/>
            <w:ind w:left="720"/>
            <w:jc w:val="both"/>
          </w:pPr>
          <w:r w:rsidRPr="0014354B">
            <w:t>– Metoda: krahasim i akteve sektoriale me ligjin dhe Direktivën</w:t>
          </w:r>
        </w:p>
        <w:p w14:paraId="40C89F12" w14:textId="0A0DD364" w:rsidR="001E730B" w:rsidRDefault="0014354B" w:rsidP="001E730B">
          <w:pPr>
            <w:spacing w:before="120" w:line="276" w:lineRule="auto"/>
            <w:ind w:left="720"/>
            <w:jc w:val="both"/>
          </w:pPr>
          <w:r w:rsidRPr="0014354B">
            <w:t>– Burimi: raportet vjetore të MNZL</w:t>
          </w:r>
        </w:p>
        <w:p w14:paraId="00CC6A4B" w14:textId="07DE8FC1" w:rsidR="0014354B" w:rsidRPr="0014354B" w:rsidRDefault="0014354B" w:rsidP="001E730B">
          <w:pPr>
            <w:spacing w:before="120" w:line="276" w:lineRule="auto"/>
            <w:ind w:left="720"/>
            <w:jc w:val="both"/>
          </w:pPr>
          <w:r w:rsidRPr="0014354B">
            <w:t xml:space="preserve">– Objektivi: 100% përafrim deri në fund të vitit </w:t>
          </w:r>
          <w:r w:rsidRPr="6875B2D2">
            <w:t>202</w:t>
          </w:r>
          <w:r w:rsidR="42D305EC" w:rsidRPr="6875B2D2">
            <w:t>7</w:t>
          </w:r>
        </w:p>
        <w:p w14:paraId="506587A5" w14:textId="5EA8811D" w:rsidR="001E730B" w:rsidRDefault="0014354B" w:rsidP="00CC709C">
          <w:pPr>
            <w:numPr>
              <w:ilvl w:val="0"/>
              <w:numId w:val="33"/>
            </w:numPr>
            <w:spacing w:before="120" w:line="276" w:lineRule="auto"/>
            <w:jc w:val="both"/>
            <w:rPr>
              <w:b/>
            </w:rPr>
          </w:pPr>
          <w:r w:rsidRPr="0014354B">
            <w:rPr>
              <w:b/>
              <w:bCs/>
            </w:rPr>
            <w:t>Zbatimi nga autoritetet publike</w:t>
          </w:r>
        </w:p>
        <w:p w14:paraId="0397C76E" w14:textId="1DC7CE46" w:rsidR="001E730B" w:rsidRDefault="0014354B" w:rsidP="001E730B">
          <w:pPr>
            <w:spacing w:before="120" w:line="276" w:lineRule="auto"/>
            <w:ind w:left="720"/>
            <w:jc w:val="both"/>
          </w:pPr>
          <w:r w:rsidRPr="0014354B">
            <w:t>– Metoda: auditime institucionale dhe raporte tremujore zbatimi</w:t>
          </w:r>
        </w:p>
        <w:p w14:paraId="431C7681" w14:textId="7B7DA6D8" w:rsidR="001E730B" w:rsidRDefault="0014354B" w:rsidP="001E730B">
          <w:pPr>
            <w:spacing w:before="120" w:line="276" w:lineRule="auto"/>
            <w:ind w:left="720"/>
            <w:jc w:val="both"/>
          </w:pPr>
          <w:r w:rsidRPr="0014354B">
            <w:t>– Burimi: raporte nga ministritë e linjës dhe KLSH</w:t>
          </w:r>
        </w:p>
        <w:p w14:paraId="3D16635D" w14:textId="0E4729EC" w:rsidR="0014354B" w:rsidRPr="0014354B" w:rsidRDefault="0014354B" w:rsidP="001E730B">
          <w:pPr>
            <w:spacing w:before="120" w:line="276" w:lineRule="auto"/>
            <w:ind w:left="720"/>
            <w:jc w:val="both"/>
          </w:pPr>
          <w:r w:rsidRPr="0014354B">
            <w:t>– Objektivi: zbatim i të gjitha dispozitave tranzitore brenda afateve të përcaktuara</w:t>
          </w:r>
        </w:p>
        <w:p w14:paraId="5E764F96" w14:textId="4AE82D78" w:rsidR="001E730B" w:rsidRDefault="0014354B" w:rsidP="00CC709C">
          <w:pPr>
            <w:numPr>
              <w:ilvl w:val="0"/>
              <w:numId w:val="33"/>
            </w:numPr>
            <w:spacing w:before="120" w:line="276" w:lineRule="auto"/>
            <w:jc w:val="both"/>
          </w:pPr>
          <w:r w:rsidRPr="0014354B">
            <w:rPr>
              <w:b/>
              <w:bCs/>
            </w:rPr>
            <w:t>Funksionimi i sistemit IMI</w:t>
          </w:r>
          <w:r w:rsidR="001E730B">
            <w:t xml:space="preserve"> </w:t>
          </w:r>
          <w:r w:rsidRPr="0014354B">
            <w:t>– Metoda: numri i kërkesave të proceduara, koha mesatare e përgjigjes</w:t>
          </w:r>
        </w:p>
        <w:p w14:paraId="3AAA66E6" w14:textId="33616F94" w:rsidR="001E730B" w:rsidRDefault="0014354B" w:rsidP="001E730B">
          <w:pPr>
            <w:spacing w:before="120" w:line="276" w:lineRule="auto"/>
            <w:ind w:left="720"/>
            <w:jc w:val="both"/>
          </w:pPr>
          <w:r w:rsidRPr="0014354B">
            <w:t>– Burimi: raporte periodike nga AKSHI</w:t>
          </w:r>
        </w:p>
        <w:p w14:paraId="1EEEAF65" w14:textId="40A42D95" w:rsidR="0014354B" w:rsidRPr="0014354B" w:rsidRDefault="0014354B" w:rsidP="001E730B">
          <w:pPr>
            <w:spacing w:before="120" w:line="276" w:lineRule="auto"/>
            <w:ind w:left="720"/>
            <w:jc w:val="both"/>
          </w:pPr>
          <w:r w:rsidRPr="0014354B">
            <w:t>– Objektivi: 90% e kërkesave përpunohen brenda afateve standarde të BE-së</w:t>
          </w:r>
        </w:p>
        <w:p w14:paraId="09F48609" w14:textId="3088F69E" w:rsidR="00E32FDD" w:rsidRDefault="0014354B" w:rsidP="00CC709C">
          <w:pPr>
            <w:numPr>
              <w:ilvl w:val="0"/>
              <w:numId w:val="33"/>
            </w:numPr>
            <w:spacing w:before="120" w:line="276" w:lineRule="auto"/>
            <w:jc w:val="both"/>
            <w:rPr>
              <w:b/>
            </w:rPr>
          </w:pPr>
          <w:r w:rsidRPr="0014354B">
            <w:rPr>
              <w:b/>
              <w:bCs/>
            </w:rPr>
            <w:t>Operatorët nga BE që hyjnë në tregun shqiptar</w:t>
          </w:r>
        </w:p>
        <w:p w14:paraId="531F29FC" w14:textId="250B2E39" w:rsidR="00E32FDD" w:rsidRDefault="0014354B" w:rsidP="00E32FDD">
          <w:pPr>
            <w:spacing w:before="120" w:line="276" w:lineRule="auto"/>
            <w:ind w:left="720"/>
            <w:jc w:val="both"/>
          </w:pPr>
          <w:r w:rsidRPr="0014354B">
            <w:t>– Metoda: analiza vjetore e regjistrimeve në QKB dhe licencimeve sektoriale</w:t>
          </w:r>
        </w:p>
        <w:p w14:paraId="29390144" w14:textId="1EE4776D" w:rsidR="00E32FDD" w:rsidRDefault="0014354B" w:rsidP="00E32FDD">
          <w:pPr>
            <w:spacing w:before="120" w:line="276" w:lineRule="auto"/>
            <w:ind w:left="720"/>
            <w:jc w:val="both"/>
          </w:pPr>
          <w:r w:rsidRPr="0014354B">
            <w:t>– Burimi: QKB, INSTAT, administratat tatimore</w:t>
          </w:r>
        </w:p>
        <w:p w14:paraId="45CB7501" w14:textId="4AB4FA5C" w:rsidR="0014354B" w:rsidRPr="0014354B" w:rsidRDefault="0014354B" w:rsidP="00E32FDD">
          <w:pPr>
            <w:spacing w:before="120" w:line="276" w:lineRule="auto"/>
            <w:ind w:left="720"/>
            <w:jc w:val="both"/>
          </w:pPr>
          <w:r w:rsidRPr="0014354B">
            <w:t>– Objektivi: rritje me 10% brenda dy viteve nga anëtarësimi</w:t>
          </w:r>
        </w:p>
        <w:p w14:paraId="769C873A" w14:textId="2DB07422" w:rsidR="00E32FDD" w:rsidRDefault="0014354B" w:rsidP="00CC709C">
          <w:pPr>
            <w:numPr>
              <w:ilvl w:val="0"/>
              <w:numId w:val="33"/>
            </w:numPr>
            <w:spacing w:before="120" w:line="276" w:lineRule="auto"/>
            <w:jc w:val="both"/>
            <w:rPr>
              <w:b/>
            </w:rPr>
          </w:pPr>
          <w:r w:rsidRPr="0014354B">
            <w:rPr>
              <w:b/>
              <w:bCs/>
            </w:rPr>
            <w:t>Operatorët shqiptarë që operojnë në tregjet e BE-së</w:t>
          </w:r>
        </w:p>
        <w:p w14:paraId="10B43CE9" w14:textId="63DB06BC" w:rsidR="00E32FDD" w:rsidRDefault="0014354B" w:rsidP="00E32FDD">
          <w:pPr>
            <w:spacing w:before="120" w:line="276" w:lineRule="auto"/>
            <w:ind w:left="720"/>
            <w:jc w:val="both"/>
          </w:pPr>
          <w:r w:rsidRPr="0014354B">
            <w:t>– Metoda: evidencë nga regjistrimet dhe bashkëpunimi me Eurostat</w:t>
          </w:r>
        </w:p>
        <w:p w14:paraId="554CE8B5" w14:textId="3B2332FD" w:rsidR="00E32FDD" w:rsidRDefault="0014354B" w:rsidP="00E32FDD">
          <w:pPr>
            <w:spacing w:before="120" w:line="276" w:lineRule="auto"/>
            <w:ind w:left="720"/>
            <w:jc w:val="both"/>
          </w:pPr>
          <w:r w:rsidRPr="0014354B">
            <w:t>– Burimi: Ministria, AIDA, Eurostat</w:t>
          </w:r>
        </w:p>
        <w:p w14:paraId="295493DC" w14:textId="38E23DA4" w:rsidR="0014354B" w:rsidRPr="0014354B" w:rsidRDefault="0014354B" w:rsidP="00E32FDD">
          <w:pPr>
            <w:spacing w:before="120" w:line="276" w:lineRule="auto"/>
            <w:ind w:left="720"/>
            <w:jc w:val="both"/>
          </w:pPr>
          <w:r w:rsidRPr="0014354B">
            <w:t>– Objektivi: rritje me 10% deri në vitin 2030</w:t>
          </w:r>
        </w:p>
        <w:p w14:paraId="41CC9201" w14:textId="79C7F183" w:rsidR="00E32FDD" w:rsidRDefault="0014354B" w:rsidP="00CC709C">
          <w:pPr>
            <w:numPr>
              <w:ilvl w:val="0"/>
              <w:numId w:val="33"/>
            </w:numPr>
            <w:spacing w:before="120" w:line="276" w:lineRule="auto"/>
            <w:jc w:val="both"/>
            <w:rPr>
              <w:b/>
            </w:rPr>
          </w:pPr>
          <w:r w:rsidRPr="0014354B">
            <w:rPr>
              <w:b/>
              <w:bCs/>
            </w:rPr>
            <w:t>Niveli i mbrojtjes së konsumatorëve</w:t>
          </w:r>
        </w:p>
        <w:p w14:paraId="5BCA8AFB" w14:textId="0E1BE3C8" w:rsidR="00E32FDD" w:rsidRDefault="0014354B" w:rsidP="00E32FDD">
          <w:pPr>
            <w:spacing w:before="120" w:line="276" w:lineRule="auto"/>
            <w:ind w:left="720"/>
            <w:jc w:val="both"/>
          </w:pPr>
          <w:r w:rsidRPr="0014354B">
            <w:t>– Metoda: anketa dhe statistika mbi ankesat e konsumatorëve</w:t>
          </w:r>
        </w:p>
        <w:p w14:paraId="3BC829D8" w14:textId="5547B19F" w:rsidR="00E32FDD" w:rsidRDefault="0014354B" w:rsidP="00E32FDD">
          <w:pPr>
            <w:spacing w:before="120" w:line="276" w:lineRule="auto"/>
            <w:ind w:left="720"/>
            <w:jc w:val="both"/>
          </w:pPr>
          <w:r w:rsidRPr="0014354B">
            <w:t>– Burimi: Autoriteti për Mbrojtjen e Konsumatorit</w:t>
          </w:r>
        </w:p>
        <w:p w14:paraId="3A3A372D" w14:textId="4F7EF275" w:rsidR="00E016EA" w:rsidRPr="002A4FC6" w:rsidRDefault="0014354B" w:rsidP="002A4FC6">
          <w:pPr>
            <w:spacing w:before="120" w:line="276" w:lineRule="auto"/>
            <w:ind w:left="720"/>
            <w:jc w:val="both"/>
          </w:pPr>
          <w:r w:rsidRPr="0014354B">
            <w:t xml:space="preserve">– Objektivi: ulje me </w:t>
          </w:r>
          <w:r w:rsidR="3EE303F5" w:rsidRPr="6875B2D2">
            <w:t>1</w:t>
          </w:r>
          <w:r w:rsidRPr="6875B2D2">
            <w:t>0</w:t>
          </w:r>
          <w:r w:rsidRPr="0014354B">
            <w:t>% e ankesave të justifikuara brenda 3 viteve pas hyrjes në fuqi të ligjit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2401"/>
            <w:gridCol w:w="2178"/>
            <w:gridCol w:w="2305"/>
            <w:gridCol w:w="1328"/>
          </w:tblGrid>
          <w:tr w:rsidR="00AB533F" w:rsidRPr="002A4FC6" w14:paraId="7E420DD4" w14:textId="77777777" w:rsidTr="00D004C1">
            <w:trPr>
              <w:tblHeader/>
            </w:trPr>
            <w:tc>
              <w:tcPr>
                <w:tcW w:w="0" w:type="auto"/>
                <w:hideMark/>
              </w:tcPr>
              <w:p w14:paraId="2667EF68" w14:textId="77777777" w:rsidR="00AB533F" w:rsidRPr="002A4FC6" w:rsidRDefault="00AB533F" w:rsidP="00D004C1">
                <w:pPr>
                  <w:tabs>
                    <w:tab w:val="left" w:pos="2880"/>
                  </w:tabs>
                  <w:spacing w:before="240" w:line="276" w:lineRule="auto"/>
                  <w:jc w:val="both"/>
                  <w:rPr>
                    <w:rFonts w:eastAsiaTheme="majorEastAsia"/>
                    <w:b/>
                    <w:bCs/>
                    <w:sz w:val="20"/>
                  </w:rPr>
                </w:pPr>
                <w:r w:rsidRPr="002A4FC6">
                  <w:rPr>
                    <w:rFonts w:eastAsiaTheme="majorEastAsia"/>
                    <w:b/>
                    <w:bCs/>
                    <w:sz w:val="20"/>
                  </w:rPr>
                  <w:t>Treguesi</w:t>
                </w:r>
              </w:p>
            </w:tc>
            <w:tc>
              <w:tcPr>
                <w:tcW w:w="0" w:type="auto"/>
                <w:hideMark/>
              </w:tcPr>
              <w:p w14:paraId="7C5828CE" w14:textId="77777777" w:rsidR="00AB533F" w:rsidRPr="002A4FC6" w:rsidRDefault="00AB533F" w:rsidP="00D004C1">
                <w:pPr>
                  <w:tabs>
                    <w:tab w:val="left" w:pos="2880"/>
                  </w:tabs>
                  <w:spacing w:before="240" w:line="276" w:lineRule="auto"/>
                  <w:jc w:val="both"/>
                  <w:rPr>
                    <w:rFonts w:eastAsiaTheme="majorEastAsia"/>
                    <w:b/>
                    <w:bCs/>
                    <w:sz w:val="20"/>
                  </w:rPr>
                </w:pPr>
                <w:r w:rsidRPr="002A4FC6">
                  <w:rPr>
                    <w:rFonts w:eastAsiaTheme="majorEastAsia"/>
                    <w:b/>
                    <w:bCs/>
                    <w:sz w:val="20"/>
                  </w:rPr>
                  <w:t>Gjendja Fillestare (Statusi Aktual)</w:t>
                </w:r>
              </w:p>
            </w:tc>
            <w:tc>
              <w:tcPr>
                <w:tcW w:w="0" w:type="auto"/>
                <w:hideMark/>
              </w:tcPr>
              <w:p w14:paraId="5D225BFC" w14:textId="77777777" w:rsidR="00AB533F" w:rsidRPr="002A4FC6" w:rsidRDefault="00AB533F" w:rsidP="00D004C1">
                <w:pPr>
                  <w:tabs>
                    <w:tab w:val="left" w:pos="2880"/>
                  </w:tabs>
                  <w:spacing w:before="240" w:line="276" w:lineRule="auto"/>
                  <w:jc w:val="both"/>
                  <w:rPr>
                    <w:rFonts w:eastAsiaTheme="majorEastAsia"/>
                    <w:b/>
                    <w:bCs/>
                    <w:sz w:val="20"/>
                  </w:rPr>
                </w:pPr>
                <w:r w:rsidRPr="002A4FC6">
                  <w:rPr>
                    <w:rFonts w:eastAsiaTheme="majorEastAsia"/>
                    <w:b/>
                    <w:bCs/>
                    <w:sz w:val="20"/>
                  </w:rPr>
                  <w:t>Objektivi (deri në vitin 2028 / pas anëtarësimit)</w:t>
                </w:r>
              </w:p>
            </w:tc>
            <w:tc>
              <w:tcPr>
                <w:tcW w:w="0" w:type="auto"/>
                <w:hideMark/>
              </w:tcPr>
              <w:p w14:paraId="0A2FBF6C" w14:textId="77777777" w:rsidR="00AB533F" w:rsidRPr="002A4FC6" w:rsidRDefault="00AB533F" w:rsidP="00D004C1">
                <w:pPr>
                  <w:tabs>
                    <w:tab w:val="left" w:pos="2880"/>
                  </w:tabs>
                  <w:spacing w:before="240" w:line="276" w:lineRule="auto"/>
                  <w:jc w:val="both"/>
                  <w:rPr>
                    <w:rFonts w:eastAsiaTheme="majorEastAsia"/>
                    <w:b/>
                    <w:bCs/>
                    <w:sz w:val="20"/>
                  </w:rPr>
                </w:pPr>
                <w:r w:rsidRPr="002A4FC6">
                  <w:rPr>
                    <w:rFonts w:eastAsiaTheme="majorEastAsia"/>
                    <w:b/>
                    <w:bCs/>
                    <w:sz w:val="20"/>
                  </w:rPr>
                  <w:t>Burimi i të Dhënave</w:t>
                </w:r>
              </w:p>
            </w:tc>
            <w:tc>
              <w:tcPr>
                <w:tcW w:w="0" w:type="auto"/>
                <w:hideMark/>
              </w:tcPr>
              <w:p w14:paraId="64CF42C9" w14:textId="77777777" w:rsidR="00AB533F" w:rsidRPr="002A4FC6" w:rsidRDefault="00AB533F" w:rsidP="00D004C1">
                <w:pPr>
                  <w:tabs>
                    <w:tab w:val="left" w:pos="2880"/>
                  </w:tabs>
                  <w:spacing w:before="240" w:line="276" w:lineRule="auto"/>
                  <w:jc w:val="both"/>
                  <w:rPr>
                    <w:rFonts w:eastAsiaTheme="majorEastAsia"/>
                    <w:b/>
                    <w:bCs/>
                    <w:sz w:val="20"/>
                  </w:rPr>
                </w:pPr>
                <w:r w:rsidRPr="002A4FC6">
                  <w:rPr>
                    <w:rFonts w:eastAsiaTheme="majorEastAsia"/>
                    <w:b/>
                    <w:bCs/>
                    <w:sz w:val="20"/>
                  </w:rPr>
                  <w:t>Shpeshtësia e Matjes</w:t>
                </w:r>
              </w:p>
            </w:tc>
          </w:tr>
          <w:tr w:rsidR="00AB533F" w:rsidRPr="002A4FC6" w14:paraId="27139748" w14:textId="77777777" w:rsidTr="00D004C1">
            <w:tc>
              <w:tcPr>
                <w:tcW w:w="0" w:type="auto"/>
                <w:hideMark/>
              </w:tcPr>
              <w:p w14:paraId="47198509"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Shkalla e përafrimit të legjislacionit të posaçëm dhe sektorial</w:t>
                </w:r>
              </w:p>
            </w:tc>
            <w:tc>
              <w:tcPr>
                <w:tcW w:w="0" w:type="auto"/>
                <w:hideMark/>
              </w:tcPr>
              <w:p w14:paraId="3911903F"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Përafrim i pjesshëm; mungesa në shërbimet ndërkufitare, IMI, shërbimet multidisiplinore</w:t>
                </w:r>
              </w:p>
            </w:tc>
            <w:tc>
              <w:tcPr>
                <w:tcW w:w="0" w:type="auto"/>
                <w:hideMark/>
              </w:tcPr>
              <w:p w14:paraId="71D7A2E4"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Përafrim i plotë me Direktivën 2006/123/KE (screening i përfunduar deri në vitin 2028)</w:t>
                </w:r>
              </w:p>
            </w:tc>
            <w:tc>
              <w:tcPr>
                <w:tcW w:w="0" w:type="auto"/>
                <w:hideMark/>
              </w:tcPr>
              <w:p w14:paraId="7890F524"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Raportet e Ministrisë përgjegjëse për Ekonominë, ministritë sektoriale, Raportet e Progresit të KE</w:t>
                </w:r>
              </w:p>
            </w:tc>
            <w:tc>
              <w:tcPr>
                <w:tcW w:w="0" w:type="auto"/>
                <w:hideMark/>
              </w:tcPr>
              <w:p w14:paraId="6C197111"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Vjetore</w:t>
                </w:r>
              </w:p>
            </w:tc>
          </w:tr>
          <w:tr w:rsidR="00AB533F" w:rsidRPr="002A4FC6" w14:paraId="36E2114D" w14:textId="77777777" w:rsidTr="00D004C1">
            <w:tc>
              <w:tcPr>
                <w:tcW w:w="0" w:type="auto"/>
                <w:hideMark/>
              </w:tcPr>
              <w:p w14:paraId="359F739B"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Shkalla e zbatimit nga autoritetet përgjegjëse</w:t>
                </w:r>
              </w:p>
            </w:tc>
            <w:tc>
              <w:tcPr>
                <w:tcW w:w="0" w:type="auto"/>
                <w:hideMark/>
              </w:tcPr>
              <w:p w14:paraId="4122E1F7"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Zbatim i pabarabartë në sektorë të ndryshëm</w:t>
                </w:r>
              </w:p>
            </w:tc>
            <w:tc>
              <w:tcPr>
                <w:tcW w:w="0" w:type="auto"/>
                <w:hideMark/>
              </w:tcPr>
              <w:p w14:paraId="7243A6B5"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Zbatim i njëtrajtshëm i Ligjit për Shërbimet dhe legjislacionit sektorial</w:t>
                </w:r>
              </w:p>
            </w:tc>
            <w:tc>
              <w:tcPr>
                <w:tcW w:w="0" w:type="auto"/>
                <w:hideMark/>
              </w:tcPr>
              <w:p w14:paraId="285F4FC3"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Raportet e monitorimit të Ministrisë përgjegjëse për Ekonominë, auditimet e zbatimit</w:t>
                </w:r>
              </w:p>
            </w:tc>
            <w:tc>
              <w:tcPr>
                <w:tcW w:w="0" w:type="auto"/>
                <w:hideMark/>
              </w:tcPr>
              <w:p w14:paraId="6B83B5CB"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Vjetore / gjashtëmujore</w:t>
                </w:r>
              </w:p>
            </w:tc>
          </w:tr>
          <w:tr w:rsidR="00AB533F" w:rsidRPr="002A4FC6" w14:paraId="61C4E2FB" w14:textId="77777777" w:rsidTr="00D004C1">
            <w:tc>
              <w:tcPr>
                <w:tcW w:w="0" w:type="auto"/>
                <w:hideMark/>
              </w:tcPr>
              <w:p w14:paraId="19BE87AC"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Funksionimi i IMI në Shqipëri</w:t>
                </w:r>
              </w:p>
            </w:tc>
            <w:tc>
              <w:tcPr>
                <w:tcW w:w="0" w:type="auto"/>
                <w:hideMark/>
              </w:tcPr>
              <w:p w14:paraId="3D679D03"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IMI ende jo funksional</w:t>
                </w:r>
              </w:p>
            </w:tc>
            <w:tc>
              <w:tcPr>
                <w:tcW w:w="0" w:type="auto"/>
                <w:hideMark/>
              </w:tcPr>
              <w:p w14:paraId="4AFF5986"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Funksionalizim i plotë i IMI, operues në të gjithë sektorët përkatës</w:t>
                </w:r>
              </w:p>
            </w:tc>
            <w:tc>
              <w:tcPr>
                <w:tcW w:w="0" w:type="auto"/>
                <w:hideMark/>
              </w:tcPr>
              <w:p w14:paraId="411A56ED"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AKSHI, Ministria përgjegjëse për Ekonominë, raportet e KE</w:t>
                </w:r>
              </w:p>
            </w:tc>
            <w:tc>
              <w:tcPr>
                <w:tcW w:w="0" w:type="auto"/>
                <w:hideMark/>
              </w:tcPr>
              <w:p w14:paraId="2A85957F"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Pas anëtarësimit, tremujore</w:t>
                </w:r>
              </w:p>
            </w:tc>
          </w:tr>
          <w:tr w:rsidR="00AB533F" w:rsidRPr="002A4FC6" w14:paraId="42C0F0C8" w14:textId="77777777" w:rsidTr="00D004C1">
            <w:tc>
              <w:tcPr>
                <w:tcW w:w="0" w:type="auto"/>
                <w:hideMark/>
              </w:tcPr>
              <w:p w14:paraId="594499B7"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Numri i operatorëve të BE që ushtrojnë aktivitet në tregun shqiptar</w:t>
                </w:r>
              </w:p>
            </w:tc>
            <w:tc>
              <w:tcPr>
                <w:tcW w:w="0" w:type="auto"/>
                <w:hideMark/>
              </w:tcPr>
              <w:p w14:paraId="37C9D5DA"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Pjesëmarrje e kufizuar (për shkak të barrierave dhe mungesës së dispozitave për shërbime ndërkufitare)</w:t>
                </w:r>
              </w:p>
            </w:tc>
            <w:tc>
              <w:tcPr>
                <w:tcW w:w="0" w:type="auto"/>
                <w:hideMark/>
              </w:tcPr>
              <w:p w14:paraId="551DD3E7"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Rritje e ndjeshme e ofruesve të shërbimeve nga BE që operojnë në Shqipëri</w:t>
                </w:r>
              </w:p>
            </w:tc>
            <w:tc>
              <w:tcPr>
                <w:tcW w:w="0" w:type="auto"/>
                <w:hideMark/>
              </w:tcPr>
              <w:p w14:paraId="7457183C"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QKB, INSTAT, AIDA</w:t>
                </w:r>
              </w:p>
            </w:tc>
            <w:tc>
              <w:tcPr>
                <w:tcW w:w="0" w:type="auto"/>
                <w:hideMark/>
              </w:tcPr>
              <w:p w14:paraId="4C49B566"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Vjetore</w:t>
                </w:r>
              </w:p>
            </w:tc>
          </w:tr>
          <w:tr w:rsidR="00AB533F" w:rsidRPr="002A4FC6" w14:paraId="0109C462" w14:textId="77777777" w:rsidTr="00D004C1">
            <w:tc>
              <w:tcPr>
                <w:tcW w:w="0" w:type="auto"/>
                <w:hideMark/>
              </w:tcPr>
              <w:p w14:paraId="7EE2039E"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Numri i operatorëve shqiptarë që kanë zgjeruar aktivitetin në vendet e BE</w:t>
                </w:r>
              </w:p>
            </w:tc>
            <w:tc>
              <w:tcPr>
                <w:tcW w:w="0" w:type="auto"/>
                <w:hideMark/>
              </w:tcPr>
              <w:p w14:paraId="3FB1B1DE"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I kufizuar për shkak të barrierave të njohjes</w:t>
                </w:r>
              </w:p>
            </w:tc>
            <w:tc>
              <w:tcPr>
                <w:tcW w:w="0" w:type="auto"/>
                <w:hideMark/>
              </w:tcPr>
              <w:p w14:paraId="1F017A07"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Rritje e pranisë së ofruesve shqiptarë të shërbimeve në tregjet e BE</w:t>
                </w:r>
              </w:p>
            </w:tc>
            <w:tc>
              <w:tcPr>
                <w:tcW w:w="0" w:type="auto"/>
                <w:hideMark/>
              </w:tcPr>
              <w:p w14:paraId="16B312FF"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Ministria përgjegjëse për Ekonominë, Eurostat, INSTAT</w:t>
                </w:r>
              </w:p>
            </w:tc>
            <w:tc>
              <w:tcPr>
                <w:tcW w:w="0" w:type="auto"/>
                <w:hideMark/>
              </w:tcPr>
              <w:p w14:paraId="6EEC79CE"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Vjetore</w:t>
                </w:r>
              </w:p>
            </w:tc>
          </w:tr>
          <w:tr w:rsidR="00AB533F" w:rsidRPr="002A4FC6" w14:paraId="633A3C3D" w14:textId="77777777" w:rsidTr="00D004C1">
            <w:tc>
              <w:tcPr>
                <w:tcW w:w="0" w:type="auto"/>
                <w:hideMark/>
              </w:tcPr>
              <w:p w14:paraId="6EBF9055"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Niveli i mbrojtjes së konsumatorëve</w:t>
                </w:r>
              </w:p>
            </w:tc>
            <w:tc>
              <w:tcPr>
                <w:tcW w:w="0" w:type="auto"/>
                <w:hideMark/>
              </w:tcPr>
              <w:p w14:paraId="4610F794"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I fragmentuar, i mbuluar sektorialisht</w:t>
                </w:r>
              </w:p>
            </w:tc>
            <w:tc>
              <w:tcPr>
                <w:tcW w:w="0" w:type="auto"/>
                <w:hideMark/>
              </w:tcPr>
              <w:p w14:paraId="13F6C0F6"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Forcim i të drejtave të konsumatorit, akses i barabartë në shërbime, zbatim më i fortë</w:t>
                </w:r>
              </w:p>
            </w:tc>
            <w:tc>
              <w:tcPr>
                <w:tcW w:w="0" w:type="auto"/>
                <w:hideMark/>
              </w:tcPr>
              <w:p w14:paraId="7C5548D2"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Autoriteti i Mbrojtjes së Konsumatorit, Ministria përgjegjëse për Ekonominë, Raportet e Progresit të KE</w:t>
                </w:r>
              </w:p>
            </w:tc>
            <w:tc>
              <w:tcPr>
                <w:tcW w:w="0" w:type="auto"/>
                <w:hideMark/>
              </w:tcPr>
              <w:p w14:paraId="6ED7ADFA" w14:textId="77777777" w:rsidR="00AB533F" w:rsidRPr="002A4FC6" w:rsidRDefault="00AB533F" w:rsidP="002A4FC6">
                <w:pPr>
                  <w:tabs>
                    <w:tab w:val="left" w:pos="2880"/>
                  </w:tabs>
                  <w:spacing w:before="240" w:line="276" w:lineRule="auto"/>
                  <w:rPr>
                    <w:rFonts w:eastAsiaTheme="majorEastAsia"/>
                    <w:sz w:val="20"/>
                  </w:rPr>
                </w:pPr>
                <w:r w:rsidRPr="002A4FC6">
                  <w:rPr>
                    <w:rFonts w:eastAsiaTheme="majorEastAsia"/>
                    <w:sz w:val="20"/>
                  </w:rPr>
                  <w:t>Vjetore / gjashtëmujore</w:t>
                </w:r>
              </w:p>
            </w:tc>
          </w:tr>
        </w:tbl>
        <w:p w14:paraId="00389E09" w14:textId="77777777" w:rsidR="003C146C" w:rsidRDefault="003C146C" w:rsidP="00CF2ADA">
          <w:pPr>
            <w:spacing w:before="240" w:line="276" w:lineRule="auto"/>
            <w:jc w:val="both"/>
            <w:rPr>
              <w:rFonts w:eastAsiaTheme="majorEastAsia"/>
              <w:color w:val="808080" w:themeColor="background1" w:themeShade="80"/>
            </w:rPr>
          </w:pPr>
        </w:p>
        <w:p w14:paraId="26A79D81" w14:textId="1713810F" w:rsidR="002125B7" w:rsidRDefault="002125B7" w:rsidP="00CF2ADA">
          <w:pPr>
            <w:spacing w:before="240" w:line="276" w:lineRule="auto"/>
            <w:jc w:val="both"/>
            <w:rPr>
              <w:rFonts w:eastAsiaTheme="majorEastAsia"/>
              <w:color w:val="808080" w:themeColor="background1" w:themeShade="80"/>
            </w:rPr>
          </w:pPr>
        </w:p>
        <w:p w14:paraId="009A219A" w14:textId="5428613F" w:rsidR="00225F7F" w:rsidRDefault="00204683" w:rsidP="002A4FC6">
          <w:pPr>
            <w:spacing w:before="240" w:line="276" w:lineRule="auto"/>
            <w:jc w:val="both"/>
            <w:rPr>
              <w:b/>
            </w:rPr>
            <w:sectPr w:rsidR="00225F7F" w:rsidSect="00F219AD">
              <w:headerReference w:type="even" r:id="rId13"/>
              <w:footerReference w:type="default" r:id="rId14"/>
              <w:footnotePr>
                <w:numRestart w:val="eachSect"/>
              </w:footnotePr>
              <w:type w:val="continuous"/>
              <w:pgSz w:w="11907" w:h="16840" w:code="9"/>
              <w:pgMar w:top="680" w:right="851" w:bottom="680" w:left="851" w:header="284" w:footer="284" w:gutter="0"/>
              <w:cols w:space="708"/>
              <w:docGrid w:linePitch="360"/>
            </w:sectPr>
          </w:pPr>
        </w:p>
      </w:sdtContent>
    </w:sdt>
    <w:p w14:paraId="075225E0" w14:textId="77777777" w:rsidR="002125B7" w:rsidRPr="00325A1F" w:rsidRDefault="002125B7" w:rsidP="009D13F4">
      <w:pPr>
        <w:spacing w:line="276" w:lineRule="auto"/>
        <w:jc w:val="both"/>
      </w:pPr>
      <w:r w:rsidRPr="1A98504A">
        <w:rPr>
          <w:b/>
        </w:rPr>
        <w:t>Raporti i vlerësimit të ndikimit - Shtojca 2/a</w:t>
      </w:r>
    </w:p>
    <w:p w14:paraId="7583A4D7" w14:textId="77777777" w:rsidR="002125B7" w:rsidRPr="00325A1F" w:rsidRDefault="002125B7" w:rsidP="009D13F4">
      <w:pPr>
        <w:spacing w:line="276" w:lineRule="auto"/>
        <w:rPr>
          <w:rStyle w:val="Strong"/>
          <w:b w:val="0"/>
        </w:rPr>
      </w:pPr>
    </w:p>
    <w:p w14:paraId="2B547A66" w14:textId="7627162A" w:rsidR="00225F7F" w:rsidRPr="001155AF" w:rsidRDefault="002125B7" w:rsidP="009F625C">
      <w:pPr>
        <w:spacing w:line="276" w:lineRule="auto"/>
        <w:rPr>
          <w:rStyle w:val="Strong"/>
        </w:rPr>
      </w:pPr>
      <w:r w:rsidRPr="1A98504A">
        <w:rPr>
          <w:rStyle w:val="Strong"/>
          <w:i/>
        </w:rPr>
        <w:t>Tabela: Vlera aktuale neto në total (VAN) - kostot dhe përfitimet me vlerë monetare të përcaktuar në milionë lekë e zbritur për 10 vjet (Vlera aktuale e kostos dhe vlera aktuale e përfitimit); krahasuar me status quo-në</w:t>
      </w:r>
      <w:r w:rsidRPr="1A98504A">
        <w:rPr>
          <w:rStyle w:val="Strong"/>
        </w:rPr>
        <w:t xml:space="preserve">.    </w:t>
      </w:r>
      <w:r w:rsidR="00225F7F" w:rsidRPr="1A98504A">
        <w:rPr>
          <w:rStyle w:val="Strong"/>
        </w:rPr>
        <w:fldChar w:fldCharType="begin"/>
      </w:r>
      <w:r w:rsidR="00225F7F" w:rsidRPr="1A98504A">
        <w:rPr>
          <w:rStyle w:val="Strong"/>
        </w:rPr>
        <w:instrText xml:space="preserve"> LINK Excel.SheetBinaryMacroEnabled.12 "C:\\Users\\nako\\Downloads\\Shembull i llogaritjes se Costo  perfitimeve  te RIAs - CBA calculation alb.xlsb" "Tabela Perfundimtare !R2C1:R21C11" \a \f 5 \h  \* MERGEFORMAT </w:instrText>
      </w:r>
      <w:r w:rsidR="00225F7F" w:rsidRPr="1A98504A">
        <w:rPr>
          <w:rStyle w:val="Strong"/>
        </w:rPr>
        <w:fldChar w:fldCharType="end"/>
      </w:r>
    </w:p>
    <w:p w14:paraId="0AAA9D52" w14:textId="77777777" w:rsidR="00E139C5" w:rsidRPr="001155AF" w:rsidRDefault="009F625C" w:rsidP="009D13F4">
      <w:pPr>
        <w:spacing w:line="276" w:lineRule="auto"/>
      </w:pPr>
      <w:r w:rsidRPr="1A98504A">
        <w:rPr>
          <w:b/>
        </w:rPr>
        <w:fldChar w:fldCharType="begin"/>
      </w:r>
      <w:r w:rsidRPr="1A98504A">
        <w:rPr>
          <w:b/>
        </w:rPr>
        <w:instrText xml:space="preserve"> LINK Excel.SheetBinaryMacroEnabled.12 "C:\\Users\\nako\\Downloads\\Shembull i llogaritjes se Costo  perfitimeve  te RIAs - CBA calculation alb.xlsb" "Tabela Perfundimtare !R2C1:R22C11" \a \f 5 \h  \* MERGEFORMAT </w:instrText>
      </w:r>
      <w:r w:rsidRPr="1A98504A">
        <w:rPr>
          <w:b/>
        </w:rPr>
        <w:fldChar w:fldCharType="separate"/>
      </w:r>
    </w:p>
    <w:tbl>
      <w:tblPr>
        <w:tblStyle w:val="TableGrid"/>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139C5" w:rsidRPr="00E139C5" w14:paraId="4DE84FC9" w14:textId="77777777" w:rsidTr="0044321C">
        <w:trPr>
          <w:divId w:val="1261141582"/>
          <w:trHeight w:val="255"/>
        </w:trPr>
        <w:tc>
          <w:tcPr>
            <w:tcW w:w="3145" w:type="dxa"/>
            <w:shd w:val="clear" w:color="auto" w:fill="F2F2F2" w:themeFill="background1" w:themeFillShade="F2"/>
            <w:hideMark/>
          </w:tcPr>
          <w:p w14:paraId="2D91DE60" w14:textId="77777777" w:rsidR="00E139C5" w:rsidRPr="001155AF" w:rsidRDefault="00E139C5" w:rsidP="00E139C5">
            <w:pPr>
              <w:spacing w:line="276" w:lineRule="auto"/>
            </w:pPr>
            <w:r>
              <w:t> </w:t>
            </w:r>
          </w:p>
        </w:tc>
        <w:tc>
          <w:tcPr>
            <w:tcW w:w="1350" w:type="dxa"/>
            <w:shd w:val="clear" w:color="auto" w:fill="F2F2F2" w:themeFill="background1" w:themeFillShade="F2"/>
            <w:hideMark/>
          </w:tcPr>
          <w:p w14:paraId="500CC8A3" w14:textId="77777777" w:rsidR="00E139C5" w:rsidRPr="00E139C5" w:rsidRDefault="00E139C5" w:rsidP="00E139C5">
            <w:pPr>
              <w:spacing w:line="276" w:lineRule="auto"/>
              <w:ind w:left="-108" w:firstLine="108"/>
              <w:rPr>
                <w:b/>
              </w:rPr>
            </w:pPr>
            <w:r w:rsidRPr="1A98504A">
              <w:rPr>
                <w:b/>
              </w:rPr>
              <w:t xml:space="preserve"> Viti  1 </w:t>
            </w:r>
          </w:p>
        </w:tc>
        <w:tc>
          <w:tcPr>
            <w:tcW w:w="1170" w:type="dxa"/>
            <w:shd w:val="clear" w:color="auto" w:fill="F2F2F2" w:themeFill="background1" w:themeFillShade="F2"/>
            <w:hideMark/>
          </w:tcPr>
          <w:p w14:paraId="157A0529" w14:textId="77777777" w:rsidR="00E139C5" w:rsidRPr="00E139C5" w:rsidRDefault="00E139C5" w:rsidP="00E139C5">
            <w:pPr>
              <w:spacing w:line="276" w:lineRule="auto"/>
              <w:ind w:left="-108" w:firstLine="108"/>
              <w:rPr>
                <w:b/>
              </w:rPr>
            </w:pPr>
            <w:r w:rsidRPr="1A98504A">
              <w:rPr>
                <w:b/>
              </w:rPr>
              <w:t xml:space="preserve"> Viti 2 </w:t>
            </w:r>
          </w:p>
        </w:tc>
        <w:tc>
          <w:tcPr>
            <w:tcW w:w="1080" w:type="dxa"/>
            <w:shd w:val="clear" w:color="auto" w:fill="F2F2F2" w:themeFill="background1" w:themeFillShade="F2"/>
            <w:hideMark/>
          </w:tcPr>
          <w:p w14:paraId="0524B79C" w14:textId="77777777" w:rsidR="00E139C5" w:rsidRPr="00E139C5" w:rsidRDefault="00E139C5" w:rsidP="00E139C5">
            <w:pPr>
              <w:spacing w:line="276" w:lineRule="auto"/>
              <w:rPr>
                <w:b/>
              </w:rPr>
            </w:pPr>
            <w:r w:rsidRPr="1A98504A">
              <w:rPr>
                <w:b/>
              </w:rPr>
              <w:t xml:space="preserve"> Viti 3 </w:t>
            </w:r>
          </w:p>
        </w:tc>
        <w:tc>
          <w:tcPr>
            <w:tcW w:w="1170" w:type="dxa"/>
            <w:shd w:val="clear" w:color="auto" w:fill="F2F2F2" w:themeFill="background1" w:themeFillShade="F2"/>
            <w:hideMark/>
          </w:tcPr>
          <w:p w14:paraId="6CA49A9C" w14:textId="77777777" w:rsidR="00E139C5" w:rsidRPr="00E139C5" w:rsidRDefault="00E139C5" w:rsidP="00E139C5">
            <w:pPr>
              <w:spacing w:line="276" w:lineRule="auto"/>
              <w:rPr>
                <w:b/>
              </w:rPr>
            </w:pPr>
            <w:r w:rsidRPr="1A98504A">
              <w:rPr>
                <w:b/>
              </w:rPr>
              <w:t xml:space="preserve"> Viti 4 </w:t>
            </w:r>
          </w:p>
        </w:tc>
        <w:tc>
          <w:tcPr>
            <w:tcW w:w="1080" w:type="dxa"/>
            <w:shd w:val="clear" w:color="auto" w:fill="F2F2F2" w:themeFill="background1" w:themeFillShade="F2"/>
            <w:hideMark/>
          </w:tcPr>
          <w:p w14:paraId="01CC42B2" w14:textId="77777777" w:rsidR="00E139C5" w:rsidRPr="00E139C5" w:rsidRDefault="00E139C5" w:rsidP="00E139C5">
            <w:pPr>
              <w:spacing w:line="276" w:lineRule="auto"/>
              <w:rPr>
                <w:b/>
              </w:rPr>
            </w:pPr>
            <w:r w:rsidRPr="1A98504A">
              <w:rPr>
                <w:b/>
              </w:rPr>
              <w:t xml:space="preserve"> Viti 5 </w:t>
            </w:r>
          </w:p>
        </w:tc>
        <w:tc>
          <w:tcPr>
            <w:tcW w:w="1260" w:type="dxa"/>
            <w:shd w:val="clear" w:color="auto" w:fill="F2F2F2" w:themeFill="background1" w:themeFillShade="F2"/>
            <w:hideMark/>
          </w:tcPr>
          <w:p w14:paraId="1427490F" w14:textId="77777777" w:rsidR="00E139C5" w:rsidRPr="00E139C5" w:rsidRDefault="00E139C5" w:rsidP="00E139C5">
            <w:pPr>
              <w:spacing w:line="276" w:lineRule="auto"/>
              <w:rPr>
                <w:b/>
              </w:rPr>
            </w:pPr>
            <w:r w:rsidRPr="1A98504A">
              <w:rPr>
                <w:b/>
              </w:rPr>
              <w:t xml:space="preserve"> Viti 6 </w:t>
            </w:r>
          </w:p>
        </w:tc>
        <w:tc>
          <w:tcPr>
            <w:tcW w:w="1080" w:type="dxa"/>
            <w:shd w:val="clear" w:color="auto" w:fill="F2F2F2" w:themeFill="background1" w:themeFillShade="F2"/>
            <w:hideMark/>
          </w:tcPr>
          <w:p w14:paraId="422A863D" w14:textId="77777777" w:rsidR="00E139C5" w:rsidRPr="00E139C5" w:rsidRDefault="00E139C5" w:rsidP="00E139C5">
            <w:pPr>
              <w:spacing w:line="276" w:lineRule="auto"/>
              <w:rPr>
                <w:b/>
              </w:rPr>
            </w:pPr>
            <w:r w:rsidRPr="1A98504A">
              <w:rPr>
                <w:b/>
              </w:rPr>
              <w:t xml:space="preserve"> Viti 7 </w:t>
            </w:r>
          </w:p>
        </w:tc>
        <w:tc>
          <w:tcPr>
            <w:tcW w:w="1260" w:type="dxa"/>
            <w:shd w:val="clear" w:color="auto" w:fill="F2F2F2" w:themeFill="background1" w:themeFillShade="F2"/>
            <w:hideMark/>
          </w:tcPr>
          <w:p w14:paraId="746CAF12" w14:textId="77777777" w:rsidR="00E139C5" w:rsidRPr="00E139C5" w:rsidRDefault="00E139C5" w:rsidP="00E139C5">
            <w:pPr>
              <w:spacing w:line="276" w:lineRule="auto"/>
              <w:rPr>
                <w:b/>
              </w:rPr>
            </w:pPr>
            <w:r w:rsidRPr="1A98504A">
              <w:rPr>
                <w:b/>
              </w:rPr>
              <w:t xml:space="preserve"> Viti 8 </w:t>
            </w:r>
          </w:p>
        </w:tc>
        <w:tc>
          <w:tcPr>
            <w:tcW w:w="1260" w:type="dxa"/>
            <w:shd w:val="clear" w:color="auto" w:fill="F2F2F2" w:themeFill="background1" w:themeFillShade="F2"/>
            <w:hideMark/>
          </w:tcPr>
          <w:p w14:paraId="08852860" w14:textId="77777777" w:rsidR="00E139C5" w:rsidRPr="00E139C5" w:rsidRDefault="00E139C5" w:rsidP="00E139C5">
            <w:pPr>
              <w:spacing w:line="276" w:lineRule="auto"/>
              <w:rPr>
                <w:b/>
              </w:rPr>
            </w:pPr>
            <w:r w:rsidRPr="1A98504A">
              <w:rPr>
                <w:b/>
              </w:rPr>
              <w:t xml:space="preserve"> Viti 9 </w:t>
            </w:r>
          </w:p>
        </w:tc>
        <w:tc>
          <w:tcPr>
            <w:tcW w:w="1260" w:type="dxa"/>
            <w:shd w:val="clear" w:color="auto" w:fill="F2F2F2" w:themeFill="background1" w:themeFillShade="F2"/>
            <w:hideMark/>
          </w:tcPr>
          <w:p w14:paraId="776A8E76" w14:textId="77777777" w:rsidR="00E139C5" w:rsidRPr="00E139C5" w:rsidRDefault="00E139C5" w:rsidP="00E139C5">
            <w:pPr>
              <w:spacing w:line="276" w:lineRule="auto"/>
              <w:rPr>
                <w:b/>
              </w:rPr>
            </w:pPr>
            <w:r w:rsidRPr="1A98504A">
              <w:rPr>
                <w:b/>
              </w:rPr>
              <w:t xml:space="preserve"> Viti 10 </w:t>
            </w:r>
          </w:p>
        </w:tc>
      </w:tr>
      <w:tr w:rsidR="00E139C5" w:rsidRPr="00E139C5" w14:paraId="1FDEB49D" w14:textId="77777777" w:rsidTr="0044321C">
        <w:trPr>
          <w:divId w:val="1261141582"/>
          <w:trHeight w:val="255"/>
        </w:trPr>
        <w:tc>
          <w:tcPr>
            <w:tcW w:w="3145" w:type="dxa"/>
            <w:shd w:val="clear" w:color="auto" w:fill="F2F2F2" w:themeFill="background1" w:themeFillShade="F2"/>
            <w:hideMark/>
          </w:tcPr>
          <w:p w14:paraId="6449A2DE" w14:textId="77777777" w:rsidR="00E139C5" w:rsidRPr="00E139C5" w:rsidRDefault="00E139C5" w:rsidP="00E139C5">
            <w:pPr>
              <w:spacing w:line="276" w:lineRule="auto"/>
              <w:rPr>
                <w:b/>
              </w:rPr>
            </w:pPr>
            <w:r w:rsidRPr="1A98504A">
              <w:rPr>
                <w:b/>
              </w:rPr>
              <w:t xml:space="preserve">Faktori zbritës </w:t>
            </w:r>
          </w:p>
        </w:tc>
        <w:tc>
          <w:tcPr>
            <w:tcW w:w="1350" w:type="dxa"/>
            <w:shd w:val="clear" w:color="auto" w:fill="F2F2F2" w:themeFill="background1" w:themeFillShade="F2"/>
            <w:hideMark/>
          </w:tcPr>
          <w:p w14:paraId="77F9F81C" w14:textId="77777777" w:rsidR="00E139C5" w:rsidRPr="00E139C5" w:rsidRDefault="00E139C5" w:rsidP="00E139C5">
            <w:pPr>
              <w:spacing w:line="276" w:lineRule="auto"/>
              <w:ind w:left="-108" w:firstLine="108"/>
              <w:jc w:val="right"/>
            </w:pPr>
            <w:r>
              <w:t xml:space="preserve">                    1.00 </w:t>
            </w:r>
          </w:p>
        </w:tc>
        <w:tc>
          <w:tcPr>
            <w:tcW w:w="1170" w:type="dxa"/>
            <w:shd w:val="clear" w:color="auto" w:fill="F2F2F2" w:themeFill="background1" w:themeFillShade="F2"/>
            <w:hideMark/>
          </w:tcPr>
          <w:p w14:paraId="4BB045BA" w14:textId="77777777" w:rsidR="00E139C5" w:rsidRPr="00E139C5" w:rsidRDefault="00E139C5" w:rsidP="00E139C5">
            <w:pPr>
              <w:spacing w:line="276" w:lineRule="auto"/>
              <w:ind w:left="-108" w:firstLine="108"/>
              <w:jc w:val="right"/>
            </w:pPr>
            <w:r>
              <w:t xml:space="preserve">                 0.95 </w:t>
            </w:r>
          </w:p>
        </w:tc>
        <w:tc>
          <w:tcPr>
            <w:tcW w:w="1080" w:type="dxa"/>
            <w:shd w:val="clear" w:color="auto" w:fill="F2F2F2" w:themeFill="background1" w:themeFillShade="F2"/>
            <w:hideMark/>
          </w:tcPr>
          <w:p w14:paraId="446FDEA4" w14:textId="77777777" w:rsidR="00E139C5" w:rsidRPr="00E139C5" w:rsidRDefault="00E139C5" w:rsidP="00E139C5">
            <w:pPr>
              <w:spacing w:line="276" w:lineRule="auto"/>
              <w:jc w:val="right"/>
            </w:pPr>
            <w:r>
              <w:t xml:space="preserve">                  0.91 </w:t>
            </w:r>
          </w:p>
        </w:tc>
        <w:tc>
          <w:tcPr>
            <w:tcW w:w="1170" w:type="dxa"/>
            <w:shd w:val="clear" w:color="auto" w:fill="F2F2F2" w:themeFill="background1" w:themeFillShade="F2"/>
            <w:hideMark/>
          </w:tcPr>
          <w:p w14:paraId="12BD0CE7" w14:textId="77777777" w:rsidR="00E139C5" w:rsidRPr="00E139C5" w:rsidRDefault="00E139C5" w:rsidP="00E139C5">
            <w:pPr>
              <w:spacing w:line="276" w:lineRule="auto"/>
              <w:jc w:val="right"/>
            </w:pPr>
            <w:r>
              <w:t xml:space="preserve">                 0.87 </w:t>
            </w:r>
          </w:p>
        </w:tc>
        <w:tc>
          <w:tcPr>
            <w:tcW w:w="1080" w:type="dxa"/>
            <w:shd w:val="clear" w:color="auto" w:fill="F2F2F2" w:themeFill="background1" w:themeFillShade="F2"/>
            <w:hideMark/>
          </w:tcPr>
          <w:p w14:paraId="79A4ACCB" w14:textId="77777777" w:rsidR="00E139C5" w:rsidRPr="00E139C5" w:rsidRDefault="00E139C5" w:rsidP="00E139C5">
            <w:pPr>
              <w:spacing w:line="276" w:lineRule="auto"/>
              <w:jc w:val="right"/>
            </w:pPr>
            <w:r>
              <w:t xml:space="preserve">                 0.82 </w:t>
            </w:r>
          </w:p>
        </w:tc>
        <w:tc>
          <w:tcPr>
            <w:tcW w:w="1260" w:type="dxa"/>
            <w:shd w:val="clear" w:color="auto" w:fill="F2F2F2" w:themeFill="background1" w:themeFillShade="F2"/>
            <w:hideMark/>
          </w:tcPr>
          <w:p w14:paraId="3D85CE66" w14:textId="77777777" w:rsidR="00E139C5" w:rsidRPr="00E139C5" w:rsidRDefault="00E139C5" w:rsidP="00E139C5">
            <w:pPr>
              <w:spacing w:line="276" w:lineRule="auto"/>
              <w:jc w:val="right"/>
            </w:pPr>
            <w:r>
              <w:t xml:space="preserve">                 0.79 </w:t>
            </w:r>
          </w:p>
        </w:tc>
        <w:tc>
          <w:tcPr>
            <w:tcW w:w="1080" w:type="dxa"/>
            <w:shd w:val="clear" w:color="auto" w:fill="F2F2F2" w:themeFill="background1" w:themeFillShade="F2"/>
            <w:hideMark/>
          </w:tcPr>
          <w:p w14:paraId="514BF333" w14:textId="77777777" w:rsidR="00E139C5" w:rsidRPr="00E139C5" w:rsidRDefault="00E139C5" w:rsidP="00E139C5">
            <w:pPr>
              <w:spacing w:line="276" w:lineRule="auto"/>
              <w:jc w:val="right"/>
            </w:pPr>
            <w:r>
              <w:t xml:space="preserve">                 0.75 </w:t>
            </w:r>
          </w:p>
        </w:tc>
        <w:tc>
          <w:tcPr>
            <w:tcW w:w="1260" w:type="dxa"/>
            <w:shd w:val="clear" w:color="auto" w:fill="F2F2F2" w:themeFill="background1" w:themeFillShade="F2"/>
            <w:hideMark/>
          </w:tcPr>
          <w:p w14:paraId="69BDC4B1" w14:textId="77777777" w:rsidR="00E139C5" w:rsidRPr="00E139C5" w:rsidRDefault="00E139C5" w:rsidP="00E139C5">
            <w:pPr>
              <w:spacing w:line="276" w:lineRule="auto"/>
              <w:jc w:val="right"/>
            </w:pPr>
            <w:r>
              <w:t xml:space="preserve">                   0.71 </w:t>
            </w:r>
          </w:p>
        </w:tc>
        <w:tc>
          <w:tcPr>
            <w:tcW w:w="1260" w:type="dxa"/>
            <w:shd w:val="clear" w:color="auto" w:fill="F2F2F2" w:themeFill="background1" w:themeFillShade="F2"/>
            <w:hideMark/>
          </w:tcPr>
          <w:p w14:paraId="302F99FC" w14:textId="77777777" w:rsidR="00E139C5" w:rsidRPr="00E139C5" w:rsidRDefault="00E139C5" w:rsidP="00E139C5">
            <w:pPr>
              <w:spacing w:line="276" w:lineRule="auto"/>
              <w:jc w:val="right"/>
            </w:pPr>
            <w:r>
              <w:t xml:space="preserve">                  0.68 </w:t>
            </w:r>
          </w:p>
        </w:tc>
        <w:tc>
          <w:tcPr>
            <w:tcW w:w="1260" w:type="dxa"/>
            <w:shd w:val="clear" w:color="auto" w:fill="F2F2F2" w:themeFill="background1" w:themeFillShade="F2"/>
            <w:hideMark/>
          </w:tcPr>
          <w:p w14:paraId="2D3330AA" w14:textId="77777777" w:rsidR="00E139C5" w:rsidRPr="00E139C5" w:rsidRDefault="00E139C5" w:rsidP="00E139C5">
            <w:pPr>
              <w:spacing w:line="276" w:lineRule="auto"/>
              <w:jc w:val="right"/>
            </w:pPr>
            <w:r>
              <w:t xml:space="preserve">                    0.65 </w:t>
            </w:r>
          </w:p>
        </w:tc>
      </w:tr>
      <w:tr w:rsidR="00E139C5" w:rsidRPr="00E139C5" w14:paraId="3CA37EA0" w14:textId="77777777" w:rsidTr="0044321C">
        <w:trPr>
          <w:divId w:val="1261141582"/>
          <w:trHeight w:val="255"/>
        </w:trPr>
        <w:tc>
          <w:tcPr>
            <w:tcW w:w="3145" w:type="dxa"/>
            <w:hideMark/>
          </w:tcPr>
          <w:p w14:paraId="3DC3B01F" w14:textId="77777777" w:rsidR="00E139C5" w:rsidRPr="00E139C5" w:rsidRDefault="00E139C5" w:rsidP="00E139C5">
            <w:pPr>
              <w:spacing w:line="276" w:lineRule="auto"/>
            </w:pPr>
            <w:r>
              <w:t>Kosto për buxhetin - një herë</w:t>
            </w:r>
          </w:p>
        </w:tc>
        <w:tc>
          <w:tcPr>
            <w:tcW w:w="1350" w:type="dxa"/>
          </w:tcPr>
          <w:p w14:paraId="17485ADF" w14:textId="36F3D918" w:rsidR="00E139C5" w:rsidRPr="00E139C5" w:rsidRDefault="00E139C5" w:rsidP="00E139C5">
            <w:pPr>
              <w:spacing w:line="276" w:lineRule="auto"/>
              <w:ind w:left="-108" w:firstLine="108"/>
              <w:jc w:val="right"/>
            </w:pPr>
          </w:p>
        </w:tc>
        <w:tc>
          <w:tcPr>
            <w:tcW w:w="1170" w:type="dxa"/>
          </w:tcPr>
          <w:p w14:paraId="4DD2ED09" w14:textId="398ED0FA" w:rsidR="00E139C5" w:rsidRPr="00E139C5" w:rsidRDefault="00E139C5" w:rsidP="00E139C5">
            <w:pPr>
              <w:spacing w:line="276" w:lineRule="auto"/>
              <w:ind w:left="-108" w:firstLine="108"/>
              <w:jc w:val="right"/>
            </w:pPr>
          </w:p>
        </w:tc>
        <w:tc>
          <w:tcPr>
            <w:tcW w:w="1080" w:type="dxa"/>
          </w:tcPr>
          <w:p w14:paraId="2FDC4BCF" w14:textId="0CCD42F8" w:rsidR="00E139C5" w:rsidRPr="00E139C5" w:rsidRDefault="00E139C5" w:rsidP="00E139C5">
            <w:pPr>
              <w:spacing w:line="276" w:lineRule="auto"/>
              <w:jc w:val="right"/>
            </w:pPr>
          </w:p>
        </w:tc>
        <w:tc>
          <w:tcPr>
            <w:tcW w:w="1170" w:type="dxa"/>
          </w:tcPr>
          <w:p w14:paraId="3155205D" w14:textId="7C4C0E4B" w:rsidR="00E139C5" w:rsidRPr="00E139C5" w:rsidRDefault="00E139C5" w:rsidP="00E139C5">
            <w:pPr>
              <w:spacing w:line="276" w:lineRule="auto"/>
              <w:jc w:val="right"/>
            </w:pPr>
          </w:p>
        </w:tc>
        <w:tc>
          <w:tcPr>
            <w:tcW w:w="1080" w:type="dxa"/>
          </w:tcPr>
          <w:p w14:paraId="29C7534C" w14:textId="411FCEC4" w:rsidR="00E139C5" w:rsidRPr="00E139C5" w:rsidRDefault="00E139C5" w:rsidP="00E139C5">
            <w:pPr>
              <w:spacing w:line="276" w:lineRule="auto"/>
              <w:jc w:val="right"/>
            </w:pPr>
          </w:p>
        </w:tc>
        <w:tc>
          <w:tcPr>
            <w:tcW w:w="1260" w:type="dxa"/>
          </w:tcPr>
          <w:p w14:paraId="5ED35756" w14:textId="021A2C3D" w:rsidR="00E139C5" w:rsidRPr="00E139C5" w:rsidRDefault="00E139C5" w:rsidP="00E139C5">
            <w:pPr>
              <w:spacing w:line="276" w:lineRule="auto"/>
              <w:jc w:val="right"/>
            </w:pPr>
          </w:p>
        </w:tc>
        <w:tc>
          <w:tcPr>
            <w:tcW w:w="1080" w:type="dxa"/>
          </w:tcPr>
          <w:p w14:paraId="6CCA5814" w14:textId="54DB74BC" w:rsidR="00E139C5" w:rsidRPr="00E139C5" w:rsidRDefault="00E139C5" w:rsidP="00E139C5">
            <w:pPr>
              <w:spacing w:line="276" w:lineRule="auto"/>
              <w:jc w:val="right"/>
            </w:pPr>
          </w:p>
        </w:tc>
        <w:tc>
          <w:tcPr>
            <w:tcW w:w="1260" w:type="dxa"/>
          </w:tcPr>
          <w:p w14:paraId="29A1EF4D" w14:textId="6228DE0D" w:rsidR="00E139C5" w:rsidRPr="00E139C5" w:rsidRDefault="00E139C5" w:rsidP="00E139C5">
            <w:pPr>
              <w:spacing w:line="276" w:lineRule="auto"/>
              <w:jc w:val="right"/>
            </w:pPr>
          </w:p>
        </w:tc>
        <w:tc>
          <w:tcPr>
            <w:tcW w:w="1260" w:type="dxa"/>
          </w:tcPr>
          <w:p w14:paraId="44663683" w14:textId="67848681" w:rsidR="00E139C5" w:rsidRPr="00E139C5" w:rsidRDefault="00E139C5" w:rsidP="00E139C5">
            <w:pPr>
              <w:spacing w:line="276" w:lineRule="auto"/>
              <w:jc w:val="right"/>
            </w:pPr>
          </w:p>
        </w:tc>
        <w:tc>
          <w:tcPr>
            <w:tcW w:w="1260" w:type="dxa"/>
          </w:tcPr>
          <w:p w14:paraId="20461BC1" w14:textId="4FCF8740" w:rsidR="00E139C5" w:rsidRPr="00E139C5" w:rsidRDefault="00E139C5" w:rsidP="00E139C5">
            <w:pPr>
              <w:spacing w:line="276" w:lineRule="auto"/>
              <w:jc w:val="right"/>
            </w:pPr>
          </w:p>
        </w:tc>
      </w:tr>
      <w:tr w:rsidR="00E139C5" w:rsidRPr="00E139C5" w14:paraId="23C3F2BC" w14:textId="77777777" w:rsidTr="0044321C">
        <w:trPr>
          <w:divId w:val="1261141582"/>
          <w:trHeight w:val="255"/>
        </w:trPr>
        <w:tc>
          <w:tcPr>
            <w:tcW w:w="3145" w:type="dxa"/>
            <w:hideMark/>
          </w:tcPr>
          <w:p w14:paraId="673D8CD9" w14:textId="77777777" w:rsidR="00E139C5" w:rsidRPr="00E139C5" w:rsidRDefault="00E139C5" w:rsidP="00E139C5">
            <w:pPr>
              <w:spacing w:line="276" w:lineRule="auto"/>
            </w:pPr>
            <w:r>
              <w:t>Kosto për buxhetin - në vazhdimësi</w:t>
            </w:r>
          </w:p>
        </w:tc>
        <w:tc>
          <w:tcPr>
            <w:tcW w:w="1350" w:type="dxa"/>
          </w:tcPr>
          <w:p w14:paraId="3F516109" w14:textId="1C157DB1" w:rsidR="00E139C5" w:rsidRPr="00E139C5" w:rsidRDefault="00E139C5" w:rsidP="00E139C5">
            <w:pPr>
              <w:spacing w:line="276" w:lineRule="auto"/>
              <w:ind w:left="-108" w:firstLine="108"/>
              <w:jc w:val="right"/>
            </w:pPr>
          </w:p>
        </w:tc>
        <w:tc>
          <w:tcPr>
            <w:tcW w:w="1170" w:type="dxa"/>
          </w:tcPr>
          <w:p w14:paraId="300467F1" w14:textId="3A48F616" w:rsidR="00E139C5" w:rsidRPr="00E139C5" w:rsidRDefault="00E139C5" w:rsidP="00E139C5">
            <w:pPr>
              <w:spacing w:line="276" w:lineRule="auto"/>
              <w:ind w:left="-108" w:firstLine="108"/>
              <w:jc w:val="right"/>
            </w:pPr>
          </w:p>
        </w:tc>
        <w:tc>
          <w:tcPr>
            <w:tcW w:w="1080" w:type="dxa"/>
          </w:tcPr>
          <w:p w14:paraId="341461F1" w14:textId="3EB4D480" w:rsidR="00E139C5" w:rsidRPr="00E139C5" w:rsidRDefault="00E139C5" w:rsidP="00E139C5">
            <w:pPr>
              <w:spacing w:line="276" w:lineRule="auto"/>
              <w:jc w:val="right"/>
            </w:pPr>
          </w:p>
        </w:tc>
        <w:tc>
          <w:tcPr>
            <w:tcW w:w="1170" w:type="dxa"/>
          </w:tcPr>
          <w:p w14:paraId="0CFE28C8" w14:textId="69E2D93C" w:rsidR="00E139C5" w:rsidRPr="00E139C5" w:rsidRDefault="00E139C5" w:rsidP="00E139C5">
            <w:pPr>
              <w:spacing w:line="276" w:lineRule="auto"/>
              <w:jc w:val="right"/>
            </w:pPr>
          </w:p>
        </w:tc>
        <w:tc>
          <w:tcPr>
            <w:tcW w:w="1080" w:type="dxa"/>
          </w:tcPr>
          <w:p w14:paraId="0D6F260D" w14:textId="7310E30A" w:rsidR="00E139C5" w:rsidRPr="00E139C5" w:rsidRDefault="00E139C5" w:rsidP="00E139C5">
            <w:pPr>
              <w:spacing w:line="276" w:lineRule="auto"/>
              <w:jc w:val="right"/>
            </w:pPr>
          </w:p>
        </w:tc>
        <w:tc>
          <w:tcPr>
            <w:tcW w:w="1260" w:type="dxa"/>
          </w:tcPr>
          <w:p w14:paraId="7C136655" w14:textId="61A787C8" w:rsidR="00E139C5" w:rsidRPr="00E139C5" w:rsidRDefault="00E139C5" w:rsidP="00E139C5">
            <w:pPr>
              <w:spacing w:line="276" w:lineRule="auto"/>
              <w:jc w:val="right"/>
            </w:pPr>
          </w:p>
        </w:tc>
        <w:tc>
          <w:tcPr>
            <w:tcW w:w="1080" w:type="dxa"/>
          </w:tcPr>
          <w:p w14:paraId="0F49D221" w14:textId="40FDBF7A" w:rsidR="00E139C5" w:rsidRPr="00E139C5" w:rsidRDefault="00E139C5" w:rsidP="00E139C5">
            <w:pPr>
              <w:spacing w:line="276" w:lineRule="auto"/>
              <w:jc w:val="right"/>
            </w:pPr>
          </w:p>
        </w:tc>
        <w:tc>
          <w:tcPr>
            <w:tcW w:w="1260" w:type="dxa"/>
          </w:tcPr>
          <w:p w14:paraId="1E0EEA39" w14:textId="3AA4026C" w:rsidR="00E139C5" w:rsidRPr="00E139C5" w:rsidRDefault="00E139C5" w:rsidP="00E139C5">
            <w:pPr>
              <w:spacing w:line="276" w:lineRule="auto"/>
              <w:jc w:val="right"/>
            </w:pPr>
          </w:p>
        </w:tc>
        <w:tc>
          <w:tcPr>
            <w:tcW w:w="1260" w:type="dxa"/>
          </w:tcPr>
          <w:p w14:paraId="3D3C42F5" w14:textId="717BEF9B" w:rsidR="00E139C5" w:rsidRPr="00E139C5" w:rsidRDefault="00E139C5" w:rsidP="00E139C5">
            <w:pPr>
              <w:spacing w:line="276" w:lineRule="auto"/>
              <w:jc w:val="right"/>
            </w:pPr>
          </w:p>
        </w:tc>
        <w:tc>
          <w:tcPr>
            <w:tcW w:w="1260" w:type="dxa"/>
          </w:tcPr>
          <w:p w14:paraId="4BE177F6" w14:textId="43DC3221" w:rsidR="00E139C5" w:rsidRPr="00E139C5" w:rsidRDefault="00E139C5" w:rsidP="00E139C5">
            <w:pPr>
              <w:spacing w:line="276" w:lineRule="auto"/>
              <w:jc w:val="right"/>
            </w:pPr>
          </w:p>
        </w:tc>
      </w:tr>
      <w:tr w:rsidR="00E139C5" w:rsidRPr="00E139C5" w14:paraId="3147567D" w14:textId="77777777" w:rsidTr="0044321C">
        <w:trPr>
          <w:divId w:val="1261141582"/>
          <w:trHeight w:val="255"/>
        </w:trPr>
        <w:tc>
          <w:tcPr>
            <w:tcW w:w="3145" w:type="dxa"/>
            <w:hideMark/>
          </w:tcPr>
          <w:p w14:paraId="2F43CC06" w14:textId="77777777" w:rsidR="00E139C5" w:rsidRPr="00E139C5" w:rsidRDefault="00E139C5" w:rsidP="00E139C5">
            <w:pPr>
              <w:spacing w:line="276" w:lineRule="auto"/>
            </w:pPr>
            <w:r>
              <w:t xml:space="preserve">Kosto për bizneset - një herë </w:t>
            </w:r>
          </w:p>
        </w:tc>
        <w:tc>
          <w:tcPr>
            <w:tcW w:w="1350" w:type="dxa"/>
          </w:tcPr>
          <w:p w14:paraId="56F6BEB8" w14:textId="1C052584" w:rsidR="00E139C5" w:rsidRPr="00E139C5" w:rsidRDefault="00E139C5" w:rsidP="00E139C5">
            <w:pPr>
              <w:spacing w:line="276" w:lineRule="auto"/>
              <w:ind w:left="-108" w:firstLine="108"/>
              <w:jc w:val="right"/>
            </w:pPr>
          </w:p>
        </w:tc>
        <w:tc>
          <w:tcPr>
            <w:tcW w:w="1170" w:type="dxa"/>
          </w:tcPr>
          <w:p w14:paraId="52FF900E" w14:textId="6F795029" w:rsidR="00E139C5" w:rsidRPr="00E139C5" w:rsidRDefault="00E139C5" w:rsidP="00E139C5">
            <w:pPr>
              <w:spacing w:line="276" w:lineRule="auto"/>
              <w:ind w:left="-108" w:firstLine="108"/>
              <w:jc w:val="right"/>
            </w:pPr>
          </w:p>
        </w:tc>
        <w:tc>
          <w:tcPr>
            <w:tcW w:w="1080" w:type="dxa"/>
          </w:tcPr>
          <w:p w14:paraId="3146428D" w14:textId="3CADB804" w:rsidR="00E139C5" w:rsidRPr="00E139C5" w:rsidRDefault="00E139C5" w:rsidP="00E139C5">
            <w:pPr>
              <w:spacing w:line="276" w:lineRule="auto"/>
              <w:jc w:val="right"/>
            </w:pPr>
          </w:p>
        </w:tc>
        <w:tc>
          <w:tcPr>
            <w:tcW w:w="1170" w:type="dxa"/>
          </w:tcPr>
          <w:p w14:paraId="6F73F06A" w14:textId="51D03C7F" w:rsidR="00E139C5" w:rsidRPr="00E139C5" w:rsidRDefault="00E139C5" w:rsidP="00E139C5">
            <w:pPr>
              <w:spacing w:line="276" w:lineRule="auto"/>
              <w:jc w:val="right"/>
            </w:pPr>
          </w:p>
        </w:tc>
        <w:tc>
          <w:tcPr>
            <w:tcW w:w="1080" w:type="dxa"/>
          </w:tcPr>
          <w:p w14:paraId="4DDB0081" w14:textId="23A025A0" w:rsidR="00E139C5" w:rsidRPr="00E139C5" w:rsidRDefault="00E139C5" w:rsidP="00E139C5">
            <w:pPr>
              <w:spacing w:line="276" w:lineRule="auto"/>
              <w:jc w:val="right"/>
            </w:pPr>
          </w:p>
        </w:tc>
        <w:tc>
          <w:tcPr>
            <w:tcW w:w="1260" w:type="dxa"/>
          </w:tcPr>
          <w:p w14:paraId="65AF2137" w14:textId="176548A2" w:rsidR="00E139C5" w:rsidRPr="00E139C5" w:rsidRDefault="00E139C5" w:rsidP="00E139C5">
            <w:pPr>
              <w:spacing w:line="276" w:lineRule="auto"/>
              <w:jc w:val="right"/>
            </w:pPr>
          </w:p>
        </w:tc>
        <w:tc>
          <w:tcPr>
            <w:tcW w:w="1080" w:type="dxa"/>
          </w:tcPr>
          <w:p w14:paraId="0A9A1858" w14:textId="738D8647" w:rsidR="00E139C5" w:rsidRPr="00E139C5" w:rsidRDefault="00E139C5" w:rsidP="00E139C5">
            <w:pPr>
              <w:spacing w:line="276" w:lineRule="auto"/>
              <w:jc w:val="right"/>
            </w:pPr>
          </w:p>
        </w:tc>
        <w:tc>
          <w:tcPr>
            <w:tcW w:w="1260" w:type="dxa"/>
          </w:tcPr>
          <w:p w14:paraId="54A4A7E2" w14:textId="47B48635" w:rsidR="00E139C5" w:rsidRPr="00E139C5" w:rsidRDefault="00E139C5" w:rsidP="00E139C5">
            <w:pPr>
              <w:spacing w:line="276" w:lineRule="auto"/>
              <w:jc w:val="right"/>
            </w:pPr>
          </w:p>
        </w:tc>
        <w:tc>
          <w:tcPr>
            <w:tcW w:w="1260" w:type="dxa"/>
          </w:tcPr>
          <w:p w14:paraId="4BC9609E" w14:textId="776A6513" w:rsidR="00E139C5" w:rsidRPr="00E139C5" w:rsidRDefault="00E139C5" w:rsidP="00E139C5">
            <w:pPr>
              <w:spacing w:line="276" w:lineRule="auto"/>
              <w:jc w:val="right"/>
            </w:pPr>
          </w:p>
        </w:tc>
        <w:tc>
          <w:tcPr>
            <w:tcW w:w="1260" w:type="dxa"/>
          </w:tcPr>
          <w:p w14:paraId="078C6D3C" w14:textId="7F839EA7" w:rsidR="00E139C5" w:rsidRPr="00E139C5" w:rsidRDefault="00E139C5" w:rsidP="00E139C5">
            <w:pPr>
              <w:spacing w:line="276" w:lineRule="auto"/>
              <w:jc w:val="right"/>
            </w:pPr>
          </w:p>
        </w:tc>
      </w:tr>
      <w:tr w:rsidR="00E139C5" w:rsidRPr="00E139C5" w14:paraId="6CE6233F" w14:textId="77777777" w:rsidTr="0044321C">
        <w:trPr>
          <w:divId w:val="1261141582"/>
          <w:trHeight w:val="255"/>
        </w:trPr>
        <w:tc>
          <w:tcPr>
            <w:tcW w:w="3145" w:type="dxa"/>
            <w:hideMark/>
          </w:tcPr>
          <w:p w14:paraId="18CDBC06" w14:textId="77777777" w:rsidR="00E139C5" w:rsidRPr="00E139C5" w:rsidRDefault="00E139C5" w:rsidP="00E139C5">
            <w:pPr>
              <w:spacing w:line="276" w:lineRule="auto"/>
            </w:pPr>
            <w:r>
              <w:t>Kosto për bizneset - në vazhdimësi</w:t>
            </w:r>
          </w:p>
        </w:tc>
        <w:tc>
          <w:tcPr>
            <w:tcW w:w="1350" w:type="dxa"/>
          </w:tcPr>
          <w:p w14:paraId="27B2F804" w14:textId="6A6EB22D" w:rsidR="00E139C5" w:rsidRPr="00E139C5" w:rsidRDefault="00E139C5" w:rsidP="00E139C5">
            <w:pPr>
              <w:spacing w:line="276" w:lineRule="auto"/>
              <w:ind w:left="-108" w:firstLine="108"/>
              <w:jc w:val="right"/>
            </w:pPr>
          </w:p>
        </w:tc>
        <w:tc>
          <w:tcPr>
            <w:tcW w:w="1170" w:type="dxa"/>
          </w:tcPr>
          <w:p w14:paraId="17E17005" w14:textId="15CCBCAB" w:rsidR="00E139C5" w:rsidRPr="00E139C5" w:rsidRDefault="00E139C5" w:rsidP="00E139C5">
            <w:pPr>
              <w:spacing w:line="276" w:lineRule="auto"/>
              <w:ind w:left="-108" w:firstLine="108"/>
              <w:jc w:val="right"/>
            </w:pPr>
          </w:p>
        </w:tc>
        <w:tc>
          <w:tcPr>
            <w:tcW w:w="1080" w:type="dxa"/>
          </w:tcPr>
          <w:p w14:paraId="3E933CFE" w14:textId="6E643832" w:rsidR="00E139C5" w:rsidRPr="00E139C5" w:rsidRDefault="00E139C5" w:rsidP="00E139C5">
            <w:pPr>
              <w:spacing w:line="276" w:lineRule="auto"/>
              <w:jc w:val="right"/>
            </w:pPr>
          </w:p>
        </w:tc>
        <w:tc>
          <w:tcPr>
            <w:tcW w:w="1170" w:type="dxa"/>
          </w:tcPr>
          <w:p w14:paraId="3197B98F" w14:textId="4D987F9B" w:rsidR="00E139C5" w:rsidRPr="00E139C5" w:rsidRDefault="00E139C5" w:rsidP="00E139C5">
            <w:pPr>
              <w:spacing w:line="276" w:lineRule="auto"/>
              <w:jc w:val="right"/>
            </w:pPr>
          </w:p>
        </w:tc>
        <w:tc>
          <w:tcPr>
            <w:tcW w:w="1080" w:type="dxa"/>
          </w:tcPr>
          <w:p w14:paraId="24B68243" w14:textId="6D00AA77" w:rsidR="00E139C5" w:rsidRPr="00E139C5" w:rsidRDefault="00E139C5" w:rsidP="00E139C5">
            <w:pPr>
              <w:spacing w:line="276" w:lineRule="auto"/>
              <w:jc w:val="right"/>
            </w:pPr>
          </w:p>
        </w:tc>
        <w:tc>
          <w:tcPr>
            <w:tcW w:w="1260" w:type="dxa"/>
          </w:tcPr>
          <w:p w14:paraId="08AFF99E" w14:textId="44B4F3FB" w:rsidR="00E139C5" w:rsidRPr="00E139C5" w:rsidRDefault="00E139C5" w:rsidP="00E139C5">
            <w:pPr>
              <w:spacing w:line="276" w:lineRule="auto"/>
              <w:jc w:val="right"/>
            </w:pPr>
          </w:p>
        </w:tc>
        <w:tc>
          <w:tcPr>
            <w:tcW w:w="1080" w:type="dxa"/>
          </w:tcPr>
          <w:p w14:paraId="6207DB7E" w14:textId="412F0A8F" w:rsidR="00E139C5" w:rsidRPr="00E139C5" w:rsidRDefault="00E139C5" w:rsidP="00E139C5">
            <w:pPr>
              <w:spacing w:line="276" w:lineRule="auto"/>
              <w:jc w:val="right"/>
            </w:pPr>
          </w:p>
        </w:tc>
        <w:tc>
          <w:tcPr>
            <w:tcW w:w="1260" w:type="dxa"/>
          </w:tcPr>
          <w:p w14:paraId="627C5A58" w14:textId="23A30CCE" w:rsidR="00E139C5" w:rsidRPr="00E139C5" w:rsidRDefault="00E139C5" w:rsidP="00E139C5">
            <w:pPr>
              <w:spacing w:line="276" w:lineRule="auto"/>
              <w:jc w:val="right"/>
            </w:pPr>
          </w:p>
        </w:tc>
        <w:tc>
          <w:tcPr>
            <w:tcW w:w="1260" w:type="dxa"/>
          </w:tcPr>
          <w:p w14:paraId="57A2DF8C" w14:textId="2F92891E" w:rsidR="00E139C5" w:rsidRPr="00E139C5" w:rsidRDefault="00E139C5" w:rsidP="00E139C5">
            <w:pPr>
              <w:spacing w:line="276" w:lineRule="auto"/>
              <w:jc w:val="right"/>
            </w:pPr>
          </w:p>
        </w:tc>
        <w:tc>
          <w:tcPr>
            <w:tcW w:w="1260" w:type="dxa"/>
          </w:tcPr>
          <w:p w14:paraId="1E66E82F" w14:textId="0C7CECBB" w:rsidR="00E139C5" w:rsidRPr="00E139C5" w:rsidRDefault="00E139C5" w:rsidP="00E139C5">
            <w:pPr>
              <w:spacing w:line="276" w:lineRule="auto"/>
              <w:jc w:val="right"/>
            </w:pPr>
          </w:p>
        </w:tc>
      </w:tr>
      <w:tr w:rsidR="00E139C5" w:rsidRPr="001155AF" w14:paraId="445EC9DA" w14:textId="77777777" w:rsidTr="0044321C">
        <w:trPr>
          <w:divId w:val="1261141582"/>
          <w:trHeight w:val="255"/>
        </w:trPr>
        <w:tc>
          <w:tcPr>
            <w:tcW w:w="3145" w:type="dxa"/>
            <w:hideMark/>
          </w:tcPr>
          <w:p w14:paraId="53E30F5D" w14:textId="77777777" w:rsidR="00E139C5" w:rsidRPr="00754F3E" w:rsidRDefault="00E139C5" w:rsidP="00E139C5">
            <w:pPr>
              <w:spacing w:line="276" w:lineRule="auto"/>
            </w:pPr>
            <w:r>
              <w:t>Kosto për grupet e tjera - një herë</w:t>
            </w:r>
          </w:p>
        </w:tc>
        <w:tc>
          <w:tcPr>
            <w:tcW w:w="1350" w:type="dxa"/>
          </w:tcPr>
          <w:p w14:paraId="48D136C8" w14:textId="2117351E" w:rsidR="00E139C5" w:rsidRPr="00754F3E" w:rsidRDefault="00E139C5" w:rsidP="00E139C5">
            <w:pPr>
              <w:spacing w:line="276" w:lineRule="auto"/>
              <w:ind w:left="-108" w:firstLine="108"/>
              <w:jc w:val="right"/>
            </w:pPr>
          </w:p>
        </w:tc>
        <w:tc>
          <w:tcPr>
            <w:tcW w:w="1170" w:type="dxa"/>
          </w:tcPr>
          <w:p w14:paraId="1D2F61E3" w14:textId="31263049" w:rsidR="00E139C5" w:rsidRPr="00754F3E" w:rsidRDefault="00E139C5" w:rsidP="00E139C5">
            <w:pPr>
              <w:spacing w:line="276" w:lineRule="auto"/>
              <w:ind w:left="-108" w:firstLine="108"/>
              <w:jc w:val="right"/>
            </w:pPr>
          </w:p>
        </w:tc>
        <w:tc>
          <w:tcPr>
            <w:tcW w:w="1080" w:type="dxa"/>
          </w:tcPr>
          <w:p w14:paraId="3DCB0307" w14:textId="5175D982" w:rsidR="00E139C5" w:rsidRPr="00754F3E" w:rsidRDefault="00E139C5" w:rsidP="00E139C5">
            <w:pPr>
              <w:spacing w:line="276" w:lineRule="auto"/>
              <w:jc w:val="right"/>
            </w:pPr>
          </w:p>
        </w:tc>
        <w:tc>
          <w:tcPr>
            <w:tcW w:w="1170" w:type="dxa"/>
          </w:tcPr>
          <w:p w14:paraId="303FFAE9" w14:textId="3CF300E3" w:rsidR="00E139C5" w:rsidRPr="00754F3E" w:rsidRDefault="00E139C5" w:rsidP="00E139C5">
            <w:pPr>
              <w:spacing w:line="276" w:lineRule="auto"/>
              <w:jc w:val="right"/>
            </w:pPr>
          </w:p>
        </w:tc>
        <w:tc>
          <w:tcPr>
            <w:tcW w:w="1080" w:type="dxa"/>
          </w:tcPr>
          <w:p w14:paraId="21898E8B" w14:textId="04E4147F" w:rsidR="00E139C5" w:rsidRPr="00754F3E" w:rsidRDefault="00E139C5" w:rsidP="00E139C5">
            <w:pPr>
              <w:spacing w:line="276" w:lineRule="auto"/>
              <w:jc w:val="right"/>
            </w:pPr>
          </w:p>
        </w:tc>
        <w:tc>
          <w:tcPr>
            <w:tcW w:w="1260" w:type="dxa"/>
          </w:tcPr>
          <w:p w14:paraId="352E326E" w14:textId="1908E273" w:rsidR="00E139C5" w:rsidRPr="00754F3E" w:rsidRDefault="00E139C5" w:rsidP="00E139C5">
            <w:pPr>
              <w:spacing w:line="276" w:lineRule="auto"/>
              <w:jc w:val="right"/>
            </w:pPr>
          </w:p>
        </w:tc>
        <w:tc>
          <w:tcPr>
            <w:tcW w:w="1080" w:type="dxa"/>
          </w:tcPr>
          <w:p w14:paraId="485167D3" w14:textId="0A4BCD1F" w:rsidR="00E139C5" w:rsidRPr="00754F3E" w:rsidRDefault="00E139C5" w:rsidP="00E139C5">
            <w:pPr>
              <w:spacing w:line="276" w:lineRule="auto"/>
              <w:jc w:val="right"/>
            </w:pPr>
          </w:p>
        </w:tc>
        <w:tc>
          <w:tcPr>
            <w:tcW w:w="1260" w:type="dxa"/>
          </w:tcPr>
          <w:p w14:paraId="7608D687" w14:textId="400E93E0" w:rsidR="00E139C5" w:rsidRPr="00754F3E" w:rsidRDefault="00E139C5" w:rsidP="00E139C5">
            <w:pPr>
              <w:spacing w:line="276" w:lineRule="auto"/>
              <w:jc w:val="right"/>
            </w:pPr>
          </w:p>
        </w:tc>
        <w:tc>
          <w:tcPr>
            <w:tcW w:w="1260" w:type="dxa"/>
          </w:tcPr>
          <w:p w14:paraId="4C1AE0D1" w14:textId="76E165E2" w:rsidR="00E139C5" w:rsidRPr="00754F3E" w:rsidRDefault="00E139C5" w:rsidP="00E139C5">
            <w:pPr>
              <w:spacing w:line="276" w:lineRule="auto"/>
              <w:jc w:val="right"/>
            </w:pPr>
          </w:p>
        </w:tc>
        <w:tc>
          <w:tcPr>
            <w:tcW w:w="1260" w:type="dxa"/>
          </w:tcPr>
          <w:p w14:paraId="3E2FA1CB" w14:textId="33B6622F" w:rsidR="00E139C5" w:rsidRPr="00754F3E" w:rsidRDefault="00E139C5" w:rsidP="00E139C5">
            <w:pPr>
              <w:spacing w:line="276" w:lineRule="auto"/>
              <w:jc w:val="right"/>
            </w:pPr>
          </w:p>
        </w:tc>
      </w:tr>
      <w:tr w:rsidR="00E139C5" w:rsidRPr="001155AF" w14:paraId="49355DAF" w14:textId="77777777" w:rsidTr="0044321C">
        <w:trPr>
          <w:divId w:val="1261141582"/>
          <w:trHeight w:val="270"/>
        </w:trPr>
        <w:tc>
          <w:tcPr>
            <w:tcW w:w="3145" w:type="dxa"/>
            <w:hideMark/>
          </w:tcPr>
          <w:p w14:paraId="037299A0" w14:textId="77777777" w:rsidR="00E139C5" w:rsidRPr="00754F3E" w:rsidRDefault="00E139C5" w:rsidP="00E139C5">
            <w:pPr>
              <w:spacing w:line="276" w:lineRule="auto"/>
            </w:pPr>
            <w:r>
              <w:t>Kosto për grupet e tjera - në vazhdimësi</w:t>
            </w:r>
          </w:p>
        </w:tc>
        <w:tc>
          <w:tcPr>
            <w:tcW w:w="1350" w:type="dxa"/>
          </w:tcPr>
          <w:p w14:paraId="5E7C320A" w14:textId="2E253824" w:rsidR="00E139C5" w:rsidRPr="00754F3E" w:rsidRDefault="00E139C5" w:rsidP="00E139C5">
            <w:pPr>
              <w:spacing w:line="276" w:lineRule="auto"/>
              <w:ind w:left="-108" w:firstLine="108"/>
              <w:jc w:val="right"/>
            </w:pPr>
          </w:p>
        </w:tc>
        <w:tc>
          <w:tcPr>
            <w:tcW w:w="1170" w:type="dxa"/>
          </w:tcPr>
          <w:p w14:paraId="5D989C32" w14:textId="15F68A52" w:rsidR="00E139C5" w:rsidRPr="00754F3E" w:rsidRDefault="00E139C5" w:rsidP="00E139C5">
            <w:pPr>
              <w:spacing w:line="276" w:lineRule="auto"/>
              <w:ind w:left="-108" w:firstLine="108"/>
              <w:jc w:val="right"/>
            </w:pPr>
          </w:p>
        </w:tc>
        <w:tc>
          <w:tcPr>
            <w:tcW w:w="1080" w:type="dxa"/>
          </w:tcPr>
          <w:p w14:paraId="42AD1FF4" w14:textId="1B794270" w:rsidR="00E139C5" w:rsidRPr="00754F3E" w:rsidRDefault="00E139C5" w:rsidP="00E139C5">
            <w:pPr>
              <w:spacing w:line="276" w:lineRule="auto"/>
              <w:jc w:val="right"/>
            </w:pPr>
          </w:p>
        </w:tc>
        <w:tc>
          <w:tcPr>
            <w:tcW w:w="1170" w:type="dxa"/>
          </w:tcPr>
          <w:p w14:paraId="06AF9BCD" w14:textId="1F911256" w:rsidR="00E139C5" w:rsidRPr="00754F3E" w:rsidRDefault="00E139C5" w:rsidP="00E139C5">
            <w:pPr>
              <w:spacing w:line="276" w:lineRule="auto"/>
              <w:jc w:val="right"/>
            </w:pPr>
          </w:p>
        </w:tc>
        <w:tc>
          <w:tcPr>
            <w:tcW w:w="1080" w:type="dxa"/>
          </w:tcPr>
          <w:p w14:paraId="19F8B7E1" w14:textId="40A1F06B" w:rsidR="00E139C5" w:rsidRPr="00754F3E" w:rsidRDefault="00E139C5" w:rsidP="00E139C5">
            <w:pPr>
              <w:spacing w:line="276" w:lineRule="auto"/>
              <w:jc w:val="right"/>
            </w:pPr>
          </w:p>
        </w:tc>
        <w:tc>
          <w:tcPr>
            <w:tcW w:w="1260" w:type="dxa"/>
          </w:tcPr>
          <w:p w14:paraId="75B2F340" w14:textId="494A40BA" w:rsidR="00E139C5" w:rsidRPr="00754F3E" w:rsidRDefault="00E139C5" w:rsidP="00E139C5">
            <w:pPr>
              <w:spacing w:line="276" w:lineRule="auto"/>
              <w:jc w:val="right"/>
            </w:pPr>
          </w:p>
        </w:tc>
        <w:tc>
          <w:tcPr>
            <w:tcW w:w="1080" w:type="dxa"/>
          </w:tcPr>
          <w:p w14:paraId="6D2AC726" w14:textId="464B13FA" w:rsidR="00E139C5" w:rsidRPr="00754F3E" w:rsidRDefault="00E139C5" w:rsidP="00E139C5">
            <w:pPr>
              <w:spacing w:line="276" w:lineRule="auto"/>
              <w:jc w:val="right"/>
            </w:pPr>
          </w:p>
        </w:tc>
        <w:tc>
          <w:tcPr>
            <w:tcW w:w="1260" w:type="dxa"/>
          </w:tcPr>
          <w:p w14:paraId="1D26E209" w14:textId="242F5135" w:rsidR="00E139C5" w:rsidRPr="00754F3E" w:rsidRDefault="00E139C5" w:rsidP="00E139C5">
            <w:pPr>
              <w:spacing w:line="276" w:lineRule="auto"/>
              <w:jc w:val="right"/>
            </w:pPr>
          </w:p>
        </w:tc>
        <w:tc>
          <w:tcPr>
            <w:tcW w:w="1260" w:type="dxa"/>
          </w:tcPr>
          <w:p w14:paraId="77BA3607" w14:textId="268A56C3" w:rsidR="00E139C5" w:rsidRPr="00754F3E" w:rsidRDefault="00E139C5" w:rsidP="00E139C5">
            <w:pPr>
              <w:spacing w:line="276" w:lineRule="auto"/>
              <w:jc w:val="right"/>
            </w:pPr>
          </w:p>
        </w:tc>
        <w:tc>
          <w:tcPr>
            <w:tcW w:w="1260" w:type="dxa"/>
          </w:tcPr>
          <w:p w14:paraId="3DB7A4AD" w14:textId="125D7626" w:rsidR="00E139C5" w:rsidRPr="00754F3E" w:rsidRDefault="00E139C5" w:rsidP="00E139C5">
            <w:pPr>
              <w:spacing w:line="276" w:lineRule="auto"/>
              <w:jc w:val="right"/>
            </w:pPr>
          </w:p>
        </w:tc>
      </w:tr>
      <w:tr w:rsidR="00E139C5" w:rsidRPr="00E139C5" w14:paraId="72226F67" w14:textId="77777777" w:rsidTr="0044321C">
        <w:trPr>
          <w:divId w:val="1261141582"/>
          <w:trHeight w:val="285"/>
        </w:trPr>
        <w:tc>
          <w:tcPr>
            <w:tcW w:w="3145" w:type="dxa"/>
            <w:hideMark/>
          </w:tcPr>
          <w:p w14:paraId="1F57DE70" w14:textId="77777777" w:rsidR="00E139C5" w:rsidRPr="00E139C5" w:rsidRDefault="00E139C5" w:rsidP="00E139C5">
            <w:pPr>
              <w:spacing w:line="276" w:lineRule="auto"/>
              <w:rPr>
                <w:b/>
              </w:rPr>
            </w:pPr>
            <w:r w:rsidRPr="1A98504A">
              <w:rPr>
                <w:b/>
              </w:rPr>
              <w:t xml:space="preserve">Kosto në total </w:t>
            </w:r>
          </w:p>
        </w:tc>
        <w:tc>
          <w:tcPr>
            <w:tcW w:w="1350" w:type="dxa"/>
          </w:tcPr>
          <w:p w14:paraId="08FD3CB1" w14:textId="51E85ABF" w:rsidR="00E139C5" w:rsidRPr="00E139C5" w:rsidRDefault="00E139C5" w:rsidP="00E139C5">
            <w:pPr>
              <w:spacing w:line="276" w:lineRule="auto"/>
              <w:ind w:left="-108" w:firstLine="108"/>
              <w:jc w:val="right"/>
            </w:pPr>
          </w:p>
        </w:tc>
        <w:tc>
          <w:tcPr>
            <w:tcW w:w="1170" w:type="dxa"/>
          </w:tcPr>
          <w:p w14:paraId="760E0925" w14:textId="3768FE16" w:rsidR="00E139C5" w:rsidRPr="00E139C5" w:rsidRDefault="00E139C5" w:rsidP="00E139C5">
            <w:pPr>
              <w:spacing w:line="276" w:lineRule="auto"/>
              <w:ind w:left="-108" w:firstLine="108"/>
              <w:jc w:val="right"/>
            </w:pPr>
          </w:p>
        </w:tc>
        <w:tc>
          <w:tcPr>
            <w:tcW w:w="1080" w:type="dxa"/>
          </w:tcPr>
          <w:p w14:paraId="1381CF26" w14:textId="7C2F2345" w:rsidR="00E139C5" w:rsidRPr="00E139C5" w:rsidRDefault="00E139C5" w:rsidP="00E139C5">
            <w:pPr>
              <w:spacing w:line="276" w:lineRule="auto"/>
              <w:jc w:val="right"/>
            </w:pPr>
          </w:p>
        </w:tc>
        <w:tc>
          <w:tcPr>
            <w:tcW w:w="1170" w:type="dxa"/>
          </w:tcPr>
          <w:p w14:paraId="75F49E46" w14:textId="643C6658" w:rsidR="00E139C5" w:rsidRPr="00E139C5" w:rsidRDefault="00E139C5" w:rsidP="00E139C5">
            <w:pPr>
              <w:spacing w:line="276" w:lineRule="auto"/>
              <w:jc w:val="right"/>
            </w:pPr>
          </w:p>
        </w:tc>
        <w:tc>
          <w:tcPr>
            <w:tcW w:w="1080" w:type="dxa"/>
          </w:tcPr>
          <w:p w14:paraId="4468C97B" w14:textId="641A6909" w:rsidR="00E139C5" w:rsidRPr="00E139C5" w:rsidRDefault="00E139C5" w:rsidP="00E139C5">
            <w:pPr>
              <w:spacing w:line="276" w:lineRule="auto"/>
              <w:jc w:val="right"/>
            </w:pPr>
          </w:p>
        </w:tc>
        <w:tc>
          <w:tcPr>
            <w:tcW w:w="1260" w:type="dxa"/>
          </w:tcPr>
          <w:p w14:paraId="03065CD0" w14:textId="41869BF9" w:rsidR="00E139C5" w:rsidRPr="00E139C5" w:rsidRDefault="00E139C5" w:rsidP="00E139C5">
            <w:pPr>
              <w:spacing w:line="276" w:lineRule="auto"/>
              <w:jc w:val="right"/>
            </w:pPr>
          </w:p>
        </w:tc>
        <w:tc>
          <w:tcPr>
            <w:tcW w:w="1080" w:type="dxa"/>
          </w:tcPr>
          <w:p w14:paraId="262344F9" w14:textId="3F4E7FB8" w:rsidR="00E139C5" w:rsidRPr="00E139C5" w:rsidRDefault="00E139C5" w:rsidP="00E139C5">
            <w:pPr>
              <w:spacing w:line="276" w:lineRule="auto"/>
              <w:jc w:val="right"/>
            </w:pPr>
          </w:p>
        </w:tc>
        <w:tc>
          <w:tcPr>
            <w:tcW w:w="1260" w:type="dxa"/>
          </w:tcPr>
          <w:p w14:paraId="3219BAC9" w14:textId="7957FB3E" w:rsidR="00E139C5" w:rsidRPr="00E139C5" w:rsidRDefault="00E139C5" w:rsidP="00E139C5">
            <w:pPr>
              <w:spacing w:line="276" w:lineRule="auto"/>
              <w:jc w:val="right"/>
            </w:pPr>
          </w:p>
        </w:tc>
        <w:tc>
          <w:tcPr>
            <w:tcW w:w="1260" w:type="dxa"/>
          </w:tcPr>
          <w:p w14:paraId="201F6F96" w14:textId="241CA0F7" w:rsidR="00E139C5" w:rsidRPr="00E139C5" w:rsidRDefault="00E139C5" w:rsidP="00E139C5">
            <w:pPr>
              <w:spacing w:line="276" w:lineRule="auto"/>
              <w:jc w:val="right"/>
            </w:pPr>
          </w:p>
        </w:tc>
        <w:tc>
          <w:tcPr>
            <w:tcW w:w="1260" w:type="dxa"/>
          </w:tcPr>
          <w:p w14:paraId="71089AAA" w14:textId="64E79A70" w:rsidR="00E139C5" w:rsidRPr="00E139C5" w:rsidRDefault="00E139C5" w:rsidP="00E139C5">
            <w:pPr>
              <w:spacing w:line="276" w:lineRule="auto"/>
              <w:jc w:val="right"/>
            </w:pPr>
          </w:p>
        </w:tc>
      </w:tr>
      <w:tr w:rsidR="00E139C5" w:rsidRPr="00E139C5" w14:paraId="6A33D8BC" w14:textId="77777777" w:rsidTr="0044321C">
        <w:trPr>
          <w:divId w:val="1261141582"/>
          <w:trHeight w:val="375"/>
        </w:trPr>
        <w:tc>
          <w:tcPr>
            <w:tcW w:w="3145" w:type="dxa"/>
            <w:hideMark/>
          </w:tcPr>
          <w:p w14:paraId="2E18C82B" w14:textId="77777777" w:rsidR="00E139C5" w:rsidRPr="00754F3E" w:rsidRDefault="00E139C5" w:rsidP="00E139C5">
            <w:pPr>
              <w:spacing w:line="276" w:lineRule="auto"/>
              <w:rPr>
                <w:lang w:val="de-DE"/>
              </w:rPr>
            </w:pPr>
            <w:r w:rsidRPr="1A98504A">
              <w:rPr>
                <w:b/>
              </w:rPr>
              <w:t>Kosto e zbritur</w:t>
            </w:r>
            <w:r>
              <w:t>= Kosto në total x Faktori zbritës</w:t>
            </w:r>
          </w:p>
        </w:tc>
        <w:tc>
          <w:tcPr>
            <w:tcW w:w="1350" w:type="dxa"/>
          </w:tcPr>
          <w:p w14:paraId="07C3D5F1" w14:textId="42168913" w:rsidR="00E139C5" w:rsidRPr="00E139C5" w:rsidRDefault="00E139C5" w:rsidP="00E139C5">
            <w:pPr>
              <w:spacing w:line="276" w:lineRule="auto"/>
              <w:ind w:left="-108" w:firstLine="108"/>
              <w:jc w:val="right"/>
            </w:pPr>
          </w:p>
        </w:tc>
        <w:tc>
          <w:tcPr>
            <w:tcW w:w="1170" w:type="dxa"/>
          </w:tcPr>
          <w:p w14:paraId="7EF33A7D" w14:textId="35B37EDC" w:rsidR="00E139C5" w:rsidRPr="00E139C5" w:rsidRDefault="00E139C5" w:rsidP="00E139C5">
            <w:pPr>
              <w:spacing w:line="276" w:lineRule="auto"/>
              <w:ind w:left="-108" w:firstLine="108"/>
              <w:jc w:val="right"/>
            </w:pPr>
          </w:p>
        </w:tc>
        <w:tc>
          <w:tcPr>
            <w:tcW w:w="1080" w:type="dxa"/>
          </w:tcPr>
          <w:p w14:paraId="5417D99A" w14:textId="13155D93" w:rsidR="00E139C5" w:rsidRPr="00E139C5" w:rsidRDefault="00E139C5" w:rsidP="00E139C5">
            <w:pPr>
              <w:spacing w:line="276" w:lineRule="auto"/>
              <w:jc w:val="right"/>
            </w:pPr>
          </w:p>
        </w:tc>
        <w:tc>
          <w:tcPr>
            <w:tcW w:w="1170" w:type="dxa"/>
          </w:tcPr>
          <w:p w14:paraId="3203BD17" w14:textId="671B082C" w:rsidR="00E139C5" w:rsidRPr="00E139C5" w:rsidRDefault="00E139C5" w:rsidP="00E139C5">
            <w:pPr>
              <w:spacing w:line="276" w:lineRule="auto"/>
              <w:jc w:val="right"/>
            </w:pPr>
          </w:p>
        </w:tc>
        <w:tc>
          <w:tcPr>
            <w:tcW w:w="1080" w:type="dxa"/>
          </w:tcPr>
          <w:p w14:paraId="5479F485" w14:textId="26535CC7" w:rsidR="00E139C5" w:rsidRPr="00E139C5" w:rsidRDefault="00E139C5" w:rsidP="00E139C5">
            <w:pPr>
              <w:spacing w:line="276" w:lineRule="auto"/>
              <w:jc w:val="right"/>
            </w:pPr>
          </w:p>
        </w:tc>
        <w:tc>
          <w:tcPr>
            <w:tcW w:w="1260" w:type="dxa"/>
          </w:tcPr>
          <w:p w14:paraId="65A671FF" w14:textId="456A9E9A" w:rsidR="00E139C5" w:rsidRPr="00E139C5" w:rsidRDefault="00E139C5" w:rsidP="00E139C5">
            <w:pPr>
              <w:spacing w:line="276" w:lineRule="auto"/>
              <w:jc w:val="right"/>
            </w:pPr>
          </w:p>
        </w:tc>
        <w:tc>
          <w:tcPr>
            <w:tcW w:w="1080" w:type="dxa"/>
          </w:tcPr>
          <w:p w14:paraId="3D70421E" w14:textId="78573A75" w:rsidR="00E139C5" w:rsidRPr="00E139C5" w:rsidRDefault="00E139C5" w:rsidP="00E139C5">
            <w:pPr>
              <w:spacing w:line="276" w:lineRule="auto"/>
              <w:jc w:val="right"/>
            </w:pPr>
          </w:p>
        </w:tc>
        <w:tc>
          <w:tcPr>
            <w:tcW w:w="1260" w:type="dxa"/>
          </w:tcPr>
          <w:p w14:paraId="16A543C1" w14:textId="708D5087" w:rsidR="00E139C5" w:rsidRPr="00E139C5" w:rsidRDefault="00E139C5" w:rsidP="00E139C5">
            <w:pPr>
              <w:spacing w:line="276" w:lineRule="auto"/>
              <w:jc w:val="right"/>
            </w:pPr>
          </w:p>
        </w:tc>
        <w:tc>
          <w:tcPr>
            <w:tcW w:w="1260" w:type="dxa"/>
          </w:tcPr>
          <w:p w14:paraId="5D250832" w14:textId="2322290B" w:rsidR="00E139C5" w:rsidRPr="00E139C5" w:rsidRDefault="00E139C5" w:rsidP="00E139C5">
            <w:pPr>
              <w:spacing w:line="276" w:lineRule="auto"/>
              <w:jc w:val="right"/>
            </w:pPr>
          </w:p>
        </w:tc>
        <w:tc>
          <w:tcPr>
            <w:tcW w:w="1260" w:type="dxa"/>
          </w:tcPr>
          <w:p w14:paraId="70B85222" w14:textId="59EE3989" w:rsidR="00E139C5" w:rsidRPr="00E139C5" w:rsidRDefault="00E139C5" w:rsidP="00E139C5">
            <w:pPr>
              <w:spacing w:line="276" w:lineRule="auto"/>
              <w:jc w:val="right"/>
            </w:pPr>
          </w:p>
        </w:tc>
      </w:tr>
      <w:tr w:rsidR="00E139C5" w:rsidRPr="00E139C5" w14:paraId="33563E79" w14:textId="77777777" w:rsidTr="0044321C">
        <w:trPr>
          <w:divId w:val="1261141582"/>
          <w:trHeight w:val="255"/>
        </w:trPr>
        <w:tc>
          <w:tcPr>
            <w:tcW w:w="3145" w:type="dxa"/>
            <w:hideMark/>
          </w:tcPr>
          <w:p w14:paraId="620EA433" w14:textId="77777777" w:rsidR="00E139C5" w:rsidRPr="00E139C5" w:rsidRDefault="00E139C5" w:rsidP="00E139C5">
            <w:pPr>
              <w:spacing w:line="276" w:lineRule="auto"/>
            </w:pPr>
            <w:r>
              <w:t>Përfitimet për buxhetin – një herë</w:t>
            </w:r>
          </w:p>
        </w:tc>
        <w:tc>
          <w:tcPr>
            <w:tcW w:w="1350" w:type="dxa"/>
          </w:tcPr>
          <w:p w14:paraId="66BE14B0" w14:textId="50F82204" w:rsidR="00E139C5" w:rsidRPr="00E139C5" w:rsidRDefault="00E139C5" w:rsidP="00E139C5">
            <w:pPr>
              <w:spacing w:line="276" w:lineRule="auto"/>
              <w:ind w:left="-108" w:firstLine="108"/>
              <w:jc w:val="right"/>
            </w:pPr>
          </w:p>
        </w:tc>
        <w:tc>
          <w:tcPr>
            <w:tcW w:w="1170" w:type="dxa"/>
          </w:tcPr>
          <w:p w14:paraId="252C8DD0" w14:textId="20329E85" w:rsidR="00E139C5" w:rsidRPr="00E139C5" w:rsidRDefault="00E139C5" w:rsidP="00E139C5">
            <w:pPr>
              <w:spacing w:line="276" w:lineRule="auto"/>
              <w:ind w:left="-108" w:firstLine="108"/>
              <w:jc w:val="right"/>
            </w:pPr>
          </w:p>
        </w:tc>
        <w:tc>
          <w:tcPr>
            <w:tcW w:w="1080" w:type="dxa"/>
          </w:tcPr>
          <w:p w14:paraId="3949314A" w14:textId="072E8F0D" w:rsidR="00E139C5" w:rsidRPr="00E139C5" w:rsidRDefault="00E139C5" w:rsidP="00E139C5">
            <w:pPr>
              <w:spacing w:line="276" w:lineRule="auto"/>
              <w:jc w:val="right"/>
            </w:pPr>
          </w:p>
        </w:tc>
        <w:tc>
          <w:tcPr>
            <w:tcW w:w="1170" w:type="dxa"/>
          </w:tcPr>
          <w:p w14:paraId="47F4BDB9" w14:textId="1677A62B" w:rsidR="00E139C5" w:rsidRPr="00E139C5" w:rsidRDefault="00E139C5" w:rsidP="00E139C5">
            <w:pPr>
              <w:spacing w:line="276" w:lineRule="auto"/>
              <w:jc w:val="right"/>
            </w:pPr>
          </w:p>
        </w:tc>
        <w:tc>
          <w:tcPr>
            <w:tcW w:w="1080" w:type="dxa"/>
          </w:tcPr>
          <w:p w14:paraId="131F33E2" w14:textId="0283D464" w:rsidR="00E139C5" w:rsidRPr="00E139C5" w:rsidRDefault="00E139C5" w:rsidP="00E139C5">
            <w:pPr>
              <w:spacing w:line="276" w:lineRule="auto"/>
              <w:jc w:val="right"/>
            </w:pPr>
          </w:p>
        </w:tc>
        <w:tc>
          <w:tcPr>
            <w:tcW w:w="1260" w:type="dxa"/>
          </w:tcPr>
          <w:p w14:paraId="2F161821" w14:textId="4D3EEFD6" w:rsidR="00E139C5" w:rsidRPr="00E139C5" w:rsidRDefault="00E139C5" w:rsidP="00E139C5">
            <w:pPr>
              <w:spacing w:line="276" w:lineRule="auto"/>
              <w:jc w:val="right"/>
            </w:pPr>
          </w:p>
        </w:tc>
        <w:tc>
          <w:tcPr>
            <w:tcW w:w="1080" w:type="dxa"/>
          </w:tcPr>
          <w:p w14:paraId="7DA87836" w14:textId="3A93A573" w:rsidR="00E139C5" w:rsidRPr="00E139C5" w:rsidRDefault="00E139C5" w:rsidP="00E139C5">
            <w:pPr>
              <w:spacing w:line="276" w:lineRule="auto"/>
              <w:jc w:val="right"/>
            </w:pPr>
          </w:p>
        </w:tc>
        <w:tc>
          <w:tcPr>
            <w:tcW w:w="1260" w:type="dxa"/>
          </w:tcPr>
          <w:p w14:paraId="4318A1BC" w14:textId="7A7A22BD" w:rsidR="00E139C5" w:rsidRPr="00E139C5" w:rsidRDefault="00E139C5" w:rsidP="00E139C5">
            <w:pPr>
              <w:spacing w:line="276" w:lineRule="auto"/>
              <w:jc w:val="right"/>
            </w:pPr>
          </w:p>
        </w:tc>
        <w:tc>
          <w:tcPr>
            <w:tcW w:w="1260" w:type="dxa"/>
          </w:tcPr>
          <w:p w14:paraId="2301755A" w14:textId="0330996A" w:rsidR="00E139C5" w:rsidRPr="00E139C5" w:rsidRDefault="00E139C5" w:rsidP="00E139C5">
            <w:pPr>
              <w:spacing w:line="276" w:lineRule="auto"/>
              <w:jc w:val="right"/>
            </w:pPr>
          </w:p>
        </w:tc>
        <w:tc>
          <w:tcPr>
            <w:tcW w:w="1260" w:type="dxa"/>
          </w:tcPr>
          <w:p w14:paraId="09FFBF30" w14:textId="75957EDB" w:rsidR="00E139C5" w:rsidRPr="00E139C5" w:rsidRDefault="00E139C5" w:rsidP="00E139C5">
            <w:pPr>
              <w:spacing w:line="276" w:lineRule="auto"/>
              <w:jc w:val="right"/>
            </w:pPr>
          </w:p>
        </w:tc>
      </w:tr>
      <w:tr w:rsidR="00E139C5" w:rsidRPr="00E139C5" w14:paraId="1BECE69A" w14:textId="77777777" w:rsidTr="0044321C">
        <w:trPr>
          <w:divId w:val="1261141582"/>
          <w:trHeight w:val="255"/>
        </w:trPr>
        <w:tc>
          <w:tcPr>
            <w:tcW w:w="3145" w:type="dxa"/>
            <w:hideMark/>
          </w:tcPr>
          <w:p w14:paraId="0EA77DFA" w14:textId="77777777" w:rsidR="00E139C5" w:rsidRPr="00E139C5" w:rsidRDefault="00E139C5" w:rsidP="00E139C5">
            <w:pPr>
              <w:spacing w:line="276" w:lineRule="auto"/>
            </w:pPr>
            <w:r>
              <w:t>Përfitimet për buxhetin – në vazhdimësi</w:t>
            </w:r>
          </w:p>
        </w:tc>
        <w:tc>
          <w:tcPr>
            <w:tcW w:w="1350" w:type="dxa"/>
          </w:tcPr>
          <w:p w14:paraId="4A98A760" w14:textId="577FDE3F" w:rsidR="00E139C5" w:rsidRPr="00E139C5" w:rsidRDefault="00E139C5" w:rsidP="00E139C5">
            <w:pPr>
              <w:spacing w:line="276" w:lineRule="auto"/>
              <w:ind w:left="-108" w:firstLine="108"/>
              <w:jc w:val="right"/>
            </w:pPr>
          </w:p>
        </w:tc>
        <w:tc>
          <w:tcPr>
            <w:tcW w:w="1170" w:type="dxa"/>
          </w:tcPr>
          <w:p w14:paraId="5D59F99F" w14:textId="63553930" w:rsidR="00E139C5" w:rsidRPr="00E139C5" w:rsidRDefault="00E139C5" w:rsidP="00E139C5">
            <w:pPr>
              <w:spacing w:line="276" w:lineRule="auto"/>
              <w:ind w:left="-108" w:firstLine="108"/>
              <w:jc w:val="right"/>
            </w:pPr>
          </w:p>
        </w:tc>
        <w:tc>
          <w:tcPr>
            <w:tcW w:w="1080" w:type="dxa"/>
          </w:tcPr>
          <w:p w14:paraId="5FCA2A3E" w14:textId="3A302055" w:rsidR="00E139C5" w:rsidRPr="00E139C5" w:rsidRDefault="00E139C5" w:rsidP="00E139C5">
            <w:pPr>
              <w:spacing w:line="276" w:lineRule="auto"/>
              <w:jc w:val="right"/>
            </w:pPr>
          </w:p>
        </w:tc>
        <w:tc>
          <w:tcPr>
            <w:tcW w:w="1170" w:type="dxa"/>
          </w:tcPr>
          <w:p w14:paraId="69C3726C" w14:textId="109EE126" w:rsidR="00E139C5" w:rsidRPr="00E139C5" w:rsidRDefault="00E139C5" w:rsidP="00E139C5">
            <w:pPr>
              <w:spacing w:line="276" w:lineRule="auto"/>
              <w:jc w:val="right"/>
            </w:pPr>
          </w:p>
        </w:tc>
        <w:tc>
          <w:tcPr>
            <w:tcW w:w="1080" w:type="dxa"/>
          </w:tcPr>
          <w:p w14:paraId="0A099AA4" w14:textId="31367122" w:rsidR="00E139C5" w:rsidRPr="00E139C5" w:rsidRDefault="00E139C5" w:rsidP="00E139C5">
            <w:pPr>
              <w:spacing w:line="276" w:lineRule="auto"/>
              <w:jc w:val="right"/>
            </w:pPr>
          </w:p>
        </w:tc>
        <w:tc>
          <w:tcPr>
            <w:tcW w:w="1260" w:type="dxa"/>
          </w:tcPr>
          <w:p w14:paraId="2D7E2D4B" w14:textId="4B7DB931" w:rsidR="00E139C5" w:rsidRPr="00E139C5" w:rsidRDefault="00E139C5" w:rsidP="00E139C5">
            <w:pPr>
              <w:spacing w:line="276" w:lineRule="auto"/>
              <w:jc w:val="right"/>
            </w:pPr>
          </w:p>
        </w:tc>
        <w:tc>
          <w:tcPr>
            <w:tcW w:w="1080" w:type="dxa"/>
          </w:tcPr>
          <w:p w14:paraId="5C9C540F" w14:textId="7CBBCB93" w:rsidR="00E139C5" w:rsidRPr="00E139C5" w:rsidRDefault="00E139C5" w:rsidP="00E139C5">
            <w:pPr>
              <w:spacing w:line="276" w:lineRule="auto"/>
              <w:jc w:val="right"/>
            </w:pPr>
          </w:p>
        </w:tc>
        <w:tc>
          <w:tcPr>
            <w:tcW w:w="1260" w:type="dxa"/>
          </w:tcPr>
          <w:p w14:paraId="7451BE07" w14:textId="23C2A189" w:rsidR="00E139C5" w:rsidRPr="00E139C5" w:rsidRDefault="00E139C5" w:rsidP="00E139C5">
            <w:pPr>
              <w:spacing w:line="276" w:lineRule="auto"/>
              <w:jc w:val="right"/>
            </w:pPr>
          </w:p>
        </w:tc>
        <w:tc>
          <w:tcPr>
            <w:tcW w:w="1260" w:type="dxa"/>
          </w:tcPr>
          <w:p w14:paraId="7EF41909" w14:textId="120D4FFF" w:rsidR="00E139C5" w:rsidRPr="00E139C5" w:rsidRDefault="00E139C5" w:rsidP="00E139C5">
            <w:pPr>
              <w:spacing w:line="276" w:lineRule="auto"/>
              <w:jc w:val="right"/>
            </w:pPr>
          </w:p>
        </w:tc>
        <w:tc>
          <w:tcPr>
            <w:tcW w:w="1260" w:type="dxa"/>
          </w:tcPr>
          <w:p w14:paraId="75717044" w14:textId="5A3DDB27" w:rsidR="00E139C5" w:rsidRPr="00E139C5" w:rsidRDefault="00E139C5" w:rsidP="00E139C5">
            <w:pPr>
              <w:spacing w:line="276" w:lineRule="auto"/>
              <w:jc w:val="right"/>
            </w:pPr>
          </w:p>
        </w:tc>
      </w:tr>
      <w:tr w:rsidR="00E139C5" w:rsidRPr="00E139C5" w14:paraId="291B8639" w14:textId="77777777" w:rsidTr="0044321C">
        <w:trPr>
          <w:divId w:val="1261141582"/>
          <w:trHeight w:val="255"/>
        </w:trPr>
        <w:tc>
          <w:tcPr>
            <w:tcW w:w="3145" w:type="dxa"/>
            <w:hideMark/>
          </w:tcPr>
          <w:p w14:paraId="6A576C32" w14:textId="77777777" w:rsidR="00E139C5" w:rsidRPr="00E139C5" w:rsidRDefault="00E139C5" w:rsidP="00E139C5">
            <w:pPr>
              <w:spacing w:line="276" w:lineRule="auto"/>
            </w:pPr>
            <w:r>
              <w:t>Përfitimet për grupet e tjera – një herë</w:t>
            </w:r>
          </w:p>
        </w:tc>
        <w:tc>
          <w:tcPr>
            <w:tcW w:w="1350" w:type="dxa"/>
          </w:tcPr>
          <w:p w14:paraId="36DEBA98" w14:textId="27A33063" w:rsidR="00E139C5" w:rsidRPr="00E139C5" w:rsidRDefault="00E139C5" w:rsidP="00E139C5">
            <w:pPr>
              <w:spacing w:line="276" w:lineRule="auto"/>
              <w:ind w:left="-108" w:firstLine="108"/>
              <w:jc w:val="right"/>
            </w:pPr>
          </w:p>
        </w:tc>
        <w:tc>
          <w:tcPr>
            <w:tcW w:w="1170" w:type="dxa"/>
          </w:tcPr>
          <w:p w14:paraId="19A9196F" w14:textId="46BEFAAA" w:rsidR="00E139C5" w:rsidRPr="00E139C5" w:rsidRDefault="00E139C5" w:rsidP="00E139C5">
            <w:pPr>
              <w:spacing w:line="276" w:lineRule="auto"/>
              <w:ind w:left="-108" w:firstLine="108"/>
              <w:jc w:val="right"/>
            </w:pPr>
          </w:p>
        </w:tc>
        <w:tc>
          <w:tcPr>
            <w:tcW w:w="1080" w:type="dxa"/>
          </w:tcPr>
          <w:p w14:paraId="0741845B" w14:textId="1AB5AD1D" w:rsidR="00E139C5" w:rsidRPr="00E139C5" w:rsidRDefault="00E139C5" w:rsidP="00E139C5">
            <w:pPr>
              <w:spacing w:line="276" w:lineRule="auto"/>
              <w:jc w:val="right"/>
            </w:pPr>
          </w:p>
        </w:tc>
        <w:tc>
          <w:tcPr>
            <w:tcW w:w="1170" w:type="dxa"/>
          </w:tcPr>
          <w:p w14:paraId="777F400B" w14:textId="24CE5593" w:rsidR="00E139C5" w:rsidRPr="00E139C5" w:rsidRDefault="00E139C5" w:rsidP="00E139C5">
            <w:pPr>
              <w:spacing w:line="276" w:lineRule="auto"/>
              <w:jc w:val="right"/>
            </w:pPr>
          </w:p>
        </w:tc>
        <w:tc>
          <w:tcPr>
            <w:tcW w:w="1080" w:type="dxa"/>
          </w:tcPr>
          <w:p w14:paraId="67C8CD8B" w14:textId="4EE0E56D" w:rsidR="00E139C5" w:rsidRPr="00E139C5" w:rsidRDefault="00E139C5" w:rsidP="00E139C5">
            <w:pPr>
              <w:spacing w:line="276" w:lineRule="auto"/>
              <w:jc w:val="right"/>
            </w:pPr>
          </w:p>
        </w:tc>
        <w:tc>
          <w:tcPr>
            <w:tcW w:w="1260" w:type="dxa"/>
          </w:tcPr>
          <w:p w14:paraId="1D824EE6" w14:textId="06DFB2F4" w:rsidR="00E139C5" w:rsidRPr="00E139C5" w:rsidRDefault="00E139C5" w:rsidP="00E139C5">
            <w:pPr>
              <w:spacing w:line="276" w:lineRule="auto"/>
              <w:jc w:val="right"/>
            </w:pPr>
          </w:p>
        </w:tc>
        <w:tc>
          <w:tcPr>
            <w:tcW w:w="1080" w:type="dxa"/>
          </w:tcPr>
          <w:p w14:paraId="2B199BA2" w14:textId="25AD5D44" w:rsidR="00E139C5" w:rsidRPr="00E139C5" w:rsidRDefault="00E139C5" w:rsidP="00E139C5">
            <w:pPr>
              <w:spacing w:line="276" w:lineRule="auto"/>
              <w:jc w:val="right"/>
            </w:pPr>
          </w:p>
        </w:tc>
        <w:tc>
          <w:tcPr>
            <w:tcW w:w="1260" w:type="dxa"/>
          </w:tcPr>
          <w:p w14:paraId="107453AC" w14:textId="4FA5C618" w:rsidR="00E139C5" w:rsidRPr="00E139C5" w:rsidRDefault="00E139C5" w:rsidP="00E139C5">
            <w:pPr>
              <w:spacing w:line="276" w:lineRule="auto"/>
              <w:jc w:val="right"/>
            </w:pPr>
          </w:p>
        </w:tc>
        <w:tc>
          <w:tcPr>
            <w:tcW w:w="1260" w:type="dxa"/>
          </w:tcPr>
          <w:p w14:paraId="59BA9B57" w14:textId="001563E4" w:rsidR="00E139C5" w:rsidRPr="00E139C5" w:rsidRDefault="00E139C5" w:rsidP="00E139C5">
            <w:pPr>
              <w:spacing w:line="276" w:lineRule="auto"/>
              <w:jc w:val="right"/>
            </w:pPr>
          </w:p>
        </w:tc>
        <w:tc>
          <w:tcPr>
            <w:tcW w:w="1260" w:type="dxa"/>
          </w:tcPr>
          <w:p w14:paraId="66E638BD" w14:textId="5F7E01BC" w:rsidR="00E139C5" w:rsidRPr="00E139C5" w:rsidRDefault="00E139C5" w:rsidP="00E139C5">
            <w:pPr>
              <w:spacing w:line="276" w:lineRule="auto"/>
              <w:jc w:val="right"/>
            </w:pPr>
          </w:p>
        </w:tc>
      </w:tr>
      <w:tr w:rsidR="00E139C5" w:rsidRPr="00E139C5" w14:paraId="3616C53F" w14:textId="77777777" w:rsidTr="0044321C">
        <w:trPr>
          <w:divId w:val="1261141582"/>
          <w:trHeight w:val="255"/>
        </w:trPr>
        <w:tc>
          <w:tcPr>
            <w:tcW w:w="3145" w:type="dxa"/>
            <w:hideMark/>
          </w:tcPr>
          <w:p w14:paraId="1FF91133" w14:textId="77777777" w:rsidR="00E139C5" w:rsidRPr="00E139C5" w:rsidRDefault="00E139C5" w:rsidP="00E139C5">
            <w:pPr>
              <w:spacing w:line="276" w:lineRule="auto"/>
            </w:pPr>
            <w:r>
              <w:t>Përfitimet për grupet e tjera – në vazhdimësi</w:t>
            </w:r>
          </w:p>
        </w:tc>
        <w:tc>
          <w:tcPr>
            <w:tcW w:w="1350" w:type="dxa"/>
          </w:tcPr>
          <w:p w14:paraId="311598DC" w14:textId="3D4452AE" w:rsidR="00E139C5" w:rsidRPr="00E139C5" w:rsidRDefault="00E139C5" w:rsidP="00E139C5">
            <w:pPr>
              <w:spacing w:line="276" w:lineRule="auto"/>
              <w:ind w:left="-108" w:firstLine="108"/>
              <w:jc w:val="right"/>
            </w:pPr>
          </w:p>
        </w:tc>
        <w:tc>
          <w:tcPr>
            <w:tcW w:w="1170" w:type="dxa"/>
          </w:tcPr>
          <w:p w14:paraId="249606C4" w14:textId="6256F6BB" w:rsidR="00E139C5" w:rsidRPr="00E139C5" w:rsidRDefault="00E139C5" w:rsidP="00E139C5">
            <w:pPr>
              <w:spacing w:line="276" w:lineRule="auto"/>
              <w:ind w:left="-108" w:firstLine="108"/>
              <w:jc w:val="right"/>
            </w:pPr>
          </w:p>
        </w:tc>
        <w:tc>
          <w:tcPr>
            <w:tcW w:w="1080" w:type="dxa"/>
          </w:tcPr>
          <w:p w14:paraId="2A8E54B0" w14:textId="50D3A467" w:rsidR="00E139C5" w:rsidRPr="00E139C5" w:rsidRDefault="00E139C5" w:rsidP="00E139C5">
            <w:pPr>
              <w:spacing w:line="276" w:lineRule="auto"/>
              <w:jc w:val="right"/>
            </w:pPr>
          </w:p>
        </w:tc>
        <w:tc>
          <w:tcPr>
            <w:tcW w:w="1170" w:type="dxa"/>
          </w:tcPr>
          <w:p w14:paraId="3153A25B" w14:textId="793DBEF5" w:rsidR="00E139C5" w:rsidRPr="00E139C5" w:rsidRDefault="00E139C5" w:rsidP="00E139C5">
            <w:pPr>
              <w:spacing w:line="276" w:lineRule="auto"/>
              <w:jc w:val="right"/>
            </w:pPr>
          </w:p>
        </w:tc>
        <w:tc>
          <w:tcPr>
            <w:tcW w:w="1080" w:type="dxa"/>
          </w:tcPr>
          <w:p w14:paraId="70883C4C" w14:textId="49771A6E" w:rsidR="00E139C5" w:rsidRPr="00E139C5" w:rsidRDefault="00E139C5" w:rsidP="00E139C5">
            <w:pPr>
              <w:spacing w:line="276" w:lineRule="auto"/>
              <w:jc w:val="right"/>
            </w:pPr>
          </w:p>
        </w:tc>
        <w:tc>
          <w:tcPr>
            <w:tcW w:w="1260" w:type="dxa"/>
          </w:tcPr>
          <w:p w14:paraId="357E1523" w14:textId="7F85C22C" w:rsidR="00E139C5" w:rsidRPr="00E139C5" w:rsidRDefault="00E139C5" w:rsidP="00E139C5">
            <w:pPr>
              <w:spacing w:line="276" w:lineRule="auto"/>
              <w:jc w:val="right"/>
            </w:pPr>
          </w:p>
        </w:tc>
        <w:tc>
          <w:tcPr>
            <w:tcW w:w="1080" w:type="dxa"/>
          </w:tcPr>
          <w:p w14:paraId="40FDBE59" w14:textId="32BFB4BF" w:rsidR="00E139C5" w:rsidRPr="00E139C5" w:rsidRDefault="00E139C5" w:rsidP="00E139C5">
            <w:pPr>
              <w:spacing w:line="276" w:lineRule="auto"/>
              <w:jc w:val="right"/>
            </w:pPr>
          </w:p>
        </w:tc>
        <w:tc>
          <w:tcPr>
            <w:tcW w:w="1260" w:type="dxa"/>
          </w:tcPr>
          <w:p w14:paraId="617C45FB" w14:textId="15C49CCA" w:rsidR="00E139C5" w:rsidRPr="00E139C5" w:rsidRDefault="00E139C5" w:rsidP="00E139C5">
            <w:pPr>
              <w:spacing w:line="276" w:lineRule="auto"/>
              <w:jc w:val="right"/>
            </w:pPr>
          </w:p>
        </w:tc>
        <w:tc>
          <w:tcPr>
            <w:tcW w:w="1260" w:type="dxa"/>
          </w:tcPr>
          <w:p w14:paraId="77958C5E" w14:textId="79719741" w:rsidR="00E139C5" w:rsidRPr="00E139C5" w:rsidRDefault="00E139C5" w:rsidP="00E139C5">
            <w:pPr>
              <w:spacing w:line="276" w:lineRule="auto"/>
              <w:jc w:val="right"/>
            </w:pPr>
          </w:p>
        </w:tc>
        <w:tc>
          <w:tcPr>
            <w:tcW w:w="1260" w:type="dxa"/>
          </w:tcPr>
          <w:p w14:paraId="3F36D85A" w14:textId="3A841DA2" w:rsidR="00E139C5" w:rsidRPr="00E139C5" w:rsidRDefault="00E139C5" w:rsidP="00E139C5">
            <w:pPr>
              <w:spacing w:line="276" w:lineRule="auto"/>
              <w:jc w:val="right"/>
            </w:pPr>
          </w:p>
        </w:tc>
      </w:tr>
      <w:tr w:rsidR="00E139C5" w:rsidRPr="00E139C5" w14:paraId="6E53C29F" w14:textId="77777777" w:rsidTr="0044321C">
        <w:trPr>
          <w:divId w:val="1261141582"/>
          <w:trHeight w:val="255"/>
        </w:trPr>
        <w:tc>
          <w:tcPr>
            <w:tcW w:w="3145" w:type="dxa"/>
            <w:hideMark/>
          </w:tcPr>
          <w:p w14:paraId="2299BF7B" w14:textId="77777777" w:rsidR="00E139C5" w:rsidRPr="00E139C5" w:rsidRDefault="00E139C5" w:rsidP="00E139C5">
            <w:pPr>
              <w:spacing w:line="276" w:lineRule="auto"/>
            </w:pPr>
            <w:r>
              <w:t>Përfitimet për biznesin – një herë</w:t>
            </w:r>
          </w:p>
        </w:tc>
        <w:tc>
          <w:tcPr>
            <w:tcW w:w="1350" w:type="dxa"/>
          </w:tcPr>
          <w:p w14:paraId="7F5390FF" w14:textId="3A59EBB4" w:rsidR="00E139C5" w:rsidRPr="00E139C5" w:rsidRDefault="00E139C5" w:rsidP="00E139C5">
            <w:pPr>
              <w:spacing w:line="276" w:lineRule="auto"/>
              <w:ind w:left="-108" w:firstLine="108"/>
              <w:jc w:val="right"/>
            </w:pPr>
          </w:p>
        </w:tc>
        <w:tc>
          <w:tcPr>
            <w:tcW w:w="1170" w:type="dxa"/>
          </w:tcPr>
          <w:p w14:paraId="43EE7322" w14:textId="1996697F" w:rsidR="00E139C5" w:rsidRPr="00E139C5" w:rsidRDefault="00E139C5" w:rsidP="00E139C5">
            <w:pPr>
              <w:spacing w:line="276" w:lineRule="auto"/>
              <w:ind w:left="-108" w:firstLine="108"/>
              <w:jc w:val="right"/>
            </w:pPr>
          </w:p>
        </w:tc>
        <w:tc>
          <w:tcPr>
            <w:tcW w:w="1080" w:type="dxa"/>
          </w:tcPr>
          <w:p w14:paraId="2DC3B9CB" w14:textId="0E8B85BD" w:rsidR="00E139C5" w:rsidRPr="00E139C5" w:rsidRDefault="00E139C5" w:rsidP="00E139C5">
            <w:pPr>
              <w:spacing w:line="276" w:lineRule="auto"/>
              <w:jc w:val="right"/>
            </w:pPr>
          </w:p>
        </w:tc>
        <w:tc>
          <w:tcPr>
            <w:tcW w:w="1170" w:type="dxa"/>
          </w:tcPr>
          <w:p w14:paraId="48BB5D70" w14:textId="55E35D9F" w:rsidR="00E139C5" w:rsidRPr="00E139C5" w:rsidRDefault="00E139C5" w:rsidP="00E139C5">
            <w:pPr>
              <w:spacing w:line="276" w:lineRule="auto"/>
              <w:jc w:val="right"/>
            </w:pPr>
          </w:p>
        </w:tc>
        <w:tc>
          <w:tcPr>
            <w:tcW w:w="1080" w:type="dxa"/>
          </w:tcPr>
          <w:p w14:paraId="56FC7079" w14:textId="61CB78BA" w:rsidR="00E139C5" w:rsidRPr="00E139C5" w:rsidRDefault="00E139C5" w:rsidP="00E139C5">
            <w:pPr>
              <w:spacing w:line="276" w:lineRule="auto"/>
              <w:jc w:val="right"/>
            </w:pPr>
          </w:p>
        </w:tc>
        <w:tc>
          <w:tcPr>
            <w:tcW w:w="1260" w:type="dxa"/>
          </w:tcPr>
          <w:p w14:paraId="2D73A32E" w14:textId="5EAB0429" w:rsidR="00E139C5" w:rsidRPr="00E139C5" w:rsidRDefault="00E139C5" w:rsidP="00E139C5">
            <w:pPr>
              <w:spacing w:line="276" w:lineRule="auto"/>
              <w:jc w:val="right"/>
            </w:pPr>
          </w:p>
        </w:tc>
        <w:tc>
          <w:tcPr>
            <w:tcW w:w="1080" w:type="dxa"/>
          </w:tcPr>
          <w:p w14:paraId="4847F1A7" w14:textId="7EF02AE8" w:rsidR="00E139C5" w:rsidRPr="00E139C5" w:rsidRDefault="00E139C5" w:rsidP="00E139C5">
            <w:pPr>
              <w:spacing w:line="276" w:lineRule="auto"/>
              <w:jc w:val="right"/>
            </w:pPr>
          </w:p>
        </w:tc>
        <w:tc>
          <w:tcPr>
            <w:tcW w:w="1260" w:type="dxa"/>
          </w:tcPr>
          <w:p w14:paraId="0B0E7A9F" w14:textId="2322890B" w:rsidR="00E139C5" w:rsidRPr="00E139C5" w:rsidRDefault="00E139C5" w:rsidP="00E139C5">
            <w:pPr>
              <w:spacing w:line="276" w:lineRule="auto"/>
              <w:jc w:val="right"/>
            </w:pPr>
          </w:p>
        </w:tc>
        <w:tc>
          <w:tcPr>
            <w:tcW w:w="1260" w:type="dxa"/>
          </w:tcPr>
          <w:p w14:paraId="4582EF44" w14:textId="757BA2D4" w:rsidR="00E139C5" w:rsidRPr="00E139C5" w:rsidRDefault="00E139C5" w:rsidP="00E139C5">
            <w:pPr>
              <w:spacing w:line="276" w:lineRule="auto"/>
              <w:jc w:val="right"/>
            </w:pPr>
          </w:p>
        </w:tc>
        <w:tc>
          <w:tcPr>
            <w:tcW w:w="1260" w:type="dxa"/>
          </w:tcPr>
          <w:p w14:paraId="4B21E4CF" w14:textId="0124A286" w:rsidR="00E139C5" w:rsidRPr="00E139C5" w:rsidRDefault="00E139C5" w:rsidP="00E139C5">
            <w:pPr>
              <w:spacing w:line="276" w:lineRule="auto"/>
              <w:jc w:val="right"/>
            </w:pPr>
          </w:p>
        </w:tc>
      </w:tr>
      <w:tr w:rsidR="00E139C5" w:rsidRPr="00E139C5" w14:paraId="4E25EAAF" w14:textId="77777777" w:rsidTr="0044321C">
        <w:trPr>
          <w:divId w:val="1261141582"/>
          <w:trHeight w:val="270"/>
        </w:trPr>
        <w:tc>
          <w:tcPr>
            <w:tcW w:w="3145" w:type="dxa"/>
            <w:hideMark/>
          </w:tcPr>
          <w:p w14:paraId="1E5E3D68" w14:textId="77777777" w:rsidR="00E139C5" w:rsidRPr="00E139C5" w:rsidRDefault="00E139C5" w:rsidP="00E139C5">
            <w:pPr>
              <w:spacing w:line="276" w:lineRule="auto"/>
            </w:pPr>
            <w:r>
              <w:t>Përfitimet për biznesin – në vazhdimësi</w:t>
            </w:r>
          </w:p>
        </w:tc>
        <w:tc>
          <w:tcPr>
            <w:tcW w:w="1350" w:type="dxa"/>
          </w:tcPr>
          <w:p w14:paraId="20668B23" w14:textId="5D9CE723" w:rsidR="00E139C5" w:rsidRPr="00E139C5" w:rsidRDefault="00E139C5" w:rsidP="00E139C5">
            <w:pPr>
              <w:spacing w:line="276" w:lineRule="auto"/>
              <w:ind w:left="-108" w:firstLine="108"/>
              <w:jc w:val="right"/>
            </w:pPr>
          </w:p>
        </w:tc>
        <w:tc>
          <w:tcPr>
            <w:tcW w:w="1170" w:type="dxa"/>
          </w:tcPr>
          <w:p w14:paraId="18F474B7" w14:textId="55EF6FB2" w:rsidR="00E139C5" w:rsidRPr="00E139C5" w:rsidRDefault="00E139C5" w:rsidP="00E139C5">
            <w:pPr>
              <w:spacing w:line="276" w:lineRule="auto"/>
              <w:ind w:left="-108" w:firstLine="108"/>
              <w:jc w:val="right"/>
            </w:pPr>
          </w:p>
        </w:tc>
        <w:tc>
          <w:tcPr>
            <w:tcW w:w="1080" w:type="dxa"/>
          </w:tcPr>
          <w:p w14:paraId="752E5064" w14:textId="255F593E" w:rsidR="00E139C5" w:rsidRPr="00E139C5" w:rsidRDefault="00E139C5" w:rsidP="00E139C5">
            <w:pPr>
              <w:spacing w:line="276" w:lineRule="auto"/>
              <w:jc w:val="right"/>
            </w:pPr>
          </w:p>
        </w:tc>
        <w:tc>
          <w:tcPr>
            <w:tcW w:w="1170" w:type="dxa"/>
          </w:tcPr>
          <w:p w14:paraId="0CCF0A36" w14:textId="383005E8" w:rsidR="00E139C5" w:rsidRPr="00E139C5" w:rsidRDefault="00E139C5" w:rsidP="00E139C5">
            <w:pPr>
              <w:spacing w:line="276" w:lineRule="auto"/>
              <w:jc w:val="right"/>
            </w:pPr>
          </w:p>
        </w:tc>
        <w:tc>
          <w:tcPr>
            <w:tcW w:w="1080" w:type="dxa"/>
          </w:tcPr>
          <w:p w14:paraId="7DC77315" w14:textId="5AA99E70" w:rsidR="00E139C5" w:rsidRPr="00E139C5" w:rsidRDefault="00E139C5" w:rsidP="00E139C5">
            <w:pPr>
              <w:spacing w:line="276" w:lineRule="auto"/>
              <w:jc w:val="right"/>
            </w:pPr>
          </w:p>
        </w:tc>
        <w:tc>
          <w:tcPr>
            <w:tcW w:w="1260" w:type="dxa"/>
          </w:tcPr>
          <w:p w14:paraId="6796F90B" w14:textId="4658E081" w:rsidR="00E139C5" w:rsidRPr="00E139C5" w:rsidRDefault="00E139C5" w:rsidP="00E139C5">
            <w:pPr>
              <w:spacing w:line="276" w:lineRule="auto"/>
              <w:jc w:val="right"/>
            </w:pPr>
          </w:p>
        </w:tc>
        <w:tc>
          <w:tcPr>
            <w:tcW w:w="1080" w:type="dxa"/>
          </w:tcPr>
          <w:p w14:paraId="25DD041F" w14:textId="5C305C7C" w:rsidR="00E139C5" w:rsidRPr="00E139C5" w:rsidRDefault="00E139C5" w:rsidP="00E139C5">
            <w:pPr>
              <w:spacing w:line="276" w:lineRule="auto"/>
              <w:jc w:val="right"/>
            </w:pPr>
          </w:p>
        </w:tc>
        <w:tc>
          <w:tcPr>
            <w:tcW w:w="1260" w:type="dxa"/>
          </w:tcPr>
          <w:p w14:paraId="2AF3ED08" w14:textId="16EEA4AE" w:rsidR="00E139C5" w:rsidRPr="00E139C5" w:rsidRDefault="00E139C5" w:rsidP="00E139C5">
            <w:pPr>
              <w:spacing w:line="276" w:lineRule="auto"/>
              <w:jc w:val="right"/>
            </w:pPr>
          </w:p>
        </w:tc>
        <w:tc>
          <w:tcPr>
            <w:tcW w:w="1260" w:type="dxa"/>
          </w:tcPr>
          <w:p w14:paraId="6AD92897" w14:textId="681208F6" w:rsidR="00E139C5" w:rsidRPr="00E139C5" w:rsidRDefault="00E139C5" w:rsidP="00E139C5">
            <w:pPr>
              <w:spacing w:line="276" w:lineRule="auto"/>
              <w:jc w:val="right"/>
            </w:pPr>
          </w:p>
        </w:tc>
        <w:tc>
          <w:tcPr>
            <w:tcW w:w="1260" w:type="dxa"/>
          </w:tcPr>
          <w:p w14:paraId="27F71D25" w14:textId="26B42592" w:rsidR="00E139C5" w:rsidRPr="00E139C5" w:rsidRDefault="00E139C5" w:rsidP="00E139C5">
            <w:pPr>
              <w:spacing w:line="276" w:lineRule="auto"/>
              <w:jc w:val="right"/>
            </w:pPr>
          </w:p>
        </w:tc>
      </w:tr>
      <w:tr w:rsidR="00E139C5" w:rsidRPr="00E139C5" w14:paraId="602A07C6" w14:textId="77777777" w:rsidTr="0044321C">
        <w:trPr>
          <w:divId w:val="1261141582"/>
          <w:trHeight w:val="285"/>
        </w:trPr>
        <w:tc>
          <w:tcPr>
            <w:tcW w:w="3145" w:type="dxa"/>
            <w:hideMark/>
          </w:tcPr>
          <w:p w14:paraId="1FA9180A" w14:textId="77777777" w:rsidR="00E139C5" w:rsidRPr="00E139C5" w:rsidRDefault="00E139C5" w:rsidP="00E139C5">
            <w:pPr>
              <w:spacing w:line="276" w:lineRule="auto"/>
              <w:rPr>
                <w:b/>
              </w:rPr>
            </w:pPr>
            <w:r w:rsidRPr="1A98504A">
              <w:rPr>
                <w:b/>
              </w:rPr>
              <w:t>Përfitimet totale</w:t>
            </w:r>
          </w:p>
        </w:tc>
        <w:tc>
          <w:tcPr>
            <w:tcW w:w="1350" w:type="dxa"/>
          </w:tcPr>
          <w:p w14:paraId="350BF0A7" w14:textId="5E873ADD" w:rsidR="00E139C5" w:rsidRPr="00E139C5" w:rsidRDefault="00E139C5" w:rsidP="00E139C5">
            <w:pPr>
              <w:spacing w:line="276" w:lineRule="auto"/>
              <w:ind w:left="-108" w:firstLine="108"/>
              <w:jc w:val="right"/>
            </w:pPr>
          </w:p>
        </w:tc>
        <w:tc>
          <w:tcPr>
            <w:tcW w:w="1170" w:type="dxa"/>
          </w:tcPr>
          <w:p w14:paraId="261C1947" w14:textId="35677F31" w:rsidR="00E139C5" w:rsidRPr="00E139C5" w:rsidRDefault="00E139C5" w:rsidP="00E139C5">
            <w:pPr>
              <w:spacing w:line="276" w:lineRule="auto"/>
              <w:ind w:left="-108" w:firstLine="108"/>
              <w:jc w:val="right"/>
            </w:pPr>
          </w:p>
        </w:tc>
        <w:tc>
          <w:tcPr>
            <w:tcW w:w="1080" w:type="dxa"/>
          </w:tcPr>
          <w:p w14:paraId="1F026DC5" w14:textId="3418C5C2" w:rsidR="00E139C5" w:rsidRPr="00E139C5" w:rsidRDefault="00E139C5" w:rsidP="00E139C5">
            <w:pPr>
              <w:spacing w:line="276" w:lineRule="auto"/>
              <w:jc w:val="right"/>
            </w:pPr>
          </w:p>
        </w:tc>
        <w:tc>
          <w:tcPr>
            <w:tcW w:w="1170" w:type="dxa"/>
          </w:tcPr>
          <w:p w14:paraId="3B39E227" w14:textId="3591C3FE" w:rsidR="00E139C5" w:rsidRPr="00E139C5" w:rsidRDefault="00E139C5" w:rsidP="00E139C5">
            <w:pPr>
              <w:spacing w:line="276" w:lineRule="auto"/>
              <w:jc w:val="right"/>
            </w:pPr>
          </w:p>
        </w:tc>
        <w:tc>
          <w:tcPr>
            <w:tcW w:w="1080" w:type="dxa"/>
          </w:tcPr>
          <w:p w14:paraId="36A5C5DD" w14:textId="0DA2B1F5" w:rsidR="00E139C5" w:rsidRPr="00E139C5" w:rsidRDefault="00E139C5" w:rsidP="00E139C5">
            <w:pPr>
              <w:spacing w:line="276" w:lineRule="auto"/>
              <w:jc w:val="right"/>
            </w:pPr>
          </w:p>
        </w:tc>
        <w:tc>
          <w:tcPr>
            <w:tcW w:w="1260" w:type="dxa"/>
          </w:tcPr>
          <w:p w14:paraId="10A48502" w14:textId="46AD9E67" w:rsidR="00E139C5" w:rsidRPr="00E139C5" w:rsidRDefault="00E139C5" w:rsidP="00E139C5">
            <w:pPr>
              <w:spacing w:line="276" w:lineRule="auto"/>
              <w:jc w:val="right"/>
            </w:pPr>
          </w:p>
        </w:tc>
        <w:tc>
          <w:tcPr>
            <w:tcW w:w="1080" w:type="dxa"/>
          </w:tcPr>
          <w:p w14:paraId="128F496A" w14:textId="67DDE52B" w:rsidR="00E139C5" w:rsidRPr="00E139C5" w:rsidRDefault="00E139C5" w:rsidP="00E139C5">
            <w:pPr>
              <w:spacing w:line="276" w:lineRule="auto"/>
              <w:jc w:val="right"/>
            </w:pPr>
          </w:p>
        </w:tc>
        <w:tc>
          <w:tcPr>
            <w:tcW w:w="1260" w:type="dxa"/>
          </w:tcPr>
          <w:p w14:paraId="1E001704" w14:textId="5DBE4806" w:rsidR="00E139C5" w:rsidRPr="00E139C5" w:rsidRDefault="00E139C5" w:rsidP="00E139C5">
            <w:pPr>
              <w:spacing w:line="276" w:lineRule="auto"/>
              <w:jc w:val="right"/>
            </w:pPr>
          </w:p>
        </w:tc>
        <w:tc>
          <w:tcPr>
            <w:tcW w:w="1260" w:type="dxa"/>
          </w:tcPr>
          <w:p w14:paraId="047FAE14" w14:textId="54DDD842" w:rsidR="00E139C5" w:rsidRPr="00E139C5" w:rsidRDefault="00E139C5" w:rsidP="00E139C5">
            <w:pPr>
              <w:spacing w:line="276" w:lineRule="auto"/>
              <w:jc w:val="right"/>
            </w:pPr>
          </w:p>
        </w:tc>
        <w:tc>
          <w:tcPr>
            <w:tcW w:w="1260" w:type="dxa"/>
          </w:tcPr>
          <w:p w14:paraId="3145DC87" w14:textId="675C23FF" w:rsidR="00E139C5" w:rsidRPr="00E139C5" w:rsidRDefault="00E139C5" w:rsidP="00E139C5">
            <w:pPr>
              <w:spacing w:line="276" w:lineRule="auto"/>
              <w:jc w:val="right"/>
            </w:pPr>
          </w:p>
        </w:tc>
      </w:tr>
      <w:tr w:rsidR="00E139C5" w:rsidRPr="00E139C5" w14:paraId="66DD2E98" w14:textId="77777777" w:rsidTr="0044321C">
        <w:trPr>
          <w:divId w:val="1261141582"/>
          <w:trHeight w:val="390"/>
        </w:trPr>
        <w:tc>
          <w:tcPr>
            <w:tcW w:w="3145" w:type="dxa"/>
            <w:hideMark/>
          </w:tcPr>
          <w:p w14:paraId="477923E0" w14:textId="77777777" w:rsidR="00E139C5" w:rsidRPr="00E139C5" w:rsidRDefault="00E139C5" w:rsidP="00E139C5">
            <w:pPr>
              <w:spacing w:line="276" w:lineRule="auto"/>
            </w:pPr>
            <w:r w:rsidRPr="1A98504A">
              <w:rPr>
                <w:b/>
              </w:rPr>
              <w:t>Përfitimi i zbritur</w:t>
            </w:r>
            <w:r>
              <w:t>= Përfitimi në total x faktori zbritës</w:t>
            </w:r>
          </w:p>
        </w:tc>
        <w:tc>
          <w:tcPr>
            <w:tcW w:w="1350" w:type="dxa"/>
          </w:tcPr>
          <w:p w14:paraId="0D622643" w14:textId="304356E6" w:rsidR="00E139C5" w:rsidRPr="00E139C5" w:rsidRDefault="00E139C5" w:rsidP="00E139C5">
            <w:pPr>
              <w:spacing w:line="276" w:lineRule="auto"/>
              <w:ind w:left="-108" w:firstLine="108"/>
              <w:jc w:val="right"/>
            </w:pPr>
          </w:p>
        </w:tc>
        <w:tc>
          <w:tcPr>
            <w:tcW w:w="1170" w:type="dxa"/>
          </w:tcPr>
          <w:p w14:paraId="0962A2AC" w14:textId="29C61C95" w:rsidR="00E139C5" w:rsidRPr="00E139C5" w:rsidRDefault="00E139C5" w:rsidP="00E139C5">
            <w:pPr>
              <w:spacing w:line="276" w:lineRule="auto"/>
              <w:ind w:left="-108" w:firstLine="108"/>
              <w:jc w:val="right"/>
            </w:pPr>
          </w:p>
        </w:tc>
        <w:tc>
          <w:tcPr>
            <w:tcW w:w="1080" w:type="dxa"/>
          </w:tcPr>
          <w:p w14:paraId="28075B28" w14:textId="200CE551" w:rsidR="00E139C5" w:rsidRPr="00E139C5" w:rsidRDefault="00E139C5" w:rsidP="00E139C5">
            <w:pPr>
              <w:spacing w:line="276" w:lineRule="auto"/>
              <w:jc w:val="right"/>
            </w:pPr>
          </w:p>
        </w:tc>
        <w:tc>
          <w:tcPr>
            <w:tcW w:w="1170" w:type="dxa"/>
          </w:tcPr>
          <w:p w14:paraId="3D40C9A0" w14:textId="055EC735" w:rsidR="00E139C5" w:rsidRPr="00E139C5" w:rsidRDefault="00E139C5" w:rsidP="00E139C5">
            <w:pPr>
              <w:spacing w:line="276" w:lineRule="auto"/>
              <w:jc w:val="right"/>
            </w:pPr>
          </w:p>
        </w:tc>
        <w:tc>
          <w:tcPr>
            <w:tcW w:w="1080" w:type="dxa"/>
          </w:tcPr>
          <w:p w14:paraId="7983CC86" w14:textId="21243700" w:rsidR="00E139C5" w:rsidRPr="00E139C5" w:rsidRDefault="00E139C5" w:rsidP="00E139C5">
            <w:pPr>
              <w:spacing w:line="276" w:lineRule="auto"/>
              <w:jc w:val="right"/>
            </w:pPr>
          </w:p>
        </w:tc>
        <w:tc>
          <w:tcPr>
            <w:tcW w:w="1260" w:type="dxa"/>
          </w:tcPr>
          <w:p w14:paraId="504A22DF" w14:textId="24DBD918" w:rsidR="00E139C5" w:rsidRPr="00E139C5" w:rsidRDefault="00E139C5" w:rsidP="00E139C5">
            <w:pPr>
              <w:spacing w:line="276" w:lineRule="auto"/>
              <w:jc w:val="right"/>
            </w:pPr>
          </w:p>
        </w:tc>
        <w:tc>
          <w:tcPr>
            <w:tcW w:w="1080" w:type="dxa"/>
          </w:tcPr>
          <w:p w14:paraId="472897F5" w14:textId="1E3CFDA8" w:rsidR="00E139C5" w:rsidRPr="00E139C5" w:rsidRDefault="00E139C5" w:rsidP="00E139C5">
            <w:pPr>
              <w:spacing w:line="276" w:lineRule="auto"/>
              <w:jc w:val="right"/>
            </w:pPr>
          </w:p>
        </w:tc>
        <w:tc>
          <w:tcPr>
            <w:tcW w:w="1260" w:type="dxa"/>
          </w:tcPr>
          <w:p w14:paraId="7B5A6EC3" w14:textId="6D923D0D" w:rsidR="00E139C5" w:rsidRPr="00E139C5" w:rsidRDefault="00E139C5" w:rsidP="00E139C5">
            <w:pPr>
              <w:spacing w:line="276" w:lineRule="auto"/>
              <w:jc w:val="right"/>
            </w:pPr>
          </w:p>
        </w:tc>
        <w:tc>
          <w:tcPr>
            <w:tcW w:w="1260" w:type="dxa"/>
          </w:tcPr>
          <w:p w14:paraId="57582A19" w14:textId="2350CB41" w:rsidR="00E139C5" w:rsidRPr="00E139C5" w:rsidRDefault="00E139C5" w:rsidP="00E139C5">
            <w:pPr>
              <w:spacing w:line="276" w:lineRule="auto"/>
              <w:jc w:val="right"/>
            </w:pPr>
          </w:p>
        </w:tc>
        <w:tc>
          <w:tcPr>
            <w:tcW w:w="1260" w:type="dxa"/>
          </w:tcPr>
          <w:p w14:paraId="6C53D347" w14:textId="04EA15BE" w:rsidR="00E139C5" w:rsidRPr="00E139C5" w:rsidRDefault="00E139C5" w:rsidP="00E139C5">
            <w:pPr>
              <w:spacing w:line="276" w:lineRule="auto"/>
              <w:jc w:val="right"/>
            </w:pPr>
          </w:p>
        </w:tc>
      </w:tr>
      <w:tr w:rsidR="00E139C5" w:rsidRPr="00E139C5" w14:paraId="1B6C4909" w14:textId="77777777" w:rsidTr="0044321C">
        <w:trPr>
          <w:divId w:val="1261141582"/>
          <w:trHeight w:val="375"/>
        </w:trPr>
        <w:tc>
          <w:tcPr>
            <w:tcW w:w="3145" w:type="dxa"/>
            <w:shd w:val="clear" w:color="auto" w:fill="F2F2F2" w:themeFill="background1" w:themeFillShade="F2"/>
            <w:hideMark/>
          </w:tcPr>
          <w:p w14:paraId="4E517B53" w14:textId="77777777" w:rsidR="00E139C5" w:rsidRPr="001155AF" w:rsidRDefault="00E139C5" w:rsidP="00E139C5">
            <w:pPr>
              <w:spacing w:line="276" w:lineRule="auto"/>
              <w:rPr>
                <w:b/>
                <w:lang w:val="it-IT"/>
              </w:rPr>
            </w:pPr>
            <w:r w:rsidRPr="1A98504A">
              <w:rPr>
                <w:b/>
              </w:rPr>
              <w:t>Vlera prezente aktuale e përfitimit në total</w:t>
            </w:r>
          </w:p>
        </w:tc>
        <w:tc>
          <w:tcPr>
            <w:tcW w:w="1350" w:type="dxa"/>
            <w:shd w:val="clear" w:color="auto" w:fill="F2F2F2" w:themeFill="background1" w:themeFillShade="F2"/>
          </w:tcPr>
          <w:p w14:paraId="26F4ED87" w14:textId="02B0584F" w:rsidR="00E139C5" w:rsidRPr="00E139C5" w:rsidRDefault="00E139C5" w:rsidP="00E139C5">
            <w:pPr>
              <w:spacing w:line="276" w:lineRule="auto"/>
              <w:ind w:left="-108" w:firstLine="108"/>
              <w:jc w:val="right"/>
            </w:pPr>
          </w:p>
        </w:tc>
        <w:tc>
          <w:tcPr>
            <w:tcW w:w="10620" w:type="dxa"/>
            <w:gridSpan w:val="9"/>
            <w:hideMark/>
          </w:tcPr>
          <w:p w14:paraId="1D492DBC" w14:textId="77777777" w:rsidR="00E139C5" w:rsidRPr="00E139C5" w:rsidRDefault="00E139C5" w:rsidP="00E139C5">
            <w:pPr>
              <w:spacing w:line="276" w:lineRule="auto"/>
              <w:ind w:left="-108" w:firstLine="108"/>
              <w:jc w:val="right"/>
            </w:pPr>
            <w:r>
              <w:t> </w:t>
            </w:r>
          </w:p>
        </w:tc>
      </w:tr>
      <w:tr w:rsidR="00E139C5" w:rsidRPr="00E139C5" w14:paraId="389CE17E" w14:textId="77777777" w:rsidTr="0044321C">
        <w:trPr>
          <w:divId w:val="1261141582"/>
          <w:trHeight w:val="270"/>
        </w:trPr>
        <w:tc>
          <w:tcPr>
            <w:tcW w:w="3145" w:type="dxa"/>
            <w:shd w:val="clear" w:color="auto" w:fill="F2F2F2" w:themeFill="background1" w:themeFillShade="F2"/>
            <w:hideMark/>
          </w:tcPr>
          <w:p w14:paraId="243A998A" w14:textId="77777777" w:rsidR="00E139C5" w:rsidRPr="001155AF" w:rsidRDefault="00E139C5" w:rsidP="00E139C5">
            <w:pPr>
              <w:spacing w:line="276" w:lineRule="auto"/>
              <w:rPr>
                <w:b/>
                <w:lang w:val="it-IT"/>
              </w:rPr>
            </w:pPr>
            <w:r w:rsidRPr="1A98504A">
              <w:rPr>
                <w:b/>
              </w:rPr>
              <w:t>Vlera prezente aktuale e kostos në total</w:t>
            </w:r>
          </w:p>
        </w:tc>
        <w:tc>
          <w:tcPr>
            <w:tcW w:w="1350" w:type="dxa"/>
            <w:shd w:val="clear" w:color="auto" w:fill="F2F2F2" w:themeFill="background1" w:themeFillShade="F2"/>
          </w:tcPr>
          <w:p w14:paraId="7721109B" w14:textId="42387630" w:rsidR="00E139C5" w:rsidRPr="00E139C5" w:rsidRDefault="00E139C5" w:rsidP="00E139C5">
            <w:pPr>
              <w:spacing w:line="276" w:lineRule="auto"/>
              <w:ind w:left="-108" w:firstLine="108"/>
              <w:jc w:val="right"/>
            </w:pPr>
          </w:p>
        </w:tc>
        <w:tc>
          <w:tcPr>
            <w:tcW w:w="10620" w:type="dxa"/>
            <w:gridSpan w:val="9"/>
            <w:hideMark/>
          </w:tcPr>
          <w:p w14:paraId="4A870378" w14:textId="77777777" w:rsidR="00E139C5" w:rsidRPr="00E139C5" w:rsidRDefault="00E139C5" w:rsidP="00E139C5">
            <w:pPr>
              <w:spacing w:line="276" w:lineRule="auto"/>
              <w:ind w:left="-108" w:firstLine="108"/>
              <w:jc w:val="right"/>
            </w:pPr>
            <w:r>
              <w:t> </w:t>
            </w:r>
          </w:p>
        </w:tc>
      </w:tr>
      <w:tr w:rsidR="00E139C5" w:rsidRPr="00E139C5" w14:paraId="613A0A51" w14:textId="77777777" w:rsidTr="0044321C">
        <w:trPr>
          <w:divId w:val="1261141582"/>
          <w:trHeight w:val="555"/>
        </w:trPr>
        <w:tc>
          <w:tcPr>
            <w:tcW w:w="3145" w:type="dxa"/>
            <w:shd w:val="clear" w:color="auto" w:fill="F2F2F2" w:themeFill="background1" w:themeFillShade="F2"/>
            <w:hideMark/>
          </w:tcPr>
          <w:p w14:paraId="758382E0" w14:textId="77777777" w:rsidR="00E139C5" w:rsidRPr="001155AF" w:rsidRDefault="00E139C5" w:rsidP="00E139C5">
            <w:pPr>
              <w:spacing w:line="276" w:lineRule="auto"/>
              <w:rPr>
                <w:lang w:val="it-IT"/>
              </w:rPr>
            </w:pPr>
            <w:r w:rsidRPr="1A98504A">
              <w:rPr>
                <w:b/>
              </w:rPr>
              <w:t>Vlera Prezente Neto Aktuale (VAN)</w:t>
            </w:r>
            <w:r>
              <w:t xml:space="preserve"> = Vlera aktuale e përfitimit në total – Vlera aktuale e kostos në total</w:t>
            </w:r>
          </w:p>
        </w:tc>
        <w:tc>
          <w:tcPr>
            <w:tcW w:w="1350" w:type="dxa"/>
            <w:shd w:val="clear" w:color="auto" w:fill="F2F2F2" w:themeFill="background1" w:themeFillShade="F2"/>
          </w:tcPr>
          <w:p w14:paraId="5140BEFD" w14:textId="0B1ADEB8" w:rsidR="00E139C5" w:rsidRPr="00E139C5" w:rsidRDefault="00E139C5" w:rsidP="00E139C5">
            <w:pPr>
              <w:spacing w:line="276" w:lineRule="auto"/>
              <w:ind w:left="-108" w:firstLine="108"/>
              <w:jc w:val="right"/>
            </w:pPr>
          </w:p>
        </w:tc>
        <w:tc>
          <w:tcPr>
            <w:tcW w:w="10620" w:type="dxa"/>
            <w:gridSpan w:val="9"/>
            <w:hideMark/>
          </w:tcPr>
          <w:p w14:paraId="3BEBD43D" w14:textId="77777777" w:rsidR="00E139C5" w:rsidRPr="00E139C5" w:rsidRDefault="00E139C5" w:rsidP="00E139C5">
            <w:pPr>
              <w:spacing w:line="276" w:lineRule="auto"/>
              <w:ind w:left="-108" w:firstLine="108"/>
              <w:jc w:val="right"/>
            </w:pPr>
            <w:r>
              <w:t> </w:t>
            </w:r>
          </w:p>
        </w:tc>
      </w:tr>
    </w:tbl>
    <w:p w14:paraId="06A1E76E" w14:textId="479552E3" w:rsidR="00225F7F" w:rsidRDefault="009F625C" w:rsidP="009D13F4">
      <w:pPr>
        <w:spacing w:line="276" w:lineRule="auto"/>
        <w:rPr>
          <w:b/>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sidRPr="1A98504A">
        <w:rPr>
          <w:b/>
        </w:rPr>
        <w:fldChar w:fldCharType="end"/>
      </w:r>
    </w:p>
    <w:p w14:paraId="0547D548" w14:textId="62E858C2" w:rsidR="002125B7" w:rsidRPr="00325A1F" w:rsidRDefault="002125B7" w:rsidP="009D13F4">
      <w:pPr>
        <w:spacing w:line="276" w:lineRule="auto"/>
        <w:rPr>
          <w:rStyle w:val="Strong"/>
        </w:rPr>
      </w:pPr>
      <w:r w:rsidRPr="1A98504A">
        <w:rPr>
          <w:b/>
        </w:rPr>
        <w:t xml:space="preserve">Raporti i vlerësimit të ndikimit - Shtojca 2/b </w:t>
      </w:r>
    </w:p>
    <w:p w14:paraId="2FCDCCBA" w14:textId="77777777" w:rsidR="002125B7" w:rsidRPr="00325A1F" w:rsidRDefault="002125B7" w:rsidP="009D13F4">
      <w:pPr>
        <w:spacing w:line="276" w:lineRule="auto"/>
        <w:rPr>
          <w:rStyle w:val="Strong"/>
          <w:b w:val="0"/>
        </w:rPr>
      </w:pPr>
    </w:p>
    <w:p w14:paraId="0533BD70" w14:textId="77777777" w:rsidR="002125B7" w:rsidRPr="00325A1F" w:rsidRDefault="002125B7" w:rsidP="009D13F4">
      <w:pPr>
        <w:spacing w:line="276" w:lineRule="auto"/>
        <w:rPr>
          <w:rStyle w:val="Strong"/>
          <w:b w:val="0"/>
          <w:i/>
        </w:rPr>
      </w:pPr>
      <w:r w:rsidRPr="1A98504A">
        <w:rPr>
          <w:rStyle w:val="Strong"/>
          <w:i/>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rPr>
      </w:pPr>
    </w:p>
    <w:tbl>
      <w:tblPr>
        <w:tblStyle w:val="TableGrid"/>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2125B7" w:rsidRPr="001155AF" w14:paraId="759C0126" w14:textId="77777777" w:rsidTr="0044321C">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rPr>
            </w:pPr>
            <w:r w:rsidRPr="1A98504A">
              <w:rPr>
                <w:b/>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rPr>
            </w:pPr>
            <w:r w:rsidRPr="1A98504A">
              <w:rPr>
                <w:b/>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rPr>
            </w:pPr>
            <w:r w:rsidRPr="1A98504A">
              <w:rPr>
                <w:b/>
              </w:rPr>
              <w:t>Vlera aktuale neto në milionë lekë</w:t>
            </w:r>
          </w:p>
        </w:tc>
      </w:tr>
      <w:tr w:rsidR="002125B7" w:rsidRPr="00325A1F" w14:paraId="6936D5E6" w14:textId="77777777" w:rsidTr="0044321C">
        <w:tc>
          <w:tcPr>
            <w:tcW w:w="1698" w:type="dxa"/>
            <w:vMerge/>
          </w:tcPr>
          <w:p w14:paraId="7CE4FE12" w14:textId="77777777" w:rsidR="002125B7" w:rsidRPr="00325A1F" w:rsidRDefault="002125B7" w:rsidP="009D13F4">
            <w:pPr>
              <w:autoSpaceDE w:val="0"/>
              <w:autoSpaceDN w:val="0"/>
              <w:adjustRightInd w:val="0"/>
              <w:spacing w:line="276" w:lineRule="auto"/>
              <w:jc w:val="both"/>
            </w:pPr>
          </w:p>
        </w:tc>
        <w:tc>
          <w:tcPr>
            <w:tcW w:w="2258" w:type="dxa"/>
          </w:tcPr>
          <w:p w14:paraId="77F3EEB3" w14:textId="77777777" w:rsidR="002125B7" w:rsidRPr="00325A1F" w:rsidRDefault="002125B7" w:rsidP="009D13F4">
            <w:pPr>
              <w:autoSpaceDE w:val="0"/>
              <w:autoSpaceDN w:val="0"/>
              <w:adjustRightInd w:val="0"/>
              <w:spacing w:line="276" w:lineRule="auto"/>
              <w:jc w:val="center"/>
              <w:rPr>
                <w:b/>
              </w:rPr>
            </w:pPr>
            <w:r w:rsidRPr="1A98504A">
              <w:rPr>
                <w:b/>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rPr>
            </w:pPr>
            <w:r w:rsidRPr="1A98504A">
              <w:rPr>
                <w:b/>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rPr>
            </w:pPr>
          </w:p>
        </w:tc>
      </w:tr>
      <w:tr w:rsidR="002125B7" w:rsidRPr="00325A1F" w14:paraId="16797BDF" w14:textId="77777777" w:rsidTr="0044321C">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rPr>
            </w:pPr>
            <w:r>
              <w:t>Opsioni 1</w:t>
            </w:r>
          </w:p>
        </w:tc>
        <w:tc>
          <w:tcPr>
            <w:tcW w:w="2258" w:type="dxa"/>
          </w:tcPr>
          <w:p w14:paraId="086EE704" w14:textId="44AF1CD2" w:rsidR="002125B7" w:rsidRPr="00325A1F" w:rsidRDefault="003A12EA" w:rsidP="009D13F4">
            <w:pPr>
              <w:autoSpaceDE w:val="0"/>
              <w:autoSpaceDN w:val="0"/>
              <w:adjustRightInd w:val="0"/>
              <w:spacing w:line="276" w:lineRule="auto"/>
              <w:jc w:val="right"/>
              <w:rPr>
                <w:color w:val="000000"/>
              </w:rPr>
            </w:pPr>
            <w:r w:rsidRPr="1A98504A">
              <w:rPr>
                <w:color w:val="808080" w:themeColor="background1" w:themeShade="80"/>
              </w:rPr>
              <w:fldChar w:fldCharType="begin">
                <w:ffData>
                  <w:name w:val=""/>
                  <w:enabled/>
                  <w:calcOnExit/>
                  <w:textInput>
                    <w:type w:val="number"/>
                    <w:default w:val="0"/>
                    <w:maxLength w:val="20"/>
                  </w:textInput>
                </w:ffData>
              </w:fldChar>
            </w:r>
            <w:r w:rsidRPr="1A98504A">
              <w:rPr>
                <w:color w:val="808080" w:themeColor="background1" w:themeShade="80"/>
              </w:rPr>
              <w:instrText xml:space="preserve"> FORMTEXT </w:instrText>
            </w:r>
            <w:r w:rsidRPr="1A98504A">
              <w:rPr>
                <w:color w:val="808080" w:themeColor="background1" w:themeShade="80"/>
              </w:rPr>
            </w:r>
            <w:r w:rsidRPr="1A98504A">
              <w:rPr>
                <w:color w:val="808080" w:themeColor="background1" w:themeShade="80"/>
              </w:rPr>
              <w:fldChar w:fldCharType="separate"/>
            </w:r>
            <w:r w:rsidRPr="1A98504A">
              <w:rPr>
                <w:color w:val="808080" w:themeColor="background1" w:themeShade="80"/>
              </w:rPr>
              <w:t>0</w:t>
            </w:r>
            <w:r w:rsidRPr="1A98504A">
              <w:rPr>
                <w:color w:val="808080" w:themeColor="background1" w:themeShade="80"/>
              </w:rPr>
              <w:fldChar w:fldCharType="end"/>
            </w:r>
          </w:p>
        </w:tc>
        <w:tc>
          <w:tcPr>
            <w:tcW w:w="2410" w:type="dxa"/>
          </w:tcPr>
          <w:p w14:paraId="21A13888" w14:textId="6E0B6F6C" w:rsidR="002125B7" w:rsidRPr="00325A1F" w:rsidRDefault="003A12EA" w:rsidP="009D13F4">
            <w:pPr>
              <w:autoSpaceDE w:val="0"/>
              <w:autoSpaceDN w:val="0"/>
              <w:adjustRightInd w:val="0"/>
              <w:spacing w:line="276" w:lineRule="auto"/>
              <w:jc w:val="right"/>
              <w:rPr>
                <w:color w:val="000000"/>
              </w:rPr>
            </w:pPr>
            <w:r w:rsidRPr="1A98504A">
              <w:rPr>
                <w:color w:val="808080" w:themeColor="background1" w:themeShade="80"/>
              </w:rPr>
              <w:fldChar w:fldCharType="begin">
                <w:ffData>
                  <w:name w:val=""/>
                  <w:enabled/>
                  <w:calcOnExit/>
                  <w:textInput>
                    <w:type w:val="number"/>
                    <w:default w:val="0"/>
                    <w:maxLength w:val="20"/>
                  </w:textInput>
                </w:ffData>
              </w:fldChar>
            </w:r>
            <w:r w:rsidRPr="1A98504A">
              <w:rPr>
                <w:color w:val="808080" w:themeColor="background1" w:themeShade="80"/>
              </w:rPr>
              <w:instrText xml:space="preserve"> FORMTEXT </w:instrText>
            </w:r>
            <w:r w:rsidRPr="1A98504A">
              <w:rPr>
                <w:color w:val="808080" w:themeColor="background1" w:themeShade="80"/>
              </w:rPr>
            </w:r>
            <w:r w:rsidRPr="1A98504A">
              <w:rPr>
                <w:color w:val="808080" w:themeColor="background1" w:themeShade="80"/>
              </w:rPr>
              <w:fldChar w:fldCharType="separate"/>
            </w:r>
            <w:r w:rsidRPr="1A98504A">
              <w:rPr>
                <w:color w:val="808080" w:themeColor="background1" w:themeShade="80"/>
              </w:rPr>
              <w:t>0</w:t>
            </w:r>
            <w:r w:rsidRPr="1A98504A">
              <w:rPr>
                <w:color w:val="808080" w:themeColor="background1" w:themeShade="80"/>
              </w:rPr>
              <w:fldChar w:fldCharType="end"/>
            </w:r>
          </w:p>
        </w:tc>
        <w:tc>
          <w:tcPr>
            <w:tcW w:w="3444" w:type="dxa"/>
          </w:tcPr>
          <w:p w14:paraId="41027619" w14:textId="26A0988A" w:rsidR="002125B7" w:rsidRPr="00325A1F" w:rsidRDefault="003A12EA" w:rsidP="009D13F4">
            <w:pPr>
              <w:autoSpaceDE w:val="0"/>
              <w:autoSpaceDN w:val="0"/>
              <w:adjustRightInd w:val="0"/>
              <w:spacing w:line="276" w:lineRule="auto"/>
              <w:jc w:val="right"/>
              <w:rPr>
                <w:color w:val="000000"/>
              </w:rPr>
            </w:pPr>
            <w:r w:rsidRPr="1A98504A">
              <w:rPr>
                <w:color w:val="808080" w:themeColor="background1" w:themeShade="80"/>
              </w:rPr>
              <w:fldChar w:fldCharType="begin">
                <w:ffData>
                  <w:name w:val=""/>
                  <w:enabled/>
                  <w:calcOnExit/>
                  <w:textInput>
                    <w:type w:val="number"/>
                    <w:default w:val="0"/>
                    <w:maxLength w:val="20"/>
                  </w:textInput>
                </w:ffData>
              </w:fldChar>
            </w:r>
            <w:r w:rsidRPr="1A98504A">
              <w:rPr>
                <w:color w:val="808080" w:themeColor="background1" w:themeShade="80"/>
              </w:rPr>
              <w:instrText xml:space="preserve"> FORMTEXT </w:instrText>
            </w:r>
            <w:r w:rsidRPr="1A98504A">
              <w:rPr>
                <w:color w:val="808080" w:themeColor="background1" w:themeShade="80"/>
              </w:rPr>
            </w:r>
            <w:r w:rsidRPr="1A98504A">
              <w:rPr>
                <w:color w:val="808080" w:themeColor="background1" w:themeShade="80"/>
              </w:rPr>
              <w:fldChar w:fldCharType="separate"/>
            </w:r>
            <w:r w:rsidRPr="1A98504A">
              <w:rPr>
                <w:color w:val="808080" w:themeColor="background1" w:themeShade="80"/>
              </w:rPr>
              <w:t>0</w:t>
            </w:r>
            <w:r w:rsidRPr="1A98504A">
              <w:rPr>
                <w:color w:val="808080" w:themeColor="background1" w:themeShade="80"/>
              </w:rPr>
              <w:fldChar w:fldCharType="end"/>
            </w:r>
          </w:p>
        </w:tc>
      </w:tr>
      <w:tr w:rsidR="002125B7" w:rsidRPr="00325A1F" w14:paraId="49EF5D0E" w14:textId="77777777" w:rsidTr="0044321C">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rPr>
            </w:pPr>
            <w:r>
              <w:t>Opsioni 2</w:t>
            </w:r>
          </w:p>
        </w:tc>
        <w:tc>
          <w:tcPr>
            <w:tcW w:w="2258" w:type="dxa"/>
          </w:tcPr>
          <w:p w14:paraId="6C3A74F4" w14:textId="406BD911" w:rsidR="002125B7" w:rsidRPr="00325A1F" w:rsidRDefault="003A12EA" w:rsidP="009D13F4">
            <w:pPr>
              <w:autoSpaceDE w:val="0"/>
              <w:autoSpaceDN w:val="0"/>
              <w:adjustRightInd w:val="0"/>
              <w:spacing w:line="276" w:lineRule="auto"/>
              <w:jc w:val="right"/>
              <w:rPr>
                <w:color w:val="000000"/>
              </w:rPr>
            </w:pPr>
            <w:r w:rsidRPr="1A98504A">
              <w:rPr>
                <w:color w:val="808080" w:themeColor="background1" w:themeShade="80"/>
              </w:rPr>
              <w:fldChar w:fldCharType="begin">
                <w:ffData>
                  <w:name w:val=""/>
                  <w:enabled/>
                  <w:calcOnExit/>
                  <w:textInput>
                    <w:type w:val="number"/>
                    <w:default w:val="0"/>
                    <w:maxLength w:val="20"/>
                  </w:textInput>
                </w:ffData>
              </w:fldChar>
            </w:r>
            <w:r w:rsidRPr="1A98504A">
              <w:rPr>
                <w:color w:val="808080" w:themeColor="background1" w:themeShade="80"/>
              </w:rPr>
              <w:instrText xml:space="preserve"> FORMTEXT </w:instrText>
            </w:r>
            <w:r w:rsidRPr="1A98504A">
              <w:rPr>
                <w:color w:val="808080" w:themeColor="background1" w:themeShade="80"/>
              </w:rPr>
            </w:r>
            <w:r w:rsidRPr="1A98504A">
              <w:rPr>
                <w:color w:val="808080" w:themeColor="background1" w:themeShade="80"/>
              </w:rPr>
              <w:fldChar w:fldCharType="separate"/>
            </w:r>
            <w:r w:rsidRPr="1A98504A">
              <w:rPr>
                <w:color w:val="808080" w:themeColor="background1" w:themeShade="80"/>
              </w:rPr>
              <w:t>0</w:t>
            </w:r>
            <w:r w:rsidRPr="1A98504A">
              <w:rPr>
                <w:color w:val="808080" w:themeColor="background1" w:themeShade="80"/>
              </w:rPr>
              <w:fldChar w:fldCharType="end"/>
            </w:r>
          </w:p>
        </w:tc>
        <w:tc>
          <w:tcPr>
            <w:tcW w:w="2410" w:type="dxa"/>
          </w:tcPr>
          <w:p w14:paraId="19A59B98" w14:textId="5E25B398" w:rsidR="002125B7" w:rsidRPr="00325A1F" w:rsidRDefault="003A12EA" w:rsidP="009D13F4">
            <w:pPr>
              <w:autoSpaceDE w:val="0"/>
              <w:autoSpaceDN w:val="0"/>
              <w:adjustRightInd w:val="0"/>
              <w:spacing w:line="276" w:lineRule="auto"/>
              <w:jc w:val="right"/>
              <w:rPr>
                <w:color w:val="000000"/>
              </w:rPr>
            </w:pPr>
            <w:r w:rsidRPr="1A98504A">
              <w:rPr>
                <w:color w:val="808080" w:themeColor="background1" w:themeShade="80"/>
              </w:rPr>
              <w:fldChar w:fldCharType="begin">
                <w:ffData>
                  <w:name w:val=""/>
                  <w:enabled/>
                  <w:calcOnExit/>
                  <w:textInput>
                    <w:type w:val="number"/>
                    <w:default w:val="0"/>
                    <w:maxLength w:val="20"/>
                  </w:textInput>
                </w:ffData>
              </w:fldChar>
            </w:r>
            <w:r w:rsidRPr="1A98504A">
              <w:rPr>
                <w:color w:val="808080" w:themeColor="background1" w:themeShade="80"/>
              </w:rPr>
              <w:instrText xml:space="preserve"> FORMTEXT </w:instrText>
            </w:r>
            <w:r w:rsidRPr="1A98504A">
              <w:rPr>
                <w:color w:val="808080" w:themeColor="background1" w:themeShade="80"/>
              </w:rPr>
            </w:r>
            <w:r w:rsidRPr="1A98504A">
              <w:rPr>
                <w:color w:val="808080" w:themeColor="background1" w:themeShade="80"/>
              </w:rPr>
              <w:fldChar w:fldCharType="separate"/>
            </w:r>
            <w:r w:rsidRPr="1A98504A">
              <w:rPr>
                <w:color w:val="808080" w:themeColor="background1" w:themeShade="80"/>
              </w:rPr>
              <w:t>0</w:t>
            </w:r>
            <w:r w:rsidRPr="1A98504A">
              <w:rPr>
                <w:color w:val="808080" w:themeColor="background1" w:themeShade="80"/>
              </w:rPr>
              <w:fldChar w:fldCharType="end"/>
            </w:r>
          </w:p>
        </w:tc>
        <w:tc>
          <w:tcPr>
            <w:tcW w:w="3444" w:type="dxa"/>
          </w:tcPr>
          <w:p w14:paraId="014EDFE1" w14:textId="22388D5D" w:rsidR="002125B7" w:rsidRPr="00325A1F" w:rsidRDefault="003A12EA" w:rsidP="009D13F4">
            <w:pPr>
              <w:autoSpaceDE w:val="0"/>
              <w:autoSpaceDN w:val="0"/>
              <w:adjustRightInd w:val="0"/>
              <w:spacing w:line="276" w:lineRule="auto"/>
              <w:jc w:val="right"/>
              <w:rPr>
                <w:color w:val="000000"/>
              </w:rPr>
            </w:pPr>
            <w:r w:rsidRPr="1A98504A">
              <w:rPr>
                <w:color w:val="808080" w:themeColor="background1" w:themeShade="80"/>
              </w:rPr>
              <w:fldChar w:fldCharType="begin">
                <w:ffData>
                  <w:name w:val=""/>
                  <w:enabled/>
                  <w:calcOnExit w:val="0"/>
                  <w:textInput>
                    <w:type w:val="number"/>
                    <w:default w:val="0"/>
                    <w:maxLength w:val="20"/>
                  </w:textInput>
                </w:ffData>
              </w:fldChar>
            </w:r>
            <w:r w:rsidRPr="1A98504A">
              <w:rPr>
                <w:color w:val="808080" w:themeColor="background1" w:themeShade="80"/>
              </w:rPr>
              <w:instrText xml:space="preserve"> FORMTEXT </w:instrText>
            </w:r>
            <w:r w:rsidRPr="1A98504A">
              <w:rPr>
                <w:color w:val="808080" w:themeColor="background1" w:themeShade="80"/>
              </w:rPr>
            </w:r>
            <w:r w:rsidRPr="1A98504A">
              <w:rPr>
                <w:color w:val="808080" w:themeColor="background1" w:themeShade="80"/>
              </w:rPr>
              <w:fldChar w:fldCharType="separate"/>
            </w:r>
            <w:r w:rsidRPr="1A98504A">
              <w:rPr>
                <w:color w:val="808080" w:themeColor="background1" w:themeShade="80"/>
              </w:rPr>
              <w:t>0</w:t>
            </w:r>
            <w:r w:rsidRPr="1A98504A">
              <w:rPr>
                <w:color w:val="808080" w:themeColor="background1" w:themeShade="80"/>
              </w:rPr>
              <w:fldChar w:fldCharType="end"/>
            </w:r>
          </w:p>
        </w:tc>
      </w:tr>
    </w:tbl>
    <w:p w14:paraId="121F672F" w14:textId="75C7C7B1" w:rsidR="00B6156C" w:rsidRPr="00325A1F" w:rsidRDefault="00B6156C" w:rsidP="009D13F4">
      <w:pPr>
        <w:spacing w:line="276" w:lineRule="auto"/>
        <w:rPr>
          <w:b/>
        </w:rPr>
      </w:pPr>
    </w:p>
    <w:p w14:paraId="64319FE7" w14:textId="77777777" w:rsidR="002125B7" w:rsidRPr="00325A1F" w:rsidRDefault="002125B7" w:rsidP="009D13F4">
      <w:pPr>
        <w:spacing w:line="276" w:lineRule="auto"/>
        <w:rPr>
          <w:b/>
        </w:rPr>
      </w:pPr>
    </w:p>
    <w:p w14:paraId="5ED05594" w14:textId="77777777" w:rsidR="002125B7" w:rsidRPr="00325A1F" w:rsidRDefault="002125B7" w:rsidP="009D13F4">
      <w:pPr>
        <w:spacing w:line="276" w:lineRule="auto"/>
        <w:jc w:val="center"/>
        <w:rPr>
          <w:b/>
        </w:rPr>
      </w:pPr>
      <w:r w:rsidRPr="1A98504A">
        <w:rPr>
          <w:b/>
        </w:rPr>
        <w:t>MINISTËR</w:t>
      </w:r>
    </w:p>
    <w:p w14:paraId="797007D9" w14:textId="77777777" w:rsidR="002125B7" w:rsidRPr="00325A1F" w:rsidRDefault="002125B7" w:rsidP="009D13F4">
      <w:pPr>
        <w:spacing w:line="276" w:lineRule="auto"/>
        <w:jc w:val="center"/>
        <w:rPr>
          <w:b/>
        </w:rPr>
      </w:pPr>
    </w:p>
    <w:p w14:paraId="7B3BD6A0" w14:textId="75256BCA" w:rsidR="005B47AA" w:rsidRPr="00325A1F" w:rsidRDefault="002A4FC6" w:rsidP="009D13F4">
      <w:pPr>
        <w:spacing w:line="276" w:lineRule="auto"/>
        <w:jc w:val="center"/>
        <w:rPr>
          <w:b/>
        </w:rPr>
      </w:pPr>
      <w:r>
        <w:rPr>
          <w:color w:val="808080" w:themeColor="background1" w:themeShade="80"/>
        </w:rPr>
        <w:t>Delina</w:t>
      </w:r>
      <w:r w:rsidR="005B47AA" w:rsidRPr="1A98504A">
        <w:t xml:space="preserve"> </w:t>
      </w:r>
      <w:r>
        <w:rPr>
          <w:color w:val="808080" w:themeColor="background1" w:themeShade="80"/>
        </w:rPr>
        <w:t>Ibrahimaj</w:t>
      </w:r>
    </w:p>
    <w:p w14:paraId="69F4B01F" w14:textId="77777777" w:rsidR="002125B7" w:rsidRPr="00325A1F" w:rsidRDefault="002125B7" w:rsidP="009D13F4">
      <w:pPr>
        <w:spacing w:line="276" w:lineRule="auto"/>
        <w:rPr>
          <w:rFonts w:eastAsia="SimSun"/>
          <w:lang w:eastAsia="zh-CN"/>
        </w:rPr>
      </w:pPr>
    </w:p>
    <w:p w14:paraId="103E0151" w14:textId="41FFAFE3" w:rsidR="002125B7" w:rsidRPr="00325A1F" w:rsidRDefault="002125B7" w:rsidP="009D13F4">
      <w:pPr>
        <w:pStyle w:val="IASpacer"/>
        <w:spacing w:line="276" w:lineRule="auto"/>
        <w:rPr>
          <w:sz w:val="24"/>
          <w:szCs w:val="24"/>
        </w:rPr>
      </w:pPr>
    </w:p>
    <w:p w14:paraId="348B1F51" w14:textId="7488D7EE" w:rsidR="001F5DD9" w:rsidRPr="00325A1F" w:rsidRDefault="001F5DD9" w:rsidP="009D13F4">
      <w:pPr>
        <w:spacing w:line="276" w:lineRule="auto"/>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Drejtoria RIA" w:date="2025-12-11T11:02:00Z" w:initials="DR">
    <w:p w14:paraId="699B8615" w14:textId="370F6418" w:rsidR="00601F0B" w:rsidRDefault="00601F0B" w:rsidP="00601F0B">
      <w:pPr>
        <w:pStyle w:val="CommentText"/>
      </w:pPr>
      <w:r>
        <w:rPr>
          <w:rStyle w:val="CommentReference"/>
        </w:rPr>
        <w:annotationRef/>
      </w:r>
      <w:r>
        <w:t>Shtuar opsioni jorregullator.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9B86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F352A" w16cex:dateUtc="2025-12-11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9B8615" w16cid:durableId="033F35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5D3A" w14:textId="77777777" w:rsidR="00204683" w:rsidRDefault="00204683">
      <w:r>
        <w:separator/>
      </w:r>
    </w:p>
  </w:endnote>
  <w:endnote w:type="continuationSeparator" w:id="0">
    <w:p w14:paraId="3FECB5BD" w14:textId="77777777" w:rsidR="00204683" w:rsidRDefault="0020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0DF" w14:textId="4DF22A92" w:rsidR="000D5974" w:rsidRPr="00EB43FD" w:rsidRDefault="000D5974" w:rsidP="000407D8">
    <w:pPr>
      <w:pStyle w:val="Footer"/>
    </w:pPr>
    <w:r w:rsidRPr="1A98504A">
      <w:rPr>
        <w:rStyle w:val="PageNumber"/>
        <w:b w:val="0"/>
      </w:rPr>
      <w:fldChar w:fldCharType="begin"/>
    </w:r>
    <w:r w:rsidRPr="1A98504A">
      <w:rPr>
        <w:rStyle w:val="PageNumber"/>
        <w:b w:val="0"/>
      </w:rPr>
      <w:instrText xml:space="preserve"> PAGE </w:instrText>
    </w:r>
    <w:r w:rsidRPr="1A98504A">
      <w:rPr>
        <w:rStyle w:val="PageNumber"/>
        <w:b w:val="0"/>
      </w:rPr>
      <w:fldChar w:fldCharType="separate"/>
    </w:r>
    <w:r w:rsidR="00406B23" w:rsidRPr="1A98504A">
      <w:rPr>
        <w:rStyle w:val="PageNumber"/>
        <w:b w:val="0"/>
      </w:rPr>
      <w:t>7</w:t>
    </w:r>
    <w:r w:rsidRPr="1A98504A">
      <w:rPr>
        <w:rStyle w:val="PageNumber"/>
        <w:b w:val="0"/>
      </w:rPr>
      <w:fldChar w:fldCharType="end"/>
    </w:r>
  </w:p>
  <w:p w14:paraId="7FCE54BD" w14:textId="77777777" w:rsidR="000D5974" w:rsidRDefault="000D5974"/>
  <w:p w14:paraId="2995CCAD" w14:textId="77777777" w:rsidR="000D5974" w:rsidRDefault="000D59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5FD3" w14:textId="77777777" w:rsidR="00204683" w:rsidRDefault="00204683">
      <w:r>
        <w:separator/>
      </w:r>
    </w:p>
  </w:footnote>
  <w:footnote w:type="continuationSeparator" w:id="0">
    <w:p w14:paraId="45F61E9F" w14:textId="77777777" w:rsidR="00204683" w:rsidRDefault="00204683">
      <w:r>
        <w:continuationSeparator/>
      </w:r>
    </w:p>
  </w:footnote>
  <w:footnote w:id="1">
    <w:p w14:paraId="7F7386A2" w14:textId="77777777" w:rsidR="00BD0A1D" w:rsidRPr="003C5459" w:rsidRDefault="00BD0A1D" w:rsidP="00BD0A1D">
      <w:pPr>
        <w:pStyle w:val="FootnoteText"/>
        <w:rPr>
          <w:sz w:val="20"/>
        </w:rPr>
      </w:pPr>
      <w:r w:rsidRPr="003C5459">
        <w:rPr>
          <w:rStyle w:val="FootnoteReference"/>
          <w:sz w:val="20"/>
        </w:rPr>
        <w:footnoteRef/>
      </w:r>
      <w:r w:rsidRPr="003C5459">
        <w:rPr>
          <w:sz w:val="20"/>
        </w:rPr>
        <w:t xml:space="preserve"> Bazuar në parashikimet e Metodologjisë së Vlerësimit të Ndikimit, e cila përcakton mënyrën sesi duhet të hartohen Raportet e Vlerësimit të Ndikimit, e miratuar me VKM Nr. 584 datë 28.08.2003 “Për miratimin e Rregullores së Këshillit të Ministrave”, të ndryshuar, në rastin e VN-ve për projektligje që transpozojnë pjesërisht apo plotësisht </w:t>
      </w:r>
      <w:r w:rsidRPr="003C5459">
        <w:rPr>
          <w:i/>
          <w:iCs/>
          <w:sz w:val="20"/>
        </w:rPr>
        <w:t xml:space="preserve">acquis </w:t>
      </w:r>
      <w:r w:rsidRPr="003C5459">
        <w:rPr>
          <w:sz w:val="20"/>
        </w:rPr>
        <w:t>të BE, opsioni 0 (status quo) nuk përfshihet në analizë, pasi ekziston detyrimi (angazhimi) për harmonizimin</w:t>
      </w:r>
    </w:p>
  </w:footnote>
  <w:footnote w:id="2">
    <w:p w14:paraId="42478030" w14:textId="77777777" w:rsidR="00825095" w:rsidRPr="003C5459" w:rsidRDefault="00825095" w:rsidP="00825095">
      <w:pPr>
        <w:pStyle w:val="FootnoteText"/>
        <w:rPr>
          <w:sz w:val="20"/>
        </w:rPr>
      </w:pPr>
      <w:r w:rsidRPr="003C5459">
        <w:rPr>
          <w:sz w:val="20"/>
        </w:rPr>
        <w:footnoteRef/>
      </w:r>
      <w:r w:rsidRPr="003C5459">
        <w:rPr>
          <w:sz w:val="20"/>
        </w:rPr>
        <w:t xml:space="preserve"> Shënim: Për lehtësi leximi në vijim termi vendet apo tregjet e BE do të nënkuptojë edhe vendet ZEE + Zvicer. </w:t>
      </w:r>
    </w:p>
  </w:footnote>
  <w:footnote w:id="3">
    <w:p w14:paraId="59618864" w14:textId="77777777" w:rsidR="00707C3D" w:rsidRPr="003C5459" w:rsidRDefault="00707C3D" w:rsidP="00707C3D">
      <w:pPr>
        <w:pStyle w:val="NoSpacing"/>
        <w:tabs>
          <w:tab w:val="left" w:pos="720"/>
        </w:tabs>
        <w:spacing w:line="276" w:lineRule="auto"/>
        <w:jc w:val="both"/>
        <w:rPr>
          <w:rFonts w:ascii="Times New Roman" w:hAnsi="Times New Roman"/>
          <w:sz w:val="20"/>
          <w:lang w:val="sq-AL"/>
        </w:rPr>
      </w:pPr>
      <w:r w:rsidRPr="003C5459">
        <w:rPr>
          <w:rFonts w:ascii="Times New Roman" w:eastAsia="SimSun" w:hAnsi="Times New Roman"/>
          <w:sz w:val="20"/>
        </w:rPr>
        <w:footnoteRef/>
      </w:r>
      <w:r w:rsidRPr="003C5459">
        <w:rPr>
          <w:rFonts w:ascii="Times New Roman" w:hAnsi="Times New Roman"/>
          <w:sz w:val="20"/>
          <w:lang w:val="sq-AL"/>
        </w:rPr>
        <w:t xml:space="preserve"> Bazuar në shtojcën 1 të Raportit </w:t>
      </w:r>
      <w:r w:rsidRPr="003C5459">
        <w:rPr>
          <w:rFonts w:ascii="Times New Roman" w:hAnsi="Times New Roman"/>
          <w:i/>
          <w:iCs/>
          <w:sz w:val="20"/>
          <w:lang w:val="sq-AL"/>
        </w:rPr>
        <w:t>Screening</w:t>
      </w:r>
      <w:r w:rsidRPr="003C5459">
        <w:rPr>
          <w:rFonts w:ascii="Times New Roman" w:hAnsi="Times New Roman"/>
          <w:sz w:val="20"/>
          <w:lang w:val="sq-AL"/>
        </w:rPr>
        <w:t xml:space="preserve"> Mbi Zbatimin e Direktivës së Shërbimeve të BE në Republikën e Shqipërisë – Dhjetor 2022</w:t>
      </w:r>
    </w:p>
  </w:footnote>
  <w:footnote w:id="4">
    <w:p w14:paraId="7CECD770" w14:textId="77777777" w:rsidR="00DE72D5" w:rsidRPr="003C5459" w:rsidRDefault="00DE72D5" w:rsidP="00DE72D5">
      <w:pPr>
        <w:pStyle w:val="FootnoteText"/>
        <w:rPr>
          <w:sz w:val="20"/>
        </w:rPr>
      </w:pPr>
      <w:r w:rsidRPr="003C5459">
        <w:rPr>
          <w:rStyle w:val="FootnoteReference"/>
          <w:sz w:val="20"/>
        </w:rPr>
        <w:footnoteRef/>
      </w:r>
      <w:r w:rsidRPr="003C5459">
        <w:rPr>
          <w:sz w:val="20"/>
        </w:rPr>
        <w:t xml:space="preserve"> Plani Kombëtar për Integrimin Evropian 2024-2026, miratuar me Vendimin e Këshillit të Ministrave nr. 16, datë 11.1.2024 (“</w:t>
      </w:r>
      <w:r w:rsidRPr="003C5459">
        <w:rPr>
          <w:b/>
          <w:sz w:val="20"/>
        </w:rPr>
        <w:t>PKIE 2024-2026</w:t>
      </w:r>
      <w:r w:rsidRPr="003C5459">
        <w:rPr>
          <w:sz w:val="20"/>
        </w:rPr>
        <w:t>”)</w:t>
      </w:r>
    </w:p>
  </w:footnote>
  <w:footnote w:id="5">
    <w:p w14:paraId="519E30BA" w14:textId="44EC30F2" w:rsidR="003F4F38" w:rsidRPr="003C5459" w:rsidRDefault="003F4F38" w:rsidP="003F4F38">
      <w:pPr>
        <w:pStyle w:val="FootnoteText"/>
        <w:rPr>
          <w:sz w:val="20"/>
        </w:rPr>
      </w:pPr>
      <w:r w:rsidRPr="003C5459">
        <w:rPr>
          <w:rStyle w:val="FootnoteReference"/>
          <w:sz w:val="20"/>
        </w:rPr>
        <w:footnoteRef/>
      </w:r>
      <w:r w:rsidRPr="003C5459">
        <w:rPr>
          <w:sz w:val="20"/>
        </w:rPr>
        <w:t xml:space="preserve"> Programi Kombëtar për Aderimin në Bashkimin Evropian 2024 – 2030 (PKABE 2024-2030), f</w:t>
      </w:r>
      <w:r w:rsidR="00A3294E" w:rsidRPr="003C5459">
        <w:rPr>
          <w:sz w:val="20"/>
        </w:rPr>
        <w:t>q</w:t>
      </w:r>
      <w:r w:rsidRPr="003C5459">
        <w:rPr>
          <w:sz w:val="20"/>
        </w:rPr>
        <w:t>. 12</w:t>
      </w:r>
    </w:p>
    <w:p w14:paraId="3CC023F1" w14:textId="77777777" w:rsidR="003F4F38" w:rsidRPr="003C5459" w:rsidRDefault="003F4F38" w:rsidP="003F4F38">
      <w:pPr>
        <w:pStyle w:val="FootnoteText"/>
        <w:rPr>
          <w:sz w:val="20"/>
        </w:rPr>
      </w:pPr>
    </w:p>
  </w:footnote>
  <w:footnote w:id="6">
    <w:p w14:paraId="4F98CD10" w14:textId="77777777" w:rsidR="00A3294E" w:rsidRPr="003C5459" w:rsidRDefault="00A3294E" w:rsidP="00A3294E">
      <w:pPr>
        <w:pStyle w:val="FootnoteText"/>
        <w:rPr>
          <w:sz w:val="20"/>
        </w:rPr>
      </w:pPr>
      <w:r w:rsidRPr="003C5459">
        <w:rPr>
          <w:sz w:val="20"/>
        </w:rPr>
        <w:footnoteRef/>
      </w:r>
      <w:r w:rsidRPr="003C5459">
        <w:rPr>
          <w:sz w:val="20"/>
        </w:rPr>
        <w:t xml:space="preserve"> Për të shmangur çdo keqkuptim institucioni përgjegjës ishte Ministria e Financave dhe Ekonomisë përgjatë kohëzgjatjes së ushtrimit screening.</w:t>
      </w:r>
    </w:p>
  </w:footnote>
  <w:footnote w:id="7">
    <w:p w14:paraId="33FFCE92" w14:textId="77777777" w:rsidR="00A3294E" w:rsidRPr="003C5459" w:rsidRDefault="00A3294E" w:rsidP="00A3294E">
      <w:pPr>
        <w:pStyle w:val="FootnoteText"/>
        <w:rPr>
          <w:sz w:val="20"/>
        </w:rPr>
      </w:pPr>
      <w:r w:rsidRPr="003C5459">
        <w:rPr>
          <w:sz w:val="20"/>
        </w:rPr>
        <w:t>8 Programi Kombëtar për Aderimin në Bashkimin Evropian 2024 – 2030 (PKABE 2024-2030), fq. 115</w:t>
      </w:r>
    </w:p>
  </w:footnote>
  <w:footnote w:id="8">
    <w:p w14:paraId="77A48603" w14:textId="77777777" w:rsidR="00A3294E" w:rsidRPr="003C5459" w:rsidRDefault="00A3294E" w:rsidP="00A3294E">
      <w:pPr>
        <w:pStyle w:val="FootnoteText"/>
        <w:rPr>
          <w:sz w:val="20"/>
        </w:rPr>
      </w:pPr>
      <w:r w:rsidRPr="003C5459">
        <w:rPr>
          <w:sz w:val="20"/>
        </w:rPr>
        <w:footnoteRef/>
      </w:r>
      <w:r w:rsidRPr="003C5459">
        <w:rPr>
          <w:sz w:val="20"/>
        </w:rPr>
        <w:t xml:space="preserve"> Plani Kombëtar për Integrimin Evropian 2024-2026, miratuar me Vendimin e Këshillit të Ministrave nr. 16, datë 11.1.2024 (“PKIE 2024-2026”) fq. 4</w:t>
      </w:r>
    </w:p>
  </w:footnote>
  <w:footnote w:id="9">
    <w:p w14:paraId="60E15705" w14:textId="77777777" w:rsidR="00904333" w:rsidRPr="003C5459" w:rsidRDefault="00904333" w:rsidP="00904333">
      <w:pPr>
        <w:pStyle w:val="FootnoteText"/>
        <w:rPr>
          <w:sz w:val="20"/>
        </w:rPr>
      </w:pPr>
      <w:r w:rsidRPr="003C5459">
        <w:rPr>
          <w:sz w:val="20"/>
        </w:rPr>
        <w:footnoteRef/>
      </w:r>
      <w:r w:rsidRPr="003C5459">
        <w:rPr>
          <w:sz w:val="20"/>
        </w:rPr>
        <w:t xml:space="preserve"> Metodologjia e Vlerësimit të Ndikimit fq. 33</w:t>
      </w:r>
    </w:p>
  </w:footnote>
  <w:footnote w:id="10">
    <w:p w14:paraId="3FD451CE" w14:textId="77777777" w:rsidR="00904333" w:rsidRPr="003C5459" w:rsidRDefault="00904333" w:rsidP="00904333">
      <w:pPr>
        <w:pStyle w:val="FootnoteText"/>
        <w:rPr>
          <w:sz w:val="20"/>
          <w:lang w:val="it-IT"/>
        </w:rPr>
      </w:pPr>
      <w:r w:rsidRPr="003C5459">
        <w:rPr>
          <w:sz w:val="20"/>
        </w:rPr>
        <w:footnoteRef/>
      </w:r>
      <w:r w:rsidRPr="003C5459">
        <w:rPr>
          <w:sz w:val="20"/>
        </w:rPr>
        <w:t xml:space="preserve"> Po aty, fq 43.</w:t>
      </w:r>
    </w:p>
  </w:footnote>
  <w:footnote w:id="11">
    <w:p w14:paraId="31436FE1" w14:textId="3FD14EB1" w:rsidR="003450F8" w:rsidRPr="003C5459" w:rsidRDefault="003450F8" w:rsidP="003450F8">
      <w:pPr>
        <w:pStyle w:val="FootnoteText"/>
        <w:rPr>
          <w:sz w:val="20"/>
          <w:lang w:val="it-IT"/>
        </w:rPr>
      </w:pPr>
      <w:r w:rsidRPr="003C5459">
        <w:rPr>
          <w:rStyle w:val="FootnoteReference"/>
          <w:sz w:val="20"/>
        </w:rPr>
        <w:footnoteRef/>
      </w:r>
      <w:r w:rsidRPr="003C5459">
        <w:rPr>
          <w:sz w:val="20"/>
        </w:rPr>
        <w:t xml:space="preserve"> </w:t>
      </w:r>
      <w:hyperlink r:id="rId1" w:history="1">
        <w:r w:rsidRPr="003C5459">
          <w:rPr>
            <w:rStyle w:val="Hyperlink"/>
            <w:sz w:val="20"/>
          </w:rPr>
          <w:t>https://meki.gov.al/</w:t>
        </w:r>
        <w:r w:rsidR="00D147DB">
          <w:rPr>
            <w:rStyle w:val="Hyperlink"/>
            <w:sz w:val="20"/>
          </w:rPr>
          <w:t>ë</w:t>
        </w:r>
        <w:r w:rsidRPr="003C5459">
          <w:rPr>
            <w:rStyle w:val="Hyperlink"/>
            <w:sz w:val="20"/>
          </w:rPr>
          <w:t>p-content/uploads/2024/09/ORGANIGRAMA_final.pdf</w:t>
        </w:r>
      </w:hyperlink>
      <w:r w:rsidRPr="003C5459">
        <w:rPr>
          <w:sz w:val="20"/>
        </w:rPr>
        <w:t xml:space="preserve"> </w:t>
      </w:r>
    </w:p>
  </w:footnote>
  <w:footnote w:id="12">
    <w:p w14:paraId="0327E46E" w14:textId="77777777" w:rsidR="003450F8" w:rsidRPr="003C5459" w:rsidRDefault="003450F8" w:rsidP="003450F8">
      <w:pPr>
        <w:pStyle w:val="FootnoteText"/>
        <w:rPr>
          <w:sz w:val="20"/>
          <w:lang w:val="it-IT"/>
        </w:rPr>
      </w:pPr>
      <w:r w:rsidRPr="003C5459">
        <w:rPr>
          <w:rStyle w:val="FootnoteReference"/>
          <w:sz w:val="20"/>
        </w:rPr>
        <w:footnoteRef/>
      </w:r>
      <w:r w:rsidRPr="003C5459">
        <w:rPr>
          <w:sz w:val="20"/>
        </w:rPr>
        <w:t xml:space="preserve"> Raporti </w:t>
      </w:r>
      <w:r w:rsidRPr="003C5459">
        <w:rPr>
          <w:i/>
          <w:iCs/>
          <w:sz w:val="20"/>
        </w:rPr>
        <w:t>Screening</w:t>
      </w:r>
      <w:r w:rsidRPr="003C5459">
        <w:rPr>
          <w:sz w:val="20"/>
        </w:rPr>
        <w:t xml:space="preserve"> Mbi Zbatimin e Direktivës së Shërbimeve të BE në Republikën e Shqipërisë – Dhjetor 2022, fq. 27</w:t>
      </w:r>
    </w:p>
  </w:footnote>
  <w:footnote w:id="13">
    <w:p w14:paraId="2C7313B3" w14:textId="77777777" w:rsidR="003450F8" w:rsidRPr="003C5459" w:rsidRDefault="003450F8" w:rsidP="003450F8">
      <w:pPr>
        <w:pStyle w:val="FootnoteText"/>
        <w:rPr>
          <w:sz w:val="20"/>
          <w:lang w:val="it-IT"/>
        </w:rPr>
      </w:pPr>
      <w:r w:rsidRPr="003C5459">
        <w:rPr>
          <w:rStyle w:val="FootnoteReference"/>
          <w:sz w:val="20"/>
        </w:rPr>
        <w:footnoteRef/>
      </w:r>
      <w:r w:rsidRPr="003C5459">
        <w:rPr>
          <w:sz w:val="20"/>
        </w:rPr>
        <w:t xml:space="preserve"> </w:t>
      </w:r>
      <w:hyperlink r:id="rId2" w:history="1">
        <w:r w:rsidRPr="003C5459">
          <w:rPr>
            <w:rStyle w:val="Hyperlink"/>
            <w:sz w:val="20"/>
          </w:rPr>
          <w:t>https://qkb.gov.al/qkb/struktura/</w:t>
        </w:r>
      </w:hyperlink>
      <w:r w:rsidRPr="003C5459">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7460" w14:textId="77777777" w:rsidR="000D5974" w:rsidRDefault="000D5974"/>
  <w:p w14:paraId="13C35FD1" w14:textId="77777777" w:rsidR="000D5974" w:rsidRDefault="000D59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D1F"/>
    <w:multiLevelType w:val="multilevel"/>
    <w:tmpl w:val="8834C69C"/>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1" w15:restartNumberingAfterBreak="0">
    <w:nsid w:val="052D330F"/>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C6940"/>
    <w:multiLevelType w:val="multilevel"/>
    <w:tmpl w:val="2078FE8C"/>
    <w:lvl w:ilvl="0">
      <w:start w:val="1"/>
      <w:numFmt w:val="decimal"/>
      <w:lvlText w:val="%1."/>
      <w:lvlJc w:val="left"/>
      <w:pPr>
        <w:tabs>
          <w:tab w:val="num" w:pos="360"/>
        </w:tabs>
        <w:ind w:left="360" w:hanging="360"/>
      </w:p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765695C"/>
    <w:multiLevelType w:val="multilevel"/>
    <w:tmpl w:val="5648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337C8"/>
    <w:multiLevelType w:val="hybridMultilevel"/>
    <w:tmpl w:val="99BA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334EB"/>
    <w:multiLevelType w:val="hybridMultilevel"/>
    <w:tmpl w:val="C4CA0A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F00B11"/>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E23DE"/>
    <w:multiLevelType w:val="hybridMultilevel"/>
    <w:tmpl w:val="0AB2B57E"/>
    <w:lvl w:ilvl="0" w:tplc="0409000B">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156746BB"/>
    <w:multiLevelType w:val="hybridMultilevel"/>
    <w:tmpl w:val="26609C82"/>
    <w:lvl w:ilvl="0" w:tplc="6AAE154A">
      <w:start w:val="36"/>
      <w:numFmt w:val="bullet"/>
      <w:lvlText w:val="-"/>
      <w:lvlJc w:val="left"/>
      <w:pPr>
        <w:ind w:left="1800" w:hanging="360"/>
      </w:pPr>
      <w:rPr>
        <w:rFonts w:ascii="Calibri" w:eastAsia="Times New Roman" w:hAnsi="Calibri" w:cs="Calibr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8347D8"/>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65509"/>
    <w:multiLevelType w:val="multilevel"/>
    <w:tmpl w:val="E052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10CC5"/>
    <w:multiLevelType w:val="hybridMultilevel"/>
    <w:tmpl w:val="3EF806BA"/>
    <w:lvl w:ilvl="0" w:tplc="08090001">
      <w:start w:val="1"/>
      <w:numFmt w:val="bullet"/>
      <w:lvlText w:val=""/>
      <w:lvlJc w:val="left"/>
      <w:pPr>
        <w:ind w:left="720" w:hanging="360"/>
      </w:pPr>
      <w:rPr>
        <w:rFonts w:ascii="Symbol" w:hAnsi="Symbol" w:hint="default"/>
      </w:rPr>
    </w:lvl>
    <w:lvl w:ilvl="1" w:tplc="4A6C7A7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A3BA4"/>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52174"/>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93A80"/>
    <w:multiLevelType w:val="hybridMultilevel"/>
    <w:tmpl w:val="0D3635C6"/>
    <w:lvl w:ilvl="0" w:tplc="96443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04421"/>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BC73358"/>
    <w:multiLevelType w:val="hybridMultilevel"/>
    <w:tmpl w:val="A4ACCAC2"/>
    <w:lvl w:ilvl="0" w:tplc="04090001">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43F42"/>
    <w:multiLevelType w:val="hybridMultilevel"/>
    <w:tmpl w:val="13DC3AAE"/>
    <w:lvl w:ilvl="0" w:tplc="6AAE154A">
      <w:start w:val="36"/>
      <w:numFmt w:val="bullet"/>
      <w:lvlText w:val="-"/>
      <w:lvlJc w:val="left"/>
      <w:pPr>
        <w:ind w:left="1440" w:hanging="360"/>
      </w:pPr>
      <w:rPr>
        <w:rFonts w:ascii="Calibri" w:eastAsia="Times New Roman" w:hAnsi="Calibri" w:cs="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AA1C2C"/>
    <w:multiLevelType w:val="multilevel"/>
    <w:tmpl w:val="DDF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0528B6"/>
    <w:multiLevelType w:val="hybridMultilevel"/>
    <w:tmpl w:val="BD482CE0"/>
    <w:lvl w:ilvl="0" w:tplc="D7848962">
      <w:start w:val="1"/>
      <w:numFmt w:val="lowerLetter"/>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BC0C4B"/>
    <w:multiLevelType w:val="hybridMultilevel"/>
    <w:tmpl w:val="68D8C5E0"/>
    <w:lvl w:ilvl="0" w:tplc="C1101488">
      <w:start w:val="1"/>
      <w:numFmt w:val="decimal"/>
      <w:lvlText w:val="%1."/>
      <w:lvlJc w:val="left"/>
      <w:pPr>
        <w:ind w:left="720" w:hanging="360"/>
      </w:pPr>
      <w:rPr>
        <w:b/>
        <w:bCs/>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363358"/>
    <w:multiLevelType w:val="multilevel"/>
    <w:tmpl w:val="13AC2B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95F27"/>
    <w:multiLevelType w:val="hybridMultilevel"/>
    <w:tmpl w:val="0AEA3212"/>
    <w:lvl w:ilvl="0" w:tplc="1D6289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32556"/>
    <w:multiLevelType w:val="hybridMultilevel"/>
    <w:tmpl w:val="94AC0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E9483C"/>
    <w:multiLevelType w:val="multilevel"/>
    <w:tmpl w:val="8834C69C"/>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8"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064C4"/>
    <w:multiLevelType w:val="hybridMultilevel"/>
    <w:tmpl w:val="70AE34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4B380A"/>
    <w:multiLevelType w:val="hybridMultilevel"/>
    <w:tmpl w:val="33EA13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E71D4"/>
    <w:multiLevelType w:val="hybridMultilevel"/>
    <w:tmpl w:val="3DA8CC92"/>
    <w:lvl w:ilvl="0" w:tplc="A2AC50E8">
      <w:start w:val="1"/>
      <w:numFmt w:val="decimal"/>
      <w:lvlText w:val="%1."/>
      <w:lvlJc w:val="left"/>
      <w:pPr>
        <w:ind w:left="2160" w:hanging="360"/>
      </w:pPr>
      <w:rPr>
        <w:b w:val="0"/>
        <w:bCs w:val="0"/>
        <w:sz w:val="24"/>
        <w:szCs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56A77A69"/>
    <w:multiLevelType w:val="multilevel"/>
    <w:tmpl w:val="BEAE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937035"/>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03170B"/>
    <w:multiLevelType w:val="hybridMultilevel"/>
    <w:tmpl w:val="FE4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B17FE8"/>
    <w:multiLevelType w:val="hybridMultilevel"/>
    <w:tmpl w:val="8B3879FA"/>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504565"/>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804B1E"/>
    <w:multiLevelType w:val="hybridMultilevel"/>
    <w:tmpl w:val="DEF28A2A"/>
    <w:lvl w:ilvl="0" w:tplc="7EAE6E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1251F6"/>
    <w:multiLevelType w:val="hybridMultilevel"/>
    <w:tmpl w:val="E0A0E9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683A03"/>
    <w:multiLevelType w:val="hybridMultilevel"/>
    <w:tmpl w:val="94AC08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4A3E5F"/>
    <w:multiLevelType w:val="hybridMultilevel"/>
    <w:tmpl w:val="F558BD34"/>
    <w:lvl w:ilvl="0" w:tplc="96443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E426D"/>
    <w:multiLevelType w:val="multilevel"/>
    <w:tmpl w:val="8834C69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3" w15:restartNumberingAfterBreak="0">
    <w:nsid w:val="6B241388"/>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5" w15:restartNumberingAfterBreak="0">
    <w:nsid w:val="76C07362"/>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C0544F"/>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DF1EF9"/>
    <w:multiLevelType w:val="multilevel"/>
    <w:tmpl w:val="88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CC02DC"/>
    <w:multiLevelType w:val="hybridMultilevel"/>
    <w:tmpl w:val="A31866C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E20725F"/>
    <w:multiLevelType w:val="hybridMultilevel"/>
    <w:tmpl w:val="11E866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1951164576">
    <w:abstractNumId w:val="44"/>
  </w:num>
  <w:num w:numId="2" w16cid:durableId="1047218789">
    <w:abstractNumId w:val="17"/>
  </w:num>
  <w:num w:numId="3" w16cid:durableId="455415730">
    <w:abstractNumId w:val="51"/>
  </w:num>
  <w:num w:numId="4" w16cid:durableId="1967465241">
    <w:abstractNumId w:val="28"/>
  </w:num>
  <w:num w:numId="5" w16cid:durableId="621159170">
    <w:abstractNumId w:val="47"/>
  </w:num>
  <w:num w:numId="6" w16cid:durableId="1532692989">
    <w:abstractNumId w:val="16"/>
  </w:num>
  <w:num w:numId="7" w16cid:durableId="734357313">
    <w:abstractNumId w:val="26"/>
  </w:num>
  <w:num w:numId="8" w16cid:durableId="593244039">
    <w:abstractNumId w:val="31"/>
  </w:num>
  <w:num w:numId="9" w16cid:durableId="914586940">
    <w:abstractNumId w:val="11"/>
  </w:num>
  <w:num w:numId="10" w16cid:durableId="1908372503">
    <w:abstractNumId w:val="41"/>
  </w:num>
  <w:num w:numId="11" w16cid:durableId="1712657296">
    <w:abstractNumId w:val="18"/>
  </w:num>
  <w:num w:numId="12" w16cid:durableId="662003386">
    <w:abstractNumId w:val="38"/>
  </w:num>
  <w:num w:numId="13" w16cid:durableId="2006470620">
    <w:abstractNumId w:val="39"/>
  </w:num>
  <w:num w:numId="14" w16cid:durableId="1935937659">
    <w:abstractNumId w:val="45"/>
  </w:num>
  <w:num w:numId="15" w16cid:durableId="1103307915">
    <w:abstractNumId w:val="20"/>
  </w:num>
  <w:num w:numId="16" w16cid:durableId="778330906">
    <w:abstractNumId w:val="23"/>
  </w:num>
  <w:num w:numId="17" w16cid:durableId="1145050528">
    <w:abstractNumId w:val="36"/>
  </w:num>
  <w:num w:numId="18" w16cid:durableId="2022858068">
    <w:abstractNumId w:val="29"/>
  </w:num>
  <w:num w:numId="19" w16cid:durableId="367413758">
    <w:abstractNumId w:val="35"/>
  </w:num>
  <w:num w:numId="20" w16cid:durableId="2084837567">
    <w:abstractNumId w:val="14"/>
  </w:num>
  <w:num w:numId="21" w16cid:durableId="1377198021">
    <w:abstractNumId w:val="5"/>
  </w:num>
  <w:num w:numId="22" w16cid:durableId="304355891">
    <w:abstractNumId w:val="21"/>
  </w:num>
  <w:num w:numId="23" w16cid:durableId="540366834">
    <w:abstractNumId w:val="32"/>
  </w:num>
  <w:num w:numId="24" w16cid:durableId="19160901">
    <w:abstractNumId w:val="24"/>
  </w:num>
  <w:num w:numId="25" w16cid:durableId="1784039029">
    <w:abstractNumId w:val="22"/>
  </w:num>
  <w:num w:numId="26" w16cid:durableId="1671446742">
    <w:abstractNumId w:val="7"/>
  </w:num>
  <w:num w:numId="27" w16cid:durableId="1415977051">
    <w:abstractNumId w:val="8"/>
  </w:num>
  <w:num w:numId="28" w16cid:durableId="1407341210">
    <w:abstractNumId w:val="19"/>
  </w:num>
  <w:num w:numId="29" w16cid:durableId="181938499">
    <w:abstractNumId w:val="33"/>
  </w:num>
  <w:num w:numId="30" w16cid:durableId="473913846">
    <w:abstractNumId w:val="10"/>
  </w:num>
  <w:num w:numId="31" w16cid:durableId="1778257545">
    <w:abstractNumId w:val="49"/>
  </w:num>
  <w:num w:numId="32" w16cid:durableId="44453622">
    <w:abstractNumId w:val="50"/>
  </w:num>
  <w:num w:numId="33" w16cid:durableId="775491129">
    <w:abstractNumId w:val="3"/>
  </w:num>
  <w:num w:numId="34" w16cid:durableId="1331569223">
    <w:abstractNumId w:val="30"/>
  </w:num>
  <w:num w:numId="35" w16cid:durableId="1287934085">
    <w:abstractNumId w:val="25"/>
  </w:num>
  <w:num w:numId="36" w16cid:durableId="1881473951">
    <w:abstractNumId w:val="4"/>
  </w:num>
  <w:num w:numId="37" w16cid:durableId="201139029">
    <w:abstractNumId w:val="15"/>
  </w:num>
  <w:num w:numId="38" w16cid:durableId="22366626">
    <w:abstractNumId w:val="0"/>
  </w:num>
  <w:num w:numId="39" w16cid:durableId="1703902795">
    <w:abstractNumId w:val="2"/>
  </w:num>
  <w:num w:numId="40" w16cid:durableId="396172531">
    <w:abstractNumId w:val="42"/>
  </w:num>
  <w:num w:numId="41" w16cid:durableId="2047288302">
    <w:abstractNumId w:val="34"/>
  </w:num>
  <w:num w:numId="42" w16cid:durableId="786702054">
    <w:abstractNumId w:val="6"/>
  </w:num>
  <w:num w:numId="43" w16cid:durableId="2146118934">
    <w:abstractNumId w:val="9"/>
  </w:num>
  <w:num w:numId="44" w16cid:durableId="1893077721">
    <w:abstractNumId w:val="43"/>
  </w:num>
  <w:num w:numId="45" w16cid:durableId="1698895446">
    <w:abstractNumId w:val="27"/>
  </w:num>
  <w:num w:numId="46" w16cid:durableId="429854133">
    <w:abstractNumId w:val="13"/>
  </w:num>
  <w:num w:numId="47" w16cid:durableId="6373758">
    <w:abstractNumId w:val="48"/>
  </w:num>
  <w:num w:numId="48" w16cid:durableId="1217668258">
    <w:abstractNumId w:val="40"/>
  </w:num>
  <w:num w:numId="49" w16cid:durableId="2133402915">
    <w:abstractNumId w:val="37"/>
  </w:num>
  <w:num w:numId="50" w16cid:durableId="798760337">
    <w:abstractNumId w:val="46"/>
  </w:num>
  <w:num w:numId="51" w16cid:durableId="1958365305">
    <w:abstractNumId w:val="1"/>
  </w:num>
  <w:num w:numId="52" w16cid:durableId="935937561">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jtoria RIA">
    <w15:presenceInfo w15:providerId="None" w15:userId="Drejtoria 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0B44"/>
    <w:rsid w:val="00001756"/>
    <w:rsid w:val="000019B2"/>
    <w:rsid w:val="00001E72"/>
    <w:rsid w:val="00003A70"/>
    <w:rsid w:val="00004074"/>
    <w:rsid w:val="000045C0"/>
    <w:rsid w:val="00004B0E"/>
    <w:rsid w:val="0000505F"/>
    <w:rsid w:val="0000522A"/>
    <w:rsid w:val="00005443"/>
    <w:rsid w:val="000071A5"/>
    <w:rsid w:val="000079C0"/>
    <w:rsid w:val="00010950"/>
    <w:rsid w:val="00010EE1"/>
    <w:rsid w:val="00012458"/>
    <w:rsid w:val="000130CB"/>
    <w:rsid w:val="000142F1"/>
    <w:rsid w:val="0001460F"/>
    <w:rsid w:val="000166B7"/>
    <w:rsid w:val="0002022E"/>
    <w:rsid w:val="00021306"/>
    <w:rsid w:val="00021544"/>
    <w:rsid w:val="000222F1"/>
    <w:rsid w:val="00022BE0"/>
    <w:rsid w:val="00022F52"/>
    <w:rsid w:val="00023080"/>
    <w:rsid w:val="0002370C"/>
    <w:rsid w:val="000239A7"/>
    <w:rsid w:val="00023E62"/>
    <w:rsid w:val="000251D0"/>
    <w:rsid w:val="00025CC4"/>
    <w:rsid w:val="00026555"/>
    <w:rsid w:val="00026AC0"/>
    <w:rsid w:val="00027038"/>
    <w:rsid w:val="00027119"/>
    <w:rsid w:val="00034E91"/>
    <w:rsid w:val="0003786D"/>
    <w:rsid w:val="0004016B"/>
    <w:rsid w:val="000407D8"/>
    <w:rsid w:val="00043DFA"/>
    <w:rsid w:val="00044FE7"/>
    <w:rsid w:val="00045828"/>
    <w:rsid w:val="00045BAD"/>
    <w:rsid w:val="00051403"/>
    <w:rsid w:val="0005190B"/>
    <w:rsid w:val="00051F50"/>
    <w:rsid w:val="00052F44"/>
    <w:rsid w:val="0005543F"/>
    <w:rsid w:val="0005606F"/>
    <w:rsid w:val="00056EE6"/>
    <w:rsid w:val="0006047F"/>
    <w:rsid w:val="0006053F"/>
    <w:rsid w:val="00061D9C"/>
    <w:rsid w:val="00063FFC"/>
    <w:rsid w:val="00066136"/>
    <w:rsid w:val="00066E28"/>
    <w:rsid w:val="000671A2"/>
    <w:rsid w:val="000705A0"/>
    <w:rsid w:val="00070769"/>
    <w:rsid w:val="00070EEB"/>
    <w:rsid w:val="00071110"/>
    <w:rsid w:val="00071272"/>
    <w:rsid w:val="00071299"/>
    <w:rsid w:val="00072272"/>
    <w:rsid w:val="00073F46"/>
    <w:rsid w:val="0007524C"/>
    <w:rsid w:val="0007532E"/>
    <w:rsid w:val="0007637D"/>
    <w:rsid w:val="000767AC"/>
    <w:rsid w:val="0007695E"/>
    <w:rsid w:val="00076A78"/>
    <w:rsid w:val="00076C08"/>
    <w:rsid w:val="00082659"/>
    <w:rsid w:val="00082B2E"/>
    <w:rsid w:val="00082BAC"/>
    <w:rsid w:val="00083A9F"/>
    <w:rsid w:val="000860CC"/>
    <w:rsid w:val="00086128"/>
    <w:rsid w:val="0008731F"/>
    <w:rsid w:val="00093598"/>
    <w:rsid w:val="0009381F"/>
    <w:rsid w:val="000944D3"/>
    <w:rsid w:val="00094680"/>
    <w:rsid w:val="00094BEA"/>
    <w:rsid w:val="000956FD"/>
    <w:rsid w:val="00096253"/>
    <w:rsid w:val="000A141A"/>
    <w:rsid w:val="000A36EE"/>
    <w:rsid w:val="000A48D6"/>
    <w:rsid w:val="000A4DCA"/>
    <w:rsid w:val="000A5C5D"/>
    <w:rsid w:val="000A6E4B"/>
    <w:rsid w:val="000A79FC"/>
    <w:rsid w:val="000B07A1"/>
    <w:rsid w:val="000B1176"/>
    <w:rsid w:val="000B1A2E"/>
    <w:rsid w:val="000B3E49"/>
    <w:rsid w:val="000B5655"/>
    <w:rsid w:val="000C031E"/>
    <w:rsid w:val="000C165A"/>
    <w:rsid w:val="000C16AB"/>
    <w:rsid w:val="000C1D45"/>
    <w:rsid w:val="000C2589"/>
    <w:rsid w:val="000C30D8"/>
    <w:rsid w:val="000C3CF6"/>
    <w:rsid w:val="000C4374"/>
    <w:rsid w:val="000C4589"/>
    <w:rsid w:val="000C57D5"/>
    <w:rsid w:val="000C6022"/>
    <w:rsid w:val="000C6A87"/>
    <w:rsid w:val="000C6DFC"/>
    <w:rsid w:val="000D1CB0"/>
    <w:rsid w:val="000D29AA"/>
    <w:rsid w:val="000D31B0"/>
    <w:rsid w:val="000D55B5"/>
    <w:rsid w:val="000D58BD"/>
    <w:rsid w:val="000D5974"/>
    <w:rsid w:val="000D5ED5"/>
    <w:rsid w:val="000D7F7C"/>
    <w:rsid w:val="000E02BE"/>
    <w:rsid w:val="000E2CF4"/>
    <w:rsid w:val="000E3308"/>
    <w:rsid w:val="000E3FD7"/>
    <w:rsid w:val="000E452D"/>
    <w:rsid w:val="000E676A"/>
    <w:rsid w:val="000E6DAD"/>
    <w:rsid w:val="000F004E"/>
    <w:rsid w:val="000F0840"/>
    <w:rsid w:val="000F154C"/>
    <w:rsid w:val="000F1712"/>
    <w:rsid w:val="000F19B7"/>
    <w:rsid w:val="000F3416"/>
    <w:rsid w:val="000F37BB"/>
    <w:rsid w:val="000F4481"/>
    <w:rsid w:val="000F5100"/>
    <w:rsid w:val="000F57BB"/>
    <w:rsid w:val="00101961"/>
    <w:rsid w:val="00102870"/>
    <w:rsid w:val="00110396"/>
    <w:rsid w:val="001110DB"/>
    <w:rsid w:val="001118CF"/>
    <w:rsid w:val="00114225"/>
    <w:rsid w:val="001155AF"/>
    <w:rsid w:val="00115D70"/>
    <w:rsid w:val="001166E5"/>
    <w:rsid w:val="0011725C"/>
    <w:rsid w:val="00120113"/>
    <w:rsid w:val="00121D11"/>
    <w:rsid w:val="001235DD"/>
    <w:rsid w:val="0012369A"/>
    <w:rsid w:val="001243CD"/>
    <w:rsid w:val="0012460B"/>
    <w:rsid w:val="00127373"/>
    <w:rsid w:val="0012764F"/>
    <w:rsid w:val="0013023A"/>
    <w:rsid w:val="00130B06"/>
    <w:rsid w:val="00131CE4"/>
    <w:rsid w:val="00132B60"/>
    <w:rsid w:val="00133A17"/>
    <w:rsid w:val="00133C58"/>
    <w:rsid w:val="00134EA8"/>
    <w:rsid w:val="001365F4"/>
    <w:rsid w:val="0013730C"/>
    <w:rsid w:val="00137E14"/>
    <w:rsid w:val="00141321"/>
    <w:rsid w:val="0014140D"/>
    <w:rsid w:val="00141B6F"/>
    <w:rsid w:val="0014268B"/>
    <w:rsid w:val="0014336D"/>
    <w:rsid w:val="0014354B"/>
    <w:rsid w:val="001473CD"/>
    <w:rsid w:val="001477D1"/>
    <w:rsid w:val="00150DAE"/>
    <w:rsid w:val="00152412"/>
    <w:rsid w:val="0015254E"/>
    <w:rsid w:val="00152C60"/>
    <w:rsid w:val="001535F3"/>
    <w:rsid w:val="001542DE"/>
    <w:rsid w:val="00154F87"/>
    <w:rsid w:val="0015525C"/>
    <w:rsid w:val="00156E0C"/>
    <w:rsid w:val="00156E27"/>
    <w:rsid w:val="00160691"/>
    <w:rsid w:val="0016095F"/>
    <w:rsid w:val="0016472C"/>
    <w:rsid w:val="00165113"/>
    <w:rsid w:val="00166D82"/>
    <w:rsid w:val="00170977"/>
    <w:rsid w:val="001709E2"/>
    <w:rsid w:val="0017184C"/>
    <w:rsid w:val="00172035"/>
    <w:rsid w:val="00174C10"/>
    <w:rsid w:val="00175447"/>
    <w:rsid w:val="001810B2"/>
    <w:rsid w:val="00182B85"/>
    <w:rsid w:val="00183038"/>
    <w:rsid w:val="00183882"/>
    <w:rsid w:val="001844B6"/>
    <w:rsid w:val="001851A3"/>
    <w:rsid w:val="001851B9"/>
    <w:rsid w:val="001855B1"/>
    <w:rsid w:val="00186D01"/>
    <w:rsid w:val="0019021E"/>
    <w:rsid w:val="00190A8C"/>
    <w:rsid w:val="00190F9A"/>
    <w:rsid w:val="001914DC"/>
    <w:rsid w:val="00194050"/>
    <w:rsid w:val="00194745"/>
    <w:rsid w:val="00194E96"/>
    <w:rsid w:val="001A07F1"/>
    <w:rsid w:val="001A3B0B"/>
    <w:rsid w:val="001A4332"/>
    <w:rsid w:val="001A4432"/>
    <w:rsid w:val="001A478E"/>
    <w:rsid w:val="001A509E"/>
    <w:rsid w:val="001A683B"/>
    <w:rsid w:val="001A6F9A"/>
    <w:rsid w:val="001A6FE6"/>
    <w:rsid w:val="001A72C3"/>
    <w:rsid w:val="001A7B61"/>
    <w:rsid w:val="001A7D6D"/>
    <w:rsid w:val="001B1210"/>
    <w:rsid w:val="001B2F84"/>
    <w:rsid w:val="001B305C"/>
    <w:rsid w:val="001B34EB"/>
    <w:rsid w:val="001B4A80"/>
    <w:rsid w:val="001C0644"/>
    <w:rsid w:val="001C08AD"/>
    <w:rsid w:val="001C0B58"/>
    <w:rsid w:val="001C3363"/>
    <w:rsid w:val="001C4862"/>
    <w:rsid w:val="001C7C39"/>
    <w:rsid w:val="001D09CC"/>
    <w:rsid w:val="001D0AF4"/>
    <w:rsid w:val="001D12D6"/>
    <w:rsid w:val="001D1FC0"/>
    <w:rsid w:val="001D2096"/>
    <w:rsid w:val="001D2474"/>
    <w:rsid w:val="001D3A43"/>
    <w:rsid w:val="001D3C11"/>
    <w:rsid w:val="001D4AA8"/>
    <w:rsid w:val="001D4D42"/>
    <w:rsid w:val="001D5EC9"/>
    <w:rsid w:val="001D630B"/>
    <w:rsid w:val="001D6B90"/>
    <w:rsid w:val="001E0D36"/>
    <w:rsid w:val="001E152A"/>
    <w:rsid w:val="001E1C68"/>
    <w:rsid w:val="001E1DA0"/>
    <w:rsid w:val="001E2A34"/>
    <w:rsid w:val="001E397D"/>
    <w:rsid w:val="001E3B6F"/>
    <w:rsid w:val="001E3E2D"/>
    <w:rsid w:val="001E429F"/>
    <w:rsid w:val="001E69A2"/>
    <w:rsid w:val="001E730B"/>
    <w:rsid w:val="001F02C1"/>
    <w:rsid w:val="001F2584"/>
    <w:rsid w:val="001F3704"/>
    <w:rsid w:val="001F4352"/>
    <w:rsid w:val="001F5423"/>
    <w:rsid w:val="001F57C3"/>
    <w:rsid w:val="001F5DD9"/>
    <w:rsid w:val="001F663A"/>
    <w:rsid w:val="001F69E9"/>
    <w:rsid w:val="001F6D51"/>
    <w:rsid w:val="001F71C9"/>
    <w:rsid w:val="001F7CF8"/>
    <w:rsid w:val="001F7F6A"/>
    <w:rsid w:val="00200315"/>
    <w:rsid w:val="0020097B"/>
    <w:rsid w:val="0020104C"/>
    <w:rsid w:val="0020151D"/>
    <w:rsid w:val="00201B79"/>
    <w:rsid w:val="00202E56"/>
    <w:rsid w:val="002033D6"/>
    <w:rsid w:val="00203758"/>
    <w:rsid w:val="00204683"/>
    <w:rsid w:val="00204A92"/>
    <w:rsid w:val="00204AB1"/>
    <w:rsid w:val="0020589E"/>
    <w:rsid w:val="00205C7C"/>
    <w:rsid w:val="00205E05"/>
    <w:rsid w:val="0020708B"/>
    <w:rsid w:val="00207B21"/>
    <w:rsid w:val="00207D2A"/>
    <w:rsid w:val="00211257"/>
    <w:rsid w:val="002125B7"/>
    <w:rsid w:val="002144F0"/>
    <w:rsid w:val="002156D4"/>
    <w:rsid w:val="00216F02"/>
    <w:rsid w:val="0021731F"/>
    <w:rsid w:val="00217400"/>
    <w:rsid w:val="00217CA1"/>
    <w:rsid w:val="00220F29"/>
    <w:rsid w:val="00221FAD"/>
    <w:rsid w:val="0022350E"/>
    <w:rsid w:val="0022490F"/>
    <w:rsid w:val="00224F40"/>
    <w:rsid w:val="00225E77"/>
    <w:rsid w:val="00225F7F"/>
    <w:rsid w:val="00225F9C"/>
    <w:rsid w:val="002274E5"/>
    <w:rsid w:val="0022767B"/>
    <w:rsid w:val="00227EBE"/>
    <w:rsid w:val="002306B7"/>
    <w:rsid w:val="0023355B"/>
    <w:rsid w:val="00233F75"/>
    <w:rsid w:val="002347A2"/>
    <w:rsid w:val="00234986"/>
    <w:rsid w:val="00235DD9"/>
    <w:rsid w:val="002362E1"/>
    <w:rsid w:val="0024012C"/>
    <w:rsid w:val="00241738"/>
    <w:rsid w:val="002425C2"/>
    <w:rsid w:val="00242C41"/>
    <w:rsid w:val="002437A8"/>
    <w:rsid w:val="00246360"/>
    <w:rsid w:val="00246AF8"/>
    <w:rsid w:val="00247EAA"/>
    <w:rsid w:val="00250259"/>
    <w:rsid w:val="002504C5"/>
    <w:rsid w:val="00251ED1"/>
    <w:rsid w:val="002530A8"/>
    <w:rsid w:val="00253F4D"/>
    <w:rsid w:val="0025427F"/>
    <w:rsid w:val="0026191F"/>
    <w:rsid w:val="002620BB"/>
    <w:rsid w:val="00262437"/>
    <w:rsid w:val="00262469"/>
    <w:rsid w:val="0026297F"/>
    <w:rsid w:val="00265153"/>
    <w:rsid w:val="00265E85"/>
    <w:rsid w:val="0026604F"/>
    <w:rsid w:val="0027033B"/>
    <w:rsid w:val="0027079E"/>
    <w:rsid w:val="00270B04"/>
    <w:rsid w:val="002718D6"/>
    <w:rsid w:val="00272539"/>
    <w:rsid w:val="00272F62"/>
    <w:rsid w:val="00272FA0"/>
    <w:rsid w:val="00273A3C"/>
    <w:rsid w:val="00277C3C"/>
    <w:rsid w:val="00281E7E"/>
    <w:rsid w:val="002829F1"/>
    <w:rsid w:val="00282EFA"/>
    <w:rsid w:val="002837FC"/>
    <w:rsid w:val="00284C30"/>
    <w:rsid w:val="00286282"/>
    <w:rsid w:val="0028755A"/>
    <w:rsid w:val="00287BA8"/>
    <w:rsid w:val="00287DF9"/>
    <w:rsid w:val="00290335"/>
    <w:rsid w:val="0029158C"/>
    <w:rsid w:val="00292165"/>
    <w:rsid w:val="00295E86"/>
    <w:rsid w:val="00296FD0"/>
    <w:rsid w:val="0029721B"/>
    <w:rsid w:val="00297254"/>
    <w:rsid w:val="002A06DA"/>
    <w:rsid w:val="002A2133"/>
    <w:rsid w:val="002A33A0"/>
    <w:rsid w:val="002A456F"/>
    <w:rsid w:val="002A4FC6"/>
    <w:rsid w:val="002A66D3"/>
    <w:rsid w:val="002A6921"/>
    <w:rsid w:val="002A6E2B"/>
    <w:rsid w:val="002B1EF0"/>
    <w:rsid w:val="002B2572"/>
    <w:rsid w:val="002B4D79"/>
    <w:rsid w:val="002B7335"/>
    <w:rsid w:val="002B77F5"/>
    <w:rsid w:val="002C1D0C"/>
    <w:rsid w:val="002C1EC2"/>
    <w:rsid w:val="002C331D"/>
    <w:rsid w:val="002C34DC"/>
    <w:rsid w:val="002C76CF"/>
    <w:rsid w:val="002C78DD"/>
    <w:rsid w:val="002D1AE9"/>
    <w:rsid w:val="002D2D7E"/>
    <w:rsid w:val="002D3103"/>
    <w:rsid w:val="002D31F0"/>
    <w:rsid w:val="002D3392"/>
    <w:rsid w:val="002D3D98"/>
    <w:rsid w:val="002D4104"/>
    <w:rsid w:val="002D4177"/>
    <w:rsid w:val="002D548B"/>
    <w:rsid w:val="002D66B1"/>
    <w:rsid w:val="002D74FA"/>
    <w:rsid w:val="002D7616"/>
    <w:rsid w:val="002D7ECF"/>
    <w:rsid w:val="002E1C94"/>
    <w:rsid w:val="002E4405"/>
    <w:rsid w:val="002E46DE"/>
    <w:rsid w:val="002E5406"/>
    <w:rsid w:val="002E55DE"/>
    <w:rsid w:val="002E753B"/>
    <w:rsid w:val="002E78D7"/>
    <w:rsid w:val="002F058A"/>
    <w:rsid w:val="002F08F4"/>
    <w:rsid w:val="002F0B95"/>
    <w:rsid w:val="002F1CB1"/>
    <w:rsid w:val="002F3633"/>
    <w:rsid w:val="002F5B67"/>
    <w:rsid w:val="002F653C"/>
    <w:rsid w:val="002F7A9F"/>
    <w:rsid w:val="002F7D4C"/>
    <w:rsid w:val="0030052D"/>
    <w:rsid w:val="00300CED"/>
    <w:rsid w:val="00300D77"/>
    <w:rsid w:val="00301691"/>
    <w:rsid w:val="003030E1"/>
    <w:rsid w:val="00304677"/>
    <w:rsid w:val="00304C1D"/>
    <w:rsid w:val="003069E8"/>
    <w:rsid w:val="00307737"/>
    <w:rsid w:val="00307E85"/>
    <w:rsid w:val="00310269"/>
    <w:rsid w:val="0031087D"/>
    <w:rsid w:val="00310A7C"/>
    <w:rsid w:val="00310BBC"/>
    <w:rsid w:val="00310E67"/>
    <w:rsid w:val="003111DB"/>
    <w:rsid w:val="00311373"/>
    <w:rsid w:val="00311CCB"/>
    <w:rsid w:val="00312A03"/>
    <w:rsid w:val="00313937"/>
    <w:rsid w:val="00313D4B"/>
    <w:rsid w:val="00313E03"/>
    <w:rsid w:val="00314466"/>
    <w:rsid w:val="003149E9"/>
    <w:rsid w:val="00315292"/>
    <w:rsid w:val="00316B83"/>
    <w:rsid w:val="00317004"/>
    <w:rsid w:val="0031753B"/>
    <w:rsid w:val="00317DAD"/>
    <w:rsid w:val="00317FF8"/>
    <w:rsid w:val="003203C7"/>
    <w:rsid w:val="00320415"/>
    <w:rsid w:val="00320909"/>
    <w:rsid w:val="0032145B"/>
    <w:rsid w:val="003228BF"/>
    <w:rsid w:val="00322E0B"/>
    <w:rsid w:val="00322E49"/>
    <w:rsid w:val="00323107"/>
    <w:rsid w:val="00323C5A"/>
    <w:rsid w:val="00324485"/>
    <w:rsid w:val="00324D57"/>
    <w:rsid w:val="00325A1F"/>
    <w:rsid w:val="00331DCE"/>
    <w:rsid w:val="00332055"/>
    <w:rsid w:val="00332280"/>
    <w:rsid w:val="003323DB"/>
    <w:rsid w:val="00332B05"/>
    <w:rsid w:val="003330C7"/>
    <w:rsid w:val="003339CA"/>
    <w:rsid w:val="00335C9A"/>
    <w:rsid w:val="00336DFC"/>
    <w:rsid w:val="003409BF"/>
    <w:rsid w:val="00341944"/>
    <w:rsid w:val="003436C0"/>
    <w:rsid w:val="003450F8"/>
    <w:rsid w:val="00345525"/>
    <w:rsid w:val="0034656C"/>
    <w:rsid w:val="00346FCC"/>
    <w:rsid w:val="00347039"/>
    <w:rsid w:val="003510AD"/>
    <w:rsid w:val="00351302"/>
    <w:rsid w:val="003525E3"/>
    <w:rsid w:val="00354628"/>
    <w:rsid w:val="00355E73"/>
    <w:rsid w:val="00356841"/>
    <w:rsid w:val="00357DAD"/>
    <w:rsid w:val="00361493"/>
    <w:rsid w:val="00361819"/>
    <w:rsid w:val="003640B6"/>
    <w:rsid w:val="00364715"/>
    <w:rsid w:val="00365687"/>
    <w:rsid w:val="003657AB"/>
    <w:rsid w:val="0036616A"/>
    <w:rsid w:val="00366195"/>
    <w:rsid w:val="003709CB"/>
    <w:rsid w:val="00370A03"/>
    <w:rsid w:val="00372979"/>
    <w:rsid w:val="00372A69"/>
    <w:rsid w:val="00375DDB"/>
    <w:rsid w:val="00376491"/>
    <w:rsid w:val="00380189"/>
    <w:rsid w:val="00380A15"/>
    <w:rsid w:val="00381107"/>
    <w:rsid w:val="00381308"/>
    <w:rsid w:val="003818E8"/>
    <w:rsid w:val="00383295"/>
    <w:rsid w:val="00383E1A"/>
    <w:rsid w:val="003848EF"/>
    <w:rsid w:val="00384905"/>
    <w:rsid w:val="003854E4"/>
    <w:rsid w:val="00385BF8"/>
    <w:rsid w:val="00386560"/>
    <w:rsid w:val="00387D68"/>
    <w:rsid w:val="00393D54"/>
    <w:rsid w:val="003946A1"/>
    <w:rsid w:val="00395810"/>
    <w:rsid w:val="00395DFD"/>
    <w:rsid w:val="00395F95"/>
    <w:rsid w:val="00396149"/>
    <w:rsid w:val="00396C1A"/>
    <w:rsid w:val="00396CB1"/>
    <w:rsid w:val="00396F72"/>
    <w:rsid w:val="003972F5"/>
    <w:rsid w:val="00397991"/>
    <w:rsid w:val="003A0075"/>
    <w:rsid w:val="003A12B1"/>
    <w:rsid w:val="003A12EA"/>
    <w:rsid w:val="003A151C"/>
    <w:rsid w:val="003A53C5"/>
    <w:rsid w:val="003A5EEC"/>
    <w:rsid w:val="003A6079"/>
    <w:rsid w:val="003A68AB"/>
    <w:rsid w:val="003A6CFB"/>
    <w:rsid w:val="003A7572"/>
    <w:rsid w:val="003B00FB"/>
    <w:rsid w:val="003B04F0"/>
    <w:rsid w:val="003B10E5"/>
    <w:rsid w:val="003B1336"/>
    <w:rsid w:val="003B20FC"/>
    <w:rsid w:val="003B30DD"/>
    <w:rsid w:val="003B3E18"/>
    <w:rsid w:val="003B4148"/>
    <w:rsid w:val="003B583E"/>
    <w:rsid w:val="003B5CBC"/>
    <w:rsid w:val="003B72CF"/>
    <w:rsid w:val="003B78AB"/>
    <w:rsid w:val="003C146C"/>
    <w:rsid w:val="003C2DEE"/>
    <w:rsid w:val="003C3E95"/>
    <w:rsid w:val="003C4286"/>
    <w:rsid w:val="003C5459"/>
    <w:rsid w:val="003C6C81"/>
    <w:rsid w:val="003D11C0"/>
    <w:rsid w:val="003D12F5"/>
    <w:rsid w:val="003D2341"/>
    <w:rsid w:val="003D2D82"/>
    <w:rsid w:val="003D30B5"/>
    <w:rsid w:val="003D33A3"/>
    <w:rsid w:val="003D38F2"/>
    <w:rsid w:val="003D4FC7"/>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4F38"/>
    <w:rsid w:val="003F6045"/>
    <w:rsid w:val="003F6081"/>
    <w:rsid w:val="003F60F9"/>
    <w:rsid w:val="003F71C5"/>
    <w:rsid w:val="004016DE"/>
    <w:rsid w:val="004025DC"/>
    <w:rsid w:val="00402E80"/>
    <w:rsid w:val="004041B8"/>
    <w:rsid w:val="004045D6"/>
    <w:rsid w:val="00405ACA"/>
    <w:rsid w:val="00406B23"/>
    <w:rsid w:val="00407FA4"/>
    <w:rsid w:val="00410409"/>
    <w:rsid w:val="004122E6"/>
    <w:rsid w:val="00413B2D"/>
    <w:rsid w:val="00415145"/>
    <w:rsid w:val="00415552"/>
    <w:rsid w:val="00416050"/>
    <w:rsid w:val="00417259"/>
    <w:rsid w:val="004175D4"/>
    <w:rsid w:val="00417CCB"/>
    <w:rsid w:val="00420A7D"/>
    <w:rsid w:val="004213F0"/>
    <w:rsid w:val="00422963"/>
    <w:rsid w:val="004240A9"/>
    <w:rsid w:val="0042494E"/>
    <w:rsid w:val="00426AB3"/>
    <w:rsid w:val="00430D68"/>
    <w:rsid w:val="00431023"/>
    <w:rsid w:val="00432445"/>
    <w:rsid w:val="00433533"/>
    <w:rsid w:val="0043446F"/>
    <w:rsid w:val="00435DA5"/>
    <w:rsid w:val="0043683F"/>
    <w:rsid w:val="0044034F"/>
    <w:rsid w:val="004406D1"/>
    <w:rsid w:val="00440A77"/>
    <w:rsid w:val="004422A6"/>
    <w:rsid w:val="0044321C"/>
    <w:rsid w:val="004442E2"/>
    <w:rsid w:val="00444DC8"/>
    <w:rsid w:val="00445634"/>
    <w:rsid w:val="00451FA1"/>
    <w:rsid w:val="0045253C"/>
    <w:rsid w:val="00452B35"/>
    <w:rsid w:val="004547EA"/>
    <w:rsid w:val="00454B07"/>
    <w:rsid w:val="00455895"/>
    <w:rsid w:val="00455EAA"/>
    <w:rsid w:val="00456494"/>
    <w:rsid w:val="004569F8"/>
    <w:rsid w:val="00457408"/>
    <w:rsid w:val="004577E1"/>
    <w:rsid w:val="0045799A"/>
    <w:rsid w:val="00460FEC"/>
    <w:rsid w:val="00462598"/>
    <w:rsid w:val="0046308D"/>
    <w:rsid w:val="00463490"/>
    <w:rsid w:val="0046432A"/>
    <w:rsid w:val="00466326"/>
    <w:rsid w:val="00470048"/>
    <w:rsid w:val="00470BEA"/>
    <w:rsid w:val="00471060"/>
    <w:rsid w:val="004716AC"/>
    <w:rsid w:val="00471E07"/>
    <w:rsid w:val="004763AF"/>
    <w:rsid w:val="0048004A"/>
    <w:rsid w:val="00480900"/>
    <w:rsid w:val="00481238"/>
    <w:rsid w:val="0048196D"/>
    <w:rsid w:val="00481DBF"/>
    <w:rsid w:val="004825BA"/>
    <w:rsid w:val="004832D1"/>
    <w:rsid w:val="00483E1A"/>
    <w:rsid w:val="00483FB7"/>
    <w:rsid w:val="00485114"/>
    <w:rsid w:val="004860C0"/>
    <w:rsid w:val="00486625"/>
    <w:rsid w:val="00487074"/>
    <w:rsid w:val="00487838"/>
    <w:rsid w:val="0049052C"/>
    <w:rsid w:val="0049072A"/>
    <w:rsid w:val="00490876"/>
    <w:rsid w:val="00490FCE"/>
    <w:rsid w:val="00490FF7"/>
    <w:rsid w:val="00491873"/>
    <w:rsid w:val="004930F6"/>
    <w:rsid w:val="00493407"/>
    <w:rsid w:val="004935F1"/>
    <w:rsid w:val="00493B5E"/>
    <w:rsid w:val="0049416F"/>
    <w:rsid w:val="004948C9"/>
    <w:rsid w:val="00495404"/>
    <w:rsid w:val="00495A59"/>
    <w:rsid w:val="00497931"/>
    <w:rsid w:val="004A14BC"/>
    <w:rsid w:val="004A15B0"/>
    <w:rsid w:val="004A3D93"/>
    <w:rsid w:val="004A3EFD"/>
    <w:rsid w:val="004A3F27"/>
    <w:rsid w:val="004A7E39"/>
    <w:rsid w:val="004B1880"/>
    <w:rsid w:val="004B3B7B"/>
    <w:rsid w:val="004B4937"/>
    <w:rsid w:val="004B5251"/>
    <w:rsid w:val="004B7EC0"/>
    <w:rsid w:val="004C0247"/>
    <w:rsid w:val="004C0DDA"/>
    <w:rsid w:val="004C1BBB"/>
    <w:rsid w:val="004C3CF1"/>
    <w:rsid w:val="004C4C8F"/>
    <w:rsid w:val="004C5754"/>
    <w:rsid w:val="004D0574"/>
    <w:rsid w:val="004D0C7C"/>
    <w:rsid w:val="004D118B"/>
    <w:rsid w:val="004D2751"/>
    <w:rsid w:val="004D6A72"/>
    <w:rsid w:val="004D7D12"/>
    <w:rsid w:val="004E0D99"/>
    <w:rsid w:val="004E1174"/>
    <w:rsid w:val="004E1BFE"/>
    <w:rsid w:val="004E242F"/>
    <w:rsid w:val="004E29C6"/>
    <w:rsid w:val="004E32F2"/>
    <w:rsid w:val="004E3E8F"/>
    <w:rsid w:val="004E4095"/>
    <w:rsid w:val="004E5E6C"/>
    <w:rsid w:val="004E6683"/>
    <w:rsid w:val="004F2FEB"/>
    <w:rsid w:val="004F47E3"/>
    <w:rsid w:val="004F5E43"/>
    <w:rsid w:val="004F5E7A"/>
    <w:rsid w:val="004F7BA3"/>
    <w:rsid w:val="00500698"/>
    <w:rsid w:val="00500C9D"/>
    <w:rsid w:val="00503C39"/>
    <w:rsid w:val="00506528"/>
    <w:rsid w:val="00506FCE"/>
    <w:rsid w:val="00507986"/>
    <w:rsid w:val="005106C6"/>
    <w:rsid w:val="00510AC6"/>
    <w:rsid w:val="00510CCC"/>
    <w:rsid w:val="005116B1"/>
    <w:rsid w:val="005133A7"/>
    <w:rsid w:val="00517351"/>
    <w:rsid w:val="00520444"/>
    <w:rsid w:val="005216AE"/>
    <w:rsid w:val="00521988"/>
    <w:rsid w:val="00521C87"/>
    <w:rsid w:val="005230E3"/>
    <w:rsid w:val="005238F6"/>
    <w:rsid w:val="0052463E"/>
    <w:rsid w:val="005250E6"/>
    <w:rsid w:val="00525511"/>
    <w:rsid w:val="00525A42"/>
    <w:rsid w:val="00526B28"/>
    <w:rsid w:val="00527387"/>
    <w:rsid w:val="00527A7D"/>
    <w:rsid w:val="00531A01"/>
    <w:rsid w:val="0053262B"/>
    <w:rsid w:val="00533D7B"/>
    <w:rsid w:val="005340D5"/>
    <w:rsid w:val="00535433"/>
    <w:rsid w:val="005354E9"/>
    <w:rsid w:val="005409C5"/>
    <w:rsid w:val="00540A7C"/>
    <w:rsid w:val="00544292"/>
    <w:rsid w:val="005448AD"/>
    <w:rsid w:val="00545625"/>
    <w:rsid w:val="005456EC"/>
    <w:rsid w:val="00547154"/>
    <w:rsid w:val="00552BB8"/>
    <w:rsid w:val="00552D96"/>
    <w:rsid w:val="00553011"/>
    <w:rsid w:val="00554795"/>
    <w:rsid w:val="0055490C"/>
    <w:rsid w:val="0055681D"/>
    <w:rsid w:val="00556DEA"/>
    <w:rsid w:val="00560465"/>
    <w:rsid w:val="0056070C"/>
    <w:rsid w:val="00560972"/>
    <w:rsid w:val="00561341"/>
    <w:rsid w:val="0056238A"/>
    <w:rsid w:val="00562485"/>
    <w:rsid w:val="00563378"/>
    <w:rsid w:val="00563F7B"/>
    <w:rsid w:val="005640A6"/>
    <w:rsid w:val="005640FB"/>
    <w:rsid w:val="00564A9A"/>
    <w:rsid w:val="0056664A"/>
    <w:rsid w:val="00566C20"/>
    <w:rsid w:val="005678C4"/>
    <w:rsid w:val="00567AED"/>
    <w:rsid w:val="00567B8F"/>
    <w:rsid w:val="00567CEB"/>
    <w:rsid w:val="00570267"/>
    <w:rsid w:val="00570A7C"/>
    <w:rsid w:val="00570F8E"/>
    <w:rsid w:val="005719FD"/>
    <w:rsid w:val="00571B06"/>
    <w:rsid w:val="00572118"/>
    <w:rsid w:val="00573359"/>
    <w:rsid w:val="0057494A"/>
    <w:rsid w:val="00574A89"/>
    <w:rsid w:val="00574AB1"/>
    <w:rsid w:val="005750CE"/>
    <w:rsid w:val="00575FFA"/>
    <w:rsid w:val="00576A01"/>
    <w:rsid w:val="00576F30"/>
    <w:rsid w:val="0058246D"/>
    <w:rsid w:val="00582997"/>
    <w:rsid w:val="0058306B"/>
    <w:rsid w:val="00583744"/>
    <w:rsid w:val="00584C71"/>
    <w:rsid w:val="00586CE4"/>
    <w:rsid w:val="00586D82"/>
    <w:rsid w:val="005875FD"/>
    <w:rsid w:val="005879B8"/>
    <w:rsid w:val="00587DFB"/>
    <w:rsid w:val="00591130"/>
    <w:rsid w:val="00591FA0"/>
    <w:rsid w:val="005920A2"/>
    <w:rsid w:val="00592456"/>
    <w:rsid w:val="00593648"/>
    <w:rsid w:val="00593762"/>
    <w:rsid w:val="00594141"/>
    <w:rsid w:val="00594AC6"/>
    <w:rsid w:val="00594F99"/>
    <w:rsid w:val="0059679F"/>
    <w:rsid w:val="00596F19"/>
    <w:rsid w:val="005970B5"/>
    <w:rsid w:val="005978D0"/>
    <w:rsid w:val="005A0026"/>
    <w:rsid w:val="005A0B86"/>
    <w:rsid w:val="005A2088"/>
    <w:rsid w:val="005A2FC0"/>
    <w:rsid w:val="005A3880"/>
    <w:rsid w:val="005A540A"/>
    <w:rsid w:val="005A66F6"/>
    <w:rsid w:val="005A7A14"/>
    <w:rsid w:val="005B341F"/>
    <w:rsid w:val="005B342B"/>
    <w:rsid w:val="005B41B4"/>
    <w:rsid w:val="005B44D6"/>
    <w:rsid w:val="005B47AA"/>
    <w:rsid w:val="005B4F44"/>
    <w:rsid w:val="005B5651"/>
    <w:rsid w:val="005B5B3A"/>
    <w:rsid w:val="005B613F"/>
    <w:rsid w:val="005C0E7F"/>
    <w:rsid w:val="005C54A9"/>
    <w:rsid w:val="005C6EFB"/>
    <w:rsid w:val="005D0BD1"/>
    <w:rsid w:val="005D16E1"/>
    <w:rsid w:val="005D231A"/>
    <w:rsid w:val="005D27B8"/>
    <w:rsid w:val="005D2E03"/>
    <w:rsid w:val="005D3E03"/>
    <w:rsid w:val="005D4544"/>
    <w:rsid w:val="005D4B47"/>
    <w:rsid w:val="005D4F09"/>
    <w:rsid w:val="005D5178"/>
    <w:rsid w:val="005D5515"/>
    <w:rsid w:val="005D6EA8"/>
    <w:rsid w:val="005D6F05"/>
    <w:rsid w:val="005E0543"/>
    <w:rsid w:val="005E09E9"/>
    <w:rsid w:val="005E10E3"/>
    <w:rsid w:val="005E1A47"/>
    <w:rsid w:val="005E331D"/>
    <w:rsid w:val="005E3FC7"/>
    <w:rsid w:val="005F0EA8"/>
    <w:rsid w:val="005F32E7"/>
    <w:rsid w:val="005F3AB0"/>
    <w:rsid w:val="005F4AC1"/>
    <w:rsid w:val="005F54D7"/>
    <w:rsid w:val="005F698B"/>
    <w:rsid w:val="005F6FC1"/>
    <w:rsid w:val="00600956"/>
    <w:rsid w:val="00600D26"/>
    <w:rsid w:val="006011E1"/>
    <w:rsid w:val="00601F0B"/>
    <w:rsid w:val="0060226C"/>
    <w:rsid w:val="00602401"/>
    <w:rsid w:val="00604158"/>
    <w:rsid w:val="0060499A"/>
    <w:rsid w:val="0060559A"/>
    <w:rsid w:val="0060666C"/>
    <w:rsid w:val="00606C5F"/>
    <w:rsid w:val="0060759B"/>
    <w:rsid w:val="0061103F"/>
    <w:rsid w:val="00614CE6"/>
    <w:rsid w:val="006158F9"/>
    <w:rsid w:val="00615CA5"/>
    <w:rsid w:val="00615D43"/>
    <w:rsid w:val="00615EFC"/>
    <w:rsid w:val="00616558"/>
    <w:rsid w:val="00616BCC"/>
    <w:rsid w:val="006173FB"/>
    <w:rsid w:val="0061761A"/>
    <w:rsid w:val="00622448"/>
    <w:rsid w:val="00623CFD"/>
    <w:rsid w:val="00623DFF"/>
    <w:rsid w:val="00624299"/>
    <w:rsid w:val="006243EB"/>
    <w:rsid w:val="00625536"/>
    <w:rsid w:val="00625AC1"/>
    <w:rsid w:val="00626698"/>
    <w:rsid w:val="006267F8"/>
    <w:rsid w:val="0062726D"/>
    <w:rsid w:val="00630966"/>
    <w:rsid w:val="00630EC4"/>
    <w:rsid w:val="00630EC9"/>
    <w:rsid w:val="00631027"/>
    <w:rsid w:val="00631B4C"/>
    <w:rsid w:val="00632522"/>
    <w:rsid w:val="006328B1"/>
    <w:rsid w:val="00632CB9"/>
    <w:rsid w:val="00635BAE"/>
    <w:rsid w:val="006376D5"/>
    <w:rsid w:val="00637714"/>
    <w:rsid w:val="00637BE7"/>
    <w:rsid w:val="00641D5A"/>
    <w:rsid w:val="00641E58"/>
    <w:rsid w:val="0064258D"/>
    <w:rsid w:val="00642777"/>
    <w:rsid w:val="00643B89"/>
    <w:rsid w:val="00644C50"/>
    <w:rsid w:val="00645936"/>
    <w:rsid w:val="00646433"/>
    <w:rsid w:val="00646B92"/>
    <w:rsid w:val="00647402"/>
    <w:rsid w:val="00647849"/>
    <w:rsid w:val="00650282"/>
    <w:rsid w:val="00650A11"/>
    <w:rsid w:val="00650A1C"/>
    <w:rsid w:val="006511BB"/>
    <w:rsid w:val="0065289F"/>
    <w:rsid w:val="006531EF"/>
    <w:rsid w:val="006554D8"/>
    <w:rsid w:val="00655DA6"/>
    <w:rsid w:val="00656305"/>
    <w:rsid w:val="0066034A"/>
    <w:rsid w:val="006631B8"/>
    <w:rsid w:val="00665109"/>
    <w:rsid w:val="006656EC"/>
    <w:rsid w:val="006662EE"/>
    <w:rsid w:val="00666D7B"/>
    <w:rsid w:val="00667977"/>
    <w:rsid w:val="00667D10"/>
    <w:rsid w:val="006721E0"/>
    <w:rsid w:val="006725A4"/>
    <w:rsid w:val="00673F28"/>
    <w:rsid w:val="00674043"/>
    <w:rsid w:val="0067720E"/>
    <w:rsid w:val="006776BA"/>
    <w:rsid w:val="00677C08"/>
    <w:rsid w:val="00677C65"/>
    <w:rsid w:val="0068051F"/>
    <w:rsid w:val="006812CF"/>
    <w:rsid w:val="00681B40"/>
    <w:rsid w:val="006820E6"/>
    <w:rsid w:val="006824EE"/>
    <w:rsid w:val="00682BBC"/>
    <w:rsid w:val="00684490"/>
    <w:rsid w:val="00684F17"/>
    <w:rsid w:val="00685CB3"/>
    <w:rsid w:val="006866E5"/>
    <w:rsid w:val="006867B7"/>
    <w:rsid w:val="00686874"/>
    <w:rsid w:val="00686F5E"/>
    <w:rsid w:val="00690602"/>
    <w:rsid w:val="00690D18"/>
    <w:rsid w:val="006914EF"/>
    <w:rsid w:val="00692DE8"/>
    <w:rsid w:val="0069403E"/>
    <w:rsid w:val="006945C8"/>
    <w:rsid w:val="006A0557"/>
    <w:rsid w:val="006A0782"/>
    <w:rsid w:val="006A1B09"/>
    <w:rsid w:val="006A2A2C"/>
    <w:rsid w:val="006A2D92"/>
    <w:rsid w:val="006A56C1"/>
    <w:rsid w:val="006A5A2E"/>
    <w:rsid w:val="006B0449"/>
    <w:rsid w:val="006B04D1"/>
    <w:rsid w:val="006B131C"/>
    <w:rsid w:val="006B3964"/>
    <w:rsid w:val="006B3C41"/>
    <w:rsid w:val="006B4257"/>
    <w:rsid w:val="006B4B0D"/>
    <w:rsid w:val="006B4E05"/>
    <w:rsid w:val="006B5ADD"/>
    <w:rsid w:val="006B70AF"/>
    <w:rsid w:val="006C0521"/>
    <w:rsid w:val="006C17EA"/>
    <w:rsid w:val="006C5CE3"/>
    <w:rsid w:val="006C5DA0"/>
    <w:rsid w:val="006C6483"/>
    <w:rsid w:val="006C64E6"/>
    <w:rsid w:val="006C7426"/>
    <w:rsid w:val="006D1474"/>
    <w:rsid w:val="006D1F7D"/>
    <w:rsid w:val="006D29CD"/>
    <w:rsid w:val="006D2BE3"/>
    <w:rsid w:val="006D2BEB"/>
    <w:rsid w:val="006D2BF3"/>
    <w:rsid w:val="006D37CF"/>
    <w:rsid w:val="006D3DCE"/>
    <w:rsid w:val="006D424D"/>
    <w:rsid w:val="006D4CAC"/>
    <w:rsid w:val="006D7992"/>
    <w:rsid w:val="006E11EC"/>
    <w:rsid w:val="006E17B6"/>
    <w:rsid w:val="006E1919"/>
    <w:rsid w:val="006E58A2"/>
    <w:rsid w:val="006E6C7E"/>
    <w:rsid w:val="006E7242"/>
    <w:rsid w:val="006E7CFB"/>
    <w:rsid w:val="006F0945"/>
    <w:rsid w:val="006F1ED4"/>
    <w:rsid w:val="006F2B64"/>
    <w:rsid w:val="006F31AE"/>
    <w:rsid w:val="006F3BB8"/>
    <w:rsid w:val="006F664C"/>
    <w:rsid w:val="006F6CFD"/>
    <w:rsid w:val="0070149F"/>
    <w:rsid w:val="00703D2D"/>
    <w:rsid w:val="00703F7C"/>
    <w:rsid w:val="00706FE9"/>
    <w:rsid w:val="00707C3D"/>
    <w:rsid w:val="0071010C"/>
    <w:rsid w:val="00710BF9"/>
    <w:rsid w:val="0071191B"/>
    <w:rsid w:val="00711DC5"/>
    <w:rsid w:val="00712914"/>
    <w:rsid w:val="0071360C"/>
    <w:rsid w:val="0071367B"/>
    <w:rsid w:val="007139B6"/>
    <w:rsid w:val="007142DE"/>
    <w:rsid w:val="0071468E"/>
    <w:rsid w:val="007148AA"/>
    <w:rsid w:val="0071535A"/>
    <w:rsid w:val="00715F64"/>
    <w:rsid w:val="0071686F"/>
    <w:rsid w:val="00716A12"/>
    <w:rsid w:val="00716BD0"/>
    <w:rsid w:val="00716D5C"/>
    <w:rsid w:val="00716E66"/>
    <w:rsid w:val="00717760"/>
    <w:rsid w:val="00717800"/>
    <w:rsid w:val="007208D9"/>
    <w:rsid w:val="00720AF5"/>
    <w:rsid w:val="00720C9D"/>
    <w:rsid w:val="00720FFE"/>
    <w:rsid w:val="00721036"/>
    <w:rsid w:val="00724C0F"/>
    <w:rsid w:val="00726AE5"/>
    <w:rsid w:val="0072715A"/>
    <w:rsid w:val="00727FE4"/>
    <w:rsid w:val="00732185"/>
    <w:rsid w:val="0073258B"/>
    <w:rsid w:val="00732BA8"/>
    <w:rsid w:val="0073350E"/>
    <w:rsid w:val="00733F8C"/>
    <w:rsid w:val="00734E99"/>
    <w:rsid w:val="007359A7"/>
    <w:rsid w:val="00735F2D"/>
    <w:rsid w:val="00736976"/>
    <w:rsid w:val="00736A54"/>
    <w:rsid w:val="0074128D"/>
    <w:rsid w:val="00744ECC"/>
    <w:rsid w:val="0074677C"/>
    <w:rsid w:val="00746E21"/>
    <w:rsid w:val="0074740B"/>
    <w:rsid w:val="00747E73"/>
    <w:rsid w:val="0075393B"/>
    <w:rsid w:val="0075471A"/>
    <w:rsid w:val="00754F3E"/>
    <w:rsid w:val="0075771C"/>
    <w:rsid w:val="007608D7"/>
    <w:rsid w:val="00760C0D"/>
    <w:rsid w:val="00761231"/>
    <w:rsid w:val="00763D76"/>
    <w:rsid w:val="00764E22"/>
    <w:rsid w:val="00764FAA"/>
    <w:rsid w:val="0076598D"/>
    <w:rsid w:val="00767042"/>
    <w:rsid w:val="00767A04"/>
    <w:rsid w:val="00770A91"/>
    <w:rsid w:val="00773719"/>
    <w:rsid w:val="00773B58"/>
    <w:rsid w:val="00774343"/>
    <w:rsid w:val="0077478C"/>
    <w:rsid w:val="007754E1"/>
    <w:rsid w:val="00777487"/>
    <w:rsid w:val="007777A1"/>
    <w:rsid w:val="0078003D"/>
    <w:rsid w:val="0078273E"/>
    <w:rsid w:val="00782DCD"/>
    <w:rsid w:val="00782F88"/>
    <w:rsid w:val="0078471D"/>
    <w:rsid w:val="00784EC0"/>
    <w:rsid w:val="00786D45"/>
    <w:rsid w:val="0078730F"/>
    <w:rsid w:val="0078760F"/>
    <w:rsid w:val="0079095B"/>
    <w:rsid w:val="007913FD"/>
    <w:rsid w:val="0079221B"/>
    <w:rsid w:val="007925C2"/>
    <w:rsid w:val="00795BA7"/>
    <w:rsid w:val="007961F8"/>
    <w:rsid w:val="00796A2C"/>
    <w:rsid w:val="00796A50"/>
    <w:rsid w:val="007A01E1"/>
    <w:rsid w:val="007A49C2"/>
    <w:rsid w:val="007A4BDD"/>
    <w:rsid w:val="007A650A"/>
    <w:rsid w:val="007B05B3"/>
    <w:rsid w:val="007B14CE"/>
    <w:rsid w:val="007B2E0B"/>
    <w:rsid w:val="007B33D7"/>
    <w:rsid w:val="007B5AC7"/>
    <w:rsid w:val="007B6556"/>
    <w:rsid w:val="007B732A"/>
    <w:rsid w:val="007B7DC0"/>
    <w:rsid w:val="007C08F8"/>
    <w:rsid w:val="007C10F1"/>
    <w:rsid w:val="007C1837"/>
    <w:rsid w:val="007C2377"/>
    <w:rsid w:val="007C293A"/>
    <w:rsid w:val="007C535A"/>
    <w:rsid w:val="007D0844"/>
    <w:rsid w:val="007D0CC0"/>
    <w:rsid w:val="007D1804"/>
    <w:rsid w:val="007D1F88"/>
    <w:rsid w:val="007D2908"/>
    <w:rsid w:val="007D537B"/>
    <w:rsid w:val="007D6F3F"/>
    <w:rsid w:val="007E1522"/>
    <w:rsid w:val="007E190E"/>
    <w:rsid w:val="007E1D58"/>
    <w:rsid w:val="007E284E"/>
    <w:rsid w:val="007E47C2"/>
    <w:rsid w:val="007E4802"/>
    <w:rsid w:val="007E5728"/>
    <w:rsid w:val="007E6064"/>
    <w:rsid w:val="007E6CF8"/>
    <w:rsid w:val="007E6ECC"/>
    <w:rsid w:val="007E7285"/>
    <w:rsid w:val="007F0ABE"/>
    <w:rsid w:val="007F0ED9"/>
    <w:rsid w:val="007F10EC"/>
    <w:rsid w:val="007F1A4B"/>
    <w:rsid w:val="007F25A7"/>
    <w:rsid w:val="007F2645"/>
    <w:rsid w:val="007F435A"/>
    <w:rsid w:val="007F4668"/>
    <w:rsid w:val="007F571B"/>
    <w:rsid w:val="007F64C7"/>
    <w:rsid w:val="008031EC"/>
    <w:rsid w:val="008034D8"/>
    <w:rsid w:val="008045A1"/>
    <w:rsid w:val="008054F0"/>
    <w:rsid w:val="00805BD3"/>
    <w:rsid w:val="00807DB6"/>
    <w:rsid w:val="00813055"/>
    <w:rsid w:val="00814110"/>
    <w:rsid w:val="00815425"/>
    <w:rsid w:val="008155E3"/>
    <w:rsid w:val="00815B20"/>
    <w:rsid w:val="00816D14"/>
    <w:rsid w:val="00816FAB"/>
    <w:rsid w:val="00817638"/>
    <w:rsid w:val="008228A5"/>
    <w:rsid w:val="00822B3C"/>
    <w:rsid w:val="00825095"/>
    <w:rsid w:val="00826F71"/>
    <w:rsid w:val="00830ED9"/>
    <w:rsid w:val="00832324"/>
    <w:rsid w:val="008326DB"/>
    <w:rsid w:val="00834367"/>
    <w:rsid w:val="00834AB9"/>
    <w:rsid w:val="008367A4"/>
    <w:rsid w:val="008369A3"/>
    <w:rsid w:val="00837300"/>
    <w:rsid w:val="00837F65"/>
    <w:rsid w:val="008410B6"/>
    <w:rsid w:val="008438F2"/>
    <w:rsid w:val="00845B33"/>
    <w:rsid w:val="00846240"/>
    <w:rsid w:val="008473D5"/>
    <w:rsid w:val="008478CE"/>
    <w:rsid w:val="00847C2B"/>
    <w:rsid w:val="00847E7D"/>
    <w:rsid w:val="00847F14"/>
    <w:rsid w:val="00850B48"/>
    <w:rsid w:val="00850CF7"/>
    <w:rsid w:val="0085121C"/>
    <w:rsid w:val="008521A8"/>
    <w:rsid w:val="00854B58"/>
    <w:rsid w:val="0085583B"/>
    <w:rsid w:val="008576E4"/>
    <w:rsid w:val="00857E85"/>
    <w:rsid w:val="00860285"/>
    <w:rsid w:val="00860E75"/>
    <w:rsid w:val="0086103A"/>
    <w:rsid w:val="008617EA"/>
    <w:rsid w:val="0086208D"/>
    <w:rsid w:val="00862925"/>
    <w:rsid w:val="008629E3"/>
    <w:rsid w:val="00864321"/>
    <w:rsid w:val="00865DC8"/>
    <w:rsid w:val="00870D58"/>
    <w:rsid w:val="008712A0"/>
    <w:rsid w:val="008717D4"/>
    <w:rsid w:val="00871EB8"/>
    <w:rsid w:val="00872621"/>
    <w:rsid w:val="008727AA"/>
    <w:rsid w:val="008729DD"/>
    <w:rsid w:val="00873250"/>
    <w:rsid w:val="00873825"/>
    <w:rsid w:val="008739EF"/>
    <w:rsid w:val="00873ADE"/>
    <w:rsid w:val="00876879"/>
    <w:rsid w:val="00876F9A"/>
    <w:rsid w:val="00877C17"/>
    <w:rsid w:val="00880022"/>
    <w:rsid w:val="0088229D"/>
    <w:rsid w:val="008839E5"/>
    <w:rsid w:val="00883C2B"/>
    <w:rsid w:val="00883C78"/>
    <w:rsid w:val="00886F36"/>
    <w:rsid w:val="0088761A"/>
    <w:rsid w:val="00890A9E"/>
    <w:rsid w:val="00892576"/>
    <w:rsid w:val="00894601"/>
    <w:rsid w:val="00894CD3"/>
    <w:rsid w:val="00895D49"/>
    <w:rsid w:val="0089699B"/>
    <w:rsid w:val="008A1DD5"/>
    <w:rsid w:val="008A4654"/>
    <w:rsid w:val="008A6491"/>
    <w:rsid w:val="008A64F2"/>
    <w:rsid w:val="008A6708"/>
    <w:rsid w:val="008A70C3"/>
    <w:rsid w:val="008A73CA"/>
    <w:rsid w:val="008A7CF1"/>
    <w:rsid w:val="008B0674"/>
    <w:rsid w:val="008B0B60"/>
    <w:rsid w:val="008B0CFF"/>
    <w:rsid w:val="008B0D6E"/>
    <w:rsid w:val="008B20C2"/>
    <w:rsid w:val="008B333C"/>
    <w:rsid w:val="008B3CD2"/>
    <w:rsid w:val="008B519F"/>
    <w:rsid w:val="008B5C6E"/>
    <w:rsid w:val="008B75E1"/>
    <w:rsid w:val="008B75EB"/>
    <w:rsid w:val="008C011F"/>
    <w:rsid w:val="008C0805"/>
    <w:rsid w:val="008C096C"/>
    <w:rsid w:val="008C0B6E"/>
    <w:rsid w:val="008C1CAA"/>
    <w:rsid w:val="008C26F4"/>
    <w:rsid w:val="008C3539"/>
    <w:rsid w:val="008C4888"/>
    <w:rsid w:val="008C53BF"/>
    <w:rsid w:val="008C624A"/>
    <w:rsid w:val="008D1A1E"/>
    <w:rsid w:val="008D1DB1"/>
    <w:rsid w:val="008D1DF0"/>
    <w:rsid w:val="008D3892"/>
    <w:rsid w:val="008D39AA"/>
    <w:rsid w:val="008D5118"/>
    <w:rsid w:val="008D55F9"/>
    <w:rsid w:val="008D6A9C"/>
    <w:rsid w:val="008E0D56"/>
    <w:rsid w:val="008E2B2F"/>
    <w:rsid w:val="008E348C"/>
    <w:rsid w:val="008E3EFE"/>
    <w:rsid w:val="008E4DFF"/>
    <w:rsid w:val="008E549E"/>
    <w:rsid w:val="008E54D0"/>
    <w:rsid w:val="008E5E23"/>
    <w:rsid w:val="008E67C0"/>
    <w:rsid w:val="008E7522"/>
    <w:rsid w:val="008E7F9F"/>
    <w:rsid w:val="008F09FE"/>
    <w:rsid w:val="008F0CC0"/>
    <w:rsid w:val="008F1046"/>
    <w:rsid w:val="008F18B3"/>
    <w:rsid w:val="008F1E40"/>
    <w:rsid w:val="008F281A"/>
    <w:rsid w:val="008F2DC7"/>
    <w:rsid w:val="008F5625"/>
    <w:rsid w:val="008F5871"/>
    <w:rsid w:val="008F5890"/>
    <w:rsid w:val="008F5B59"/>
    <w:rsid w:val="008F6E9D"/>
    <w:rsid w:val="00900C12"/>
    <w:rsid w:val="00901EDF"/>
    <w:rsid w:val="009027DC"/>
    <w:rsid w:val="00903CAE"/>
    <w:rsid w:val="00904333"/>
    <w:rsid w:val="00904705"/>
    <w:rsid w:val="00904B02"/>
    <w:rsid w:val="00904BBF"/>
    <w:rsid w:val="009050B9"/>
    <w:rsid w:val="00905752"/>
    <w:rsid w:val="0090586E"/>
    <w:rsid w:val="009061DC"/>
    <w:rsid w:val="00906288"/>
    <w:rsid w:val="00906E14"/>
    <w:rsid w:val="009076FD"/>
    <w:rsid w:val="0091113E"/>
    <w:rsid w:val="0091235C"/>
    <w:rsid w:val="009128E8"/>
    <w:rsid w:val="00914581"/>
    <w:rsid w:val="00915403"/>
    <w:rsid w:val="00920962"/>
    <w:rsid w:val="00920A27"/>
    <w:rsid w:val="00922BDF"/>
    <w:rsid w:val="00924E21"/>
    <w:rsid w:val="0092726F"/>
    <w:rsid w:val="0092775A"/>
    <w:rsid w:val="009308F0"/>
    <w:rsid w:val="0093251D"/>
    <w:rsid w:val="00932CDB"/>
    <w:rsid w:val="0093345C"/>
    <w:rsid w:val="00935F44"/>
    <w:rsid w:val="00936C94"/>
    <w:rsid w:val="00936D3F"/>
    <w:rsid w:val="00937CD8"/>
    <w:rsid w:val="00937DFB"/>
    <w:rsid w:val="00940A80"/>
    <w:rsid w:val="00941D69"/>
    <w:rsid w:val="009441C8"/>
    <w:rsid w:val="00944597"/>
    <w:rsid w:val="00944936"/>
    <w:rsid w:val="00944AA7"/>
    <w:rsid w:val="00946AD7"/>
    <w:rsid w:val="00946E53"/>
    <w:rsid w:val="00947C30"/>
    <w:rsid w:val="00947F91"/>
    <w:rsid w:val="0095045E"/>
    <w:rsid w:val="00950571"/>
    <w:rsid w:val="0095095C"/>
    <w:rsid w:val="00952D7C"/>
    <w:rsid w:val="00953093"/>
    <w:rsid w:val="009540D9"/>
    <w:rsid w:val="009546F6"/>
    <w:rsid w:val="009554E6"/>
    <w:rsid w:val="0095626F"/>
    <w:rsid w:val="0095647D"/>
    <w:rsid w:val="009569C9"/>
    <w:rsid w:val="00956BA1"/>
    <w:rsid w:val="009573C1"/>
    <w:rsid w:val="00961356"/>
    <w:rsid w:val="0096217D"/>
    <w:rsid w:val="009625BB"/>
    <w:rsid w:val="00962C9F"/>
    <w:rsid w:val="00963DA9"/>
    <w:rsid w:val="0096455D"/>
    <w:rsid w:val="00964F55"/>
    <w:rsid w:val="00965C4C"/>
    <w:rsid w:val="00965CBF"/>
    <w:rsid w:val="00966271"/>
    <w:rsid w:val="0096758F"/>
    <w:rsid w:val="0096779E"/>
    <w:rsid w:val="00970170"/>
    <w:rsid w:val="009709DA"/>
    <w:rsid w:val="00971717"/>
    <w:rsid w:val="009725A3"/>
    <w:rsid w:val="00972850"/>
    <w:rsid w:val="0097372C"/>
    <w:rsid w:val="0097570D"/>
    <w:rsid w:val="009769C6"/>
    <w:rsid w:val="009775BC"/>
    <w:rsid w:val="00977F47"/>
    <w:rsid w:val="00980F93"/>
    <w:rsid w:val="00980FD2"/>
    <w:rsid w:val="009837EF"/>
    <w:rsid w:val="00983BC7"/>
    <w:rsid w:val="00983EB7"/>
    <w:rsid w:val="00984BDC"/>
    <w:rsid w:val="009857E0"/>
    <w:rsid w:val="009866CE"/>
    <w:rsid w:val="009868BD"/>
    <w:rsid w:val="00987A1D"/>
    <w:rsid w:val="009918FB"/>
    <w:rsid w:val="00991CE2"/>
    <w:rsid w:val="00991F2D"/>
    <w:rsid w:val="00996806"/>
    <w:rsid w:val="009A0497"/>
    <w:rsid w:val="009A1142"/>
    <w:rsid w:val="009A1A9A"/>
    <w:rsid w:val="009A2D21"/>
    <w:rsid w:val="009A42CB"/>
    <w:rsid w:val="009A7096"/>
    <w:rsid w:val="009A7A3D"/>
    <w:rsid w:val="009B000A"/>
    <w:rsid w:val="009B106C"/>
    <w:rsid w:val="009B157C"/>
    <w:rsid w:val="009B2293"/>
    <w:rsid w:val="009B25BD"/>
    <w:rsid w:val="009B36BF"/>
    <w:rsid w:val="009B5872"/>
    <w:rsid w:val="009B5A80"/>
    <w:rsid w:val="009B671B"/>
    <w:rsid w:val="009B6ACF"/>
    <w:rsid w:val="009B6B48"/>
    <w:rsid w:val="009B7123"/>
    <w:rsid w:val="009B7B65"/>
    <w:rsid w:val="009C0309"/>
    <w:rsid w:val="009C0862"/>
    <w:rsid w:val="009C0CEB"/>
    <w:rsid w:val="009C2B62"/>
    <w:rsid w:val="009C2C50"/>
    <w:rsid w:val="009C38FA"/>
    <w:rsid w:val="009C3E19"/>
    <w:rsid w:val="009C5777"/>
    <w:rsid w:val="009C74B5"/>
    <w:rsid w:val="009C7BD2"/>
    <w:rsid w:val="009D0E47"/>
    <w:rsid w:val="009D13F4"/>
    <w:rsid w:val="009D1BE9"/>
    <w:rsid w:val="009D1F1C"/>
    <w:rsid w:val="009D2902"/>
    <w:rsid w:val="009D3AEC"/>
    <w:rsid w:val="009D5F7A"/>
    <w:rsid w:val="009D75ED"/>
    <w:rsid w:val="009D7957"/>
    <w:rsid w:val="009D7CE6"/>
    <w:rsid w:val="009E008F"/>
    <w:rsid w:val="009E0870"/>
    <w:rsid w:val="009E0D56"/>
    <w:rsid w:val="009E262C"/>
    <w:rsid w:val="009E3B03"/>
    <w:rsid w:val="009E43FD"/>
    <w:rsid w:val="009E4F86"/>
    <w:rsid w:val="009E5D8C"/>
    <w:rsid w:val="009E6430"/>
    <w:rsid w:val="009E64A4"/>
    <w:rsid w:val="009E720C"/>
    <w:rsid w:val="009E771F"/>
    <w:rsid w:val="009E7AF0"/>
    <w:rsid w:val="009F131C"/>
    <w:rsid w:val="009F13E1"/>
    <w:rsid w:val="009F16DC"/>
    <w:rsid w:val="009F4620"/>
    <w:rsid w:val="009F471D"/>
    <w:rsid w:val="009F48BD"/>
    <w:rsid w:val="009F56A0"/>
    <w:rsid w:val="009F625C"/>
    <w:rsid w:val="009F6692"/>
    <w:rsid w:val="009F70C9"/>
    <w:rsid w:val="00A00F82"/>
    <w:rsid w:val="00A02AB8"/>
    <w:rsid w:val="00A0444F"/>
    <w:rsid w:val="00A05393"/>
    <w:rsid w:val="00A05924"/>
    <w:rsid w:val="00A104A5"/>
    <w:rsid w:val="00A11374"/>
    <w:rsid w:val="00A12337"/>
    <w:rsid w:val="00A127AE"/>
    <w:rsid w:val="00A13C00"/>
    <w:rsid w:val="00A143E0"/>
    <w:rsid w:val="00A14CF2"/>
    <w:rsid w:val="00A1550B"/>
    <w:rsid w:val="00A15B83"/>
    <w:rsid w:val="00A212FC"/>
    <w:rsid w:val="00A21C3A"/>
    <w:rsid w:val="00A22274"/>
    <w:rsid w:val="00A223AF"/>
    <w:rsid w:val="00A2267C"/>
    <w:rsid w:val="00A23419"/>
    <w:rsid w:val="00A23655"/>
    <w:rsid w:val="00A31E8A"/>
    <w:rsid w:val="00A32793"/>
    <w:rsid w:val="00A328D8"/>
    <w:rsid w:val="00A3294E"/>
    <w:rsid w:val="00A376D1"/>
    <w:rsid w:val="00A40A6B"/>
    <w:rsid w:val="00A412A4"/>
    <w:rsid w:val="00A419B3"/>
    <w:rsid w:val="00A42266"/>
    <w:rsid w:val="00A436C8"/>
    <w:rsid w:val="00A44E29"/>
    <w:rsid w:val="00A45752"/>
    <w:rsid w:val="00A46BA8"/>
    <w:rsid w:val="00A47931"/>
    <w:rsid w:val="00A513E9"/>
    <w:rsid w:val="00A52C51"/>
    <w:rsid w:val="00A53623"/>
    <w:rsid w:val="00A54607"/>
    <w:rsid w:val="00A5615B"/>
    <w:rsid w:val="00A566F7"/>
    <w:rsid w:val="00A60788"/>
    <w:rsid w:val="00A624D4"/>
    <w:rsid w:val="00A63795"/>
    <w:rsid w:val="00A63817"/>
    <w:rsid w:val="00A64DFC"/>
    <w:rsid w:val="00A64E67"/>
    <w:rsid w:val="00A65708"/>
    <w:rsid w:val="00A72A69"/>
    <w:rsid w:val="00A74FE2"/>
    <w:rsid w:val="00A75DAF"/>
    <w:rsid w:val="00A76ACC"/>
    <w:rsid w:val="00A773DC"/>
    <w:rsid w:val="00A80316"/>
    <w:rsid w:val="00A80DCD"/>
    <w:rsid w:val="00A827A8"/>
    <w:rsid w:val="00A8360B"/>
    <w:rsid w:val="00A8499E"/>
    <w:rsid w:val="00A84CB3"/>
    <w:rsid w:val="00A857D9"/>
    <w:rsid w:val="00A87636"/>
    <w:rsid w:val="00A87CF6"/>
    <w:rsid w:val="00A90857"/>
    <w:rsid w:val="00A90A64"/>
    <w:rsid w:val="00A91448"/>
    <w:rsid w:val="00A92245"/>
    <w:rsid w:val="00A93A78"/>
    <w:rsid w:val="00A94548"/>
    <w:rsid w:val="00A947FC"/>
    <w:rsid w:val="00AA0CF2"/>
    <w:rsid w:val="00AA2517"/>
    <w:rsid w:val="00AA25A1"/>
    <w:rsid w:val="00AA2B6A"/>
    <w:rsid w:val="00AA3306"/>
    <w:rsid w:val="00AA3D8F"/>
    <w:rsid w:val="00AA4996"/>
    <w:rsid w:val="00AA4B70"/>
    <w:rsid w:val="00AA7756"/>
    <w:rsid w:val="00AB2055"/>
    <w:rsid w:val="00AB2960"/>
    <w:rsid w:val="00AB308F"/>
    <w:rsid w:val="00AB4A42"/>
    <w:rsid w:val="00AB4DF6"/>
    <w:rsid w:val="00AB533F"/>
    <w:rsid w:val="00AB574B"/>
    <w:rsid w:val="00AB6AF9"/>
    <w:rsid w:val="00AB6DF3"/>
    <w:rsid w:val="00AB79EC"/>
    <w:rsid w:val="00AC06AD"/>
    <w:rsid w:val="00AC1849"/>
    <w:rsid w:val="00AC1DB2"/>
    <w:rsid w:val="00AC23DD"/>
    <w:rsid w:val="00AC29B4"/>
    <w:rsid w:val="00AC4436"/>
    <w:rsid w:val="00AC5C99"/>
    <w:rsid w:val="00AC69F0"/>
    <w:rsid w:val="00AC6D17"/>
    <w:rsid w:val="00AC6D7C"/>
    <w:rsid w:val="00AC733F"/>
    <w:rsid w:val="00AC758F"/>
    <w:rsid w:val="00AD01BB"/>
    <w:rsid w:val="00AD02B4"/>
    <w:rsid w:val="00AD4CDC"/>
    <w:rsid w:val="00AD5620"/>
    <w:rsid w:val="00AD5C7A"/>
    <w:rsid w:val="00AD5FA3"/>
    <w:rsid w:val="00AD640D"/>
    <w:rsid w:val="00AD6B21"/>
    <w:rsid w:val="00AD6D7F"/>
    <w:rsid w:val="00AE095B"/>
    <w:rsid w:val="00AE0DAF"/>
    <w:rsid w:val="00AE1E77"/>
    <w:rsid w:val="00AE2076"/>
    <w:rsid w:val="00AE311C"/>
    <w:rsid w:val="00AE324E"/>
    <w:rsid w:val="00AE32FC"/>
    <w:rsid w:val="00AE3926"/>
    <w:rsid w:val="00AE46AA"/>
    <w:rsid w:val="00AE6061"/>
    <w:rsid w:val="00AE723B"/>
    <w:rsid w:val="00AE724C"/>
    <w:rsid w:val="00AF0388"/>
    <w:rsid w:val="00AF04A5"/>
    <w:rsid w:val="00AF05EF"/>
    <w:rsid w:val="00AF0863"/>
    <w:rsid w:val="00AF1714"/>
    <w:rsid w:val="00AF29BB"/>
    <w:rsid w:val="00AF2B88"/>
    <w:rsid w:val="00AF41C6"/>
    <w:rsid w:val="00AF5F2E"/>
    <w:rsid w:val="00AF63A9"/>
    <w:rsid w:val="00AF739D"/>
    <w:rsid w:val="00B00194"/>
    <w:rsid w:val="00B006A9"/>
    <w:rsid w:val="00B00A80"/>
    <w:rsid w:val="00B01ECE"/>
    <w:rsid w:val="00B05C9D"/>
    <w:rsid w:val="00B06148"/>
    <w:rsid w:val="00B068F2"/>
    <w:rsid w:val="00B10278"/>
    <w:rsid w:val="00B1281B"/>
    <w:rsid w:val="00B12922"/>
    <w:rsid w:val="00B13310"/>
    <w:rsid w:val="00B144A4"/>
    <w:rsid w:val="00B154EA"/>
    <w:rsid w:val="00B16720"/>
    <w:rsid w:val="00B1687E"/>
    <w:rsid w:val="00B16AA4"/>
    <w:rsid w:val="00B17990"/>
    <w:rsid w:val="00B20969"/>
    <w:rsid w:val="00B2109F"/>
    <w:rsid w:val="00B21702"/>
    <w:rsid w:val="00B22390"/>
    <w:rsid w:val="00B2258D"/>
    <w:rsid w:val="00B225B0"/>
    <w:rsid w:val="00B24961"/>
    <w:rsid w:val="00B24F50"/>
    <w:rsid w:val="00B25CB1"/>
    <w:rsid w:val="00B30F62"/>
    <w:rsid w:val="00B318B0"/>
    <w:rsid w:val="00B31E83"/>
    <w:rsid w:val="00B3230A"/>
    <w:rsid w:val="00B325B0"/>
    <w:rsid w:val="00B328FC"/>
    <w:rsid w:val="00B33D0D"/>
    <w:rsid w:val="00B3411C"/>
    <w:rsid w:val="00B375F7"/>
    <w:rsid w:val="00B4136C"/>
    <w:rsid w:val="00B4271C"/>
    <w:rsid w:val="00B42A04"/>
    <w:rsid w:val="00B43056"/>
    <w:rsid w:val="00B432BF"/>
    <w:rsid w:val="00B43453"/>
    <w:rsid w:val="00B450F8"/>
    <w:rsid w:val="00B45D84"/>
    <w:rsid w:val="00B474D9"/>
    <w:rsid w:val="00B47728"/>
    <w:rsid w:val="00B47A0F"/>
    <w:rsid w:val="00B47CFD"/>
    <w:rsid w:val="00B50649"/>
    <w:rsid w:val="00B51927"/>
    <w:rsid w:val="00B51DCA"/>
    <w:rsid w:val="00B51EDA"/>
    <w:rsid w:val="00B5400D"/>
    <w:rsid w:val="00B549E8"/>
    <w:rsid w:val="00B55516"/>
    <w:rsid w:val="00B557B6"/>
    <w:rsid w:val="00B55E3F"/>
    <w:rsid w:val="00B567E3"/>
    <w:rsid w:val="00B60A1E"/>
    <w:rsid w:val="00B6156C"/>
    <w:rsid w:val="00B61595"/>
    <w:rsid w:val="00B6327A"/>
    <w:rsid w:val="00B647EF"/>
    <w:rsid w:val="00B64EC1"/>
    <w:rsid w:val="00B657A0"/>
    <w:rsid w:val="00B65FA8"/>
    <w:rsid w:val="00B66384"/>
    <w:rsid w:val="00B664D8"/>
    <w:rsid w:val="00B67D84"/>
    <w:rsid w:val="00B67EB0"/>
    <w:rsid w:val="00B7014D"/>
    <w:rsid w:val="00B7017B"/>
    <w:rsid w:val="00B722B5"/>
    <w:rsid w:val="00B73F2E"/>
    <w:rsid w:val="00B74113"/>
    <w:rsid w:val="00B76136"/>
    <w:rsid w:val="00B77B55"/>
    <w:rsid w:val="00B800B6"/>
    <w:rsid w:val="00B827C5"/>
    <w:rsid w:val="00B83B44"/>
    <w:rsid w:val="00B83D1F"/>
    <w:rsid w:val="00B84190"/>
    <w:rsid w:val="00B8520F"/>
    <w:rsid w:val="00B86514"/>
    <w:rsid w:val="00B9057D"/>
    <w:rsid w:val="00B905E1"/>
    <w:rsid w:val="00B90787"/>
    <w:rsid w:val="00B90C02"/>
    <w:rsid w:val="00B91546"/>
    <w:rsid w:val="00B919DC"/>
    <w:rsid w:val="00B91D3B"/>
    <w:rsid w:val="00B93466"/>
    <w:rsid w:val="00B93D1A"/>
    <w:rsid w:val="00B94293"/>
    <w:rsid w:val="00B94B1E"/>
    <w:rsid w:val="00B9718C"/>
    <w:rsid w:val="00BA1000"/>
    <w:rsid w:val="00BA1691"/>
    <w:rsid w:val="00BA2000"/>
    <w:rsid w:val="00BA2584"/>
    <w:rsid w:val="00BA2B11"/>
    <w:rsid w:val="00BA2B44"/>
    <w:rsid w:val="00BA326C"/>
    <w:rsid w:val="00BA4224"/>
    <w:rsid w:val="00BB0525"/>
    <w:rsid w:val="00BB1709"/>
    <w:rsid w:val="00BB249D"/>
    <w:rsid w:val="00BB3ABF"/>
    <w:rsid w:val="00BB4B15"/>
    <w:rsid w:val="00BB76DF"/>
    <w:rsid w:val="00BC1511"/>
    <w:rsid w:val="00BC17BE"/>
    <w:rsid w:val="00BC2FCC"/>
    <w:rsid w:val="00BC468A"/>
    <w:rsid w:val="00BC6C15"/>
    <w:rsid w:val="00BC6D7D"/>
    <w:rsid w:val="00BC7D24"/>
    <w:rsid w:val="00BD00B6"/>
    <w:rsid w:val="00BD0413"/>
    <w:rsid w:val="00BD0A1D"/>
    <w:rsid w:val="00BD0B22"/>
    <w:rsid w:val="00BD0C96"/>
    <w:rsid w:val="00BD0E93"/>
    <w:rsid w:val="00BD1479"/>
    <w:rsid w:val="00BD2E17"/>
    <w:rsid w:val="00BD483E"/>
    <w:rsid w:val="00BD4A55"/>
    <w:rsid w:val="00BD5C70"/>
    <w:rsid w:val="00BD5D6D"/>
    <w:rsid w:val="00BD5DE3"/>
    <w:rsid w:val="00BD6E3E"/>
    <w:rsid w:val="00BD7B1A"/>
    <w:rsid w:val="00BD7B51"/>
    <w:rsid w:val="00BE2ED0"/>
    <w:rsid w:val="00BE3370"/>
    <w:rsid w:val="00BE4286"/>
    <w:rsid w:val="00BE4622"/>
    <w:rsid w:val="00BE5FB9"/>
    <w:rsid w:val="00BE647C"/>
    <w:rsid w:val="00BE650A"/>
    <w:rsid w:val="00BE655B"/>
    <w:rsid w:val="00BE7CC4"/>
    <w:rsid w:val="00BF1029"/>
    <w:rsid w:val="00BF1FE0"/>
    <w:rsid w:val="00BF268F"/>
    <w:rsid w:val="00BF292F"/>
    <w:rsid w:val="00BF2FC8"/>
    <w:rsid w:val="00BF385C"/>
    <w:rsid w:val="00BF42AA"/>
    <w:rsid w:val="00BF43AE"/>
    <w:rsid w:val="00BF4464"/>
    <w:rsid w:val="00BF5089"/>
    <w:rsid w:val="00BF6B96"/>
    <w:rsid w:val="00BF7415"/>
    <w:rsid w:val="00BF7A26"/>
    <w:rsid w:val="00C03042"/>
    <w:rsid w:val="00C0349A"/>
    <w:rsid w:val="00C036BD"/>
    <w:rsid w:val="00C039EC"/>
    <w:rsid w:val="00C04A7D"/>
    <w:rsid w:val="00C05B46"/>
    <w:rsid w:val="00C06197"/>
    <w:rsid w:val="00C06A01"/>
    <w:rsid w:val="00C079DC"/>
    <w:rsid w:val="00C120C0"/>
    <w:rsid w:val="00C13270"/>
    <w:rsid w:val="00C133FC"/>
    <w:rsid w:val="00C13EF0"/>
    <w:rsid w:val="00C14AF4"/>
    <w:rsid w:val="00C15A21"/>
    <w:rsid w:val="00C173DC"/>
    <w:rsid w:val="00C17AAA"/>
    <w:rsid w:val="00C202C8"/>
    <w:rsid w:val="00C21264"/>
    <w:rsid w:val="00C22EBB"/>
    <w:rsid w:val="00C2545A"/>
    <w:rsid w:val="00C25729"/>
    <w:rsid w:val="00C25F07"/>
    <w:rsid w:val="00C26BA5"/>
    <w:rsid w:val="00C27ECE"/>
    <w:rsid w:val="00C30AB4"/>
    <w:rsid w:val="00C31CC0"/>
    <w:rsid w:val="00C3203A"/>
    <w:rsid w:val="00C32FF2"/>
    <w:rsid w:val="00C33045"/>
    <w:rsid w:val="00C36146"/>
    <w:rsid w:val="00C364F8"/>
    <w:rsid w:val="00C3732E"/>
    <w:rsid w:val="00C37F2B"/>
    <w:rsid w:val="00C4129E"/>
    <w:rsid w:val="00C41A41"/>
    <w:rsid w:val="00C42712"/>
    <w:rsid w:val="00C4306B"/>
    <w:rsid w:val="00C432D1"/>
    <w:rsid w:val="00C45162"/>
    <w:rsid w:val="00C46157"/>
    <w:rsid w:val="00C46EA7"/>
    <w:rsid w:val="00C47DFF"/>
    <w:rsid w:val="00C509D3"/>
    <w:rsid w:val="00C522A9"/>
    <w:rsid w:val="00C544D3"/>
    <w:rsid w:val="00C5667D"/>
    <w:rsid w:val="00C57092"/>
    <w:rsid w:val="00C60191"/>
    <w:rsid w:val="00C60BBD"/>
    <w:rsid w:val="00C615E3"/>
    <w:rsid w:val="00C63CA5"/>
    <w:rsid w:val="00C64F2A"/>
    <w:rsid w:val="00C67831"/>
    <w:rsid w:val="00C67CDD"/>
    <w:rsid w:val="00C734E1"/>
    <w:rsid w:val="00C73F7B"/>
    <w:rsid w:val="00C74661"/>
    <w:rsid w:val="00C746AE"/>
    <w:rsid w:val="00C75C12"/>
    <w:rsid w:val="00C77348"/>
    <w:rsid w:val="00C84F64"/>
    <w:rsid w:val="00C850F4"/>
    <w:rsid w:val="00C85510"/>
    <w:rsid w:val="00C8797D"/>
    <w:rsid w:val="00C87F1F"/>
    <w:rsid w:val="00C902D7"/>
    <w:rsid w:val="00C91409"/>
    <w:rsid w:val="00C92006"/>
    <w:rsid w:val="00C94463"/>
    <w:rsid w:val="00C94CD6"/>
    <w:rsid w:val="00C96388"/>
    <w:rsid w:val="00C9661C"/>
    <w:rsid w:val="00C96EF2"/>
    <w:rsid w:val="00C971CD"/>
    <w:rsid w:val="00CA10EB"/>
    <w:rsid w:val="00CA151C"/>
    <w:rsid w:val="00CA31D5"/>
    <w:rsid w:val="00CA40EE"/>
    <w:rsid w:val="00CA5B78"/>
    <w:rsid w:val="00CA6695"/>
    <w:rsid w:val="00CA70B9"/>
    <w:rsid w:val="00CB11D5"/>
    <w:rsid w:val="00CB511B"/>
    <w:rsid w:val="00CB5722"/>
    <w:rsid w:val="00CB5C3E"/>
    <w:rsid w:val="00CB790A"/>
    <w:rsid w:val="00CB7ECB"/>
    <w:rsid w:val="00CC05AA"/>
    <w:rsid w:val="00CC0C2A"/>
    <w:rsid w:val="00CC3809"/>
    <w:rsid w:val="00CC4D9E"/>
    <w:rsid w:val="00CC6583"/>
    <w:rsid w:val="00CC709C"/>
    <w:rsid w:val="00CC7744"/>
    <w:rsid w:val="00CD058E"/>
    <w:rsid w:val="00CD2C94"/>
    <w:rsid w:val="00CD369F"/>
    <w:rsid w:val="00CD3F58"/>
    <w:rsid w:val="00CD44C8"/>
    <w:rsid w:val="00CD5A0E"/>
    <w:rsid w:val="00CD6A41"/>
    <w:rsid w:val="00CD74B8"/>
    <w:rsid w:val="00CD7AAF"/>
    <w:rsid w:val="00CD7C25"/>
    <w:rsid w:val="00CE015A"/>
    <w:rsid w:val="00CE0571"/>
    <w:rsid w:val="00CE1CE8"/>
    <w:rsid w:val="00CE30A6"/>
    <w:rsid w:val="00CE3524"/>
    <w:rsid w:val="00CE42A1"/>
    <w:rsid w:val="00CE603C"/>
    <w:rsid w:val="00CE6738"/>
    <w:rsid w:val="00CE6BB7"/>
    <w:rsid w:val="00CE6BDB"/>
    <w:rsid w:val="00CE7C01"/>
    <w:rsid w:val="00CF16D9"/>
    <w:rsid w:val="00CF2024"/>
    <w:rsid w:val="00CF2ADA"/>
    <w:rsid w:val="00CF3FBF"/>
    <w:rsid w:val="00CF4AD8"/>
    <w:rsid w:val="00CF61B6"/>
    <w:rsid w:val="00CF671F"/>
    <w:rsid w:val="00CF75B3"/>
    <w:rsid w:val="00D004C1"/>
    <w:rsid w:val="00D00503"/>
    <w:rsid w:val="00D00846"/>
    <w:rsid w:val="00D01950"/>
    <w:rsid w:val="00D02642"/>
    <w:rsid w:val="00D02C89"/>
    <w:rsid w:val="00D04919"/>
    <w:rsid w:val="00D052B4"/>
    <w:rsid w:val="00D05FBB"/>
    <w:rsid w:val="00D0675E"/>
    <w:rsid w:val="00D07E33"/>
    <w:rsid w:val="00D10076"/>
    <w:rsid w:val="00D10137"/>
    <w:rsid w:val="00D12778"/>
    <w:rsid w:val="00D12B6C"/>
    <w:rsid w:val="00D13B5A"/>
    <w:rsid w:val="00D147DB"/>
    <w:rsid w:val="00D1488F"/>
    <w:rsid w:val="00D14966"/>
    <w:rsid w:val="00D15B9D"/>
    <w:rsid w:val="00D16690"/>
    <w:rsid w:val="00D17623"/>
    <w:rsid w:val="00D20645"/>
    <w:rsid w:val="00D20D4C"/>
    <w:rsid w:val="00D22AD5"/>
    <w:rsid w:val="00D23A87"/>
    <w:rsid w:val="00D23DAA"/>
    <w:rsid w:val="00D2449C"/>
    <w:rsid w:val="00D2482E"/>
    <w:rsid w:val="00D24AAD"/>
    <w:rsid w:val="00D252D1"/>
    <w:rsid w:val="00D26104"/>
    <w:rsid w:val="00D2758D"/>
    <w:rsid w:val="00D3177D"/>
    <w:rsid w:val="00D3286E"/>
    <w:rsid w:val="00D32E0F"/>
    <w:rsid w:val="00D337D1"/>
    <w:rsid w:val="00D33EFF"/>
    <w:rsid w:val="00D357D2"/>
    <w:rsid w:val="00D35822"/>
    <w:rsid w:val="00D35E5E"/>
    <w:rsid w:val="00D36E4F"/>
    <w:rsid w:val="00D37504"/>
    <w:rsid w:val="00D3772B"/>
    <w:rsid w:val="00D406B9"/>
    <w:rsid w:val="00D41FA2"/>
    <w:rsid w:val="00D420DA"/>
    <w:rsid w:val="00D42C11"/>
    <w:rsid w:val="00D43E31"/>
    <w:rsid w:val="00D478C9"/>
    <w:rsid w:val="00D50283"/>
    <w:rsid w:val="00D5127D"/>
    <w:rsid w:val="00D5361F"/>
    <w:rsid w:val="00D565D2"/>
    <w:rsid w:val="00D60604"/>
    <w:rsid w:val="00D62C48"/>
    <w:rsid w:val="00D63B5D"/>
    <w:rsid w:val="00D64154"/>
    <w:rsid w:val="00D65A18"/>
    <w:rsid w:val="00D675F9"/>
    <w:rsid w:val="00D6772B"/>
    <w:rsid w:val="00D70537"/>
    <w:rsid w:val="00D706F3"/>
    <w:rsid w:val="00D71EBA"/>
    <w:rsid w:val="00D71F7D"/>
    <w:rsid w:val="00D71F97"/>
    <w:rsid w:val="00D72269"/>
    <w:rsid w:val="00D7239D"/>
    <w:rsid w:val="00D73421"/>
    <w:rsid w:val="00D7450E"/>
    <w:rsid w:val="00D7478D"/>
    <w:rsid w:val="00D74A41"/>
    <w:rsid w:val="00D754F0"/>
    <w:rsid w:val="00D768BD"/>
    <w:rsid w:val="00D76907"/>
    <w:rsid w:val="00D77C04"/>
    <w:rsid w:val="00D806C8"/>
    <w:rsid w:val="00D81644"/>
    <w:rsid w:val="00D82F0D"/>
    <w:rsid w:val="00D84A5A"/>
    <w:rsid w:val="00D85D6C"/>
    <w:rsid w:val="00D866B0"/>
    <w:rsid w:val="00D8754E"/>
    <w:rsid w:val="00D87C21"/>
    <w:rsid w:val="00D911E8"/>
    <w:rsid w:val="00D91522"/>
    <w:rsid w:val="00D93449"/>
    <w:rsid w:val="00D93FF8"/>
    <w:rsid w:val="00D9406B"/>
    <w:rsid w:val="00D9441D"/>
    <w:rsid w:val="00D94ACD"/>
    <w:rsid w:val="00D94C2D"/>
    <w:rsid w:val="00D95AEB"/>
    <w:rsid w:val="00D95E03"/>
    <w:rsid w:val="00D95F22"/>
    <w:rsid w:val="00D9768E"/>
    <w:rsid w:val="00DA04ED"/>
    <w:rsid w:val="00DA05D7"/>
    <w:rsid w:val="00DA166D"/>
    <w:rsid w:val="00DA35CD"/>
    <w:rsid w:val="00DA524E"/>
    <w:rsid w:val="00DA664C"/>
    <w:rsid w:val="00DA791C"/>
    <w:rsid w:val="00DB17A2"/>
    <w:rsid w:val="00DB1D74"/>
    <w:rsid w:val="00DB25E4"/>
    <w:rsid w:val="00DB3596"/>
    <w:rsid w:val="00DB36C2"/>
    <w:rsid w:val="00DB45EC"/>
    <w:rsid w:val="00DB4917"/>
    <w:rsid w:val="00DB5F07"/>
    <w:rsid w:val="00DB6524"/>
    <w:rsid w:val="00DB6D0F"/>
    <w:rsid w:val="00DB7B0F"/>
    <w:rsid w:val="00DC10D3"/>
    <w:rsid w:val="00DC14B7"/>
    <w:rsid w:val="00DC14F0"/>
    <w:rsid w:val="00DC1945"/>
    <w:rsid w:val="00DC3DE0"/>
    <w:rsid w:val="00DC4678"/>
    <w:rsid w:val="00DC4D19"/>
    <w:rsid w:val="00DC5AAF"/>
    <w:rsid w:val="00DC5D30"/>
    <w:rsid w:val="00DC5D87"/>
    <w:rsid w:val="00DC5F18"/>
    <w:rsid w:val="00DC68C9"/>
    <w:rsid w:val="00DC6A66"/>
    <w:rsid w:val="00DC6AE0"/>
    <w:rsid w:val="00DC7402"/>
    <w:rsid w:val="00DC7E06"/>
    <w:rsid w:val="00DD0BF1"/>
    <w:rsid w:val="00DD1318"/>
    <w:rsid w:val="00DD1B1B"/>
    <w:rsid w:val="00DD1B5B"/>
    <w:rsid w:val="00DD1FAB"/>
    <w:rsid w:val="00DD2286"/>
    <w:rsid w:val="00DD32DC"/>
    <w:rsid w:val="00DD4E39"/>
    <w:rsid w:val="00DD617D"/>
    <w:rsid w:val="00DD77A9"/>
    <w:rsid w:val="00DE04E0"/>
    <w:rsid w:val="00DE06E0"/>
    <w:rsid w:val="00DE2892"/>
    <w:rsid w:val="00DE39C4"/>
    <w:rsid w:val="00DE4D16"/>
    <w:rsid w:val="00DE55FF"/>
    <w:rsid w:val="00DE5F6F"/>
    <w:rsid w:val="00DE72D5"/>
    <w:rsid w:val="00DE79D3"/>
    <w:rsid w:val="00DE7F03"/>
    <w:rsid w:val="00DF281F"/>
    <w:rsid w:val="00DF2F4B"/>
    <w:rsid w:val="00DF50E5"/>
    <w:rsid w:val="00DF5FE2"/>
    <w:rsid w:val="00DF71A3"/>
    <w:rsid w:val="00E00448"/>
    <w:rsid w:val="00E00B23"/>
    <w:rsid w:val="00E0117D"/>
    <w:rsid w:val="00E016EA"/>
    <w:rsid w:val="00E0310F"/>
    <w:rsid w:val="00E03125"/>
    <w:rsid w:val="00E04357"/>
    <w:rsid w:val="00E04D95"/>
    <w:rsid w:val="00E054B4"/>
    <w:rsid w:val="00E0769B"/>
    <w:rsid w:val="00E10B5C"/>
    <w:rsid w:val="00E11760"/>
    <w:rsid w:val="00E119E8"/>
    <w:rsid w:val="00E12973"/>
    <w:rsid w:val="00E12A6C"/>
    <w:rsid w:val="00E139C5"/>
    <w:rsid w:val="00E141EC"/>
    <w:rsid w:val="00E14792"/>
    <w:rsid w:val="00E14DAE"/>
    <w:rsid w:val="00E155FA"/>
    <w:rsid w:val="00E16600"/>
    <w:rsid w:val="00E169CD"/>
    <w:rsid w:val="00E205A2"/>
    <w:rsid w:val="00E217A2"/>
    <w:rsid w:val="00E2236C"/>
    <w:rsid w:val="00E2280E"/>
    <w:rsid w:val="00E228DE"/>
    <w:rsid w:val="00E23208"/>
    <w:rsid w:val="00E2336C"/>
    <w:rsid w:val="00E23EA6"/>
    <w:rsid w:val="00E24758"/>
    <w:rsid w:val="00E24DD5"/>
    <w:rsid w:val="00E26F02"/>
    <w:rsid w:val="00E2763D"/>
    <w:rsid w:val="00E329E1"/>
    <w:rsid w:val="00E32FDD"/>
    <w:rsid w:val="00E3374A"/>
    <w:rsid w:val="00E34510"/>
    <w:rsid w:val="00E345DB"/>
    <w:rsid w:val="00E3545D"/>
    <w:rsid w:val="00E3574A"/>
    <w:rsid w:val="00E35A46"/>
    <w:rsid w:val="00E36123"/>
    <w:rsid w:val="00E40533"/>
    <w:rsid w:val="00E405B8"/>
    <w:rsid w:val="00E410B8"/>
    <w:rsid w:val="00E435D8"/>
    <w:rsid w:val="00E43F18"/>
    <w:rsid w:val="00E4448D"/>
    <w:rsid w:val="00E46F96"/>
    <w:rsid w:val="00E475AC"/>
    <w:rsid w:val="00E47B81"/>
    <w:rsid w:val="00E50D28"/>
    <w:rsid w:val="00E51441"/>
    <w:rsid w:val="00E51807"/>
    <w:rsid w:val="00E53642"/>
    <w:rsid w:val="00E53896"/>
    <w:rsid w:val="00E5462D"/>
    <w:rsid w:val="00E55420"/>
    <w:rsid w:val="00E5597A"/>
    <w:rsid w:val="00E55ABB"/>
    <w:rsid w:val="00E5686D"/>
    <w:rsid w:val="00E57A31"/>
    <w:rsid w:val="00E6038C"/>
    <w:rsid w:val="00E60876"/>
    <w:rsid w:val="00E60BCA"/>
    <w:rsid w:val="00E61912"/>
    <w:rsid w:val="00E62AB5"/>
    <w:rsid w:val="00E62B75"/>
    <w:rsid w:val="00E62FEA"/>
    <w:rsid w:val="00E63DDB"/>
    <w:rsid w:val="00E64602"/>
    <w:rsid w:val="00E659E5"/>
    <w:rsid w:val="00E675B6"/>
    <w:rsid w:val="00E67B60"/>
    <w:rsid w:val="00E67D90"/>
    <w:rsid w:val="00E67FDF"/>
    <w:rsid w:val="00E72931"/>
    <w:rsid w:val="00E739EA"/>
    <w:rsid w:val="00E74C62"/>
    <w:rsid w:val="00E74DC5"/>
    <w:rsid w:val="00E75380"/>
    <w:rsid w:val="00E75C50"/>
    <w:rsid w:val="00E7665D"/>
    <w:rsid w:val="00E766DF"/>
    <w:rsid w:val="00E8172C"/>
    <w:rsid w:val="00E81F35"/>
    <w:rsid w:val="00E82A56"/>
    <w:rsid w:val="00E82B1A"/>
    <w:rsid w:val="00E83D8A"/>
    <w:rsid w:val="00E85C3C"/>
    <w:rsid w:val="00E867A0"/>
    <w:rsid w:val="00E876D1"/>
    <w:rsid w:val="00E87EDD"/>
    <w:rsid w:val="00E90731"/>
    <w:rsid w:val="00E950F1"/>
    <w:rsid w:val="00E95A84"/>
    <w:rsid w:val="00E9629B"/>
    <w:rsid w:val="00E96CB5"/>
    <w:rsid w:val="00E97862"/>
    <w:rsid w:val="00E9789E"/>
    <w:rsid w:val="00E97BF4"/>
    <w:rsid w:val="00EA0006"/>
    <w:rsid w:val="00EA0329"/>
    <w:rsid w:val="00EA0B74"/>
    <w:rsid w:val="00EA0DDB"/>
    <w:rsid w:val="00EA1C19"/>
    <w:rsid w:val="00EA2A88"/>
    <w:rsid w:val="00EA3E93"/>
    <w:rsid w:val="00EA6A3C"/>
    <w:rsid w:val="00EA78FF"/>
    <w:rsid w:val="00EB002B"/>
    <w:rsid w:val="00EB094A"/>
    <w:rsid w:val="00EB273C"/>
    <w:rsid w:val="00EB279B"/>
    <w:rsid w:val="00EB2CA5"/>
    <w:rsid w:val="00EB3290"/>
    <w:rsid w:val="00EB3E53"/>
    <w:rsid w:val="00EB43FD"/>
    <w:rsid w:val="00EB44BE"/>
    <w:rsid w:val="00EB4682"/>
    <w:rsid w:val="00EB4767"/>
    <w:rsid w:val="00EB477D"/>
    <w:rsid w:val="00EB6442"/>
    <w:rsid w:val="00EB7FCF"/>
    <w:rsid w:val="00EC17A1"/>
    <w:rsid w:val="00EC28E5"/>
    <w:rsid w:val="00EC5183"/>
    <w:rsid w:val="00EC5240"/>
    <w:rsid w:val="00EC543F"/>
    <w:rsid w:val="00EC58B5"/>
    <w:rsid w:val="00EC5989"/>
    <w:rsid w:val="00EC6350"/>
    <w:rsid w:val="00EC6B93"/>
    <w:rsid w:val="00EC741D"/>
    <w:rsid w:val="00ED7232"/>
    <w:rsid w:val="00EE0868"/>
    <w:rsid w:val="00EE1372"/>
    <w:rsid w:val="00EE1B6C"/>
    <w:rsid w:val="00EE1BFF"/>
    <w:rsid w:val="00EE1F4E"/>
    <w:rsid w:val="00EE41CD"/>
    <w:rsid w:val="00EE4918"/>
    <w:rsid w:val="00EE585D"/>
    <w:rsid w:val="00EE58CB"/>
    <w:rsid w:val="00EF0B62"/>
    <w:rsid w:val="00EF1989"/>
    <w:rsid w:val="00EF3A40"/>
    <w:rsid w:val="00EF468B"/>
    <w:rsid w:val="00EF5429"/>
    <w:rsid w:val="00F00E86"/>
    <w:rsid w:val="00F02857"/>
    <w:rsid w:val="00F03424"/>
    <w:rsid w:val="00F04CDD"/>
    <w:rsid w:val="00F04F02"/>
    <w:rsid w:val="00F0606D"/>
    <w:rsid w:val="00F06858"/>
    <w:rsid w:val="00F071A7"/>
    <w:rsid w:val="00F0778D"/>
    <w:rsid w:val="00F077D3"/>
    <w:rsid w:val="00F07E0C"/>
    <w:rsid w:val="00F1328C"/>
    <w:rsid w:val="00F13817"/>
    <w:rsid w:val="00F13939"/>
    <w:rsid w:val="00F1396A"/>
    <w:rsid w:val="00F13B21"/>
    <w:rsid w:val="00F14463"/>
    <w:rsid w:val="00F15E52"/>
    <w:rsid w:val="00F1653E"/>
    <w:rsid w:val="00F16C75"/>
    <w:rsid w:val="00F1782E"/>
    <w:rsid w:val="00F17FE9"/>
    <w:rsid w:val="00F203C8"/>
    <w:rsid w:val="00F2128C"/>
    <w:rsid w:val="00F219AD"/>
    <w:rsid w:val="00F22C70"/>
    <w:rsid w:val="00F22E78"/>
    <w:rsid w:val="00F23291"/>
    <w:rsid w:val="00F24F3C"/>
    <w:rsid w:val="00F25284"/>
    <w:rsid w:val="00F26CA1"/>
    <w:rsid w:val="00F270C1"/>
    <w:rsid w:val="00F31416"/>
    <w:rsid w:val="00F323EF"/>
    <w:rsid w:val="00F33190"/>
    <w:rsid w:val="00F332A2"/>
    <w:rsid w:val="00F337B2"/>
    <w:rsid w:val="00F33BA6"/>
    <w:rsid w:val="00F33D36"/>
    <w:rsid w:val="00F33D93"/>
    <w:rsid w:val="00F34DEB"/>
    <w:rsid w:val="00F365AB"/>
    <w:rsid w:val="00F4080E"/>
    <w:rsid w:val="00F40982"/>
    <w:rsid w:val="00F42EAC"/>
    <w:rsid w:val="00F45407"/>
    <w:rsid w:val="00F45799"/>
    <w:rsid w:val="00F461D9"/>
    <w:rsid w:val="00F46C39"/>
    <w:rsid w:val="00F47089"/>
    <w:rsid w:val="00F4755A"/>
    <w:rsid w:val="00F547A2"/>
    <w:rsid w:val="00F54F4F"/>
    <w:rsid w:val="00F555C6"/>
    <w:rsid w:val="00F556D0"/>
    <w:rsid w:val="00F55E70"/>
    <w:rsid w:val="00F5636E"/>
    <w:rsid w:val="00F60CC6"/>
    <w:rsid w:val="00F622E8"/>
    <w:rsid w:val="00F62D51"/>
    <w:rsid w:val="00F63895"/>
    <w:rsid w:val="00F63F4E"/>
    <w:rsid w:val="00F64822"/>
    <w:rsid w:val="00F65CB3"/>
    <w:rsid w:val="00F66B4C"/>
    <w:rsid w:val="00F6759D"/>
    <w:rsid w:val="00F707E3"/>
    <w:rsid w:val="00F70A77"/>
    <w:rsid w:val="00F71CD0"/>
    <w:rsid w:val="00F71FC5"/>
    <w:rsid w:val="00F73049"/>
    <w:rsid w:val="00F7378F"/>
    <w:rsid w:val="00F7516B"/>
    <w:rsid w:val="00F77168"/>
    <w:rsid w:val="00F77609"/>
    <w:rsid w:val="00F80AE5"/>
    <w:rsid w:val="00F811C2"/>
    <w:rsid w:val="00F835FC"/>
    <w:rsid w:val="00F846D6"/>
    <w:rsid w:val="00F84E50"/>
    <w:rsid w:val="00F85083"/>
    <w:rsid w:val="00F86767"/>
    <w:rsid w:val="00F9065F"/>
    <w:rsid w:val="00F9142F"/>
    <w:rsid w:val="00F91F5A"/>
    <w:rsid w:val="00F92F01"/>
    <w:rsid w:val="00F941C2"/>
    <w:rsid w:val="00F955A6"/>
    <w:rsid w:val="00F95B2C"/>
    <w:rsid w:val="00F971E5"/>
    <w:rsid w:val="00FA0AA2"/>
    <w:rsid w:val="00FA4214"/>
    <w:rsid w:val="00FA509B"/>
    <w:rsid w:val="00FA58CA"/>
    <w:rsid w:val="00FA63FD"/>
    <w:rsid w:val="00FB0F81"/>
    <w:rsid w:val="00FB17F6"/>
    <w:rsid w:val="00FB3263"/>
    <w:rsid w:val="00FB5BC7"/>
    <w:rsid w:val="00FB5CFE"/>
    <w:rsid w:val="00FB6ED3"/>
    <w:rsid w:val="00FB79D5"/>
    <w:rsid w:val="00FC059D"/>
    <w:rsid w:val="00FC07D5"/>
    <w:rsid w:val="00FC0D50"/>
    <w:rsid w:val="00FC1687"/>
    <w:rsid w:val="00FC2091"/>
    <w:rsid w:val="00FC3203"/>
    <w:rsid w:val="00FC3210"/>
    <w:rsid w:val="00FC3832"/>
    <w:rsid w:val="00FC3C2B"/>
    <w:rsid w:val="00FC4514"/>
    <w:rsid w:val="00FC4754"/>
    <w:rsid w:val="00FC6BFA"/>
    <w:rsid w:val="00FD1F2A"/>
    <w:rsid w:val="00FD40AF"/>
    <w:rsid w:val="00FD4195"/>
    <w:rsid w:val="00FD5FBF"/>
    <w:rsid w:val="00FD6138"/>
    <w:rsid w:val="00FE41CB"/>
    <w:rsid w:val="00FE4958"/>
    <w:rsid w:val="00FE574F"/>
    <w:rsid w:val="00FE610F"/>
    <w:rsid w:val="00FE6FCD"/>
    <w:rsid w:val="00FF029E"/>
    <w:rsid w:val="00FF0475"/>
    <w:rsid w:val="00FF0918"/>
    <w:rsid w:val="00FF0A78"/>
    <w:rsid w:val="00FF0F21"/>
    <w:rsid w:val="00FF160F"/>
    <w:rsid w:val="00FF1A1E"/>
    <w:rsid w:val="00FF2332"/>
    <w:rsid w:val="00FF48F9"/>
    <w:rsid w:val="00FF616D"/>
    <w:rsid w:val="00FF6F4D"/>
    <w:rsid w:val="00FF7B29"/>
    <w:rsid w:val="018A481B"/>
    <w:rsid w:val="01AE2E24"/>
    <w:rsid w:val="04026FFD"/>
    <w:rsid w:val="096A303B"/>
    <w:rsid w:val="0A73EA9E"/>
    <w:rsid w:val="0C388E7C"/>
    <w:rsid w:val="1119B626"/>
    <w:rsid w:val="162DDA41"/>
    <w:rsid w:val="1685EBB9"/>
    <w:rsid w:val="18F175D5"/>
    <w:rsid w:val="1980EDC6"/>
    <w:rsid w:val="19E891B5"/>
    <w:rsid w:val="1A98504A"/>
    <w:rsid w:val="1A9F106D"/>
    <w:rsid w:val="1EA645A6"/>
    <w:rsid w:val="1F4BDF3D"/>
    <w:rsid w:val="20F41701"/>
    <w:rsid w:val="2BB3EF78"/>
    <w:rsid w:val="2BF24FF9"/>
    <w:rsid w:val="2D272EBE"/>
    <w:rsid w:val="2E3178DC"/>
    <w:rsid w:val="34C31A0B"/>
    <w:rsid w:val="39C92156"/>
    <w:rsid w:val="3EE303F5"/>
    <w:rsid w:val="401C88DC"/>
    <w:rsid w:val="42D305EC"/>
    <w:rsid w:val="490E1500"/>
    <w:rsid w:val="49CDF798"/>
    <w:rsid w:val="49DD7693"/>
    <w:rsid w:val="4B86D78A"/>
    <w:rsid w:val="4FDE18A9"/>
    <w:rsid w:val="5073DC32"/>
    <w:rsid w:val="532829AC"/>
    <w:rsid w:val="54D3D786"/>
    <w:rsid w:val="55831529"/>
    <w:rsid w:val="55A2A963"/>
    <w:rsid w:val="58C51834"/>
    <w:rsid w:val="5D5D1EBF"/>
    <w:rsid w:val="666CEF13"/>
    <w:rsid w:val="6760F90D"/>
    <w:rsid w:val="6875B2D2"/>
    <w:rsid w:val="6C143786"/>
    <w:rsid w:val="6DCB6B43"/>
    <w:rsid w:val="72B7396E"/>
    <w:rsid w:val="72BEF123"/>
    <w:rsid w:val="73143BA7"/>
    <w:rsid w:val="74590D52"/>
    <w:rsid w:val="763171E2"/>
    <w:rsid w:val="7871905F"/>
    <w:rsid w:val="78C89DD8"/>
    <w:rsid w:val="798AC2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26409AC2-A056-4062-834A-ADA1641E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4026FFD"/>
    <w:rPr>
      <w:lang w:val="sq-AL" w:eastAsia="en-US"/>
    </w:rPr>
  </w:style>
  <w:style w:type="paragraph" w:styleId="Heading1">
    <w:name w:val="heading 1"/>
    <w:basedOn w:val="Normal"/>
    <w:next w:val="Normal"/>
    <w:link w:val="Heading1Char"/>
    <w:uiPriority w:val="9"/>
    <w:qFormat/>
    <w:rsid w:val="04026FFD"/>
    <w:pPr>
      <w:keepNext/>
      <w:tabs>
        <w:tab w:val="right" w:pos="10206"/>
      </w:tabs>
      <w:spacing w:before="240" w:after="60"/>
      <w:outlineLvl w:val="0"/>
    </w:pPr>
    <w:rPr>
      <w:rFonts w:ascii="Arial Bold" w:hAnsi="Arial Bold" w:cs="Arial"/>
      <w:b/>
      <w:bCs/>
      <w:sz w:val="32"/>
      <w:szCs w:val="32"/>
    </w:rPr>
  </w:style>
  <w:style w:type="paragraph" w:styleId="Heading2">
    <w:name w:val="heading 2"/>
    <w:basedOn w:val="Normal"/>
    <w:next w:val="EBBodyPara"/>
    <w:link w:val="Heading2Char"/>
    <w:uiPriority w:val="9"/>
    <w:qFormat/>
    <w:rsid w:val="04026FFD"/>
    <w:pPr>
      <w:keepNext/>
      <w:keepLines/>
      <w:spacing w:before="480" w:after="240"/>
      <w:outlineLvl w:val="1"/>
    </w:pPr>
    <w:rPr>
      <w:rFonts w:cs="Arial"/>
      <w:color w:val="000000" w:themeColor="text1"/>
      <w:sz w:val="32"/>
      <w:szCs w:val="32"/>
    </w:rPr>
  </w:style>
  <w:style w:type="paragraph" w:styleId="Heading3">
    <w:name w:val="heading 3"/>
    <w:basedOn w:val="Normal"/>
    <w:next w:val="EBBodyPara"/>
    <w:link w:val="Heading3Char"/>
    <w:uiPriority w:val="9"/>
    <w:qFormat/>
    <w:rsid w:val="04026FFD"/>
    <w:pPr>
      <w:keepNext/>
      <w:keepLines/>
      <w:spacing w:before="360" w:after="240"/>
      <w:outlineLvl w:val="2"/>
    </w:pPr>
    <w:rPr>
      <w:rFonts w:cs="Arial"/>
      <w:b/>
      <w:bCs/>
      <w:color w:val="000000" w:themeColor="text1"/>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basedOn w:val="Normal"/>
    <w:next w:val="Normal"/>
    <w:link w:val="Heading5Char"/>
    <w:uiPriority w:val="9"/>
    <w:qFormat/>
    <w:rsid w:val="04026FFD"/>
    <w:pPr>
      <w:spacing w:before="240" w:after="120"/>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Bold" w:hAnsi="Arial Bold" w:cs="Arial"/>
      <w:b/>
      <w:bCs/>
      <w:sz w:val="32"/>
      <w:szCs w:val="32"/>
      <w:lang w:val="sq-AL"/>
    </w:rPr>
  </w:style>
  <w:style w:type="character" w:customStyle="1" w:styleId="Heading2Char">
    <w:name w:val="Heading 2 Char"/>
    <w:basedOn w:val="DefaultParagraphFont"/>
    <w:link w:val="Heading2"/>
    <w:uiPriority w:val="9"/>
    <w:locked/>
    <w:rPr>
      <w:rFonts w:cs="Arial"/>
      <w:color w:val="000000" w:themeColor="text1"/>
      <w:sz w:val="32"/>
      <w:szCs w:val="32"/>
      <w:lang w:val="sq-AL"/>
    </w:rPr>
  </w:style>
  <w:style w:type="character" w:customStyle="1" w:styleId="Heading3Char">
    <w:name w:val="Heading 3 Char"/>
    <w:basedOn w:val="DefaultParagraphFont"/>
    <w:link w:val="Heading3"/>
    <w:uiPriority w:val="9"/>
    <w:locked/>
    <w:rPr>
      <w:rFonts w:cs="Arial"/>
      <w:b/>
      <w:bCs/>
      <w:color w:val="000000" w:themeColor="text1"/>
      <w:lang w:val="sq-AL"/>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locked/>
    <w:rPr>
      <w:i/>
      <w:iCs/>
      <w:sz w:val="22"/>
      <w:szCs w:val="22"/>
      <w:lang w:val="sq-AL"/>
    </w:rPr>
  </w:style>
  <w:style w:type="paragraph" w:customStyle="1" w:styleId="IATableLabel">
    <w:name w:val="IATableLabel"/>
    <w:basedOn w:val="Normal"/>
    <w:link w:val="IATableLabelCharChar"/>
    <w:uiPriority w:val="1"/>
    <w:rsid w:val="04026FFD"/>
    <w:pPr>
      <w:spacing w:before="50" w:after="50"/>
      <w:ind w:left="113" w:right="113"/>
    </w:pPr>
    <w:rPr>
      <w:rFonts w:eastAsia="SimSun"/>
      <w:b/>
      <w:bCs/>
      <w:color w:val="000000" w:themeColor="text1"/>
      <w:sz w:val="20"/>
      <w:lang w:eastAsia="zh-CN"/>
    </w:rPr>
  </w:style>
  <w:style w:type="character" w:customStyle="1" w:styleId="IATableLabelCharChar">
    <w:name w:val="IATableLabel Char Char"/>
    <w:link w:val="IATableLabel"/>
    <w:locked/>
    <w:rsid w:val="00402E80"/>
    <w:rPr>
      <w:rFonts w:eastAsia="SimSun"/>
      <w:b/>
      <w:bCs/>
      <w:color w:val="000000" w:themeColor="text1"/>
      <w:sz w:val="20"/>
      <w:lang w:val="sq-AL" w:eastAsia="zh-CN"/>
    </w:rPr>
  </w:style>
  <w:style w:type="paragraph" w:customStyle="1" w:styleId="IASpacer">
    <w:name w:val="IASpacer"/>
    <w:basedOn w:val="Normal"/>
    <w:uiPriority w:val="1"/>
    <w:rsid w:val="04026FFD"/>
    <w:pPr>
      <w:spacing w:line="80" w:lineRule="exact"/>
    </w:pPr>
    <w:rPr>
      <w:rFonts w:eastAsia="SimSun"/>
      <w:sz w:val="22"/>
      <w:szCs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4026FFD"/>
    <w:pPr>
      <w:spacing w:after="120"/>
    </w:pPr>
    <w:rPr>
      <w:rFonts w:cs="Arial"/>
      <w:color w:val="000000" w:themeColor="text1"/>
      <w:sz w:val="22"/>
      <w:szCs w:val="22"/>
    </w:rPr>
  </w:style>
  <w:style w:type="character" w:customStyle="1" w:styleId="BodyTextChar">
    <w:name w:val="Body Text Char"/>
    <w:basedOn w:val="DefaultParagraphFont"/>
    <w:link w:val="BodyText"/>
    <w:uiPriority w:val="99"/>
    <w:locked/>
    <w:rsid w:val="0049416F"/>
    <w:rPr>
      <w:rFonts w:cs="Arial"/>
      <w:color w:val="000000" w:themeColor="text1"/>
      <w:sz w:val="22"/>
      <w:szCs w:val="22"/>
      <w:lang w:val="sq-AL"/>
    </w:rPr>
  </w:style>
  <w:style w:type="table" w:styleId="TableGrid">
    <w:name w:val="Table Grid"/>
    <w:basedOn w:val="TableNormal"/>
    <w:uiPriority w:val="59"/>
    <w:rsid w:val="00026555"/>
    <w:tblPr/>
  </w:style>
  <w:style w:type="paragraph" w:styleId="Title">
    <w:name w:val="Title"/>
    <w:basedOn w:val="Normal"/>
    <w:link w:val="TitleChar"/>
    <w:uiPriority w:val="10"/>
    <w:qFormat/>
    <w:rsid w:val="04026FFD"/>
    <w:pPr>
      <w:ind w:left="113"/>
      <w:outlineLvl w:val="0"/>
    </w:pPr>
    <w:rPr>
      <w:rFonts w:cs="Arial"/>
      <w:color w:val="FFFFFF" w:themeColor="background1"/>
      <w:sz w:val="32"/>
      <w:szCs w:val="32"/>
    </w:rPr>
  </w:style>
  <w:style w:type="character" w:customStyle="1" w:styleId="TitleChar">
    <w:name w:val="Title Char"/>
    <w:basedOn w:val="DefaultParagraphFont"/>
    <w:link w:val="Title"/>
    <w:uiPriority w:val="10"/>
    <w:locked/>
    <w:rsid w:val="00174C10"/>
    <w:rPr>
      <w:rFonts w:cs="Arial"/>
      <w:color w:val="FFFFFF" w:themeColor="background1"/>
      <w:sz w:val="32"/>
      <w:szCs w:val="32"/>
      <w:lang w:val="sq-AL"/>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bCs/>
      <w:color w:val="000000"/>
      <w:spacing w:val="-5"/>
      <w:sz w:val="20"/>
      <w:lang w:val="en-GB" w:eastAsia="zh-CN" w:bidi="ar-SA"/>
    </w:rPr>
  </w:style>
  <w:style w:type="table" w:customStyle="1" w:styleId="TableIAHeading">
    <w:name w:val="Table_IAHeading"/>
    <w:basedOn w:val="TableNormal"/>
    <w:semiHidden/>
    <w:rsid w:val="006A5A2E"/>
    <w:rPr>
      <w:rFonts w:eastAsia="SimSun"/>
      <w:color w:val="FFFFFF"/>
    </w:rPr>
    <w:tblPr/>
  </w:style>
  <w:style w:type="paragraph" w:customStyle="1" w:styleId="IATableNotes">
    <w:name w:val="IATableNotes"/>
    <w:basedOn w:val="Normal"/>
    <w:link w:val="IATableNotesChar"/>
    <w:uiPriority w:val="1"/>
    <w:rsid w:val="04026FFD"/>
    <w:pPr>
      <w:spacing w:before="60" w:after="60"/>
      <w:ind w:left="113" w:right="113"/>
    </w:pPr>
    <w:rPr>
      <w:rFonts w:eastAsia="SimSun"/>
      <w:sz w:val="18"/>
      <w:szCs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uiPriority w:val="1"/>
    <w:semiHidden/>
    <w:rsid w:val="04026FFD"/>
    <w:pPr>
      <w:keepNext/>
      <w:keepLines/>
      <w:spacing w:before="60" w:after="60"/>
      <w:ind w:left="113" w:right="113"/>
    </w:pPr>
    <w:rPr>
      <w:rFonts w:eastAsia="SimSun"/>
      <w:b/>
      <w:bCs/>
      <w:sz w:val="20"/>
      <w:lang w:eastAsia="zh-CN"/>
    </w:rPr>
  </w:style>
  <w:style w:type="table" w:customStyle="1" w:styleId="TableIABox">
    <w:name w:val="Table_IABox"/>
    <w:basedOn w:val="TableNormal"/>
    <w:rsid w:val="007777A1"/>
    <w:rPr>
      <w:rFonts w:eastAsia="SimSun"/>
    </w:rPr>
    <w:tblPr/>
  </w:style>
  <w:style w:type="paragraph" w:styleId="Header">
    <w:name w:val="header"/>
    <w:basedOn w:val="Normal"/>
    <w:link w:val="HeaderChar"/>
    <w:uiPriority w:val="99"/>
    <w:rsid w:val="04026FFD"/>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4026FFD"/>
    <w:pPr>
      <w:tabs>
        <w:tab w:val="center" w:pos="5132"/>
        <w:tab w:val="right" w:pos="10260"/>
      </w:tabs>
      <w:jc w:val="center"/>
    </w:pPr>
    <w:rPr>
      <w:b/>
      <w:bCs/>
      <w:sz w:val="18"/>
      <w:szCs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uiPriority w:val="1"/>
    <w:semiHidden/>
    <w:rsid w:val="04026FFD"/>
    <w:rPr>
      <w:rFonts w:eastAsia="SimSun"/>
      <w:color w:val="008080"/>
      <w:sz w:val="22"/>
      <w:szCs w:val="22"/>
      <w:lang w:eastAsia="zh-CN"/>
    </w:rPr>
  </w:style>
  <w:style w:type="paragraph" w:customStyle="1" w:styleId="IATableHeading">
    <w:name w:val="IATableHeading"/>
    <w:basedOn w:val="IATableLabel"/>
    <w:rsid w:val="00716D5C"/>
    <w:rPr>
      <w:sz w:val="22"/>
    </w:rPr>
  </w:style>
  <w:style w:type="paragraph" w:styleId="FootnoteText">
    <w:name w:val="footnote text"/>
    <w:basedOn w:val="Normal"/>
    <w:link w:val="FootnoteTextChar"/>
    <w:uiPriority w:val="99"/>
    <w:rsid w:val="04026FFD"/>
    <w:rPr>
      <w:rFonts w:eastAsia="SimSun"/>
      <w:sz w:val="16"/>
      <w:szCs w:val="16"/>
      <w:lang w:eastAsia="zh-CN"/>
    </w:rPr>
  </w:style>
  <w:style w:type="character" w:customStyle="1" w:styleId="FootnoteTextChar">
    <w:name w:val="Footnote Text Char"/>
    <w:basedOn w:val="DefaultParagraphFont"/>
    <w:link w:val="FootnoteText"/>
    <w:uiPriority w:val="99"/>
    <w:locked/>
    <w:rPr>
      <w:rFonts w:ascii="Arial" w:hAnsi="Arial" w:cs="Times New Roman"/>
      <w:lang w:val="x-none" w:eastAsia="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4026FF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bCs/>
      <w:color w:val="000000"/>
      <w:spacing w:val="-5"/>
      <w:sz w:val="20"/>
      <w:lang w:val="en-GB" w:eastAsia="zh-CN" w:bidi="ar-SA"/>
    </w:rPr>
  </w:style>
  <w:style w:type="character" w:customStyle="1" w:styleId="IPPOQ3Char">
    <w:name w:val="IPPOQ3 Char"/>
    <w:basedOn w:val="IAPOQ2Char"/>
    <w:link w:val="IPPOQ3"/>
    <w:locked/>
    <w:rsid w:val="00F1653E"/>
    <w:rPr>
      <w:rFonts w:ascii="Arial" w:eastAsia="SimSun" w:hAnsi="Arial" w:cs="Times New Roman"/>
      <w:b/>
      <w:bCs/>
      <w:color w:val="000000"/>
      <w:spacing w:val="-5"/>
      <w:sz w:val="20"/>
      <w:lang w:val="en-GB" w:eastAsia="zh-CN" w:bidi="ar-SA"/>
    </w:rPr>
  </w:style>
  <w:style w:type="character" w:customStyle="1" w:styleId="IAPOQ4Char">
    <w:name w:val="IAPOQ4 Char"/>
    <w:basedOn w:val="IPPOQ3Char"/>
    <w:link w:val="IAPOQ4"/>
    <w:locked/>
    <w:rsid w:val="00F1653E"/>
    <w:rPr>
      <w:rFonts w:ascii="Arial" w:eastAsia="SimSun" w:hAnsi="Arial" w:cs="Times New Roman"/>
      <w:b/>
      <w:bCs/>
      <w:color w:val="000000"/>
      <w:spacing w:val="-5"/>
      <w:sz w:val="20"/>
      <w:lang w:val="en-GB" w:eastAsia="zh-CN" w:bidi="ar-SA"/>
    </w:rPr>
  </w:style>
  <w:style w:type="character" w:customStyle="1" w:styleId="IAPOQ5Char">
    <w:name w:val="IAPOQ5 Char"/>
    <w:basedOn w:val="IAPOQ4Char"/>
    <w:link w:val="IAPOQ5"/>
    <w:locked/>
    <w:rsid w:val="00F1653E"/>
    <w:rPr>
      <w:rFonts w:ascii="Arial" w:eastAsia="SimSun" w:hAnsi="Arial" w:cs="Times New Roman"/>
      <w:b/>
      <w:bCs/>
      <w:color w:val="000000"/>
      <w:spacing w:val="-5"/>
      <w:sz w:val="20"/>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uiPriority w:val="1"/>
    <w:rsid w:val="04026FFD"/>
    <w:pPr>
      <w:spacing w:beforeAutospacing="1" w:afterAutospacing="1"/>
    </w:pPr>
  </w:style>
  <w:style w:type="paragraph" w:customStyle="1" w:styleId="IATitle">
    <w:name w:val="IATitle"/>
    <w:basedOn w:val="Normal"/>
    <w:uiPriority w:val="1"/>
    <w:rsid w:val="04026FFD"/>
    <w:pPr>
      <w:ind w:left="113"/>
    </w:pPr>
    <w:rPr>
      <w:rFonts w:eastAsia="SimSun" w:cs="Arial"/>
      <w:sz w:val="20"/>
    </w:rPr>
  </w:style>
  <w:style w:type="paragraph" w:customStyle="1" w:styleId="IANo">
    <w:name w:val="IANo"/>
    <w:basedOn w:val="Normal"/>
    <w:link w:val="IANoChar"/>
    <w:uiPriority w:val="1"/>
    <w:rsid w:val="04026FFD"/>
    <w:pPr>
      <w:ind w:left="113"/>
    </w:pPr>
    <w:rPr>
      <w:sz w:val="20"/>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sz w:val="20"/>
      <w:lang w:val="sq-AL"/>
    </w:rPr>
  </w:style>
  <w:style w:type="paragraph" w:customStyle="1" w:styleId="IALeadDept">
    <w:name w:val="IALeadDept"/>
    <w:basedOn w:val="Normal"/>
    <w:uiPriority w:val="1"/>
    <w:rsid w:val="04026FFD"/>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uiPriority w:val="1"/>
    <w:rsid w:val="04026FFD"/>
    <w:rPr>
      <w:rFonts w:eastAsia="SimSun"/>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uiPriority w:val="1"/>
    <w:rsid w:val="04026FFD"/>
    <w:pPr>
      <w:jc w:val="center"/>
    </w:pPr>
  </w:style>
  <w:style w:type="paragraph" w:customStyle="1" w:styleId="IAIOSigDate">
    <w:name w:val="IAIOSigDate"/>
    <w:basedOn w:val="Normal"/>
    <w:uiPriority w:val="1"/>
    <w:rsid w:val="04026FFD"/>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bCs/>
      <w:color w:val="000000"/>
      <w:spacing w:val="-5"/>
      <w:sz w:val="20"/>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eastAsia="SimSun"/>
      <w:sz w:val="20"/>
      <w:lang w:val="sq-AL"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4026FFD"/>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basedOn w:val="Normal"/>
    <w:link w:val="ListParagraphChar"/>
    <w:uiPriority w:val="34"/>
    <w:qFormat/>
    <w:rsid w:val="04026FFD"/>
    <w:pPr>
      <w:tabs>
        <w:tab w:val="left" w:pos="567"/>
      </w:tabs>
      <w:spacing w:after="120"/>
      <w:ind w:left="567" w:hanging="567"/>
    </w:pPr>
    <w:rPr>
      <w:rFonts w:ascii="Calibri" w:hAnsi="Calibri"/>
      <w:sz w:val="22"/>
      <w:szCs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uiPriority w:val="1"/>
    <w:qFormat/>
    <w:rsid w:val="04026FFD"/>
    <w:pPr>
      <w:spacing w:after="120"/>
      <w:jc w:val="both"/>
    </w:pPr>
    <w:rPr>
      <w:rFonts w:cs="Arial"/>
      <w:sz w:val="22"/>
      <w:szCs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customStyle="1" w:styleId="BVIfnrCarCarCarCarChar">
    <w:name w:val="BVI fnr Car Car Car Car Char"/>
    <w:basedOn w:val="Normal"/>
    <w:link w:val="FootnoteReference"/>
    <w:uiPriority w:val="99"/>
    <w:rsid w:val="04026FFD"/>
    <w:pPr>
      <w:spacing w:after="160" w:line="240" w:lineRule="exact"/>
    </w:pPr>
    <w:rPr>
      <w:sz w:val="22"/>
      <w:szCs w:val="22"/>
      <w:vertAlign w:val="superscript"/>
    </w:rPr>
  </w:style>
  <w:style w:type="paragraph" w:styleId="NormalWeb">
    <w:name w:val="Normal (Web)"/>
    <w:basedOn w:val="Normal"/>
    <w:uiPriority w:val="99"/>
    <w:unhideWhenUsed/>
    <w:rsid w:val="04026FFD"/>
    <w:pPr>
      <w:spacing w:beforeAutospacing="1" w:afterAutospacing="1"/>
    </w:pPr>
  </w:style>
  <w:style w:type="paragraph" w:styleId="Revision">
    <w:name w:val="Revision"/>
    <w:hidden/>
    <w:uiPriority w:val="99"/>
    <w:semiHidden/>
    <w:rsid w:val="00C27ECE"/>
    <w:rPr>
      <w:lang w:val="sq-AL" w:eastAsia="en-US"/>
    </w:rPr>
  </w:style>
  <w:style w:type="character" w:styleId="UnresolvedMention">
    <w:name w:val="Unresolved Mention"/>
    <w:basedOn w:val="DefaultParagraphFont"/>
    <w:uiPriority w:val="99"/>
    <w:semiHidden/>
    <w:unhideWhenUsed/>
    <w:rsid w:val="00AE0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a.rama@meki.gov.a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qkb.gov.al/qkb/struktura/" TargetMode="External"/><Relationship Id="rId1" Type="http://schemas.openxmlformats.org/officeDocument/2006/relationships/hyperlink" Target="https://meki.gov.al/wp-content/uploads/2024/09/ORGANIGRAMA_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CACB70A1168B411595FAC6FC6BEBF98B"/>
        <w:category>
          <w:name w:val="General"/>
          <w:gallery w:val="placeholder"/>
        </w:category>
        <w:types>
          <w:type w:val="bbPlcHdr"/>
        </w:types>
        <w:behaviors>
          <w:behavior w:val="content"/>
        </w:behaviors>
        <w:guid w:val="{B15F2C57-5C8D-4A4A-A92E-DAB31D8EF39A}"/>
      </w:docPartPr>
      <w:docPartBody>
        <w:p w:rsidR="006F1ED4" w:rsidRDefault="006F1ED4" w:rsidP="006F1ED4">
          <w:pPr>
            <w:pStyle w:val="CACB70A1168B411595FAC6FC6BEBF98B"/>
          </w:pPr>
          <w:r w:rsidRPr="00CC5954">
            <w:rPr>
              <w:rStyle w:val="PlaceholderText"/>
            </w:rPr>
            <w:t>Click here to enter text.</w:t>
          </w:r>
        </w:p>
      </w:docPartBody>
    </w:docPart>
    <w:docPart>
      <w:docPartPr>
        <w:name w:val="6DDBB321FA75409DA38DDE9CB0FD1E41"/>
        <w:category>
          <w:name w:val="General"/>
          <w:gallery w:val="placeholder"/>
        </w:category>
        <w:types>
          <w:type w:val="bbPlcHdr"/>
        </w:types>
        <w:behaviors>
          <w:behavior w:val="content"/>
        </w:behaviors>
        <w:guid w:val="{B1887427-48CB-457A-BE50-FB55EC6849FD}"/>
      </w:docPartPr>
      <w:docPartBody>
        <w:p w:rsidR="006F1ED4" w:rsidRDefault="006F1ED4" w:rsidP="006F1ED4">
          <w:pPr>
            <w:pStyle w:val="6DDBB321FA75409DA38DDE9CB0FD1E41"/>
          </w:pPr>
          <w:r w:rsidRPr="00CC5954">
            <w:rPr>
              <w:rStyle w:val="PlaceholderText"/>
            </w:rPr>
            <w:t>Click here to enter text.</w:t>
          </w:r>
        </w:p>
      </w:docPartBody>
    </w:docPart>
    <w:docPart>
      <w:docPartPr>
        <w:name w:val="1B5742A7A4F94DA1B86FBACFB3D31E60"/>
        <w:category>
          <w:name w:val="General"/>
          <w:gallery w:val="placeholder"/>
        </w:category>
        <w:types>
          <w:type w:val="bbPlcHdr"/>
        </w:types>
        <w:behaviors>
          <w:behavior w:val="content"/>
        </w:behaviors>
        <w:guid w:val="{A3FE7FB1-A2C6-4074-BD0C-FE9DACF4123D}"/>
      </w:docPartPr>
      <w:docPartBody>
        <w:p w:rsidR="006F1ED4" w:rsidRDefault="006F1ED4" w:rsidP="006F1ED4">
          <w:pPr>
            <w:pStyle w:val="1B5742A7A4F94DA1B86FBACFB3D31E60"/>
          </w:pPr>
          <w:r w:rsidRPr="00CC5954">
            <w:rPr>
              <w:rStyle w:val="PlaceholderText"/>
            </w:rPr>
            <w:t>Click here to enter text.</w:t>
          </w:r>
        </w:p>
      </w:docPartBody>
    </w:docPart>
    <w:docPart>
      <w:docPartPr>
        <w:name w:val="094A48B080684960BF3A114CBE910244"/>
        <w:category>
          <w:name w:val="General"/>
          <w:gallery w:val="placeholder"/>
        </w:category>
        <w:types>
          <w:type w:val="bbPlcHdr"/>
        </w:types>
        <w:behaviors>
          <w:behavior w:val="content"/>
        </w:behaviors>
        <w:guid w:val="{2DCBBB7A-E7C0-45CC-A6B8-941692E7A7C2}"/>
      </w:docPartPr>
      <w:docPartBody>
        <w:p w:rsidR="006F1ED4" w:rsidRDefault="006F1ED4" w:rsidP="006F1ED4">
          <w:pPr>
            <w:pStyle w:val="094A48B080684960BF3A114CBE910244"/>
          </w:pPr>
          <w:r w:rsidRPr="00CC5954">
            <w:rPr>
              <w:rStyle w:val="PlaceholderText"/>
            </w:rPr>
            <w:t>Click here to enter text.</w:t>
          </w:r>
        </w:p>
      </w:docPartBody>
    </w:docPart>
    <w:docPart>
      <w:docPartPr>
        <w:name w:val="867EF0DB10CB4A10BB29112D1FCD9786"/>
        <w:category>
          <w:name w:val="General"/>
          <w:gallery w:val="placeholder"/>
        </w:category>
        <w:types>
          <w:type w:val="bbPlcHdr"/>
        </w:types>
        <w:behaviors>
          <w:behavior w:val="content"/>
        </w:behaviors>
        <w:guid w:val="{ED142FE1-2935-4C00-8D06-E409A82D67C7}"/>
      </w:docPartPr>
      <w:docPartBody>
        <w:p w:rsidR="006F1ED4" w:rsidRDefault="006F1ED4" w:rsidP="006F1ED4">
          <w:pPr>
            <w:pStyle w:val="867EF0DB10CB4A10BB29112D1FCD9786"/>
          </w:pPr>
          <w:r w:rsidRPr="00CC5954">
            <w:rPr>
              <w:rStyle w:val="PlaceholderText"/>
            </w:rPr>
            <w:t>Click here to enter text.</w:t>
          </w:r>
        </w:p>
      </w:docPartBody>
    </w:docPart>
    <w:docPart>
      <w:docPartPr>
        <w:name w:val="2C6B1E60C1A14643A06F2DDC18E211CF"/>
        <w:category>
          <w:name w:val="General"/>
          <w:gallery w:val="placeholder"/>
        </w:category>
        <w:types>
          <w:type w:val="bbPlcHdr"/>
        </w:types>
        <w:behaviors>
          <w:behavior w:val="content"/>
        </w:behaviors>
        <w:guid w:val="{9DC8C20D-8E5A-4CC4-8E97-5AC7E3679D52}"/>
      </w:docPartPr>
      <w:docPartBody>
        <w:p w:rsidR="006F1ED4" w:rsidRDefault="006F1ED4" w:rsidP="006F1ED4">
          <w:pPr>
            <w:pStyle w:val="2C6B1E60C1A14643A06F2DDC18E211CF"/>
          </w:pPr>
          <w:r w:rsidRPr="00CC5954">
            <w:rPr>
              <w:rStyle w:val="PlaceholderText"/>
            </w:rPr>
            <w:t>Click here to enter text.</w:t>
          </w:r>
        </w:p>
      </w:docPartBody>
    </w:docPart>
    <w:docPart>
      <w:docPartPr>
        <w:name w:val="C8F0C73A25AD4069881E7BB32D9AC3FF"/>
        <w:category>
          <w:name w:val="General"/>
          <w:gallery w:val="placeholder"/>
        </w:category>
        <w:types>
          <w:type w:val="bbPlcHdr"/>
        </w:types>
        <w:behaviors>
          <w:behavior w:val="content"/>
        </w:behaviors>
        <w:guid w:val="{52B5B6C4-B8FF-43F0-9D00-423B432C5B3B}"/>
      </w:docPartPr>
      <w:docPartBody>
        <w:p w:rsidR="006F1ED4" w:rsidRDefault="006F1ED4" w:rsidP="006F1ED4">
          <w:pPr>
            <w:pStyle w:val="C8F0C73A25AD4069881E7BB32D9AC3FF"/>
          </w:pPr>
          <w:r w:rsidRPr="00CC5954">
            <w:rPr>
              <w:rStyle w:val="PlaceholderText"/>
            </w:rPr>
            <w:t>Click here to enter text.</w:t>
          </w:r>
        </w:p>
      </w:docPartBody>
    </w:docPart>
    <w:docPart>
      <w:docPartPr>
        <w:name w:val="346DADE0E4B948EEB018BC06B86F97D7"/>
        <w:category>
          <w:name w:val="General"/>
          <w:gallery w:val="placeholder"/>
        </w:category>
        <w:types>
          <w:type w:val="bbPlcHdr"/>
        </w:types>
        <w:behaviors>
          <w:behavior w:val="content"/>
        </w:behaviors>
        <w:guid w:val="{C55B73F9-8E74-489E-9465-27416A304196}"/>
      </w:docPartPr>
      <w:docPartBody>
        <w:p w:rsidR="006F1ED4" w:rsidRDefault="006F1ED4" w:rsidP="006F1ED4">
          <w:pPr>
            <w:pStyle w:val="346DADE0E4B948EEB018BC06B86F97D7"/>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
      <w:docPartPr>
        <w:name w:val="F1CA216AA704AC42BBB2F2CA05DA85DB"/>
        <w:category>
          <w:name w:val="General"/>
          <w:gallery w:val="placeholder"/>
        </w:category>
        <w:types>
          <w:type w:val="bbPlcHdr"/>
        </w:types>
        <w:behaviors>
          <w:behavior w:val="content"/>
        </w:behaviors>
        <w:guid w:val="{8CBA873D-426D-6946-84B4-7933557F56C4}"/>
      </w:docPartPr>
      <w:docPartBody>
        <w:p w:rsidR="0064420C" w:rsidRDefault="00862925">
          <w:pPr>
            <w:pStyle w:val="F1CA216AA704AC42BBB2F2CA05DA85DB"/>
          </w:pPr>
          <w:r w:rsidRPr="00CC5954">
            <w:rPr>
              <w:rStyle w:val="PlaceholderText"/>
            </w:rPr>
            <w:t>Click here to enter text.</w:t>
          </w:r>
        </w:p>
      </w:docPartBody>
    </w:docPart>
    <w:docPart>
      <w:docPartPr>
        <w:name w:val="CC7E60AEECDF4E42B99C2E75DF0145F7"/>
        <w:category>
          <w:name w:val="General"/>
          <w:gallery w:val="placeholder"/>
        </w:category>
        <w:types>
          <w:type w:val="bbPlcHdr"/>
        </w:types>
        <w:behaviors>
          <w:behavior w:val="content"/>
        </w:behaviors>
        <w:guid w:val="{F4E6CFA5-A009-AD4F-9D5A-7D6844892585}"/>
      </w:docPartPr>
      <w:docPartBody>
        <w:p w:rsidR="0064420C" w:rsidRDefault="001118CF">
          <w:pPr>
            <w:pStyle w:val="CC7E60AEECDF4E42B99C2E75DF0145F7"/>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3006C"/>
    <w:rsid w:val="0005190B"/>
    <w:rsid w:val="00051F50"/>
    <w:rsid w:val="000A141A"/>
    <w:rsid w:val="000F5B7B"/>
    <w:rsid w:val="001118CF"/>
    <w:rsid w:val="0013730C"/>
    <w:rsid w:val="0020680C"/>
    <w:rsid w:val="00265E85"/>
    <w:rsid w:val="002A3320"/>
    <w:rsid w:val="0035146D"/>
    <w:rsid w:val="0036461E"/>
    <w:rsid w:val="00395E5F"/>
    <w:rsid w:val="003A300A"/>
    <w:rsid w:val="00486625"/>
    <w:rsid w:val="00495A59"/>
    <w:rsid w:val="0058306B"/>
    <w:rsid w:val="005C6409"/>
    <w:rsid w:val="005D10F8"/>
    <w:rsid w:val="005E0543"/>
    <w:rsid w:val="005E1A47"/>
    <w:rsid w:val="00605728"/>
    <w:rsid w:val="00613314"/>
    <w:rsid w:val="00616558"/>
    <w:rsid w:val="0064420C"/>
    <w:rsid w:val="006F1ED4"/>
    <w:rsid w:val="007142DE"/>
    <w:rsid w:val="00776BB6"/>
    <w:rsid w:val="007B4F71"/>
    <w:rsid w:val="00805EC8"/>
    <w:rsid w:val="00845D67"/>
    <w:rsid w:val="0085121C"/>
    <w:rsid w:val="00861778"/>
    <w:rsid w:val="00862925"/>
    <w:rsid w:val="008B2786"/>
    <w:rsid w:val="008C2583"/>
    <w:rsid w:val="008E7E8D"/>
    <w:rsid w:val="008E7F62"/>
    <w:rsid w:val="0091781C"/>
    <w:rsid w:val="00A34FAF"/>
    <w:rsid w:val="00B520DD"/>
    <w:rsid w:val="00B737C7"/>
    <w:rsid w:val="00B91967"/>
    <w:rsid w:val="00C363C6"/>
    <w:rsid w:val="00CB28C6"/>
    <w:rsid w:val="00CB5D4F"/>
    <w:rsid w:val="00D0675E"/>
    <w:rsid w:val="00D71EBA"/>
    <w:rsid w:val="00D95E03"/>
    <w:rsid w:val="00DA1BDD"/>
    <w:rsid w:val="00DB101E"/>
    <w:rsid w:val="00DC3C88"/>
    <w:rsid w:val="00DC6A66"/>
    <w:rsid w:val="00E66D78"/>
    <w:rsid w:val="00E67FDF"/>
    <w:rsid w:val="00EF6C8D"/>
    <w:rsid w:val="00F34DEB"/>
    <w:rsid w:val="00F5636E"/>
    <w:rsid w:val="00F80994"/>
    <w:rsid w:val="00F92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8CF"/>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CACB70A1168B411595FAC6FC6BEBF98B">
    <w:name w:val="CACB70A1168B411595FAC6FC6BEBF98B"/>
    <w:rsid w:val="006F1ED4"/>
  </w:style>
  <w:style w:type="paragraph" w:customStyle="1" w:styleId="F1CA216AA704AC42BBB2F2CA05DA85DB">
    <w:name w:val="F1CA216AA704AC42BBB2F2CA05DA85DB"/>
    <w:pPr>
      <w:spacing w:line="278" w:lineRule="auto"/>
    </w:pPr>
    <w:rPr>
      <w:kern w:val="2"/>
      <w:sz w:val="24"/>
      <w:szCs w:val="24"/>
      <w14:ligatures w14:val="standardContextual"/>
    </w:rPr>
  </w:style>
  <w:style w:type="paragraph" w:customStyle="1" w:styleId="6DDBB321FA75409DA38DDE9CB0FD1E41">
    <w:name w:val="6DDBB321FA75409DA38DDE9CB0FD1E41"/>
    <w:rsid w:val="006F1ED4"/>
  </w:style>
  <w:style w:type="paragraph" w:customStyle="1" w:styleId="1B5742A7A4F94DA1B86FBACFB3D31E60">
    <w:name w:val="1B5742A7A4F94DA1B86FBACFB3D31E60"/>
    <w:rsid w:val="006F1ED4"/>
  </w:style>
  <w:style w:type="paragraph" w:customStyle="1" w:styleId="094A48B080684960BF3A114CBE910244">
    <w:name w:val="094A48B080684960BF3A114CBE910244"/>
    <w:rsid w:val="006F1ED4"/>
  </w:style>
  <w:style w:type="paragraph" w:customStyle="1" w:styleId="867EF0DB10CB4A10BB29112D1FCD9786">
    <w:name w:val="867EF0DB10CB4A10BB29112D1FCD9786"/>
    <w:rsid w:val="006F1ED4"/>
  </w:style>
  <w:style w:type="paragraph" w:customStyle="1" w:styleId="2C6B1E60C1A14643A06F2DDC18E211CF">
    <w:name w:val="2C6B1E60C1A14643A06F2DDC18E211CF"/>
    <w:rsid w:val="006F1ED4"/>
  </w:style>
  <w:style w:type="paragraph" w:customStyle="1" w:styleId="C8F0C73A25AD4069881E7BB32D9AC3FF">
    <w:name w:val="C8F0C73A25AD4069881E7BB32D9AC3FF"/>
    <w:rsid w:val="006F1ED4"/>
  </w:style>
  <w:style w:type="paragraph" w:customStyle="1" w:styleId="346DADE0E4B948EEB018BC06B86F97D7">
    <w:name w:val="346DADE0E4B948EEB018BC06B86F97D7"/>
    <w:rsid w:val="006F1ED4"/>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CC7E60AEECDF4E42B99C2E75DF0145F7">
    <w:name w:val="CC7E60AEECDF4E42B99C2E75DF0145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C8E6C-70BA-4944-9EA1-BF86F188CFB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23850</Words>
  <Characters>135949</Characters>
  <Application>Microsoft Office Word</Application>
  <DocSecurity>4</DocSecurity>
  <Lines>1132</Lines>
  <Paragraphs>318</Paragraphs>
  <ScaleCrop>false</ScaleCrop>
  <Manager/>
  <Company/>
  <LinksUpToDate>false</LinksUpToDate>
  <CharactersWithSpaces>159481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SANECA II</dc:creator>
  <cp:keywords/>
  <dc:description/>
  <cp:lastModifiedBy>Ina Rexhepaj</cp:lastModifiedBy>
  <cp:revision>5</cp:revision>
  <cp:lastPrinted>2019-12-29T06:36:00Z</cp:lastPrinted>
  <dcterms:created xsi:type="dcterms:W3CDTF">2025-12-15T02:35:00Z</dcterms:created>
  <dcterms:modified xsi:type="dcterms:W3CDTF">2025-12-15T02:39:00Z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