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C798" w14:textId="77777777" w:rsidR="004652BA" w:rsidRDefault="004652BA" w:rsidP="00CF2F70">
      <w:pPr>
        <w:jc w:val="both"/>
        <w:rPr>
          <w:rFonts w:ascii="Times New Roman" w:hAnsi="Times New Roman" w:cs="Times New Roman"/>
          <w:b/>
          <w:bCs/>
          <w:sz w:val="32"/>
          <w:szCs w:val="32"/>
        </w:rPr>
      </w:pPr>
    </w:p>
    <w:p w14:paraId="198EEF61" w14:textId="77777777" w:rsidR="004652BA" w:rsidRDefault="004652BA" w:rsidP="00CF2F70">
      <w:pPr>
        <w:jc w:val="both"/>
        <w:rPr>
          <w:rFonts w:ascii="Times New Roman" w:hAnsi="Times New Roman" w:cs="Times New Roman"/>
          <w:b/>
          <w:bCs/>
          <w:sz w:val="32"/>
          <w:szCs w:val="32"/>
        </w:rPr>
      </w:pPr>
    </w:p>
    <w:p w14:paraId="693F9E87" w14:textId="77777777" w:rsidR="004652BA" w:rsidRDefault="004652BA" w:rsidP="00CF2F70">
      <w:pPr>
        <w:jc w:val="both"/>
        <w:rPr>
          <w:rFonts w:ascii="Times New Roman" w:hAnsi="Times New Roman" w:cs="Times New Roman"/>
          <w:b/>
          <w:bCs/>
          <w:sz w:val="32"/>
          <w:szCs w:val="32"/>
        </w:rPr>
      </w:pPr>
    </w:p>
    <w:p w14:paraId="5EC09F5F" w14:textId="77777777" w:rsidR="004652BA" w:rsidRDefault="004652BA" w:rsidP="00CF2F70">
      <w:pPr>
        <w:jc w:val="both"/>
        <w:rPr>
          <w:rFonts w:ascii="Times New Roman" w:hAnsi="Times New Roman" w:cs="Times New Roman"/>
          <w:b/>
          <w:bCs/>
          <w:sz w:val="32"/>
          <w:szCs w:val="32"/>
        </w:rPr>
      </w:pPr>
    </w:p>
    <w:p w14:paraId="0F82FE31" w14:textId="77777777" w:rsidR="004652BA" w:rsidRDefault="004652BA" w:rsidP="00CF2F70">
      <w:pPr>
        <w:jc w:val="both"/>
        <w:rPr>
          <w:rFonts w:ascii="Times New Roman" w:hAnsi="Times New Roman" w:cs="Times New Roman"/>
          <w:b/>
          <w:bCs/>
          <w:sz w:val="32"/>
          <w:szCs w:val="32"/>
        </w:rPr>
      </w:pPr>
    </w:p>
    <w:p w14:paraId="53941D9B" w14:textId="77777777" w:rsidR="004652BA" w:rsidRDefault="004652BA" w:rsidP="00CF2F70">
      <w:pPr>
        <w:jc w:val="both"/>
        <w:rPr>
          <w:rFonts w:ascii="Times New Roman" w:hAnsi="Times New Roman" w:cs="Times New Roman"/>
          <w:b/>
          <w:bCs/>
          <w:sz w:val="32"/>
          <w:szCs w:val="32"/>
        </w:rPr>
      </w:pPr>
    </w:p>
    <w:p w14:paraId="373687F3" w14:textId="77777777" w:rsidR="004652BA" w:rsidRDefault="004652BA" w:rsidP="00CF2F70">
      <w:pPr>
        <w:jc w:val="both"/>
        <w:rPr>
          <w:rFonts w:ascii="Times New Roman" w:hAnsi="Times New Roman" w:cs="Times New Roman"/>
          <w:b/>
          <w:bCs/>
          <w:sz w:val="32"/>
          <w:szCs w:val="32"/>
        </w:rPr>
      </w:pPr>
    </w:p>
    <w:p w14:paraId="51457FF9" w14:textId="77777777" w:rsidR="00573BCA" w:rsidRDefault="004652BA" w:rsidP="004652BA">
      <w:pPr>
        <w:jc w:val="center"/>
        <w:rPr>
          <w:rFonts w:ascii="Times New Roman" w:hAnsi="Times New Roman" w:cs="Times New Roman"/>
          <w:b/>
          <w:bCs/>
          <w:sz w:val="44"/>
          <w:szCs w:val="44"/>
        </w:rPr>
      </w:pPr>
      <w:r w:rsidRPr="004652BA">
        <w:rPr>
          <w:rFonts w:ascii="Times New Roman" w:hAnsi="Times New Roman" w:cs="Times New Roman"/>
          <w:b/>
          <w:bCs/>
          <w:sz w:val="44"/>
          <w:szCs w:val="44"/>
        </w:rPr>
        <w:t xml:space="preserve">STRATEGJIA KOMBËTARE </w:t>
      </w:r>
    </w:p>
    <w:p w14:paraId="580D160E" w14:textId="3AAB1B5D" w:rsidR="00573BCA" w:rsidRDefault="004652BA" w:rsidP="004652BA">
      <w:pPr>
        <w:jc w:val="center"/>
        <w:rPr>
          <w:rFonts w:ascii="Times New Roman" w:hAnsi="Times New Roman" w:cs="Times New Roman"/>
          <w:b/>
          <w:bCs/>
          <w:sz w:val="44"/>
          <w:szCs w:val="44"/>
        </w:rPr>
      </w:pPr>
      <w:r w:rsidRPr="004652BA">
        <w:rPr>
          <w:rFonts w:ascii="Times New Roman" w:hAnsi="Times New Roman" w:cs="Times New Roman"/>
          <w:b/>
          <w:bCs/>
          <w:sz w:val="44"/>
          <w:szCs w:val="44"/>
        </w:rPr>
        <w:t xml:space="preserve">PËR KONTROLLIN E ARMËVE TË VOGLA , TË LEHTA, MUNICIONEVE DHE EKSPLOZIVËVE 2025-2030 </w:t>
      </w:r>
    </w:p>
    <w:p w14:paraId="60785E74" w14:textId="77777777" w:rsidR="00573BCA" w:rsidRDefault="004652BA" w:rsidP="004652BA">
      <w:pPr>
        <w:jc w:val="center"/>
        <w:rPr>
          <w:rFonts w:ascii="Times New Roman" w:hAnsi="Times New Roman" w:cs="Times New Roman"/>
          <w:b/>
          <w:bCs/>
          <w:sz w:val="44"/>
          <w:szCs w:val="44"/>
        </w:rPr>
      </w:pPr>
      <w:r w:rsidRPr="004652BA">
        <w:rPr>
          <w:rFonts w:ascii="Times New Roman" w:hAnsi="Times New Roman" w:cs="Times New Roman"/>
          <w:b/>
          <w:bCs/>
          <w:sz w:val="44"/>
          <w:szCs w:val="44"/>
        </w:rPr>
        <w:t xml:space="preserve">DHE </w:t>
      </w:r>
    </w:p>
    <w:p w14:paraId="31C055DF" w14:textId="77777777" w:rsidR="00573BCA" w:rsidRDefault="004652BA" w:rsidP="004652BA">
      <w:pPr>
        <w:jc w:val="center"/>
        <w:rPr>
          <w:rFonts w:ascii="Times New Roman" w:hAnsi="Times New Roman" w:cs="Times New Roman"/>
          <w:b/>
          <w:bCs/>
          <w:sz w:val="44"/>
          <w:szCs w:val="44"/>
        </w:rPr>
      </w:pPr>
      <w:r w:rsidRPr="004652BA">
        <w:rPr>
          <w:rFonts w:ascii="Times New Roman" w:hAnsi="Times New Roman" w:cs="Times New Roman"/>
          <w:b/>
          <w:bCs/>
          <w:sz w:val="44"/>
          <w:szCs w:val="44"/>
        </w:rPr>
        <w:t xml:space="preserve">PLANIT TË VEPRIMIT 2025-2028 </w:t>
      </w:r>
    </w:p>
    <w:p w14:paraId="5BCAD474" w14:textId="04CC6EB9" w:rsidR="004652BA" w:rsidRPr="004652BA" w:rsidRDefault="004652BA" w:rsidP="004652BA">
      <w:pPr>
        <w:jc w:val="center"/>
        <w:rPr>
          <w:rFonts w:ascii="Times New Roman" w:hAnsi="Times New Roman" w:cs="Times New Roman"/>
          <w:b/>
          <w:bCs/>
          <w:sz w:val="44"/>
          <w:szCs w:val="44"/>
        </w:rPr>
      </w:pPr>
      <w:r w:rsidRPr="004652BA">
        <w:rPr>
          <w:rFonts w:ascii="Times New Roman" w:hAnsi="Times New Roman" w:cs="Times New Roman"/>
          <w:b/>
          <w:bCs/>
          <w:sz w:val="44"/>
          <w:szCs w:val="44"/>
        </w:rPr>
        <w:t>NË ZBATIM TË SAJ</w:t>
      </w:r>
    </w:p>
    <w:p w14:paraId="6FEDA3C2" w14:textId="77777777" w:rsidR="004652BA" w:rsidRPr="004652BA" w:rsidRDefault="004652BA" w:rsidP="00CF2F70">
      <w:pPr>
        <w:jc w:val="both"/>
        <w:rPr>
          <w:rFonts w:ascii="Times New Roman" w:hAnsi="Times New Roman" w:cs="Times New Roman"/>
          <w:b/>
          <w:bCs/>
          <w:sz w:val="44"/>
          <w:szCs w:val="44"/>
        </w:rPr>
      </w:pPr>
    </w:p>
    <w:p w14:paraId="23E2B9C2" w14:textId="77777777" w:rsidR="004652BA" w:rsidRDefault="004652BA" w:rsidP="00CF2F70">
      <w:pPr>
        <w:jc w:val="both"/>
        <w:rPr>
          <w:rFonts w:ascii="Times New Roman" w:hAnsi="Times New Roman" w:cs="Times New Roman"/>
          <w:b/>
          <w:bCs/>
          <w:sz w:val="32"/>
          <w:szCs w:val="32"/>
        </w:rPr>
      </w:pPr>
    </w:p>
    <w:p w14:paraId="4325D4F6" w14:textId="77777777" w:rsidR="004652BA" w:rsidRDefault="004652BA" w:rsidP="00CF2F70">
      <w:pPr>
        <w:jc w:val="both"/>
        <w:rPr>
          <w:rFonts w:ascii="Times New Roman" w:hAnsi="Times New Roman" w:cs="Times New Roman"/>
          <w:b/>
          <w:bCs/>
          <w:sz w:val="32"/>
          <w:szCs w:val="32"/>
        </w:rPr>
      </w:pPr>
    </w:p>
    <w:p w14:paraId="2CCB315A" w14:textId="77777777" w:rsidR="004652BA" w:rsidRDefault="004652BA" w:rsidP="00CF2F70">
      <w:pPr>
        <w:jc w:val="both"/>
        <w:rPr>
          <w:rFonts w:ascii="Times New Roman" w:hAnsi="Times New Roman" w:cs="Times New Roman"/>
          <w:b/>
          <w:bCs/>
          <w:sz w:val="32"/>
          <w:szCs w:val="32"/>
        </w:rPr>
      </w:pPr>
    </w:p>
    <w:p w14:paraId="1AB42A5E" w14:textId="77777777" w:rsidR="004652BA" w:rsidRDefault="004652BA" w:rsidP="00CF2F70">
      <w:pPr>
        <w:jc w:val="both"/>
        <w:rPr>
          <w:rFonts w:ascii="Times New Roman" w:hAnsi="Times New Roman" w:cs="Times New Roman"/>
          <w:b/>
          <w:bCs/>
          <w:sz w:val="32"/>
          <w:szCs w:val="32"/>
        </w:rPr>
      </w:pPr>
    </w:p>
    <w:p w14:paraId="1859EF29" w14:textId="77777777" w:rsidR="003A43CC" w:rsidRDefault="003A43CC" w:rsidP="00CF2F70">
      <w:pPr>
        <w:jc w:val="both"/>
        <w:rPr>
          <w:rFonts w:ascii="Times New Roman" w:hAnsi="Times New Roman" w:cs="Times New Roman"/>
          <w:b/>
          <w:bCs/>
          <w:sz w:val="32"/>
          <w:szCs w:val="32"/>
        </w:rPr>
      </w:pPr>
    </w:p>
    <w:p w14:paraId="5EA36B0E" w14:textId="172DFDA7" w:rsidR="008B31D4" w:rsidRPr="004742E7" w:rsidRDefault="000A1F29" w:rsidP="00CF2F70">
      <w:pPr>
        <w:jc w:val="both"/>
        <w:rPr>
          <w:rFonts w:ascii="Times New Roman" w:hAnsi="Times New Roman" w:cs="Times New Roman"/>
          <w:b/>
          <w:bCs/>
          <w:sz w:val="28"/>
          <w:szCs w:val="28"/>
        </w:rPr>
      </w:pPr>
      <w:r w:rsidRPr="004742E7">
        <w:rPr>
          <w:rFonts w:ascii="Times New Roman" w:hAnsi="Times New Roman" w:cs="Times New Roman"/>
          <w:b/>
          <w:bCs/>
          <w:sz w:val="28"/>
          <w:szCs w:val="28"/>
        </w:rPr>
        <w:lastRenderedPageBreak/>
        <w:t>Lista e shkurtesave:</w:t>
      </w:r>
    </w:p>
    <w:p w14:paraId="0505DEC9" w14:textId="77777777" w:rsidR="00E4424E" w:rsidRPr="004742E7" w:rsidRDefault="00E4424E" w:rsidP="00CF2F70">
      <w:pPr>
        <w:jc w:val="both"/>
        <w:rPr>
          <w:rFonts w:ascii="Times New Roman" w:hAnsi="Times New Roman" w:cs="Times New Roman"/>
          <w:b/>
          <w:bCs/>
          <w:sz w:val="28"/>
          <w:szCs w:val="28"/>
        </w:rPr>
      </w:pPr>
    </w:p>
    <w:p w14:paraId="4B1D21FE" w14:textId="535109B5"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MB</w:t>
      </w:r>
      <w:r w:rsidRPr="004742E7">
        <w:rPr>
          <w:rFonts w:ascii="Times New Roman" w:hAnsi="Times New Roman" w:cs="Times New Roman"/>
          <w:sz w:val="28"/>
          <w:szCs w:val="28"/>
        </w:rPr>
        <w:tab/>
      </w:r>
      <w:r w:rsidRPr="004742E7">
        <w:rPr>
          <w:rFonts w:ascii="Times New Roman" w:hAnsi="Times New Roman" w:cs="Times New Roman"/>
          <w:sz w:val="28"/>
          <w:szCs w:val="28"/>
        </w:rPr>
        <w:tab/>
        <w:t xml:space="preserve"> Ministria e Brendshme</w:t>
      </w:r>
    </w:p>
    <w:p w14:paraId="37ADE22B" w14:textId="7732B3AA"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MF</w:t>
      </w:r>
      <w:r w:rsidRPr="004742E7">
        <w:rPr>
          <w:rFonts w:ascii="Times New Roman" w:hAnsi="Times New Roman" w:cs="Times New Roman"/>
          <w:sz w:val="28"/>
          <w:szCs w:val="28"/>
        </w:rPr>
        <w:tab/>
      </w:r>
      <w:r w:rsidRPr="004742E7">
        <w:rPr>
          <w:rFonts w:ascii="Times New Roman" w:hAnsi="Times New Roman" w:cs="Times New Roman"/>
          <w:sz w:val="28"/>
          <w:szCs w:val="28"/>
        </w:rPr>
        <w:tab/>
        <w:t xml:space="preserve"> Ministria e Financave </w:t>
      </w:r>
    </w:p>
    <w:p w14:paraId="24CA5DBF" w14:textId="5C837F1C"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MD</w:t>
      </w:r>
      <w:r w:rsidRPr="004742E7">
        <w:rPr>
          <w:rFonts w:ascii="Times New Roman" w:hAnsi="Times New Roman" w:cs="Times New Roman"/>
          <w:sz w:val="28"/>
          <w:szCs w:val="28"/>
        </w:rPr>
        <w:tab/>
      </w:r>
      <w:r w:rsidRPr="004742E7">
        <w:rPr>
          <w:rFonts w:ascii="Times New Roman" w:hAnsi="Times New Roman" w:cs="Times New Roman"/>
          <w:sz w:val="28"/>
          <w:szCs w:val="28"/>
        </w:rPr>
        <w:tab/>
        <w:t xml:space="preserve"> Ministria e Drejtësisë</w:t>
      </w:r>
    </w:p>
    <w:p w14:paraId="027B1EDD" w14:textId="55301866" w:rsidR="000A1F29" w:rsidRPr="004742E7" w:rsidRDefault="000A1F29" w:rsidP="00CF2F70">
      <w:pPr>
        <w:spacing w:line="276" w:lineRule="auto"/>
        <w:jc w:val="both"/>
        <w:rPr>
          <w:rFonts w:ascii="Times New Roman" w:hAnsi="Times New Roman" w:cs="Times New Roman"/>
          <w:color w:val="FF0000"/>
          <w:sz w:val="28"/>
          <w:szCs w:val="28"/>
        </w:rPr>
      </w:pPr>
      <w:r w:rsidRPr="004742E7">
        <w:rPr>
          <w:rFonts w:ascii="Times New Roman" w:hAnsi="Times New Roman" w:cs="Times New Roman"/>
          <w:b/>
          <w:bCs/>
          <w:sz w:val="28"/>
          <w:szCs w:val="28"/>
        </w:rPr>
        <w:t>MASR</w:t>
      </w:r>
      <w:r w:rsidR="008B31D4" w:rsidRPr="004742E7">
        <w:rPr>
          <w:rFonts w:ascii="Times New Roman" w:hAnsi="Times New Roman" w:cs="Times New Roman"/>
          <w:b/>
          <w:bCs/>
          <w:sz w:val="28"/>
          <w:szCs w:val="28"/>
        </w:rPr>
        <w:tab/>
        <w:t xml:space="preserve"> </w:t>
      </w:r>
      <w:r w:rsidRPr="004742E7">
        <w:rPr>
          <w:rFonts w:ascii="Times New Roman" w:hAnsi="Times New Roman" w:cs="Times New Roman"/>
          <w:sz w:val="28"/>
          <w:szCs w:val="28"/>
        </w:rPr>
        <w:t xml:space="preserve">Ministria e Arsimit, </w:t>
      </w:r>
      <w:r w:rsidR="00053E5A" w:rsidRPr="000A5B69">
        <w:rPr>
          <w:rFonts w:ascii="Times New Roman" w:hAnsi="Times New Roman" w:cs="Times New Roman"/>
          <w:sz w:val="28"/>
          <w:szCs w:val="28"/>
        </w:rPr>
        <w:t xml:space="preserve">dhe Sportit </w:t>
      </w:r>
    </w:p>
    <w:p w14:paraId="485BB9C9" w14:textId="2BA89D19"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MEPJ</w:t>
      </w:r>
      <w:r w:rsidRPr="004742E7">
        <w:rPr>
          <w:rFonts w:ascii="Times New Roman" w:hAnsi="Times New Roman" w:cs="Times New Roman"/>
          <w:sz w:val="28"/>
          <w:szCs w:val="28"/>
        </w:rPr>
        <w:t xml:space="preserve"> </w:t>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053E5A" w:rsidRPr="004742E7">
        <w:rPr>
          <w:rFonts w:ascii="Times New Roman" w:hAnsi="Times New Roman" w:cs="Times New Roman"/>
          <w:sz w:val="28"/>
          <w:szCs w:val="28"/>
        </w:rPr>
        <w:t>Ministria për Ev</w:t>
      </w:r>
      <w:r w:rsidRPr="004742E7">
        <w:rPr>
          <w:rFonts w:ascii="Times New Roman" w:hAnsi="Times New Roman" w:cs="Times New Roman"/>
          <w:sz w:val="28"/>
          <w:szCs w:val="28"/>
        </w:rPr>
        <w:t>ropën dhe Punët e Jashtme</w:t>
      </w:r>
    </w:p>
    <w:p w14:paraId="19A6B5D8" w14:textId="2F23EA5A"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MM </w:t>
      </w:r>
      <w:r w:rsidRPr="004742E7">
        <w:rPr>
          <w:rFonts w:ascii="Times New Roman" w:hAnsi="Times New Roman" w:cs="Times New Roman"/>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Ministria e Mbrojtjes</w:t>
      </w:r>
    </w:p>
    <w:p w14:paraId="3C70F938" w14:textId="396572F6" w:rsidR="00C13227" w:rsidRPr="004742E7" w:rsidRDefault="00C13227"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MEKI        </w:t>
      </w:r>
      <w:r w:rsidR="000F2C15" w:rsidRPr="004742E7">
        <w:rPr>
          <w:rFonts w:ascii="Times New Roman" w:hAnsi="Times New Roman" w:cs="Times New Roman"/>
          <w:sz w:val="28"/>
          <w:szCs w:val="28"/>
        </w:rPr>
        <w:t xml:space="preserve">   </w:t>
      </w:r>
      <w:r w:rsidRPr="004742E7">
        <w:rPr>
          <w:rFonts w:ascii="Times New Roman" w:hAnsi="Times New Roman" w:cs="Times New Roman"/>
          <w:sz w:val="28"/>
          <w:szCs w:val="28"/>
        </w:rPr>
        <w:t>Ministria e Ekonomisë, Kulturës dhe Inovacionit</w:t>
      </w:r>
    </w:p>
    <w:p w14:paraId="195E8208" w14:textId="0D48B571" w:rsidR="00C13227" w:rsidRPr="004742E7" w:rsidRDefault="00C13227"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MSHRF   </w:t>
      </w:r>
      <w:r w:rsidR="000F2C15" w:rsidRPr="004742E7">
        <w:rPr>
          <w:rFonts w:ascii="Times New Roman" w:hAnsi="Times New Roman" w:cs="Times New Roman"/>
          <w:sz w:val="28"/>
          <w:szCs w:val="28"/>
        </w:rPr>
        <w:t xml:space="preserve">     </w:t>
      </w:r>
      <w:r w:rsidRPr="004742E7">
        <w:rPr>
          <w:rFonts w:ascii="Times New Roman" w:hAnsi="Times New Roman" w:cs="Times New Roman"/>
          <w:sz w:val="28"/>
          <w:szCs w:val="28"/>
        </w:rPr>
        <w:t>Ministri</w:t>
      </w:r>
      <w:r w:rsidR="003D1E88" w:rsidRPr="004742E7">
        <w:rPr>
          <w:rFonts w:ascii="Times New Roman" w:hAnsi="Times New Roman" w:cs="Times New Roman"/>
          <w:sz w:val="28"/>
          <w:szCs w:val="28"/>
        </w:rPr>
        <w:t>a e</w:t>
      </w:r>
      <w:r w:rsidRPr="004742E7">
        <w:rPr>
          <w:rFonts w:ascii="Times New Roman" w:hAnsi="Times New Roman" w:cs="Times New Roman"/>
          <w:sz w:val="28"/>
          <w:szCs w:val="28"/>
        </w:rPr>
        <w:t xml:space="preserve"> Shtetit për Rininë dhe Fëmijët</w:t>
      </w:r>
    </w:p>
    <w:p w14:paraId="197B2AD2" w14:textId="608EAAAF"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MSHMS</w:t>
      </w:r>
      <w:r w:rsidRPr="004742E7">
        <w:rPr>
          <w:rFonts w:ascii="Times New Roman" w:hAnsi="Times New Roman" w:cs="Times New Roman"/>
          <w:sz w:val="28"/>
          <w:szCs w:val="28"/>
        </w:rPr>
        <w:t xml:space="preserve"> </w:t>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Ministria e Shëndetësisë dhe Mbrojtjes Sociale</w:t>
      </w:r>
    </w:p>
    <w:p w14:paraId="799B987F" w14:textId="048DDDD5" w:rsidR="00C13227"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MTM</w:t>
      </w:r>
      <w:r w:rsidR="008B31D4" w:rsidRPr="004742E7">
        <w:rPr>
          <w:rFonts w:ascii="Times New Roman" w:hAnsi="Times New Roman" w:cs="Times New Roman"/>
          <w:b/>
          <w:bCs/>
          <w:sz w:val="28"/>
          <w:szCs w:val="28"/>
        </w:rPr>
        <w:tab/>
      </w:r>
      <w:r w:rsidR="008B31D4" w:rsidRPr="004742E7">
        <w:rPr>
          <w:rFonts w:ascii="Times New Roman" w:hAnsi="Times New Roman" w:cs="Times New Roman"/>
          <w:b/>
          <w:bCs/>
          <w:sz w:val="28"/>
          <w:szCs w:val="28"/>
        </w:rPr>
        <w:tab/>
        <w:t xml:space="preserve"> </w:t>
      </w:r>
      <w:r w:rsidRPr="004742E7">
        <w:rPr>
          <w:rFonts w:ascii="Times New Roman" w:hAnsi="Times New Roman" w:cs="Times New Roman"/>
          <w:sz w:val="28"/>
          <w:szCs w:val="28"/>
        </w:rPr>
        <w:t>Ministria e Turizmit dhe Mjedisit</w:t>
      </w:r>
    </w:p>
    <w:p w14:paraId="5183DC9D" w14:textId="1404F89B" w:rsidR="0047601A" w:rsidRPr="000A5B69" w:rsidRDefault="0047601A" w:rsidP="00CF2F70">
      <w:pPr>
        <w:spacing w:line="276" w:lineRule="auto"/>
        <w:jc w:val="both"/>
        <w:rPr>
          <w:rFonts w:ascii="Times New Roman" w:hAnsi="Times New Roman" w:cs="Times New Roman"/>
          <w:bCs/>
          <w:sz w:val="28"/>
          <w:szCs w:val="28"/>
        </w:rPr>
      </w:pPr>
      <w:r w:rsidRPr="000A5B69">
        <w:rPr>
          <w:rFonts w:ascii="Times New Roman" w:hAnsi="Times New Roman" w:cs="Times New Roman"/>
          <w:b/>
          <w:sz w:val="28"/>
          <w:szCs w:val="28"/>
        </w:rPr>
        <w:t>MSHPV</w:t>
      </w:r>
      <w:r w:rsidRPr="000A5B69">
        <w:rPr>
          <w:rFonts w:ascii="Times New Roman" w:hAnsi="Times New Roman" w:cs="Times New Roman"/>
          <w:b/>
          <w:sz w:val="28"/>
          <w:szCs w:val="28"/>
        </w:rPr>
        <w:tab/>
      </w:r>
      <w:r w:rsidRPr="000A5B69">
        <w:rPr>
          <w:rFonts w:ascii="Times New Roman" w:hAnsi="Times New Roman" w:cs="Times New Roman"/>
          <w:bCs/>
          <w:sz w:val="28"/>
          <w:szCs w:val="28"/>
        </w:rPr>
        <w:t xml:space="preserve"> Ministri</w:t>
      </w:r>
      <w:r w:rsidR="000A5B69" w:rsidRPr="000A5B69">
        <w:rPr>
          <w:rFonts w:ascii="Times New Roman" w:hAnsi="Times New Roman" w:cs="Times New Roman"/>
          <w:bCs/>
          <w:sz w:val="28"/>
          <w:szCs w:val="28"/>
        </w:rPr>
        <w:t xml:space="preserve"> i</w:t>
      </w:r>
      <w:r w:rsidRPr="000A5B69">
        <w:rPr>
          <w:rFonts w:ascii="Times New Roman" w:hAnsi="Times New Roman" w:cs="Times New Roman"/>
          <w:bCs/>
          <w:sz w:val="28"/>
          <w:szCs w:val="28"/>
        </w:rPr>
        <w:t xml:space="preserve"> Shtetit për Pushtetin Vendor</w:t>
      </w:r>
    </w:p>
    <w:p w14:paraId="5DC0182E" w14:textId="3F54147F" w:rsidR="000A1F29" w:rsidRPr="000A5B69" w:rsidRDefault="009C1767" w:rsidP="00CF2F70">
      <w:pPr>
        <w:spacing w:line="276" w:lineRule="auto"/>
        <w:jc w:val="both"/>
        <w:rPr>
          <w:rFonts w:ascii="Times New Roman" w:hAnsi="Times New Roman" w:cs="Times New Roman"/>
          <w:bCs/>
          <w:sz w:val="28"/>
          <w:szCs w:val="28"/>
        </w:rPr>
      </w:pPr>
      <w:r w:rsidRPr="000A5B69">
        <w:rPr>
          <w:rFonts w:ascii="Times New Roman" w:hAnsi="Times New Roman" w:cs="Times New Roman"/>
          <w:b/>
          <w:sz w:val="28"/>
          <w:szCs w:val="28"/>
        </w:rPr>
        <w:t>DPPSH</w:t>
      </w:r>
      <w:r w:rsidR="000A1F29" w:rsidRPr="000A5B69">
        <w:rPr>
          <w:rFonts w:ascii="Times New Roman" w:hAnsi="Times New Roman" w:cs="Times New Roman"/>
          <w:b/>
          <w:sz w:val="28"/>
          <w:szCs w:val="28"/>
        </w:rPr>
        <w:t xml:space="preserve"> </w:t>
      </w:r>
      <w:r w:rsidR="00FD5702" w:rsidRPr="000A5B69">
        <w:rPr>
          <w:rFonts w:ascii="Times New Roman" w:hAnsi="Times New Roman" w:cs="Times New Roman"/>
          <w:bCs/>
          <w:sz w:val="28"/>
          <w:szCs w:val="28"/>
        </w:rPr>
        <w:tab/>
      </w:r>
      <w:r w:rsidR="00070A2C" w:rsidRPr="000A5B69">
        <w:rPr>
          <w:rFonts w:ascii="Times New Roman" w:hAnsi="Times New Roman" w:cs="Times New Roman"/>
          <w:bCs/>
          <w:sz w:val="28"/>
          <w:szCs w:val="28"/>
        </w:rPr>
        <w:t xml:space="preserve"> </w:t>
      </w:r>
      <w:r w:rsidRPr="000A5B69">
        <w:rPr>
          <w:rFonts w:ascii="Times New Roman" w:hAnsi="Times New Roman" w:cs="Times New Roman"/>
          <w:bCs/>
          <w:sz w:val="28"/>
          <w:szCs w:val="28"/>
        </w:rPr>
        <w:t>Drejtoria e P</w:t>
      </w:r>
      <w:r w:rsidR="00BC4BAB" w:rsidRPr="000A5B69">
        <w:rPr>
          <w:rFonts w:ascii="Times New Roman" w:hAnsi="Times New Roman" w:cs="Times New Roman"/>
          <w:bCs/>
          <w:sz w:val="28"/>
          <w:szCs w:val="28"/>
        </w:rPr>
        <w:t>ë</w:t>
      </w:r>
      <w:r w:rsidRPr="000A5B69">
        <w:rPr>
          <w:rFonts w:ascii="Times New Roman" w:hAnsi="Times New Roman" w:cs="Times New Roman"/>
          <w:bCs/>
          <w:sz w:val="28"/>
          <w:szCs w:val="28"/>
        </w:rPr>
        <w:t>rgjithshme e Policis</w:t>
      </w:r>
      <w:r w:rsidR="00BC4BAB" w:rsidRPr="000A5B69">
        <w:rPr>
          <w:rFonts w:ascii="Times New Roman" w:hAnsi="Times New Roman" w:cs="Times New Roman"/>
          <w:bCs/>
          <w:sz w:val="28"/>
          <w:szCs w:val="28"/>
        </w:rPr>
        <w:t>ë</w:t>
      </w:r>
      <w:r w:rsidRPr="000A5B69">
        <w:rPr>
          <w:rFonts w:ascii="Times New Roman" w:hAnsi="Times New Roman" w:cs="Times New Roman"/>
          <w:bCs/>
          <w:sz w:val="28"/>
          <w:szCs w:val="28"/>
        </w:rPr>
        <w:t xml:space="preserve"> s</w:t>
      </w:r>
      <w:r w:rsidR="00BC4BAB" w:rsidRPr="000A5B69">
        <w:rPr>
          <w:rFonts w:ascii="Times New Roman" w:hAnsi="Times New Roman" w:cs="Times New Roman"/>
          <w:bCs/>
          <w:sz w:val="28"/>
          <w:szCs w:val="28"/>
        </w:rPr>
        <w:t>ë</w:t>
      </w:r>
      <w:r w:rsidRPr="000A5B69">
        <w:rPr>
          <w:rFonts w:ascii="Times New Roman" w:hAnsi="Times New Roman" w:cs="Times New Roman"/>
          <w:bCs/>
          <w:sz w:val="28"/>
          <w:szCs w:val="28"/>
        </w:rPr>
        <w:t xml:space="preserve"> Shtetit </w:t>
      </w:r>
    </w:p>
    <w:p w14:paraId="1096634F" w14:textId="6E2C94C4" w:rsidR="00FD5702" w:rsidRPr="004742E7" w:rsidRDefault="00FD5702" w:rsidP="00FD5702">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PSH </w:t>
      </w:r>
      <w:r w:rsidRPr="004742E7">
        <w:rPr>
          <w:rFonts w:ascii="Times New Roman" w:hAnsi="Times New Roman" w:cs="Times New Roman"/>
          <w:b/>
          <w:bCs/>
          <w:sz w:val="28"/>
          <w:szCs w:val="28"/>
        </w:rPr>
        <w:tab/>
      </w:r>
      <w:r w:rsidRPr="004742E7">
        <w:rPr>
          <w:rFonts w:ascii="Times New Roman" w:hAnsi="Times New Roman" w:cs="Times New Roman"/>
          <w:b/>
          <w:bCs/>
          <w:sz w:val="28"/>
          <w:szCs w:val="28"/>
        </w:rPr>
        <w:tab/>
      </w:r>
      <w:r w:rsidR="00070A2C" w:rsidRPr="004742E7">
        <w:rPr>
          <w:rFonts w:ascii="Times New Roman" w:hAnsi="Times New Roman" w:cs="Times New Roman"/>
          <w:b/>
          <w:bCs/>
          <w:sz w:val="28"/>
          <w:szCs w:val="28"/>
        </w:rPr>
        <w:t xml:space="preserve"> </w:t>
      </w:r>
      <w:r w:rsidRPr="004742E7">
        <w:rPr>
          <w:rFonts w:ascii="Times New Roman" w:hAnsi="Times New Roman" w:cs="Times New Roman"/>
          <w:sz w:val="28"/>
          <w:szCs w:val="28"/>
        </w:rPr>
        <w:t>Policia e Shtetit</w:t>
      </w:r>
    </w:p>
    <w:p w14:paraId="4AD37713" w14:textId="55A3C3A7" w:rsidR="00E4424E" w:rsidRPr="004742E7" w:rsidRDefault="00E4424E"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AS      </w:t>
      </w:r>
      <w:r w:rsidRPr="004742E7">
        <w:rPr>
          <w:rFonts w:ascii="Times New Roman" w:hAnsi="Times New Roman" w:cs="Times New Roman"/>
          <w:sz w:val="28"/>
          <w:szCs w:val="28"/>
        </w:rPr>
        <w:t xml:space="preserve">          Akademia e Sigurisë</w:t>
      </w:r>
    </w:p>
    <w:p w14:paraId="34C87F14" w14:textId="330B2440"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SPAK</w:t>
      </w:r>
      <w:r w:rsidR="008B31D4" w:rsidRPr="004742E7">
        <w:rPr>
          <w:rFonts w:ascii="Times New Roman" w:hAnsi="Times New Roman" w:cs="Times New Roman"/>
          <w:b/>
          <w:bCs/>
          <w:sz w:val="28"/>
          <w:szCs w:val="28"/>
        </w:rPr>
        <w:t xml:space="preserve">           </w:t>
      </w:r>
      <w:r w:rsidR="00053E5A" w:rsidRPr="004742E7">
        <w:rPr>
          <w:rFonts w:ascii="Times New Roman" w:hAnsi="Times New Roman" w:cs="Times New Roman"/>
          <w:sz w:val="28"/>
          <w:szCs w:val="28"/>
        </w:rPr>
        <w:t>Struktura e Posaç</w:t>
      </w:r>
      <w:r w:rsidRPr="004742E7">
        <w:rPr>
          <w:rFonts w:ascii="Times New Roman" w:hAnsi="Times New Roman" w:cs="Times New Roman"/>
          <w:sz w:val="28"/>
          <w:szCs w:val="28"/>
        </w:rPr>
        <w:t>me Kundër Krimit të Organizuar dhe Korrupsionit</w:t>
      </w:r>
    </w:p>
    <w:p w14:paraId="29768E2A" w14:textId="4438B002" w:rsidR="007277F5" w:rsidRPr="004742E7" w:rsidRDefault="007277F5"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BKH</w:t>
      </w:r>
      <w:r w:rsidRPr="004742E7">
        <w:rPr>
          <w:rFonts w:ascii="Times New Roman" w:hAnsi="Times New Roman" w:cs="Times New Roman"/>
          <w:b/>
          <w:bCs/>
          <w:sz w:val="28"/>
          <w:szCs w:val="28"/>
        </w:rPr>
        <w:tab/>
      </w:r>
      <w:r w:rsidRPr="004742E7">
        <w:rPr>
          <w:rFonts w:ascii="Times New Roman" w:hAnsi="Times New Roman" w:cs="Times New Roman"/>
          <w:sz w:val="28"/>
          <w:szCs w:val="28"/>
        </w:rPr>
        <w:tab/>
        <w:t xml:space="preserve"> Byroja Kombëtare e Hetimit</w:t>
      </w:r>
    </w:p>
    <w:p w14:paraId="77091469" w14:textId="4C018349"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PP</w:t>
      </w:r>
      <w:r w:rsidRPr="004742E7">
        <w:rPr>
          <w:rFonts w:ascii="Times New Roman" w:hAnsi="Times New Roman" w:cs="Times New Roman"/>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Prokuroria e Përgjithshme</w:t>
      </w:r>
    </w:p>
    <w:p w14:paraId="3E9BB1D4" w14:textId="7116779C"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GJKKO</w:t>
      </w:r>
      <w:r w:rsidRPr="004742E7">
        <w:rPr>
          <w:rFonts w:ascii="Times New Roman" w:hAnsi="Times New Roman" w:cs="Times New Roman"/>
          <w:b/>
          <w:bCs/>
          <w:sz w:val="28"/>
          <w:szCs w:val="28"/>
        </w:rPr>
        <w:tab/>
      </w:r>
      <w:r w:rsidR="008B31D4" w:rsidRPr="004742E7">
        <w:rPr>
          <w:rFonts w:ascii="Times New Roman" w:hAnsi="Times New Roman" w:cs="Times New Roman"/>
          <w:b/>
          <w:bCs/>
          <w:sz w:val="28"/>
          <w:szCs w:val="28"/>
        </w:rPr>
        <w:t xml:space="preserve"> </w:t>
      </w:r>
      <w:r w:rsidRPr="004742E7">
        <w:rPr>
          <w:rFonts w:ascii="Times New Roman" w:hAnsi="Times New Roman" w:cs="Times New Roman"/>
          <w:sz w:val="28"/>
          <w:szCs w:val="28"/>
        </w:rPr>
        <w:t>Gjykata e Posaçme Kundër Krimit të Organizuar dhe Korrupsionit</w:t>
      </w:r>
    </w:p>
    <w:p w14:paraId="46F128FB" w14:textId="5DCDBFA0"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KLP</w:t>
      </w:r>
      <w:r w:rsidRPr="004742E7">
        <w:rPr>
          <w:rFonts w:ascii="Times New Roman" w:hAnsi="Times New Roman" w:cs="Times New Roman"/>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053E5A" w:rsidRPr="004742E7">
        <w:rPr>
          <w:rFonts w:ascii="Times New Roman" w:hAnsi="Times New Roman" w:cs="Times New Roman"/>
          <w:sz w:val="28"/>
          <w:szCs w:val="28"/>
        </w:rPr>
        <w:t>Këshilli i Lartë i</w:t>
      </w:r>
      <w:r w:rsidRPr="004742E7">
        <w:rPr>
          <w:rFonts w:ascii="Times New Roman" w:hAnsi="Times New Roman" w:cs="Times New Roman"/>
          <w:sz w:val="28"/>
          <w:szCs w:val="28"/>
        </w:rPr>
        <w:t xml:space="preserve"> Prokur</w:t>
      </w:r>
      <w:r w:rsidR="00053E5A" w:rsidRPr="004742E7">
        <w:rPr>
          <w:rFonts w:ascii="Times New Roman" w:hAnsi="Times New Roman" w:cs="Times New Roman"/>
          <w:sz w:val="28"/>
          <w:szCs w:val="28"/>
        </w:rPr>
        <w:t>or</w:t>
      </w:r>
      <w:r w:rsidRPr="004742E7">
        <w:rPr>
          <w:rFonts w:ascii="Times New Roman" w:hAnsi="Times New Roman" w:cs="Times New Roman"/>
          <w:sz w:val="28"/>
          <w:szCs w:val="28"/>
        </w:rPr>
        <w:t>isë</w:t>
      </w:r>
    </w:p>
    <w:p w14:paraId="77827CE2" w14:textId="1DA1D50B"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KLGJ</w:t>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053E5A" w:rsidRPr="004742E7">
        <w:rPr>
          <w:rFonts w:ascii="Times New Roman" w:hAnsi="Times New Roman" w:cs="Times New Roman"/>
          <w:sz w:val="28"/>
          <w:szCs w:val="28"/>
        </w:rPr>
        <w:t>Këshilli i Lartë Gjyqësor</w:t>
      </w:r>
    </w:p>
    <w:p w14:paraId="52C16AFD" w14:textId="0D26154B"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SHM</w:t>
      </w:r>
      <w:r w:rsidRPr="004742E7">
        <w:rPr>
          <w:rFonts w:ascii="Times New Roman" w:hAnsi="Times New Roman" w:cs="Times New Roman"/>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Shkolla e Magjistraturës</w:t>
      </w:r>
    </w:p>
    <w:p w14:paraId="73E16E3C" w14:textId="02E382F5"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ILD</w:t>
      </w:r>
      <w:r w:rsidRPr="004742E7">
        <w:rPr>
          <w:rFonts w:ascii="Times New Roman" w:hAnsi="Times New Roman" w:cs="Times New Roman"/>
          <w:b/>
          <w:bCs/>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053E5A" w:rsidRPr="004742E7">
        <w:rPr>
          <w:rFonts w:ascii="Times New Roman" w:hAnsi="Times New Roman" w:cs="Times New Roman"/>
          <w:sz w:val="28"/>
          <w:szCs w:val="28"/>
        </w:rPr>
        <w:t>Inspektoriati i Lartë i</w:t>
      </w:r>
      <w:r w:rsidRPr="004742E7">
        <w:rPr>
          <w:rFonts w:ascii="Times New Roman" w:hAnsi="Times New Roman" w:cs="Times New Roman"/>
          <w:sz w:val="28"/>
          <w:szCs w:val="28"/>
        </w:rPr>
        <w:t xml:space="preserve"> Drejtësisë</w:t>
      </w:r>
    </w:p>
    <w:p w14:paraId="39410366" w14:textId="22CAB632"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lastRenderedPageBreak/>
        <w:t xml:space="preserve">DPD </w:t>
      </w:r>
      <w:r w:rsidRPr="004742E7">
        <w:rPr>
          <w:rFonts w:ascii="Times New Roman" w:hAnsi="Times New Roman" w:cs="Times New Roman"/>
          <w:b/>
          <w:bCs/>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Drejtoria e Përgjithshme e Doganave</w:t>
      </w:r>
    </w:p>
    <w:p w14:paraId="52A66699" w14:textId="55BC5D5A"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DPB </w:t>
      </w:r>
      <w:r w:rsidRPr="004742E7">
        <w:rPr>
          <w:rFonts w:ascii="Times New Roman" w:hAnsi="Times New Roman" w:cs="Times New Roman"/>
          <w:b/>
          <w:bCs/>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Drejtoria e Përgjithshme e Burgjeve</w:t>
      </w:r>
    </w:p>
    <w:p w14:paraId="5C8FBCA5" w14:textId="6A345C86" w:rsidR="00A14F9A" w:rsidRPr="004742E7" w:rsidRDefault="00A14F9A" w:rsidP="00CF2F70">
      <w:pPr>
        <w:spacing w:line="276" w:lineRule="auto"/>
        <w:jc w:val="both"/>
        <w:rPr>
          <w:rFonts w:ascii="Times New Roman" w:hAnsi="Times New Roman" w:cs="Times New Roman"/>
          <w:b/>
          <w:bCs/>
          <w:sz w:val="28"/>
          <w:szCs w:val="28"/>
        </w:rPr>
      </w:pPr>
      <w:r w:rsidRPr="004742E7">
        <w:rPr>
          <w:rFonts w:ascii="Times New Roman" w:hAnsi="Times New Roman" w:cs="Times New Roman"/>
          <w:b/>
          <w:bCs/>
          <w:sz w:val="28"/>
          <w:szCs w:val="28"/>
        </w:rPr>
        <w:t xml:space="preserve">PPAP            </w:t>
      </w:r>
      <w:r w:rsidRPr="004742E7">
        <w:rPr>
          <w:rFonts w:ascii="Times New Roman" w:hAnsi="Times New Roman" w:cs="Times New Roman"/>
          <w:sz w:val="28"/>
          <w:szCs w:val="28"/>
        </w:rPr>
        <w:t>Planifikimi i Projekt-Akteve Prioritare</w:t>
      </w:r>
    </w:p>
    <w:p w14:paraId="4F3D7450" w14:textId="00D73EC5"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AKSHE </w:t>
      </w:r>
      <w:r w:rsidRPr="004742E7">
        <w:rPr>
          <w:rFonts w:ascii="Times New Roman" w:hAnsi="Times New Roman" w:cs="Times New Roman"/>
          <w:b/>
          <w:bCs/>
          <w:sz w:val="28"/>
          <w:szCs w:val="28"/>
        </w:rPr>
        <w:tab/>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Autoriteti i Kontrollit Shtetëror të Eksporteve</w:t>
      </w:r>
    </w:p>
    <w:p w14:paraId="5D0FC81D" w14:textId="30ED1032" w:rsidR="00C13227" w:rsidRPr="004742E7" w:rsidRDefault="00C13227"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ASHPSKN</w:t>
      </w:r>
      <w:r w:rsidRPr="004742E7">
        <w:rPr>
          <w:rFonts w:ascii="Times New Roman" w:hAnsi="Times New Roman" w:cs="Times New Roman"/>
          <w:sz w:val="28"/>
          <w:szCs w:val="28"/>
        </w:rPr>
        <w:t xml:space="preserve">   Agjencia Shtetërore e Programimit Strategjik dhe Koordinimit të </w:t>
      </w:r>
    </w:p>
    <w:p w14:paraId="531F7ACE" w14:textId="1B0AC4D6" w:rsidR="00C13227" w:rsidRPr="004742E7" w:rsidRDefault="00C13227" w:rsidP="00CF2F70">
      <w:pPr>
        <w:spacing w:line="276" w:lineRule="auto"/>
        <w:jc w:val="both"/>
        <w:rPr>
          <w:rFonts w:ascii="Times New Roman" w:hAnsi="Times New Roman" w:cs="Times New Roman"/>
          <w:sz w:val="28"/>
          <w:szCs w:val="28"/>
        </w:rPr>
      </w:pPr>
      <w:r w:rsidRPr="004742E7">
        <w:rPr>
          <w:rFonts w:ascii="Times New Roman" w:hAnsi="Times New Roman" w:cs="Times New Roman"/>
          <w:sz w:val="28"/>
          <w:szCs w:val="28"/>
        </w:rPr>
        <w:t xml:space="preserve">                      Ndihmës</w:t>
      </w:r>
    </w:p>
    <w:p w14:paraId="1C72B0B0" w14:textId="0CFF018B" w:rsidR="007277F5" w:rsidRPr="004742E7" w:rsidRDefault="007277F5" w:rsidP="00CF2F70">
      <w:pPr>
        <w:spacing w:line="276" w:lineRule="auto"/>
        <w:jc w:val="both"/>
        <w:rPr>
          <w:rFonts w:ascii="Times New Roman" w:hAnsi="Times New Roman" w:cs="Times New Roman"/>
          <w:b/>
          <w:bCs/>
          <w:sz w:val="28"/>
          <w:szCs w:val="28"/>
        </w:rPr>
      </w:pPr>
      <w:r w:rsidRPr="004742E7">
        <w:rPr>
          <w:rFonts w:ascii="Times New Roman" w:hAnsi="Times New Roman" w:cs="Times New Roman"/>
          <w:b/>
          <w:bCs/>
          <w:sz w:val="28"/>
          <w:szCs w:val="28"/>
        </w:rPr>
        <w:t>SHISH</w:t>
      </w:r>
      <w:r w:rsidRPr="004742E7">
        <w:rPr>
          <w:rFonts w:ascii="Times New Roman" w:hAnsi="Times New Roman" w:cs="Times New Roman"/>
          <w:b/>
          <w:bCs/>
          <w:sz w:val="28"/>
          <w:szCs w:val="28"/>
        </w:rPr>
        <w:tab/>
        <w:t xml:space="preserve">  </w:t>
      </w:r>
      <w:r w:rsidRPr="004742E7">
        <w:rPr>
          <w:rFonts w:ascii="Times New Roman" w:hAnsi="Times New Roman" w:cs="Times New Roman"/>
          <w:sz w:val="28"/>
          <w:szCs w:val="28"/>
        </w:rPr>
        <w:t>Shërbimi Informativ i Shtetit</w:t>
      </w:r>
    </w:p>
    <w:p w14:paraId="3D963A98" w14:textId="188486EB"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BE</w:t>
      </w:r>
      <w:r w:rsidRPr="004742E7">
        <w:rPr>
          <w:rFonts w:ascii="Times New Roman" w:hAnsi="Times New Roman" w:cs="Times New Roman"/>
          <w:b/>
          <w:bCs/>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E4424E" w:rsidRPr="004742E7">
        <w:rPr>
          <w:rFonts w:ascii="Times New Roman" w:hAnsi="Times New Roman" w:cs="Times New Roman"/>
          <w:sz w:val="28"/>
          <w:szCs w:val="28"/>
        </w:rPr>
        <w:t xml:space="preserve"> </w:t>
      </w:r>
      <w:r w:rsidRPr="004742E7">
        <w:rPr>
          <w:rFonts w:ascii="Times New Roman" w:hAnsi="Times New Roman" w:cs="Times New Roman"/>
          <w:sz w:val="28"/>
          <w:szCs w:val="28"/>
        </w:rPr>
        <w:t>Bashkimi Evropian</w:t>
      </w:r>
    </w:p>
    <w:p w14:paraId="47529DC7" w14:textId="2F38952D"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OKB </w:t>
      </w:r>
      <w:r w:rsidRPr="004742E7">
        <w:rPr>
          <w:rFonts w:ascii="Times New Roman" w:hAnsi="Times New Roman" w:cs="Times New Roman"/>
          <w:b/>
          <w:bCs/>
          <w:sz w:val="28"/>
          <w:szCs w:val="28"/>
        </w:rPr>
        <w:tab/>
      </w:r>
      <w:r w:rsidRPr="004742E7">
        <w:rPr>
          <w:rFonts w:ascii="Times New Roman" w:hAnsi="Times New Roman" w:cs="Times New Roman"/>
          <w:b/>
          <w:bCs/>
          <w:sz w:val="28"/>
          <w:szCs w:val="28"/>
        </w:rPr>
        <w:tab/>
      </w:r>
      <w:r w:rsidR="008B31D4" w:rsidRPr="004742E7">
        <w:rPr>
          <w:rFonts w:ascii="Times New Roman" w:hAnsi="Times New Roman" w:cs="Times New Roman"/>
          <w:b/>
          <w:bCs/>
          <w:sz w:val="28"/>
          <w:szCs w:val="28"/>
        </w:rPr>
        <w:t xml:space="preserve"> </w:t>
      </w:r>
      <w:r w:rsidR="00E4424E" w:rsidRPr="004742E7">
        <w:rPr>
          <w:rFonts w:ascii="Times New Roman" w:hAnsi="Times New Roman" w:cs="Times New Roman"/>
          <w:b/>
          <w:bCs/>
          <w:sz w:val="28"/>
          <w:szCs w:val="28"/>
        </w:rPr>
        <w:t xml:space="preserve"> </w:t>
      </w:r>
      <w:r w:rsidRPr="004742E7">
        <w:rPr>
          <w:rFonts w:ascii="Times New Roman" w:hAnsi="Times New Roman" w:cs="Times New Roman"/>
          <w:sz w:val="28"/>
          <w:szCs w:val="28"/>
        </w:rPr>
        <w:t>Organizata e Kombeve të Bashkuara</w:t>
      </w:r>
    </w:p>
    <w:p w14:paraId="477BBCD9" w14:textId="28BFB4D8"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UNDP </w:t>
      </w:r>
      <w:r w:rsidRPr="004742E7">
        <w:rPr>
          <w:rFonts w:ascii="Times New Roman" w:hAnsi="Times New Roman" w:cs="Times New Roman"/>
          <w:b/>
          <w:bCs/>
          <w:sz w:val="28"/>
          <w:szCs w:val="28"/>
        </w:rPr>
        <w:tab/>
      </w:r>
      <w:r w:rsidR="008B31D4" w:rsidRPr="004742E7">
        <w:rPr>
          <w:rFonts w:ascii="Times New Roman" w:hAnsi="Times New Roman" w:cs="Times New Roman"/>
          <w:b/>
          <w:bCs/>
          <w:sz w:val="28"/>
          <w:szCs w:val="28"/>
        </w:rPr>
        <w:t xml:space="preserve"> </w:t>
      </w:r>
      <w:r w:rsidR="00E4424E" w:rsidRPr="004742E7">
        <w:rPr>
          <w:rFonts w:ascii="Times New Roman" w:hAnsi="Times New Roman" w:cs="Times New Roman"/>
          <w:b/>
          <w:bCs/>
          <w:sz w:val="28"/>
          <w:szCs w:val="28"/>
        </w:rPr>
        <w:t xml:space="preserve"> </w:t>
      </w:r>
      <w:r w:rsidRPr="004742E7">
        <w:rPr>
          <w:rFonts w:ascii="Times New Roman" w:hAnsi="Times New Roman" w:cs="Times New Roman"/>
          <w:sz w:val="28"/>
          <w:szCs w:val="28"/>
        </w:rPr>
        <w:t>Programi i Kombeve të Bashkuara për Zhvillim</w:t>
      </w:r>
    </w:p>
    <w:p w14:paraId="7108BDB3" w14:textId="5D897F9C"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OSBE</w:t>
      </w:r>
      <w:r w:rsidRPr="004742E7">
        <w:rPr>
          <w:rFonts w:ascii="Times New Roman" w:hAnsi="Times New Roman" w:cs="Times New Roman"/>
          <w:b/>
          <w:bCs/>
          <w:sz w:val="28"/>
          <w:szCs w:val="28"/>
        </w:rPr>
        <w:tab/>
      </w:r>
      <w:r w:rsidR="008B31D4" w:rsidRPr="004742E7">
        <w:rPr>
          <w:rFonts w:ascii="Times New Roman" w:hAnsi="Times New Roman" w:cs="Times New Roman"/>
          <w:b/>
          <w:bCs/>
          <w:sz w:val="28"/>
          <w:szCs w:val="28"/>
        </w:rPr>
        <w:t xml:space="preserve"> </w:t>
      </w:r>
      <w:r w:rsidR="00E4424E" w:rsidRPr="004742E7">
        <w:rPr>
          <w:rFonts w:ascii="Times New Roman" w:hAnsi="Times New Roman" w:cs="Times New Roman"/>
          <w:b/>
          <w:bCs/>
          <w:sz w:val="28"/>
          <w:szCs w:val="28"/>
        </w:rPr>
        <w:t xml:space="preserve"> </w:t>
      </w:r>
      <w:r w:rsidRPr="004742E7">
        <w:rPr>
          <w:rFonts w:ascii="Times New Roman" w:hAnsi="Times New Roman" w:cs="Times New Roman"/>
          <w:sz w:val="28"/>
          <w:szCs w:val="28"/>
        </w:rPr>
        <w:t>Organizata për Bashkëpunim dhe Siguri në Evropë</w:t>
      </w:r>
    </w:p>
    <w:p w14:paraId="7762794E" w14:textId="3E6011A4"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KiE </w:t>
      </w:r>
      <w:r w:rsidRPr="004742E7">
        <w:rPr>
          <w:rFonts w:ascii="Times New Roman" w:hAnsi="Times New Roman" w:cs="Times New Roman"/>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E4424E" w:rsidRPr="004742E7">
        <w:rPr>
          <w:rFonts w:ascii="Times New Roman" w:hAnsi="Times New Roman" w:cs="Times New Roman"/>
          <w:sz w:val="28"/>
          <w:szCs w:val="28"/>
        </w:rPr>
        <w:t xml:space="preserve"> </w:t>
      </w:r>
      <w:r w:rsidRPr="004742E7">
        <w:rPr>
          <w:rFonts w:ascii="Times New Roman" w:hAnsi="Times New Roman" w:cs="Times New Roman"/>
          <w:sz w:val="28"/>
          <w:szCs w:val="28"/>
        </w:rPr>
        <w:t>Këshilli i E</w:t>
      </w:r>
      <w:r w:rsidR="00053E5A" w:rsidRPr="004742E7">
        <w:rPr>
          <w:rFonts w:ascii="Times New Roman" w:hAnsi="Times New Roman" w:cs="Times New Roman"/>
          <w:sz w:val="28"/>
          <w:szCs w:val="28"/>
        </w:rPr>
        <w:t>v</w:t>
      </w:r>
      <w:r w:rsidRPr="004742E7">
        <w:rPr>
          <w:rFonts w:ascii="Times New Roman" w:hAnsi="Times New Roman" w:cs="Times New Roman"/>
          <w:sz w:val="28"/>
          <w:szCs w:val="28"/>
        </w:rPr>
        <w:t>ropës</w:t>
      </w:r>
    </w:p>
    <w:p w14:paraId="17D49A27" w14:textId="0CC45A14"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AVL</w:t>
      </w:r>
      <w:r w:rsidRPr="004742E7">
        <w:rPr>
          <w:rFonts w:ascii="Times New Roman" w:hAnsi="Times New Roman" w:cs="Times New Roman"/>
          <w:sz w:val="28"/>
          <w:szCs w:val="28"/>
        </w:rPr>
        <w:t xml:space="preserve"> </w:t>
      </w:r>
      <w:r w:rsidRPr="004742E7">
        <w:rPr>
          <w:rFonts w:ascii="Times New Roman" w:hAnsi="Times New Roman" w:cs="Times New Roman"/>
          <w:sz w:val="28"/>
          <w:szCs w:val="28"/>
        </w:rPr>
        <w:tab/>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E4424E" w:rsidRPr="004742E7">
        <w:rPr>
          <w:rFonts w:ascii="Times New Roman" w:hAnsi="Times New Roman" w:cs="Times New Roman"/>
          <w:sz w:val="28"/>
          <w:szCs w:val="28"/>
        </w:rPr>
        <w:t xml:space="preserve"> </w:t>
      </w:r>
      <w:r w:rsidRPr="004742E7">
        <w:rPr>
          <w:rFonts w:ascii="Times New Roman" w:hAnsi="Times New Roman" w:cs="Times New Roman"/>
          <w:sz w:val="28"/>
          <w:szCs w:val="28"/>
        </w:rPr>
        <w:t>Armët e Vogla dhe të Lehta</w:t>
      </w:r>
    </w:p>
    <w:p w14:paraId="505D125D" w14:textId="45EC03A2" w:rsidR="000A1F29" w:rsidRPr="004742E7" w:rsidRDefault="000A1F29" w:rsidP="00CF2F70">
      <w:pPr>
        <w:spacing w:line="276" w:lineRule="auto"/>
        <w:jc w:val="both"/>
        <w:rPr>
          <w:rFonts w:ascii="Times New Roman" w:hAnsi="Times New Roman" w:cs="Times New Roman"/>
          <w:sz w:val="28"/>
          <w:szCs w:val="28"/>
        </w:rPr>
      </w:pPr>
      <w:r w:rsidRPr="000A5B69">
        <w:rPr>
          <w:rFonts w:ascii="Times New Roman" w:hAnsi="Times New Roman" w:cs="Times New Roman"/>
          <w:b/>
          <w:bCs/>
          <w:sz w:val="28"/>
          <w:szCs w:val="28"/>
        </w:rPr>
        <w:t>AME</w:t>
      </w:r>
      <w:r w:rsidRPr="000A5B69">
        <w:rPr>
          <w:rFonts w:ascii="Times New Roman" w:hAnsi="Times New Roman" w:cs="Times New Roman"/>
          <w:b/>
          <w:bCs/>
          <w:sz w:val="28"/>
          <w:szCs w:val="28"/>
        </w:rPr>
        <w:tab/>
      </w:r>
      <w:r w:rsidRPr="000A5B69">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E4424E" w:rsidRPr="004742E7">
        <w:rPr>
          <w:rFonts w:ascii="Times New Roman" w:hAnsi="Times New Roman" w:cs="Times New Roman"/>
          <w:sz w:val="28"/>
          <w:szCs w:val="28"/>
        </w:rPr>
        <w:t xml:space="preserve"> </w:t>
      </w:r>
      <w:r w:rsidRPr="004742E7">
        <w:rPr>
          <w:rFonts w:ascii="Times New Roman" w:hAnsi="Times New Roman" w:cs="Times New Roman"/>
          <w:sz w:val="28"/>
          <w:szCs w:val="28"/>
        </w:rPr>
        <w:t>Armët, Municionet dhe Eksplozivët</w:t>
      </w:r>
    </w:p>
    <w:p w14:paraId="5233EFF9" w14:textId="11A894BC" w:rsidR="00A14F9A" w:rsidRPr="004742E7" w:rsidRDefault="00A14F9A" w:rsidP="00CF2F70">
      <w:pPr>
        <w:spacing w:line="276" w:lineRule="auto"/>
        <w:jc w:val="both"/>
        <w:rPr>
          <w:rFonts w:ascii="Times New Roman" w:hAnsi="Times New Roman" w:cs="Times New Roman"/>
          <w:b/>
          <w:bCs/>
          <w:sz w:val="28"/>
          <w:szCs w:val="28"/>
        </w:rPr>
      </w:pPr>
      <w:r w:rsidRPr="004742E7">
        <w:rPr>
          <w:rFonts w:ascii="Times New Roman" w:hAnsi="Times New Roman" w:cs="Times New Roman"/>
          <w:b/>
          <w:bCs/>
          <w:sz w:val="28"/>
          <w:szCs w:val="28"/>
        </w:rPr>
        <w:t xml:space="preserve">IPSIS            </w:t>
      </w:r>
      <w:r w:rsidRPr="004742E7">
        <w:rPr>
          <w:rFonts w:ascii="Times New Roman" w:hAnsi="Times New Roman" w:cs="Times New Roman"/>
          <w:sz w:val="28"/>
          <w:szCs w:val="28"/>
        </w:rPr>
        <w:t>Sistemi Informativ i Sistemit të Planifikimit të Integruar</w:t>
      </w:r>
    </w:p>
    <w:p w14:paraId="1D966A7B" w14:textId="19BE597A"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SELEC </w:t>
      </w:r>
      <w:r w:rsidRPr="004742E7">
        <w:rPr>
          <w:rFonts w:ascii="Times New Roman" w:hAnsi="Times New Roman" w:cs="Times New Roman"/>
          <w:b/>
          <w:bCs/>
          <w:sz w:val="28"/>
          <w:szCs w:val="28"/>
        </w:rPr>
        <w:tab/>
      </w:r>
      <w:r w:rsidR="008B31D4" w:rsidRPr="004742E7">
        <w:rPr>
          <w:rFonts w:ascii="Times New Roman" w:hAnsi="Times New Roman" w:cs="Times New Roman"/>
          <w:sz w:val="28"/>
          <w:szCs w:val="28"/>
        </w:rPr>
        <w:t xml:space="preserve"> </w:t>
      </w:r>
      <w:r w:rsidR="00A14F9A" w:rsidRPr="004742E7">
        <w:rPr>
          <w:rFonts w:ascii="Times New Roman" w:hAnsi="Times New Roman" w:cs="Times New Roman"/>
          <w:sz w:val="28"/>
          <w:szCs w:val="28"/>
        </w:rPr>
        <w:t xml:space="preserve"> </w:t>
      </w:r>
      <w:r w:rsidR="00E4424E" w:rsidRPr="004742E7">
        <w:rPr>
          <w:rFonts w:ascii="Times New Roman" w:hAnsi="Times New Roman" w:cs="Times New Roman"/>
          <w:sz w:val="28"/>
          <w:szCs w:val="28"/>
        </w:rPr>
        <w:t>Q</w:t>
      </w:r>
      <w:r w:rsidRPr="004742E7">
        <w:rPr>
          <w:rFonts w:ascii="Times New Roman" w:hAnsi="Times New Roman" w:cs="Times New Roman"/>
          <w:sz w:val="28"/>
          <w:szCs w:val="28"/>
        </w:rPr>
        <w:t>endra e Zbatimit të Ligjit e E</w:t>
      </w:r>
      <w:r w:rsidR="00053E5A" w:rsidRPr="004742E7">
        <w:rPr>
          <w:rFonts w:ascii="Times New Roman" w:hAnsi="Times New Roman" w:cs="Times New Roman"/>
          <w:sz w:val="28"/>
          <w:szCs w:val="28"/>
        </w:rPr>
        <w:t>v</w:t>
      </w:r>
      <w:r w:rsidRPr="004742E7">
        <w:rPr>
          <w:rFonts w:ascii="Times New Roman" w:hAnsi="Times New Roman" w:cs="Times New Roman"/>
          <w:sz w:val="28"/>
          <w:szCs w:val="28"/>
        </w:rPr>
        <w:t>ropës Juglindore</w:t>
      </w:r>
    </w:p>
    <w:p w14:paraId="72DD7E26" w14:textId="1FF71628"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 xml:space="preserve">SEESAC </w:t>
      </w:r>
      <w:r w:rsidRPr="004742E7">
        <w:rPr>
          <w:rFonts w:ascii="Times New Roman" w:hAnsi="Times New Roman" w:cs="Times New Roman"/>
          <w:sz w:val="28"/>
          <w:szCs w:val="28"/>
        </w:rPr>
        <w:tab/>
      </w:r>
      <w:r w:rsidR="00A14F9A" w:rsidRPr="004742E7">
        <w:rPr>
          <w:rFonts w:ascii="Times New Roman" w:hAnsi="Times New Roman" w:cs="Times New Roman"/>
          <w:sz w:val="28"/>
          <w:szCs w:val="28"/>
        </w:rPr>
        <w:t xml:space="preserve"> </w:t>
      </w:r>
      <w:r w:rsidR="008B31D4" w:rsidRPr="004742E7">
        <w:rPr>
          <w:rFonts w:ascii="Times New Roman" w:hAnsi="Times New Roman" w:cs="Times New Roman"/>
          <w:sz w:val="28"/>
          <w:szCs w:val="28"/>
        </w:rPr>
        <w:t xml:space="preserve"> </w:t>
      </w:r>
      <w:r w:rsidRPr="004742E7">
        <w:rPr>
          <w:rFonts w:ascii="Times New Roman" w:hAnsi="Times New Roman" w:cs="Times New Roman"/>
          <w:sz w:val="28"/>
          <w:szCs w:val="28"/>
        </w:rPr>
        <w:t xml:space="preserve">Zyra Qendrore e Evropës Lindore dhe Juglindore për Kontrollin e </w:t>
      </w:r>
    </w:p>
    <w:p w14:paraId="44B86DEC" w14:textId="15DB7A7F" w:rsidR="00A14F9A" w:rsidRPr="004742E7" w:rsidRDefault="00A14F9A" w:rsidP="00CF2F70">
      <w:pPr>
        <w:spacing w:line="276" w:lineRule="auto"/>
        <w:jc w:val="both"/>
        <w:rPr>
          <w:rFonts w:ascii="Times New Roman" w:hAnsi="Times New Roman" w:cs="Times New Roman"/>
          <w:sz w:val="28"/>
          <w:szCs w:val="28"/>
        </w:rPr>
      </w:pPr>
      <w:r w:rsidRPr="004742E7">
        <w:rPr>
          <w:rFonts w:ascii="Times New Roman" w:hAnsi="Times New Roman" w:cs="Times New Roman"/>
          <w:sz w:val="28"/>
          <w:szCs w:val="28"/>
        </w:rPr>
        <w:t xml:space="preserve">                      </w:t>
      </w:r>
      <w:r w:rsidR="00E4424E" w:rsidRPr="004742E7">
        <w:rPr>
          <w:rFonts w:ascii="Times New Roman" w:hAnsi="Times New Roman" w:cs="Times New Roman"/>
          <w:sz w:val="28"/>
          <w:szCs w:val="28"/>
        </w:rPr>
        <w:t xml:space="preserve"> </w:t>
      </w:r>
      <w:r w:rsidRPr="004742E7">
        <w:rPr>
          <w:rFonts w:ascii="Times New Roman" w:hAnsi="Times New Roman" w:cs="Times New Roman"/>
          <w:sz w:val="28"/>
          <w:szCs w:val="28"/>
        </w:rPr>
        <w:t>Armëve të Vogla dhe të Lehta</w:t>
      </w:r>
    </w:p>
    <w:p w14:paraId="363D6B92" w14:textId="380A836A"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SEEFEN</w:t>
      </w:r>
      <w:r w:rsidRPr="004742E7">
        <w:rPr>
          <w:rFonts w:ascii="Times New Roman" w:hAnsi="Times New Roman" w:cs="Times New Roman"/>
          <w:sz w:val="28"/>
          <w:szCs w:val="28"/>
        </w:rPr>
        <w:t xml:space="preserve"> </w:t>
      </w:r>
      <w:r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A14F9A" w:rsidRPr="004742E7">
        <w:rPr>
          <w:rFonts w:ascii="Times New Roman" w:hAnsi="Times New Roman" w:cs="Times New Roman"/>
          <w:sz w:val="28"/>
          <w:szCs w:val="28"/>
        </w:rPr>
        <w:t xml:space="preserve"> </w:t>
      </w:r>
      <w:r w:rsidRPr="004742E7">
        <w:rPr>
          <w:rFonts w:ascii="Times New Roman" w:hAnsi="Times New Roman" w:cs="Times New Roman"/>
          <w:sz w:val="28"/>
          <w:szCs w:val="28"/>
        </w:rPr>
        <w:t>Rrjeti i E</w:t>
      </w:r>
      <w:r w:rsidR="00053E5A" w:rsidRPr="004742E7">
        <w:rPr>
          <w:rFonts w:ascii="Times New Roman" w:hAnsi="Times New Roman" w:cs="Times New Roman"/>
          <w:sz w:val="28"/>
          <w:szCs w:val="28"/>
        </w:rPr>
        <w:t>v</w:t>
      </w:r>
      <w:r w:rsidRPr="004742E7">
        <w:rPr>
          <w:rFonts w:ascii="Times New Roman" w:hAnsi="Times New Roman" w:cs="Times New Roman"/>
          <w:sz w:val="28"/>
          <w:szCs w:val="28"/>
        </w:rPr>
        <w:t>ropës Juglindore i Ekspertëve të Armëve të Zjarrit</w:t>
      </w:r>
    </w:p>
    <w:p w14:paraId="6D548BF0" w14:textId="37565B6C" w:rsidR="000A1F29" w:rsidRPr="004742E7" w:rsidRDefault="000A1F29"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SEEFEG</w:t>
      </w:r>
      <w:r w:rsidRPr="004742E7">
        <w:rPr>
          <w:rFonts w:ascii="Times New Roman" w:hAnsi="Times New Roman" w:cs="Times New Roman"/>
          <w:sz w:val="28"/>
          <w:szCs w:val="28"/>
        </w:rPr>
        <w:tab/>
        <w:t xml:space="preserve"> </w:t>
      </w:r>
      <w:r w:rsidR="00A14F9A" w:rsidRPr="004742E7">
        <w:rPr>
          <w:rFonts w:ascii="Times New Roman" w:hAnsi="Times New Roman" w:cs="Times New Roman"/>
          <w:sz w:val="28"/>
          <w:szCs w:val="28"/>
        </w:rPr>
        <w:t xml:space="preserve"> </w:t>
      </w:r>
      <w:r w:rsidRPr="004742E7">
        <w:rPr>
          <w:rFonts w:ascii="Times New Roman" w:hAnsi="Times New Roman" w:cs="Times New Roman"/>
          <w:sz w:val="28"/>
          <w:szCs w:val="28"/>
        </w:rPr>
        <w:t>Grupi i E</w:t>
      </w:r>
      <w:r w:rsidR="00053E5A" w:rsidRPr="004742E7">
        <w:rPr>
          <w:rFonts w:ascii="Times New Roman" w:hAnsi="Times New Roman" w:cs="Times New Roman"/>
          <w:sz w:val="28"/>
          <w:szCs w:val="28"/>
        </w:rPr>
        <w:t>v</w:t>
      </w:r>
      <w:r w:rsidRPr="004742E7">
        <w:rPr>
          <w:rFonts w:ascii="Times New Roman" w:hAnsi="Times New Roman" w:cs="Times New Roman"/>
          <w:sz w:val="28"/>
          <w:szCs w:val="28"/>
        </w:rPr>
        <w:t>ropës Juglindore i Ekspertëve të Armëve të Zjarrit</w:t>
      </w:r>
    </w:p>
    <w:p w14:paraId="76A84FA9" w14:textId="1344C1C2" w:rsidR="003A43CC" w:rsidRDefault="003A43CC" w:rsidP="00CF2F70">
      <w:pPr>
        <w:spacing w:line="276" w:lineRule="auto"/>
        <w:jc w:val="both"/>
        <w:rPr>
          <w:rFonts w:ascii="Times New Roman" w:hAnsi="Times New Roman" w:cs="Times New Roman"/>
          <w:sz w:val="28"/>
          <w:szCs w:val="28"/>
        </w:rPr>
      </w:pPr>
      <w:r w:rsidRPr="004742E7">
        <w:rPr>
          <w:rFonts w:ascii="Times New Roman" w:hAnsi="Times New Roman" w:cs="Times New Roman"/>
          <w:b/>
          <w:bCs/>
          <w:sz w:val="28"/>
          <w:szCs w:val="28"/>
        </w:rPr>
        <w:t>N</w:t>
      </w:r>
      <w:r w:rsidR="000A1F29" w:rsidRPr="004742E7">
        <w:rPr>
          <w:rFonts w:ascii="Times New Roman" w:hAnsi="Times New Roman" w:cs="Times New Roman"/>
          <w:b/>
          <w:bCs/>
          <w:sz w:val="28"/>
          <w:szCs w:val="28"/>
        </w:rPr>
        <w:t>JQA</w:t>
      </w:r>
      <w:r w:rsidRPr="004742E7">
        <w:rPr>
          <w:rFonts w:ascii="Times New Roman" w:hAnsi="Times New Roman" w:cs="Times New Roman"/>
          <w:b/>
          <w:bCs/>
          <w:sz w:val="28"/>
          <w:szCs w:val="28"/>
        </w:rPr>
        <w:t>Z</w:t>
      </w:r>
      <w:r w:rsidR="000A1F29" w:rsidRPr="004742E7">
        <w:rPr>
          <w:rFonts w:ascii="Times New Roman" w:hAnsi="Times New Roman" w:cs="Times New Roman"/>
          <w:sz w:val="28"/>
          <w:szCs w:val="28"/>
        </w:rPr>
        <w:tab/>
      </w:r>
      <w:r w:rsidR="008B31D4" w:rsidRPr="004742E7">
        <w:rPr>
          <w:rFonts w:ascii="Times New Roman" w:hAnsi="Times New Roman" w:cs="Times New Roman"/>
          <w:sz w:val="28"/>
          <w:szCs w:val="28"/>
        </w:rPr>
        <w:t xml:space="preserve"> </w:t>
      </w:r>
      <w:r w:rsidR="00A14F9A" w:rsidRPr="004742E7">
        <w:rPr>
          <w:rFonts w:ascii="Times New Roman" w:hAnsi="Times New Roman" w:cs="Times New Roman"/>
          <w:sz w:val="28"/>
          <w:szCs w:val="28"/>
        </w:rPr>
        <w:t xml:space="preserve"> </w:t>
      </w:r>
      <w:r w:rsidR="000A1F29" w:rsidRPr="004742E7">
        <w:rPr>
          <w:rFonts w:ascii="Times New Roman" w:hAnsi="Times New Roman" w:cs="Times New Roman"/>
          <w:sz w:val="28"/>
          <w:szCs w:val="28"/>
        </w:rPr>
        <w:t>Njësia Qendrore për Armët e Zjarrit</w:t>
      </w:r>
    </w:p>
    <w:p w14:paraId="12F42FB3" w14:textId="77777777" w:rsidR="000A5B69" w:rsidRDefault="000A5B69" w:rsidP="00CF2F70">
      <w:pPr>
        <w:spacing w:line="276" w:lineRule="auto"/>
        <w:jc w:val="both"/>
        <w:rPr>
          <w:rFonts w:ascii="Times New Roman" w:hAnsi="Times New Roman" w:cs="Times New Roman"/>
          <w:sz w:val="28"/>
          <w:szCs w:val="28"/>
        </w:rPr>
      </w:pPr>
    </w:p>
    <w:p w14:paraId="0F616053" w14:textId="77777777" w:rsidR="000A5B69" w:rsidRDefault="000A5B69" w:rsidP="00CF2F70">
      <w:pPr>
        <w:spacing w:line="276" w:lineRule="auto"/>
        <w:jc w:val="both"/>
        <w:rPr>
          <w:rFonts w:ascii="Times New Roman" w:hAnsi="Times New Roman" w:cs="Times New Roman"/>
          <w:sz w:val="28"/>
          <w:szCs w:val="28"/>
        </w:rPr>
      </w:pPr>
    </w:p>
    <w:p w14:paraId="05D52D97" w14:textId="77777777" w:rsidR="003A43CC" w:rsidRDefault="003A43CC" w:rsidP="00CF2F70">
      <w:pPr>
        <w:spacing w:line="276" w:lineRule="auto"/>
        <w:jc w:val="both"/>
        <w:rPr>
          <w:rFonts w:ascii="Times New Roman" w:hAnsi="Times New Roman" w:cs="Times New Roman"/>
          <w:sz w:val="28"/>
          <w:szCs w:val="28"/>
        </w:rPr>
      </w:pPr>
    </w:p>
    <w:p w14:paraId="79436ABB" w14:textId="02B8BB76" w:rsidR="0050593E" w:rsidRPr="00682B8E" w:rsidRDefault="004652BA" w:rsidP="00CF2F70">
      <w:pPr>
        <w:spacing w:line="276" w:lineRule="auto"/>
        <w:jc w:val="both"/>
        <w:rPr>
          <w:rFonts w:ascii="Times New Roman" w:hAnsi="Times New Roman" w:cs="Times New Roman"/>
          <w:b/>
          <w:bCs/>
          <w:sz w:val="36"/>
          <w:szCs w:val="36"/>
        </w:rPr>
      </w:pPr>
      <w:r w:rsidRPr="00682B8E">
        <w:rPr>
          <w:rFonts w:ascii="Times New Roman" w:hAnsi="Times New Roman" w:cs="Times New Roman"/>
          <w:b/>
          <w:bCs/>
          <w:sz w:val="36"/>
          <w:szCs w:val="36"/>
        </w:rPr>
        <w:lastRenderedPageBreak/>
        <w:t xml:space="preserve">PJESA 1: </w:t>
      </w:r>
      <w:r w:rsidR="00682B8E" w:rsidRPr="00682B8E">
        <w:rPr>
          <w:rFonts w:ascii="Times New Roman" w:hAnsi="Times New Roman" w:cs="Times New Roman"/>
          <w:b/>
          <w:bCs/>
          <w:sz w:val="36"/>
          <w:szCs w:val="36"/>
        </w:rPr>
        <w:t>KONTEKSTI STRATEGJIK</w:t>
      </w:r>
    </w:p>
    <w:p w14:paraId="03505D0F" w14:textId="77777777" w:rsidR="00682B8E" w:rsidRDefault="00682B8E" w:rsidP="00CF2F70">
      <w:pPr>
        <w:spacing w:line="276" w:lineRule="auto"/>
        <w:jc w:val="both"/>
        <w:rPr>
          <w:rFonts w:ascii="Times New Roman" w:hAnsi="Times New Roman" w:cs="Times New Roman"/>
          <w:b/>
          <w:bCs/>
          <w:sz w:val="28"/>
          <w:szCs w:val="28"/>
        </w:rPr>
      </w:pPr>
    </w:p>
    <w:p w14:paraId="792C4A35" w14:textId="595011C9" w:rsidR="00682B8E" w:rsidRPr="00682B8E" w:rsidRDefault="00682B8E" w:rsidP="00300DC3">
      <w:pPr>
        <w:pStyle w:val="ListParagraph"/>
        <w:numPr>
          <w:ilvl w:val="0"/>
          <w:numId w:val="6"/>
        </w:numPr>
        <w:spacing w:line="276" w:lineRule="auto"/>
        <w:jc w:val="both"/>
        <w:rPr>
          <w:rFonts w:ascii="Times New Roman" w:hAnsi="Times New Roman" w:cs="Times New Roman"/>
          <w:b/>
          <w:bCs/>
          <w:sz w:val="32"/>
          <w:szCs w:val="32"/>
        </w:rPr>
      </w:pPr>
      <w:r w:rsidRPr="00682B8E">
        <w:rPr>
          <w:rFonts w:ascii="Times New Roman" w:hAnsi="Times New Roman" w:cs="Times New Roman"/>
          <w:b/>
          <w:bCs/>
          <w:sz w:val="32"/>
          <w:szCs w:val="32"/>
        </w:rPr>
        <w:t>Hyrje dhe Qëllimi</w:t>
      </w:r>
    </w:p>
    <w:p w14:paraId="0D9DBAC5" w14:textId="7B7E96BB" w:rsidR="00412E2F" w:rsidRPr="00CF2F70" w:rsidRDefault="00412E2F" w:rsidP="00CF2F70">
      <w:pPr>
        <w:spacing w:line="276" w:lineRule="auto"/>
        <w:jc w:val="both"/>
        <w:rPr>
          <w:rFonts w:ascii="Times New Roman" w:hAnsi="Times New Roman" w:cs="Times New Roman"/>
        </w:rPr>
      </w:pPr>
      <w:r w:rsidRPr="00CF2F70">
        <w:rPr>
          <w:rFonts w:ascii="Times New Roman" w:hAnsi="Times New Roman" w:cs="Times New Roman"/>
        </w:rPr>
        <w:t>Lufta kundër krimit dhe përmirësimi i rendit dhe sigurisë publike përbëjnë prioritete strategjike të Qeverisë së Shqipërisë. Prania e armëve të zjarrit dhe municioneve luftarake pa leje në duart e qytetarëve përbën një kërcënim serioz për jetën njerëzore dhe rendin publik, duke ndikuar negativisht në zhvillimin social dhe ekonomik të vendit. Pavarësisht tendencave rënëse në disa tregues, trafikimi dhe përdorimi i paligjshëm i armëve, eksplozivëve dhe prekursorëve të tyre vazhdon të jetë një sfidë madhore për sigurinë publike. Policia e Shtetit, duke e trajtuar këtë çështje si një rrezik me ndikim në sigurinë kombëtare dhe në kontekstin e luftës kundër terrorizmit, i ka kushtuar vëmendje të veçantë parandalimit dhe goditjes së veprimtarive kriminale që lidhen me armët, duke angazhuar burime dhe kapacitete të posaçme në funksion të menaxhimit efektiv dhe kontrollit të këtij fenomeni.</w:t>
      </w:r>
    </w:p>
    <w:p w14:paraId="0E980BE0" w14:textId="1F97F03A" w:rsidR="00412E2F" w:rsidRPr="00CF2F70" w:rsidRDefault="00412E2F" w:rsidP="00CF2F70">
      <w:pPr>
        <w:pStyle w:val="NormalWeb"/>
        <w:spacing w:line="276" w:lineRule="auto"/>
        <w:jc w:val="both"/>
      </w:pPr>
      <w:r w:rsidRPr="00CF2F70">
        <w:t xml:space="preserve">Prioriteti kryesor mbetet krijimi i një ambienti të sigurt për qytetarët, bizneset dhe shoqërinë në tërësi. Për këtë qëllim, strategjia dhe plani i veprimit </w:t>
      </w:r>
      <w:r w:rsidR="004F2FC0">
        <w:t xml:space="preserve">u </w:t>
      </w:r>
      <w:r w:rsidR="00742FB9" w:rsidRPr="00CF2F70">
        <w:t>hart</w:t>
      </w:r>
      <w:r w:rsidR="004F2FC0">
        <w:t>ua</w:t>
      </w:r>
      <w:r w:rsidR="00742FB9" w:rsidRPr="00CF2F70">
        <w:t xml:space="preserve"> në përputhje me Strategjinë Kombëtare për Zhvillim dhe Integrim Evropian 2022–2030 Programin e Qeverisë 2021–2025, në përputhje me Marrëveshjen e Stabilizim-Asociimit si dhe</w:t>
      </w:r>
      <w:r w:rsidR="00742FB9" w:rsidRPr="00CF2F70">
        <w:rPr>
          <w:bCs/>
        </w:rPr>
        <w:t xml:space="preserve"> me PKIE dhe ACQUIS të BE përkatësisht në kapitu</w:t>
      </w:r>
      <w:r w:rsidR="001B0386">
        <w:rPr>
          <w:bCs/>
        </w:rPr>
        <w:t>llin 31 dhe 24. Kjo strategji e</w:t>
      </w:r>
      <w:r w:rsidR="00742FB9" w:rsidRPr="00CF2F70">
        <w:rPr>
          <w:bCs/>
        </w:rPr>
        <w:t xml:space="preserve"> re gjithashtu </w:t>
      </w:r>
      <w:r w:rsidR="00742FB9" w:rsidRPr="00CF2F70">
        <w:t>d</w:t>
      </w:r>
      <w:r w:rsidRPr="00CF2F70">
        <w:t>o të sigurojë dhe monitorojë përmbushjen e detyrimeve të Shqipërisë sipas marrëveshjeve dhe dokumenteve ndërkombëtare në fushën e kontrollit të armëve, duke përfshirë Programin e Veprimit të OKB-së, Dokumentin e OSBE-së për armët e vogla dhe të lehta, Traktatin e Tregtisë së Armëve, Protokollin e OKB-së kundër prodhimit të paligjshëm dhe trafikimit të armëve të vogla dhe të lehta, si dhe Kodin e Sjelljes të BE-së. Gjithashtu, këto masa do të sigurojnë përputhjen me objektivat e zhvillimit të qëndrueshëm të OKB-së, duke rritur kontrollin, transparencën dhe bashkëpunimin ndërkombëtar në funksion të forcimit të sigurisë kombëtare dhe globale.</w:t>
      </w:r>
      <w:r w:rsidR="0050593E" w:rsidRPr="00CF2F70">
        <w:t xml:space="preserve"> </w:t>
      </w:r>
    </w:p>
    <w:p w14:paraId="150D7651" w14:textId="1305381B" w:rsidR="00412E2F" w:rsidRPr="00CF2F70" w:rsidRDefault="00412E2F" w:rsidP="00CF2F70">
      <w:pPr>
        <w:pStyle w:val="NormalWeb"/>
        <w:spacing w:line="276" w:lineRule="auto"/>
        <w:jc w:val="both"/>
      </w:pPr>
      <w:r w:rsidRPr="00CF2F70">
        <w:t>Republika e Shqipëria nëpërmjet miratimit të strategjisë së re në fushën e kontrollit të armëve të vogla e të lehta, municion</w:t>
      </w:r>
      <w:r w:rsidR="001B0386">
        <w:t>e</w:t>
      </w:r>
      <w:r w:rsidRPr="00CF2F70">
        <w:t>ve dhe eksplozivëve për periudhën 2025-2030 synon të forcojë kontrollin dhe menaxhimin e armëve të vogla dhe të lehta përmes një qasjeje të strukturuar dhe të harmonizuar me standardet e BE-së dhe detyrimet ndërkombëtare. Objektivat kryesore përfshijnë miratimin d</w:t>
      </w:r>
      <w:r w:rsidR="001B0386">
        <w:t>he zbatimin e një legjislacioni</w:t>
      </w:r>
      <w:r w:rsidRPr="00CF2F70">
        <w:t xml:space="preserve"> të plotë e të përditësuar, bazimin e politikave në analiza dhe statistika, si dhe uljen e ndjeshme të qarkullimit të paligjshëm të armëve, municioneve dhe eksplozivëve. Gjithashtu do të vijojnë të ndërmerren masa për reduktimin e ofertës dhe kërkesës për armë, shkatërrimin sistematik të arsenaleve të tepërta dhe forcimin e mekanizmave për parandalimin e trafikimit dhe devijimit të armëve drejt tregut të zi. Këto përpjekje synojnë të rrisin sigurinë kombëtare dhe rajonale, duke kontribuar njëkohësisht në stabilitetin dhe sigurinë e </w:t>
      </w:r>
      <w:r w:rsidRPr="00CF2F70">
        <w:lastRenderedPageBreak/>
        <w:t>Bashkimit Evropian drejt anëtarësimit në BE dhe përmbushjes së objektivave qeveritare Shqipëria 2030.</w:t>
      </w:r>
    </w:p>
    <w:p w14:paraId="2376DB0D" w14:textId="03F78543" w:rsidR="008B31D4" w:rsidRPr="00CF2F70" w:rsidRDefault="005D20D9" w:rsidP="00CF2F70">
      <w:pPr>
        <w:spacing w:line="276" w:lineRule="auto"/>
        <w:jc w:val="both"/>
        <w:rPr>
          <w:rFonts w:ascii="Times New Roman" w:hAnsi="Times New Roman" w:cs="Times New Roman"/>
        </w:rPr>
      </w:pPr>
      <w:r w:rsidRPr="00CF2F70">
        <w:rPr>
          <w:rFonts w:ascii="Times New Roman" w:hAnsi="Times New Roman" w:cs="Times New Roman"/>
        </w:rPr>
        <w:t xml:space="preserve">Qëllimi kryesor i kësaj Strategjie gjashtëvjeçare është kontrolli i plotë mbi armët e vogla dhe të lehta, municionet dhe eksplozivët, duke u bazuar në kërkesat vendore dhe standardet e BE-së, OKB-së dhe OSBE-së. Ky dokument strategjik ka për qëllim të caktojë orientime të përgjithshme për institucionet dhe agjencitë të cilat zbatojnë aktivitete të Strategjisë për vitet e ardhshme. Dokumenti paraqet vizionin e Qeverisë së Shqipërisë për kontrollin e armëve, municionit dhe eksplozivëve dhe planin përkatës të veprimit. Miratimi dhe zbatimi i Strategjisë dhe Planit të Veprimit, </w:t>
      </w:r>
      <w:r w:rsidR="001B0386">
        <w:rPr>
          <w:rFonts w:ascii="Times New Roman" w:hAnsi="Times New Roman" w:cs="Times New Roman"/>
        </w:rPr>
        <w:t>b</w:t>
      </w:r>
      <w:r w:rsidRPr="00CF2F70">
        <w:rPr>
          <w:rFonts w:ascii="Times New Roman" w:hAnsi="Times New Roman" w:cs="Times New Roman"/>
        </w:rPr>
        <w:t>ashkëpunimi ndërkombëtar në fushën e kontrollit dhe luftës kundër trafikimit të paligjshëm me AVL-të dhe Eksplozivët mbetet prioritet</w:t>
      </w:r>
      <w:r w:rsidR="001B0386">
        <w:rPr>
          <w:rFonts w:ascii="Times New Roman" w:hAnsi="Times New Roman" w:cs="Times New Roman"/>
        </w:rPr>
        <w:t>.</w:t>
      </w:r>
    </w:p>
    <w:p w14:paraId="1175A73C" w14:textId="40788B9F" w:rsidR="00B67CEC" w:rsidRDefault="00F515BD" w:rsidP="00CF2F70">
      <w:pPr>
        <w:pStyle w:val="NormalWeb"/>
        <w:spacing w:line="276" w:lineRule="auto"/>
        <w:jc w:val="both"/>
      </w:pPr>
      <w:r>
        <w:t>Gjithashtu qëllimi i</w:t>
      </w:r>
      <w:r w:rsidR="00B67CEC" w:rsidRPr="00CF2F70">
        <w:t xml:space="preserve"> kësaj strategjie të re është të vazhdojë të shërbejë si një dokument konsensual, i zhvilluar për të arritur një zgjidhje të qëndrueshme ndaj posedimit të paligjshëm, keqpërdorimit dhe trafikimit të armëve, municioneve dhe eksplozivëve në Shqipëri. Ky dokument përfaqëson një angazhim të qartë institucional për të adresuar sfidat aktuale në fushën e sigurisë dhe për të përmbushur objektivat e vendosura brenda një afati të përcaktuar, ku ofron një kuadër të përbashkët veprimi për performancën e pritshme dhe përcakton nivelin e angazhimit të kërkuar në planin strategjik, politik dhe operacional, në përputhje me detyrimet që burojnë nga Programi i Veprimit i OKB-së për të Parandaluar, Luftuar dhe Çrrënjosur Tregtinë e Paligjshme të Armëve të Vogla dhe të Lehta, Traktati për Tregtinë e Armëve, si dhe Protokolli i OKB-së kundër Prodhimit dhe Trafikimit të Paligjshëm të Armëve të Zjarrit, Pjesëve dhe Komponentëve të </w:t>
      </w:r>
      <w:r w:rsidR="00AC0824">
        <w:t>t</w:t>
      </w:r>
      <w:r w:rsidR="00B67CEC" w:rsidRPr="00CF2F70">
        <w:t>yre dhe Municionit.</w:t>
      </w:r>
    </w:p>
    <w:p w14:paraId="27BA4AE6" w14:textId="77777777" w:rsidR="004F2FC0" w:rsidRDefault="004F2FC0" w:rsidP="00CF2F70">
      <w:pPr>
        <w:pStyle w:val="NormalWeb"/>
        <w:spacing w:line="276" w:lineRule="auto"/>
        <w:jc w:val="both"/>
      </w:pPr>
    </w:p>
    <w:p w14:paraId="6D8F6585" w14:textId="77777777" w:rsidR="004F2FC0" w:rsidRDefault="004F2FC0" w:rsidP="00CF2F70">
      <w:pPr>
        <w:pStyle w:val="NormalWeb"/>
        <w:spacing w:line="276" w:lineRule="auto"/>
        <w:jc w:val="both"/>
      </w:pPr>
    </w:p>
    <w:p w14:paraId="179E028C" w14:textId="77777777" w:rsidR="004F2FC0" w:rsidRDefault="004F2FC0" w:rsidP="00CF2F70">
      <w:pPr>
        <w:pStyle w:val="NormalWeb"/>
        <w:spacing w:line="276" w:lineRule="auto"/>
        <w:jc w:val="both"/>
      </w:pPr>
    </w:p>
    <w:p w14:paraId="2AF4EBE7" w14:textId="77777777" w:rsidR="004F2FC0" w:rsidRDefault="004F2FC0" w:rsidP="00CF2F70">
      <w:pPr>
        <w:pStyle w:val="NormalWeb"/>
        <w:spacing w:line="276" w:lineRule="auto"/>
        <w:jc w:val="both"/>
      </w:pPr>
    </w:p>
    <w:p w14:paraId="63B33220" w14:textId="77777777" w:rsidR="004F2FC0" w:rsidRDefault="004F2FC0" w:rsidP="00CF2F70">
      <w:pPr>
        <w:pStyle w:val="NormalWeb"/>
        <w:spacing w:line="276" w:lineRule="auto"/>
        <w:jc w:val="both"/>
      </w:pPr>
    </w:p>
    <w:p w14:paraId="7578C229" w14:textId="77777777" w:rsidR="004F2FC0" w:rsidRDefault="004F2FC0" w:rsidP="00CF2F70">
      <w:pPr>
        <w:pStyle w:val="NormalWeb"/>
        <w:spacing w:line="276" w:lineRule="auto"/>
        <w:jc w:val="both"/>
      </w:pPr>
    </w:p>
    <w:p w14:paraId="67C72843" w14:textId="77777777" w:rsidR="004F2FC0" w:rsidRDefault="004F2FC0" w:rsidP="00CF2F70">
      <w:pPr>
        <w:pStyle w:val="NormalWeb"/>
        <w:spacing w:line="276" w:lineRule="auto"/>
        <w:jc w:val="both"/>
      </w:pPr>
    </w:p>
    <w:p w14:paraId="34F4C8F1" w14:textId="77777777" w:rsidR="004F2FC0" w:rsidRDefault="004F2FC0" w:rsidP="00CF2F70">
      <w:pPr>
        <w:pStyle w:val="NormalWeb"/>
        <w:spacing w:line="276" w:lineRule="auto"/>
        <w:jc w:val="both"/>
      </w:pPr>
    </w:p>
    <w:p w14:paraId="667EF7C2" w14:textId="77777777" w:rsidR="004F2FC0" w:rsidRPr="00CF2F70" w:rsidRDefault="004F2FC0" w:rsidP="00CF2F70">
      <w:pPr>
        <w:pStyle w:val="NormalWeb"/>
        <w:spacing w:line="276" w:lineRule="auto"/>
        <w:jc w:val="both"/>
      </w:pPr>
    </w:p>
    <w:p w14:paraId="699D657D" w14:textId="5970CA10" w:rsidR="00B67CEC" w:rsidRPr="00AE255F" w:rsidRDefault="00AE255F" w:rsidP="00AE255F">
      <w:pPr>
        <w:jc w:val="both"/>
        <w:rPr>
          <w:rFonts w:ascii="Times New Roman" w:hAnsi="Times New Roman" w:cs="Times New Roman"/>
          <w:b/>
          <w:bCs/>
          <w:sz w:val="32"/>
          <w:szCs w:val="32"/>
        </w:rPr>
      </w:pPr>
      <w:r>
        <w:rPr>
          <w:rFonts w:ascii="Times New Roman" w:hAnsi="Times New Roman" w:cs="Times New Roman"/>
          <w:b/>
          <w:bCs/>
          <w:sz w:val="32"/>
          <w:szCs w:val="32"/>
        </w:rPr>
        <w:lastRenderedPageBreak/>
        <w:t>2.</w:t>
      </w:r>
      <w:r w:rsidR="00682B8E" w:rsidRPr="00AE255F">
        <w:rPr>
          <w:rFonts w:ascii="Times New Roman" w:hAnsi="Times New Roman" w:cs="Times New Roman"/>
          <w:b/>
          <w:bCs/>
          <w:sz w:val="32"/>
          <w:szCs w:val="32"/>
        </w:rPr>
        <w:t xml:space="preserve">Kuadri Ligjor, Institucional, Arritjet </w:t>
      </w:r>
    </w:p>
    <w:p w14:paraId="38FFBACD" w14:textId="77777777" w:rsidR="00742FB9" w:rsidRPr="00CF2F70" w:rsidRDefault="00742FB9" w:rsidP="00CF2F70">
      <w:pPr>
        <w:jc w:val="both"/>
        <w:rPr>
          <w:rFonts w:ascii="Times New Roman" w:hAnsi="Times New Roman" w:cs="Times New Roman"/>
        </w:rPr>
      </w:pPr>
    </w:p>
    <w:p w14:paraId="463AD125" w14:textId="471B35F2" w:rsidR="00742FB9" w:rsidRPr="00682B8E" w:rsidRDefault="00682B8E" w:rsidP="00CF2F70">
      <w:pPr>
        <w:jc w:val="both"/>
        <w:rPr>
          <w:rFonts w:ascii="Times New Roman" w:hAnsi="Times New Roman" w:cs="Times New Roman"/>
          <w:b/>
          <w:bCs/>
          <w:sz w:val="28"/>
          <w:szCs w:val="28"/>
        </w:rPr>
      </w:pPr>
      <w:r w:rsidRPr="00682B8E">
        <w:rPr>
          <w:rFonts w:ascii="Times New Roman" w:hAnsi="Times New Roman" w:cs="Times New Roman"/>
          <w:b/>
          <w:bCs/>
          <w:sz w:val="28"/>
          <w:szCs w:val="28"/>
        </w:rPr>
        <w:t>2.1 Kuadri Ligjor</w:t>
      </w:r>
    </w:p>
    <w:p w14:paraId="0F122B0A" w14:textId="77777777" w:rsidR="00682B8E" w:rsidRPr="004742E7" w:rsidRDefault="00682B8E" w:rsidP="00682B8E">
      <w:pPr>
        <w:spacing w:line="276" w:lineRule="auto"/>
        <w:jc w:val="both"/>
        <w:rPr>
          <w:rFonts w:ascii="Times New Roman" w:hAnsi="Times New Roman" w:cs="Times New Roman"/>
        </w:rPr>
      </w:pPr>
      <w:r w:rsidRPr="004742E7">
        <w:rPr>
          <w:rFonts w:ascii="Times New Roman" w:hAnsi="Times New Roman" w:cs="Times New Roman"/>
        </w:rPr>
        <w:t xml:space="preserve">Në fushën e kontrollit të AVL-ve dhe Eksplozivëve, Republika e Shqipërisë ka në zbatim një bazë të gjerë ligjore, si: </w:t>
      </w:r>
    </w:p>
    <w:p w14:paraId="4709D495"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 xml:space="preserve">Kushtetuta e Republikës së Shqipërisë, e ndryshuar; </w:t>
      </w:r>
    </w:p>
    <w:p w14:paraId="5F2D2993"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Ligji nr. 7895, datë 27.1.1995 "Kodi Penal i Republikës së Shqipërisë", i ndryshuar;</w:t>
      </w:r>
    </w:p>
    <w:p w14:paraId="62A0D740"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Ligji nr. 7905, datë 21.03.1995 “Kodi i Procedurës Penale të RSH, i ndryshuar;</w:t>
      </w:r>
    </w:p>
    <w:p w14:paraId="4F6E8CD6" w14:textId="49BFFFC1" w:rsidR="00682B8E" w:rsidRPr="004D114F" w:rsidRDefault="00570157" w:rsidP="00300DC3">
      <w:pPr>
        <w:pStyle w:val="ListParagraph"/>
        <w:numPr>
          <w:ilvl w:val="0"/>
          <w:numId w:val="1"/>
        </w:numPr>
        <w:spacing w:after="0" w:line="360" w:lineRule="auto"/>
        <w:jc w:val="both"/>
        <w:rPr>
          <w:rFonts w:ascii="Times New Roman" w:hAnsi="Times New Roman" w:cs="Times New Roman"/>
        </w:rPr>
      </w:pPr>
      <w:r w:rsidRPr="004D114F">
        <w:rPr>
          <w:rFonts w:ascii="Times New Roman" w:hAnsi="Times New Roman" w:cs="Times New Roman"/>
        </w:rPr>
        <w:t>L</w:t>
      </w:r>
      <w:r w:rsidR="00AC0824" w:rsidRPr="004D114F">
        <w:rPr>
          <w:rFonts w:ascii="Times New Roman" w:hAnsi="Times New Roman" w:cs="Times New Roman"/>
        </w:rPr>
        <w:t>igji</w:t>
      </w:r>
      <w:r w:rsidRPr="004D114F">
        <w:rPr>
          <w:rFonts w:ascii="Times New Roman" w:hAnsi="Times New Roman" w:cs="Times New Roman"/>
        </w:rPr>
        <w:t xml:space="preserve"> Nr. 124/2024 “Për mbrojtjen e të dhënave personale”.</w:t>
      </w:r>
    </w:p>
    <w:p w14:paraId="5F1DDEBC"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 xml:space="preserve">Ligji nr. 24/2024 “Për Policinë e Shtetit”, </w:t>
      </w:r>
    </w:p>
    <w:p w14:paraId="17F6A8D8"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eastAsia="Times New Roman" w:hAnsi="Times New Roman" w:cs="Times New Roman"/>
          <w:color w:val="000000"/>
        </w:rPr>
        <w:t>Ligj nr. 87/2024</w:t>
      </w:r>
      <w:r w:rsidRPr="004742E7">
        <w:rPr>
          <w:rFonts w:ascii="Times New Roman" w:eastAsia="Times New Roman" w:hAnsi="Times New Roman" w:cs="Times New Roman"/>
          <w:bCs/>
          <w:color w:val="000000"/>
        </w:rPr>
        <w:t xml:space="preserve"> “Për rregullimin e prodhimit, tregtimit, kërkimit dhe zhvillimit të armëve”, municioneve, pajisjeve dhe teknologjive ushtarake”;</w:t>
      </w:r>
    </w:p>
    <w:p w14:paraId="6CB81213"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 xml:space="preserve">Ligji nr. 43/2016 “Për marrëveshjet ndërkombëtare në Republikën e Shqipërisë”; </w:t>
      </w:r>
    </w:p>
    <w:p w14:paraId="6C9A582A"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 xml:space="preserve">Ligji nr. 71/2016 “Për kontrollin kufitar”; </w:t>
      </w:r>
    </w:p>
    <w:p w14:paraId="4FBE652D" w14:textId="0D3C1F99" w:rsidR="00B11BB7" w:rsidRPr="000A5B69" w:rsidRDefault="00B11BB7" w:rsidP="00300DC3">
      <w:pPr>
        <w:pStyle w:val="ListParagraph"/>
        <w:numPr>
          <w:ilvl w:val="0"/>
          <w:numId w:val="1"/>
        </w:numPr>
        <w:spacing w:after="0" w:line="360" w:lineRule="auto"/>
        <w:jc w:val="both"/>
        <w:rPr>
          <w:rFonts w:ascii="Times New Roman" w:hAnsi="Times New Roman" w:cs="Times New Roman"/>
        </w:rPr>
      </w:pPr>
      <w:r w:rsidRPr="000A5B69">
        <w:rPr>
          <w:rFonts w:ascii="Times New Roman" w:hAnsi="Times New Roman" w:cs="Times New Roman"/>
        </w:rPr>
        <w:t>Ligji nr. 74/2014 “Për Armët”, i ndryshuar.</w:t>
      </w:r>
    </w:p>
    <w:p w14:paraId="2A36C7FC"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rPr>
        <w:t xml:space="preserve">Ligji </w:t>
      </w:r>
      <w:r w:rsidRPr="004742E7">
        <w:rPr>
          <w:rFonts w:ascii="Times New Roman" w:hAnsi="Times New Roman" w:cs="Times New Roman"/>
          <w:bCs/>
        </w:rPr>
        <w:t>nr. 61/2016 “Për shpalljen e moratoriumit të gjuetisë në Republikën e Shqipërisë”.</w:t>
      </w:r>
    </w:p>
    <w:p w14:paraId="12A2CF5D"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bCs/>
        </w:rPr>
        <w:t>Ligji</w:t>
      </w:r>
      <w:r w:rsidRPr="004742E7">
        <w:rPr>
          <w:rFonts w:ascii="Times New Roman" w:hAnsi="Times New Roman" w:cs="Times New Roman"/>
        </w:rPr>
        <w:t xml:space="preserve"> nr. 60/2022 “Për shpalljen e moratoriumit të gjuetisë në Republikën e Shqipërisë”;</w:t>
      </w:r>
    </w:p>
    <w:p w14:paraId="0AF9DAD6"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hAnsi="Times New Roman" w:cs="Times New Roman"/>
          <w:bCs/>
          <w:color w:val="000000"/>
        </w:rPr>
        <w:t>Ligji</w:t>
      </w:r>
      <w:r w:rsidRPr="004742E7">
        <w:rPr>
          <w:rFonts w:ascii="Times New Roman" w:hAnsi="Times New Roman" w:cs="Times New Roman"/>
          <w:color w:val="000000"/>
        </w:rPr>
        <w:t xml:space="preserve"> nr. 6/2014 “Për ratifikimin e “Traktatit për tregtimin e armëve të vogla”;</w:t>
      </w:r>
    </w:p>
    <w:p w14:paraId="2E4CF220" w14:textId="77777777" w:rsidR="00682B8E" w:rsidRPr="004742E7" w:rsidRDefault="00682B8E" w:rsidP="00300DC3">
      <w:pPr>
        <w:pStyle w:val="ListParagraph"/>
        <w:numPr>
          <w:ilvl w:val="0"/>
          <w:numId w:val="1"/>
        </w:numPr>
        <w:spacing w:after="0" w:line="360" w:lineRule="auto"/>
        <w:jc w:val="both"/>
        <w:rPr>
          <w:rFonts w:ascii="Times New Roman" w:hAnsi="Times New Roman" w:cs="Times New Roman"/>
        </w:rPr>
      </w:pPr>
      <w:r w:rsidRPr="004742E7">
        <w:rPr>
          <w:rFonts w:ascii="Times New Roman" w:eastAsia="Times New Roman" w:hAnsi="Times New Roman" w:cs="Times New Roman"/>
          <w:color w:val="000000"/>
        </w:rPr>
        <w:t>Ligji nr. 46/2018, datë 23.07.2018</w:t>
      </w:r>
      <w:r w:rsidRPr="004742E7">
        <w:rPr>
          <w:rFonts w:ascii="Times New Roman" w:eastAsia="Times New Roman" w:hAnsi="Times New Roman" w:cs="Times New Roman"/>
          <w:b/>
          <w:bCs/>
          <w:color w:val="000000"/>
        </w:rPr>
        <w:t xml:space="preserve"> </w:t>
      </w:r>
      <w:r w:rsidRPr="004742E7">
        <w:rPr>
          <w:rFonts w:ascii="Times New Roman" w:eastAsia="Times New Roman" w:hAnsi="Times New Roman" w:cs="Times New Roman"/>
          <w:color w:val="000000"/>
        </w:rPr>
        <w:t>"Për kontrollin shtetëror të transferimeve ndërkombëtare; të mallrave ushtarake dhe të artikujve e teknologjive me përdorim të dyfishtë;</w:t>
      </w:r>
    </w:p>
    <w:p w14:paraId="58F179CF" w14:textId="77777777" w:rsidR="00682B8E" w:rsidRDefault="00682B8E" w:rsidP="00300DC3">
      <w:pPr>
        <w:pStyle w:val="ListParagraph"/>
        <w:numPr>
          <w:ilvl w:val="0"/>
          <w:numId w:val="1"/>
        </w:numPr>
        <w:spacing w:after="0" w:line="276" w:lineRule="auto"/>
        <w:ind w:right="-18"/>
        <w:jc w:val="both"/>
        <w:rPr>
          <w:rFonts w:ascii="Times New Roman" w:hAnsi="Times New Roman" w:cs="Times New Roman"/>
          <w:bCs/>
        </w:rPr>
      </w:pPr>
      <w:r w:rsidRPr="004742E7">
        <w:rPr>
          <w:rFonts w:ascii="Times New Roman" w:hAnsi="Times New Roman" w:cs="Times New Roman"/>
          <w:bCs/>
        </w:rPr>
        <w:t>Ligji nr. 74/2021 “Për hedhjen në treg dhe mbikëqyrjen e lëndëve plasëse për përdorim civil”;</w:t>
      </w:r>
    </w:p>
    <w:p w14:paraId="122BA2C6" w14:textId="77777777" w:rsidR="000A5B69" w:rsidRPr="004742E7" w:rsidRDefault="000A5B69" w:rsidP="000A5B69">
      <w:pPr>
        <w:pStyle w:val="ListParagraph"/>
        <w:spacing w:after="0" w:line="276" w:lineRule="auto"/>
        <w:ind w:right="-18"/>
        <w:jc w:val="both"/>
        <w:rPr>
          <w:rFonts w:ascii="Times New Roman" w:hAnsi="Times New Roman" w:cs="Times New Roman"/>
          <w:bCs/>
        </w:rPr>
      </w:pPr>
    </w:p>
    <w:p w14:paraId="61B481E7" w14:textId="77777777" w:rsidR="00682B8E" w:rsidRDefault="00682B8E" w:rsidP="00300DC3">
      <w:pPr>
        <w:pStyle w:val="ListParagraph"/>
        <w:numPr>
          <w:ilvl w:val="0"/>
          <w:numId w:val="1"/>
        </w:numPr>
        <w:spacing w:after="0" w:line="276" w:lineRule="auto"/>
        <w:ind w:right="-18"/>
        <w:jc w:val="both"/>
        <w:rPr>
          <w:rFonts w:ascii="Times New Roman" w:hAnsi="Times New Roman" w:cs="Times New Roman"/>
          <w:bCs/>
        </w:rPr>
      </w:pPr>
      <w:r w:rsidRPr="004742E7">
        <w:rPr>
          <w:rFonts w:ascii="Times New Roman" w:hAnsi="Times New Roman" w:cs="Times New Roman"/>
          <w:bCs/>
        </w:rPr>
        <w:t>Ligji nr. 73/2021 “Për hedhjen në treg dhe mbikëqyrjen e artikujve piroteknikë”;</w:t>
      </w:r>
    </w:p>
    <w:p w14:paraId="1E658636" w14:textId="77777777" w:rsidR="000A5B69" w:rsidRPr="000A5B69" w:rsidRDefault="000A5B69" w:rsidP="000A5B69">
      <w:pPr>
        <w:spacing w:after="0" w:line="276" w:lineRule="auto"/>
        <w:ind w:right="-18"/>
        <w:jc w:val="both"/>
        <w:rPr>
          <w:rFonts w:ascii="Times New Roman" w:hAnsi="Times New Roman" w:cs="Times New Roman"/>
          <w:bCs/>
        </w:rPr>
      </w:pPr>
    </w:p>
    <w:p w14:paraId="2767886D" w14:textId="4852E9ED" w:rsidR="000A5B69" w:rsidRDefault="00682B8E" w:rsidP="00300DC3">
      <w:pPr>
        <w:pStyle w:val="ListParagraph"/>
        <w:numPr>
          <w:ilvl w:val="0"/>
          <w:numId w:val="1"/>
        </w:numPr>
        <w:shd w:val="clear" w:color="auto" w:fill="FFFFFF"/>
        <w:spacing w:after="0" w:line="276" w:lineRule="auto"/>
        <w:jc w:val="both"/>
        <w:rPr>
          <w:rFonts w:ascii="Times New Roman" w:hAnsi="Times New Roman" w:cs="Times New Roman"/>
          <w:bCs/>
        </w:rPr>
      </w:pPr>
      <w:r w:rsidRPr="004742E7">
        <w:rPr>
          <w:rFonts w:ascii="Times New Roman" w:hAnsi="Times New Roman" w:cs="Times New Roman"/>
          <w:bCs/>
        </w:rPr>
        <w:t>Ligji nr. 75/2014 “Për Shërbimin privat të sigurisë fizike”</w:t>
      </w:r>
      <w:r w:rsidR="00B11BB7" w:rsidRPr="004742E7">
        <w:rPr>
          <w:rFonts w:ascii="Times New Roman" w:hAnsi="Times New Roman" w:cs="Times New Roman"/>
          <w:bCs/>
        </w:rPr>
        <w:t xml:space="preserve">, </w:t>
      </w:r>
      <w:r w:rsidR="00B11BB7" w:rsidRPr="000A5B69">
        <w:rPr>
          <w:rFonts w:ascii="Times New Roman" w:hAnsi="Times New Roman" w:cs="Times New Roman"/>
          <w:bCs/>
        </w:rPr>
        <w:t>i ndryshuar</w:t>
      </w:r>
      <w:r w:rsidRPr="000A5B69">
        <w:rPr>
          <w:rFonts w:ascii="Times New Roman" w:hAnsi="Times New Roman" w:cs="Times New Roman"/>
          <w:bCs/>
        </w:rPr>
        <w:t xml:space="preserve">. </w:t>
      </w:r>
    </w:p>
    <w:p w14:paraId="0032BCEA" w14:textId="77777777" w:rsidR="000A5B69" w:rsidRPr="000A5B69" w:rsidRDefault="000A5B69" w:rsidP="000A5B69">
      <w:pPr>
        <w:shd w:val="clear" w:color="auto" w:fill="FFFFFF"/>
        <w:spacing w:after="0" w:line="276" w:lineRule="auto"/>
        <w:jc w:val="both"/>
        <w:rPr>
          <w:rFonts w:ascii="Times New Roman" w:hAnsi="Times New Roman" w:cs="Times New Roman"/>
          <w:bCs/>
        </w:rPr>
      </w:pPr>
    </w:p>
    <w:p w14:paraId="18C9A237" w14:textId="450794EC" w:rsidR="00682B8E" w:rsidRDefault="00682B8E" w:rsidP="00300DC3">
      <w:pPr>
        <w:pStyle w:val="ListParagraph"/>
        <w:numPr>
          <w:ilvl w:val="0"/>
          <w:numId w:val="1"/>
        </w:numPr>
        <w:shd w:val="clear" w:color="auto" w:fill="FFFFFF"/>
        <w:spacing w:after="0" w:line="276" w:lineRule="auto"/>
        <w:jc w:val="both"/>
        <w:rPr>
          <w:rFonts w:ascii="Times New Roman" w:hAnsi="Times New Roman" w:cs="Times New Roman"/>
          <w:bCs/>
        </w:rPr>
      </w:pPr>
      <w:r w:rsidRPr="004742E7">
        <w:rPr>
          <w:rFonts w:ascii="Times New Roman" w:hAnsi="Times New Roman" w:cs="Times New Roman"/>
          <w:bCs/>
        </w:rPr>
        <w:t>Ligji nr. 72/2014  “Për përdorimin e armëve të zjarrit”</w:t>
      </w:r>
      <w:r w:rsidR="000A5B69">
        <w:rPr>
          <w:rFonts w:ascii="Times New Roman" w:hAnsi="Times New Roman" w:cs="Times New Roman"/>
          <w:bCs/>
        </w:rPr>
        <w:t>;</w:t>
      </w:r>
    </w:p>
    <w:p w14:paraId="242B6C1E" w14:textId="77777777" w:rsidR="000A5B69" w:rsidRPr="000A5B69" w:rsidRDefault="000A5B69" w:rsidP="000A5B69">
      <w:pPr>
        <w:shd w:val="clear" w:color="auto" w:fill="FFFFFF"/>
        <w:spacing w:after="0" w:line="276" w:lineRule="auto"/>
        <w:jc w:val="both"/>
        <w:rPr>
          <w:rFonts w:ascii="Times New Roman" w:hAnsi="Times New Roman" w:cs="Times New Roman"/>
          <w:bCs/>
        </w:rPr>
      </w:pPr>
    </w:p>
    <w:p w14:paraId="3ED47464" w14:textId="77777777" w:rsidR="00682B8E" w:rsidRDefault="00682B8E" w:rsidP="00300DC3">
      <w:pPr>
        <w:pStyle w:val="ListParagraph"/>
        <w:numPr>
          <w:ilvl w:val="0"/>
          <w:numId w:val="1"/>
        </w:numPr>
        <w:shd w:val="clear" w:color="auto" w:fill="FFFFFF"/>
        <w:spacing w:after="0" w:line="276" w:lineRule="auto"/>
        <w:jc w:val="both"/>
        <w:rPr>
          <w:rFonts w:ascii="Times New Roman" w:hAnsi="Times New Roman" w:cs="Times New Roman"/>
          <w:bCs/>
        </w:rPr>
      </w:pPr>
      <w:r w:rsidRPr="004742E7">
        <w:rPr>
          <w:rFonts w:ascii="Times New Roman" w:hAnsi="Times New Roman" w:cs="Times New Roman"/>
          <w:bCs/>
        </w:rPr>
        <w:t>Ligji 8/2020 “Për policinë e burgjeve”i ndryshuar;</w:t>
      </w:r>
    </w:p>
    <w:p w14:paraId="444AC820" w14:textId="77777777" w:rsidR="00DF2D16" w:rsidRPr="00DF2D16" w:rsidRDefault="00DF2D16" w:rsidP="00DF2D16">
      <w:pPr>
        <w:pStyle w:val="ListParagraph"/>
        <w:rPr>
          <w:rFonts w:ascii="Times New Roman" w:hAnsi="Times New Roman" w:cs="Times New Roman"/>
          <w:bCs/>
        </w:rPr>
      </w:pPr>
    </w:p>
    <w:p w14:paraId="0C62C5CC" w14:textId="77777777" w:rsidR="00DF2D16" w:rsidRPr="004742E7" w:rsidRDefault="00DF2D16" w:rsidP="00300DC3">
      <w:pPr>
        <w:pStyle w:val="ListParagraph"/>
        <w:numPr>
          <w:ilvl w:val="0"/>
          <w:numId w:val="1"/>
        </w:numPr>
        <w:shd w:val="clear" w:color="auto" w:fill="FFFFFF"/>
        <w:spacing w:after="0" w:line="276" w:lineRule="auto"/>
        <w:jc w:val="both"/>
        <w:rPr>
          <w:rFonts w:ascii="Times New Roman" w:hAnsi="Times New Roman" w:cs="Times New Roman"/>
          <w:bCs/>
        </w:rPr>
      </w:pPr>
    </w:p>
    <w:p w14:paraId="7781FAB0" w14:textId="77777777" w:rsidR="00682B8E" w:rsidRPr="004742E7" w:rsidRDefault="00682B8E" w:rsidP="00682B8E">
      <w:pPr>
        <w:pStyle w:val="ListParagraph"/>
        <w:shd w:val="clear" w:color="auto" w:fill="FFFFFF"/>
        <w:spacing w:after="0" w:line="276" w:lineRule="auto"/>
        <w:jc w:val="both"/>
        <w:rPr>
          <w:rStyle w:val="Strong"/>
          <w:rFonts w:ascii="Times New Roman" w:hAnsi="Times New Roman" w:cs="Times New Roman"/>
          <w:b w:val="0"/>
        </w:rPr>
      </w:pPr>
    </w:p>
    <w:p w14:paraId="21959CF3"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405, datë 1.6.2016</w:t>
      </w:r>
      <w:r w:rsidRPr="004742E7">
        <w:rPr>
          <w:bCs/>
        </w:rPr>
        <w:t xml:space="preserve"> – “Për miratimin e procedurave të armëmbajtjes në vendet e punës”;</w:t>
      </w:r>
    </w:p>
    <w:p w14:paraId="69D27631" w14:textId="42EF7393" w:rsidR="00F26F4D" w:rsidRPr="00F26F4D" w:rsidRDefault="00F26F4D" w:rsidP="00300DC3">
      <w:pPr>
        <w:pStyle w:val="pf0"/>
        <w:numPr>
          <w:ilvl w:val="0"/>
          <w:numId w:val="12"/>
        </w:numPr>
        <w:spacing w:line="276" w:lineRule="auto"/>
        <w:jc w:val="both"/>
        <w:rPr>
          <w:lang w:val="en-US"/>
        </w:rPr>
      </w:pPr>
      <w:r>
        <w:rPr>
          <w:rStyle w:val="cf01"/>
          <w:rFonts w:ascii="Times New Roman" w:eastAsiaTheme="majorEastAsia" w:hAnsi="Times New Roman" w:cs="Times New Roman"/>
          <w:sz w:val="24"/>
          <w:szCs w:val="24"/>
        </w:rPr>
        <w:t>VKM</w:t>
      </w:r>
      <w:r w:rsidRPr="00F26F4D">
        <w:rPr>
          <w:rStyle w:val="cf01"/>
          <w:rFonts w:ascii="Times New Roman" w:eastAsiaTheme="majorEastAsia" w:hAnsi="Times New Roman" w:cs="Times New Roman"/>
          <w:sz w:val="24"/>
          <w:szCs w:val="24"/>
        </w:rPr>
        <w:t xml:space="preserve"> nr. 31, datë 22.1.2020 “Për organizimin, përbërjen, funksionimin dhe statusin e Autoritetit të Kontrollit Shtetëror të Eksporteve, përcaktimin e afateve, të mënyrës dhe të procedurës për shkëmbimin e informacionit dhe të marrjes së mendimit nga institucionet e tjera të përfshira në transferimet ndërkombëtare të mallrave të kontrolluara, si dhe përcaktimin e procedurave për lëshimin e garancive dhe kryerjen e kontrollit shtetëror</w:t>
      </w:r>
      <w:r>
        <w:rPr>
          <w:rStyle w:val="cf01"/>
          <w:rFonts w:ascii="Times New Roman" w:eastAsiaTheme="majorEastAsia" w:hAnsi="Times New Roman" w:cs="Times New Roman"/>
          <w:sz w:val="24"/>
          <w:szCs w:val="24"/>
        </w:rPr>
        <w:t>”</w:t>
      </w:r>
    </w:p>
    <w:p w14:paraId="7CA52646"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color w:val="000000"/>
        </w:rPr>
        <w:t xml:space="preserve">VKM </w:t>
      </w:r>
      <w:r w:rsidRPr="004742E7">
        <w:rPr>
          <w:bCs/>
          <w:color w:val="000000"/>
        </w:rPr>
        <w:t>nr. 511, datë 01.08.2024 “Për miratimin e listës se mallrave ushtarake dhe listës së artikujve e teknologjive me përdorim të dyfishtë”,</w:t>
      </w:r>
    </w:p>
    <w:p w14:paraId="66BA475C"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604, datë 10.8.2016</w:t>
      </w:r>
      <w:r w:rsidRPr="004742E7">
        <w:rPr>
          <w:bCs/>
        </w:rPr>
        <w:t xml:space="preserve"> – “Për kriteret e caktimit të vendeve për qitje dhe stërvitje me armë zjarri dhe përdorimin e tyre”;</w:t>
      </w:r>
    </w:p>
    <w:p w14:paraId="13507F0C"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640, datë 7.9.2016</w:t>
      </w:r>
      <w:r w:rsidRPr="004742E7">
        <w:rPr>
          <w:bCs/>
        </w:rPr>
        <w:t xml:space="preserve"> – “Për përcaktimin e procedurave të certifikimit të instruktorëve dhe instruktorëve trajnerë të armëve të zjarrit”;</w:t>
      </w:r>
    </w:p>
    <w:p w14:paraId="1226B50C"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643, datë 7.9.2016</w:t>
      </w:r>
      <w:r w:rsidRPr="004742E7">
        <w:rPr>
          <w:bCs/>
        </w:rPr>
        <w:t xml:space="preserve"> – “Për përcaktimin e kërkesave dhe procedurave të pajisjes me leje për veprimtaritë me armë zjarri dhe municion”;</w:t>
      </w:r>
    </w:p>
    <w:p w14:paraId="71FC3DFC"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645, datë 7.9.2016</w:t>
      </w:r>
      <w:r w:rsidRPr="004742E7">
        <w:rPr>
          <w:bCs/>
        </w:rPr>
        <w:t xml:space="preserve"> – “Për përcaktimin e rregullave dhe të procedurave për transportimin e armëve dhe municioneve”;</w:t>
      </w:r>
    </w:p>
    <w:p w14:paraId="74E2E853"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646, datë 7.9.2016</w:t>
      </w:r>
      <w:r w:rsidRPr="004742E7">
        <w:rPr>
          <w:bCs/>
        </w:rPr>
        <w:t xml:space="preserve"> – “Për miratimin e formës dhe përmbajtjes së dokumentacionit që përdoret për veprimtari me armë zjarri dhe municion”;</w:t>
      </w:r>
    </w:p>
    <w:p w14:paraId="3FF7BB0D"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bCs/>
        </w:rPr>
        <w:t>V</w:t>
      </w:r>
      <w:r w:rsidRPr="004742E7">
        <w:rPr>
          <w:rStyle w:val="Strong"/>
          <w:rFonts w:eastAsiaTheme="majorEastAsia"/>
          <w:b w:val="0"/>
        </w:rPr>
        <w:t>KM nr. 648, datë 7.9.2016</w:t>
      </w:r>
      <w:r w:rsidRPr="004742E7">
        <w:rPr>
          <w:bCs/>
        </w:rPr>
        <w:t xml:space="preserve"> – “Për përcaktimin e kritereve dhe procedurave për dhënien e lejeve për mbajtjen e armëve në banesë”</w:t>
      </w:r>
    </w:p>
    <w:p w14:paraId="1DCFC827"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649, datë 7.9.2016</w:t>
      </w:r>
      <w:r w:rsidRPr="004742E7">
        <w:rPr>
          <w:bCs/>
        </w:rPr>
        <w:t xml:space="preserve"> – “Për përcaktimin e kritereve për dhënien e lejeve të posedimit të armëve për qëllime sportive dhe të gjuetisë”;</w:t>
      </w:r>
    </w:p>
    <w:p w14:paraId="473E3F42"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650, datë 7.9.2016</w:t>
      </w:r>
      <w:r w:rsidRPr="004742E7">
        <w:rPr>
          <w:bCs/>
        </w:rPr>
        <w:t xml:space="preserve"> – “Për përcaktimin e mënyrës së marrjes, të ruajtjes dhe të administrimit të armëve dhe municioneve të sekuestruara ose të konfiskuara”;</w:t>
      </w:r>
    </w:p>
    <w:p w14:paraId="3A0D9E92"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651, datë 7.9.2016</w:t>
      </w:r>
      <w:r w:rsidRPr="004742E7">
        <w:rPr>
          <w:bCs/>
        </w:rPr>
        <w:t xml:space="preserve"> – “Për përcaktimin e kritereve të mbajtjes, transportimit, tregtimit dhe kontrollit të armëve për forcat e armatosura dhe institucionet e tjera shtetërore”;</w:t>
      </w:r>
    </w:p>
    <w:p w14:paraId="3789077A"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lastRenderedPageBreak/>
        <w:t>VKM nr. 652, datë 7.9.2016</w:t>
      </w:r>
      <w:r w:rsidRPr="004742E7">
        <w:rPr>
          <w:bCs/>
        </w:rPr>
        <w:t xml:space="preserve"> – “Për përcaktimin e kushteve për personelin e shoqërive të sigurisë private që pajisen me armë zjarri dhe municion”;</w:t>
      </w:r>
    </w:p>
    <w:p w14:paraId="1EF0B541"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653, datë 7.9.2016</w:t>
      </w:r>
      <w:r w:rsidRPr="004742E7">
        <w:rPr>
          <w:bCs/>
        </w:rPr>
        <w:t xml:space="preserve"> – “Për përcaktimin e kushteve të marrjes dhe të përdorimit të armëve të zjarrit për punonjësit e policisë”;</w:t>
      </w:r>
    </w:p>
    <w:p w14:paraId="1366419A" w14:textId="77777777" w:rsidR="00682B8E" w:rsidRPr="004742E7" w:rsidRDefault="00682B8E" w:rsidP="00300DC3">
      <w:pPr>
        <w:pStyle w:val="NormalWeb"/>
        <w:numPr>
          <w:ilvl w:val="0"/>
          <w:numId w:val="1"/>
        </w:numPr>
        <w:spacing w:before="240" w:beforeAutospacing="0" w:after="0" w:afterAutospacing="0" w:line="276" w:lineRule="auto"/>
        <w:jc w:val="both"/>
        <w:rPr>
          <w:bCs/>
        </w:rPr>
      </w:pPr>
      <w:r w:rsidRPr="004742E7">
        <w:rPr>
          <w:rStyle w:val="Strong"/>
          <w:rFonts w:eastAsiaTheme="majorEastAsia"/>
          <w:b w:val="0"/>
        </w:rPr>
        <w:t>VKM nr. 654, datë 7.9.2016</w:t>
      </w:r>
      <w:r w:rsidRPr="004742E7">
        <w:rPr>
          <w:bCs/>
        </w:rPr>
        <w:t xml:space="preserve"> – “Për miratimin e listës së armëve dhe municioneve që nuk lejohet të mbahen nga personat fizikë dhe juridikë”;</w:t>
      </w:r>
    </w:p>
    <w:p w14:paraId="54EF7342" w14:textId="77777777" w:rsidR="00682B8E" w:rsidRPr="004742E7" w:rsidRDefault="00682B8E" w:rsidP="00300DC3">
      <w:pPr>
        <w:pStyle w:val="NormalWeb"/>
        <w:numPr>
          <w:ilvl w:val="0"/>
          <w:numId w:val="1"/>
        </w:numPr>
        <w:spacing w:before="240" w:beforeAutospacing="0" w:after="240" w:afterAutospacing="0" w:line="276" w:lineRule="auto"/>
        <w:jc w:val="both"/>
        <w:rPr>
          <w:bCs/>
        </w:rPr>
      </w:pPr>
      <w:r w:rsidRPr="004742E7">
        <w:rPr>
          <w:rStyle w:val="Strong"/>
          <w:rFonts w:eastAsiaTheme="majorEastAsia"/>
          <w:b w:val="0"/>
        </w:rPr>
        <w:t>VKM nr. 656, datë 7.9.2016</w:t>
      </w:r>
      <w:r w:rsidRPr="004742E7">
        <w:rPr>
          <w:bCs/>
        </w:rPr>
        <w:t xml:space="preserve"> – “Për përcaktimin e llojeve dhe të sasive të lejuara të armëve dhe municioneve që mund të mbahen nga personat fizikë dhe juridikë”;</w:t>
      </w:r>
    </w:p>
    <w:p w14:paraId="0526FC81" w14:textId="4FC0BD6F" w:rsidR="00DF2D16" w:rsidRPr="00DF2D16" w:rsidRDefault="00682B8E" w:rsidP="00300DC3">
      <w:pPr>
        <w:pStyle w:val="NormalWeb"/>
        <w:numPr>
          <w:ilvl w:val="0"/>
          <w:numId w:val="1"/>
        </w:numPr>
        <w:spacing w:after="240" w:afterAutospacing="0" w:line="276" w:lineRule="auto"/>
        <w:jc w:val="both"/>
        <w:rPr>
          <w:bCs/>
        </w:rPr>
      </w:pPr>
      <w:r w:rsidRPr="004742E7">
        <w:rPr>
          <w:bCs/>
        </w:rPr>
        <w:t>V</w:t>
      </w:r>
      <w:r w:rsidRPr="004742E7">
        <w:rPr>
          <w:rStyle w:val="Strong"/>
          <w:rFonts w:eastAsiaTheme="majorEastAsia"/>
          <w:b w:val="0"/>
        </w:rPr>
        <w:t>KM nr. 672, datë 22.11.2017</w:t>
      </w:r>
      <w:r w:rsidRPr="004742E7">
        <w:rPr>
          <w:bCs/>
        </w:rPr>
        <w:t xml:space="preserve"> – “Për përcaktimin e rregullave për regjistrimin, sistemimin dhe ruajtjen e dokumentacionit për lejet e armëve dhe veprimtarive me armë”;</w:t>
      </w:r>
    </w:p>
    <w:p w14:paraId="24BA298A" w14:textId="658A7DB4" w:rsidR="00F26F4D" w:rsidRPr="00F26F4D" w:rsidRDefault="00F26F4D" w:rsidP="00300DC3">
      <w:pPr>
        <w:pStyle w:val="pf0"/>
        <w:numPr>
          <w:ilvl w:val="0"/>
          <w:numId w:val="13"/>
        </w:numPr>
        <w:spacing w:line="276" w:lineRule="auto"/>
        <w:jc w:val="both"/>
        <w:rPr>
          <w:lang w:val="en-US"/>
        </w:rPr>
      </w:pPr>
      <w:r>
        <w:rPr>
          <w:rStyle w:val="cf01"/>
          <w:rFonts w:ascii="Times New Roman" w:eastAsiaTheme="majorEastAsia" w:hAnsi="Times New Roman" w:cs="Times New Roman"/>
          <w:sz w:val="24"/>
          <w:szCs w:val="24"/>
        </w:rPr>
        <w:t>VKM n</w:t>
      </w:r>
      <w:r w:rsidRPr="00F26F4D">
        <w:rPr>
          <w:rStyle w:val="cf01"/>
          <w:rFonts w:ascii="Times New Roman" w:eastAsiaTheme="majorEastAsia" w:hAnsi="Times New Roman" w:cs="Times New Roman"/>
          <w:sz w:val="24"/>
          <w:szCs w:val="24"/>
        </w:rPr>
        <w:t>r.511, datë 01.08.2024 “Për miratimin e listës se mallrave ushtarake dhe listës së artikujve e teknologjive me përdorim të dyfishtë, objekt i kontrollit shtetëror të transferimeve ndërkombëtare”.</w:t>
      </w:r>
    </w:p>
    <w:p w14:paraId="675899DB" w14:textId="77777777" w:rsidR="00682B8E" w:rsidRPr="004742E7" w:rsidRDefault="00682B8E" w:rsidP="00300DC3">
      <w:pPr>
        <w:pStyle w:val="NormalWeb"/>
        <w:numPr>
          <w:ilvl w:val="0"/>
          <w:numId w:val="1"/>
        </w:numPr>
        <w:spacing w:after="240" w:afterAutospacing="0" w:line="276" w:lineRule="auto"/>
        <w:jc w:val="both"/>
        <w:rPr>
          <w:bCs/>
        </w:rPr>
      </w:pPr>
      <w:r w:rsidRPr="004742E7">
        <w:rPr>
          <w:rStyle w:val="Strong"/>
          <w:rFonts w:eastAsiaTheme="majorEastAsia"/>
          <w:b w:val="0"/>
        </w:rPr>
        <w:t>VKM nr. 674, datë 5.10.2018</w:t>
      </w:r>
      <w:r w:rsidRPr="004742E7">
        <w:rPr>
          <w:bCs/>
        </w:rPr>
        <w:t xml:space="preserve"> – “Për përcaktimin e kushteve për pajisjen me armë të punonjësve të institucioneve që ushtrojnë veprimtari me karakter shtetëror”;</w:t>
      </w:r>
    </w:p>
    <w:p w14:paraId="4D135D6F" w14:textId="77777777" w:rsidR="00682B8E" w:rsidRPr="004742E7" w:rsidRDefault="00682B8E" w:rsidP="00300DC3">
      <w:pPr>
        <w:pStyle w:val="NormalWeb"/>
        <w:numPr>
          <w:ilvl w:val="0"/>
          <w:numId w:val="1"/>
        </w:numPr>
        <w:spacing w:after="240" w:afterAutospacing="0" w:line="276" w:lineRule="auto"/>
        <w:jc w:val="both"/>
        <w:rPr>
          <w:rStyle w:val="Strong"/>
          <w:b w:val="0"/>
        </w:rPr>
      </w:pPr>
      <w:r w:rsidRPr="004742E7">
        <w:rPr>
          <w:rStyle w:val="Strong"/>
          <w:rFonts w:eastAsiaTheme="majorEastAsia"/>
          <w:b w:val="0"/>
        </w:rPr>
        <w:t>VKM nr. 739, datë 12.12.2018</w:t>
      </w:r>
      <w:r w:rsidRPr="004742E7">
        <w:rPr>
          <w:bCs/>
        </w:rPr>
        <w:t xml:space="preserve"> – “Për krijimin, përbërjen dhe funksionimin e Këshillit Kombëtar të Kontrollit të Armëve të Vogla dhe të Lehta”</w:t>
      </w:r>
      <w:r w:rsidRPr="004742E7">
        <w:rPr>
          <w:rStyle w:val="Strong"/>
          <w:b w:val="0"/>
        </w:rPr>
        <w:t>;</w:t>
      </w:r>
    </w:p>
    <w:p w14:paraId="7AF438A6" w14:textId="77777777" w:rsidR="00682B8E" w:rsidRPr="004742E7" w:rsidRDefault="00682B8E" w:rsidP="00300DC3">
      <w:pPr>
        <w:pStyle w:val="NormalWeb"/>
        <w:numPr>
          <w:ilvl w:val="0"/>
          <w:numId w:val="1"/>
        </w:numPr>
        <w:spacing w:after="240" w:afterAutospacing="0" w:line="276" w:lineRule="auto"/>
        <w:jc w:val="both"/>
        <w:rPr>
          <w:bCs/>
        </w:rPr>
      </w:pPr>
      <w:r w:rsidRPr="004742E7">
        <w:rPr>
          <w:rStyle w:val="Strong"/>
          <w:rFonts w:eastAsiaTheme="majorEastAsia"/>
          <w:b w:val="0"/>
          <w:bCs w:val="0"/>
        </w:rPr>
        <w:t>VKM nr. 411, datë 19.6.2019</w:t>
      </w:r>
      <w:r w:rsidRPr="004742E7">
        <w:t xml:space="preserve"> – “Për rregullat e përcaktimit të vendeve dhe kritereve për qitje”</w:t>
      </w:r>
      <w:r w:rsidRPr="004742E7">
        <w:rPr>
          <w:bCs/>
        </w:rPr>
        <w:t>;</w:t>
      </w:r>
    </w:p>
    <w:p w14:paraId="062E2388" w14:textId="77777777" w:rsidR="00682B8E" w:rsidRPr="004742E7" w:rsidRDefault="00682B8E" w:rsidP="00300DC3">
      <w:pPr>
        <w:pStyle w:val="NormalWeb"/>
        <w:numPr>
          <w:ilvl w:val="0"/>
          <w:numId w:val="1"/>
        </w:numPr>
        <w:spacing w:after="240" w:afterAutospacing="0" w:line="276" w:lineRule="auto"/>
        <w:jc w:val="both"/>
        <w:rPr>
          <w:bCs/>
        </w:rPr>
      </w:pPr>
      <w:r w:rsidRPr="004742E7">
        <w:rPr>
          <w:rStyle w:val="Strong"/>
          <w:rFonts w:eastAsiaTheme="majorEastAsia"/>
          <w:b w:val="0"/>
          <w:bCs w:val="0"/>
        </w:rPr>
        <w:t>VKM nr. 799, datë 4.12.2019</w:t>
      </w:r>
      <w:r w:rsidRPr="004742E7">
        <w:t xml:space="preserve"> – “Për miratimin e rregullores për verifikimin e përshtatshmërisë së armëve dhe klasifikimin sipas qëllimit të përdorimit”</w:t>
      </w:r>
      <w:r w:rsidRPr="004742E7">
        <w:rPr>
          <w:bCs/>
        </w:rPr>
        <w:t>;</w:t>
      </w:r>
    </w:p>
    <w:p w14:paraId="3315C930" w14:textId="77777777" w:rsidR="00682B8E" w:rsidRPr="004742E7" w:rsidRDefault="00682B8E" w:rsidP="00300DC3">
      <w:pPr>
        <w:pStyle w:val="NormalWeb"/>
        <w:numPr>
          <w:ilvl w:val="0"/>
          <w:numId w:val="1"/>
        </w:numPr>
        <w:spacing w:after="240" w:afterAutospacing="0" w:line="276" w:lineRule="auto"/>
        <w:jc w:val="both"/>
        <w:rPr>
          <w:bCs/>
        </w:rPr>
      </w:pPr>
      <w:r w:rsidRPr="004742E7">
        <w:rPr>
          <w:rStyle w:val="Strong"/>
          <w:rFonts w:eastAsiaTheme="majorEastAsia"/>
          <w:b w:val="0"/>
          <w:bCs w:val="0"/>
        </w:rPr>
        <w:t>VKM nr. 410, datë 24.6.2020</w:t>
      </w:r>
      <w:r w:rsidRPr="004742E7">
        <w:t xml:space="preserve"> – “Për përcaktimin e masave teknike dhe rregullave për përdorimin e sistemit elektronik të lejeve për armë zjarri”</w:t>
      </w:r>
      <w:r w:rsidRPr="004742E7">
        <w:rPr>
          <w:bCs/>
        </w:rPr>
        <w:t>;</w:t>
      </w:r>
    </w:p>
    <w:p w14:paraId="65D3F36D" w14:textId="77777777" w:rsidR="00682B8E" w:rsidRPr="004742E7" w:rsidRDefault="00682B8E" w:rsidP="00300DC3">
      <w:pPr>
        <w:pStyle w:val="NormalWeb"/>
        <w:numPr>
          <w:ilvl w:val="1"/>
          <w:numId w:val="2"/>
        </w:numPr>
        <w:spacing w:after="240" w:afterAutospacing="0" w:line="276" w:lineRule="auto"/>
        <w:jc w:val="both"/>
      </w:pPr>
      <w:r w:rsidRPr="004742E7">
        <w:rPr>
          <w:rStyle w:val="Strong"/>
          <w:rFonts w:eastAsiaTheme="majorEastAsia"/>
          <w:b w:val="0"/>
          <w:bCs w:val="0"/>
        </w:rPr>
        <w:t>VKM nr. 644, datë 7.10.2020</w:t>
      </w:r>
      <w:r w:rsidRPr="004742E7">
        <w:t xml:space="preserve"> – “Për përcaktimin e rregullave të sigurisë për ruajtjen e armëve dhe municioneve në banesa dhe objekte të sigurisë”;</w:t>
      </w:r>
    </w:p>
    <w:p w14:paraId="0F2E9742" w14:textId="77777777" w:rsidR="00682B8E" w:rsidRPr="004742E7" w:rsidRDefault="00682B8E" w:rsidP="00300DC3">
      <w:pPr>
        <w:pStyle w:val="NormalWeb"/>
        <w:numPr>
          <w:ilvl w:val="1"/>
          <w:numId w:val="2"/>
        </w:numPr>
        <w:spacing w:after="240" w:afterAutospacing="0" w:line="276" w:lineRule="auto"/>
        <w:jc w:val="both"/>
      </w:pPr>
      <w:r w:rsidRPr="004742E7">
        <w:rPr>
          <w:rStyle w:val="Strong"/>
          <w:rFonts w:eastAsiaTheme="majorEastAsia"/>
          <w:b w:val="0"/>
          <w:bCs w:val="0"/>
        </w:rPr>
        <w:t>VKM nr. 161, datë 10.3.2021</w:t>
      </w:r>
      <w:r w:rsidRPr="004742E7">
        <w:t xml:space="preserve"> – “Për përcaktimin e kritereve dhe procedurave për verifikimin mjekësor dhe psikologjik të aplikantëve për armë zjarri”;</w:t>
      </w:r>
    </w:p>
    <w:p w14:paraId="096D7FB8" w14:textId="77777777" w:rsidR="00682B8E" w:rsidRPr="004742E7" w:rsidRDefault="00682B8E" w:rsidP="00300DC3">
      <w:pPr>
        <w:pStyle w:val="NormalWeb"/>
        <w:numPr>
          <w:ilvl w:val="1"/>
          <w:numId w:val="2"/>
        </w:numPr>
        <w:spacing w:after="240" w:afterAutospacing="0" w:line="276" w:lineRule="auto"/>
        <w:jc w:val="both"/>
      </w:pPr>
      <w:r w:rsidRPr="004742E7">
        <w:rPr>
          <w:rStyle w:val="Strong"/>
          <w:rFonts w:eastAsiaTheme="majorEastAsia"/>
          <w:b w:val="0"/>
          <w:bCs w:val="0"/>
        </w:rPr>
        <w:t>VKM nr. 533, datë 14.9.2022</w:t>
      </w:r>
      <w:r w:rsidRPr="004742E7">
        <w:t xml:space="preserve"> – “Për përcaktimin e procedurave të dhënies së autorizimeve për tregtimin dhe transportimin e artikujve piroteknikë”;</w:t>
      </w:r>
    </w:p>
    <w:p w14:paraId="48C966EC" w14:textId="77777777" w:rsidR="00682B8E" w:rsidRPr="004742E7" w:rsidRDefault="00682B8E" w:rsidP="00300DC3">
      <w:pPr>
        <w:pStyle w:val="NormalWeb"/>
        <w:numPr>
          <w:ilvl w:val="1"/>
          <w:numId w:val="2"/>
        </w:numPr>
        <w:spacing w:after="240" w:afterAutospacing="0" w:line="276" w:lineRule="auto"/>
        <w:jc w:val="both"/>
      </w:pPr>
      <w:r w:rsidRPr="004742E7">
        <w:rPr>
          <w:rStyle w:val="Strong"/>
          <w:rFonts w:eastAsiaTheme="majorEastAsia"/>
          <w:b w:val="0"/>
          <w:bCs w:val="0"/>
        </w:rPr>
        <w:lastRenderedPageBreak/>
        <w:t>VKM nr. 951, datë 9.11.2022</w:t>
      </w:r>
      <w:r w:rsidRPr="004742E7">
        <w:t xml:space="preserve"> – “Për miratimin e rregullores për kontrollin e përdorimit të artikujve piroteknikë dhe lëndëve plasëse”;</w:t>
      </w:r>
    </w:p>
    <w:p w14:paraId="141A8BC2" w14:textId="5E83D06B" w:rsidR="00682B8E" w:rsidRPr="004742E7" w:rsidRDefault="00682B8E" w:rsidP="00300DC3">
      <w:pPr>
        <w:numPr>
          <w:ilvl w:val="0"/>
          <w:numId w:val="4"/>
        </w:numPr>
        <w:spacing w:line="276" w:lineRule="auto"/>
        <w:jc w:val="both"/>
        <w:rPr>
          <w:rFonts w:ascii="Times New Roman" w:eastAsia="Times New Roman" w:hAnsi="Times New Roman" w:cs="Times New Roman"/>
          <w:bCs/>
          <w:color w:val="000000"/>
        </w:rPr>
      </w:pPr>
      <w:r w:rsidRPr="004742E7">
        <w:rPr>
          <w:rFonts w:ascii="Times New Roman" w:eastAsia="Times New Roman" w:hAnsi="Times New Roman" w:cs="Times New Roman"/>
          <w:color w:val="000000"/>
        </w:rPr>
        <w:t>VKM nr. 509, datë 30.8.2023</w:t>
      </w:r>
      <w:r w:rsidRPr="004742E7">
        <w:rPr>
          <w:rFonts w:ascii="Times New Roman" w:eastAsia="Times New Roman" w:hAnsi="Times New Roman" w:cs="Times New Roman"/>
          <w:bCs/>
          <w:color w:val="000000"/>
        </w:rPr>
        <w:t xml:space="preserve"> “Për përcaktimin e kushteve të posaçme të licencimit dhe autorizimit, dokumenteve shoqëruese, që paraqiten për pajisjen me licencë apo autorizim, afatit të vlefshmërisë së licencës dhe autorizimit, procedurave të shqyrtimit e të vendimmarrjes dhe afateve për kryerjen e tyre, si dhe procedurave të shfuqizimit/pezullimit të licencave e autorizimeve për prodhimin, importimin, eksportimin, transitimin e artikujve piroteknikë”.</w:t>
      </w:r>
    </w:p>
    <w:p w14:paraId="597053C9" w14:textId="77777777" w:rsidR="00682B8E" w:rsidRPr="004742E7" w:rsidRDefault="00682B8E" w:rsidP="00300DC3">
      <w:pPr>
        <w:pStyle w:val="NormalWeb"/>
        <w:numPr>
          <w:ilvl w:val="1"/>
          <w:numId w:val="2"/>
        </w:numPr>
        <w:spacing w:after="240" w:afterAutospacing="0" w:line="276" w:lineRule="auto"/>
        <w:jc w:val="both"/>
        <w:rPr>
          <w:lang w:eastAsia="ja-JP"/>
        </w:rPr>
      </w:pPr>
      <w:r w:rsidRPr="004742E7">
        <w:rPr>
          <w:lang w:eastAsia="ja-JP"/>
        </w:rPr>
        <w:t>Udhëzim i përbashkët nr. 88 datë 10.03.2015 i Ministrit të Punëve të Brendshme dhe Ministrit te Shëndetësisë “Për llojet e vizitave dhe përmbajtja e raportit mjekësor për veprimtaritë me armët”;</w:t>
      </w:r>
    </w:p>
    <w:p w14:paraId="454B3CB5" w14:textId="77777777" w:rsidR="00682B8E" w:rsidRPr="004742E7" w:rsidRDefault="00682B8E" w:rsidP="00300DC3">
      <w:pPr>
        <w:pStyle w:val="NormalWeb"/>
        <w:numPr>
          <w:ilvl w:val="1"/>
          <w:numId w:val="2"/>
        </w:numPr>
        <w:spacing w:after="240" w:afterAutospacing="0" w:line="276" w:lineRule="auto"/>
        <w:jc w:val="both"/>
        <w:rPr>
          <w:lang w:eastAsia="ja-JP"/>
        </w:rPr>
      </w:pPr>
      <w:r w:rsidRPr="004742E7">
        <w:rPr>
          <w:lang w:eastAsia="ja-JP"/>
        </w:rPr>
        <w:t xml:space="preserve">Udhëzim nr. 90 datë 10.03.2015 i përbashkët i Ministrisë së Punëve Brendshme, Ministrit të Mbrojtjes dhe Prokurorit të Përgjithshëm “Për procedurat dhe rregullat e hollësishme të trajtimit të armëve provë materiale”; </w:t>
      </w:r>
    </w:p>
    <w:p w14:paraId="7264BACD" w14:textId="77777777" w:rsidR="00682B8E" w:rsidRPr="004742E7" w:rsidRDefault="00682B8E" w:rsidP="00300DC3">
      <w:pPr>
        <w:pStyle w:val="NormalWeb"/>
        <w:numPr>
          <w:ilvl w:val="1"/>
          <w:numId w:val="2"/>
        </w:numPr>
        <w:spacing w:after="240" w:afterAutospacing="0" w:line="276" w:lineRule="auto"/>
        <w:jc w:val="both"/>
      </w:pPr>
      <w:r w:rsidRPr="004742E7">
        <w:t xml:space="preserve">Udhëzim i 262 datë 25.05.2015 Ministrisë së Punëve të Brendshme “Për procedurat për lëshimin/revokimin e dëshmisë për aftësimin teorik e praktik për armët, formati i saj, si dhe procedurat e certifikatës për drejtues teknik për veprimtaritë e lejuara me armët për programin e kursit të trajnimit për aftësimin teorik dhe praktik për armët dhe kushtet e objektit ku zhvillohet ky program”; </w:t>
      </w:r>
    </w:p>
    <w:p w14:paraId="1D5F3C84" w14:textId="77777777" w:rsidR="00682B8E" w:rsidRPr="004742E7" w:rsidRDefault="00682B8E" w:rsidP="00300DC3">
      <w:pPr>
        <w:pStyle w:val="NormalWeb"/>
        <w:numPr>
          <w:ilvl w:val="1"/>
          <w:numId w:val="2"/>
        </w:numPr>
        <w:spacing w:after="240" w:afterAutospacing="0" w:line="276" w:lineRule="auto"/>
        <w:jc w:val="both"/>
        <w:rPr>
          <w:i/>
          <w:lang w:eastAsia="ja-JP"/>
        </w:rPr>
      </w:pPr>
      <w:r w:rsidRPr="004742E7">
        <w:t>Udhëzim nr. 277, datë 29.05.2015, “Për</w:t>
      </w:r>
      <w:r w:rsidRPr="004742E7">
        <w:rPr>
          <w:color w:val="000000"/>
        </w:rPr>
        <w:t xml:space="preserve"> </w:t>
      </w:r>
      <w:r w:rsidRPr="004742E7">
        <w:t xml:space="preserve">procedurat, dokumentacionin dhe afatet e shqyrtimit për pajisjen me autorizim për armë të subjekteve juridikë e fizikë, formatin e regjistrit për armët për subjektin e liçensuar për veprimtaritë me armët, për rregullat, procedurat dhe formularin që plotësohet në kohën e realizimit të qitjes eksperimentale dhe administrimin e gëzhojës në një bankë të dhënash”, </w:t>
      </w:r>
      <w:r w:rsidRPr="004742E7">
        <w:rPr>
          <w:i/>
          <w:lang w:eastAsia="ja-JP"/>
        </w:rPr>
        <w:t>të ndryshuar;</w:t>
      </w:r>
    </w:p>
    <w:p w14:paraId="69A1591C" w14:textId="77777777" w:rsidR="00682B8E" w:rsidRPr="004742E7" w:rsidRDefault="00682B8E" w:rsidP="00300DC3">
      <w:pPr>
        <w:pStyle w:val="NormalWeb"/>
        <w:numPr>
          <w:ilvl w:val="1"/>
          <w:numId w:val="2"/>
        </w:numPr>
        <w:spacing w:after="240" w:afterAutospacing="0" w:line="276" w:lineRule="auto"/>
        <w:jc w:val="both"/>
        <w:rPr>
          <w:color w:val="000000"/>
        </w:rPr>
      </w:pPr>
      <w:r w:rsidRPr="004742E7">
        <w:t>Udhëzim nr. 264/1, datë 29.06.2015, i përbashkët të Ministrit të Punëve të Brendshme dhe Ministrit të Financave “Për masën, kriteret dhe procedurat  për tarifat  financiare  për veprimtarinë e lejuar me armët”</w:t>
      </w:r>
      <w:r w:rsidRPr="004742E7">
        <w:rPr>
          <w:color w:val="000000"/>
        </w:rPr>
        <w:t>, etj;</w:t>
      </w:r>
    </w:p>
    <w:p w14:paraId="6DE47A1C" w14:textId="77777777" w:rsidR="00682B8E" w:rsidRPr="004742E7" w:rsidRDefault="00682B8E" w:rsidP="00300DC3">
      <w:pPr>
        <w:pStyle w:val="NormalWeb"/>
        <w:numPr>
          <w:ilvl w:val="1"/>
          <w:numId w:val="2"/>
        </w:numPr>
        <w:spacing w:after="240" w:afterAutospacing="0" w:line="276" w:lineRule="auto"/>
        <w:jc w:val="both"/>
        <w:rPr>
          <w:color w:val="000000"/>
        </w:rPr>
      </w:pPr>
      <w:r w:rsidRPr="004742E7">
        <w:rPr>
          <w:color w:val="000000"/>
        </w:rPr>
        <w:t>Udhëzim i Ministrit të Brendshëm nr. 198, datë 18.11.2024</w:t>
      </w:r>
      <w:r w:rsidRPr="004742E7">
        <w:rPr>
          <w:bCs/>
          <w:color w:val="000000"/>
        </w:rPr>
        <w:t xml:space="preserve"> “Procedurat për pajisjen me autorizim për veprimtarinë e lejuar me armë, regjistrimin e armës, administrimin e gëzhojës në një bankë të dhënash dhe procedurat që kryhen pas dorëzimit në policinë shkencore”;</w:t>
      </w:r>
    </w:p>
    <w:p w14:paraId="782580AC" w14:textId="2AE41C61" w:rsidR="00682B8E" w:rsidRPr="004742E7" w:rsidRDefault="00682B8E" w:rsidP="00300DC3">
      <w:pPr>
        <w:numPr>
          <w:ilvl w:val="0"/>
          <w:numId w:val="7"/>
        </w:numPr>
        <w:spacing w:line="276" w:lineRule="auto"/>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Udhëzim i përbashkët i Ministrisë së Brendshme dhe Ministrisë së Financës dhe Ekonomisë  nr. 221, datë 8.11.2024  “Për masën, kriteret dhe procedurat për tarifat financiare për veprimtarinë e lejuar me armët”.</w:t>
      </w:r>
    </w:p>
    <w:p w14:paraId="51C64C88" w14:textId="77777777" w:rsidR="00682B8E" w:rsidRPr="004742E7" w:rsidRDefault="00682B8E" w:rsidP="00300DC3">
      <w:pPr>
        <w:pStyle w:val="NormalWeb"/>
        <w:numPr>
          <w:ilvl w:val="1"/>
          <w:numId w:val="2"/>
        </w:numPr>
        <w:spacing w:after="240" w:afterAutospacing="0" w:line="276" w:lineRule="auto"/>
        <w:jc w:val="both"/>
      </w:pPr>
      <w:r w:rsidRPr="004742E7">
        <w:lastRenderedPageBreak/>
        <w:t>Urdhri i Ministrit të Brendshëm nr. 666, datë 18.12.2018 “Për organizimin e punës për analizën e Acquis së Bashkimit Evropian, në kuadër të procesit “Screening” për kapitullin 24 “Drejtësia, Liria dhe Siguria”, i ndryshuar me Urdhrin e Ministrit nr. 145, datë 31.01.2019 “Mbi disa ndryshime në Urdhrin Nr. 666 datë 18.12.2018 mbi organizimin e punës për analizën screening”, pasuar nga një analizë e plotë e përputhshmërisë me legjislacionin e BE-së për armët;</w:t>
      </w:r>
    </w:p>
    <w:p w14:paraId="3F72D599" w14:textId="77777777" w:rsidR="00682B8E" w:rsidRPr="004742E7" w:rsidRDefault="00682B8E" w:rsidP="00300DC3">
      <w:pPr>
        <w:pStyle w:val="NormalWeb"/>
        <w:numPr>
          <w:ilvl w:val="1"/>
          <w:numId w:val="2"/>
        </w:numPr>
        <w:spacing w:after="240" w:afterAutospacing="0" w:line="276" w:lineRule="auto"/>
        <w:jc w:val="both"/>
        <w:rPr>
          <w:color w:val="000000"/>
        </w:rPr>
      </w:pPr>
      <w:r w:rsidRPr="004742E7">
        <w:rPr>
          <w:color w:val="000000"/>
        </w:rPr>
        <w:t>Udhëzim i Ministrit të Brendshëm Nr. 386, datë 23.11.2021 “Për procedurat, dokumentacionin dhe afatet e shqyrtimit për pajisjen me autorizim për armë të subjekteve juridikë dhe fizikë, formatin e regjistrit për armët dhe municionet për subjektin e licencuar për veprimtaritë me armët, për rregullat, procedurat dhe formularin që plotësohet në kohën e realizimit të qitjes eksperimentale dhe administrimin e gëzhojës në një bankë të dhënash”;</w:t>
      </w:r>
    </w:p>
    <w:p w14:paraId="33792068" w14:textId="77777777" w:rsidR="00682B8E" w:rsidRPr="004742E7" w:rsidRDefault="00682B8E" w:rsidP="00300DC3">
      <w:pPr>
        <w:numPr>
          <w:ilvl w:val="0"/>
          <w:numId w:val="5"/>
        </w:numPr>
        <w:spacing w:after="0" w:line="276" w:lineRule="auto"/>
        <w:jc w:val="both"/>
        <w:rPr>
          <w:rFonts w:ascii="Times New Roman" w:eastAsia="Times New Roman" w:hAnsi="Times New Roman" w:cs="Times New Roman"/>
          <w:color w:val="000000"/>
        </w:rPr>
      </w:pPr>
      <w:r w:rsidRPr="004742E7">
        <w:rPr>
          <w:rFonts w:ascii="Times New Roman" w:hAnsi="Times New Roman" w:cs="Times New Roman"/>
          <w:color w:val="000000"/>
        </w:rPr>
        <w:t>Udhëzim i Ministrit të Brendshëm nr. 334, datë 28.10.2021 për disa shtesa dhe ndryshime në udhëzimin e Ministrit të Brendshëm nr. 262, datë 25.5.2015, “Për procedurat për lëshimin/revokimin e dëshmisë për aftësimin teorik e praktik për armët, formati i saj, si dhe procedurat e certifikatës për drejtues teknik, për veprimtaritë e lejuara me armët, për</w:t>
      </w:r>
      <w:r w:rsidRPr="004742E7">
        <w:rPr>
          <w:rFonts w:ascii="Times New Roman" w:eastAsia="Times New Roman" w:hAnsi="Times New Roman" w:cs="Times New Roman"/>
          <w:color w:val="000000"/>
        </w:rPr>
        <w:t>formati i saj, si dhe procedurat e certifikatës për drejtues teknik, për veprimtaritë e lejuara me armët, për programin e kursit të trajnimit, për aftësimin teorik dhe praktik për armët dhe kushtet e objektit ku zhvillohet ky program”.</w:t>
      </w:r>
    </w:p>
    <w:p w14:paraId="48DCF6BE" w14:textId="77777777" w:rsidR="00682B8E" w:rsidRPr="004742E7" w:rsidRDefault="00682B8E" w:rsidP="00682B8E">
      <w:pPr>
        <w:spacing w:after="0" w:line="276" w:lineRule="auto"/>
        <w:ind w:left="720"/>
        <w:jc w:val="both"/>
        <w:rPr>
          <w:rFonts w:ascii="Times New Roman" w:eastAsia="Times New Roman" w:hAnsi="Times New Roman" w:cs="Times New Roman"/>
          <w:color w:val="000000"/>
        </w:rPr>
      </w:pPr>
    </w:p>
    <w:p w14:paraId="5FF2C35E" w14:textId="77777777" w:rsidR="00682B8E" w:rsidRPr="004742E7" w:rsidRDefault="00682B8E" w:rsidP="00300DC3">
      <w:pPr>
        <w:numPr>
          <w:ilvl w:val="0"/>
          <w:numId w:val="2"/>
        </w:numPr>
        <w:spacing w:line="276" w:lineRule="auto"/>
        <w:contextualSpacing/>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Urdhri i Ministrit të Brendshëm nr. 203, datë 18.11.2024 “Për ngritjen e komisioneve për veprimtarinë e lejuar me armët”;</w:t>
      </w:r>
    </w:p>
    <w:p w14:paraId="7F3DE003" w14:textId="77777777" w:rsidR="00682B8E" w:rsidRPr="004742E7" w:rsidRDefault="00682B8E" w:rsidP="00682B8E">
      <w:pPr>
        <w:spacing w:line="276" w:lineRule="auto"/>
        <w:ind w:left="720"/>
        <w:contextualSpacing/>
        <w:jc w:val="both"/>
        <w:rPr>
          <w:rFonts w:ascii="Times New Roman" w:eastAsia="Times New Roman" w:hAnsi="Times New Roman" w:cs="Times New Roman"/>
          <w:color w:val="000000"/>
        </w:rPr>
      </w:pPr>
    </w:p>
    <w:p w14:paraId="03C7BE64" w14:textId="77777777" w:rsidR="00682B8E" w:rsidRPr="004742E7" w:rsidRDefault="00682B8E" w:rsidP="00300DC3">
      <w:pPr>
        <w:numPr>
          <w:ilvl w:val="0"/>
          <w:numId w:val="2"/>
        </w:numPr>
        <w:spacing w:line="276" w:lineRule="auto"/>
        <w:contextualSpacing/>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Urdhri i Ministrit të Brendshëm nr. 199, datë 18.11.2024  “Për ngritjen e komisioneve për dhënien e autorizimit për magazinim, transferim dhe asgjësim të lëndëve plasëse”;</w:t>
      </w:r>
    </w:p>
    <w:p w14:paraId="20DFBA01" w14:textId="77777777" w:rsidR="00682B8E" w:rsidRPr="004742E7" w:rsidRDefault="00682B8E" w:rsidP="00300DC3">
      <w:pPr>
        <w:pStyle w:val="ListParagraph"/>
        <w:numPr>
          <w:ilvl w:val="1"/>
          <w:numId w:val="2"/>
        </w:numPr>
        <w:spacing w:after="240" w:line="276" w:lineRule="auto"/>
        <w:ind w:right="-18"/>
        <w:jc w:val="both"/>
        <w:rPr>
          <w:rFonts w:ascii="Times New Roman" w:hAnsi="Times New Roman" w:cs="Times New Roman"/>
          <w:color w:val="000000"/>
        </w:rPr>
      </w:pPr>
      <w:r w:rsidRPr="004742E7">
        <w:rPr>
          <w:rFonts w:ascii="Times New Roman" w:hAnsi="Times New Roman" w:cs="Times New Roman"/>
        </w:rPr>
        <w:t>Urdhri nr. 417, datë 02.05.2018 i Drejtorit të Përgjithshëm të Policisë së Shtetit “Për formën dhe përmbajtjen e vërtetimit të besueshmërisë”;</w:t>
      </w:r>
    </w:p>
    <w:p w14:paraId="41EF6A44" w14:textId="77777777" w:rsidR="00682B8E" w:rsidRPr="004742E7" w:rsidRDefault="00682B8E" w:rsidP="00682B8E">
      <w:pPr>
        <w:pStyle w:val="ListParagraph"/>
        <w:spacing w:after="0" w:line="276" w:lineRule="auto"/>
        <w:ind w:right="-18"/>
        <w:jc w:val="both"/>
        <w:rPr>
          <w:rFonts w:ascii="Times New Roman" w:hAnsi="Times New Roman" w:cs="Times New Roman"/>
          <w:color w:val="000000"/>
        </w:rPr>
      </w:pPr>
    </w:p>
    <w:p w14:paraId="18CC8B7F" w14:textId="77777777" w:rsidR="00682B8E" w:rsidRPr="004742E7" w:rsidRDefault="00682B8E" w:rsidP="00300DC3">
      <w:pPr>
        <w:pStyle w:val="ListParagraph"/>
        <w:numPr>
          <w:ilvl w:val="1"/>
          <w:numId w:val="2"/>
        </w:numPr>
        <w:shd w:val="clear" w:color="auto" w:fill="FFFFFF"/>
        <w:spacing w:after="0" w:line="276" w:lineRule="auto"/>
        <w:jc w:val="both"/>
        <w:rPr>
          <w:rFonts w:ascii="Times New Roman" w:hAnsi="Times New Roman" w:cs="Times New Roman"/>
        </w:rPr>
      </w:pPr>
      <w:r w:rsidRPr="004742E7">
        <w:rPr>
          <w:rFonts w:ascii="Times New Roman" w:hAnsi="Times New Roman" w:cs="Times New Roman"/>
        </w:rPr>
        <w:t>Urdhri i Drejtorit të Përgjithshëm të Policisë së Shtetit nr. 115, datë 25.01.2019 “Për organizimin e punës në procesin e përafrimit të legjislacionit në kuadër të procesit të integrimit evropian”;</w:t>
      </w:r>
    </w:p>
    <w:p w14:paraId="7A1043FA" w14:textId="77777777" w:rsidR="00682B8E" w:rsidRPr="004742E7" w:rsidRDefault="00682B8E" w:rsidP="00682B8E">
      <w:pPr>
        <w:pStyle w:val="ListParagraph"/>
        <w:shd w:val="clear" w:color="auto" w:fill="FFFFFF"/>
        <w:spacing w:after="0" w:line="276" w:lineRule="auto"/>
        <w:jc w:val="both"/>
        <w:rPr>
          <w:rFonts w:ascii="Times New Roman" w:hAnsi="Times New Roman" w:cs="Times New Roman"/>
        </w:rPr>
      </w:pPr>
    </w:p>
    <w:p w14:paraId="5D0CBA8A" w14:textId="77777777" w:rsidR="00682B8E" w:rsidRPr="004742E7" w:rsidRDefault="00682B8E" w:rsidP="00300DC3">
      <w:pPr>
        <w:pStyle w:val="ListParagraph"/>
        <w:numPr>
          <w:ilvl w:val="1"/>
          <w:numId w:val="2"/>
        </w:numPr>
        <w:shd w:val="clear" w:color="auto" w:fill="FFFFFF"/>
        <w:spacing w:after="0" w:line="276" w:lineRule="auto"/>
        <w:jc w:val="both"/>
        <w:rPr>
          <w:rFonts w:ascii="Times New Roman" w:hAnsi="Times New Roman" w:cs="Times New Roman"/>
        </w:rPr>
      </w:pPr>
      <w:r w:rsidRPr="004742E7">
        <w:rPr>
          <w:rFonts w:ascii="Times New Roman" w:hAnsi="Times New Roman" w:cs="Times New Roman"/>
        </w:rPr>
        <w:t>Urdhër i Drejtorit të Përgjithshëm të Burgjeve nr.5230/1 datë 24.08.2009 “Për miratimin e normave të plotësimit me armatime e municione për punonjësit e Policisë së Burgjeve”;</w:t>
      </w:r>
    </w:p>
    <w:p w14:paraId="4C5D2F8D" w14:textId="77777777" w:rsidR="00682B8E" w:rsidRPr="004742E7" w:rsidRDefault="00682B8E" w:rsidP="00682B8E">
      <w:pPr>
        <w:shd w:val="clear" w:color="auto" w:fill="FFFFFF"/>
        <w:spacing w:after="0" w:line="276" w:lineRule="auto"/>
        <w:jc w:val="both"/>
        <w:rPr>
          <w:rFonts w:ascii="Times New Roman" w:hAnsi="Times New Roman" w:cs="Times New Roman"/>
        </w:rPr>
      </w:pPr>
    </w:p>
    <w:p w14:paraId="5418E6E3" w14:textId="4322C8D6" w:rsidR="00682B8E" w:rsidRPr="004742E7" w:rsidRDefault="00682B8E" w:rsidP="00300DC3">
      <w:pPr>
        <w:pStyle w:val="ListParagraph"/>
        <w:numPr>
          <w:ilvl w:val="1"/>
          <w:numId w:val="2"/>
        </w:numPr>
        <w:shd w:val="clear" w:color="auto" w:fill="FFFFFF"/>
        <w:spacing w:after="0" w:line="276" w:lineRule="auto"/>
        <w:jc w:val="both"/>
        <w:rPr>
          <w:rFonts w:ascii="Times New Roman" w:hAnsi="Times New Roman" w:cs="Times New Roman"/>
        </w:rPr>
      </w:pPr>
      <w:r w:rsidRPr="004742E7">
        <w:rPr>
          <w:rFonts w:ascii="Times New Roman" w:hAnsi="Times New Roman" w:cs="Times New Roman"/>
        </w:rPr>
        <w:t>Urdhër i Drejtorit të Përgjithshëm të Burgjeve nr. 6596/1  datë 24.08.2009 “Për miratimin e  mjeteve dhe pajisjeve në përdorim të policisë së burgjeve”;</w:t>
      </w:r>
    </w:p>
    <w:p w14:paraId="40C0B323" w14:textId="77777777" w:rsidR="003A43CC" w:rsidRPr="004742E7" w:rsidRDefault="003A43CC" w:rsidP="003A43CC">
      <w:pPr>
        <w:shd w:val="clear" w:color="auto" w:fill="FFFFFF"/>
        <w:spacing w:after="0" w:line="276" w:lineRule="auto"/>
        <w:jc w:val="both"/>
        <w:rPr>
          <w:rFonts w:ascii="Times New Roman" w:hAnsi="Times New Roman" w:cs="Times New Roman"/>
        </w:rPr>
      </w:pPr>
    </w:p>
    <w:p w14:paraId="5A5E7FDC" w14:textId="77777777" w:rsidR="00682B8E" w:rsidRPr="004742E7" w:rsidRDefault="00682B8E" w:rsidP="00300DC3">
      <w:pPr>
        <w:pStyle w:val="ListParagraph"/>
        <w:numPr>
          <w:ilvl w:val="1"/>
          <w:numId w:val="2"/>
        </w:numPr>
        <w:spacing w:before="240" w:after="0" w:line="276" w:lineRule="auto"/>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lastRenderedPageBreak/>
        <w:t>Urdhri i Drejtorit të Përgjithshëm të Policisë së Shtetit “Për miratimin e procedurave të certifikimit dhe formatit të certifikatës së drejtuesit teknik për veprimtarinë e lejuar me armë”;</w:t>
      </w:r>
    </w:p>
    <w:p w14:paraId="765BFC40" w14:textId="77777777" w:rsidR="00682B8E" w:rsidRPr="004742E7" w:rsidRDefault="00682B8E" w:rsidP="00682B8E">
      <w:pPr>
        <w:spacing w:before="240" w:after="0" w:line="276" w:lineRule="auto"/>
        <w:jc w:val="both"/>
        <w:rPr>
          <w:rFonts w:ascii="Times New Roman" w:eastAsia="Times New Roman" w:hAnsi="Times New Roman" w:cs="Times New Roman"/>
          <w:color w:val="000000"/>
        </w:rPr>
      </w:pPr>
    </w:p>
    <w:p w14:paraId="41E92194" w14:textId="77777777" w:rsidR="00682B8E" w:rsidRPr="004742E7" w:rsidRDefault="00682B8E" w:rsidP="00300DC3">
      <w:pPr>
        <w:pStyle w:val="ListParagraph"/>
        <w:numPr>
          <w:ilvl w:val="1"/>
          <w:numId w:val="2"/>
        </w:numPr>
        <w:spacing w:after="0" w:line="276" w:lineRule="auto"/>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Urdhri i Drejtorit të Përgjithshëm të Policisë së Shtetit nr. 1214 dt. 06.12.2021 “Procedura standarde e veprimit në rastet e zbulimit të armëve/municioneve/lëndëve plasëse që paraqesin rreziqe të konsiderueshme ndaj sigurisë dhe mbrojtjes”;</w:t>
      </w:r>
    </w:p>
    <w:p w14:paraId="27BA0E33" w14:textId="77777777" w:rsidR="00682B8E" w:rsidRPr="004742E7" w:rsidRDefault="00682B8E" w:rsidP="00682B8E">
      <w:pPr>
        <w:spacing w:after="0" w:line="276" w:lineRule="auto"/>
        <w:jc w:val="both"/>
        <w:rPr>
          <w:rFonts w:ascii="Times New Roman" w:eastAsia="Times New Roman" w:hAnsi="Times New Roman" w:cs="Times New Roman"/>
          <w:color w:val="000000"/>
        </w:rPr>
      </w:pPr>
    </w:p>
    <w:p w14:paraId="27BF6F6E" w14:textId="0B8C332F" w:rsidR="00682B8E" w:rsidRPr="004742E7" w:rsidRDefault="00682B8E" w:rsidP="00300DC3">
      <w:pPr>
        <w:pStyle w:val="ListParagraph"/>
        <w:numPr>
          <w:ilvl w:val="1"/>
          <w:numId w:val="2"/>
        </w:numPr>
        <w:spacing w:after="0" w:line="276" w:lineRule="auto"/>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 xml:space="preserve">Urdhri i Drejtorit të Përgjithshëm të Policisë së Shtetit  </w:t>
      </w:r>
      <w:r w:rsidRPr="000A5B69">
        <w:rPr>
          <w:rFonts w:ascii="Times New Roman" w:eastAsia="Times New Roman" w:hAnsi="Times New Roman" w:cs="Times New Roman"/>
        </w:rPr>
        <w:t xml:space="preserve">nr. </w:t>
      </w:r>
      <w:r w:rsidR="0076641D">
        <w:rPr>
          <w:rFonts w:ascii="Times New Roman" w:eastAsia="Times New Roman" w:hAnsi="Times New Roman" w:cs="Times New Roman"/>
        </w:rPr>
        <w:t>923</w:t>
      </w:r>
      <w:r w:rsidRPr="000A5B69">
        <w:rPr>
          <w:rFonts w:ascii="Times New Roman" w:eastAsia="Times New Roman" w:hAnsi="Times New Roman" w:cs="Times New Roman"/>
        </w:rPr>
        <w:t xml:space="preserve">, datë </w:t>
      </w:r>
      <w:r w:rsidR="0076641D">
        <w:rPr>
          <w:rFonts w:ascii="Times New Roman" w:eastAsia="Times New Roman" w:hAnsi="Times New Roman" w:cs="Times New Roman"/>
        </w:rPr>
        <w:t>23</w:t>
      </w:r>
      <w:r w:rsidRPr="000A5B69">
        <w:rPr>
          <w:rFonts w:ascii="Times New Roman" w:eastAsia="Times New Roman" w:hAnsi="Times New Roman" w:cs="Times New Roman"/>
        </w:rPr>
        <w:t>.0</w:t>
      </w:r>
      <w:r w:rsidR="0076641D">
        <w:rPr>
          <w:rFonts w:ascii="Times New Roman" w:eastAsia="Times New Roman" w:hAnsi="Times New Roman" w:cs="Times New Roman"/>
        </w:rPr>
        <w:t>6</w:t>
      </w:r>
      <w:r w:rsidRPr="000A5B69">
        <w:rPr>
          <w:rFonts w:ascii="Times New Roman" w:eastAsia="Times New Roman" w:hAnsi="Times New Roman" w:cs="Times New Roman"/>
        </w:rPr>
        <w:t>.202</w:t>
      </w:r>
      <w:r w:rsidR="0076641D">
        <w:rPr>
          <w:rFonts w:ascii="Times New Roman" w:eastAsia="Times New Roman" w:hAnsi="Times New Roman" w:cs="Times New Roman"/>
        </w:rPr>
        <w:t>5</w:t>
      </w:r>
      <w:r w:rsidRPr="000A5B69">
        <w:rPr>
          <w:rFonts w:ascii="Times New Roman" w:eastAsia="Times New Roman" w:hAnsi="Times New Roman" w:cs="Times New Roman"/>
        </w:rPr>
        <w:t xml:space="preserve"> </w:t>
      </w:r>
      <w:r w:rsidRPr="004742E7">
        <w:rPr>
          <w:rFonts w:ascii="Times New Roman" w:eastAsia="Times New Roman" w:hAnsi="Times New Roman" w:cs="Times New Roman"/>
          <w:color w:val="000000"/>
        </w:rPr>
        <w:t>“Raste</w:t>
      </w:r>
      <w:r w:rsidR="007C523F" w:rsidRPr="004742E7">
        <w:rPr>
          <w:rFonts w:ascii="Times New Roman" w:eastAsia="Times New Roman" w:hAnsi="Times New Roman" w:cs="Times New Roman"/>
          <w:color w:val="000000"/>
        </w:rPr>
        <w:t>t, modalitetet dhe strukturat q</w:t>
      </w:r>
      <w:r w:rsidR="00D06887" w:rsidRPr="004742E7">
        <w:rPr>
          <w:rFonts w:ascii="Times New Roman" w:eastAsia="Times New Roman" w:hAnsi="Times New Roman" w:cs="Times New Roman"/>
          <w:color w:val="000000"/>
        </w:rPr>
        <w:t>ë</w:t>
      </w:r>
      <w:r w:rsidRPr="004742E7">
        <w:rPr>
          <w:rFonts w:ascii="Times New Roman" w:eastAsia="Times New Roman" w:hAnsi="Times New Roman" w:cs="Times New Roman"/>
          <w:color w:val="000000"/>
        </w:rPr>
        <w:t xml:space="preserve"> hartojnë vërtetimin e besueshmërisë”;</w:t>
      </w:r>
    </w:p>
    <w:p w14:paraId="76228B93" w14:textId="77777777" w:rsidR="00682B8E" w:rsidRPr="004742E7" w:rsidRDefault="00682B8E" w:rsidP="00682B8E">
      <w:pPr>
        <w:pStyle w:val="ListParagraph"/>
        <w:spacing w:after="0" w:line="276" w:lineRule="auto"/>
        <w:jc w:val="both"/>
        <w:rPr>
          <w:rFonts w:ascii="Times New Roman" w:eastAsia="Times New Roman" w:hAnsi="Times New Roman" w:cs="Times New Roman"/>
          <w:color w:val="000000"/>
        </w:rPr>
      </w:pPr>
    </w:p>
    <w:p w14:paraId="26518495" w14:textId="77777777" w:rsidR="00682B8E" w:rsidRPr="004742E7" w:rsidRDefault="00682B8E" w:rsidP="00300DC3">
      <w:pPr>
        <w:pStyle w:val="ListParagraph"/>
        <w:numPr>
          <w:ilvl w:val="1"/>
          <w:numId w:val="2"/>
        </w:numPr>
        <w:spacing w:after="0" w:line="276" w:lineRule="auto"/>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Udhëzim i Ministrit të Brendshëm nr. 334, datë 28.10.2021 për disa shtesa dhe ndryshime në udhëzimin e Ministrit të Brendshëm nr. 262, datë 25.5.2015, “Për procedurat për lëshimin/revokimin e dëshmisë për aftësimin teorik e praktik për armët, formati i saj, si dhe procedurat e certifikatës për drejtues teknik, për veprimtaritë e lejuara me armët, për programin e kursit të trajnimit, për aftësimin teorik dhe praktik për armët dhe kushtet e objektit ku zhvillohet ky program”;</w:t>
      </w:r>
    </w:p>
    <w:p w14:paraId="20581D79" w14:textId="77777777" w:rsidR="00682B8E" w:rsidRPr="004742E7" w:rsidRDefault="00682B8E" w:rsidP="00682B8E">
      <w:pPr>
        <w:spacing w:after="0" w:line="276" w:lineRule="auto"/>
        <w:jc w:val="both"/>
        <w:rPr>
          <w:rFonts w:ascii="Times New Roman" w:eastAsia="Times New Roman" w:hAnsi="Times New Roman" w:cs="Times New Roman"/>
          <w:color w:val="000000"/>
        </w:rPr>
      </w:pPr>
    </w:p>
    <w:p w14:paraId="6F6F8086" w14:textId="77777777" w:rsidR="00682B8E" w:rsidRPr="004742E7" w:rsidRDefault="00682B8E" w:rsidP="00300DC3">
      <w:pPr>
        <w:pStyle w:val="ListParagraph"/>
        <w:numPr>
          <w:ilvl w:val="1"/>
          <w:numId w:val="2"/>
        </w:numPr>
        <w:spacing w:after="0" w:line="276" w:lineRule="auto"/>
        <w:jc w:val="both"/>
        <w:rPr>
          <w:rFonts w:ascii="Times New Roman" w:eastAsia="Times New Roman" w:hAnsi="Times New Roman" w:cs="Times New Roman"/>
          <w:color w:val="000000"/>
        </w:rPr>
      </w:pPr>
      <w:r w:rsidRPr="004742E7">
        <w:rPr>
          <w:rFonts w:ascii="Times New Roman" w:eastAsia="Times New Roman" w:hAnsi="Times New Roman" w:cs="Times New Roman"/>
          <w:color w:val="000000"/>
        </w:rPr>
        <w:t>Urdhri nr. 367 datë 18.11.2021 “Për përbërjen, detyrat dhe mënyrën e funksionimit të Komisionit për pajisjen e subjekteve me licencë/autorizim për veprimtarinë e lejuar me armë”;</w:t>
      </w:r>
    </w:p>
    <w:p w14:paraId="45BDF24E" w14:textId="77777777" w:rsidR="00041FA5" w:rsidRPr="004742E7" w:rsidRDefault="00041FA5" w:rsidP="00041FA5">
      <w:pPr>
        <w:jc w:val="both"/>
        <w:rPr>
          <w:rFonts w:ascii="Times New Roman" w:hAnsi="Times New Roman" w:cs="Times New Roman"/>
        </w:rPr>
      </w:pPr>
    </w:p>
    <w:p w14:paraId="52C99682" w14:textId="69FC2207" w:rsidR="00742FB9" w:rsidRPr="004742E7" w:rsidRDefault="00682B8E" w:rsidP="00300DC3">
      <w:pPr>
        <w:pStyle w:val="ListParagraph"/>
        <w:numPr>
          <w:ilvl w:val="1"/>
          <w:numId w:val="9"/>
        </w:numPr>
        <w:jc w:val="both"/>
        <w:rPr>
          <w:rFonts w:ascii="Times New Roman" w:hAnsi="Times New Roman" w:cs="Times New Roman"/>
          <w:b/>
          <w:bCs/>
        </w:rPr>
      </w:pPr>
      <w:r w:rsidRPr="004742E7">
        <w:rPr>
          <w:rFonts w:ascii="Times New Roman" w:hAnsi="Times New Roman" w:cs="Times New Roman"/>
          <w:b/>
          <w:bCs/>
        </w:rPr>
        <w:t>Arritjet</w:t>
      </w:r>
    </w:p>
    <w:p w14:paraId="589B15EC" w14:textId="550E3535" w:rsidR="00682B8E" w:rsidRPr="004742E7" w:rsidRDefault="00682B8E" w:rsidP="00682B8E">
      <w:pPr>
        <w:pStyle w:val="NormalWeb"/>
        <w:spacing w:line="276" w:lineRule="auto"/>
        <w:jc w:val="both"/>
      </w:pPr>
      <w:r w:rsidRPr="004742E7">
        <w:t>Ndër arritjet kryesore në kuadër të zbatimit të strategjisë dhe planit të veprimit për kontrollin e armëve të vogla dhe të lehta 2019-2024  përmendim</w:t>
      </w:r>
      <w:r w:rsidR="0030520F" w:rsidRPr="004742E7">
        <w:t>:</w:t>
      </w:r>
    </w:p>
    <w:p w14:paraId="50A4F6B2" w14:textId="00CF2BF8" w:rsidR="00682B8E" w:rsidRPr="004742E7" w:rsidRDefault="00EC4778" w:rsidP="00300DC3">
      <w:pPr>
        <w:pStyle w:val="NormalWeb"/>
        <w:numPr>
          <w:ilvl w:val="0"/>
          <w:numId w:val="3"/>
        </w:numPr>
        <w:spacing w:before="0" w:beforeAutospacing="0" w:after="0" w:afterAutospacing="0" w:line="276" w:lineRule="auto"/>
        <w:jc w:val="both"/>
      </w:pPr>
      <w:r w:rsidRPr="004742E7">
        <w:t>N</w:t>
      </w:r>
      <w:r w:rsidR="00682B8E" w:rsidRPr="004742E7">
        <w:t xml:space="preserve">gritja e </w:t>
      </w:r>
      <w:r w:rsidR="00682B8E" w:rsidRPr="004742E7">
        <w:rPr>
          <w:rStyle w:val="Strong"/>
          <w:rFonts w:eastAsiaTheme="majorEastAsia"/>
          <w:b w:val="0"/>
          <w:bCs w:val="0"/>
        </w:rPr>
        <w:t>Komisionit Kombëtar për Armët e Vogla dhe të Lehta</w:t>
      </w:r>
      <w:r w:rsidR="00682B8E" w:rsidRPr="004742E7">
        <w:t xml:space="preserve">, i cili është përmendur edhe në raportet e progresit të Komisionit Evropian gjatë viteve të fundit. Ky komision është një organ kyç në sigurimin e kontrollit dhe rregullimit të posedimit, përdorimit dhe trafikimit të armëve të vogla dhe të lehta. </w:t>
      </w:r>
      <w:r w:rsidR="00682B8E" w:rsidRPr="004742E7">
        <w:rPr>
          <w:rStyle w:val="Strong"/>
          <w:rFonts w:eastAsiaTheme="majorEastAsia"/>
          <w:b w:val="0"/>
          <w:bCs w:val="0"/>
        </w:rPr>
        <w:t>Funksioni kryesor i tij</w:t>
      </w:r>
      <w:r w:rsidR="00682B8E" w:rsidRPr="004742E7">
        <w:t xml:space="preserve"> është monitorimi dhe zbatimi i politikave kombëtare dhe ndërkombëtare në këtë fushë, përmes bashkëpunimit ndërinstitucional dhe me partnerët ndërkombëtarë;</w:t>
      </w:r>
    </w:p>
    <w:p w14:paraId="6398E88C" w14:textId="77777777" w:rsidR="00682B8E" w:rsidRPr="004742E7" w:rsidRDefault="00682B8E" w:rsidP="00EC4778">
      <w:pPr>
        <w:pStyle w:val="NormalWeb"/>
        <w:spacing w:before="0" w:beforeAutospacing="0" w:after="0" w:afterAutospacing="0" w:line="276" w:lineRule="auto"/>
        <w:ind w:left="360"/>
        <w:jc w:val="both"/>
      </w:pPr>
    </w:p>
    <w:p w14:paraId="7C1E338C" w14:textId="6132595A" w:rsidR="00682B8E" w:rsidRPr="004742E7" w:rsidRDefault="00EC4778" w:rsidP="00300DC3">
      <w:pPr>
        <w:pStyle w:val="NormalWeb"/>
        <w:numPr>
          <w:ilvl w:val="0"/>
          <w:numId w:val="3"/>
        </w:numPr>
        <w:spacing w:before="0" w:beforeAutospacing="0" w:after="0" w:afterAutospacing="0" w:line="276" w:lineRule="auto"/>
        <w:jc w:val="both"/>
      </w:pPr>
      <w:r w:rsidRPr="004742E7">
        <w:t>K</w:t>
      </w:r>
      <w:r w:rsidR="00682B8E" w:rsidRPr="004742E7">
        <w:t xml:space="preserve">rijimi i </w:t>
      </w:r>
      <w:r w:rsidR="00682B8E" w:rsidRPr="004742E7">
        <w:rPr>
          <w:rStyle w:val="Strong"/>
          <w:rFonts w:eastAsiaTheme="majorEastAsia"/>
          <w:b w:val="0"/>
          <w:bCs w:val="0"/>
        </w:rPr>
        <w:t>Njësisë Qendrore të Armëve të Zjarrit</w:t>
      </w:r>
      <w:r w:rsidR="00682B8E" w:rsidRPr="004742E7">
        <w:t xml:space="preserve"> si një strukturë në kuadër të Departamentit të Policisë Kriminale në Policinë e Shtetit përfaqëson një mekanizëm të specializuar për forcimin e kapaciteteve institucionale në kontrollin, parandalimin dhe luftën kundër veprimtarive të paligjshme që lidhen me armët, municionet dhe materialet shpërthyese. Kjo njësi do të ketë një mandat të qartë për koordinimin e hetimeve, mbledhjen dhe analizimin e të dhënave, </w:t>
      </w:r>
      <w:r w:rsidR="00682B8E" w:rsidRPr="004742E7">
        <w:lastRenderedPageBreak/>
        <w:t>gjurmimin balistik dhe kriminalistik të armëve, si dhe bashkëpunimin me strukturat kombëtare dhe ndërkombëtare për shkëmbimin e informacionit dhe zbatimin e standardeve të përbashkëta. Njësia do të shërbejë gjithashtu si pikë kombëtare kontakti për bashkëpunim ndërkufitar dhe ndërinstitucional, duke kontribuar drejtpërdrejt në përmbushjen e objektivave strategjike të sigurisë dhe detyrimeve të Shqipërisë në kuadër të procesit të integrimit evropian dhe marrëveshjeve ndërkombëtare për</w:t>
      </w:r>
      <w:r w:rsidR="003234A0" w:rsidRPr="004742E7">
        <w:t xml:space="preserve"> kontrollin e armëve të zjarrit,</w:t>
      </w:r>
      <w:r w:rsidR="00682B8E" w:rsidRPr="004742E7">
        <w:t xml:space="preserve"> përmbushje e rekomandimit kryesor të Komisionit Evropian. </w:t>
      </w:r>
    </w:p>
    <w:p w14:paraId="2DAC8942" w14:textId="77777777" w:rsidR="00682B8E" w:rsidRPr="004742E7" w:rsidRDefault="00682B8E" w:rsidP="00EC4778">
      <w:pPr>
        <w:pStyle w:val="ListParagraph"/>
        <w:jc w:val="both"/>
        <w:rPr>
          <w:rFonts w:ascii="Times New Roman" w:hAnsi="Times New Roman" w:cs="Times New Roman"/>
        </w:rPr>
      </w:pPr>
    </w:p>
    <w:p w14:paraId="4F1A6525" w14:textId="42935756" w:rsidR="00682B8E" w:rsidRPr="004742E7" w:rsidRDefault="00EC4778" w:rsidP="00300DC3">
      <w:pPr>
        <w:pStyle w:val="NormalWeb"/>
        <w:numPr>
          <w:ilvl w:val="0"/>
          <w:numId w:val="3"/>
        </w:numPr>
        <w:spacing w:before="0" w:beforeAutospacing="0" w:after="0" w:afterAutospacing="0" w:line="276" w:lineRule="auto"/>
        <w:jc w:val="both"/>
      </w:pPr>
      <w:r w:rsidRPr="004742E7">
        <w:t>A</w:t>
      </w:r>
      <w:r w:rsidR="00682B8E" w:rsidRPr="004742E7">
        <w:t xml:space="preserve">rritja e  disa nga objektivat kyç të planit të veprimit për kontrollin e armëve, duke miratuar një kuadër ligjor të përditësuar dhe të harmonizuar me rregulloret e </w:t>
      </w:r>
      <w:r w:rsidR="00682B8E" w:rsidRPr="004742E7">
        <w:rPr>
          <w:rStyle w:val="Strong"/>
          <w:rFonts w:eastAsiaTheme="majorEastAsia"/>
          <w:b w:val="0"/>
          <w:bCs w:val="0"/>
        </w:rPr>
        <w:t>Bashkimit Evropian</w:t>
      </w:r>
      <w:r w:rsidR="00682B8E" w:rsidRPr="004742E7">
        <w:t xml:space="preserve"> dhe detyrimet ndërkombëtare. Ky përmirësim legjislativ krijoi bazën për politika më efektive dhe standardizim me vendet e tjera të rajonit, duke forcuar bashkëpunimin rajonal dhe ndërkombëtar. Konkretisht, në vitin 2020, Shqipëria rishikoi kuadrin ligjor në fushën e armëve duke miratuar ndryshimet në ligjin 74/2014 “Për armët”, e cila pasoi me miratimin e dy ligjeve të rëndësishme për lëndët plasëse dhe artikujt piroteknikë (përkatësisht ligji 74/2021 “Për hedhjen në treg dhe mbikëqyrjen e lëndëve plasëse për përdorim civil” dhe ligjin 73/2021  “Për hedhjen në treg dhe mbikëqyrjen e artikujve piroteknikë”)</w:t>
      </w:r>
      <w:r w:rsidR="003234A0" w:rsidRPr="004742E7">
        <w:t>,</w:t>
      </w:r>
      <w:r w:rsidR="00682B8E" w:rsidRPr="004742E7">
        <w:t xml:space="preserve"> si edhe rregulloren për çaktivizimin e armëve të zjarrit me vendimin e Këshillit të Min</w:t>
      </w:r>
      <w:r w:rsidR="003234A0" w:rsidRPr="004742E7">
        <w:t>i</w:t>
      </w:r>
      <w:r w:rsidR="00682B8E" w:rsidRPr="004742E7">
        <w:t xml:space="preserve">strave nr. 348, datë 26.05.2022 “Rregullorja “Standardet dhe teknikat e çaktivizimit të armëve të zjarrit dhe pjesëve kryesore të tyre”, ku të gjitha këto akte përafruan legjislacionin përkatës të Bashkimit Evropian për fushën specifike përkatëse. </w:t>
      </w:r>
    </w:p>
    <w:p w14:paraId="42A710D0" w14:textId="77777777" w:rsidR="00682B8E" w:rsidRPr="004742E7" w:rsidRDefault="00682B8E" w:rsidP="00EC4778">
      <w:pPr>
        <w:pStyle w:val="NormalWeb"/>
        <w:spacing w:before="0" w:beforeAutospacing="0" w:after="0" w:afterAutospacing="0" w:line="276" w:lineRule="auto"/>
        <w:ind w:left="360"/>
        <w:jc w:val="both"/>
      </w:pPr>
    </w:p>
    <w:p w14:paraId="1E3CC345" w14:textId="26980967" w:rsidR="00682B8E" w:rsidRPr="004742E7" w:rsidRDefault="00EC4778" w:rsidP="00300DC3">
      <w:pPr>
        <w:pStyle w:val="NormalWeb"/>
        <w:numPr>
          <w:ilvl w:val="0"/>
          <w:numId w:val="3"/>
        </w:numPr>
        <w:spacing w:before="0" w:beforeAutospacing="0" w:after="0" w:afterAutospacing="0" w:line="276" w:lineRule="auto"/>
        <w:jc w:val="both"/>
      </w:pPr>
      <w:r w:rsidRPr="004742E7">
        <w:t>P</w:t>
      </w:r>
      <w:r w:rsidR="00682B8E" w:rsidRPr="004742E7">
        <w:t xml:space="preserve">rogresi drejt objektivave për realizim deri në vitin 2024 ka qenë i dukshëm, veçanërisht në bazimin e politikave të kontrollit të armëve mbi statistika dhe të dhëna të inteligjencës. Përmirësimi i mekanizmave të mbledhjes dhe analizimit të informacionit ka mundësuar një qasje më të strukturuar në luftën kundër trafikimit të paligjshëm të armëve, duke reduktuar në mënyrë të konsiderueshme qarkullimin e tyre brenda dhe jashtë </w:t>
      </w:r>
      <w:r w:rsidR="00682B8E" w:rsidRPr="004742E7">
        <w:rPr>
          <w:rStyle w:val="Strong"/>
          <w:rFonts w:eastAsiaTheme="majorEastAsia"/>
          <w:b w:val="0"/>
          <w:bCs w:val="0"/>
        </w:rPr>
        <w:t>Republikës së Shqipërisë</w:t>
      </w:r>
      <w:r w:rsidR="00682B8E" w:rsidRPr="004742E7">
        <w:rPr>
          <w:b/>
          <w:bCs/>
        </w:rPr>
        <w:t>.</w:t>
      </w:r>
    </w:p>
    <w:p w14:paraId="1C1C0164" w14:textId="77777777" w:rsidR="00682B8E" w:rsidRPr="004742E7" w:rsidRDefault="00682B8E" w:rsidP="00EC4778">
      <w:pPr>
        <w:pStyle w:val="NormalWeb"/>
        <w:spacing w:before="0" w:beforeAutospacing="0" w:after="0" w:afterAutospacing="0" w:line="276" w:lineRule="auto"/>
        <w:ind w:left="360"/>
        <w:jc w:val="both"/>
      </w:pPr>
    </w:p>
    <w:p w14:paraId="796E0C34" w14:textId="3C5B34EA" w:rsidR="00682B8E" w:rsidRPr="004742E7" w:rsidRDefault="00EC4778" w:rsidP="00300DC3">
      <w:pPr>
        <w:pStyle w:val="NormalWeb"/>
        <w:numPr>
          <w:ilvl w:val="0"/>
          <w:numId w:val="3"/>
        </w:numPr>
        <w:spacing w:before="0" w:beforeAutospacing="0" w:after="0" w:afterAutospacing="0" w:line="276" w:lineRule="auto"/>
        <w:jc w:val="both"/>
      </w:pPr>
      <w:r w:rsidRPr="004742E7">
        <w:t>R</w:t>
      </w:r>
      <w:r w:rsidR="00682B8E" w:rsidRPr="004742E7">
        <w:t xml:space="preserve">eduktimi i kërkesës dhe keqpërdorimit të armëve përmes </w:t>
      </w:r>
      <w:r w:rsidR="00682B8E" w:rsidRPr="004742E7">
        <w:rPr>
          <w:rStyle w:val="Strong"/>
          <w:rFonts w:eastAsiaTheme="majorEastAsia"/>
          <w:b w:val="0"/>
          <w:bCs w:val="0"/>
        </w:rPr>
        <w:t>fushatave të ndërgjegjësimit, edukimit dhe informimit të publikut</w:t>
      </w:r>
      <w:r w:rsidR="00682B8E" w:rsidRPr="004742E7">
        <w:rPr>
          <w:b/>
          <w:bCs/>
        </w:rPr>
        <w:t>.</w:t>
      </w:r>
      <w:r w:rsidR="00682B8E" w:rsidRPr="004742E7">
        <w:t xml:space="preserve"> Shqipëria zhvilloi për her</w:t>
      </w:r>
      <w:r w:rsidR="00D06887" w:rsidRPr="004742E7">
        <w:t>ë</w:t>
      </w:r>
      <w:r w:rsidR="00682B8E" w:rsidRPr="004742E7">
        <w:t xml:space="preserve"> të par</w:t>
      </w:r>
      <w:r w:rsidR="00D06887" w:rsidRPr="004742E7">
        <w:t>ë</w:t>
      </w:r>
      <w:r w:rsidR="00682B8E" w:rsidRPr="004742E7">
        <w:t xml:space="preserve"> një Strategji për Komunikimin dhe Ndërgjegjësimin ndaj Keqpërdorimit të Armëve të Zjarrit me asistencën e OSBE dhe UNDP Albania, si edhe krijoi Task-Forcën Kombëtare me përfaqësues nga Ministria e Brendshme dhe Policia e Shtetit për të koordinuar, kontribuar, orientuar dhe institucionalizuar të gjitha përpjekjet dhe aktivitetet për ndërgjegjësimin me ndihmën e institucioneve relevante, partnerëve ndërkombëtarë dhe shoqërisë civile. Kjo ka ndihmuar në uljen e numrit të armëve të mbajtura ilegalisht dhe ka rritur kontrollin mbi armët që ndodhen në qarkullim. Paralelisht, është bërë një përpjekje e vazhdueshme për shkatërrimin sistematik të armëve dhe municioneve të kapura, duke reduktuar rrezikun e riqarkullimit të tyre dhe devijimit drejt tregut të zi.</w:t>
      </w:r>
    </w:p>
    <w:p w14:paraId="0DD70D8C" w14:textId="77777777" w:rsidR="00682B8E" w:rsidRPr="004742E7" w:rsidRDefault="00682B8E" w:rsidP="00EC4778">
      <w:pPr>
        <w:pStyle w:val="NormalWeb"/>
        <w:spacing w:before="0" w:beforeAutospacing="0" w:after="0" w:afterAutospacing="0" w:line="276" w:lineRule="auto"/>
        <w:ind w:left="360"/>
        <w:jc w:val="both"/>
      </w:pPr>
    </w:p>
    <w:p w14:paraId="0E2F61A5" w14:textId="53D8D7F8" w:rsidR="00682B8E" w:rsidRPr="004742E7" w:rsidRDefault="00EC4778" w:rsidP="00300DC3">
      <w:pPr>
        <w:pStyle w:val="NormalWeb"/>
        <w:numPr>
          <w:ilvl w:val="0"/>
          <w:numId w:val="3"/>
        </w:numPr>
        <w:spacing w:before="0" w:beforeAutospacing="0" w:after="0" w:afterAutospacing="0" w:line="276" w:lineRule="auto"/>
        <w:jc w:val="both"/>
      </w:pPr>
      <w:r w:rsidRPr="004742E7">
        <w:lastRenderedPageBreak/>
        <w:t>N</w:t>
      </w:r>
      <w:r w:rsidR="00682B8E" w:rsidRPr="004742E7">
        <w:t xml:space="preserve">gritja dhe funksionimi </w:t>
      </w:r>
      <w:r w:rsidR="0030520F" w:rsidRPr="004742E7">
        <w:t>i</w:t>
      </w:r>
      <w:r w:rsidR="00682B8E" w:rsidRPr="004742E7">
        <w:t xml:space="preserve"> Sistemit të Menaxhimit Policor të Çështjes, një platformë e integruar për shkëmbimin e informacionit në fushën e drejtësisë penale, me synim përfshirjen e Policisë së Shtetit, Prokurorisë dhe Gjykatave. Aktualisht, sistemi përdoret dhe përditësohet nga Policia e Shtetit, ndërsa janë ndërmarrë hapa konkretë për zgjerimin e aksesit dhe funksionalitetit të tij edhe për institucionet e tjera të drejtësisë. Kjo përbën një hap të rëndësishëm drejt krijimit të një sistemi të unifikuar dhe efikas për shkëmbimin e të dhënave, përfshirë ato që lidhen me rastet e ndjekura penalisht dhe të gjykuara që përfshijnë përdorimin e armëve të zjarrit.</w:t>
      </w:r>
    </w:p>
    <w:p w14:paraId="4AC1A9BE" w14:textId="77777777" w:rsidR="00682B8E" w:rsidRPr="004742E7" w:rsidRDefault="00682B8E" w:rsidP="00EC4778">
      <w:pPr>
        <w:pStyle w:val="NormalWeb"/>
        <w:spacing w:before="0" w:beforeAutospacing="0" w:after="0" w:afterAutospacing="0" w:line="276" w:lineRule="auto"/>
        <w:ind w:left="360"/>
        <w:jc w:val="both"/>
      </w:pPr>
    </w:p>
    <w:p w14:paraId="0299BDB6" w14:textId="0ACF5187" w:rsidR="00682B8E" w:rsidRPr="004742E7" w:rsidRDefault="00EC4778" w:rsidP="00300DC3">
      <w:pPr>
        <w:pStyle w:val="NormalWeb"/>
        <w:numPr>
          <w:ilvl w:val="0"/>
          <w:numId w:val="3"/>
        </w:numPr>
        <w:spacing w:before="0" w:beforeAutospacing="0" w:after="0" w:afterAutospacing="0" w:line="276" w:lineRule="auto"/>
        <w:jc w:val="both"/>
      </w:pPr>
      <w:r w:rsidRPr="004742E7">
        <w:t>F</w:t>
      </w:r>
      <w:r w:rsidR="00682B8E" w:rsidRPr="004742E7">
        <w:t xml:space="preserve">orcimi i bashkëpunimit dypalësh, rajonal dhe ndërkombëtar në luftën kundër trafikimit të armëve të zjarrit, përmes mekanizmave ekzistues dhe nxitjes së praktikave të reja të bashkëpunimit operacional dhe shkëmbimit të informacionit. Policia e Shtetit ka intensifikuar bashkëpunimin me FRONTEX në pikat e kalimit kufitar përmes zbatimit të Operacionit të Përbashkët JO FOA </w:t>
      </w:r>
      <w:r w:rsidR="00D06887" w:rsidRPr="004742E7">
        <w:t>Ë</w:t>
      </w:r>
      <w:r w:rsidR="00682B8E" w:rsidRPr="004742E7">
        <w:t>estern Balkans, si dhe ka rritur shkëmbimin e vazhdueshëm të informacionit me Europol dhe Interpol, në kuadër të hetimeve të përbashkëta dhe kontrollit të armëve të zjarrit në sistemin kombëtar SIMA</w:t>
      </w:r>
      <w:r w:rsidR="00682B8E" w:rsidRPr="000A5B69">
        <w:t xml:space="preserve">. </w:t>
      </w:r>
      <w:r w:rsidR="008F625F" w:rsidRPr="000A5B69">
        <w:t>Në fushën e trajnimeve janë miratuar procedurat për trajnimin, trajtimin dhe përdorimin e qenve policorë sipas standardeve evropianë me mbështetjen e ekspertëve në kuadër të projekteve të financuara nga Republika Federale e Gjermanisë, Republika e Francës dhe BE-së, të zbatuara nga OSBE, si dhe janë bërë trajnime nga Xhandarmëria Franceze për zbulimin e armëve të vogla dhe të lehta nga qentë policorë</w:t>
      </w:r>
      <w:r w:rsidR="008F625F" w:rsidRPr="004742E7">
        <w:rPr>
          <w:bCs/>
          <w:color w:val="FF0000"/>
        </w:rPr>
        <w:t xml:space="preserve">. </w:t>
      </w:r>
      <w:r w:rsidR="00682B8E" w:rsidRPr="004742E7">
        <w:t>Këto zhvillime përbëjnë një hap të rëndësishëm drejt përmirësimit të koordinimit ndërkombëtar dhe rritjes së efikasitetit në parandalimin dhe goditjen e krimeve që lidhen me armët e zjarrit."</w:t>
      </w:r>
    </w:p>
    <w:p w14:paraId="5F0FA0DE" w14:textId="77777777" w:rsidR="00682B8E" w:rsidRPr="004742E7" w:rsidRDefault="00682B8E" w:rsidP="00EC4778">
      <w:pPr>
        <w:pStyle w:val="NormalWeb"/>
        <w:spacing w:before="0" w:beforeAutospacing="0" w:after="0" w:afterAutospacing="0" w:line="276" w:lineRule="auto"/>
        <w:ind w:left="360"/>
        <w:jc w:val="both"/>
      </w:pPr>
    </w:p>
    <w:p w14:paraId="759B55DD" w14:textId="1373014F" w:rsidR="00682B8E" w:rsidRPr="004742E7" w:rsidRDefault="00EC4778" w:rsidP="00300DC3">
      <w:pPr>
        <w:pStyle w:val="NormalWeb"/>
        <w:numPr>
          <w:ilvl w:val="0"/>
          <w:numId w:val="3"/>
        </w:numPr>
        <w:spacing w:before="0" w:beforeAutospacing="0" w:after="0" w:afterAutospacing="0" w:line="276" w:lineRule="auto"/>
        <w:jc w:val="both"/>
        <w:rPr>
          <w:rStyle w:val="Strong"/>
          <w:b w:val="0"/>
          <w:bCs w:val="0"/>
        </w:rPr>
      </w:pPr>
      <w:r w:rsidRPr="004742E7">
        <w:rPr>
          <w:rStyle w:val="Strong"/>
          <w:rFonts w:eastAsiaTheme="majorEastAsia"/>
          <w:b w:val="0"/>
          <w:bCs w:val="0"/>
        </w:rPr>
        <w:t>K</w:t>
      </w:r>
      <w:r w:rsidR="00682B8E" w:rsidRPr="004742E7">
        <w:rPr>
          <w:rStyle w:val="Strong"/>
          <w:rFonts w:eastAsiaTheme="majorEastAsia"/>
          <w:b w:val="0"/>
          <w:bCs w:val="0"/>
        </w:rPr>
        <w:t>onsolidimi i një qasje gjithëpërfshirëse për ndërgjegjësimin e popullsisë, me fokus të veçantë te gratë, burrat dhe të rinjtë, mbi rreziqet që lidhen me keqpërdorimin, mbajtjen e jashtëligjshme dhe trafikimin e armëve të vogla dhe të lehta</w:t>
      </w:r>
      <w:r w:rsidR="006E5CF8" w:rsidRPr="004742E7">
        <w:rPr>
          <w:rStyle w:val="Strong"/>
          <w:rFonts w:eastAsiaTheme="majorEastAsia"/>
          <w:b w:val="0"/>
          <w:bCs w:val="0"/>
        </w:rPr>
        <w:t>.</w:t>
      </w:r>
      <w:r w:rsidR="00682B8E" w:rsidRPr="004742E7">
        <w:rPr>
          <w:rStyle w:val="Strong"/>
          <w:rFonts w:eastAsiaTheme="majorEastAsia"/>
          <w:b w:val="0"/>
          <w:bCs w:val="0"/>
        </w:rPr>
        <w:t xml:space="preserve"> Nën udhëheqjen e Ministrisë së Brendshme dhe Policisë së Shtetit, në bashkëpunim të ngushtë me Prezencën e OSBE-së në Shqipëri dhe organizata të shoqërisë civile, është zbatuar me sukses Strategjia Kombëtare e Ndërgjegjësimit dhe Komunikimit, duke përfshirë zhvillimin e fushatave të vazhdueshme ndërgjegjësuese dhe aktivitete të shënjestruara në zonat me risk të lartë të mbajtjes së armëve të jashtëligjshme.</w:t>
      </w:r>
      <w:r w:rsidR="00682B8E" w:rsidRPr="004742E7">
        <w:t xml:space="preserve"> </w:t>
      </w:r>
      <w:r w:rsidR="00682B8E" w:rsidRPr="004742E7">
        <w:rPr>
          <w:rStyle w:val="Strong"/>
          <w:rFonts w:eastAsiaTheme="majorEastAsia"/>
          <w:b w:val="0"/>
          <w:bCs w:val="0"/>
        </w:rPr>
        <w:t>Fushatat kanë synuar ndryshimin e qëndrimeve shoqërore, reduktimin e normave të pranimit të armëmbajtjes në publik dhe forcimin e kulturës së paqes dhe sigurisë</w:t>
      </w:r>
      <w:r w:rsidR="006E5CF8" w:rsidRPr="004742E7">
        <w:rPr>
          <w:rStyle w:val="Strong"/>
          <w:rFonts w:eastAsiaTheme="majorEastAsia"/>
          <w:b w:val="0"/>
          <w:bCs w:val="0"/>
        </w:rPr>
        <w:t xml:space="preserve">. </w:t>
      </w:r>
      <w:r w:rsidR="00682B8E" w:rsidRPr="004742E7">
        <w:rPr>
          <w:rStyle w:val="Strong"/>
          <w:rFonts w:eastAsiaTheme="majorEastAsia"/>
          <w:b w:val="0"/>
          <w:bCs w:val="0"/>
        </w:rPr>
        <w:t>Kjo arritje përfaqëson një model të suksesshëm të bashkëpunimit ndërinstitucional dhe ndërsektorial në përpjekjet për reduktimin e qarkullimit të armëve të paligjshme dhe parandalimin e dhunës me bazë gjinore, duke kontribuar ndjeshëm në rritjen e sigurisë publike në vend."</w:t>
      </w:r>
    </w:p>
    <w:p w14:paraId="633A01BC" w14:textId="77777777" w:rsidR="00682B8E" w:rsidRPr="004742E7" w:rsidRDefault="00682B8E" w:rsidP="00EC4778">
      <w:pPr>
        <w:pStyle w:val="NormalWeb"/>
        <w:spacing w:before="0" w:beforeAutospacing="0" w:after="0" w:afterAutospacing="0" w:line="276" w:lineRule="auto"/>
        <w:jc w:val="both"/>
        <w:rPr>
          <w:rStyle w:val="Strong"/>
          <w:b w:val="0"/>
          <w:bCs w:val="0"/>
        </w:rPr>
      </w:pPr>
    </w:p>
    <w:p w14:paraId="43616C47" w14:textId="2CCD2B7F" w:rsidR="00682B8E" w:rsidRPr="004742E7" w:rsidRDefault="00EC4778" w:rsidP="00300DC3">
      <w:pPr>
        <w:pStyle w:val="NormalWeb"/>
        <w:numPr>
          <w:ilvl w:val="0"/>
          <w:numId w:val="3"/>
        </w:numPr>
        <w:spacing w:before="0" w:beforeAutospacing="0" w:after="0" w:afterAutospacing="0" w:line="276" w:lineRule="auto"/>
        <w:jc w:val="both"/>
        <w:rPr>
          <w:rStyle w:val="Strong"/>
        </w:rPr>
      </w:pPr>
      <w:r w:rsidRPr="004742E7">
        <w:rPr>
          <w:rStyle w:val="Strong"/>
          <w:rFonts w:eastAsiaTheme="majorEastAsia"/>
          <w:b w:val="0"/>
          <w:bCs w:val="0"/>
        </w:rPr>
        <w:t>F</w:t>
      </w:r>
      <w:r w:rsidR="00682B8E" w:rsidRPr="004742E7">
        <w:rPr>
          <w:rStyle w:val="Strong"/>
          <w:rFonts w:eastAsiaTheme="majorEastAsia"/>
          <w:b w:val="0"/>
          <w:bCs w:val="0"/>
        </w:rPr>
        <w:t xml:space="preserve">orcimi i kapaciteteve  institucionale të strukturave shtetërore përgjegjëse përfshirë Forcat e Armatosura, institucionet ligjzbatuese, rojen pyjore, doganat dhe shërbimet korrigjuese në drejtim të ngritjes dhe funksionalizimit të sistemeve të inspektimit dhe menaxhimit gjatë gjithë </w:t>
      </w:r>
      <w:r w:rsidR="00682B8E" w:rsidRPr="004742E7">
        <w:rPr>
          <w:rStyle w:val="Strong"/>
          <w:rFonts w:eastAsiaTheme="majorEastAsia"/>
          <w:b w:val="0"/>
          <w:bCs w:val="0"/>
        </w:rPr>
        <w:lastRenderedPageBreak/>
        <w:t>ciklit të jetës së armëve të vogla dhe të lehta dhe municioneve, në përputhje me standardet ndërkombëtare, ku janë ndërmarrë masa konkrete për sigurimin dhe përmirësimin e infrastrukturës së magazinimit për armët dhe municionet, bazuar në nevojat e identifikuara dhe në përputhje me kërkesat teknike dhe standardet e sigurisë ndërkombëtare, duke synuar parandalimin e aksidenteve, shmangien e shpërdorimit dhe garantimin e sigurisë publike.</w:t>
      </w:r>
    </w:p>
    <w:p w14:paraId="0B83B79D" w14:textId="77777777" w:rsidR="00682B8E" w:rsidRPr="004742E7" w:rsidRDefault="00682B8E" w:rsidP="00682B8E">
      <w:pPr>
        <w:pStyle w:val="NormalWeb"/>
        <w:spacing w:before="0" w:beforeAutospacing="0" w:after="0" w:afterAutospacing="0" w:line="276" w:lineRule="auto"/>
        <w:jc w:val="both"/>
        <w:rPr>
          <w:b/>
          <w:bCs/>
        </w:rPr>
      </w:pPr>
    </w:p>
    <w:p w14:paraId="5727B104" w14:textId="77777777" w:rsidR="00682B8E" w:rsidRPr="004742E7" w:rsidRDefault="00682B8E" w:rsidP="00682B8E">
      <w:pPr>
        <w:pStyle w:val="NormalWeb"/>
        <w:spacing w:line="276" w:lineRule="auto"/>
        <w:jc w:val="both"/>
      </w:pPr>
      <w:r w:rsidRPr="004742E7">
        <w:t>Në tërësi, Shqipëria ka bërë hapa domethënës në përmbushjen e objektivave të saj strategjikë në fushën e kontrollit të armëve të vogla, të lehta, municioneve dhe eksplozivëve, në përputhje me angazhimet e saj kombëtare dhe ndërkombëtare. Këto përparime janë reflektuar në disa drejtime kyçe që përbëjnë një bazë të fortë për sigurinë publike dhe për forcimin e shtetit ligjor.</w:t>
      </w:r>
    </w:p>
    <w:p w14:paraId="28BEBC06" w14:textId="77777777" w:rsidR="00682B8E" w:rsidRPr="004742E7" w:rsidRDefault="00682B8E" w:rsidP="00682B8E">
      <w:pPr>
        <w:pStyle w:val="NormalWeb"/>
        <w:spacing w:line="276" w:lineRule="auto"/>
        <w:jc w:val="both"/>
      </w:pPr>
      <w:r w:rsidRPr="004742E7">
        <w:t>Së pari, është forcuar kuadri ligjor dhe nënligjor, përmes përafrimit me standardet e Bashkimit Evropian dhe instrumenteve ndërkombëtare dhe Protokollit të OKB-së për armët e zjarrit, Përmirësimet në kuadrin ligjor për armët e vogla dhe të lehta kanë krijuar një kornizë më efikase për parandalimin e keqpërdorimit dhe trafikimit të armëve, ku janë ndërmarrë hapa për të ndërtuar një sistem më të mirë të gjurmueshmërisë dhe regjistrimit të armëve, si dhe forcimit të mekanizmave të kontrollit në pikat kufitare.</w:t>
      </w:r>
    </w:p>
    <w:p w14:paraId="383FF64A" w14:textId="02526418" w:rsidR="00682B8E" w:rsidRPr="004742E7" w:rsidRDefault="00682B8E" w:rsidP="00682B8E">
      <w:pPr>
        <w:pStyle w:val="NormalWeb"/>
        <w:spacing w:line="276" w:lineRule="auto"/>
        <w:jc w:val="both"/>
      </w:pPr>
      <w:r w:rsidRPr="004742E7">
        <w:t>Së dyti, kapacitetet e organeve shtetërore, agjenciv</w:t>
      </w:r>
      <w:r w:rsidR="006E5CF8" w:rsidRPr="004742E7">
        <w:t>e</w:t>
      </w:r>
      <w:r w:rsidRPr="004742E7">
        <w:t xml:space="preserve"> të specializuara, institucioneve të pavarura, si dhe strukturat mbështetëse që kontribuojnë në hartimin, koordinimin, monitorimin dhe vlerësimin e zbatimit të strategjisë janë rritur në mënyrë të konsiderueshme, duke kontribuar në zhvillimin e mekanizmave të përbashkët bashkëpunimi lidhur me identifikimin, hetimin dhe çmontimin e rrjeteve që merren me trafikimin e paligjshëm të armëve. Këto struktura kanë rritur aftësitë teknike dhe operative për të hetuar, analizuar dhe shkëmbyer informacione mbi aktivitetet kriminale të lidhura me armët. Përmes bashkëpunimit ndërinstitucional dhe koordinimit të aktiviteteve në kuadër të strategjisë është mundësuar një qasje gjithëpërfshirëse në adresimin e këtij fenomeni.</w:t>
      </w:r>
    </w:p>
    <w:p w14:paraId="08D852FF" w14:textId="77777777" w:rsidR="00682B8E" w:rsidRPr="004742E7" w:rsidRDefault="00682B8E" w:rsidP="00682B8E">
      <w:pPr>
        <w:pStyle w:val="NormalWeb"/>
        <w:spacing w:line="276" w:lineRule="auto"/>
        <w:jc w:val="both"/>
      </w:pPr>
      <w:r w:rsidRPr="004742E7">
        <w:t>Së treti, vërehet një përmirësim i dukshëm në mbikëqyrjen dhe kontrollin e qarkullimit të armëve, si rezultat i forcimit të masave të sigurisë dhe zbatimit më të rreptë të ligjit. Një numër i konsiderueshëm armësh të paligjshme janë sekuestruar dhe asgjësuar gjatë viteve të fundit, ndërsa ka pasur një rënie të ndjeshme të incidenteve të lidhura me përdorimin e armëve në mënyrë të paligjshme. Kjo ka ndikuar pozitivisht në perceptimin e qytetarëve për sigurinë dhe në konsolidimin e besimit në institucionet e rendit.</w:t>
      </w:r>
    </w:p>
    <w:p w14:paraId="1E5EA11F" w14:textId="0523D8FE" w:rsidR="00EF703E" w:rsidRPr="004742E7" w:rsidRDefault="00682B8E" w:rsidP="00EF703E">
      <w:pPr>
        <w:pStyle w:val="NormalWeb"/>
        <w:spacing w:line="276" w:lineRule="auto"/>
        <w:jc w:val="both"/>
        <w:rPr>
          <w:color w:val="FF0000"/>
        </w:rPr>
      </w:pPr>
      <w:r w:rsidRPr="004742E7">
        <w:t xml:space="preserve">Gjithashtu, bashkëpunimi rajonal dhe ndërkombëtar është intensifikuar përmes pjesëmarrjes në programe të përbashkëta me organizata si SEESAC, UNODP, UNODC, INTERPOL </w:t>
      </w:r>
      <w:r w:rsidR="000A5B69">
        <w:t xml:space="preserve">EMPACT, </w:t>
      </w:r>
      <w:r w:rsidR="000A5B69" w:rsidRPr="000A5B69">
        <w:t>Europian Multidisciplinary Platform Against Criminal Threats</w:t>
      </w:r>
      <w:r w:rsidR="000A5B69">
        <w:t>,</w:t>
      </w:r>
      <w:r w:rsidR="000A5B69" w:rsidRPr="004742E7">
        <w:rPr>
          <w:color w:val="FF0000"/>
        </w:rPr>
        <w:t xml:space="preserve"> </w:t>
      </w:r>
      <w:r w:rsidR="000A5B69" w:rsidRPr="000A5B69">
        <w:t>EUROPOL</w:t>
      </w:r>
      <w:r w:rsidR="000A5B69">
        <w:rPr>
          <w:color w:val="FF0000"/>
        </w:rPr>
        <w:t xml:space="preserve"> </w:t>
      </w:r>
      <w:r w:rsidRPr="004742E7">
        <w:t>dhe partnerë bilateralë, duke mundësuar shkëmbimin e praktikave më të mira dhe koordinimin e operacioneve kundër trafikut ndërkufitar të armëve</w:t>
      </w:r>
      <w:r w:rsidRPr="004742E7">
        <w:rPr>
          <w:color w:val="FF0000"/>
        </w:rPr>
        <w:t>.</w:t>
      </w:r>
      <w:bookmarkStart w:id="0" w:name="_Hlk201576210"/>
    </w:p>
    <w:bookmarkEnd w:id="0"/>
    <w:p w14:paraId="6DF4B981" w14:textId="2F57DE95" w:rsidR="00682B8E" w:rsidRPr="004742E7" w:rsidRDefault="00682B8E" w:rsidP="00682B8E">
      <w:pPr>
        <w:pStyle w:val="NormalWeb"/>
        <w:spacing w:line="276" w:lineRule="auto"/>
        <w:jc w:val="both"/>
      </w:pPr>
    </w:p>
    <w:p w14:paraId="10B0B785" w14:textId="77777777" w:rsidR="00682B8E" w:rsidRPr="004742E7" w:rsidRDefault="00682B8E" w:rsidP="00682B8E">
      <w:pPr>
        <w:pStyle w:val="NormalWeb"/>
        <w:spacing w:line="276" w:lineRule="auto"/>
        <w:jc w:val="both"/>
      </w:pPr>
      <w:r w:rsidRPr="004742E7">
        <w:t>Në këtë kontekst, përpjekjet e Shqipërisë për të reduktuar qarkullimin e paligjshëm të armëve dhe për të forcuar kontrollin mbi to përbëjnë një hap të rëndësishëm drejt përmbushjes së angazhimeve të saj si vend kandidat për në Bashkimin Evropian. Ato reflektojnë një vullnet politik të qartë për të adresuar në mënyrë gjithëpërfshirëse dhe të qëndrueshme çështjet e sigurisë dhe sundimit të ligjit, në funksion të stabilitetit të brendshëm dhe bashkëpunimit rajonal.</w:t>
      </w:r>
    </w:p>
    <w:p w14:paraId="6802F236" w14:textId="77777777" w:rsidR="00682B8E" w:rsidRPr="004742E7" w:rsidRDefault="00682B8E" w:rsidP="00682B8E">
      <w:pPr>
        <w:pStyle w:val="NormalWeb"/>
        <w:spacing w:line="276" w:lineRule="auto"/>
        <w:jc w:val="both"/>
      </w:pPr>
    </w:p>
    <w:p w14:paraId="060EDDED" w14:textId="238EA115" w:rsidR="00682B8E" w:rsidRPr="004742E7" w:rsidRDefault="00682B8E" w:rsidP="00682B8E">
      <w:pPr>
        <w:pStyle w:val="NormalWeb"/>
        <w:spacing w:line="276" w:lineRule="auto"/>
        <w:jc w:val="both"/>
        <w:rPr>
          <w:b/>
          <w:bCs/>
        </w:rPr>
      </w:pPr>
      <w:r w:rsidRPr="004742E7">
        <w:rPr>
          <w:b/>
          <w:bCs/>
        </w:rPr>
        <w:t>2.</w:t>
      </w:r>
      <w:r w:rsidR="00041FA5" w:rsidRPr="004742E7">
        <w:rPr>
          <w:b/>
          <w:bCs/>
        </w:rPr>
        <w:t>3</w:t>
      </w:r>
      <w:r w:rsidR="002A284C">
        <w:rPr>
          <w:b/>
          <w:bCs/>
        </w:rPr>
        <w:t xml:space="preserve"> </w:t>
      </w:r>
      <w:r w:rsidRPr="004742E7">
        <w:rPr>
          <w:b/>
          <w:bCs/>
        </w:rPr>
        <w:t>Mësimet</w:t>
      </w:r>
    </w:p>
    <w:p w14:paraId="660EB681" w14:textId="5693FAF1" w:rsidR="00682B8E" w:rsidRPr="004742E7" w:rsidRDefault="00682B8E" w:rsidP="00682B8E">
      <w:pPr>
        <w:pStyle w:val="NormalWeb"/>
        <w:spacing w:line="276" w:lineRule="auto"/>
        <w:jc w:val="both"/>
      </w:pPr>
      <w:r w:rsidRPr="004742E7">
        <w:t>Siguria dhe kontrolli i armëve të zjarrit, eksplozivëve dhe lëndëve shpërthyese në Shqipëri përballet me sfida të shumta dhe komplekse, të cilat kërkojnë ndërhyrje të menjëhershme dhe sistematike nga institucionet përgjegjëse.</w:t>
      </w:r>
    </w:p>
    <w:p w14:paraId="5D7C6BB9" w14:textId="6DA66AE7" w:rsidR="00682B8E" w:rsidRPr="004742E7" w:rsidRDefault="00682B8E" w:rsidP="00682B8E">
      <w:pPr>
        <w:pStyle w:val="NormalWeb"/>
        <w:spacing w:line="276" w:lineRule="auto"/>
        <w:jc w:val="both"/>
      </w:pPr>
      <w:r w:rsidRPr="004742E7">
        <w:t>Së pari, është e domosdoshme përmirësimi i përgjigjes institucionale ndaj keqpërdorimit të armëve të zjarrit, veçanërisht në rastet e dhunës në familje. Një tjetër sfidë e rëndësishme është trajtimi i lidhjeve midis normave kulturore të burrërisë dhe përdorimit të armëve, me qëllim ndryshimin e sjelljeve dhe normave shoqërore që mund të favorizojnë përdorimin e paligjshëm të armëve. Për më tepër, kërkohet rritje e pjesëmarrjes së grave në aspektet operacionale dhe teknike të kontrollit të armëve, si dhe përfshirje më aktive e organizatave të grave dhe shoqërisë civile në proceset e politikëbërjes dhe vendimmarrjes.</w:t>
      </w:r>
    </w:p>
    <w:p w14:paraId="093D7186" w14:textId="77777777" w:rsidR="00682B8E" w:rsidRPr="004742E7" w:rsidRDefault="00682B8E" w:rsidP="00682B8E">
      <w:pPr>
        <w:pStyle w:val="NormalWeb"/>
        <w:spacing w:line="276" w:lineRule="auto"/>
        <w:jc w:val="both"/>
      </w:pPr>
      <w:r w:rsidRPr="004742E7">
        <w:t>Në fushën ligjore, mungesa e një kuadri të veçantë për kontrollin e prekursorëve të lëndëve plasëse përbën një boshllëk të rëndësishëm. Legjislacioni aktual trajton substancat kimike në mënyrë të përgjithshme, pa adresuar specifikisht kontrollin, monitorimin dhe kufizimin e materialeve që mund të përdoren për prodhimin e lëndëve eksplozive. Kjo situatë krijon rrezik për keqpërdorim dhe pengon ndërhyrjen efektive të institucioneve mbikëqyrëse. Po ashtu, mungesa e akteve nënligjore për zbatimin e ligjit nr. 74/2021 për përdorimin civil të lëndëve plasëse dhe piroteknikëve pengon krijimin e një sistemi të përshtatshëm për gjurmimin, identifikimin, autorizimin dhe kontrollin e magazinimit, transferimit dhe asgjësimit të këtyre lëndëve.</w:t>
      </w:r>
    </w:p>
    <w:p w14:paraId="1538E8F0" w14:textId="77777777" w:rsidR="00682B8E" w:rsidRPr="004742E7" w:rsidRDefault="00682B8E" w:rsidP="00682B8E">
      <w:pPr>
        <w:pStyle w:val="NormalWeb"/>
        <w:spacing w:line="276" w:lineRule="auto"/>
        <w:jc w:val="both"/>
      </w:pPr>
      <w:r w:rsidRPr="004742E7">
        <w:t>Në aspektin penal, procesi i rishikimit të Kodit Penal vazhdon ende, ku harmonizimi i dispozitave lidhur me armët e zjarrit me standardet ndërkombëtare, veçanërisht me Protokollin e OKB-së për armët e zjarrit, përbën një sfidë thelbësore. Mosplotësimi i rekomandimeve ndërkombëtare rrezikon dobësimin e kuadrit ligjor penal kundër trafikimit të armëve dhe pengon përmbushjen e angazhimeve ndërkombëtare të Republikës së Shqipërisë.</w:t>
      </w:r>
    </w:p>
    <w:p w14:paraId="434D0F10" w14:textId="29A64189" w:rsidR="00682B8E" w:rsidRPr="004742E7" w:rsidRDefault="00682B8E" w:rsidP="00682B8E">
      <w:pPr>
        <w:pStyle w:val="NormalWeb"/>
        <w:spacing w:line="276" w:lineRule="auto"/>
        <w:jc w:val="both"/>
      </w:pPr>
      <w:r w:rsidRPr="004742E7">
        <w:t xml:space="preserve">Në nivel operacional, për ndërtimin e mekanizmave të qëndrueshëm për mbikëqyrjen dhe çaktivizimin e armëve të vogla dhe të lehta mbetet një sfidë e rëndësishme. Nevoja për forcimin e </w:t>
      </w:r>
      <w:r w:rsidRPr="004742E7">
        <w:lastRenderedPageBreak/>
        <w:t xml:space="preserve">kapaciteteve institucionale, përmirësimin e bashkërendimit ndërinstitucional dhe sigurimin e burimeve të qëndrueshme për të parandaluar përhapjen dhe keqpërdorimin e këtyre armëve </w:t>
      </w:r>
      <w:r w:rsidR="000A5B69">
        <w:t xml:space="preserve">Ku theksohet </w:t>
      </w:r>
      <w:r w:rsidR="008F625F" w:rsidRPr="000A5B69">
        <w:rPr>
          <w:bCs/>
        </w:rPr>
        <w:t>domosdosh</w:t>
      </w:r>
      <w:r w:rsidR="000A5B69" w:rsidRPr="000A5B69">
        <w:rPr>
          <w:bCs/>
        </w:rPr>
        <w:t>mëria e</w:t>
      </w:r>
      <w:r w:rsidR="008F625F" w:rsidRPr="000A5B69">
        <w:rPr>
          <w:bCs/>
        </w:rPr>
        <w:t xml:space="preserve"> forcimi</w:t>
      </w:r>
      <w:r w:rsidR="000A5B69" w:rsidRPr="000A5B69">
        <w:rPr>
          <w:bCs/>
        </w:rPr>
        <w:t>t</w:t>
      </w:r>
      <w:r w:rsidR="008F625F" w:rsidRPr="000A5B69">
        <w:rPr>
          <w:bCs/>
        </w:rPr>
        <w:t xml:space="preserve"> </w:t>
      </w:r>
      <w:r w:rsidR="000A5B69" w:rsidRPr="000A5B69">
        <w:rPr>
          <w:bCs/>
        </w:rPr>
        <w:t>të</w:t>
      </w:r>
      <w:r w:rsidR="008F625F" w:rsidRPr="000A5B69">
        <w:rPr>
          <w:bCs/>
        </w:rPr>
        <w:t xml:space="preserve"> kapaciteteve trajnuese në Institutit e Përgatitjes së Qenve Policorë për zbulimin e armëve të vogla dhe të lehta, në kabinetet e trajnimit dhe të akomodimit për punonjësit e policisë të cilët do të trajnohen për shoqërues të qenve policorë. </w:t>
      </w:r>
      <w:r w:rsidRPr="004742E7">
        <w:t>Gjithashtu, mungesa e aktiviteteve të dedikuara për ndjekjen penale dhe rritjen e masave ndëshkimore për keqpërdorimin dhe trafikimin e armëve theksohet si një mangësi.</w:t>
      </w:r>
    </w:p>
    <w:p w14:paraId="7E47A469" w14:textId="0997F623" w:rsidR="00682B8E" w:rsidRPr="004742E7" w:rsidRDefault="00682B8E" w:rsidP="00682B8E">
      <w:pPr>
        <w:pStyle w:val="NormalWeb"/>
        <w:spacing w:line="276" w:lineRule="auto"/>
        <w:jc w:val="both"/>
      </w:pPr>
      <w:r w:rsidRPr="004742E7">
        <w:t xml:space="preserve">Në fushën e ndërgjegjësimit publik, mbetet </w:t>
      </w:r>
      <w:r w:rsidR="0030520F" w:rsidRPr="004742E7">
        <w:t xml:space="preserve">i rëndësishëm </w:t>
      </w:r>
      <w:r w:rsidRPr="004742E7">
        <w:t>sensibilizimi i subjekteve të licencuara, prodhuesve, dhe publikut të gjerë për rreziqet që sjell keqpërdorimi dhe përhapja e jashtëligjshme e armëve të zjarrit. Fokus i veçantë duhet t’i jepet edukimit të të rinjve, ndërgjegjësimit mbi pasojat e gjuajtjes me armë gjatë festimeve, dhe luftës kundër dhunës me armë ndaj grave dhe në familje. Në këtë kontekst, rritja e partneritetit me median dhe forcimi i besimit të qytetarëve në institucionet e sigurisë janë elemente thelbësore.</w:t>
      </w:r>
    </w:p>
    <w:p w14:paraId="1D7B5AEA" w14:textId="77777777" w:rsidR="00682B8E" w:rsidRPr="004742E7" w:rsidRDefault="00682B8E" w:rsidP="00682B8E">
      <w:pPr>
        <w:pStyle w:val="NormalWeb"/>
        <w:spacing w:line="276" w:lineRule="auto"/>
        <w:jc w:val="both"/>
      </w:pPr>
      <w:r w:rsidRPr="004742E7">
        <w:t>Nga ana tjetër, sfidat teknike përfshijnë krijimin e një kuadri ligjor dhe mekanizmash praktikë për legalizimin dhe dorëzimin vullnetar të armëve të zjarrit, që garanton anonimitet dhe siguri për qytetarët. Gjithashtu, përdorimi i qëndrueshëm i procesit të çaktivizimit të armëve dhe garantimi i mjediseve të sigurta për magazinimin e armëve dhe eksplozivëve në përputhje me standardet ndërkombëtare përbëjnë sfida kyçe. Këto kërkojnë investime në infrastrukturë, si dhe ngritjen e kapaciteteve të subjekteve juridike përkatëse, duke përfshirë prodhuesit, tregtuesit, poligonet, shoqëritë private të sigurisë dhe qendrat e trajnimit, për të vendosur sisteme efektive të inspektimit dhe kontrollit.</w:t>
      </w:r>
    </w:p>
    <w:p w14:paraId="205B85C5" w14:textId="77777777" w:rsidR="00682B8E" w:rsidRPr="004742E7" w:rsidRDefault="00682B8E" w:rsidP="00682B8E">
      <w:pPr>
        <w:pStyle w:val="NormalWeb"/>
        <w:spacing w:line="276" w:lineRule="auto"/>
        <w:jc w:val="both"/>
      </w:pPr>
      <w:r w:rsidRPr="004742E7">
        <w:t>Në përmbledhje, sfidat në fushën e kontrollit të armëve të zjarrit janë multidimensionale dhe kërkojnë një qasje të integruar, të koordinuar ndërinstitucionale dhe mbështetje të vazhdueshme në nivel politik, ligjor, operativ dhe shoqëror për të garantuar një menaxhim efektiv dhe të qëndrueshëm të armëve dhe eksplozivëve në vend.</w:t>
      </w:r>
    </w:p>
    <w:p w14:paraId="3F18D66E" w14:textId="77777777" w:rsidR="00682B8E" w:rsidRPr="004742E7" w:rsidRDefault="00682B8E" w:rsidP="00682B8E">
      <w:pPr>
        <w:pStyle w:val="NormalWeb"/>
        <w:spacing w:line="276" w:lineRule="auto"/>
        <w:jc w:val="both"/>
      </w:pPr>
    </w:p>
    <w:p w14:paraId="540F9D55" w14:textId="31C661F2" w:rsidR="00682B8E" w:rsidRPr="004742E7" w:rsidRDefault="00EC4778" w:rsidP="00EC4778">
      <w:pPr>
        <w:pStyle w:val="NormalWeb"/>
        <w:spacing w:line="276" w:lineRule="auto"/>
        <w:jc w:val="both"/>
        <w:rPr>
          <w:b/>
          <w:bCs/>
        </w:rPr>
      </w:pPr>
      <w:r w:rsidRPr="004742E7">
        <w:rPr>
          <w:b/>
          <w:bCs/>
        </w:rPr>
        <w:t>3.</w:t>
      </w:r>
      <w:r w:rsidR="002A284C">
        <w:rPr>
          <w:b/>
          <w:bCs/>
        </w:rPr>
        <w:t xml:space="preserve"> </w:t>
      </w:r>
      <w:r w:rsidR="00682B8E" w:rsidRPr="004742E7">
        <w:rPr>
          <w:b/>
          <w:bCs/>
        </w:rPr>
        <w:t>Vizioni i Strategjisë</w:t>
      </w:r>
    </w:p>
    <w:p w14:paraId="666AF2E7" w14:textId="308CCEBB" w:rsidR="00682B8E" w:rsidRPr="004742E7" w:rsidRDefault="00682B8E" w:rsidP="00327A42">
      <w:pPr>
        <w:pStyle w:val="NormalWeb"/>
        <w:spacing w:line="276" w:lineRule="auto"/>
        <w:jc w:val="both"/>
        <w:rPr>
          <w:b/>
          <w:bCs/>
        </w:rPr>
      </w:pPr>
      <w:r w:rsidRPr="004742E7">
        <w:rPr>
          <w:b/>
          <w:bCs/>
        </w:rPr>
        <w:t>3.1 Vizioni</w:t>
      </w:r>
    </w:p>
    <w:p w14:paraId="7B8B59C8" w14:textId="293F4FCC" w:rsidR="00CA7A02" w:rsidRPr="004742E7" w:rsidRDefault="00CA7A02" w:rsidP="00177EB0">
      <w:pPr>
        <w:pStyle w:val="NormalWeb"/>
        <w:spacing w:before="0" w:beforeAutospacing="0" w:after="0" w:afterAutospacing="0" w:line="276" w:lineRule="auto"/>
        <w:jc w:val="both"/>
        <w:rPr>
          <w:rFonts w:eastAsia="Cambria"/>
          <w:color w:val="000000"/>
          <w:kern w:val="24"/>
        </w:rPr>
      </w:pPr>
      <w:r w:rsidRPr="004742E7">
        <w:rPr>
          <w:rFonts w:eastAsia="Cambria"/>
          <w:color w:val="000000"/>
          <w:kern w:val="24"/>
        </w:rPr>
        <w:t xml:space="preserve">Brenda vitit 2030, Republika e Shqipërisë do të jetë një vend me një mjedis të sigurt dhe me kapacitete gjithëpërfshirëse dhe të qëndrueshme </w:t>
      </w:r>
      <w:proofErr w:type="spellStart"/>
      <w:r w:rsidR="000A5B69" w:rsidRPr="000A5B69">
        <w:rPr>
          <w:bCs/>
          <w:lang w:val="en-US"/>
        </w:rPr>
        <w:t>në</w:t>
      </w:r>
      <w:proofErr w:type="spellEnd"/>
      <w:r w:rsidR="000A5B69" w:rsidRPr="000A5B69">
        <w:rPr>
          <w:bCs/>
          <w:lang w:val="en-US"/>
        </w:rPr>
        <w:t xml:space="preserve"> </w:t>
      </w:r>
      <w:proofErr w:type="spellStart"/>
      <w:r w:rsidR="000A5B69" w:rsidRPr="000A5B69">
        <w:rPr>
          <w:bCs/>
          <w:lang w:val="en-US"/>
        </w:rPr>
        <w:t>përputhje</w:t>
      </w:r>
      <w:proofErr w:type="spellEnd"/>
      <w:r w:rsidR="000A5B69" w:rsidRPr="000A5B69">
        <w:rPr>
          <w:bCs/>
          <w:lang w:val="en-US"/>
        </w:rPr>
        <w:t xml:space="preserve"> me </w:t>
      </w:r>
      <w:proofErr w:type="spellStart"/>
      <w:r w:rsidR="000A5B69" w:rsidRPr="000A5B69">
        <w:rPr>
          <w:bCs/>
          <w:lang w:val="en-US"/>
        </w:rPr>
        <w:t>standardet</w:t>
      </w:r>
      <w:proofErr w:type="spellEnd"/>
      <w:r w:rsidR="000A5B69" w:rsidRPr="000A5B69">
        <w:rPr>
          <w:bCs/>
          <w:lang w:val="en-US"/>
        </w:rPr>
        <w:t xml:space="preserve"> </w:t>
      </w:r>
      <w:proofErr w:type="spellStart"/>
      <w:r w:rsidR="000A5B69" w:rsidRPr="000A5B69">
        <w:rPr>
          <w:bCs/>
          <w:lang w:val="en-US"/>
        </w:rPr>
        <w:t>më</w:t>
      </w:r>
      <w:proofErr w:type="spellEnd"/>
      <w:r w:rsidR="000A5B69" w:rsidRPr="000A5B69">
        <w:rPr>
          <w:bCs/>
          <w:lang w:val="en-US"/>
        </w:rPr>
        <w:t xml:space="preserve"> </w:t>
      </w:r>
      <w:proofErr w:type="spellStart"/>
      <w:r w:rsidR="000A5B69" w:rsidRPr="000A5B69">
        <w:rPr>
          <w:bCs/>
          <w:lang w:val="en-US"/>
        </w:rPr>
        <w:t>të</w:t>
      </w:r>
      <w:proofErr w:type="spellEnd"/>
      <w:r w:rsidR="000A5B69" w:rsidRPr="000A5B69">
        <w:rPr>
          <w:bCs/>
          <w:lang w:val="en-US"/>
        </w:rPr>
        <w:t xml:space="preserve"> </w:t>
      </w:r>
      <w:proofErr w:type="spellStart"/>
      <w:r w:rsidR="000A5B69" w:rsidRPr="000A5B69">
        <w:rPr>
          <w:bCs/>
          <w:lang w:val="en-US"/>
        </w:rPr>
        <w:t>larta</w:t>
      </w:r>
      <w:proofErr w:type="spellEnd"/>
      <w:r w:rsidR="000A5B69" w:rsidRPr="000A5B69">
        <w:rPr>
          <w:bCs/>
          <w:lang w:val="en-US"/>
        </w:rPr>
        <w:t xml:space="preserve"> </w:t>
      </w:r>
      <w:proofErr w:type="spellStart"/>
      <w:r w:rsidR="000A5B69" w:rsidRPr="000A5B69">
        <w:rPr>
          <w:bCs/>
          <w:lang w:val="en-US"/>
        </w:rPr>
        <w:t>të</w:t>
      </w:r>
      <w:proofErr w:type="spellEnd"/>
      <w:r w:rsidR="000A5B69" w:rsidRPr="000A5B69">
        <w:rPr>
          <w:bCs/>
          <w:lang w:val="en-US"/>
        </w:rPr>
        <w:t xml:space="preserve"> </w:t>
      </w:r>
      <w:proofErr w:type="spellStart"/>
      <w:r w:rsidR="000A5B69" w:rsidRPr="000A5B69">
        <w:rPr>
          <w:bCs/>
          <w:lang w:val="en-US"/>
        </w:rPr>
        <w:t>sigurisë</w:t>
      </w:r>
      <w:proofErr w:type="spellEnd"/>
      <w:r w:rsidR="000A5B69" w:rsidRPr="000A5B69">
        <w:rPr>
          <w:bCs/>
          <w:lang w:val="en-US"/>
        </w:rPr>
        <w:t xml:space="preserve"> </w:t>
      </w:r>
      <w:proofErr w:type="spellStart"/>
      <w:r w:rsidR="000A5B69" w:rsidRPr="000A5B69">
        <w:rPr>
          <w:bCs/>
          <w:lang w:val="en-US"/>
        </w:rPr>
        <w:t>publike</w:t>
      </w:r>
      <w:proofErr w:type="spellEnd"/>
      <w:r w:rsidR="000A5B69" w:rsidRPr="000A5B69">
        <w:rPr>
          <w:bCs/>
          <w:lang w:val="en-US"/>
        </w:rPr>
        <w:t xml:space="preserve"> </w:t>
      </w:r>
      <w:proofErr w:type="spellStart"/>
      <w:r w:rsidR="000A5B69" w:rsidRPr="000A5B69">
        <w:rPr>
          <w:bCs/>
          <w:lang w:val="en-US"/>
        </w:rPr>
        <w:t>dhe</w:t>
      </w:r>
      <w:proofErr w:type="spellEnd"/>
      <w:r w:rsidR="000A5B69" w:rsidRPr="000A5B69">
        <w:rPr>
          <w:bCs/>
          <w:lang w:val="en-US"/>
        </w:rPr>
        <w:t xml:space="preserve"> </w:t>
      </w:r>
      <w:proofErr w:type="spellStart"/>
      <w:r w:rsidR="000A5B69" w:rsidRPr="000A5B69">
        <w:rPr>
          <w:bCs/>
          <w:lang w:val="en-US"/>
        </w:rPr>
        <w:t>angazhimet</w:t>
      </w:r>
      <w:proofErr w:type="spellEnd"/>
      <w:r w:rsidR="000A5B69" w:rsidRPr="000A5B69">
        <w:rPr>
          <w:bCs/>
          <w:lang w:val="en-US"/>
        </w:rPr>
        <w:t xml:space="preserve"> </w:t>
      </w:r>
      <w:proofErr w:type="spellStart"/>
      <w:r w:rsidR="000A5B69" w:rsidRPr="000A5B69">
        <w:rPr>
          <w:bCs/>
          <w:lang w:val="en-US"/>
        </w:rPr>
        <w:t>ndërkombëtare</w:t>
      </w:r>
      <w:proofErr w:type="spellEnd"/>
      <w:r w:rsidR="000A5B69" w:rsidRPr="000A5B69">
        <w:rPr>
          <w:b/>
          <w:lang w:val="en-US"/>
        </w:rPr>
        <w:t xml:space="preserve"> </w:t>
      </w:r>
      <w:r w:rsidRPr="004742E7">
        <w:rPr>
          <w:rFonts w:eastAsia="Cambria"/>
          <w:color w:val="000000"/>
          <w:kern w:val="24"/>
        </w:rPr>
        <w:t xml:space="preserve">për të parandaluar, identifikuar, hetuar, ndjekur penalisht dhe ndëshkuar zotërimin e paligjshëm, trafikimin dhe keqpërdorimin e armëve të vogla dhe të lehta, municioneve dhe eksplozivëve, në përputhje me standardet e Bashkimit Evropian dhe ato </w:t>
      </w:r>
      <w:r w:rsidRPr="004742E7">
        <w:rPr>
          <w:rFonts w:eastAsia="Cambria"/>
          <w:color w:val="000000"/>
          <w:kern w:val="24"/>
        </w:rPr>
        <w:lastRenderedPageBreak/>
        <w:t xml:space="preserve">ndërkombëtare, duke kontribuar në forcimin e rendit dhe sigurisë publike, konsolidimin e sundimit të ligjit dhe garantimin e stabilitetit kombëtar dhe rajonal. </w:t>
      </w:r>
    </w:p>
    <w:p w14:paraId="7634BD28" w14:textId="77777777" w:rsidR="00177EB0" w:rsidRPr="004742E7" w:rsidRDefault="00177EB0" w:rsidP="00177EB0">
      <w:pPr>
        <w:pStyle w:val="NormalWeb"/>
        <w:spacing w:before="0" w:beforeAutospacing="0" w:after="0" w:afterAutospacing="0" w:line="276" w:lineRule="auto"/>
        <w:jc w:val="both"/>
        <w:rPr>
          <w:lang w:val="en-US"/>
        </w:rPr>
      </w:pPr>
    </w:p>
    <w:p w14:paraId="2E0A0305" w14:textId="77777777" w:rsidR="00177EB0" w:rsidRPr="004742E7" w:rsidRDefault="00177EB0" w:rsidP="00177EB0">
      <w:pPr>
        <w:spacing w:after="0" w:line="276" w:lineRule="auto"/>
        <w:jc w:val="both"/>
        <w:rPr>
          <w:rFonts w:ascii="Times New Roman" w:eastAsia="Cambria" w:hAnsi="Times New Roman" w:cs="Times New Roman"/>
          <w:color w:val="000000"/>
          <w:kern w:val="24"/>
          <w:lang w:val="en-US"/>
          <w14:ligatures w14:val="none"/>
        </w:rPr>
      </w:pPr>
      <w:proofErr w:type="spellStart"/>
      <w:r w:rsidRPr="004742E7">
        <w:rPr>
          <w:rFonts w:ascii="Times New Roman" w:eastAsia="Cambria" w:hAnsi="Times New Roman" w:cs="Times New Roman"/>
          <w:color w:val="000000"/>
          <w:kern w:val="24"/>
          <w:lang w:val="en-US"/>
          <w14:ligatures w14:val="none"/>
        </w:rPr>
        <w:t>Hartimi</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i</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një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dokumenti</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strategjik</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që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parashikon</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objektiva</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për</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siguruar</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një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kontroll</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plotë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mbi</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armët</w:t>
      </w:r>
      <w:proofErr w:type="spellEnd"/>
      <w:r w:rsidRPr="004742E7">
        <w:rPr>
          <w:rFonts w:ascii="Times New Roman" w:eastAsia="Cambria" w:hAnsi="Times New Roman" w:cs="Times New Roman"/>
          <w:color w:val="000000"/>
          <w:kern w:val="24"/>
          <w:lang w:val="en-US"/>
          <w14:ligatures w14:val="none"/>
        </w:rPr>
        <w:t xml:space="preserve"> e </w:t>
      </w:r>
      <w:proofErr w:type="spellStart"/>
      <w:r w:rsidRPr="004742E7">
        <w:rPr>
          <w:rFonts w:ascii="Times New Roman" w:eastAsia="Cambria" w:hAnsi="Times New Roman" w:cs="Times New Roman"/>
          <w:color w:val="000000"/>
          <w:kern w:val="24"/>
          <w:lang w:val="en-US"/>
          <w14:ligatures w14:val="none"/>
        </w:rPr>
        <w:t>vogla</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dhe</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lehta</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municionet</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dhe</w:t>
      </w:r>
      <w:proofErr w:type="spellEnd"/>
      <w:r w:rsidRPr="004742E7">
        <w:rPr>
          <w:rFonts w:ascii="Times New Roman" w:eastAsia="Cambria" w:hAnsi="Times New Roman" w:cs="Times New Roman"/>
          <w:color w:val="000000"/>
          <w:kern w:val="24"/>
          <w:lang w:val="en-US"/>
          <w14:ligatures w14:val="none"/>
        </w:rPr>
        <w:t xml:space="preserve"> </w:t>
      </w:r>
      <w:proofErr w:type="spellStart"/>
      <w:proofErr w:type="gramStart"/>
      <w:r w:rsidRPr="004742E7">
        <w:rPr>
          <w:rFonts w:ascii="Times New Roman" w:eastAsia="Cambria" w:hAnsi="Times New Roman" w:cs="Times New Roman"/>
          <w:color w:val="000000"/>
          <w:kern w:val="24"/>
          <w:lang w:val="en-US"/>
          <w14:ligatures w14:val="none"/>
        </w:rPr>
        <w:t>eksplozivët</w:t>
      </w:r>
      <w:proofErr w:type="spellEnd"/>
      <w:r w:rsidRPr="004742E7">
        <w:rPr>
          <w:rFonts w:ascii="Times New Roman" w:eastAsia="Cambria" w:hAnsi="Times New Roman" w:cs="Times New Roman"/>
          <w:color w:val="000000"/>
          <w:kern w:val="24"/>
          <w:lang w:val="en-US"/>
          <w14:ligatures w14:val="none"/>
        </w:rPr>
        <w:t>,  duke</w:t>
      </w:r>
      <w:proofErr w:type="gramEnd"/>
      <w:r w:rsidRPr="004742E7">
        <w:rPr>
          <w:rFonts w:ascii="Times New Roman" w:eastAsia="Cambria" w:hAnsi="Times New Roman" w:cs="Times New Roman"/>
          <w:color w:val="000000"/>
          <w:kern w:val="24"/>
          <w:lang w:val="en-US"/>
          <w14:ligatures w14:val="none"/>
        </w:rPr>
        <w:t xml:space="preserve"> u </w:t>
      </w:r>
      <w:proofErr w:type="spellStart"/>
      <w:r w:rsidRPr="004742E7">
        <w:rPr>
          <w:rFonts w:ascii="Times New Roman" w:eastAsia="Cambria" w:hAnsi="Times New Roman" w:cs="Times New Roman"/>
          <w:color w:val="000000"/>
          <w:kern w:val="24"/>
          <w:lang w:val="en-US"/>
          <w14:ligatures w14:val="none"/>
        </w:rPr>
        <w:t>bazuar</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në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nevojat</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kombëtare</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sfidat</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dhe</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situatën</w:t>
      </w:r>
      <w:proofErr w:type="spellEnd"/>
      <w:r w:rsidRPr="004742E7">
        <w:rPr>
          <w:rFonts w:ascii="Times New Roman" w:eastAsia="Cambria" w:hAnsi="Times New Roman" w:cs="Times New Roman"/>
          <w:color w:val="000000"/>
          <w:kern w:val="24"/>
          <w:lang w:val="en-US"/>
          <w14:ligatures w14:val="none"/>
        </w:rPr>
        <w:t xml:space="preserve"> e </w:t>
      </w:r>
      <w:proofErr w:type="spellStart"/>
      <w:r w:rsidRPr="004742E7">
        <w:rPr>
          <w:rFonts w:ascii="Times New Roman" w:eastAsia="Cambria" w:hAnsi="Times New Roman" w:cs="Times New Roman"/>
          <w:color w:val="000000"/>
          <w:kern w:val="24"/>
          <w:lang w:val="en-US"/>
          <w14:ligatures w14:val="none"/>
        </w:rPr>
        <w:t>kërcënimeve</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reja</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sigurisë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në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rajon</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dhe</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standardet</w:t>
      </w:r>
      <w:proofErr w:type="spellEnd"/>
      <w:r w:rsidRPr="004742E7">
        <w:rPr>
          <w:rFonts w:ascii="Times New Roman" w:eastAsia="Cambria" w:hAnsi="Times New Roman" w:cs="Times New Roman"/>
          <w:color w:val="000000"/>
          <w:kern w:val="24"/>
          <w:lang w:val="en-US"/>
          <w14:ligatures w14:val="none"/>
        </w:rPr>
        <w:t xml:space="preserve"> e BE-</w:t>
      </w:r>
      <w:proofErr w:type="spellStart"/>
      <w:r w:rsidRPr="004742E7">
        <w:rPr>
          <w:rFonts w:ascii="Times New Roman" w:eastAsia="Cambria" w:hAnsi="Times New Roman" w:cs="Times New Roman"/>
          <w:color w:val="000000"/>
          <w:kern w:val="24"/>
          <w:lang w:val="en-US"/>
          <w14:ligatures w14:val="none"/>
        </w:rPr>
        <w:t>së</w:t>
      </w:r>
      <w:proofErr w:type="spellEnd"/>
      <w:r w:rsidRPr="004742E7">
        <w:rPr>
          <w:rFonts w:ascii="Times New Roman" w:eastAsia="Cambria" w:hAnsi="Times New Roman" w:cs="Times New Roman"/>
          <w:color w:val="000000"/>
          <w:kern w:val="24"/>
          <w:lang w:val="en-US"/>
          <w14:ligatures w14:val="none"/>
        </w:rPr>
        <w:t>, OKB-</w:t>
      </w:r>
      <w:proofErr w:type="spellStart"/>
      <w:r w:rsidRPr="004742E7">
        <w:rPr>
          <w:rFonts w:ascii="Times New Roman" w:eastAsia="Cambria" w:hAnsi="Times New Roman" w:cs="Times New Roman"/>
          <w:color w:val="000000"/>
          <w:kern w:val="24"/>
          <w:lang w:val="en-US"/>
          <w14:ligatures w14:val="none"/>
        </w:rPr>
        <w:t>së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dhe</w:t>
      </w:r>
      <w:proofErr w:type="spellEnd"/>
      <w:r w:rsidRPr="004742E7">
        <w:rPr>
          <w:rFonts w:ascii="Times New Roman" w:eastAsia="Cambria" w:hAnsi="Times New Roman" w:cs="Times New Roman"/>
          <w:color w:val="000000"/>
          <w:kern w:val="24"/>
          <w:lang w:val="en-US"/>
          <w14:ligatures w14:val="none"/>
        </w:rPr>
        <w:t xml:space="preserve"> OSBE-</w:t>
      </w:r>
      <w:proofErr w:type="spellStart"/>
      <w:r w:rsidRPr="004742E7">
        <w:rPr>
          <w:rFonts w:ascii="Times New Roman" w:eastAsia="Cambria" w:hAnsi="Times New Roman" w:cs="Times New Roman"/>
          <w:color w:val="000000"/>
          <w:kern w:val="24"/>
          <w:lang w:val="en-US"/>
          <w14:ligatures w14:val="none"/>
        </w:rPr>
        <w:t>së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për</w:t>
      </w:r>
      <w:proofErr w:type="spellEnd"/>
      <w:r w:rsidRPr="004742E7">
        <w:rPr>
          <w:rFonts w:ascii="Times New Roman" w:eastAsia="Cambria" w:hAnsi="Times New Roman" w:cs="Times New Roman"/>
          <w:color w:val="000000"/>
          <w:kern w:val="24"/>
          <w:lang w:val="en-US"/>
          <w14:ligatures w14:val="none"/>
        </w:rPr>
        <w:t xml:space="preserve">: </w:t>
      </w:r>
    </w:p>
    <w:p w14:paraId="28FEC9BD" w14:textId="77777777" w:rsidR="00177EB0" w:rsidRPr="004742E7" w:rsidRDefault="00177EB0" w:rsidP="00177EB0">
      <w:pPr>
        <w:spacing w:after="0" w:line="276" w:lineRule="auto"/>
        <w:jc w:val="both"/>
        <w:rPr>
          <w:rFonts w:ascii="Times New Roman" w:eastAsia="Times New Roman" w:hAnsi="Times New Roman" w:cs="Times New Roman"/>
          <w:kern w:val="0"/>
          <w:lang w:val="en-US"/>
          <w14:ligatures w14:val="none"/>
        </w:rPr>
      </w:pPr>
    </w:p>
    <w:p w14:paraId="5122A86A" w14:textId="77777777" w:rsidR="00177EB0" w:rsidRPr="004742E7" w:rsidRDefault="00177EB0" w:rsidP="00300DC3">
      <w:pPr>
        <w:numPr>
          <w:ilvl w:val="0"/>
          <w:numId w:val="8"/>
        </w:numPr>
        <w:spacing w:after="0" w:line="276" w:lineRule="auto"/>
        <w:contextualSpacing/>
        <w:jc w:val="both"/>
        <w:rPr>
          <w:rFonts w:ascii="Times New Roman" w:eastAsia="Times New Roman" w:hAnsi="Times New Roman" w:cs="Times New Roman"/>
          <w:kern w:val="0"/>
          <w:lang w:val="en-US"/>
          <w14:ligatures w14:val="none"/>
        </w:rPr>
      </w:pPr>
      <w:r w:rsidRPr="004742E7">
        <w:rPr>
          <w:rFonts w:ascii="Times New Roman" w:eastAsia="Cambria" w:hAnsi="Times New Roman" w:cs="Times New Roman"/>
          <w:color w:val="000000"/>
          <w:kern w:val="24"/>
          <w14:ligatures w14:val="none"/>
        </w:rPr>
        <w:t xml:space="preserve">Reduktimin </w:t>
      </w:r>
      <w:r w:rsidRPr="004742E7">
        <w:rPr>
          <w:rFonts w:ascii="Times New Roman" w:eastAsia="Cambria" w:hAnsi="Times New Roman" w:cs="Times New Roman"/>
          <w:color w:val="000000"/>
          <w:kern w:val="24"/>
          <w:lang w:val="en-US"/>
          <w14:ligatures w14:val="none"/>
        </w:rPr>
        <w:t xml:space="preserve">e </w:t>
      </w:r>
      <w:proofErr w:type="spellStart"/>
      <w:r w:rsidRPr="004742E7">
        <w:rPr>
          <w:rFonts w:ascii="Times New Roman" w:eastAsia="Cambria" w:hAnsi="Times New Roman" w:cs="Times New Roman"/>
          <w:color w:val="000000"/>
          <w:kern w:val="24"/>
          <w:lang w:val="en-US"/>
          <w14:ligatures w14:val="none"/>
        </w:rPr>
        <w:t>zotërimit</w:t>
      </w:r>
      <w:proofErr w:type="spellEnd"/>
      <w:r w:rsidRPr="004742E7">
        <w:rPr>
          <w:rFonts w:ascii="Times New Roman" w:eastAsia="Cambria" w:hAnsi="Times New Roman" w:cs="Times New Roman"/>
          <w:color w:val="000000"/>
          <w:kern w:val="24"/>
          <w:lang w:val="en-US"/>
          <w14:ligatures w14:val="none"/>
        </w:rPr>
        <w:t xml:space="preserve"> </w:t>
      </w:r>
      <w:r w:rsidRPr="004742E7">
        <w:rPr>
          <w:rFonts w:ascii="Times New Roman" w:eastAsia="Cambria" w:hAnsi="Times New Roman" w:cs="Times New Roman"/>
          <w:color w:val="000000"/>
          <w:kern w:val="24"/>
          <w14:ligatures w14:val="none"/>
        </w:rPr>
        <w:t xml:space="preserve">dhe qarkullimit të </w:t>
      </w:r>
      <w:proofErr w:type="spellStart"/>
      <w:r w:rsidRPr="004742E7">
        <w:rPr>
          <w:rFonts w:ascii="Times New Roman" w:eastAsia="Cambria" w:hAnsi="Times New Roman" w:cs="Times New Roman"/>
          <w:color w:val="000000"/>
          <w:kern w:val="24"/>
          <w:lang w:val="en-US"/>
          <w14:ligatures w14:val="none"/>
        </w:rPr>
        <w:t>paligjshëm</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r w:rsidRPr="004742E7">
        <w:rPr>
          <w:rFonts w:ascii="Times New Roman" w:eastAsia="Cambria" w:hAnsi="Times New Roman" w:cs="Times New Roman"/>
          <w:color w:val="000000"/>
          <w:kern w:val="24"/>
          <w14:ligatures w14:val="none"/>
        </w:rPr>
        <w:t>armëve</w:t>
      </w:r>
      <w:r w:rsidRPr="004742E7">
        <w:rPr>
          <w:rFonts w:ascii="Times New Roman" w:eastAsia="Cambria" w:hAnsi="Times New Roman" w:cs="Times New Roman"/>
          <w:color w:val="000000"/>
          <w:kern w:val="24"/>
          <w:lang w:val="en-US"/>
          <w14:ligatures w14:val="none"/>
        </w:rPr>
        <w:t>;</w:t>
      </w:r>
    </w:p>
    <w:p w14:paraId="39A3BCEE" w14:textId="77777777" w:rsidR="00177EB0" w:rsidRPr="004742E7" w:rsidRDefault="00177EB0" w:rsidP="00300DC3">
      <w:pPr>
        <w:numPr>
          <w:ilvl w:val="0"/>
          <w:numId w:val="8"/>
        </w:numPr>
        <w:spacing w:after="0" w:line="276" w:lineRule="auto"/>
        <w:contextualSpacing/>
        <w:jc w:val="both"/>
        <w:rPr>
          <w:rFonts w:ascii="Times New Roman" w:eastAsia="Times New Roman" w:hAnsi="Times New Roman" w:cs="Times New Roman"/>
          <w:kern w:val="0"/>
          <w:lang w:val="en-US"/>
          <w14:ligatures w14:val="none"/>
        </w:rPr>
      </w:pPr>
      <w:r w:rsidRPr="004742E7">
        <w:rPr>
          <w:rFonts w:ascii="Times New Roman" w:eastAsia="Cambria" w:hAnsi="Times New Roman" w:cs="Times New Roman"/>
          <w:color w:val="000000"/>
          <w:kern w:val="24"/>
          <w14:ligatures w14:val="none"/>
        </w:rPr>
        <w:t>Fuqizimin e mekanizmave të kontrollit dhe monitorimit</w:t>
      </w:r>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veprimtarisë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së</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lejuar</w:t>
      </w:r>
      <w:proofErr w:type="spellEnd"/>
      <w:r w:rsidRPr="004742E7">
        <w:rPr>
          <w:rFonts w:ascii="Times New Roman" w:eastAsia="Cambria" w:hAnsi="Times New Roman" w:cs="Times New Roman"/>
          <w:color w:val="000000"/>
          <w:kern w:val="24"/>
          <w:lang w:val="en-US"/>
          <w14:ligatures w14:val="none"/>
        </w:rPr>
        <w:t xml:space="preserve"> me </w:t>
      </w:r>
      <w:proofErr w:type="spellStart"/>
      <w:r w:rsidRPr="004742E7">
        <w:rPr>
          <w:rFonts w:ascii="Times New Roman" w:eastAsia="Cambria" w:hAnsi="Times New Roman" w:cs="Times New Roman"/>
          <w:color w:val="000000"/>
          <w:kern w:val="24"/>
          <w:lang w:val="en-US"/>
          <w14:ligatures w14:val="none"/>
        </w:rPr>
        <w:t>armë</w:t>
      </w:r>
      <w:proofErr w:type="spellEnd"/>
      <w:r w:rsidRPr="004742E7">
        <w:rPr>
          <w:rFonts w:ascii="Times New Roman" w:eastAsia="Cambria" w:hAnsi="Times New Roman" w:cs="Times New Roman"/>
          <w:color w:val="000000"/>
          <w:kern w:val="24"/>
          <w14:ligatures w14:val="none"/>
        </w:rPr>
        <w:t>;</w:t>
      </w:r>
    </w:p>
    <w:p w14:paraId="3A472504" w14:textId="523AB2F6" w:rsidR="00327A42" w:rsidRPr="004742E7" w:rsidRDefault="00177EB0" w:rsidP="00300DC3">
      <w:pPr>
        <w:numPr>
          <w:ilvl w:val="0"/>
          <w:numId w:val="8"/>
        </w:numPr>
        <w:spacing w:after="0" w:line="276" w:lineRule="auto"/>
        <w:contextualSpacing/>
        <w:jc w:val="both"/>
        <w:rPr>
          <w:rFonts w:ascii="Times New Roman" w:eastAsia="Times New Roman" w:hAnsi="Times New Roman" w:cs="Times New Roman"/>
          <w:kern w:val="0"/>
          <w:lang w:val="en-US"/>
          <w14:ligatures w14:val="none"/>
        </w:rPr>
      </w:pPr>
      <w:proofErr w:type="spellStart"/>
      <w:r w:rsidRPr="004742E7">
        <w:rPr>
          <w:rFonts w:ascii="Times New Roman" w:eastAsia="Cambria" w:hAnsi="Times New Roman" w:cs="Times New Roman"/>
          <w:color w:val="000000"/>
          <w:kern w:val="24"/>
          <w:lang w:val="en-US"/>
          <w14:ligatures w14:val="none"/>
        </w:rPr>
        <w:t>Parandalimin</w:t>
      </w:r>
      <w:proofErr w:type="spellEnd"/>
      <w:r w:rsidRPr="004742E7">
        <w:rPr>
          <w:rFonts w:ascii="Times New Roman" w:eastAsia="Cambria" w:hAnsi="Times New Roman" w:cs="Times New Roman"/>
          <w:color w:val="000000"/>
          <w:kern w:val="24"/>
          <w:lang w:val="en-US"/>
          <w14:ligatures w14:val="none"/>
        </w:rPr>
        <w:t xml:space="preserve"> </w:t>
      </w:r>
      <w:proofErr w:type="spellStart"/>
      <w:r w:rsidRPr="004742E7">
        <w:rPr>
          <w:rFonts w:ascii="Times New Roman" w:eastAsia="Cambria" w:hAnsi="Times New Roman" w:cs="Times New Roman"/>
          <w:color w:val="000000"/>
          <w:kern w:val="24"/>
          <w:lang w:val="en-US"/>
          <w14:ligatures w14:val="none"/>
        </w:rPr>
        <w:t>përmes</w:t>
      </w:r>
      <w:proofErr w:type="spellEnd"/>
      <w:r w:rsidRPr="004742E7">
        <w:rPr>
          <w:rFonts w:ascii="Times New Roman" w:eastAsia="Cambria" w:hAnsi="Times New Roman" w:cs="Times New Roman"/>
          <w:color w:val="000000"/>
          <w:kern w:val="24"/>
          <w:lang w:val="en-US"/>
          <w14:ligatures w14:val="none"/>
        </w:rPr>
        <w:t xml:space="preserve"> n</w:t>
      </w:r>
      <w:r w:rsidRPr="004742E7">
        <w:rPr>
          <w:rFonts w:ascii="Times New Roman" w:eastAsia="Cambria" w:hAnsi="Times New Roman" w:cs="Times New Roman"/>
          <w:color w:val="000000"/>
          <w:kern w:val="24"/>
          <w14:ligatures w14:val="none"/>
        </w:rPr>
        <w:t>dërgjegjësimi</w:t>
      </w:r>
      <w:r w:rsidRPr="004742E7">
        <w:rPr>
          <w:rFonts w:ascii="Times New Roman" w:eastAsia="Cambria" w:hAnsi="Times New Roman" w:cs="Times New Roman"/>
          <w:color w:val="000000"/>
          <w:kern w:val="24"/>
          <w:lang w:val="en-US"/>
          <w14:ligatures w14:val="none"/>
        </w:rPr>
        <w:t>t</w:t>
      </w:r>
      <w:r w:rsidRPr="004742E7">
        <w:rPr>
          <w:rFonts w:ascii="Times New Roman" w:eastAsia="Cambria" w:hAnsi="Times New Roman" w:cs="Times New Roman"/>
          <w:color w:val="000000"/>
          <w:kern w:val="24"/>
          <w14:ligatures w14:val="none"/>
        </w:rPr>
        <w:t xml:space="preserve"> </w:t>
      </w:r>
      <w:proofErr w:type="spellStart"/>
      <w:r w:rsidRPr="004742E7">
        <w:rPr>
          <w:rFonts w:ascii="Times New Roman" w:eastAsia="Cambria" w:hAnsi="Times New Roman" w:cs="Times New Roman"/>
          <w:color w:val="000000"/>
          <w:kern w:val="24"/>
          <w:lang w:val="en-US"/>
          <w14:ligatures w14:val="none"/>
        </w:rPr>
        <w:t>të</w:t>
      </w:r>
      <w:proofErr w:type="spellEnd"/>
      <w:r w:rsidRPr="004742E7">
        <w:rPr>
          <w:rFonts w:ascii="Times New Roman" w:eastAsia="Cambria" w:hAnsi="Times New Roman" w:cs="Times New Roman"/>
          <w:color w:val="000000"/>
          <w:kern w:val="24"/>
          <w14:ligatures w14:val="none"/>
        </w:rPr>
        <w:t xml:space="preserve"> publikut mbi rreziqet që lidhen me armëmbajtjen e paligjshme dhe dhunën me armë.</w:t>
      </w:r>
    </w:p>
    <w:p w14:paraId="0AB90D89" w14:textId="77777777" w:rsidR="000A5B69" w:rsidRPr="000A5B69" w:rsidRDefault="00EF703E" w:rsidP="00300DC3">
      <w:pPr>
        <w:numPr>
          <w:ilvl w:val="0"/>
          <w:numId w:val="8"/>
        </w:numPr>
        <w:spacing w:after="0" w:line="276" w:lineRule="auto"/>
        <w:contextualSpacing/>
        <w:jc w:val="both"/>
        <w:rPr>
          <w:rFonts w:ascii="Times New Roman" w:eastAsia="Times New Roman" w:hAnsi="Times New Roman" w:cs="Times New Roman"/>
          <w:kern w:val="0"/>
          <w:lang w:val="en-US"/>
          <w14:ligatures w14:val="none"/>
        </w:rPr>
      </w:pPr>
      <w:r w:rsidRPr="000A5B69">
        <w:rPr>
          <w:rFonts w:ascii="Times New Roman" w:eastAsia="Cambria" w:hAnsi="Times New Roman" w:cs="Times New Roman"/>
          <w:kern w:val="24"/>
          <w14:ligatures w14:val="none"/>
        </w:rPr>
        <w:t>Parandalimin, zbulimin dhe goditjen e trafikimit dhe posedimit t</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 xml:space="preserve"> paligjsh</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m t</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 xml:space="preserve"> Arm</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ve t</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 xml:space="preserve"> Zjarrit, Pjes</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ve t</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 xml:space="preserve"> tyre, municioneve dhe Eksploziv</w:t>
      </w:r>
      <w:r w:rsidR="009E721D" w:rsidRPr="000A5B69">
        <w:rPr>
          <w:rFonts w:ascii="Times New Roman" w:eastAsia="Cambria" w:hAnsi="Times New Roman" w:cs="Times New Roman"/>
          <w:kern w:val="24"/>
          <w14:ligatures w14:val="none"/>
        </w:rPr>
        <w:t>ë</w:t>
      </w:r>
      <w:r w:rsidRPr="000A5B69">
        <w:rPr>
          <w:rFonts w:ascii="Times New Roman" w:eastAsia="Cambria" w:hAnsi="Times New Roman" w:cs="Times New Roman"/>
          <w:kern w:val="24"/>
          <w14:ligatures w14:val="none"/>
        </w:rPr>
        <w:t>ve.</w:t>
      </w:r>
    </w:p>
    <w:p w14:paraId="612493ED" w14:textId="65559356" w:rsidR="00D95198" w:rsidRPr="000A5B69" w:rsidRDefault="00D95198" w:rsidP="00300DC3">
      <w:pPr>
        <w:numPr>
          <w:ilvl w:val="0"/>
          <w:numId w:val="8"/>
        </w:numPr>
        <w:spacing w:after="0" w:line="276" w:lineRule="auto"/>
        <w:contextualSpacing/>
        <w:jc w:val="both"/>
        <w:rPr>
          <w:rFonts w:ascii="Times New Roman" w:eastAsia="Times New Roman" w:hAnsi="Times New Roman" w:cs="Times New Roman"/>
          <w:kern w:val="0"/>
          <w:lang w:val="en-US"/>
          <w14:ligatures w14:val="none"/>
        </w:rPr>
      </w:pPr>
      <w:r w:rsidRPr="000A5B69">
        <w:rPr>
          <w:rFonts w:ascii="Times New Roman" w:hAnsi="Times New Roman" w:cs="Times New Roman"/>
        </w:rPr>
        <w:t>T</w:t>
      </w:r>
      <w:r w:rsidR="00343426" w:rsidRPr="000A5B69">
        <w:rPr>
          <w:rFonts w:ascii="Times New Roman" w:hAnsi="Times New Roman" w:cs="Times New Roman"/>
        </w:rPr>
        <w:t>ë</w:t>
      </w:r>
      <w:r w:rsidRPr="000A5B69">
        <w:rPr>
          <w:rFonts w:ascii="Times New Roman" w:hAnsi="Times New Roman" w:cs="Times New Roman"/>
        </w:rPr>
        <w:t xml:space="preserve"> parandaloj</w:t>
      </w:r>
      <w:r w:rsidR="00343426" w:rsidRPr="000A5B69">
        <w:rPr>
          <w:rFonts w:ascii="Times New Roman" w:hAnsi="Times New Roman" w:cs="Times New Roman"/>
        </w:rPr>
        <w:t>ë</w:t>
      </w:r>
      <w:r w:rsidRPr="000A5B69">
        <w:rPr>
          <w:rFonts w:ascii="Times New Roman" w:hAnsi="Times New Roman" w:cs="Times New Roman"/>
        </w:rPr>
        <w:t>, kontrolloj</w:t>
      </w:r>
      <w:r w:rsidR="00343426" w:rsidRPr="000A5B69">
        <w:rPr>
          <w:rFonts w:ascii="Times New Roman" w:hAnsi="Times New Roman" w:cs="Times New Roman"/>
        </w:rPr>
        <w:t>ë</w:t>
      </w:r>
      <w:r w:rsidRPr="000A5B69">
        <w:rPr>
          <w:rFonts w:ascii="Times New Roman" w:hAnsi="Times New Roman" w:cs="Times New Roman"/>
        </w:rPr>
        <w:t xml:space="preserve"> dhe reduktoj</w:t>
      </w:r>
      <w:r w:rsidR="00343426" w:rsidRPr="000A5B69">
        <w:rPr>
          <w:rFonts w:ascii="Times New Roman" w:hAnsi="Times New Roman" w:cs="Times New Roman"/>
        </w:rPr>
        <w:t>ë</w:t>
      </w:r>
      <w:r w:rsidRPr="000A5B69">
        <w:rPr>
          <w:rFonts w:ascii="Times New Roman" w:hAnsi="Times New Roman" w:cs="Times New Roman"/>
        </w:rPr>
        <w:t xml:space="preserve"> n</w:t>
      </w:r>
      <w:r w:rsidR="00343426" w:rsidRPr="000A5B69">
        <w:rPr>
          <w:rFonts w:ascii="Times New Roman" w:hAnsi="Times New Roman" w:cs="Times New Roman"/>
        </w:rPr>
        <w:t>ë</w:t>
      </w:r>
      <w:r w:rsidRPr="000A5B69">
        <w:rPr>
          <w:rFonts w:ascii="Times New Roman" w:hAnsi="Times New Roman" w:cs="Times New Roman"/>
        </w:rPr>
        <w:t xml:space="preserve"> m</w:t>
      </w:r>
      <w:r w:rsidR="00343426" w:rsidRPr="000A5B69">
        <w:rPr>
          <w:rFonts w:ascii="Times New Roman" w:hAnsi="Times New Roman" w:cs="Times New Roman"/>
        </w:rPr>
        <w:t>ë</w:t>
      </w:r>
      <w:r w:rsidRPr="000A5B69">
        <w:rPr>
          <w:rFonts w:ascii="Times New Roman" w:hAnsi="Times New Roman" w:cs="Times New Roman"/>
        </w:rPr>
        <w:t>nyr</w:t>
      </w:r>
      <w:r w:rsidR="00343426" w:rsidRPr="000A5B69">
        <w:rPr>
          <w:rFonts w:ascii="Times New Roman" w:hAnsi="Times New Roman" w:cs="Times New Roman"/>
        </w:rPr>
        <w:t>ë</w:t>
      </w:r>
      <w:r w:rsidRPr="000A5B69">
        <w:rPr>
          <w:rFonts w:ascii="Times New Roman" w:hAnsi="Times New Roman" w:cs="Times New Roman"/>
        </w:rPr>
        <w:t xml:space="preserve"> t</w:t>
      </w:r>
      <w:r w:rsidR="00343426" w:rsidRPr="000A5B69">
        <w:rPr>
          <w:rFonts w:ascii="Times New Roman" w:hAnsi="Times New Roman" w:cs="Times New Roman"/>
        </w:rPr>
        <w:t>ë</w:t>
      </w:r>
      <w:r w:rsidRPr="000A5B69">
        <w:rPr>
          <w:rFonts w:ascii="Times New Roman" w:hAnsi="Times New Roman" w:cs="Times New Roman"/>
        </w:rPr>
        <w:t xml:space="preserve"> qëndrueshme arm</w:t>
      </w:r>
      <w:r w:rsidR="00343426" w:rsidRPr="000A5B69">
        <w:rPr>
          <w:rFonts w:ascii="Times New Roman" w:hAnsi="Times New Roman" w:cs="Times New Roman"/>
        </w:rPr>
        <w:t>ë</w:t>
      </w:r>
      <w:r w:rsidRPr="000A5B69">
        <w:rPr>
          <w:rFonts w:ascii="Times New Roman" w:hAnsi="Times New Roman" w:cs="Times New Roman"/>
        </w:rPr>
        <w:t>t, municionet dhe eksploziv</w:t>
      </w:r>
      <w:r w:rsidR="00343426" w:rsidRPr="000A5B69">
        <w:rPr>
          <w:rFonts w:ascii="Times New Roman" w:hAnsi="Times New Roman" w:cs="Times New Roman"/>
        </w:rPr>
        <w:t>ë</w:t>
      </w:r>
      <w:r w:rsidRPr="000A5B69">
        <w:rPr>
          <w:rFonts w:ascii="Times New Roman" w:hAnsi="Times New Roman" w:cs="Times New Roman"/>
        </w:rPr>
        <w:t>t jasht</w:t>
      </w:r>
      <w:r w:rsidR="00343426" w:rsidRPr="000A5B69">
        <w:rPr>
          <w:rFonts w:ascii="Times New Roman" w:hAnsi="Times New Roman" w:cs="Times New Roman"/>
        </w:rPr>
        <w:t>ë</w:t>
      </w:r>
      <w:r w:rsidRPr="000A5B69">
        <w:rPr>
          <w:rFonts w:ascii="Times New Roman" w:hAnsi="Times New Roman" w:cs="Times New Roman"/>
        </w:rPr>
        <w:t xml:space="preserve"> kontrollit shtet</w:t>
      </w:r>
      <w:r w:rsidR="00343426" w:rsidRPr="000A5B69">
        <w:rPr>
          <w:rFonts w:ascii="Times New Roman" w:hAnsi="Times New Roman" w:cs="Times New Roman"/>
        </w:rPr>
        <w:t>ë</w:t>
      </w:r>
      <w:r w:rsidRPr="000A5B69">
        <w:rPr>
          <w:rFonts w:ascii="Times New Roman" w:hAnsi="Times New Roman" w:cs="Times New Roman"/>
        </w:rPr>
        <w:t>ror p</w:t>
      </w:r>
      <w:r w:rsidR="00343426" w:rsidRPr="000A5B69">
        <w:rPr>
          <w:rFonts w:ascii="Times New Roman" w:hAnsi="Times New Roman" w:cs="Times New Roman"/>
        </w:rPr>
        <w:t>ë</w:t>
      </w:r>
      <w:r w:rsidRPr="000A5B69">
        <w:rPr>
          <w:rFonts w:ascii="Times New Roman" w:hAnsi="Times New Roman" w:cs="Times New Roman"/>
        </w:rPr>
        <w:t>rmes forcimit t</w:t>
      </w:r>
      <w:r w:rsidR="00343426" w:rsidRPr="000A5B69">
        <w:rPr>
          <w:rFonts w:ascii="Times New Roman" w:hAnsi="Times New Roman" w:cs="Times New Roman"/>
        </w:rPr>
        <w:t>ë</w:t>
      </w:r>
      <w:r w:rsidRPr="000A5B69">
        <w:rPr>
          <w:rFonts w:ascii="Times New Roman" w:hAnsi="Times New Roman" w:cs="Times New Roman"/>
        </w:rPr>
        <w:t xml:space="preserve"> kapaciteteve institucionale, legjislacionit, bashk</w:t>
      </w:r>
      <w:r w:rsidR="00343426" w:rsidRPr="000A5B69">
        <w:rPr>
          <w:rFonts w:ascii="Times New Roman" w:hAnsi="Times New Roman" w:cs="Times New Roman"/>
        </w:rPr>
        <w:t>ë</w:t>
      </w:r>
      <w:r w:rsidRPr="000A5B69">
        <w:rPr>
          <w:rFonts w:ascii="Times New Roman" w:hAnsi="Times New Roman" w:cs="Times New Roman"/>
        </w:rPr>
        <w:t>punimit nd</w:t>
      </w:r>
      <w:r w:rsidR="00343426" w:rsidRPr="000A5B69">
        <w:rPr>
          <w:rFonts w:ascii="Times New Roman" w:hAnsi="Times New Roman" w:cs="Times New Roman"/>
        </w:rPr>
        <w:t>ë</w:t>
      </w:r>
      <w:r w:rsidRPr="000A5B69">
        <w:rPr>
          <w:rFonts w:ascii="Times New Roman" w:hAnsi="Times New Roman" w:cs="Times New Roman"/>
        </w:rPr>
        <w:t>rinstitucional dhe nd</w:t>
      </w:r>
      <w:r w:rsidR="00343426" w:rsidRPr="000A5B69">
        <w:rPr>
          <w:rFonts w:ascii="Times New Roman" w:hAnsi="Times New Roman" w:cs="Times New Roman"/>
        </w:rPr>
        <w:t>ë</w:t>
      </w:r>
      <w:r w:rsidRPr="000A5B69">
        <w:rPr>
          <w:rFonts w:ascii="Times New Roman" w:hAnsi="Times New Roman" w:cs="Times New Roman"/>
        </w:rPr>
        <w:t>rkomb</w:t>
      </w:r>
      <w:r w:rsidR="00343426" w:rsidRPr="000A5B69">
        <w:rPr>
          <w:rFonts w:ascii="Times New Roman" w:hAnsi="Times New Roman" w:cs="Times New Roman"/>
        </w:rPr>
        <w:t>ë</w:t>
      </w:r>
      <w:r w:rsidRPr="000A5B69">
        <w:rPr>
          <w:rFonts w:ascii="Times New Roman" w:hAnsi="Times New Roman" w:cs="Times New Roman"/>
        </w:rPr>
        <w:t>tar, si dhe nd</w:t>
      </w:r>
      <w:r w:rsidR="00343426" w:rsidRPr="000A5B69">
        <w:rPr>
          <w:rFonts w:ascii="Times New Roman" w:hAnsi="Times New Roman" w:cs="Times New Roman"/>
        </w:rPr>
        <w:t>ë</w:t>
      </w:r>
      <w:r w:rsidRPr="000A5B69">
        <w:rPr>
          <w:rFonts w:ascii="Times New Roman" w:hAnsi="Times New Roman" w:cs="Times New Roman"/>
        </w:rPr>
        <w:t>rgjegj</w:t>
      </w:r>
      <w:r w:rsidR="00343426" w:rsidRPr="000A5B69">
        <w:rPr>
          <w:rFonts w:ascii="Times New Roman" w:hAnsi="Times New Roman" w:cs="Times New Roman"/>
        </w:rPr>
        <w:t>ë</w:t>
      </w:r>
      <w:r w:rsidRPr="000A5B69">
        <w:rPr>
          <w:rFonts w:ascii="Times New Roman" w:hAnsi="Times New Roman" w:cs="Times New Roman"/>
        </w:rPr>
        <w:t>simit publik</w:t>
      </w:r>
      <w:r w:rsidR="000A5B69">
        <w:rPr>
          <w:rFonts w:ascii="Times New Roman" w:hAnsi="Times New Roman" w:cs="Times New Roman"/>
        </w:rPr>
        <w:t>.</w:t>
      </w:r>
    </w:p>
    <w:p w14:paraId="517EDFD0" w14:textId="22A8470D" w:rsidR="00327A42" w:rsidRPr="004742E7" w:rsidRDefault="0030520F" w:rsidP="00AE255F">
      <w:pPr>
        <w:pStyle w:val="NormalWeb"/>
        <w:spacing w:line="276" w:lineRule="auto"/>
        <w:jc w:val="both"/>
        <w:rPr>
          <w:b/>
          <w:bCs/>
        </w:rPr>
      </w:pPr>
      <w:r w:rsidRPr="000A5B69">
        <w:rPr>
          <w:b/>
          <w:bCs/>
        </w:rPr>
        <w:t>3.2 Treguesit e I</w:t>
      </w:r>
      <w:r w:rsidR="008D0AA3" w:rsidRPr="000A5B69">
        <w:rPr>
          <w:b/>
          <w:bCs/>
        </w:rPr>
        <w:t>m</w:t>
      </w:r>
      <w:r w:rsidRPr="000A5B69">
        <w:rPr>
          <w:b/>
          <w:bCs/>
        </w:rPr>
        <w:t>paktit dhe Treguesit e Rezultatit</w:t>
      </w:r>
    </w:p>
    <w:p w14:paraId="4DD4004F" w14:textId="4DF14D89" w:rsidR="00EC4778" w:rsidRPr="004742E7" w:rsidRDefault="00EC4778" w:rsidP="00300DC3">
      <w:pPr>
        <w:pStyle w:val="NormalWeb"/>
        <w:numPr>
          <w:ilvl w:val="0"/>
          <w:numId w:val="10"/>
        </w:numPr>
        <w:spacing w:before="0" w:beforeAutospacing="0" w:after="0" w:afterAutospacing="0" w:line="276" w:lineRule="auto"/>
        <w:jc w:val="both"/>
        <w:rPr>
          <w:lang w:val="en-US"/>
        </w:rPr>
      </w:pPr>
      <w:r w:rsidRPr="004742E7">
        <w:t>Niveli i harmonizimit ose i përputhshmërisë së kuadrit ligjor për kontrollin e armëve me kuadrin rregullator të Bashkimit Evropian, Traktatin për Tregtinë e Armëve dhe Protokollin e Kombeve të Bashkuara për Armët e Zjarrit;</w:t>
      </w:r>
    </w:p>
    <w:p w14:paraId="3868A848" w14:textId="77777777" w:rsidR="00EC4778" w:rsidRPr="004742E7" w:rsidRDefault="00EC4778" w:rsidP="00EC4778">
      <w:pPr>
        <w:pStyle w:val="NormalWeb"/>
        <w:spacing w:before="0" w:beforeAutospacing="0" w:after="0" w:afterAutospacing="0" w:line="276" w:lineRule="auto"/>
        <w:ind w:left="360"/>
        <w:jc w:val="both"/>
        <w:rPr>
          <w:lang w:val="en-US"/>
        </w:rPr>
      </w:pPr>
    </w:p>
    <w:p w14:paraId="4819F444" w14:textId="0C85E3A1" w:rsidR="00EC4778" w:rsidRPr="004742E7" w:rsidRDefault="00EC4778" w:rsidP="00300DC3">
      <w:pPr>
        <w:pStyle w:val="NormalWeb"/>
        <w:numPr>
          <w:ilvl w:val="0"/>
          <w:numId w:val="10"/>
        </w:numPr>
        <w:spacing w:before="0" w:beforeAutospacing="0" w:after="0" w:afterAutospacing="0" w:line="276" w:lineRule="auto"/>
        <w:jc w:val="both"/>
      </w:pPr>
      <w:r w:rsidRPr="004742E7">
        <w:t>Niveli i përputhshmërisë me Udhërrëfyesin në lidhje me Strategjitë/Planet e Veprimit për AVL, të cilat bazohen në të dhëna dhe janë të ndjeshme ndaj gjinisë;</w:t>
      </w:r>
    </w:p>
    <w:p w14:paraId="7C88F5A5" w14:textId="77777777" w:rsidR="00EC4778" w:rsidRPr="004742E7" w:rsidRDefault="00EC4778" w:rsidP="00EC4778">
      <w:pPr>
        <w:pStyle w:val="NormalWeb"/>
        <w:spacing w:before="0" w:beforeAutospacing="0" w:after="0" w:afterAutospacing="0" w:line="276" w:lineRule="auto"/>
        <w:jc w:val="both"/>
      </w:pPr>
    </w:p>
    <w:p w14:paraId="39332CA1" w14:textId="33B63667" w:rsidR="00EC4778" w:rsidRPr="004742E7" w:rsidRDefault="00EC4778" w:rsidP="00300DC3">
      <w:pPr>
        <w:pStyle w:val="NormalWeb"/>
        <w:numPr>
          <w:ilvl w:val="0"/>
          <w:numId w:val="10"/>
        </w:numPr>
        <w:spacing w:before="0" w:beforeAutospacing="0" w:after="0" w:afterAutospacing="0" w:line="276" w:lineRule="auto"/>
        <w:jc w:val="both"/>
      </w:pPr>
      <w:r w:rsidRPr="004742E7">
        <w:t>Niveli i zbatimit nga organet e rendit, si dhe përgjigjja e shërbimeve të prokurorisë dhe gjyqësorit në lidhje me incidente/ngjarje që përfshijnë armë, municione dhe eksplozivë;</w:t>
      </w:r>
    </w:p>
    <w:p w14:paraId="0CC09317" w14:textId="77777777" w:rsidR="00EC4778" w:rsidRPr="004742E7" w:rsidRDefault="00EC4778" w:rsidP="00EC4778">
      <w:pPr>
        <w:pStyle w:val="NormalWeb"/>
        <w:spacing w:before="0" w:beforeAutospacing="0" w:after="0" w:afterAutospacing="0" w:line="276" w:lineRule="auto"/>
        <w:jc w:val="both"/>
      </w:pPr>
    </w:p>
    <w:p w14:paraId="6B658173" w14:textId="7FB8797E" w:rsidR="00EC4778" w:rsidRPr="004742E7" w:rsidRDefault="00EC4778" w:rsidP="00300DC3">
      <w:pPr>
        <w:pStyle w:val="NormalWeb"/>
        <w:numPr>
          <w:ilvl w:val="0"/>
          <w:numId w:val="10"/>
        </w:numPr>
        <w:spacing w:before="0" w:beforeAutospacing="0" w:after="0" w:afterAutospacing="0" w:line="276" w:lineRule="auto"/>
        <w:jc w:val="both"/>
      </w:pPr>
      <w:r w:rsidRPr="004742E7">
        <w:t>Numri i rasteve dhe sasia e armëve, municioneve dhe eksplozivëve të sekuestruara brenda territorit</w:t>
      </w:r>
      <w:r w:rsidR="0076641D">
        <w:t>.</w:t>
      </w:r>
    </w:p>
    <w:p w14:paraId="6E2FC028" w14:textId="77777777" w:rsidR="00EC4778" w:rsidRPr="004742E7" w:rsidRDefault="00EC4778" w:rsidP="00EC4778">
      <w:pPr>
        <w:pStyle w:val="NormalWeb"/>
        <w:spacing w:before="0" w:beforeAutospacing="0" w:after="0" w:afterAutospacing="0" w:line="276" w:lineRule="auto"/>
        <w:jc w:val="both"/>
      </w:pPr>
    </w:p>
    <w:p w14:paraId="7A677983" w14:textId="13361AFA" w:rsidR="00EC4778" w:rsidRPr="004742E7" w:rsidRDefault="00EC4778" w:rsidP="00300DC3">
      <w:pPr>
        <w:pStyle w:val="NormalWeb"/>
        <w:numPr>
          <w:ilvl w:val="0"/>
          <w:numId w:val="10"/>
        </w:numPr>
        <w:spacing w:before="0" w:beforeAutospacing="0" w:after="0" w:afterAutospacing="0" w:line="276" w:lineRule="auto"/>
        <w:jc w:val="both"/>
      </w:pPr>
      <w:r w:rsidRPr="004742E7">
        <w:t>Numri i rasteve të raportuara dhe sasia e armëve, municioneve dhe eksplozivëve të sekuestruara në kufijtë e Bashkimit Evropian dhe që janë gjurmuar si me origjinë nga Ballkani Perëndimor, si dhe numri i rasteve të raportuara dhe sasia e tyre të sekuestruara brenda Bashkimit Evropian dhe që janë gjurmuar si me origjinë nga Ballkani Perëndimor;</w:t>
      </w:r>
    </w:p>
    <w:p w14:paraId="5BD51A4C" w14:textId="77777777" w:rsidR="00EC4778" w:rsidRPr="004742E7" w:rsidRDefault="00EC4778" w:rsidP="00EC4778">
      <w:pPr>
        <w:pStyle w:val="NormalWeb"/>
        <w:spacing w:before="0" w:beforeAutospacing="0" w:after="0" w:afterAutospacing="0" w:line="276" w:lineRule="auto"/>
        <w:jc w:val="both"/>
      </w:pPr>
    </w:p>
    <w:p w14:paraId="69E99858" w14:textId="196B73D1" w:rsidR="00EC4778" w:rsidRPr="004742E7" w:rsidRDefault="00EC4778" w:rsidP="00300DC3">
      <w:pPr>
        <w:pStyle w:val="NormalWeb"/>
        <w:numPr>
          <w:ilvl w:val="0"/>
          <w:numId w:val="10"/>
        </w:numPr>
        <w:spacing w:before="0" w:beforeAutospacing="0" w:after="0" w:afterAutospacing="0"/>
        <w:jc w:val="both"/>
      </w:pPr>
      <w:r w:rsidRPr="004742E7">
        <w:t>Numri i licencave të eksportit nga të cilat armë dhe municione janë identifikuar si të devijuara përmes procedurës së kontrollit pas dërgesës;</w:t>
      </w:r>
    </w:p>
    <w:p w14:paraId="1D49ACFC" w14:textId="77777777" w:rsidR="00EC4778" w:rsidRPr="004742E7" w:rsidRDefault="00EC4778" w:rsidP="00EF703E">
      <w:pPr>
        <w:pStyle w:val="NormalWeb"/>
        <w:spacing w:before="0" w:beforeAutospacing="0" w:after="0" w:afterAutospacing="0"/>
        <w:jc w:val="both"/>
      </w:pPr>
    </w:p>
    <w:p w14:paraId="11655F31" w14:textId="24D916F9" w:rsidR="00EC4778" w:rsidRPr="004742E7" w:rsidRDefault="00EC4778" w:rsidP="00300DC3">
      <w:pPr>
        <w:pStyle w:val="NormalWeb"/>
        <w:numPr>
          <w:ilvl w:val="0"/>
          <w:numId w:val="10"/>
        </w:numPr>
        <w:spacing w:before="0" w:beforeAutospacing="0" w:after="0" w:afterAutospacing="0"/>
        <w:jc w:val="both"/>
      </w:pPr>
      <w:r w:rsidRPr="004742E7">
        <w:t>Përqindja e konsolidimit të kapaciteteve</w:t>
      </w:r>
      <w:r w:rsidR="0076641D">
        <w:t xml:space="preserve"> njerëzore dhe logjistike</w:t>
      </w:r>
      <w:r w:rsidRPr="004742E7">
        <w:t xml:space="preserve"> të Njësisë Qëndrore të Armëve të Zjarrit;</w:t>
      </w:r>
    </w:p>
    <w:p w14:paraId="34A4CACA" w14:textId="77777777" w:rsidR="00EC4778" w:rsidRPr="004742E7" w:rsidRDefault="00EC4778" w:rsidP="00EF703E">
      <w:pPr>
        <w:pStyle w:val="ListParagraph"/>
        <w:spacing w:after="0" w:line="240" w:lineRule="auto"/>
        <w:jc w:val="both"/>
        <w:rPr>
          <w:rFonts w:ascii="Times New Roman" w:hAnsi="Times New Roman" w:cs="Times New Roman"/>
          <w:color w:val="FF0000"/>
        </w:rPr>
      </w:pPr>
    </w:p>
    <w:p w14:paraId="79018761" w14:textId="59CCF268" w:rsidR="00EC4778" w:rsidRDefault="00EC4778" w:rsidP="00300DC3">
      <w:pPr>
        <w:pStyle w:val="NormalWeb"/>
        <w:numPr>
          <w:ilvl w:val="0"/>
          <w:numId w:val="10"/>
        </w:numPr>
        <w:spacing w:before="0" w:beforeAutospacing="0" w:after="0" w:afterAutospacing="0"/>
        <w:jc w:val="both"/>
      </w:pPr>
      <w:r w:rsidRPr="004742E7">
        <w:t xml:space="preserve">Niveli i bashkëpunimit operativ </w:t>
      </w:r>
      <w:r w:rsidR="0076641D">
        <w:t xml:space="preserve">, referuar </w:t>
      </w:r>
      <w:r w:rsidRPr="004742E7">
        <w:t>në</w:t>
      </w:r>
      <w:r w:rsidR="0076641D">
        <w:t xml:space="preserve"> përqindje në</w:t>
      </w:r>
      <w:r w:rsidRPr="004742E7">
        <w:t xml:space="preserve"> luftën kundër krimeve që lidhen me armët e zjarrit midis autoriteteve në rajon, Shteteve Anëtare të BE-së dhe agjencive ndërkombëtare;</w:t>
      </w:r>
    </w:p>
    <w:p w14:paraId="27EF1587" w14:textId="77777777" w:rsidR="0076641D" w:rsidRPr="004742E7" w:rsidRDefault="0076641D" w:rsidP="0076641D">
      <w:pPr>
        <w:pStyle w:val="NormalWeb"/>
        <w:spacing w:before="0" w:beforeAutospacing="0" w:after="0" w:afterAutospacing="0"/>
        <w:jc w:val="both"/>
      </w:pPr>
    </w:p>
    <w:p w14:paraId="4AB3975D" w14:textId="60EF2F8E" w:rsidR="00EC4778" w:rsidRDefault="00EC4778" w:rsidP="00300DC3">
      <w:pPr>
        <w:pStyle w:val="NormalWeb"/>
        <w:numPr>
          <w:ilvl w:val="0"/>
          <w:numId w:val="10"/>
        </w:numPr>
        <w:spacing w:before="0" w:beforeAutospacing="0" w:after="0" w:afterAutospacing="0" w:line="276" w:lineRule="auto"/>
        <w:jc w:val="both"/>
      </w:pPr>
      <w:r w:rsidRPr="004742E7">
        <w:t xml:space="preserve">Numri i </w:t>
      </w:r>
      <w:r w:rsidR="0076641D">
        <w:t>ngjarjeve</w:t>
      </w:r>
      <w:r w:rsidRPr="004742E7">
        <w:t xml:space="preserve"> dhe viktimave që përfshijnë armë dhe eksplozivë, të ndara sipas gjinisë dhe moshës;</w:t>
      </w:r>
    </w:p>
    <w:p w14:paraId="4C3550C2" w14:textId="77777777" w:rsidR="0076641D" w:rsidRPr="004742E7" w:rsidRDefault="0076641D" w:rsidP="0076641D">
      <w:pPr>
        <w:pStyle w:val="NormalWeb"/>
        <w:spacing w:before="0" w:beforeAutospacing="0" w:after="0" w:afterAutospacing="0" w:line="276" w:lineRule="auto"/>
        <w:jc w:val="both"/>
      </w:pPr>
    </w:p>
    <w:p w14:paraId="66C29FD4" w14:textId="34B273AD" w:rsidR="00EC4778" w:rsidRPr="004742E7" w:rsidRDefault="00EC4778" w:rsidP="00300DC3">
      <w:pPr>
        <w:pStyle w:val="NormalWeb"/>
        <w:numPr>
          <w:ilvl w:val="0"/>
          <w:numId w:val="10"/>
        </w:numPr>
        <w:spacing w:before="0" w:beforeAutospacing="0" w:after="0" w:afterAutospacing="0" w:line="276" w:lineRule="auto"/>
        <w:jc w:val="both"/>
      </w:pPr>
      <w:r w:rsidRPr="004742E7">
        <w:t>Numri i armëve, municioneve dhe eksplozivëve të dorëzuara vullnetarisht, si dhe armëve të legalizuara apo të çaktivizuara;</w:t>
      </w:r>
    </w:p>
    <w:p w14:paraId="26428380" w14:textId="77777777" w:rsidR="00EC4778" w:rsidRPr="004742E7" w:rsidRDefault="00EC4778" w:rsidP="00EC4778">
      <w:pPr>
        <w:pStyle w:val="NormalWeb"/>
        <w:spacing w:before="0" w:beforeAutospacing="0" w:after="0" w:afterAutospacing="0" w:line="276" w:lineRule="auto"/>
        <w:jc w:val="both"/>
      </w:pPr>
    </w:p>
    <w:p w14:paraId="23112701" w14:textId="0B57CD11" w:rsidR="00EC4778" w:rsidRPr="004742E7" w:rsidRDefault="00EC4778" w:rsidP="00300DC3">
      <w:pPr>
        <w:pStyle w:val="NormalWeb"/>
        <w:numPr>
          <w:ilvl w:val="0"/>
          <w:numId w:val="10"/>
        </w:numPr>
        <w:spacing w:before="0" w:beforeAutospacing="0" w:after="0" w:afterAutospacing="0" w:line="276" w:lineRule="auto"/>
        <w:jc w:val="both"/>
      </w:pPr>
      <w:r w:rsidRPr="004742E7">
        <w:t>Numri i armëve, municioneve dhe eksplozivëve të raportuara (të konfiskuara, të dorëzuara vullnetarisht ose tepricë) që janë shkatërruar sistematikisht;</w:t>
      </w:r>
    </w:p>
    <w:p w14:paraId="0E9CCC07" w14:textId="77777777" w:rsidR="00EC4778" w:rsidRPr="004742E7" w:rsidRDefault="00EC4778" w:rsidP="00EC4778">
      <w:pPr>
        <w:pStyle w:val="ListParagraph"/>
        <w:rPr>
          <w:rFonts w:ascii="Times New Roman" w:hAnsi="Times New Roman" w:cs="Times New Roman"/>
        </w:rPr>
      </w:pPr>
    </w:p>
    <w:p w14:paraId="5FCE764A" w14:textId="77777777" w:rsidR="00EC4778" w:rsidRPr="004742E7" w:rsidRDefault="00EC4778" w:rsidP="00EC4778">
      <w:pPr>
        <w:pStyle w:val="NormalWeb"/>
        <w:spacing w:before="0" w:beforeAutospacing="0" w:after="0" w:afterAutospacing="0" w:line="276" w:lineRule="auto"/>
        <w:ind w:left="360"/>
        <w:jc w:val="both"/>
      </w:pPr>
    </w:p>
    <w:p w14:paraId="19F77580" w14:textId="337541F7" w:rsidR="00EC4778" w:rsidRPr="004742E7" w:rsidRDefault="00EC4778" w:rsidP="00300DC3">
      <w:pPr>
        <w:pStyle w:val="NormalWeb"/>
        <w:numPr>
          <w:ilvl w:val="0"/>
          <w:numId w:val="10"/>
        </w:numPr>
        <w:spacing w:before="0" w:beforeAutospacing="0" w:after="0" w:afterAutospacing="0" w:line="276" w:lineRule="auto"/>
        <w:jc w:val="both"/>
      </w:pPr>
      <w:r w:rsidRPr="004742E7">
        <w:t>Numri i armëve, municioneve dhe eksplozivëve në pronësi të: 1) institucioneve, 2) subjekteve private juridike dhe 3) civilëve, të raportuara si të humbura ose të vjedhura;</w:t>
      </w:r>
    </w:p>
    <w:p w14:paraId="5854D925" w14:textId="77777777" w:rsidR="00EC4778" w:rsidRPr="004742E7" w:rsidRDefault="00EC4778" w:rsidP="00EC4778">
      <w:pPr>
        <w:pStyle w:val="NormalWeb"/>
        <w:spacing w:before="0" w:beforeAutospacing="0" w:after="0" w:afterAutospacing="0" w:line="276" w:lineRule="auto"/>
        <w:jc w:val="both"/>
      </w:pPr>
    </w:p>
    <w:p w14:paraId="65AA4BCC" w14:textId="45558E0D" w:rsidR="0030520F" w:rsidRPr="004742E7" w:rsidRDefault="00EC4778" w:rsidP="00300DC3">
      <w:pPr>
        <w:pStyle w:val="NormalWeb"/>
        <w:numPr>
          <w:ilvl w:val="0"/>
          <w:numId w:val="10"/>
        </w:numPr>
        <w:spacing w:before="0" w:beforeAutospacing="0" w:after="0" w:afterAutospacing="0" w:line="276" w:lineRule="auto"/>
        <w:jc w:val="both"/>
      </w:pPr>
      <w:r w:rsidRPr="004742E7">
        <w:t>Përqindja e qytetarëve që ndihen të kërcënuar nga posedimi dhe përdorimi i paligjshëm i armëve.</w:t>
      </w:r>
    </w:p>
    <w:p w14:paraId="3FDBD7AB" w14:textId="77777777" w:rsidR="00AE255F" w:rsidRPr="004742E7" w:rsidRDefault="00AE255F" w:rsidP="00AE255F">
      <w:pPr>
        <w:spacing w:line="276" w:lineRule="auto"/>
        <w:jc w:val="both"/>
        <w:rPr>
          <w:rFonts w:ascii="Times New Roman" w:hAnsi="Times New Roman" w:cs="Times New Roman"/>
          <w:b/>
          <w:bCs/>
        </w:rPr>
      </w:pPr>
    </w:p>
    <w:p w14:paraId="2F6E138B" w14:textId="2477E7D6" w:rsidR="00AE255F" w:rsidRPr="004742E7" w:rsidRDefault="00AE255F" w:rsidP="00AE255F">
      <w:pPr>
        <w:spacing w:line="276" w:lineRule="auto"/>
        <w:jc w:val="both"/>
        <w:rPr>
          <w:rFonts w:ascii="Times New Roman" w:hAnsi="Times New Roman" w:cs="Times New Roman"/>
          <w:b/>
          <w:bCs/>
        </w:rPr>
      </w:pPr>
      <w:r w:rsidRPr="004742E7">
        <w:rPr>
          <w:rFonts w:ascii="Times New Roman" w:hAnsi="Times New Roman" w:cs="Times New Roman"/>
          <w:b/>
          <w:bCs/>
        </w:rPr>
        <w:t>3.3 Metodologjia</w:t>
      </w:r>
    </w:p>
    <w:p w14:paraId="2CF085FA" w14:textId="77777777" w:rsidR="00AE255F" w:rsidRPr="004742E7" w:rsidRDefault="00AE255F" w:rsidP="00AE255F">
      <w:pPr>
        <w:pStyle w:val="NormalWeb"/>
        <w:spacing w:line="276" w:lineRule="auto"/>
        <w:jc w:val="both"/>
      </w:pPr>
      <w:r w:rsidRPr="004742E7">
        <w:t>Strategjia Kombëtare për Kontrollin e Armëve të Vogla dhe të Lehta, Municioneve dhe Eksplozivëve 2025–2030 përbën një dokument strategjik të rëndësishëm që lidhet ngushtë me procesin e integrimit evropian të Shqipërisë dhe me angazhimin për të forcuar shtetin e së drejtës, sigurinë publike dhe stabilitetin rajonal. Ministria e Brendshme, në rolin e institucionit lider për hartimin dhe monitorimin e politikave në fushën e rendit dhe sigurisë publike, është përgjegjëse për mbarëvajtjen e procesit të hartimit të dokumentit strategjik dhe anekseve shoqëruese si dhe koordinimit mes të gjithë institucioneve të tjera.</w:t>
      </w:r>
    </w:p>
    <w:p w14:paraId="6B14A8F5" w14:textId="28FBDC17" w:rsidR="005D597D" w:rsidRPr="004742E7" w:rsidRDefault="00AE255F" w:rsidP="005D597D">
      <w:pPr>
        <w:pStyle w:val="NormalWeb"/>
        <w:spacing w:line="276" w:lineRule="auto"/>
        <w:jc w:val="both"/>
        <w:rPr>
          <w:color w:val="FF0000"/>
        </w:rPr>
      </w:pPr>
      <w:r w:rsidRPr="004742E7">
        <w:t xml:space="preserve">Si rrjedhojë Ministri i Brendshëm miratoi Urdhrin </w:t>
      </w:r>
      <w:r w:rsidRPr="00C90952">
        <w:rPr>
          <w:color w:val="000000" w:themeColor="text1"/>
        </w:rPr>
        <w:t>nr</w:t>
      </w:r>
      <w:r w:rsidR="00580224" w:rsidRPr="00C90952">
        <w:rPr>
          <w:color w:val="000000" w:themeColor="text1"/>
        </w:rPr>
        <w:t>.</w:t>
      </w:r>
      <w:r w:rsidR="007F3D4E" w:rsidRPr="00C90952">
        <w:rPr>
          <w:color w:val="000000" w:themeColor="text1"/>
        </w:rPr>
        <w:t xml:space="preserve"> </w:t>
      </w:r>
      <w:r w:rsidR="00580224" w:rsidRPr="00C90952">
        <w:rPr>
          <w:color w:val="000000" w:themeColor="text1"/>
        </w:rPr>
        <w:t>6 dat</w:t>
      </w:r>
      <w:r w:rsidR="00D06887" w:rsidRPr="00C90952">
        <w:rPr>
          <w:color w:val="000000" w:themeColor="text1"/>
        </w:rPr>
        <w:t>ë</w:t>
      </w:r>
      <w:r w:rsidR="00580224" w:rsidRPr="00C90952">
        <w:rPr>
          <w:color w:val="000000" w:themeColor="text1"/>
        </w:rPr>
        <w:t xml:space="preserve">  14.01.2025 “P</w:t>
      </w:r>
      <w:r w:rsidR="00D06887" w:rsidRPr="00C90952">
        <w:rPr>
          <w:color w:val="000000" w:themeColor="text1"/>
        </w:rPr>
        <w:t>ë</w:t>
      </w:r>
      <w:r w:rsidR="00580224" w:rsidRPr="00C90952">
        <w:rPr>
          <w:color w:val="000000" w:themeColor="text1"/>
        </w:rPr>
        <w:t xml:space="preserve">r </w:t>
      </w:r>
      <w:r w:rsidR="00580224" w:rsidRPr="004742E7">
        <w:t>n</w:t>
      </w:r>
      <w:r w:rsidRPr="004742E7">
        <w:rPr>
          <w:i/>
          <w:iCs/>
        </w:rPr>
        <w:t>gritjen e grupit të punës për hartimin e strategjisë kombëtare për kontrollin e armëve të vogla e të lehta, municioneve dhe eksplozivëve 2025-2030 dhe planit të saj të veprimit 2025-2027”.</w:t>
      </w:r>
      <w:r w:rsidRPr="004742E7">
        <w:t xml:space="preserve"> Grupi ndërinstitucional i punës u kryesua nga zëvendësministri i Brendshëm përgjegjës për politikat dhe strategjitë në fushën e kontrollit të armëve të vogla e të lehta, municioneve dhe eksplozivëve dhe në përbërje kishte përfaqësues nga struktura përgjegjëse për politikat e rendit dhe sigurisë publike në MB, përfaqësues nga struktura përgjegjëse për buxhetin në MB, përfaqësues nga struktura përgjegjëse </w:t>
      </w:r>
      <w:r w:rsidRPr="004742E7">
        <w:lastRenderedPageBreak/>
        <w:t xml:space="preserve">programimit, standardizimit dhe harmonizimit të kuadrit rregullator në MB, </w:t>
      </w:r>
      <w:r w:rsidR="00C90952">
        <w:t xml:space="preserve">Përfaqësues </w:t>
      </w:r>
      <w:r w:rsidR="005D597D" w:rsidRPr="00C90952">
        <w:rPr>
          <w:color w:val="000000" w:themeColor="text1"/>
        </w:rPr>
        <w:t xml:space="preserve">nga </w:t>
      </w:r>
      <w:r w:rsidR="00C90952" w:rsidRPr="00C90952">
        <w:rPr>
          <w:color w:val="000000" w:themeColor="text1"/>
        </w:rPr>
        <w:t xml:space="preserve">strukturat e </w:t>
      </w:r>
      <w:r w:rsidR="005D597D" w:rsidRPr="00C90952">
        <w:rPr>
          <w:color w:val="000000" w:themeColor="text1"/>
        </w:rPr>
        <w:t>Polici</w:t>
      </w:r>
      <w:r w:rsidR="00C90952" w:rsidRPr="00C90952">
        <w:rPr>
          <w:color w:val="000000" w:themeColor="text1"/>
        </w:rPr>
        <w:t>së</w:t>
      </w:r>
      <w:r w:rsidR="005D597D" w:rsidRPr="00C90952">
        <w:rPr>
          <w:color w:val="000000" w:themeColor="text1"/>
        </w:rPr>
        <w:t xml:space="preserve"> </w:t>
      </w:r>
      <w:r w:rsidR="00C90952" w:rsidRPr="00C90952">
        <w:rPr>
          <w:color w:val="000000" w:themeColor="text1"/>
        </w:rPr>
        <w:t xml:space="preserve">së </w:t>
      </w:r>
      <w:r w:rsidR="005D597D" w:rsidRPr="00C90952">
        <w:rPr>
          <w:color w:val="000000" w:themeColor="text1"/>
        </w:rPr>
        <w:t>Shtetit</w:t>
      </w:r>
      <w:r w:rsidR="00C90952" w:rsidRPr="00C90952">
        <w:rPr>
          <w:color w:val="000000" w:themeColor="text1"/>
        </w:rPr>
        <w:t>.</w:t>
      </w:r>
    </w:p>
    <w:p w14:paraId="2250906E" w14:textId="1F14FF85" w:rsidR="00AE255F" w:rsidRPr="004742E7" w:rsidRDefault="00AE255F" w:rsidP="00AE255F">
      <w:pPr>
        <w:pStyle w:val="NormalWeb"/>
        <w:spacing w:line="276" w:lineRule="auto"/>
        <w:jc w:val="both"/>
      </w:pPr>
      <w:r w:rsidRPr="004742E7">
        <w:t>Në mbledhjet e grupit ndërinstitucional të punës, u ftuan të marrin pjesë për të kontribuar në hartimin e dokumentit strategjik, në përputhje me funksionet dhe përgjegjësitë institucionale, anëtarët e Komisionit Kombëtar të Armëve të Vogla e të Lehta të krijuar me urdhrin nr. 69 prot., datë 22.05.2017 “Për ngritjen e Komisionit Kombëtar për Armët e Vogla dhe të Lehta (AVL)” dhe përfaqësues të tjerë nga institucionet që ngarkohen për zbatimin e masave dhe aktiviteteve që parashikon kjo strategji.</w:t>
      </w:r>
    </w:p>
    <w:p w14:paraId="07C17FD1" w14:textId="77777777" w:rsidR="00AE255F" w:rsidRPr="004742E7" w:rsidRDefault="00AE255F" w:rsidP="00AE255F">
      <w:pPr>
        <w:pStyle w:val="NormalWeb"/>
        <w:spacing w:line="276" w:lineRule="auto"/>
        <w:jc w:val="both"/>
      </w:pPr>
      <w:r w:rsidRPr="004742E7">
        <w:t xml:space="preserve">Kjo strategji do të hartohet në përputhje me metodologjinë e </w:t>
      </w:r>
      <w:r w:rsidRPr="004742E7">
        <w:rPr>
          <w:rStyle w:val="Strong"/>
          <w:rFonts w:eastAsiaTheme="majorEastAsia"/>
          <w:b w:val="0"/>
          <w:bCs w:val="0"/>
        </w:rPr>
        <w:t>Strategjisë Kombëtare për Zhvillim dhe Integrim Evropian 2022–2030</w:t>
      </w:r>
      <w:r w:rsidRPr="004742E7">
        <w:rPr>
          <w:b/>
          <w:bCs/>
        </w:rPr>
        <w:t xml:space="preserve">, </w:t>
      </w:r>
      <w:r w:rsidRPr="004742E7">
        <w:t>duke përqafuar parimet e qeverisjes së mirë, zhvillimit të qëndrueshëm ekonomik e social dhe forcimit të institucioneve demokratike. Lidhja e saj me reformat në drejtësi, luftën kundër krimit të organizuar dhe terrorizmit është e drejtpërdrejtë dhe thelbësore për përmbushjen e kritereve të kapitujve 24 dhe 31 të acquis të Bashkimit Evropian, veçanërisht në fushat që lidhen me kontrollin e armëve, mbikëqyrjen kufitare, dhe ndalimin e përhapjes së armëve të shkatërrimit në masë.</w:t>
      </w:r>
    </w:p>
    <w:p w14:paraId="25511CB7" w14:textId="77777777" w:rsidR="00AE255F" w:rsidRPr="004742E7" w:rsidRDefault="00AE255F" w:rsidP="00AE255F">
      <w:pPr>
        <w:pStyle w:val="NormalWeb"/>
        <w:spacing w:line="276" w:lineRule="auto"/>
        <w:jc w:val="both"/>
      </w:pPr>
      <w:r w:rsidRPr="004742E7">
        <w:t>Në përmbajtje, kjo strategji synon reduktimin e ndjeshëm të qarkullimit dhe posedimit të paligjshëm të armëve, municioneve dhe eksplozivëve në Shqipëri, përmes masave të integruara që përfshijnë përmirësimin e kuadrit ligjor, forcimin e bashkëpunimit institucional dhe ndërkombëtar, zhvillimin e kapaciteteve teknike e njerëzore dhe zbatimin e mekanizmave të monitorimit e raportimit. Strategjia mbështetet në përmbushjen e detyrimeve që rrjedhin nga dokumente ndërkombëtare të ratifikuara nga Shqipëria, si Traktati për Tregtinë e Armëve, Protokolli i OKB-së për Armët e Zjarrit, Programi i Veprimit i OKB-së për Armët e Vogla dhe të Lehta, si dhe standardet e përcaktuara nga BE, OSBE dhe udhërrëfyesi rajonal për Ballkanin Perëndimor për periudhën 2025–2030.</w:t>
      </w:r>
    </w:p>
    <w:p w14:paraId="33C75D44" w14:textId="77777777" w:rsidR="00AE255F" w:rsidRPr="004742E7" w:rsidRDefault="00AE255F" w:rsidP="00AE255F">
      <w:pPr>
        <w:pStyle w:val="NormalWeb"/>
        <w:spacing w:line="276" w:lineRule="auto"/>
        <w:jc w:val="both"/>
      </w:pPr>
      <w:r w:rsidRPr="004742E7">
        <w:t xml:space="preserve">Në këtë mënyrë, Strategjia kontribuon drejtpërdrejt në zbatimin e </w:t>
      </w:r>
      <w:r w:rsidRPr="004742E7">
        <w:rPr>
          <w:rStyle w:val="Strong"/>
          <w:rFonts w:eastAsiaTheme="majorEastAsia"/>
          <w:b w:val="0"/>
          <w:bCs w:val="0"/>
        </w:rPr>
        <w:t>Objektivit të Zhvillimit të Qëndrueshëm nr. 16</w:t>
      </w:r>
      <w:r w:rsidRPr="004742E7">
        <w:rPr>
          <w:b/>
          <w:bCs/>
        </w:rPr>
        <w:t xml:space="preserve"> </w:t>
      </w:r>
      <w:r w:rsidRPr="004742E7">
        <w:t>të Agjendës 2030 të OKB-së, duke synuar krijimin e një shoqërie paqësore, të drejtë dhe me institucione efektive. Në veçanti, ajo adreson nën-objektivat që synojnë uljen e dhunës, reduktimin e flukseve të paligjshme të armëve dhe forcimin e kapaciteteve për parandalimin e krimeve dhe terrorizmit. Lidhja e saj me Programin e Qeverisë 2021–2025 është po ashtu e drejtpërdrejtë, duke mbështetur ndërtimin e një Shqipërie të sigurt, ku qytetarët dhe investitorët ndihen të mbrojtur dhe besimi në institucionet publike rritet ndjeshëm.</w:t>
      </w:r>
    </w:p>
    <w:p w14:paraId="0251C9CE" w14:textId="77777777" w:rsidR="00AE255F" w:rsidRPr="004742E7" w:rsidRDefault="00AE255F" w:rsidP="00AE255F">
      <w:pPr>
        <w:pStyle w:val="NormalWeb"/>
        <w:spacing w:line="276" w:lineRule="auto"/>
        <w:jc w:val="both"/>
      </w:pPr>
      <w:r w:rsidRPr="004742E7">
        <w:t>Përmes një plani veprimi të detajuar, që do të përfshijë objektiva të matshme dhe tregues konkretë, kjo strategji do të mundësojë monitorimin dhe vlerësimin e progresit në nivel kombëtar dhe lokal. Zbatimi i saj do të kërkojë koordinim të ngushtë ndërinstitucional dhe mbështetje të vazhdueshme nga partnerët ndërkombëtarë, duke garantuar përdorim efikas të burimeve dhe rezultate të prekshme në fushën e sigurisë. Në thelb, Strategjia Kombëtare për Kontrollin e Armëve 2025–</w:t>
      </w:r>
      <w:r w:rsidRPr="004742E7">
        <w:lastRenderedPageBreak/>
        <w:t>2030 përfaqëson vullnetin politik dhe angazhimin e Shqipërisë për të qenë një partner i besueshëm në promovimin e paqes, stabilitetit dhe sundimit të ligjit, si në nivel kombëtar, ashtu edhe ndërkombëtar.</w:t>
      </w:r>
    </w:p>
    <w:p w14:paraId="16B79DFC" w14:textId="030EF018" w:rsidR="00AE255F" w:rsidRPr="004742E7" w:rsidRDefault="00AE255F" w:rsidP="00AE255F">
      <w:pPr>
        <w:pStyle w:val="ListParagraph"/>
        <w:spacing w:line="276" w:lineRule="auto"/>
        <w:ind w:left="0"/>
        <w:jc w:val="both"/>
        <w:rPr>
          <w:rFonts w:ascii="Times New Roman" w:hAnsi="Times New Roman" w:cs="Times New Roman"/>
        </w:rPr>
      </w:pPr>
      <w:r w:rsidRPr="004742E7">
        <w:rPr>
          <w:rFonts w:ascii="Times New Roman" w:hAnsi="Times New Roman" w:cs="Times New Roman"/>
        </w:rPr>
        <w:t xml:space="preserve">Strategjia Kombëtare për Kontrollin e Armëve të Vogla, të Lehta, Municioneve dhe Eksplozivëve 2025–2030 është hartuar në përputhje të plotë me Strategjinë Kombëtare për Zhvillim dhe Integrim Evropian 2022–2030 dhe prioritetet e Qeverisë së Shqipërisë për ndërtimin e një shteti të sigurt, me institucione të forta dhe funksionale. Ajo ndërthur qëllimet kombëtare të sigurisë me angazhimet ndërkombëtare të Shqipërisë, përfshirë Marrëveshjen e Stabilizim-Asociimit, ku strategjia adreson dispozitat kryesore për sigurinë, sundimin e ligjit dhe përafrimin e legjislacionit me acquis-in e Bashkimit Evropian. Kjo strategji përmbush gjithashtu detyrimet që burojnë nga kapitujt 24 dhe 31 të acquis, duke kontribuar në luftën kundër krimit të organizuar, terrorizmit dhe trafikimit të armëve. Dokumenti është i lidhur ngushtë me objektivat e Zhvillimit të Qëndrueshëm të Kombeve të Bashkuara, veçanërisht SDG 16, për paqe, drejtësi dhe institucione të forta, me fokus të veçantë në objektivat 16.1, 16.4, 16.6 dhe 16.a, që synojnë uljen e dhunës dhe flukseve të paligjshme të armëve, forcimin e institucioneve dhe bashkëpunimin ndërkombëtar. Strategjia është konceptuar si një instrument i zbatueshëm, në përputhje me dokumentet ndërkombëtare si Traktati i Tregtisë së Armëve, Protokolli i OKB-së për Armët e Zjarrit, Programi i Veprimit i OKB-së dhe dokumenti i OSBE-së për AVL, si dhe është harmonizuar me Udhërrëfyesin rajonal për Ballkanin Perëndimor 2025–2030. </w:t>
      </w:r>
    </w:p>
    <w:p w14:paraId="1D347E3B" w14:textId="77777777" w:rsidR="00AE255F" w:rsidRPr="004742E7" w:rsidRDefault="00AE255F" w:rsidP="00AE255F">
      <w:pPr>
        <w:pStyle w:val="ListParagraph"/>
        <w:spacing w:line="276" w:lineRule="auto"/>
        <w:ind w:left="0"/>
        <w:jc w:val="both"/>
        <w:rPr>
          <w:rFonts w:ascii="Times New Roman" w:hAnsi="Times New Roman" w:cs="Times New Roman"/>
        </w:rPr>
      </w:pPr>
    </w:p>
    <w:p w14:paraId="01DB51F6" w14:textId="77777777" w:rsidR="00AE255F" w:rsidRPr="004742E7" w:rsidRDefault="00AE255F" w:rsidP="00AE255F">
      <w:pPr>
        <w:pStyle w:val="ListParagraph"/>
        <w:spacing w:line="276" w:lineRule="auto"/>
        <w:ind w:left="0"/>
        <w:jc w:val="both"/>
        <w:rPr>
          <w:rFonts w:ascii="Times New Roman" w:hAnsi="Times New Roman" w:cs="Times New Roman"/>
        </w:rPr>
      </w:pPr>
      <w:r w:rsidRPr="004742E7">
        <w:rPr>
          <w:rFonts w:ascii="Times New Roman" w:hAnsi="Times New Roman" w:cs="Times New Roman"/>
        </w:rPr>
        <w:t xml:space="preserve">Strategjia e re 2025–2030 për Kontrollin e Armëve të Vogla, Municioneve dhe Eksplozivëve është plotësisht e harmonizuar me </w:t>
      </w:r>
      <w:r w:rsidRPr="004742E7">
        <w:rPr>
          <w:rStyle w:val="Strong"/>
          <w:rFonts w:ascii="Times New Roman" w:hAnsi="Times New Roman" w:cs="Times New Roman"/>
          <w:b w:val="0"/>
          <w:bCs w:val="0"/>
        </w:rPr>
        <w:t>Udhërrëfyesin rajonal për Ballkanin Perëndimor 2025–2030</w:t>
      </w:r>
      <w:r w:rsidRPr="004742E7">
        <w:rPr>
          <w:rFonts w:ascii="Times New Roman" w:hAnsi="Times New Roman" w:cs="Times New Roman"/>
          <w:b/>
          <w:bCs/>
        </w:rPr>
        <w:t>,</w:t>
      </w:r>
      <w:r w:rsidRPr="004742E7">
        <w:rPr>
          <w:rFonts w:ascii="Times New Roman" w:hAnsi="Times New Roman" w:cs="Times New Roman"/>
        </w:rPr>
        <w:t xml:space="preserve"> duke adresuar objektivat për reduktimin e zotërimit, trafikimit dhe keqpërdorimit të armëve ilegale. Ajo ndërthur prioritetet kombëtare me angazhimet rajonale, përmes masave konkrete në kontrollin, gjurmueshmërinë dhe menaxhimin e armëve, si dhe bashkëpunimit ndërinstitucional dhe ndërkombëtar. Kjo përputhje garanton një qasje të qëndrueshme dhe të koordinuar, në përputhje me standardet e BE-së dhe qëllimet e zhvillimit të qëndrueshëm.</w:t>
      </w:r>
    </w:p>
    <w:p w14:paraId="2873E34A" w14:textId="6137295B" w:rsidR="00AE255F" w:rsidRPr="004742E7" w:rsidRDefault="00AE255F" w:rsidP="00AE255F">
      <w:pPr>
        <w:pStyle w:val="NormalWeb"/>
        <w:spacing w:line="276" w:lineRule="auto"/>
        <w:jc w:val="both"/>
      </w:pPr>
      <w:r w:rsidRPr="004742E7">
        <w:rPr>
          <w:rStyle w:val="Strong"/>
          <w:rFonts w:eastAsiaTheme="majorEastAsia"/>
          <w:b w:val="0"/>
          <w:bCs w:val="0"/>
        </w:rPr>
        <w:t xml:space="preserve">Strategjia është hartuar sipas metodologjisë së formatit IPSIS miratuar me </w:t>
      </w:r>
      <w:r w:rsidRPr="004742E7">
        <w:rPr>
          <w:rStyle w:val="Strong"/>
          <w:rFonts w:eastAsiaTheme="majorEastAsia"/>
        </w:rPr>
        <w:t xml:space="preserve"> v</w:t>
      </w:r>
      <w:r w:rsidRPr="004742E7">
        <w:t>endimin nr. 290, datë 11.04.2020</w:t>
      </w:r>
      <w:r w:rsidRPr="004742E7">
        <w:rPr>
          <w:i/>
          <w:iCs/>
        </w:rPr>
        <w:t>, “Për krijimin e bazës së të dhënave shtetërore të sistemit informatik të planifikimit të integruar</w:t>
      </w:r>
      <w:r w:rsidR="00B866E8" w:rsidRPr="004742E7">
        <w:rPr>
          <w:i/>
          <w:iCs/>
        </w:rPr>
        <w:t>”,</w:t>
      </w:r>
      <w:r w:rsidRPr="004742E7">
        <w:t xml:space="preserve"> </w:t>
      </w:r>
      <w:r w:rsidR="00B866E8" w:rsidRPr="004742E7">
        <w:rPr>
          <w:i/>
          <w:iCs/>
        </w:rPr>
        <w:t>i ndryshuar,</w:t>
      </w:r>
      <w:r w:rsidRPr="004742E7">
        <w:t xml:space="preserve"> që përfaqëson standardin kombëtar për planifikimin dhe hartimin e dokumenteve strategjike dhe planeve të veprimit në Shqipëri. Ky format siguron një strukturë të unifikuar, të harmonizuar dhe të integruar me kuadrin më të gjerë të planifikimit strategjik të shtetit shqiptar, duke mundësuar lidhjen vertikale dhe horizontale ndërmjet strategjive sektoriale dhe prioriteteve kombëtare, si dhe ndërmjet objektivave afatgjatë dhe masave konkrete të zbatimit. Përmes IPSIS, strategjia garanton transparencë, gjurmueshmëri, p</w:t>
      </w:r>
      <w:r w:rsidR="00BD5AC0" w:rsidRPr="004742E7">
        <w:t>ërafrim me buxhetimin afatmesëm</w:t>
      </w:r>
      <w:r w:rsidR="001A4D30" w:rsidRPr="004742E7">
        <w:t>,</w:t>
      </w:r>
      <w:r w:rsidRPr="004742E7">
        <w:t xml:space="preserve"> monitorim të rregullt të progresit përmes indikatorëve të matshëm dhe mekanizmave</w:t>
      </w:r>
      <w:r w:rsidR="00BD5AC0" w:rsidRPr="004742E7">
        <w:t xml:space="preserve"> të raportimit të standardizuar</w:t>
      </w:r>
      <w:r w:rsidRPr="004742E7">
        <w:t xml:space="preserve"> dhe strukturën e planifikimit të nevojshme për përmbushjen e kërkesave të Bashkimit Evropian.</w:t>
      </w:r>
    </w:p>
    <w:p w14:paraId="00E351FF" w14:textId="64DEBA74" w:rsidR="00AE255F" w:rsidRPr="004742E7" w:rsidRDefault="00AE255F" w:rsidP="00AE255F">
      <w:pPr>
        <w:spacing w:before="100" w:beforeAutospacing="1" w:after="100" w:afterAutospacing="1" w:line="276" w:lineRule="auto"/>
        <w:jc w:val="both"/>
        <w:rPr>
          <w:rFonts w:ascii="Times New Roman" w:eastAsia="Times New Roman" w:hAnsi="Times New Roman" w:cs="Times New Roman"/>
          <w:kern w:val="0"/>
          <w14:ligatures w14:val="none"/>
        </w:rPr>
      </w:pPr>
      <w:r w:rsidRPr="004742E7">
        <w:rPr>
          <w:rFonts w:ascii="Times New Roman" w:eastAsia="Times New Roman" w:hAnsi="Times New Roman" w:cs="Times New Roman"/>
          <w:kern w:val="0"/>
          <w14:ligatures w14:val="none"/>
        </w:rPr>
        <w:lastRenderedPageBreak/>
        <w:t xml:space="preserve">Hartimi i Strategjisë është planifikuar si pjesë përbërëse e Programit </w:t>
      </w:r>
      <w:r w:rsidR="001A4D30" w:rsidRPr="00C90952">
        <w:rPr>
          <w:rFonts w:ascii="Times New Roman" w:hAnsi="Times New Roman" w:cs="Times New Roman"/>
          <w:color w:val="000000" w:themeColor="text1"/>
        </w:rPr>
        <w:t>të përgjithshëm analitik të projektakteve që do të paraqiten për shqyrtim në Këshillin e Ministrave gjatë vitit 2025</w:t>
      </w:r>
      <w:r w:rsidRPr="004742E7">
        <w:rPr>
          <w:rFonts w:ascii="Times New Roman" w:eastAsia="Times New Roman" w:hAnsi="Times New Roman" w:cs="Times New Roman"/>
          <w:kern w:val="0"/>
          <w14:ligatures w14:val="none"/>
        </w:rPr>
        <w:t>, duke reflektuar angazhimin e Qeverisë së Shqipërisë për të adresuar në mënyrë të strukturuar dhe të koordinuar sfidat që lidhen me kontrollin e armëve të vogla dhe të lehta, municioneve dhe eksplozivëve. Ky program përfshin listën e dokumenteve strategjike, ligjeve dhe akteve nënligjore që konsiderohen të domosdoshme për përmbushjen e prioriteteve kombëtare dhe për përafrimin me acquis të Bashkimit Evropian</w:t>
      </w:r>
      <w:r w:rsidR="001A4D30" w:rsidRPr="004742E7">
        <w:rPr>
          <w:rFonts w:ascii="Times New Roman" w:eastAsia="Times New Roman" w:hAnsi="Times New Roman" w:cs="Times New Roman"/>
          <w:kern w:val="0"/>
          <w14:ligatures w14:val="none"/>
        </w:rPr>
        <w:t>.</w:t>
      </w:r>
      <w:r w:rsidRPr="004742E7">
        <w:rPr>
          <w:rFonts w:ascii="Times New Roman" w:eastAsia="Times New Roman" w:hAnsi="Times New Roman" w:cs="Times New Roman"/>
          <w:kern w:val="0"/>
          <w14:ligatures w14:val="none"/>
        </w:rPr>
        <w:t xml:space="preserve"> Vendosja e Strategjisë në PPAP 2025 e përfshin atë ndër prioritetet kryesore të hartimit dhe miratimit nga institucionet përgjegjëse, duke siguruar burime, koordinim ndërinstitucional dhe mbështetje të qëndrueshme teknike e financiare për finalizimin dhe zbatimin efektiv të saj. </w:t>
      </w:r>
      <w:r w:rsidRPr="004742E7">
        <w:rPr>
          <w:rFonts w:ascii="Times New Roman" w:eastAsia="Times New Roman" w:hAnsi="Times New Roman" w:cs="Times New Roman"/>
          <w:vanish/>
          <w:kern w:val="0"/>
          <w14:ligatures w14:val="none"/>
        </w:rPr>
        <w:t>Top of FormBottom of Form</w:t>
      </w:r>
    </w:p>
    <w:p w14:paraId="2BCD5B63" w14:textId="6C03E01A" w:rsidR="00AE255F" w:rsidRPr="004742E7" w:rsidRDefault="00AE255F" w:rsidP="00AE255F">
      <w:pPr>
        <w:pStyle w:val="NormalWeb"/>
        <w:spacing w:line="276" w:lineRule="auto"/>
        <w:jc w:val="both"/>
      </w:pPr>
      <w:r w:rsidRPr="004742E7">
        <w:rPr>
          <w:rStyle w:val="Strong"/>
          <w:rFonts w:eastAsiaTheme="majorEastAsia"/>
          <w:b w:val="0"/>
          <w:bCs w:val="0"/>
        </w:rPr>
        <w:t xml:space="preserve">Gjatë procesit të hartimit të Strategjisë, është ndjekur një qasje gjithëpërfshirëse, transparente dhe e bazuar në parimet e pjesëmarrjes demokratike sipas formatit dhe metodologjisë së REIC, e cila </w:t>
      </w:r>
      <w:r w:rsidRPr="004742E7">
        <w:t xml:space="preserve"> luan një rol kyç në mbështetjen teknike dhe koordinimin rajonal të Strategjisë Kombëtare për Kontrollin e Armëve të Vogla, të Lehta, Municioneve dhe Eksplozivëve të Shqipërisë. Kjo qendër ofron ekspertizë dhe asistencë për hartimin dhe zbatimin e strategjive në përputhje me standardet ndërkombëtare dhe udhërrëfyesit rajonalë, duke siguruar që politika kombëtare të jetë e harmonizuar dhe e koordinuar me praktikat më të mira në rajon</w:t>
      </w:r>
      <w:r w:rsidR="00FE2F3B" w:rsidRPr="00C90952">
        <w:rPr>
          <w:color w:val="000000" w:themeColor="text1"/>
        </w:rPr>
        <w:t xml:space="preserve">, </w:t>
      </w:r>
      <w:r w:rsidR="00C90952">
        <w:rPr>
          <w:color w:val="000000" w:themeColor="text1"/>
        </w:rPr>
        <w:t xml:space="preserve">ku </w:t>
      </w:r>
      <w:r w:rsidRPr="004742E7">
        <w:t xml:space="preserve">përfaqëson një element thelbësor të këtij procesi </w:t>
      </w:r>
      <w:r w:rsidRPr="004742E7">
        <w:rPr>
          <w:rStyle w:val="Strong"/>
          <w:rFonts w:eastAsiaTheme="majorEastAsia"/>
          <w:b w:val="0"/>
          <w:bCs w:val="0"/>
        </w:rPr>
        <w:t>zhvillimi i një konsultimi publik të strukturuar</w:t>
      </w:r>
      <w:r w:rsidRPr="004742E7">
        <w:t>, që ka përfshirë qytetarët, shoqërinë civile, grupet e interesit, organizatat e specializuara dhe institucionet publike që kanë rol në fushën e sigurisë, kontrollit të armëve dhe sundimit të ligjit ku mund të përmendim ek</w:t>
      </w:r>
      <w:r w:rsidR="00FE2F3B" w:rsidRPr="004742E7">
        <w:t>spertë të SEESAC, UNODP, UNODC</w:t>
      </w:r>
      <w:r w:rsidRPr="004742E7">
        <w:t xml:space="preserve">. Këto konsultime kanë ndihmuar në identifikimin e prioriteteve kombëtare, në përmirësimin e draftit të strategjisë dhe në garantimin e një baze të gjerë konsensusi për masat e propozuara. Gjithashtu, procesi i konsultimit publik është zhvilluar në përputhje me </w:t>
      </w:r>
      <w:r w:rsidRPr="004742E7">
        <w:rPr>
          <w:rStyle w:val="Strong"/>
          <w:rFonts w:eastAsiaTheme="majorEastAsia"/>
          <w:b w:val="0"/>
          <w:bCs w:val="0"/>
        </w:rPr>
        <w:t>kornizën e transparencës dhe pjesëmarrjes së parashikuar nga legjislacioni shqiptar</w:t>
      </w:r>
      <w:r w:rsidRPr="004742E7">
        <w:t xml:space="preserve">, duke mundësuar komente, sugjerime dhe rekomandime nga publiku i gjerë dhe partnerët socialë nëpërmjet platformave elektronike dhe komunikimeve zyrtare. Kjo ka garantuar jo vetëm </w:t>
      </w:r>
      <w:r w:rsidRPr="004742E7">
        <w:rPr>
          <w:rStyle w:val="Strong"/>
          <w:rFonts w:eastAsiaTheme="majorEastAsia"/>
          <w:b w:val="0"/>
          <w:bCs w:val="0"/>
        </w:rPr>
        <w:t>legjitimitet demokratik</w:t>
      </w:r>
      <w:r w:rsidRPr="004742E7">
        <w:t xml:space="preserve">, por edhe një </w:t>
      </w:r>
      <w:r w:rsidRPr="004742E7">
        <w:rPr>
          <w:rStyle w:val="Strong"/>
          <w:rFonts w:eastAsiaTheme="majorEastAsia"/>
          <w:b w:val="0"/>
          <w:bCs w:val="0"/>
        </w:rPr>
        <w:t>qasje të integruar dhe praktike në hartimin e strategjisë</w:t>
      </w:r>
      <w:r w:rsidRPr="004742E7">
        <w:t>, duke reflektuar realisht nevojat dhe sfidat aktuale në terren.</w:t>
      </w:r>
    </w:p>
    <w:p w14:paraId="7D3C5F06" w14:textId="2CBA71CD" w:rsidR="00AE255F" w:rsidRPr="002A284C" w:rsidRDefault="00957122" w:rsidP="00AE255F">
      <w:pPr>
        <w:spacing w:line="276" w:lineRule="auto"/>
        <w:jc w:val="both"/>
        <w:rPr>
          <w:rFonts w:ascii="Times New Roman" w:hAnsi="Times New Roman" w:cs="Times New Roman"/>
        </w:rPr>
      </w:pPr>
      <w:r w:rsidRPr="004742E7">
        <w:rPr>
          <w:rStyle w:val="Strong"/>
          <w:rFonts w:ascii="Times New Roman" w:hAnsi="Times New Roman" w:cs="Times New Roman"/>
          <w:b w:val="0"/>
          <w:bCs w:val="0"/>
        </w:rPr>
        <w:t>Strategjia e re</w:t>
      </w:r>
      <w:r w:rsidR="00AE255F" w:rsidRPr="004742E7">
        <w:rPr>
          <w:rStyle w:val="Strong"/>
          <w:rFonts w:ascii="Times New Roman" w:hAnsi="Times New Roman" w:cs="Times New Roman"/>
          <w:b w:val="0"/>
          <w:bCs w:val="0"/>
        </w:rPr>
        <w:t xml:space="preserve"> gjithashtu u hartua referuar gjetjeve të raporteve të monitorimit në zbatimin e Strategjisë për Kontrollin e Armëve të Vogla e të Lehta, Municioneve dhe Eksplozivëve 2019–2024</w:t>
      </w:r>
      <w:r w:rsidR="00AE255F" w:rsidRPr="004742E7">
        <w:rPr>
          <w:rFonts w:ascii="Times New Roman" w:hAnsi="Times New Roman" w:cs="Times New Roman"/>
          <w:bCs/>
        </w:rPr>
        <w:t>,</w:t>
      </w:r>
      <w:r w:rsidR="00AE255F" w:rsidRPr="004742E7">
        <w:rPr>
          <w:rFonts w:ascii="Times New Roman" w:hAnsi="Times New Roman" w:cs="Times New Roman"/>
        </w:rPr>
        <w:t xml:space="preserve"> të cilat tregojnë një progres të moderuar në përmbushjen e objektivave strategjikë, me theks të veçantë në përmirësimin e kuadrit ligjor, forcimin e bashkëpunimit ndërinstitucional dhe ndërkombëtar, si dhe ndërgjegjësimin publik për rrezikun që paraqet posedimi i paligjshëm i armëve. Megjithatë, raportet evidentojnë nevojën për një qasje më të integruar në zbatim, përmirësim të kapaciteteve të mbledhjes dhe analizës së të dhënave, si dhe intensifikimin e masave parandaluese dhe operative ndaj trafikimit dhe shpërndarjes së armëve ilegale. Këto gjetje shërbejnë si bazë orientuese për hartimin e Strategjisë së re 2025–2030, duke synuar një qasje më të qëndrueshme, të matshme dhe të koordinuar me prioritetet e sigurisë kombëtare dhe standardet e Bashkimit Evropian.</w:t>
      </w:r>
    </w:p>
    <w:p w14:paraId="101665F0" w14:textId="0C996E5B" w:rsidR="00AE255F" w:rsidRPr="004742E7" w:rsidRDefault="00AE255F" w:rsidP="00AE255F">
      <w:pPr>
        <w:spacing w:line="276" w:lineRule="auto"/>
        <w:jc w:val="both"/>
        <w:rPr>
          <w:rFonts w:ascii="Times New Roman" w:hAnsi="Times New Roman" w:cs="Times New Roman"/>
          <w:b/>
          <w:bCs/>
        </w:rPr>
      </w:pPr>
      <w:r w:rsidRPr="004742E7">
        <w:rPr>
          <w:rFonts w:ascii="Times New Roman" w:hAnsi="Times New Roman" w:cs="Times New Roman"/>
          <w:b/>
          <w:bCs/>
        </w:rPr>
        <w:lastRenderedPageBreak/>
        <w:t>3.4 Parimet e Përgjithshme</w:t>
      </w:r>
    </w:p>
    <w:p w14:paraId="46516C4C" w14:textId="15CEC5F9" w:rsidR="00AE255F" w:rsidRPr="004742E7" w:rsidRDefault="00AE255F" w:rsidP="00AE255F">
      <w:pPr>
        <w:spacing w:line="276" w:lineRule="auto"/>
        <w:jc w:val="both"/>
        <w:rPr>
          <w:rFonts w:ascii="Times New Roman" w:hAnsi="Times New Roman" w:cs="Times New Roman"/>
        </w:rPr>
      </w:pPr>
      <w:r w:rsidRPr="004742E7">
        <w:rPr>
          <w:rFonts w:ascii="Times New Roman" w:hAnsi="Times New Roman" w:cs="Times New Roman"/>
        </w:rPr>
        <w:t xml:space="preserve">Në funksion të ndërtimit të një qasjeje të integruar dhe të qëndrueshme ndaj kontrollit </w:t>
      </w:r>
      <w:r w:rsidR="00BF7FC6" w:rsidRPr="004742E7">
        <w:rPr>
          <w:rFonts w:ascii="Times New Roman" w:hAnsi="Times New Roman" w:cs="Times New Roman"/>
        </w:rPr>
        <w:t>të armëve të vogla dhe të lehta</w:t>
      </w:r>
      <w:r w:rsidRPr="004742E7">
        <w:rPr>
          <w:rFonts w:ascii="Times New Roman" w:hAnsi="Times New Roman" w:cs="Times New Roman"/>
        </w:rPr>
        <w:t xml:space="preserve"> dhe materialeve shpërthyese, Strategjia Kombëtare mbështetet në një sërë parimesh udhëheqëse, të cilat garantojnë legjitimitetin, efektivitetin dhe përputhshmërinë e saj me kuadrin kushtetues dhe ndërkombëtar. Struktura dhe përmbajtja e këtij dokumenti bazohen në këto parime: </w:t>
      </w:r>
    </w:p>
    <w:p w14:paraId="3CB47DB8" w14:textId="77777777" w:rsidR="00AE255F" w:rsidRPr="004742E7" w:rsidRDefault="00AE255F" w:rsidP="00AE255F">
      <w:pPr>
        <w:spacing w:before="100" w:beforeAutospacing="1" w:after="100" w:afterAutospacing="1" w:line="276" w:lineRule="auto"/>
        <w:jc w:val="both"/>
        <w:rPr>
          <w:rFonts w:ascii="Times New Roman" w:eastAsia="Times New Roman" w:hAnsi="Times New Roman" w:cs="Times New Roman"/>
          <w:b/>
          <w:bCs/>
          <w:kern w:val="0"/>
          <w14:ligatures w14:val="none"/>
        </w:rPr>
      </w:pPr>
      <w:r w:rsidRPr="004742E7">
        <w:rPr>
          <w:rFonts w:ascii="Times New Roman" w:hAnsi="Times New Roman" w:cs="Times New Roman"/>
          <w:b/>
          <w:bCs/>
        </w:rPr>
        <w:t>Parimi i kushtetutshmërisë dhe ligjshmërisë</w:t>
      </w:r>
      <w:r w:rsidRPr="004742E7">
        <w:rPr>
          <w:rFonts w:ascii="Times New Roman" w:eastAsia="Times New Roman" w:hAnsi="Times New Roman" w:cs="Times New Roman"/>
          <w:b/>
          <w:bCs/>
          <w:kern w:val="0"/>
          <w14:ligatures w14:val="none"/>
        </w:rPr>
        <w:t xml:space="preserve"> - </w:t>
      </w:r>
      <w:r w:rsidRPr="004742E7">
        <w:rPr>
          <w:rFonts w:ascii="Times New Roman" w:eastAsia="Times New Roman" w:hAnsi="Times New Roman" w:cs="Times New Roman"/>
          <w:kern w:val="0"/>
          <w14:ligatures w14:val="none"/>
        </w:rPr>
        <w:t>Të gjitha masat dhe ndërhyrjet e parashikuara në kuadër të kësaj strategjie bazohen në dispozitat e Kushtetutës së Republikës së Shqipërisë, në legjislacionin kombëtar në fuqi, si dhe në marrëveshjet ndërkombëtare dhe instrumentet ligjore të ratifikuara nga Shqipëria. Kjo garanton që zbatimi i politikave të kontrollit të AVL-ve dhe eksplozivëve të realizohet në përputhje të plotë me parimet e shtetit të së drejtës, legjitimitetin demokratik dhe angazhimet ndërkombëtare të vendit.</w:t>
      </w:r>
    </w:p>
    <w:p w14:paraId="7347DB13" w14:textId="77777777" w:rsidR="00AE255F" w:rsidRPr="004742E7" w:rsidRDefault="00AE255F" w:rsidP="00AE255F">
      <w:pPr>
        <w:spacing w:before="100" w:beforeAutospacing="1" w:after="100" w:afterAutospacing="1" w:line="276" w:lineRule="auto"/>
        <w:jc w:val="both"/>
        <w:outlineLvl w:val="3"/>
        <w:rPr>
          <w:rFonts w:ascii="Times New Roman" w:eastAsia="Times New Roman" w:hAnsi="Times New Roman" w:cs="Times New Roman"/>
          <w:b/>
          <w:bCs/>
          <w:kern w:val="0"/>
          <w14:ligatures w14:val="none"/>
        </w:rPr>
      </w:pPr>
      <w:r w:rsidRPr="004742E7">
        <w:rPr>
          <w:rFonts w:ascii="Times New Roman" w:eastAsia="Times New Roman" w:hAnsi="Times New Roman" w:cs="Times New Roman"/>
          <w:b/>
          <w:bCs/>
          <w:kern w:val="0"/>
          <w14:ligatures w14:val="none"/>
        </w:rPr>
        <w:t xml:space="preserve">Parimi i sigurisë shtetërore - </w:t>
      </w:r>
      <w:r w:rsidRPr="004742E7">
        <w:rPr>
          <w:rFonts w:ascii="Times New Roman" w:eastAsia="Times New Roman" w:hAnsi="Times New Roman" w:cs="Times New Roman"/>
          <w:kern w:val="0"/>
          <w14:ligatures w14:val="none"/>
        </w:rPr>
        <w:t>Kontrolli i AVL-ve dhe materialeve shpërthyese përbën një komponent strategjik të sigurisë kombëtare dhe të funksionimit të shtetit të së drejtës. Menaxhimi efektiv i këtyre elementeve mbështet ruajtjen e rendit publik, mbron tërësinë territoriale dhe forcon besimin e qytetarëve në institucionet e sigurisë. Ky parim afirmon se siguria e brendshme është një parakusht për zhvillim të qëndrueshëm, klimë të favorshme për investime dhe konsolidim të demokracisë.</w:t>
      </w:r>
    </w:p>
    <w:p w14:paraId="26AC62F0" w14:textId="77777777" w:rsidR="00AE255F" w:rsidRPr="004742E7" w:rsidRDefault="00AE255F" w:rsidP="00AE255F">
      <w:pPr>
        <w:spacing w:before="100" w:beforeAutospacing="1" w:after="100" w:afterAutospacing="1" w:line="276" w:lineRule="auto"/>
        <w:jc w:val="both"/>
        <w:outlineLvl w:val="3"/>
        <w:rPr>
          <w:rFonts w:ascii="Times New Roman" w:eastAsia="Times New Roman" w:hAnsi="Times New Roman" w:cs="Times New Roman"/>
          <w:b/>
          <w:bCs/>
          <w:kern w:val="0"/>
          <w14:ligatures w14:val="none"/>
        </w:rPr>
      </w:pPr>
      <w:r w:rsidRPr="004742E7">
        <w:rPr>
          <w:rFonts w:ascii="Times New Roman" w:eastAsia="Times New Roman" w:hAnsi="Times New Roman" w:cs="Times New Roman"/>
          <w:b/>
          <w:bCs/>
          <w:kern w:val="0"/>
          <w14:ligatures w14:val="none"/>
        </w:rPr>
        <w:t xml:space="preserve">Parimi i të drejtave dhe lirive themelore të njeriut - </w:t>
      </w:r>
      <w:r w:rsidRPr="004742E7">
        <w:rPr>
          <w:rFonts w:ascii="Times New Roman" w:eastAsia="Times New Roman" w:hAnsi="Times New Roman" w:cs="Times New Roman"/>
          <w:kern w:val="0"/>
          <w14:ligatures w14:val="none"/>
        </w:rPr>
        <w:t>Respektimi dhe promovimi i të drejtave dhe lirive themelore të njeriut përbën një element të pandashëm të politikave të kontrollit të armëve. Masat e parashikuara synojnë të garantojnë mbrojtjen e të drejtave individuale, të dhënave personale dhe identitetit të çdo qytetari, pa diskriminim mbi bazën e gjinisë, moshës, etnisë, besimit fetar apo orientimit seksual. Fëmijët dhe të rinjtë gëzojnë mbrojtje të veçantë në funksion të krijimit të një mjedisi të sigurt dhe të lirë nga rreziqet që lidhen me armatosjen e jashtëligjshme.</w:t>
      </w:r>
    </w:p>
    <w:p w14:paraId="3E5C4E8E" w14:textId="00D0913B" w:rsidR="00AE255F" w:rsidRPr="004742E7" w:rsidRDefault="00AE255F" w:rsidP="00AE255F">
      <w:pPr>
        <w:spacing w:before="100" w:beforeAutospacing="1" w:after="100" w:afterAutospacing="1" w:line="276" w:lineRule="auto"/>
        <w:jc w:val="both"/>
        <w:outlineLvl w:val="3"/>
        <w:rPr>
          <w:rFonts w:ascii="Times New Roman" w:eastAsia="Times New Roman" w:hAnsi="Times New Roman" w:cs="Times New Roman"/>
          <w:b/>
          <w:bCs/>
          <w:kern w:val="0"/>
          <w14:ligatures w14:val="none"/>
        </w:rPr>
      </w:pPr>
      <w:r w:rsidRPr="004742E7">
        <w:rPr>
          <w:rFonts w:ascii="Times New Roman" w:eastAsia="Times New Roman" w:hAnsi="Times New Roman" w:cs="Times New Roman"/>
          <w:b/>
          <w:bCs/>
          <w:kern w:val="0"/>
          <w14:ligatures w14:val="none"/>
        </w:rPr>
        <w:t xml:space="preserve">Parimi i përgjegjësisë - </w:t>
      </w:r>
      <w:r w:rsidRPr="004742E7">
        <w:rPr>
          <w:rFonts w:ascii="Times New Roman" w:eastAsia="Times New Roman" w:hAnsi="Times New Roman" w:cs="Times New Roman"/>
          <w:kern w:val="0"/>
          <w14:ligatures w14:val="none"/>
        </w:rPr>
        <w:t>Strategjia njeh se suksesi i saj nuk mund të arrihet vetëm përmes ndërhyrjes së institucioneve shtetërore, por kërkon një angazhim të përbashkët të të gjithë aktorëve relevantë, përfshirë shoqërinë civile, sektorin privat, median, komunitetin akademik dhe publikun e gjerë. Ky parim thekson rëndësinë e ndarjes së përgjegjësisë në edukimin, parandalimin dhe ndërgjegjësimin mbi rreziqet që paraqet zotërimi dhe përdorimi i paligjshëm i armëve dhe eksplozivëve.</w:t>
      </w:r>
    </w:p>
    <w:p w14:paraId="763E6E5B" w14:textId="77777777" w:rsidR="00AE255F" w:rsidRPr="004742E7" w:rsidRDefault="00AE255F" w:rsidP="00AE255F">
      <w:pPr>
        <w:spacing w:before="100" w:beforeAutospacing="1" w:after="100" w:afterAutospacing="1" w:line="276" w:lineRule="auto"/>
        <w:jc w:val="both"/>
        <w:outlineLvl w:val="3"/>
        <w:rPr>
          <w:rFonts w:ascii="Times New Roman" w:eastAsia="Times New Roman" w:hAnsi="Times New Roman" w:cs="Times New Roman"/>
          <w:b/>
          <w:bCs/>
          <w:kern w:val="0"/>
          <w14:ligatures w14:val="none"/>
        </w:rPr>
      </w:pPr>
      <w:r w:rsidRPr="004742E7">
        <w:rPr>
          <w:rFonts w:ascii="Times New Roman" w:eastAsia="Times New Roman" w:hAnsi="Times New Roman" w:cs="Times New Roman"/>
          <w:b/>
          <w:bCs/>
          <w:kern w:val="0"/>
          <w14:ligatures w14:val="none"/>
        </w:rPr>
        <w:t xml:space="preserve">Parimi i gjithëpërfshirjes - </w:t>
      </w:r>
      <w:r w:rsidRPr="004742E7">
        <w:rPr>
          <w:rFonts w:ascii="Times New Roman" w:eastAsia="Times New Roman" w:hAnsi="Times New Roman" w:cs="Times New Roman"/>
          <w:kern w:val="0"/>
          <w14:ligatures w14:val="none"/>
        </w:rPr>
        <w:t>Përballimi i rreziqeve që lidhen me AVL-të dhe materialet shpërthyese kërkon një qasje gjithëpërfshirëse që angazhon të gjitha nivelet e qeverisjes dhe aktorët ndërsektorialë. Strategjia nxit bashkërendimin ndërinstitucional dhe përfshirjen aktive të pushtetit vendor, institucioneve të arsimit, drejtësisë, shëndetësisë dhe shërbimeve sociale, për të garantuar një përgjigje të koordinuar dhe të qëndrueshme ndaj kërcënimeve të natyrës shumëdimensionale.</w:t>
      </w:r>
    </w:p>
    <w:p w14:paraId="541C91EB" w14:textId="5C60428C" w:rsidR="00AE255F" w:rsidRPr="004742E7" w:rsidRDefault="00AE255F" w:rsidP="00AE255F">
      <w:pPr>
        <w:spacing w:before="100" w:beforeAutospacing="1" w:after="100" w:afterAutospacing="1" w:line="276" w:lineRule="auto"/>
        <w:jc w:val="both"/>
        <w:outlineLvl w:val="3"/>
        <w:rPr>
          <w:rFonts w:ascii="Times New Roman" w:eastAsia="Times New Roman" w:hAnsi="Times New Roman" w:cs="Times New Roman"/>
          <w:b/>
          <w:bCs/>
          <w:kern w:val="0"/>
          <w14:ligatures w14:val="none"/>
        </w:rPr>
      </w:pPr>
      <w:r w:rsidRPr="004742E7">
        <w:rPr>
          <w:rFonts w:ascii="Times New Roman" w:eastAsia="Times New Roman" w:hAnsi="Times New Roman" w:cs="Times New Roman"/>
          <w:b/>
          <w:bCs/>
          <w:kern w:val="0"/>
          <w14:ligatures w14:val="none"/>
        </w:rPr>
        <w:lastRenderedPageBreak/>
        <w:t xml:space="preserve">Parimi i bashkëpunimit ndërkombëtar - </w:t>
      </w:r>
      <w:r w:rsidRPr="004742E7">
        <w:rPr>
          <w:rFonts w:ascii="Times New Roman" w:eastAsia="Times New Roman" w:hAnsi="Times New Roman" w:cs="Times New Roman"/>
          <w:kern w:val="0"/>
          <w14:ligatures w14:val="none"/>
        </w:rPr>
        <w:t>Në një kontekst të globalizuar të kërcënimeve të sigurisë, bashkëpunimi ndërkombëtar përbën një shtyllë kyçe për suksesin e strategjisë. Shqipëria mbetet e angazhuar për të bashkëpunuar me partnerët rajonalë, organizatat ndërkombëtare dhe nismat multilaterale në fushën e kontrollit të armëve, për të siguruar harmonizimin e standardeve, shkëmbimin e informacionit, ndërtimin e kapaciteteve dhe adresimin e përbashkët të sfidave që lidhen me trafikimin, qarkullimin e paligjshëm dhe keqpërdorimin e AVL-ve dhe eksplozivëve.</w:t>
      </w:r>
    </w:p>
    <w:p w14:paraId="6B04CB4E" w14:textId="77777777" w:rsidR="004D114F" w:rsidRDefault="004D114F" w:rsidP="004D114F">
      <w:pPr>
        <w:pStyle w:val="NormalWeb"/>
        <w:spacing w:line="276" w:lineRule="auto"/>
        <w:jc w:val="both"/>
        <w:rPr>
          <w:b/>
          <w:bCs/>
          <w:sz w:val="28"/>
          <w:szCs w:val="28"/>
        </w:rPr>
      </w:pPr>
    </w:p>
    <w:p w14:paraId="064FC08D" w14:textId="61C8AF95" w:rsidR="00CA611F" w:rsidRPr="004D114F" w:rsidRDefault="00327A42" w:rsidP="004D114F">
      <w:pPr>
        <w:pStyle w:val="NormalWeb"/>
        <w:spacing w:line="276" w:lineRule="auto"/>
        <w:jc w:val="both"/>
        <w:rPr>
          <w:b/>
          <w:bCs/>
          <w:sz w:val="28"/>
          <w:szCs w:val="28"/>
        </w:rPr>
      </w:pPr>
      <w:r w:rsidRPr="004D114F">
        <w:rPr>
          <w:b/>
          <w:bCs/>
          <w:sz w:val="28"/>
          <w:szCs w:val="28"/>
        </w:rPr>
        <w:t>PJESA II: QËLLIMI I POLITIKAVE DHE OBJEKTIVAT SPECIFIK TË STRATEGJISË</w:t>
      </w:r>
    </w:p>
    <w:p w14:paraId="4F5CBBD9" w14:textId="268A1F5A" w:rsidR="00327A42" w:rsidRPr="004742E7" w:rsidRDefault="00327A42" w:rsidP="00300DC3">
      <w:pPr>
        <w:pStyle w:val="ListParagraph"/>
        <w:numPr>
          <w:ilvl w:val="0"/>
          <w:numId w:val="9"/>
        </w:numPr>
        <w:autoSpaceDE w:val="0"/>
        <w:autoSpaceDN w:val="0"/>
        <w:adjustRightInd w:val="0"/>
        <w:spacing w:line="276" w:lineRule="auto"/>
        <w:ind w:left="0"/>
        <w:jc w:val="both"/>
        <w:rPr>
          <w:rFonts w:ascii="Times New Roman" w:hAnsi="Times New Roman" w:cs="Times New Roman"/>
        </w:rPr>
      </w:pPr>
      <w:r w:rsidRPr="004742E7">
        <w:rPr>
          <w:rFonts w:ascii="Times New Roman" w:hAnsi="Times New Roman" w:cs="Times New Roman"/>
          <w:b/>
          <w:bCs/>
        </w:rPr>
        <w:t>Qëllimi i Politikës 1:</w:t>
      </w:r>
      <w:r w:rsidRPr="004742E7">
        <w:rPr>
          <w:rFonts w:ascii="Times New Roman" w:hAnsi="Times New Roman" w:cs="Times New Roman"/>
        </w:rPr>
        <w:t xml:space="preserve"> Brenda vitit 2030, të garantohet miratimi i legjislacionit të harmonizuar për kontrollin e armëve, në përputhje me kuadrin rregullator të BE-së dhe detyrimet ndërkombëtare, si dhe standardizimi i tij në të gjithë territorin shqiptar.</w:t>
      </w:r>
    </w:p>
    <w:p w14:paraId="361DF33E" w14:textId="77777777" w:rsidR="00327A42" w:rsidRPr="004742E7" w:rsidRDefault="00327A42" w:rsidP="00DF472E">
      <w:pPr>
        <w:pStyle w:val="ListParagraph"/>
        <w:autoSpaceDE w:val="0"/>
        <w:autoSpaceDN w:val="0"/>
        <w:adjustRightInd w:val="0"/>
        <w:spacing w:line="276" w:lineRule="auto"/>
        <w:ind w:left="360"/>
        <w:jc w:val="both"/>
        <w:rPr>
          <w:rFonts w:ascii="Times New Roman" w:hAnsi="Times New Roman" w:cs="Times New Roman"/>
          <w:b/>
        </w:rPr>
      </w:pPr>
    </w:p>
    <w:p w14:paraId="339F468E" w14:textId="6BB92653" w:rsidR="00327A42" w:rsidRPr="004742E7" w:rsidRDefault="00327A42" w:rsidP="00DF472E">
      <w:pPr>
        <w:autoSpaceDE w:val="0"/>
        <w:autoSpaceDN w:val="0"/>
        <w:adjustRightInd w:val="0"/>
        <w:spacing w:line="276" w:lineRule="auto"/>
        <w:jc w:val="both"/>
        <w:rPr>
          <w:rFonts w:ascii="Times New Roman" w:hAnsi="Times New Roman" w:cs="Times New Roman"/>
        </w:rPr>
      </w:pPr>
      <w:r w:rsidRPr="004742E7">
        <w:rPr>
          <w:rFonts w:ascii="Times New Roman" w:hAnsi="Times New Roman" w:cs="Times New Roman"/>
          <w:b/>
        </w:rPr>
        <w:t>Aktivitet në kuadër të këtij qëllimi përfshijnë;</w:t>
      </w:r>
      <w:r w:rsidRPr="004742E7">
        <w:rPr>
          <w:rFonts w:ascii="Times New Roman" w:hAnsi="Times New Roman" w:cs="Times New Roman"/>
        </w:rPr>
        <w:t xml:space="preserve"> Gjatë periudhës 2025–2030, synohet të plotësohet dhe të rishikohet rregullisht kuadri ligjor për kontrollin dhe menaxhimin e armëve, eksplozivëve dhe mallrave me përdorim të dyfishtë, duke garantuar përputhshmërinë dhe standardizimin e tij me kuadrin rregullator të Bashkimit Evropian dhe detyrimet ndërkombëtare. Ky proces do të përfshijë rregullimin e prodhimit, tregtimit dhe mbajtjes së armëve dhe eksplozivëve</w:t>
      </w:r>
      <w:r w:rsidR="007D4E81" w:rsidRPr="004742E7">
        <w:rPr>
          <w:rFonts w:ascii="Times New Roman" w:hAnsi="Times New Roman" w:cs="Times New Roman"/>
        </w:rPr>
        <w:t xml:space="preserve"> </w:t>
      </w:r>
      <w:r w:rsidRPr="004742E7">
        <w:rPr>
          <w:rFonts w:ascii="Times New Roman" w:hAnsi="Times New Roman" w:cs="Times New Roman"/>
        </w:rPr>
        <w:t>për përdorim civil, si dhe forcimin e masave për parandalimin dhe luftimin e trafikimit të paligjshëm të armëve, eksplozivëve (duke përfshirë artikujt piroteknikë) dhe prekursorët e eksplozivëve</w:t>
      </w:r>
      <w:r w:rsidR="00273A0F" w:rsidRPr="004742E7">
        <w:rPr>
          <w:rFonts w:ascii="Times New Roman" w:hAnsi="Times New Roman" w:cs="Times New Roman"/>
        </w:rPr>
        <w:t>,</w:t>
      </w:r>
      <w:r w:rsidR="00273A0F" w:rsidRPr="004742E7">
        <w:rPr>
          <w:rFonts w:ascii="Times New Roman" w:hAnsi="Times New Roman" w:cs="Times New Roman"/>
          <w:color w:val="FF0000"/>
        </w:rPr>
        <w:t xml:space="preserve"> </w:t>
      </w:r>
      <w:r w:rsidR="00273A0F" w:rsidRPr="00C90952">
        <w:rPr>
          <w:rFonts w:ascii="Times New Roman" w:hAnsi="Times New Roman" w:cs="Times New Roman"/>
          <w:color w:val="000000" w:themeColor="text1"/>
        </w:rPr>
        <w:t>duke i kushtuar vëmendje dhe trajnimit specifik të punonjësve të policisë që merren me trajtimin e këtyre provave materiale, që nga gjetja dhe deri tek ekzaminimi</w:t>
      </w:r>
      <w:r w:rsidRPr="00C90952">
        <w:rPr>
          <w:rFonts w:ascii="Times New Roman" w:hAnsi="Times New Roman" w:cs="Times New Roman"/>
          <w:color w:val="000000" w:themeColor="text1"/>
        </w:rPr>
        <w:t xml:space="preserve">. </w:t>
      </w:r>
      <w:r w:rsidRPr="004742E7">
        <w:rPr>
          <w:rFonts w:ascii="Times New Roman" w:hAnsi="Times New Roman" w:cs="Times New Roman"/>
        </w:rPr>
        <w:t>Gjithashtu, do të sigurohet zbatimi i standardeve më të larta të sigurisë dhe kontrollit për pajisjet ushtarake dhe mallrat me përdorim të dyfishtë, duke rritur bashkëpunimin me autoritetet ndërkombëtare dhe forcuar kapacitetet e institucioneve kombëtare për mbikëqyrjen dhe zbatimin e legjislacionit përkatës.</w:t>
      </w:r>
      <w:r w:rsidR="007D4E81" w:rsidRPr="004742E7">
        <w:rPr>
          <w:rFonts w:ascii="Times New Roman" w:hAnsi="Times New Roman" w:cs="Times New Roman"/>
        </w:rPr>
        <w:t xml:space="preserve"> </w:t>
      </w:r>
      <w:r w:rsidRPr="004742E7">
        <w:rPr>
          <w:rFonts w:ascii="Times New Roman" w:hAnsi="Times New Roman" w:cs="Times New Roman"/>
        </w:rPr>
        <w:t>Gjatë periudhës vijuese 2025-2030 do të synohet përafrimi i legjislacionit penal, legjislacioni për armët sinjalizuese dhe alarmuese, legjislacioni për eksportin e armëve të vogla e të lehta etj.</w:t>
      </w:r>
    </w:p>
    <w:p w14:paraId="72A2486B" w14:textId="77777777" w:rsidR="00DF472E" w:rsidRPr="004742E7" w:rsidRDefault="00DF472E" w:rsidP="00DF472E">
      <w:pPr>
        <w:pStyle w:val="ListParagraph"/>
        <w:autoSpaceDE w:val="0"/>
        <w:autoSpaceDN w:val="0"/>
        <w:adjustRightInd w:val="0"/>
        <w:spacing w:line="276" w:lineRule="auto"/>
        <w:ind w:left="360"/>
        <w:jc w:val="both"/>
        <w:rPr>
          <w:rFonts w:ascii="Times New Roman" w:hAnsi="Times New Roman" w:cs="Times New Roman"/>
        </w:rPr>
      </w:pPr>
    </w:p>
    <w:p w14:paraId="00627D72" w14:textId="52B56C55" w:rsidR="00327A42" w:rsidRPr="004742E7" w:rsidRDefault="00DF472E" w:rsidP="00DF472E">
      <w:pPr>
        <w:pStyle w:val="ListParagraph"/>
        <w:autoSpaceDE w:val="0"/>
        <w:autoSpaceDN w:val="0"/>
        <w:adjustRightInd w:val="0"/>
        <w:spacing w:line="276" w:lineRule="auto"/>
        <w:ind w:left="360"/>
        <w:jc w:val="both"/>
        <w:rPr>
          <w:rFonts w:ascii="Times New Roman" w:hAnsi="Times New Roman" w:cs="Times New Roman"/>
        </w:rPr>
      </w:pPr>
      <w:r w:rsidRPr="004742E7">
        <w:rPr>
          <w:rFonts w:ascii="Times New Roman" w:hAnsi="Times New Roman" w:cs="Times New Roman"/>
          <w:b/>
          <w:bCs/>
        </w:rPr>
        <w:t>4.1 Objektivi Specifik 1.1:</w:t>
      </w:r>
      <w:r w:rsidRPr="004742E7">
        <w:rPr>
          <w:rFonts w:ascii="Times New Roman" w:hAnsi="Times New Roman" w:cs="Times New Roman"/>
        </w:rPr>
        <w:t xml:space="preserve"> Miratimi i kuadrit të plotë ligjor për të luftuar të gjitha format e keqpërdorimit, trafikimit dhe zotërimit të paligjshëm të armëve të zjarrit, municioneve dhe eksplozivëve (AME) dhe harmonizimi me kuadrin ligjor të OKB-së, OSBE-së dhe BE-së;</w:t>
      </w:r>
    </w:p>
    <w:p w14:paraId="5C2D760E" w14:textId="77777777" w:rsidR="00DF472E" w:rsidRPr="004742E7" w:rsidRDefault="00DF472E" w:rsidP="00DF472E">
      <w:pPr>
        <w:pStyle w:val="ListParagraph"/>
        <w:autoSpaceDE w:val="0"/>
        <w:autoSpaceDN w:val="0"/>
        <w:adjustRightInd w:val="0"/>
        <w:spacing w:line="276" w:lineRule="auto"/>
        <w:ind w:left="360"/>
        <w:jc w:val="both"/>
        <w:rPr>
          <w:rFonts w:ascii="Times New Roman" w:hAnsi="Times New Roman" w:cs="Times New Roman"/>
          <w:b/>
          <w:bCs/>
        </w:rPr>
      </w:pPr>
    </w:p>
    <w:p w14:paraId="66F079AC" w14:textId="2E8776CF" w:rsidR="00DF472E" w:rsidRPr="004742E7" w:rsidRDefault="00DF472E" w:rsidP="001A4503">
      <w:pPr>
        <w:pStyle w:val="ListParagraph"/>
        <w:autoSpaceDE w:val="0"/>
        <w:autoSpaceDN w:val="0"/>
        <w:adjustRightInd w:val="0"/>
        <w:spacing w:line="276" w:lineRule="auto"/>
        <w:ind w:left="360"/>
        <w:jc w:val="both"/>
        <w:rPr>
          <w:rFonts w:ascii="Times New Roman" w:hAnsi="Times New Roman" w:cs="Times New Roman"/>
        </w:rPr>
      </w:pPr>
      <w:r w:rsidRPr="004742E7">
        <w:rPr>
          <w:rFonts w:ascii="Times New Roman" w:hAnsi="Times New Roman" w:cs="Times New Roman"/>
          <w:b/>
          <w:bCs/>
        </w:rPr>
        <w:t>4.2 Objektivi Specifik 1.2:</w:t>
      </w:r>
      <w:r w:rsidRPr="004742E7">
        <w:rPr>
          <w:rFonts w:ascii="Times New Roman" w:hAnsi="Times New Roman" w:cs="Times New Roman"/>
        </w:rPr>
        <w:t xml:space="preserve"> Përafrimi me standardet dhe praktikat më të mira ndërkombëtare në fushën e kontrollit të armëve dhe në hetimet që lidhen me krimet me armë;</w:t>
      </w:r>
    </w:p>
    <w:p w14:paraId="42E178E2" w14:textId="77777777" w:rsidR="00DF472E" w:rsidRPr="004742E7" w:rsidRDefault="00DF472E" w:rsidP="00DF472E">
      <w:pPr>
        <w:pStyle w:val="ListParagraph"/>
        <w:autoSpaceDE w:val="0"/>
        <w:autoSpaceDN w:val="0"/>
        <w:adjustRightInd w:val="0"/>
        <w:spacing w:line="276" w:lineRule="auto"/>
        <w:ind w:left="0"/>
        <w:jc w:val="both"/>
        <w:rPr>
          <w:rFonts w:ascii="Times New Roman" w:hAnsi="Times New Roman" w:cs="Times New Roman"/>
        </w:rPr>
      </w:pPr>
    </w:p>
    <w:p w14:paraId="0E2EBB22" w14:textId="000A640C" w:rsidR="00DF472E" w:rsidRPr="004742E7" w:rsidRDefault="001A4503" w:rsidP="001A4503">
      <w:pPr>
        <w:autoSpaceDE w:val="0"/>
        <w:autoSpaceDN w:val="0"/>
        <w:adjustRightInd w:val="0"/>
        <w:spacing w:line="276" w:lineRule="auto"/>
        <w:jc w:val="both"/>
        <w:rPr>
          <w:rFonts w:ascii="Times New Roman" w:hAnsi="Times New Roman" w:cs="Times New Roman"/>
        </w:rPr>
      </w:pPr>
      <w:r w:rsidRPr="004742E7">
        <w:rPr>
          <w:rFonts w:ascii="Times New Roman" w:hAnsi="Times New Roman" w:cs="Times New Roman"/>
          <w:b/>
          <w:bCs/>
        </w:rPr>
        <w:lastRenderedPageBreak/>
        <w:t>5.</w:t>
      </w:r>
      <w:r w:rsidR="002A284C">
        <w:rPr>
          <w:rFonts w:ascii="Times New Roman" w:hAnsi="Times New Roman" w:cs="Times New Roman"/>
          <w:b/>
          <w:bCs/>
        </w:rPr>
        <w:t xml:space="preserve"> </w:t>
      </w:r>
      <w:r w:rsidR="00DF472E" w:rsidRPr="004742E7">
        <w:rPr>
          <w:rFonts w:ascii="Times New Roman" w:hAnsi="Times New Roman" w:cs="Times New Roman"/>
          <w:b/>
          <w:bCs/>
        </w:rPr>
        <w:t>QËLLIMI I POLITIKËS 2:</w:t>
      </w:r>
      <w:r w:rsidR="00DF472E" w:rsidRPr="004742E7">
        <w:rPr>
          <w:rFonts w:ascii="Times New Roman" w:hAnsi="Times New Roman" w:cs="Times New Roman"/>
        </w:rPr>
        <w:t xml:space="preserve"> Brenda vitit 2030, të garantohen politika dhe praktika efektive për kontrollin e armëve në Shqipëri, të bazuara në analiza statistikore dhe të udhëhequra nga informacionet e inteligjencës, në përputhje me standardet ndërkombëtare dhe detyrimet përkatëse.</w:t>
      </w:r>
    </w:p>
    <w:p w14:paraId="23E063BB" w14:textId="59D80115" w:rsidR="00DF472E" w:rsidRPr="00C90952" w:rsidRDefault="00DF472E" w:rsidP="00273A0F">
      <w:pPr>
        <w:pStyle w:val="NormalWeb"/>
        <w:spacing w:line="276" w:lineRule="auto"/>
        <w:jc w:val="both"/>
      </w:pPr>
      <w:r w:rsidRPr="004742E7">
        <w:rPr>
          <w:b/>
        </w:rPr>
        <w:t xml:space="preserve">Aktivitet në kuadër të këtij </w:t>
      </w:r>
      <w:r w:rsidR="001A4503" w:rsidRPr="004742E7">
        <w:rPr>
          <w:b/>
        </w:rPr>
        <w:t>qëllimi</w:t>
      </w:r>
      <w:r w:rsidRPr="004742E7">
        <w:rPr>
          <w:b/>
        </w:rPr>
        <w:t xml:space="preserve"> përfshijnë:</w:t>
      </w:r>
      <w:r w:rsidRPr="004742E7">
        <w:rPr>
          <w:color w:val="2C71FB"/>
        </w:rPr>
        <w:t xml:space="preserve"> </w:t>
      </w:r>
      <w:r w:rsidRPr="004742E7">
        <w:t>Gjatë periudhës 2025-2030, synohet të zhvillohen dhe të harmonizohen strategjitë dhe planet e veprimit për kontrollin e armëve, dhe eksplozivëve në përputhje me Udhërrëfyesin e rishikuar Rajonal për kontrollin e armëve të vogla e të lehta për Ballkanin Perëndimor. Politikat e kontrollit të armëve do të integrojnë plotësisht çështjet e gjinisë dhe moshës, duke siguruar përfshirjen aktive të grave në proceset e vendimmarrjes dhe politikëbërjes. Një prioritet kyç do të jetë standardizimi dhe institucionalizimi i regjistrimit dhe grumbullimit të të dhënave mbi armët, dhe eksplozivët, të ndara sipas gjinisë dhe moshës, për të përmirësuar analizën dhe hartimin e politikave të bazuara në prova. Gjithashtu, do të forcohen funksionet e planifikimit, koordinimit dhe monitorimit të Komisioneve për AVL-të, për të garantuar politika efektive dhe të qëndrueshme. Një aspekt thelbësor do të jetë edhe gjurmimi i çdo arme të mbledhur ose të kapur, si në nivel kombëtar ashtu edhe ndërkombëtar, për të parandaluar trafikimin dhe keqpërdorimin e tyre</w:t>
      </w:r>
      <w:r w:rsidR="00C90952">
        <w:t xml:space="preserve">, si dhe </w:t>
      </w:r>
      <w:r w:rsidR="00273A0F" w:rsidRPr="00C90952">
        <w:rPr>
          <w:color w:val="000000" w:themeColor="text1"/>
        </w:rPr>
        <w:t>nënshkrimit të Marrëveshjeve dypalëshe ose rajonale në lidhje me shkëmbimin e informacionit balistik, sidomos me shtetet e Ballkanit Jugperëndimor, në kushtet kur është në përdorim i njejti sistem, EVOFINDER.</w:t>
      </w:r>
    </w:p>
    <w:p w14:paraId="6F42C8CB" w14:textId="76AE4378" w:rsidR="00DF472E" w:rsidRPr="004742E7" w:rsidRDefault="00DF472E" w:rsidP="001A4503">
      <w:pPr>
        <w:pStyle w:val="ListParagraph"/>
        <w:autoSpaceDE w:val="0"/>
        <w:autoSpaceDN w:val="0"/>
        <w:adjustRightInd w:val="0"/>
        <w:spacing w:line="276" w:lineRule="auto"/>
        <w:ind w:left="0"/>
        <w:jc w:val="both"/>
        <w:rPr>
          <w:rFonts w:ascii="Times New Roman" w:hAnsi="Times New Roman" w:cs="Times New Roman"/>
        </w:rPr>
      </w:pPr>
      <w:r w:rsidRPr="004742E7">
        <w:rPr>
          <w:rFonts w:ascii="Times New Roman" w:hAnsi="Times New Roman" w:cs="Times New Roman"/>
          <w:b/>
          <w:bCs/>
        </w:rPr>
        <w:t>5.1 Objektivi Specifik 2.1:</w:t>
      </w:r>
      <w:r w:rsidRPr="004742E7">
        <w:rPr>
          <w:rFonts w:ascii="Times New Roman" w:hAnsi="Times New Roman" w:cs="Times New Roman"/>
        </w:rPr>
        <w:t xml:space="preserve"> Standardizimi dhe institucionalizimi i grumbullimit të të dhënave për armët e zjarrit sipas gjinisë dhe moshës, në lidhje me sekuestrimet e AVL-ve/armëve të zjarrit të ligjshme dhe të paligjshme, incidentet e dhunshme me armë, provat balistike dhe të dhëna të tjera që lidhen me armët e zjarrit që çojnë në analizën rajonale periodike të rrezikut për AME dhe vlerësimin e kërcënimit;</w:t>
      </w:r>
    </w:p>
    <w:p w14:paraId="29B29DEB" w14:textId="41445CF0" w:rsidR="001A4503" w:rsidRPr="004742E7" w:rsidRDefault="001A4503" w:rsidP="001A4503">
      <w:pPr>
        <w:autoSpaceDE w:val="0"/>
        <w:autoSpaceDN w:val="0"/>
        <w:adjustRightInd w:val="0"/>
        <w:spacing w:line="276" w:lineRule="auto"/>
        <w:jc w:val="both"/>
        <w:rPr>
          <w:rFonts w:ascii="Times New Roman" w:hAnsi="Times New Roman" w:cs="Times New Roman"/>
          <w:b/>
          <w:bCs/>
        </w:rPr>
      </w:pPr>
      <w:r w:rsidRPr="004742E7">
        <w:rPr>
          <w:rFonts w:ascii="Times New Roman" w:hAnsi="Times New Roman" w:cs="Times New Roman"/>
          <w:b/>
          <w:bCs/>
        </w:rPr>
        <w:t xml:space="preserve">5.2 </w:t>
      </w:r>
      <w:r w:rsidR="00DF472E" w:rsidRPr="004742E7">
        <w:rPr>
          <w:rFonts w:ascii="Times New Roman" w:hAnsi="Times New Roman" w:cs="Times New Roman"/>
          <w:b/>
          <w:bCs/>
        </w:rPr>
        <w:t>Objektivi Specifik 2.2:</w:t>
      </w:r>
      <w:r w:rsidR="00DF472E" w:rsidRPr="004742E7">
        <w:rPr>
          <w:rFonts w:ascii="Times New Roman" w:hAnsi="Times New Roman" w:cs="Times New Roman"/>
        </w:rPr>
        <w:t xml:space="preserve"> Rritja e nivelit të koordinimit dhe monitorimi i vazhdueshëm i strategjisë dhe planit të veprimit nga Komisioni Kombëtar i AVL për të garantuar politika efektive për parandalimin, zbutjen, reagimin dhe eliminimin e keqpërdorimit, trafikimit dhe përhapjes së paligjshme të armëve të zjarrit;</w:t>
      </w:r>
    </w:p>
    <w:p w14:paraId="1B6097B5" w14:textId="78B5CC25" w:rsidR="00DF472E" w:rsidRPr="004742E7" w:rsidRDefault="001A4503" w:rsidP="001A4503">
      <w:pPr>
        <w:autoSpaceDE w:val="0"/>
        <w:autoSpaceDN w:val="0"/>
        <w:adjustRightInd w:val="0"/>
        <w:spacing w:line="276" w:lineRule="auto"/>
        <w:jc w:val="both"/>
        <w:rPr>
          <w:rFonts w:ascii="Times New Roman" w:hAnsi="Times New Roman" w:cs="Times New Roman"/>
        </w:rPr>
      </w:pPr>
      <w:r w:rsidRPr="004742E7">
        <w:rPr>
          <w:rFonts w:ascii="Times New Roman" w:hAnsi="Times New Roman" w:cs="Times New Roman"/>
          <w:b/>
          <w:bCs/>
        </w:rPr>
        <w:t>5.3 Objektivi Specifik 2.3:</w:t>
      </w:r>
      <w:r w:rsidRPr="004742E7">
        <w:rPr>
          <w:rFonts w:ascii="Times New Roman" w:hAnsi="Times New Roman" w:cs="Times New Roman"/>
        </w:rPr>
        <w:t xml:space="preserve"> Institucionalizimi i mbledhjes sistematike të të dhënave për drejtësinë penale dhe gjurmimit të AME;</w:t>
      </w:r>
    </w:p>
    <w:p w14:paraId="5E9134F7" w14:textId="40C41E5F" w:rsidR="001A4503" w:rsidRPr="004742E7" w:rsidRDefault="001A4503" w:rsidP="001A4503">
      <w:pPr>
        <w:autoSpaceDE w:val="0"/>
        <w:autoSpaceDN w:val="0"/>
        <w:adjustRightInd w:val="0"/>
        <w:spacing w:line="276" w:lineRule="auto"/>
        <w:jc w:val="both"/>
        <w:rPr>
          <w:rFonts w:ascii="Times New Roman" w:hAnsi="Times New Roman" w:cs="Times New Roman"/>
          <w:b/>
          <w:bCs/>
        </w:rPr>
      </w:pPr>
      <w:r w:rsidRPr="004742E7">
        <w:rPr>
          <w:rFonts w:ascii="Times New Roman" w:hAnsi="Times New Roman" w:cs="Times New Roman"/>
          <w:b/>
          <w:bCs/>
        </w:rPr>
        <w:t xml:space="preserve">5.4 Objektivi Specifik 2.4: </w:t>
      </w:r>
      <w:r w:rsidRPr="004742E7">
        <w:rPr>
          <w:rFonts w:ascii="Times New Roman" w:hAnsi="Times New Roman" w:cs="Times New Roman"/>
        </w:rPr>
        <w:t>Integrimi i plotë i çështjeve gjinore dhe moshës në politikat për kontrollin e AVL-ve/armëve të zjarrit duke garantuar pjesëmarrjen reale të grave në kontrollin e AVL-ve /armëve të zjarrit;</w:t>
      </w:r>
      <w:r w:rsidRPr="004742E7">
        <w:rPr>
          <w:rFonts w:ascii="Times New Roman" w:hAnsi="Times New Roman" w:cs="Times New Roman"/>
          <w:b/>
          <w:bCs/>
        </w:rPr>
        <w:t xml:space="preserve">  </w:t>
      </w:r>
    </w:p>
    <w:p w14:paraId="672E21C5" w14:textId="53C893CC" w:rsidR="001A4503" w:rsidRPr="004742E7" w:rsidRDefault="001A4503" w:rsidP="001A4503">
      <w:pPr>
        <w:autoSpaceDE w:val="0"/>
        <w:autoSpaceDN w:val="0"/>
        <w:adjustRightInd w:val="0"/>
        <w:spacing w:line="276" w:lineRule="auto"/>
        <w:jc w:val="both"/>
        <w:rPr>
          <w:rFonts w:ascii="Times New Roman" w:hAnsi="Times New Roman" w:cs="Times New Roman"/>
        </w:rPr>
      </w:pPr>
      <w:r w:rsidRPr="004742E7">
        <w:rPr>
          <w:rFonts w:ascii="Times New Roman" w:hAnsi="Times New Roman" w:cs="Times New Roman"/>
          <w:b/>
          <w:bCs/>
        </w:rPr>
        <w:t>5.5 Objektivi Specifik 2.5</w:t>
      </w:r>
      <w:r w:rsidRPr="004742E7">
        <w:rPr>
          <w:rFonts w:ascii="Times New Roman" w:hAnsi="Times New Roman" w:cs="Times New Roman"/>
        </w:rPr>
        <w:t xml:space="preserve">: </w:t>
      </w:r>
      <w:r w:rsidR="00C90952">
        <w:rPr>
          <w:rFonts w:ascii="Times New Roman" w:hAnsi="Times New Roman" w:cs="Times New Roman"/>
          <w:strike/>
        </w:rPr>
        <w:t>Rritja e parandalimit</w:t>
      </w:r>
      <w:r w:rsidR="004742E7" w:rsidRPr="004742E7">
        <w:rPr>
          <w:rFonts w:ascii="Times New Roman" w:hAnsi="Times New Roman" w:cs="Times New Roman"/>
          <w:color w:val="FF0000"/>
        </w:rPr>
        <w:t xml:space="preserve"> </w:t>
      </w:r>
      <w:r w:rsidRPr="004742E7">
        <w:rPr>
          <w:rFonts w:ascii="Times New Roman" w:hAnsi="Times New Roman" w:cs="Times New Roman"/>
        </w:rPr>
        <w:t>të keqpërdorimit të AVL/armëve të zjarrit;</w:t>
      </w:r>
    </w:p>
    <w:p w14:paraId="6AD28998" w14:textId="77777777" w:rsidR="001A4503" w:rsidRPr="004742E7" w:rsidRDefault="001A4503" w:rsidP="001A4503">
      <w:pPr>
        <w:autoSpaceDE w:val="0"/>
        <w:autoSpaceDN w:val="0"/>
        <w:adjustRightInd w:val="0"/>
        <w:spacing w:line="276" w:lineRule="auto"/>
        <w:jc w:val="both"/>
        <w:rPr>
          <w:rFonts w:ascii="Times New Roman" w:hAnsi="Times New Roman" w:cs="Times New Roman"/>
        </w:rPr>
      </w:pPr>
    </w:p>
    <w:p w14:paraId="02D9B653" w14:textId="706C9438" w:rsidR="00DF472E" w:rsidRPr="004742E7" w:rsidRDefault="001A4503" w:rsidP="00CA611F">
      <w:pPr>
        <w:pStyle w:val="ListParagraph"/>
        <w:autoSpaceDE w:val="0"/>
        <w:autoSpaceDN w:val="0"/>
        <w:adjustRightInd w:val="0"/>
        <w:spacing w:line="276" w:lineRule="auto"/>
        <w:ind w:left="0"/>
        <w:jc w:val="both"/>
        <w:rPr>
          <w:rFonts w:ascii="Times New Roman" w:hAnsi="Times New Roman" w:cs="Times New Roman"/>
        </w:rPr>
      </w:pPr>
      <w:r w:rsidRPr="004742E7">
        <w:rPr>
          <w:rFonts w:ascii="Times New Roman" w:hAnsi="Times New Roman" w:cs="Times New Roman"/>
          <w:b/>
          <w:bCs/>
        </w:rPr>
        <w:t>6.</w:t>
      </w:r>
      <w:r w:rsidR="004D114F">
        <w:rPr>
          <w:rFonts w:ascii="Times New Roman" w:hAnsi="Times New Roman" w:cs="Times New Roman"/>
          <w:b/>
          <w:bCs/>
        </w:rPr>
        <w:t xml:space="preserve"> </w:t>
      </w:r>
      <w:r w:rsidRPr="004742E7">
        <w:rPr>
          <w:rFonts w:ascii="Times New Roman" w:hAnsi="Times New Roman" w:cs="Times New Roman"/>
          <w:b/>
          <w:bCs/>
        </w:rPr>
        <w:t>QËLLIMI I POLITIKËS 3:</w:t>
      </w:r>
      <w:r w:rsidRPr="004742E7">
        <w:rPr>
          <w:rFonts w:ascii="Times New Roman" w:hAnsi="Times New Roman" w:cs="Times New Roman"/>
        </w:rPr>
        <w:t xml:space="preserve"> Brenda vitit 2030, të reduktohet  keqpërdorimi, prodhimi, zotërimi dhe qarkullimi i paligjshëm i armëve, municioneve dhe eksplozivëve përmes forcimit të </w:t>
      </w:r>
      <w:r w:rsidRPr="004742E7">
        <w:rPr>
          <w:rFonts w:ascii="Times New Roman" w:hAnsi="Times New Roman" w:cs="Times New Roman"/>
        </w:rPr>
        <w:lastRenderedPageBreak/>
        <w:t>kuadrit ligjor, rritjes së kapaciteteve institucionale dhe zbatimit efektiv të masave parandaluese dhe kontrolluese.</w:t>
      </w:r>
    </w:p>
    <w:p w14:paraId="72589BAC" w14:textId="4491E3A1" w:rsidR="001A4503" w:rsidRPr="004742E7" w:rsidRDefault="00327A42" w:rsidP="001A4503">
      <w:pPr>
        <w:spacing w:line="276" w:lineRule="auto"/>
        <w:jc w:val="both"/>
        <w:rPr>
          <w:rFonts w:ascii="Times New Roman" w:hAnsi="Times New Roman" w:cs="Times New Roman"/>
        </w:rPr>
      </w:pPr>
      <w:r w:rsidRPr="004742E7">
        <w:rPr>
          <w:rFonts w:ascii="Times New Roman" w:hAnsi="Times New Roman" w:cs="Times New Roman"/>
          <w:b/>
        </w:rPr>
        <w:t>Aktivitet në kuadër të këtij objektivi përfshijnë;</w:t>
      </w:r>
      <w:r w:rsidRPr="004742E7">
        <w:rPr>
          <w:rFonts w:ascii="Times New Roman" w:hAnsi="Times New Roman" w:cs="Times New Roman"/>
        </w:rPr>
        <w:t xml:space="preserve"> Gjatë periudhës 2025-2030, synohet forcimi i sistemit të analizës së rrezikut, kontrollit, monitorimit dhe parandalimit të devijimit të tregtisë së ligjshme të armëve, municioneve dhe eksplozivëve, përmes përmirësimit të kapaciteteve institucionale, procedurave dhe transparencës. Do të parashikohen dhe ndërmerren masa për parandalimin dhe luftimin e trafikimit, keqpërdorimit, prodhimit dhe mbajtjes së paligjshme të këtyre materialeve, duke forcuar pajisjet, procedurat dhe trajnimin e autoriteteve ligjzbatuese dhe subjekteve të drejtësisë penale. Një prioritet kyç do të jetë rritja e bashkëpunimit ndërinstitucional në nivel kombëtar dhe ndërkombëtar, si dhe forcimi i mekanizmave dhe platformave të bashkëpunimit bilateral dhe rajonal, duke garantuar ndarjen e inteligjencës dhe shkëmbimin sistematik të informacionit në kohën e duhur për të luftuar në mënyrë më efektive aktivitetet e paligjshme që lidhen me armët, municionet dhe eksplozivët.</w:t>
      </w:r>
    </w:p>
    <w:p w14:paraId="0EE166DD" w14:textId="29AA4E7C" w:rsidR="001A4503" w:rsidRPr="004742E7" w:rsidRDefault="001A4503" w:rsidP="001A4503">
      <w:pPr>
        <w:spacing w:line="276" w:lineRule="auto"/>
        <w:jc w:val="both"/>
        <w:rPr>
          <w:rFonts w:ascii="Times New Roman" w:hAnsi="Times New Roman" w:cs="Times New Roman"/>
        </w:rPr>
      </w:pPr>
      <w:r w:rsidRPr="004742E7">
        <w:rPr>
          <w:rFonts w:ascii="Times New Roman" w:hAnsi="Times New Roman" w:cs="Times New Roman"/>
          <w:b/>
          <w:bCs/>
        </w:rPr>
        <w:t>6.1. Objektivi Specifik 3.1</w:t>
      </w:r>
      <w:r w:rsidRPr="004742E7">
        <w:rPr>
          <w:rFonts w:ascii="Times New Roman" w:hAnsi="Times New Roman" w:cs="Times New Roman"/>
        </w:rPr>
        <w:t>: Garantimi i zbatimit të plotë dhe monitorimi i kuadrit ligjor, politik dhe procedural për trafikimin e AME-ve;</w:t>
      </w:r>
    </w:p>
    <w:p w14:paraId="42B41BBA" w14:textId="65116094" w:rsidR="001A4503" w:rsidRPr="004742E7" w:rsidRDefault="001A4503" w:rsidP="001A4503">
      <w:pPr>
        <w:spacing w:line="276" w:lineRule="auto"/>
        <w:jc w:val="both"/>
        <w:rPr>
          <w:rFonts w:ascii="Times New Roman" w:hAnsi="Times New Roman" w:cs="Times New Roman"/>
        </w:rPr>
      </w:pPr>
      <w:r w:rsidRPr="004742E7">
        <w:rPr>
          <w:rFonts w:ascii="Times New Roman" w:hAnsi="Times New Roman" w:cs="Times New Roman"/>
          <w:b/>
          <w:bCs/>
        </w:rPr>
        <w:t>6.2 Objektivi Specifik 3.2:</w:t>
      </w:r>
      <w:r w:rsidRPr="004742E7">
        <w:rPr>
          <w:rFonts w:ascii="Times New Roman" w:hAnsi="Times New Roman" w:cs="Times New Roman"/>
        </w:rPr>
        <w:t xml:space="preserve"> Parandalimi i trafikimit (kontrabanda, tregtia dhe tranziti i paligjshëm) i AME-ve nëpërmjet proceseve dhe pajisjeve të përmirësuara dhe trajnimit të njësive të synuara ligjzbatuese;</w:t>
      </w:r>
    </w:p>
    <w:p w14:paraId="7B31F709" w14:textId="1AC34281" w:rsidR="001A4503" w:rsidRPr="004742E7" w:rsidRDefault="001A4503" w:rsidP="001A4503">
      <w:pPr>
        <w:spacing w:line="276" w:lineRule="auto"/>
        <w:jc w:val="both"/>
        <w:rPr>
          <w:rFonts w:ascii="Times New Roman" w:hAnsi="Times New Roman" w:cs="Times New Roman"/>
        </w:rPr>
      </w:pPr>
      <w:r w:rsidRPr="004742E7">
        <w:rPr>
          <w:rFonts w:ascii="Times New Roman" w:hAnsi="Times New Roman" w:cs="Times New Roman"/>
          <w:b/>
          <w:bCs/>
        </w:rPr>
        <w:t xml:space="preserve">6.3 Objektivi Specifik 3.3: </w:t>
      </w:r>
      <w:r w:rsidRPr="004742E7">
        <w:rPr>
          <w:rFonts w:ascii="Times New Roman" w:hAnsi="Times New Roman" w:cs="Times New Roman"/>
        </w:rPr>
        <w:t>Forcimi i kontrollit, monitorimit dhe parandalimit të devijimit të tregtisë së ligjshme nëpërmjet përmirësimit të kapaciteteve, procedurave dhe transparencës;</w:t>
      </w:r>
    </w:p>
    <w:p w14:paraId="52E7CC66" w14:textId="77777777" w:rsidR="001A4503" w:rsidRPr="004742E7" w:rsidRDefault="001A4503" w:rsidP="001A4503">
      <w:pPr>
        <w:spacing w:line="276" w:lineRule="auto"/>
        <w:jc w:val="both"/>
        <w:rPr>
          <w:rFonts w:ascii="Times New Roman" w:eastAsia="Times New Roman" w:hAnsi="Times New Roman" w:cs="Times New Roman"/>
          <w:b/>
        </w:rPr>
      </w:pPr>
    </w:p>
    <w:p w14:paraId="276F4C4E" w14:textId="77777777" w:rsidR="001A4503" w:rsidRPr="004742E7" w:rsidRDefault="001A4503" w:rsidP="001A4503">
      <w:pPr>
        <w:spacing w:line="276" w:lineRule="auto"/>
        <w:jc w:val="both"/>
        <w:rPr>
          <w:rFonts w:ascii="Times New Roman" w:eastAsia="Times New Roman" w:hAnsi="Times New Roman" w:cs="Times New Roman"/>
          <w:b/>
        </w:rPr>
      </w:pPr>
    </w:p>
    <w:p w14:paraId="25990F8D" w14:textId="53CA14F2" w:rsidR="001A4503" w:rsidRPr="004742E7" w:rsidRDefault="001A4503" w:rsidP="001A4503">
      <w:pPr>
        <w:spacing w:line="276" w:lineRule="auto"/>
        <w:jc w:val="both"/>
        <w:rPr>
          <w:rFonts w:ascii="Times New Roman" w:hAnsi="Times New Roman" w:cs="Times New Roman"/>
        </w:rPr>
      </w:pPr>
      <w:r w:rsidRPr="002A284C">
        <w:rPr>
          <w:rFonts w:ascii="Times New Roman" w:eastAsia="Times New Roman" w:hAnsi="Times New Roman" w:cs="Times New Roman"/>
          <w:b/>
        </w:rPr>
        <w:t>7.</w:t>
      </w:r>
      <w:r w:rsidRPr="004742E7">
        <w:rPr>
          <w:rFonts w:ascii="Times New Roman" w:eastAsia="Times New Roman" w:hAnsi="Times New Roman" w:cs="Times New Roman"/>
          <w:b/>
        </w:rPr>
        <w:t xml:space="preserve"> QËLLIMI I POLITIKËS 4: </w:t>
      </w:r>
      <w:r w:rsidRPr="004742E7">
        <w:rPr>
          <w:rFonts w:ascii="Times New Roman" w:hAnsi="Times New Roman" w:cs="Times New Roman"/>
        </w:rPr>
        <w:t>Brenda vitit 2030, të reduktohet ndjeshëm oferta, kërkesa, zotërimi i paligjshëm dhe keqpërdorimi i armëve, municioneve dhe eksplozivëve përmes masave efektive parandaluese, forcimit të kornizës ligjore dhe bashkëpunimit ndërinstitucional</w:t>
      </w:r>
      <w:r w:rsidR="00CA611F" w:rsidRPr="004742E7">
        <w:rPr>
          <w:rFonts w:ascii="Times New Roman" w:hAnsi="Times New Roman" w:cs="Times New Roman"/>
        </w:rPr>
        <w:t>.</w:t>
      </w:r>
    </w:p>
    <w:p w14:paraId="7DDE94E4" w14:textId="26DA7C77" w:rsidR="002851C8" w:rsidRPr="004742E7" w:rsidRDefault="00327A42" w:rsidP="002851C8">
      <w:pPr>
        <w:spacing w:line="276" w:lineRule="auto"/>
        <w:jc w:val="both"/>
        <w:rPr>
          <w:rFonts w:ascii="Times New Roman" w:hAnsi="Times New Roman" w:cs="Times New Roman"/>
        </w:rPr>
      </w:pPr>
      <w:r w:rsidRPr="004742E7">
        <w:rPr>
          <w:rFonts w:ascii="Times New Roman" w:hAnsi="Times New Roman" w:cs="Times New Roman"/>
          <w:b/>
        </w:rPr>
        <w:t>Aktivitet në kuadër të këtij objektivi përfshijnë</w:t>
      </w:r>
      <w:r w:rsidR="00CB18F2" w:rsidRPr="004742E7">
        <w:rPr>
          <w:rFonts w:ascii="Times New Roman" w:hAnsi="Times New Roman" w:cs="Times New Roman"/>
          <w:b/>
        </w:rPr>
        <w:t>:</w:t>
      </w:r>
      <w:r w:rsidRPr="004742E7">
        <w:rPr>
          <w:rFonts w:ascii="Times New Roman" w:hAnsi="Times New Roman" w:cs="Times New Roman"/>
        </w:rPr>
        <w:t xml:space="preserve"> Gjatë periudhës 2025-2030, synohet rritja e ndërgjegjësimit dhe përgjegjshmërisë së subjekteve të licencuara private dhe juridike, përfshirë prodhuesit, tregtarët, ndërmjetësit, koleksionuesit dhe shoqëritë e transportit, lidhur me rrezikun e keqpërdorimit, përhapjes së paligjshme dhe devijimit të armëve, municioneve dhe eksplozivëve. Në të njëjtën kohë, synohet forcimi i besimit të publikut tek institucionet e sigurisë dhe krijimi i partneriteteve të qëndrueshme për të rritur advokimin dhe informimin. Edukimi i popullsisë mbi rreziqet e armëve, me fokus të veçantë në parandalimin e dhunës ndaj grave, vajzave dhe dhunës me bazë gjinore, si dhe angazhimi i të rinjve në programe ndërgjegjësuese, janë masa thelbësore për reduktimin e keqpërdorimit të armëve. Po ashtu, fuqizimi i rolit të medias për raportim të përgjegjshëm dhe promovimi i legalizimit dhe dorëzimit vullnetar të armëve janë mjete të rëndësishme për reduktimin e zotërimit të paligjshëm dhe keqpërdorimit të tyre.</w:t>
      </w:r>
    </w:p>
    <w:p w14:paraId="0D45A6EB" w14:textId="2D79F003" w:rsidR="002851C8" w:rsidRPr="004742E7" w:rsidRDefault="002851C8" w:rsidP="002851C8">
      <w:pPr>
        <w:spacing w:line="276" w:lineRule="auto"/>
        <w:jc w:val="both"/>
        <w:rPr>
          <w:rFonts w:ascii="Times New Roman" w:hAnsi="Times New Roman" w:cs="Times New Roman"/>
        </w:rPr>
      </w:pPr>
      <w:r w:rsidRPr="004742E7">
        <w:rPr>
          <w:rFonts w:ascii="Times New Roman" w:hAnsi="Times New Roman" w:cs="Times New Roman"/>
          <w:b/>
          <w:bCs/>
        </w:rPr>
        <w:lastRenderedPageBreak/>
        <w:t>7.1 Objektivi Specifik 4.1:</w:t>
      </w:r>
      <w:r w:rsidRPr="004742E7">
        <w:rPr>
          <w:rFonts w:ascii="Times New Roman" w:hAnsi="Times New Roman" w:cs="Times New Roman"/>
        </w:rPr>
        <w:t xml:space="preserve"> Rritja e ndërgjegjësimit të subjekteve të licencuara private dhe juridike për rrezikun e keqpërdorimit dhe përhapjes së paligjshme të AME-ve, përfshirë rrezikun e devijimit për prodhuesit e AME-ve;</w:t>
      </w:r>
    </w:p>
    <w:p w14:paraId="2F779375" w14:textId="501F00CF" w:rsidR="002851C8" w:rsidRPr="004742E7" w:rsidRDefault="002851C8" w:rsidP="002851C8">
      <w:pPr>
        <w:spacing w:line="276" w:lineRule="auto"/>
        <w:jc w:val="both"/>
        <w:rPr>
          <w:rFonts w:ascii="Times New Roman" w:hAnsi="Times New Roman" w:cs="Times New Roman"/>
        </w:rPr>
      </w:pPr>
      <w:r w:rsidRPr="004742E7">
        <w:rPr>
          <w:rFonts w:ascii="Times New Roman" w:hAnsi="Times New Roman" w:cs="Times New Roman"/>
          <w:b/>
          <w:bCs/>
        </w:rPr>
        <w:t>7.2. Objektivi Specifik 4.2:</w:t>
      </w:r>
      <w:r w:rsidRPr="004742E7">
        <w:rPr>
          <w:rFonts w:ascii="Times New Roman" w:hAnsi="Times New Roman" w:cs="Times New Roman"/>
        </w:rPr>
        <w:t xml:space="preserve"> Zhvillimi i partneriteteve të qëndrueshme me median dhe shoqërinë civile për promovimin e kontrollit,  rritjen e informimit dhe ndërgjegjësimin e publikut, për rrezikun e keqpërdorimit, mbajtjes së paligjshme dhe trafikimit të AME-ve;</w:t>
      </w:r>
    </w:p>
    <w:p w14:paraId="1C5032A1" w14:textId="79545D50" w:rsidR="002851C8" w:rsidRPr="004742E7" w:rsidRDefault="002851C8" w:rsidP="002851C8">
      <w:pPr>
        <w:pStyle w:val="NormalWeb"/>
        <w:spacing w:line="276" w:lineRule="auto"/>
        <w:jc w:val="both"/>
      </w:pPr>
      <w:r w:rsidRPr="004742E7">
        <w:rPr>
          <w:b/>
          <w:bCs/>
        </w:rPr>
        <w:t>7.3. Objektivi Specifik 4.3</w:t>
      </w:r>
      <w:r w:rsidRPr="004742E7">
        <w:t>: Rritja e kapaciteteve administrative dhe operacionale për sekuestrimin e armëve të zjarrit, municioneve dhe eksplozivëve;</w:t>
      </w:r>
    </w:p>
    <w:p w14:paraId="5A9364AC" w14:textId="6522FCB5" w:rsidR="00AE255F" w:rsidRPr="002A284C" w:rsidRDefault="002851C8" w:rsidP="002A284C">
      <w:pPr>
        <w:pStyle w:val="NormalWeb"/>
        <w:spacing w:line="276" w:lineRule="auto"/>
        <w:jc w:val="both"/>
      </w:pPr>
      <w:r w:rsidRPr="004742E7">
        <w:rPr>
          <w:b/>
          <w:bCs/>
        </w:rPr>
        <w:t>7.4. Objektivi Specifik 4.4:</w:t>
      </w:r>
      <w:r w:rsidRPr="004742E7">
        <w:t xml:space="preserve"> Përdorimi sistematik çaktivizimi për të reduktuar zotërimin e paligjshëm të armëve të zjarrit;</w:t>
      </w:r>
    </w:p>
    <w:p w14:paraId="58F88126" w14:textId="4692E8F0" w:rsidR="002851C8" w:rsidRPr="00ED1C06" w:rsidRDefault="002851C8" w:rsidP="002851C8">
      <w:pPr>
        <w:spacing w:line="276" w:lineRule="auto"/>
        <w:jc w:val="both"/>
        <w:rPr>
          <w:rFonts w:ascii="Times New Roman" w:hAnsi="Times New Roman" w:cs="Times New Roman"/>
        </w:rPr>
      </w:pPr>
      <w:r w:rsidRPr="00ED1C06">
        <w:rPr>
          <w:rFonts w:ascii="Times New Roman" w:hAnsi="Times New Roman" w:cs="Times New Roman"/>
          <w:b/>
          <w:bCs/>
        </w:rPr>
        <w:t>8. QËLLIMI I POLITIKËS 5:</w:t>
      </w:r>
      <w:r w:rsidRPr="00ED1C06">
        <w:rPr>
          <w:rFonts w:ascii="Times New Roman" w:hAnsi="Times New Roman" w:cs="Times New Roman"/>
        </w:rPr>
        <w:t xml:space="preserve"> Brenda vitit 2030, të reduktohet rreziku i përhapjes dhe devijimit të armëve, municioneve dhe eksplozivëve përmes forcimit të masave të mbrojtjes dhe sigurisë së stoqeve, si dhe zbatimit të proceseve efektive për asgjësimin e tyre.</w:t>
      </w:r>
    </w:p>
    <w:p w14:paraId="1325F225" w14:textId="77777777" w:rsidR="00327A42" w:rsidRPr="00ED1C06" w:rsidRDefault="00327A42" w:rsidP="002851C8">
      <w:pPr>
        <w:spacing w:line="276" w:lineRule="auto"/>
        <w:jc w:val="both"/>
        <w:rPr>
          <w:rFonts w:ascii="Times New Roman" w:eastAsia="Times New Roman" w:hAnsi="Times New Roman" w:cs="Times New Roman"/>
          <w:b/>
        </w:rPr>
      </w:pPr>
      <w:r w:rsidRPr="00ED1C06">
        <w:rPr>
          <w:rFonts w:ascii="Times New Roman" w:hAnsi="Times New Roman" w:cs="Times New Roman"/>
          <w:b/>
        </w:rPr>
        <w:t>Aktivitet në kuadër të këtij objektivi përfshijnë</w:t>
      </w:r>
      <w:r w:rsidRPr="00ED1C06">
        <w:rPr>
          <w:rFonts w:ascii="Times New Roman" w:eastAsia="Times New Roman" w:hAnsi="Times New Roman" w:cs="Times New Roman"/>
          <w:b/>
        </w:rPr>
        <w:t>:</w:t>
      </w:r>
      <w:r w:rsidRPr="00ED1C06">
        <w:rPr>
          <w:rFonts w:ascii="Times New Roman" w:hAnsi="Times New Roman" w:cs="Times New Roman"/>
        </w:rPr>
        <w:t xml:space="preserve"> Gjatë periudhës 2025-2030 synohet reduktimi sistematik i tepricave të armëve të vogla dhe të lehta municioneve dhe eksplozivëve përmes shkatërrimit të sigurt dhe mjedisor të qëndrueshëm, si dhe metodave të tjera efektive. Gjithashtu, synohet asgjësimi i rregullt, i sigurt dhe transparent i armëve, municioneve dhe eksplozivëve të konfiskuar ose të mbledhur. Për të siguruar një menaxhim të përgjegjshëm dhe të qëndrueshëm, do të forcohen kapacitetet institucionale për menaxhimin e ciklit të jetës së AVL-ve dhe municioneve. Në këtë kuadër, do të garantohen mjedise të sigurta magazinimi, të përshtatura sipas nevojave të identifikuara dhe në përputhje me standardet ndërkombëtare.</w:t>
      </w:r>
    </w:p>
    <w:p w14:paraId="6AEB122B" w14:textId="70B9A574" w:rsidR="002851C8" w:rsidRPr="00ED1C06" w:rsidRDefault="002851C8" w:rsidP="002851C8">
      <w:pPr>
        <w:pStyle w:val="NormalWeb"/>
        <w:spacing w:line="276" w:lineRule="auto"/>
        <w:jc w:val="both"/>
      </w:pPr>
      <w:r w:rsidRPr="00ED1C06">
        <w:rPr>
          <w:b/>
          <w:bCs/>
        </w:rPr>
        <w:t xml:space="preserve">8.1. Objektivi Specifik 5.1: </w:t>
      </w:r>
      <w:r w:rsidRPr="00ED1C06">
        <w:t>Shkatërrimi sistematik i stoqeve të tepërta të AME-ve në një mënyrë jo të dëmshme për mjedisin;</w:t>
      </w:r>
    </w:p>
    <w:p w14:paraId="227711D3" w14:textId="6334C2E3" w:rsidR="002851C8" w:rsidRPr="00ED1C06" w:rsidRDefault="002851C8" w:rsidP="002851C8">
      <w:pPr>
        <w:pStyle w:val="NormalWeb"/>
        <w:spacing w:line="276" w:lineRule="auto"/>
        <w:jc w:val="both"/>
        <w:rPr>
          <w:b/>
          <w:bCs/>
        </w:rPr>
      </w:pPr>
      <w:r w:rsidRPr="00ED1C06">
        <w:rPr>
          <w:b/>
          <w:bCs/>
        </w:rPr>
        <w:t>8.2</w:t>
      </w:r>
      <w:r w:rsidRPr="00ED1C06">
        <w:t xml:space="preserve"> </w:t>
      </w:r>
      <w:r w:rsidRPr="00ED1C06">
        <w:rPr>
          <w:b/>
          <w:bCs/>
        </w:rPr>
        <w:t>Objektivi Specifik 5.2:</w:t>
      </w:r>
      <w:r w:rsidRPr="00ED1C06">
        <w:t xml:space="preserve"> Të kryhet shkatërrimi i AVLE-ve të konfiskuara në mënyrë periodike në përputhje me standardet ndërkombëtare;</w:t>
      </w:r>
      <w:r w:rsidRPr="00ED1C06">
        <w:rPr>
          <w:b/>
          <w:bCs/>
        </w:rPr>
        <w:t xml:space="preserve">  </w:t>
      </w:r>
    </w:p>
    <w:p w14:paraId="565E750F" w14:textId="4BE19311" w:rsidR="00177EB0" w:rsidRPr="00ED1C06" w:rsidRDefault="002851C8" w:rsidP="002851C8">
      <w:pPr>
        <w:pStyle w:val="NormalWeb"/>
        <w:spacing w:line="276" w:lineRule="auto"/>
        <w:jc w:val="both"/>
      </w:pPr>
      <w:r w:rsidRPr="00ED1C06">
        <w:rPr>
          <w:b/>
          <w:bCs/>
        </w:rPr>
        <w:t xml:space="preserve">8.3. Objektivi Specifik 5.3: </w:t>
      </w:r>
      <w:r w:rsidRPr="00ED1C06">
        <w:t>Garantimi i mjediseve të sigurta të magazinimit për AVL-të/armët e zjarrit dhe municionet, të projektuara sipas nevojave të identifikuara dhe në përputhje me standardet ndërkombëtare;</w:t>
      </w:r>
    </w:p>
    <w:p w14:paraId="76286EF1" w14:textId="71D3C982" w:rsidR="006B1F6D" w:rsidRPr="00ED1C06" w:rsidRDefault="002851C8" w:rsidP="00ED1C06">
      <w:pPr>
        <w:pStyle w:val="NormalWeb"/>
        <w:spacing w:line="276" w:lineRule="auto"/>
        <w:jc w:val="both"/>
      </w:pPr>
      <w:r w:rsidRPr="00ED1C06">
        <w:rPr>
          <w:b/>
          <w:bCs/>
        </w:rPr>
        <w:t xml:space="preserve">8.4. </w:t>
      </w:r>
      <w:r w:rsidR="00CA611F" w:rsidRPr="00ED1C06">
        <w:rPr>
          <w:b/>
          <w:bCs/>
        </w:rPr>
        <w:t>Objektivi Specifik 5.4:</w:t>
      </w:r>
      <w:r w:rsidR="00CA611F" w:rsidRPr="00ED1C06">
        <w:t xml:space="preserve"> Ngritja e kapaciteteve të subjekteve juridike përkatëse (prodhues, dyqane riparimi, dyqane shitjeje me pakicë, tregtuesit, poligonet e qitjes, poligonet e gjuetisë, shoqëritë private të sigurisë, qendrat e trajnimit) për të përcaktuar sistemet e inspektimit;</w:t>
      </w:r>
    </w:p>
    <w:p w14:paraId="032BDD18" w14:textId="46061315" w:rsidR="00CA611F" w:rsidRPr="00ED1C06" w:rsidRDefault="00CA611F" w:rsidP="00ED1C06">
      <w:pPr>
        <w:pStyle w:val="NormalWeb"/>
        <w:spacing w:line="276" w:lineRule="auto"/>
        <w:jc w:val="both"/>
        <w:rPr>
          <w:b/>
          <w:bCs/>
          <w:sz w:val="28"/>
          <w:szCs w:val="28"/>
        </w:rPr>
      </w:pPr>
      <w:r w:rsidRPr="00ED1C06">
        <w:rPr>
          <w:b/>
          <w:bCs/>
          <w:sz w:val="28"/>
          <w:szCs w:val="28"/>
        </w:rPr>
        <w:lastRenderedPageBreak/>
        <w:t>9. PJESA III:PROJEKTET</w:t>
      </w:r>
      <w:r w:rsidR="00ED1C06" w:rsidRPr="00ED1C06">
        <w:rPr>
          <w:b/>
          <w:bCs/>
          <w:sz w:val="28"/>
          <w:szCs w:val="28"/>
        </w:rPr>
        <w:t xml:space="preserve"> NË MBËSHTETJE</w:t>
      </w:r>
      <w:r w:rsidRPr="00ED1C06">
        <w:rPr>
          <w:b/>
          <w:bCs/>
          <w:sz w:val="28"/>
          <w:szCs w:val="28"/>
        </w:rPr>
        <w:t xml:space="preserve"> </w:t>
      </w:r>
      <w:r w:rsidR="00ED1C06" w:rsidRPr="00ED1C06">
        <w:rPr>
          <w:b/>
          <w:bCs/>
          <w:sz w:val="28"/>
          <w:szCs w:val="28"/>
        </w:rPr>
        <w:t>TË</w:t>
      </w:r>
      <w:r w:rsidRPr="00ED1C06">
        <w:rPr>
          <w:b/>
          <w:bCs/>
          <w:sz w:val="28"/>
          <w:szCs w:val="28"/>
        </w:rPr>
        <w:t xml:space="preserve"> ZBATIMI</w:t>
      </w:r>
      <w:r w:rsidR="00ED1C06" w:rsidRPr="00ED1C06">
        <w:rPr>
          <w:b/>
          <w:bCs/>
          <w:sz w:val="28"/>
          <w:szCs w:val="28"/>
        </w:rPr>
        <w:t xml:space="preserve">T TË </w:t>
      </w:r>
      <w:r w:rsidRPr="00ED1C06">
        <w:rPr>
          <w:b/>
          <w:bCs/>
          <w:sz w:val="28"/>
          <w:szCs w:val="28"/>
        </w:rPr>
        <w:t>STRATEGJISË</w:t>
      </w:r>
    </w:p>
    <w:p w14:paraId="1B6A319F"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b/>
          <w:bCs/>
          <w:kern w:val="0"/>
          <w14:ligatures w14:val="none"/>
        </w:rPr>
        <w:t xml:space="preserve">Projekti 1: Forcimi i Masave të Sigurisë në Kontrollin e Armëve të Vogla dhe të Lehta në Shqipëri </w:t>
      </w:r>
      <w:r w:rsidRPr="00ED1C06">
        <w:rPr>
          <w:rFonts w:ascii="Times New Roman" w:eastAsia="Times New Roman" w:hAnsi="Times New Roman" w:cs="Times New Roman"/>
          <w:kern w:val="0"/>
          <w14:ligatures w14:val="none"/>
        </w:rPr>
        <w:t>– Projekt vijues</w:t>
      </w:r>
    </w:p>
    <w:p w14:paraId="53FE5057"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i/>
          <w:iCs/>
          <w:kern w:val="0"/>
          <w14:ligatures w14:val="none"/>
        </w:rPr>
        <w:t>Institucioni zbatues:</w:t>
      </w:r>
      <w:r w:rsidRPr="00ED1C06">
        <w:rPr>
          <w:rFonts w:ascii="Times New Roman" w:eastAsia="Times New Roman" w:hAnsi="Times New Roman" w:cs="Times New Roman"/>
          <w:kern w:val="0"/>
          <w14:ligatures w14:val="none"/>
        </w:rPr>
        <w:t xml:space="preserve"> SEESAC</w:t>
      </w:r>
    </w:p>
    <w:p w14:paraId="5E5D008E"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i/>
          <w:iCs/>
          <w:kern w:val="0"/>
          <w14:ligatures w14:val="none"/>
        </w:rPr>
        <w:t xml:space="preserve">Përfitues: </w:t>
      </w:r>
      <w:r w:rsidRPr="00ED1C06">
        <w:rPr>
          <w:rFonts w:ascii="Times New Roman" w:eastAsia="Times New Roman" w:hAnsi="Times New Roman" w:cs="Times New Roman"/>
          <w:kern w:val="0"/>
          <w14:ligatures w14:val="none"/>
        </w:rPr>
        <w:t>Ministria e Brendshme e Republikës së Shqipërisë; Policia e Shtetit</w:t>
      </w:r>
    </w:p>
    <w:p w14:paraId="30EB3775"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i/>
          <w:iCs/>
          <w:kern w:val="0"/>
          <w14:ligatures w14:val="none"/>
        </w:rPr>
        <w:t>Donator:</w:t>
      </w:r>
      <w:r w:rsidRPr="00ED1C06">
        <w:rPr>
          <w:rFonts w:ascii="Times New Roman" w:eastAsia="Times New Roman" w:hAnsi="Times New Roman" w:cs="Times New Roman"/>
          <w:kern w:val="0"/>
          <w14:ligatures w14:val="none"/>
        </w:rPr>
        <w:t xml:space="preserve"> Zyra për Heqjen e Armëve dhe Zbutjen e Pasojave, pranë Byrosë për Çështje Politiko-Ushtarake të Departamentit të Shtetit Amerikan (PM/WRA)</w:t>
      </w:r>
    </w:p>
    <w:p w14:paraId="4ABB3E3F"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i/>
          <w:iCs/>
          <w:kern w:val="0"/>
          <w14:ligatures w14:val="none"/>
        </w:rPr>
        <w:t xml:space="preserve">Kohëzgjatja e projektit: </w:t>
      </w:r>
      <w:r w:rsidRPr="00ED1C06">
        <w:rPr>
          <w:rFonts w:ascii="Times New Roman" w:eastAsia="Times New Roman" w:hAnsi="Times New Roman" w:cs="Times New Roman"/>
          <w:kern w:val="0"/>
          <w14:ligatures w14:val="none"/>
        </w:rPr>
        <w:t>20 shtator 2022 – 19 janar 2026</w:t>
      </w:r>
    </w:p>
    <w:p w14:paraId="0C4FE050"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i/>
          <w:iCs/>
          <w:kern w:val="0"/>
          <w14:ligatures w14:val="none"/>
        </w:rPr>
        <w:t>Vlera totale e financimit:</w:t>
      </w:r>
      <w:r w:rsidRPr="00ED1C06">
        <w:rPr>
          <w:rFonts w:ascii="Times New Roman" w:eastAsia="Times New Roman" w:hAnsi="Times New Roman" w:cs="Times New Roman"/>
          <w:kern w:val="0"/>
          <w14:ligatures w14:val="none"/>
        </w:rPr>
        <w:t xml:space="preserve"> 1,250,000 USD</w:t>
      </w:r>
    </w:p>
    <w:p w14:paraId="6F5D2657"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p>
    <w:p w14:paraId="6394CA2B"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Ky projekt synon të forcojë masat e kontrollit të armëve të vogla dhe të lehta (AVVL), përmes përmirësimit të sigurisë fizike, rritjes së përgjegjshmërisë dhe standardizimit të menaxhimit të stokut në depozitat nën administrimin e Policisë së Shtetit. Ndër ndërhyrjet kryesore përfshihet futja e një sistemi të avancuar me barkod për administrimin dhe gjurmimin e armëve në depozitat qendrore në Mullet, si dhe përmirësimi i masave të sigurisë në trembëdhjetë ambiente prioritare të ruajtjes së provave dhe armëve në territorin e Republikës së Shqipërisë. Këto masa synojnë të adresojnë standardet ndërkombëtare për ruajtjen dhe kontrollin e armëve dhe municioneve.</w:t>
      </w:r>
    </w:p>
    <w:p w14:paraId="5E1CC97B"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Zbatimi i projektit kontribuon drejtpërdrejt në përmirësimin e sigurisë kombëtare dhe rajonale, duke reduktuar rrezikun e përhapjes së pakontrolluar të armëve, shpërthimeve aksidentale dhe përdorimit të tyre në veprimtari kriminale. Brenda kornizës së Planit të Veprimit për AVL në Ballkanin Perëndimor, projekti adreson Objektivin Strategjik nr. 7: “Ulja e ndjeshme e rrezikut të përhapjes dhe devijimit të armëve, municioneve dhe eksplozivëve”. Në përputhje me këtë, është synuar rritja e numrit të strukturave të ruajtjes të cilat i plotësojnë standardet ndërkombëtare të sigurisë.</w:t>
      </w:r>
    </w:p>
    <w:p w14:paraId="116A692D"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p>
    <w:p w14:paraId="3A518FA2"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Deri në tetor 2024, janë kryer vlerësime të detajuara teknike në shumicën e ambienteve të identifikuara për ndërhyrje, ndërkohë që janë zbatuar hapat për realizimin e përmirësimeve të sigurisë. Gjithashtu është finalizuar zhvillimi dhe testimi i modulit të barkodit nga ekspertë IT të projektit në bashkëpunim me ekspertët e caktuar nga përfituesi. Trajnimi për operatorët e magazinës së Mulletit është planifikuar për nëntor 2024, ndërsa pajisjet teknologjike janë prokuruar në gusht 2024. Ndërkohë, janë përgatitur Termat e Referencës për angazhimin e një kompanie profesionale për hartimin dhe mbikëqyrjen e ndërhyrjeve të sigurisë në të gjitha lokacionet përkatëse, si dhe për zhvillimin e moduleve të reja të sistemit SIMA, me tenderimin e planifikuar për dhjetor 2024.</w:t>
      </w:r>
    </w:p>
    <w:p w14:paraId="65FFFABD" w14:textId="77777777" w:rsidR="00ED1C06" w:rsidRPr="00ED1C06" w:rsidRDefault="00ED1C06" w:rsidP="00331472">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ED1C06">
        <w:rPr>
          <w:rFonts w:ascii="Times New Roman" w:eastAsia="Times New Roman" w:hAnsi="Times New Roman" w:cs="Times New Roman"/>
          <w:b/>
          <w:bCs/>
          <w:kern w:val="0"/>
          <w14:ligatures w14:val="none"/>
        </w:rPr>
        <w:t>Projekti 2: Qasje Institucionale e Integruar dhe Forcimi i Bashkëpunimit Ndërkufitar për Kontrollin e AVVL (Faza I)</w:t>
      </w:r>
    </w:p>
    <w:p w14:paraId="28430A0A"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i/>
          <w:iCs/>
          <w:kern w:val="0"/>
          <w14:ligatures w14:val="none"/>
        </w:rPr>
        <w:lastRenderedPageBreak/>
        <w:t>Institucioni zbatues:</w:t>
      </w:r>
      <w:r w:rsidRPr="00ED1C06">
        <w:rPr>
          <w:rFonts w:ascii="Times New Roman" w:eastAsia="Times New Roman" w:hAnsi="Times New Roman" w:cs="Times New Roman"/>
          <w:kern w:val="0"/>
          <w14:ligatures w14:val="none"/>
        </w:rPr>
        <w:t xml:space="preserve"> UNDP Shqipëri</w:t>
      </w:r>
      <w:r w:rsidRPr="00ED1C06">
        <w:rPr>
          <w:rFonts w:ascii="Times New Roman" w:eastAsia="Times New Roman" w:hAnsi="Times New Roman" w:cs="Times New Roman"/>
          <w:kern w:val="0"/>
          <w14:ligatures w14:val="none"/>
        </w:rPr>
        <w:br/>
      </w:r>
      <w:r w:rsidRPr="00ED1C06">
        <w:rPr>
          <w:rFonts w:ascii="Times New Roman" w:eastAsia="Times New Roman" w:hAnsi="Times New Roman" w:cs="Times New Roman"/>
          <w:i/>
          <w:iCs/>
          <w:kern w:val="0"/>
          <w14:ligatures w14:val="none"/>
        </w:rPr>
        <w:t>Periudha e zbatimit:</w:t>
      </w:r>
      <w:r w:rsidRPr="00ED1C06">
        <w:rPr>
          <w:rFonts w:ascii="Times New Roman" w:eastAsia="Times New Roman" w:hAnsi="Times New Roman" w:cs="Times New Roman"/>
          <w:kern w:val="0"/>
          <w14:ligatures w14:val="none"/>
        </w:rPr>
        <w:t xml:space="preserve"> 01 Dhjetor 2023 – 30 Nëntor 2025</w:t>
      </w:r>
      <w:r w:rsidRPr="00ED1C06">
        <w:rPr>
          <w:rFonts w:ascii="Times New Roman" w:eastAsia="Times New Roman" w:hAnsi="Times New Roman" w:cs="Times New Roman"/>
          <w:kern w:val="0"/>
          <w14:ligatures w14:val="none"/>
        </w:rPr>
        <w:br/>
      </w:r>
      <w:r w:rsidRPr="00ED1C06">
        <w:rPr>
          <w:rFonts w:ascii="Times New Roman" w:eastAsia="Times New Roman" w:hAnsi="Times New Roman" w:cs="Times New Roman"/>
          <w:i/>
          <w:iCs/>
          <w:kern w:val="0"/>
          <w14:ligatures w14:val="none"/>
        </w:rPr>
        <w:t>Përfitues:</w:t>
      </w:r>
      <w:r w:rsidRPr="00ED1C06">
        <w:rPr>
          <w:rFonts w:ascii="Times New Roman" w:eastAsia="Times New Roman" w:hAnsi="Times New Roman" w:cs="Times New Roman"/>
          <w:kern w:val="0"/>
          <w14:ligatures w14:val="none"/>
        </w:rPr>
        <w:t xml:space="preserve"> Policia e Shtetit Shqiptar</w:t>
      </w:r>
      <w:r w:rsidRPr="00ED1C06">
        <w:rPr>
          <w:rFonts w:ascii="Times New Roman" w:eastAsia="Times New Roman" w:hAnsi="Times New Roman" w:cs="Times New Roman"/>
          <w:kern w:val="0"/>
          <w14:ligatures w14:val="none"/>
        </w:rPr>
        <w:br/>
      </w:r>
      <w:r w:rsidRPr="00ED1C06">
        <w:rPr>
          <w:rFonts w:ascii="Times New Roman" w:eastAsia="Times New Roman" w:hAnsi="Times New Roman" w:cs="Times New Roman"/>
          <w:i/>
          <w:iCs/>
          <w:kern w:val="0"/>
          <w14:ligatures w14:val="none"/>
        </w:rPr>
        <w:t>Donator:</w:t>
      </w:r>
      <w:r w:rsidRPr="00ED1C06">
        <w:rPr>
          <w:rFonts w:ascii="Times New Roman" w:eastAsia="Times New Roman" w:hAnsi="Times New Roman" w:cs="Times New Roman"/>
          <w:kern w:val="0"/>
          <w14:ligatures w14:val="none"/>
        </w:rPr>
        <w:t xml:space="preserve"> Fondi i Besuar me Shumë Partnerë (Multi-Partner Trust Fund)</w:t>
      </w:r>
      <w:r w:rsidRPr="00ED1C06">
        <w:rPr>
          <w:rFonts w:ascii="Times New Roman" w:eastAsia="Times New Roman" w:hAnsi="Times New Roman" w:cs="Times New Roman"/>
          <w:kern w:val="0"/>
          <w14:ligatures w14:val="none"/>
        </w:rPr>
        <w:br/>
      </w:r>
      <w:r w:rsidRPr="00ED1C06">
        <w:rPr>
          <w:rFonts w:ascii="Times New Roman" w:eastAsia="Times New Roman" w:hAnsi="Times New Roman" w:cs="Times New Roman"/>
          <w:i/>
          <w:iCs/>
          <w:kern w:val="0"/>
          <w14:ligatures w14:val="none"/>
        </w:rPr>
        <w:t>Financimi total:</w:t>
      </w:r>
      <w:r w:rsidRPr="00ED1C06">
        <w:rPr>
          <w:rFonts w:ascii="Times New Roman" w:eastAsia="Times New Roman" w:hAnsi="Times New Roman" w:cs="Times New Roman"/>
          <w:kern w:val="0"/>
          <w14:ligatures w14:val="none"/>
        </w:rPr>
        <w:t xml:space="preserve"> 1,205,490 USD</w:t>
      </w:r>
    </w:p>
    <w:p w14:paraId="2EE4F242"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b/>
          <w:bCs/>
          <w:kern w:val="0"/>
          <w14:ligatures w14:val="none"/>
        </w:rPr>
        <w:t>Qëllimi i Projektit:</w:t>
      </w:r>
      <w:r w:rsidRPr="00ED1C06">
        <w:rPr>
          <w:rFonts w:ascii="Times New Roman" w:eastAsia="Times New Roman" w:hAnsi="Times New Roman" w:cs="Times New Roman"/>
          <w:kern w:val="0"/>
          <w14:ligatures w14:val="none"/>
        </w:rPr>
        <w:t xml:space="preserve"> Të ofrojë mbështetje dhe pajisje për Policinë Kufitare, Institutin e Policisë Shkencore dhe Njësinë e Hetimit të Vendit të Ngjarjes të Kukësit. Projekti synon gjithashtu të forcojë bashkëpunimin ndërkufitar dhe shkëmbimin policor ndërmjet Shqipërisë dhe Kosovës në fushën e kontrollit të AVL-ve, përmes aktiviteteve të përbashkëta me UNDP Kosovë.</w:t>
      </w:r>
    </w:p>
    <w:p w14:paraId="202E928A"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b/>
          <w:bCs/>
          <w:kern w:val="0"/>
          <w14:ligatures w14:val="none"/>
        </w:rPr>
        <w:t>Objektiva dhe Synime Strategjike të Udhërrëfyesit Rajonal (Roadmap):</w:t>
      </w:r>
    </w:p>
    <w:p w14:paraId="35B87354" w14:textId="77777777" w:rsidR="00ED1C06" w:rsidRPr="00ED1C06" w:rsidRDefault="00ED1C06" w:rsidP="00331472">
      <w:pPr>
        <w:numPr>
          <w:ilvl w:val="0"/>
          <w:numId w:val="14"/>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Zbatimi i politikave të bazuara në të dhëna dhe inteligjencë (Objektivi 2);</w:t>
      </w:r>
    </w:p>
    <w:p w14:paraId="002D2407" w14:textId="77777777" w:rsidR="00ED1C06" w:rsidRPr="00ED1C06" w:rsidRDefault="00ED1C06" w:rsidP="00331472">
      <w:pPr>
        <w:numPr>
          <w:ilvl w:val="0"/>
          <w:numId w:val="14"/>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Reduktimi i qarkullimit të paligjshëm të armëve, municioneve dhe eksplozivëve (Objektivi 3);</w:t>
      </w:r>
    </w:p>
    <w:p w14:paraId="5ECBD118" w14:textId="77777777" w:rsidR="00ED1C06" w:rsidRPr="00ED1C06" w:rsidRDefault="00ED1C06" w:rsidP="00331472">
      <w:pPr>
        <w:numPr>
          <w:ilvl w:val="0"/>
          <w:numId w:val="14"/>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Rritja e numrit të sekuestrimeve dhe asgjësimeve (Objektivat 5 dhe 6);</w:t>
      </w:r>
    </w:p>
    <w:p w14:paraId="4C217A88" w14:textId="77777777" w:rsidR="00ED1C06" w:rsidRPr="00ED1C06" w:rsidRDefault="00ED1C06" w:rsidP="00331472">
      <w:pPr>
        <w:numPr>
          <w:ilvl w:val="0"/>
          <w:numId w:val="14"/>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Rritja e ndërgjegjësimit për rreziqet nga armët dhe dhuna në bazë gjinore (Objektivi 4);</w:t>
      </w:r>
    </w:p>
    <w:p w14:paraId="3B66A273" w14:textId="77777777" w:rsidR="00ED1C06" w:rsidRPr="00ED1C06" w:rsidRDefault="00ED1C06" w:rsidP="00331472">
      <w:pPr>
        <w:numPr>
          <w:ilvl w:val="0"/>
          <w:numId w:val="14"/>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Garantimi i ruajtjes së sigurt të armëve dhe municioneve (Objektivi 7).</w:t>
      </w:r>
    </w:p>
    <w:p w14:paraId="6B72F6F5"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b/>
          <w:bCs/>
          <w:kern w:val="0"/>
          <w14:ligatures w14:val="none"/>
        </w:rPr>
        <w:t>Aktivitete të zbatuara deri në vitin 2024:</w:t>
      </w:r>
    </w:p>
    <w:p w14:paraId="34790566" w14:textId="77777777" w:rsidR="00ED1C06" w:rsidRPr="00ED1C06" w:rsidRDefault="00ED1C06" w:rsidP="00331472">
      <w:pPr>
        <w:numPr>
          <w:ilvl w:val="0"/>
          <w:numId w:val="15"/>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Trajnime të përbashkëta me Kosovën për policimin komunitar, kontrollin e AVVL-ve, eksplozivët dhe kornizat ligjore;</w:t>
      </w:r>
    </w:p>
    <w:p w14:paraId="21D0DF37" w14:textId="77777777" w:rsidR="00ED1C06" w:rsidRPr="00ED1C06" w:rsidRDefault="00ED1C06" w:rsidP="00331472">
      <w:pPr>
        <w:numPr>
          <w:ilvl w:val="0"/>
          <w:numId w:val="15"/>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Zhvillimi dhe validimi i kurrikulës kombëtare të trajnimit për AVL;</w:t>
      </w:r>
    </w:p>
    <w:p w14:paraId="65100D8E" w14:textId="77777777" w:rsidR="00ED1C06" w:rsidRPr="00ED1C06" w:rsidRDefault="00ED1C06" w:rsidP="00331472">
      <w:pPr>
        <w:numPr>
          <w:ilvl w:val="0"/>
          <w:numId w:val="15"/>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Pajisja e Policisë Kufitare me mjete teknologjike (kamera termike, skanerë, etj.);</w:t>
      </w:r>
    </w:p>
    <w:p w14:paraId="33E4F2DA" w14:textId="77777777" w:rsidR="00ED1C06" w:rsidRPr="00ED1C06" w:rsidRDefault="00ED1C06" w:rsidP="00331472">
      <w:pPr>
        <w:numPr>
          <w:ilvl w:val="0"/>
          <w:numId w:val="15"/>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Organizimi i fushatave ndërgjegjësuese dhe ngritja e kapaciteteve të zyrave për media dhe informim publik;</w:t>
      </w:r>
    </w:p>
    <w:p w14:paraId="71456F1B" w14:textId="77777777" w:rsidR="00ED1C06" w:rsidRPr="00ED1C06" w:rsidRDefault="00ED1C06" w:rsidP="00331472">
      <w:pPr>
        <w:numPr>
          <w:ilvl w:val="0"/>
          <w:numId w:val="15"/>
        </w:num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Vizita studimore në CEPOL dhe agjencitë forensike në Kroaci.</w:t>
      </w:r>
    </w:p>
    <w:p w14:paraId="0FC45DD1" w14:textId="77777777" w:rsidR="00ED1C06" w:rsidRPr="00ED1C06" w:rsidRDefault="00ED1C06" w:rsidP="00331472">
      <w:pPr>
        <w:numPr>
          <w:ilvl w:val="0"/>
          <w:numId w:val="16"/>
        </w:num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Furnizimi me pajisje për patrullimet në kufirin e gjelbër;</w:t>
      </w:r>
    </w:p>
    <w:p w14:paraId="7B4FC9E7" w14:textId="77777777" w:rsidR="00ED1C06" w:rsidRPr="00ED1C06" w:rsidRDefault="00ED1C06" w:rsidP="00331472">
      <w:pPr>
        <w:numPr>
          <w:ilvl w:val="0"/>
          <w:numId w:val="16"/>
        </w:num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Pajisje hetimore të specializuara për AVVL për Institutin e Policisë Shkencore Shqiptare.</w:t>
      </w:r>
    </w:p>
    <w:p w14:paraId="3F019EDA" w14:textId="77777777" w:rsidR="00ED1C06" w:rsidRPr="00ED1C06" w:rsidRDefault="00ED1C06" w:rsidP="00331472">
      <w:pPr>
        <w:spacing w:before="100" w:beforeAutospacing="1" w:after="100" w:afterAutospacing="1" w:line="276" w:lineRule="auto"/>
        <w:jc w:val="both"/>
        <w:outlineLvl w:val="1"/>
        <w:rPr>
          <w:rFonts w:ascii="Times New Roman" w:eastAsia="Times New Roman" w:hAnsi="Times New Roman" w:cs="Times New Roman"/>
          <w:b/>
          <w:bCs/>
          <w:kern w:val="0"/>
          <w:lang w:val="en-US"/>
          <w14:ligatures w14:val="none"/>
        </w:rPr>
      </w:pPr>
      <w:proofErr w:type="spellStart"/>
      <w:r w:rsidRPr="00ED1C06">
        <w:rPr>
          <w:rFonts w:ascii="Times New Roman" w:eastAsia="Times New Roman" w:hAnsi="Times New Roman" w:cs="Times New Roman"/>
          <w:b/>
          <w:bCs/>
          <w:kern w:val="0"/>
          <w:lang w:val="en-US"/>
          <w14:ligatures w14:val="none"/>
        </w:rPr>
        <w:t>Projekti</w:t>
      </w:r>
      <w:proofErr w:type="spellEnd"/>
      <w:r w:rsidRPr="00ED1C06">
        <w:rPr>
          <w:rFonts w:ascii="Times New Roman" w:eastAsia="Times New Roman" w:hAnsi="Times New Roman" w:cs="Times New Roman"/>
          <w:b/>
          <w:bCs/>
          <w:kern w:val="0"/>
          <w:lang w:val="en-US"/>
          <w14:ligatures w14:val="none"/>
        </w:rPr>
        <w:t xml:space="preserve"> 3: </w:t>
      </w:r>
      <w:proofErr w:type="spellStart"/>
      <w:r w:rsidRPr="00ED1C06">
        <w:rPr>
          <w:rFonts w:ascii="Times New Roman" w:eastAsia="Times New Roman" w:hAnsi="Times New Roman" w:cs="Times New Roman"/>
          <w:b/>
          <w:bCs/>
          <w:kern w:val="0"/>
          <w:lang w:val="en-US"/>
          <w14:ligatures w14:val="none"/>
        </w:rPr>
        <w:t>Ndihmë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Autoriteteve</w:t>
      </w:r>
      <w:proofErr w:type="spellEnd"/>
      <w:r w:rsidRPr="00ED1C06">
        <w:rPr>
          <w:rFonts w:ascii="Times New Roman" w:eastAsia="Times New Roman" w:hAnsi="Times New Roman" w:cs="Times New Roman"/>
          <w:b/>
          <w:bCs/>
          <w:kern w:val="0"/>
          <w:lang w:val="en-US"/>
          <w14:ligatures w14:val="none"/>
        </w:rPr>
        <w:t xml:space="preserve"> Kombëtare </w:t>
      </w:r>
      <w:proofErr w:type="spellStart"/>
      <w:r w:rsidRPr="00ED1C06">
        <w:rPr>
          <w:rFonts w:ascii="Times New Roman" w:eastAsia="Times New Roman" w:hAnsi="Times New Roman" w:cs="Times New Roman"/>
          <w:b/>
          <w:bCs/>
          <w:kern w:val="0"/>
          <w:lang w:val="en-US"/>
          <w14:ligatures w14:val="none"/>
        </w:rPr>
        <w:t>të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Shqipërisë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për</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Uljen</w:t>
      </w:r>
      <w:proofErr w:type="spellEnd"/>
      <w:r w:rsidRPr="00ED1C06">
        <w:rPr>
          <w:rFonts w:ascii="Times New Roman" w:eastAsia="Times New Roman" w:hAnsi="Times New Roman" w:cs="Times New Roman"/>
          <w:b/>
          <w:bCs/>
          <w:kern w:val="0"/>
          <w:lang w:val="en-US"/>
          <w14:ligatures w14:val="none"/>
        </w:rPr>
        <w:t xml:space="preserve"> e </w:t>
      </w:r>
      <w:proofErr w:type="spellStart"/>
      <w:r w:rsidRPr="00ED1C06">
        <w:rPr>
          <w:rFonts w:ascii="Times New Roman" w:eastAsia="Times New Roman" w:hAnsi="Times New Roman" w:cs="Times New Roman"/>
          <w:b/>
          <w:bCs/>
          <w:kern w:val="0"/>
          <w:lang w:val="en-US"/>
          <w14:ligatures w14:val="none"/>
        </w:rPr>
        <w:t>Rrezikut</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të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Përhapjes</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dhe</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Keqpërdorimit</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të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Armëve</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të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Vogla</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dhe</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të</w:t>
      </w:r>
      <w:proofErr w:type="spellEnd"/>
      <w:r w:rsidRPr="00ED1C06">
        <w:rPr>
          <w:rFonts w:ascii="Times New Roman" w:eastAsia="Times New Roman" w:hAnsi="Times New Roman" w:cs="Times New Roman"/>
          <w:b/>
          <w:bCs/>
          <w:kern w:val="0"/>
          <w:lang w:val="en-US"/>
          <w14:ligatures w14:val="none"/>
        </w:rPr>
        <w:t xml:space="preserve"> </w:t>
      </w:r>
      <w:proofErr w:type="spellStart"/>
      <w:r w:rsidRPr="00ED1C06">
        <w:rPr>
          <w:rFonts w:ascii="Times New Roman" w:eastAsia="Times New Roman" w:hAnsi="Times New Roman" w:cs="Times New Roman"/>
          <w:b/>
          <w:bCs/>
          <w:kern w:val="0"/>
          <w:lang w:val="en-US"/>
          <w14:ligatures w14:val="none"/>
        </w:rPr>
        <w:t>Lehta</w:t>
      </w:r>
      <w:proofErr w:type="spellEnd"/>
      <w:r w:rsidRPr="00ED1C06">
        <w:rPr>
          <w:rFonts w:ascii="Times New Roman" w:eastAsia="Times New Roman" w:hAnsi="Times New Roman" w:cs="Times New Roman"/>
          <w:b/>
          <w:bCs/>
          <w:kern w:val="0"/>
          <w:lang w:val="en-US"/>
          <w14:ligatures w14:val="none"/>
        </w:rPr>
        <w:t xml:space="preserve"> (SALW)</w:t>
      </w:r>
    </w:p>
    <w:p w14:paraId="3C37D575" w14:textId="77777777" w:rsidR="00ED1C06" w:rsidRPr="00ED1C06" w:rsidRDefault="00ED1C06" w:rsidP="00331472">
      <w:pPr>
        <w:spacing w:after="0" w:line="276" w:lineRule="auto"/>
        <w:jc w:val="both"/>
        <w:rPr>
          <w:rFonts w:ascii="Times New Roman" w:eastAsia="Times New Roman" w:hAnsi="Times New Roman" w:cs="Times New Roman"/>
          <w:kern w:val="0"/>
          <w:lang w:val="en-US"/>
          <w14:ligatures w14:val="none"/>
        </w:rPr>
      </w:pPr>
      <w:proofErr w:type="spellStart"/>
      <w:r w:rsidRPr="00ED1C06">
        <w:rPr>
          <w:rFonts w:ascii="Times New Roman" w:eastAsia="Times New Roman" w:hAnsi="Times New Roman" w:cs="Times New Roman"/>
          <w:i/>
          <w:iCs/>
          <w:kern w:val="0"/>
          <w:lang w:val="en-US"/>
          <w14:ligatures w14:val="none"/>
        </w:rPr>
        <w:t>Institucioni</w:t>
      </w:r>
      <w:proofErr w:type="spellEnd"/>
      <w:r w:rsidRPr="00ED1C06">
        <w:rPr>
          <w:rFonts w:ascii="Times New Roman" w:eastAsia="Times New Roman" w:hAnsi="Times New Roman" w:cs="Times New Roman"/>
          <w:i/>
          <w:iCs/>
          <w:kern w:val="0"/>
          <w:lang w:val="en-US"/>
          <w14:ligatures w14:val="none"/>
        </w:rPr>
        <w:t xml:space="preserve"> </w:t>
      </w:r>
      <w:proofErr w:type="spellStart"/>
      <w:r w:rsidRPr="00ED1C06">
        <w:rPr>
          <w:rFonts w:ascii="Times New Roman" w:eastAsia="Times New Roman" w:hAnsi="Times New Roman" w:cs="Times New Roman"/>
          <w:i/>
          <w:iCs/>
          <w:kern w:val="0"/>
          <w:lang w:val="en-US"/>
          <w14:ligatures w14:val="none"/>
        </w:rPr>
        <w:t>zbatues</w:t>
      </w:r>
      <w:proofErr w:type="spellEnd"/>
      <w:r w:rsidRPr="00ED1C06">
        <w:rPr>
          <w:rFonts w:ascii="Times New Roman" w:eastAsia="Times New Roman" w:hAnsi="Times New Roman" w:cs="Times New Roman"/>
          <w:i/>
          <w:iCs/>
          <w:kern w:val="0"/>
          <w:lang w:val="en-US"/>
          <w14:ligatures w14:val="none"/>
        </w:rPr>
        <w:t>:</w:t>
      </w:r>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Misioni</w:t>
      </w:r>
      <w:proofErr w:type="spellEnd"/>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i</w:t>
      </w:r>
      <w:proofErr w:type="spellEnd"/>
      <w:r w:rsidRPr="00ED1C06">
        <w:rPr>
          <w:rFonts w:ascii="Times New Roman" w:eastAsia="Times New Roman" w:hAnsi="Times New Roman" w:cs="Times New Roman"/>
          <w:kern w:val="0"/>
          <w:lang w:val="en-US"/>
          <w14:ligatures w14:val="none"/>
        </w:rPr>
        <w:t xml:space="preserve"> OSBE-</w:t>
      </w:r>
      <w:proofErr w:type="spellStart"/>
      <w:r w:rsidRPr="00ED1C06">
        <w:rPr>
          <w:rFonts w:ascii="Times New Roman" w:eastAsia="Times New Roman" w:hAnsi="Times New Roman" w:cs="Times New Roman"/>
          <w:kern w:val="0"/>
          <w:lang w:val="en-US"/>
          <w14:ligatures w14:val="none"/>
        </w:rPr>
        <w:t>së</w:t>
      </w:r>
      <w:proofErr w:type="spellEnd"/>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në</w:t>
      </w:r>
      <w:proofErr w:type="spellEnd"/>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Shqipëri</w:t>
      </w:r>
      <w:proofErr w:type="spellEnd"/>
      <w:r w:rsidRPr="00ED1C06">
        <w:rPr>
          <w:rFonts w:ascii="Times New Roman" w:eastAsia="Times New Roman" w:hAnsi="Times New Roman" w:cs="Times New Roman"/>
          <w:kern w:val="0"/>
          <w:lang w:val="en-US"/>
          <w14:ligatures w14:val="none"/>
        </w:rPr>
        <w:br/>
      </w:r>
      <w:proofErr w:type="spellStart"/>
      <w:r w:rsidRPr="00ED1C06">
        <w:rPr>
          <w:rFonts w:ascii="Times New Roman" w:eastAsia="Times New Roman" w:hAnsi="Times New Roman" w:cs="Times New Roman"/>
          <w:i/>
          <w:iCs/>
          <w:kern w:val="0"/>
          <w:lang w:val="en-US"/>
          <w14:ligatures w14:val="none"/>
        </w:rPr>
        <w:t>Periudha</w:t>
      </w:r>
      <w:proofErr w:type="spellEnd"/>
      <w:r w:rsidRPr="00ED1C06">
        <w:rPr>
          <w:rFonts w:ascii="Times New Roman" w:eastAsia="Times New Roman" w:hAnsi="Times New Roman" w:cs="Times New Roman"/>
          <w:i/>
          <w:iCs/>
          <w:kern w:val="0"/>
          <w:lang w:val="en-US"/>
          <w14:ligatures w14:val="none"/>
        </w:rPr>
        <w:t xml:space="preserve"> e </w:t>
      </w:r>
      <w:proofErr w:type="spellStart"/>
      <w:r w:rsidRPr="00ED1C06">
        <w:rPr>
          <w:rFonts w:ascii="Times New Roman" w:eastAsia="Times New Roman" w:hAnsi="Times New Roman" w:cs="Times New Roman"/>
          <w:i/>
          <w:iCs/>
          <w:kern w:val="0"/>
          <w:lang w:val="en-US"/>
          <w14:ligatures w14:val="none"/>
        </w:rPr>
        <w:t>zbatimit</w:t>
      </w:r>
      <w:proofErr w:type="spellEnd"/>
      <w:r w:rsidRPr="00ED1C06">
        <w:rPr>
          <w:rFonts w:ascii="Times New Roman" w:eastAsia="Times New Roman" w:hAnsi="Times New Roman" w:cs="Times New Roman"/>
          <w:i/>
          <w:iCs/>
          <w:kern w:val="0"/>
          <w:lang w:val="en-US"/>
          <w14:ligatures w14:val="none"/>
        </w:rPr>
        <w:t>:</w:t>
      </w:r>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Gusht</w:t>
      </w:r>
      <w:proofErr w:type="spellEnd"/>
      <w:r w:rsidRPr="00ED1C06">
        <w:rPr>
          <w:rFonts w:ascii="Times New Roman" w:eastAsia="Times New Roman" w:hAnsi="Times New Roman" w:cs="Times New Roman"/>
          <w:kern w:val="0"/>
          <w:lang w:val="en-US"/>
          <w14:ligatures w14:val="none"/>
        </w:rPr>
        <w:t xml:space="preserve"> 2021 – </w:t>
      </w:r>
      <w:proofErr w:type="spellStart"/>
      <w:r w:rsidRPr="00ED1C06">
        <w:rPr>
          <w:rFonts w:ascii="Times New Roman" w:eastAsia="Times New Roman" w:hAnsi="Times New Roman" w:cs="Times New Roman"/>
          <w:kern w:val="0"/>
          <w:lang w:val="en-US"/>
          <w14:ligatures w14:val="none"/>
        </w:rPr>
        <w:t>Qershor</w:t>
      </w:r>
      <w:proofErr w:type="spellEnd"/>
      <w:r w:rsidRPr="00ED1C06">
        <w:rPr>
          <w:rFonts w:ascii="Times New Roman" w:eastAsia="Times New Roman" w:hAnsi="Times New Roman" w:cs="Times New Roman"/>
          <w:kern w:val="0"/>
          <w:lang w:val="en-US"/>
          <w14:ligatures w14:val="none"/>
        </w:rPr>
        <w:t xml:space="preserve"> 2026</w:t>
      </w:r>
      <w:r w:rsidRPr="00ED1C06">
        <w:rPr>
          <w:rFonts w:ascii="Times New Roman" w:eastAsia="Times New Roman" w:hAnsi="Times New Roman" w:cs="Times New Roman"/>
          <w:kern w:val="0"/>
          <w:lang w:val="en-US"/>
          <w14:ligatures w14:val="none"/>
        </w:rPr>
        <w:br/>
      </w:r>
      <w:proofErr w:type="spellStart"/>
      <w:r w:rsidRPr="00ED1C06">
        <w:rPr>
          <w:rFonts w:ascii="Times New Roman" w:eastAsia="Times New Roman" w:hAnsi="Times New Roman" w:cs="Times New Roman"/>
          <w:i/>
          <w:iCs/>
          <w:kern w:val="0"/>
          <w:lang w:val="en-US"/>
          <w14:ligatures w14:val="none"/>
        </w:rPr>
        <w:t>Përfitues</w:t>
      </w:r>
      <w:proofErr w:type="spellEnd"/>
      <w:r w:rsidRPr="00ED1C06">
        <w:rPr>
          <w:rFonts w:ascii="Times New Roman" w:eastAsia="Times New Roman" w:hAnsi="Times New Roman" w:cs="Times New Roman"/>
          <w:i/>
          <w:iCs/>
          <w:kern w:val="0"/>
          <w:lang w:val="en-US"/>
          <w14:ligatures w14:val="none"/>
        </w:rPr>
        <w:t>:</w:t>
      </w:r>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Ministria</w:t>
      </w:r>
      <w:proofErr w:type="spellEnd"/>
      <w:r w:rsidRPr="00ED1C06">
        <w:rPr>
          <w:rFonts w:ascii="Times New Roman" w:eastAsia="Times New Roman" w:hAnsi="Times New Roman" w:cs="Times New Roman"/>
          <w:kern w:val="0"/>
          <w:lang w:val="en-US"/>
          <w14:ligatures w14:val="none"/>
        </w:rPr>
        <w:t xml:space="preserve"> e </w:t>
      </w:r>
      <w:proofErr w:type="spellStart"/>
      <w:r w:rsidRPr="00ED1C06">
        <w:rPr>
          <w:rFonts w:ascii="Times New Roman" w:eastAsia="Times New Roman" w:hAnsi="Times New Roman" w:cs="Times New Roman"/>
          <w:kern w:val="0"/>
          <w:lang w:val="en-US"/>
          <w14:ligatures w14:val="none"/>
        </w:rPr>
        <w:t>Brendshme</w:t>
      </w:r>
      <w:proofErr w:type="spellEnd"/>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dhe</w:t>
      </w:r>
      <w:proofErr w:type="spellEnd"/>
      <w:r w:rsidRPr="00ED1C06">
        <w:rPr>
          <w:rFonts w:ascii="Times New Roman" w:eastAsia="Times New Roman" w:hAnsi="Times New Roman" w:cs="Times New Roman"/>
          <w:kern w:val="0"/>
          <w:lang w:val="en-US"/>
          <w14:ligatures w14:val="none"/>
        </w:rPr>
        <w:t xml:space="preserve"> Policia e </w:t>
      </w:r>
      <w:proofErr w:type="spellStart"/>
      <w:r w:rsidRPr="00ED1C06">
        <w:rPr>
          <w:rFonts w:ascii="Times New Roman" w:eastAsia="Times New Roman" w:hAnsi="Times New Roman" w:cs="Times New Roman"/>
          <w:kern w:val="0"/>
          <w:lang w:val="en-US"/>
          <w14:ligatures w14:val="none"/>
        </w:rPr>
        <w:t>Shtetit</w:t>
      </w:r>
      <w:proofErr w:type="spellEnd"/>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Ministritë</w:t>
      </w:r>
      <w:proofErr w:type="spellEnd"/>
      <w:r w:rsidRPr="00ED1C06">
        <w:rPr>
          <w:rFonts w:ascii="Times New Roman" w:eastAsia="Times New Roman" w:hAnsi="Times New Roman" w:cs="Times New Roman"/>
          <w:kern w:val="0"/>
          <w:lang w:val="en-US"/>
          <w14:ligatures w14:val="none"/>
        </w:rPr>
        <w:t xml:space="preserve"> e </w:t>
      </w:r>
      <w:proofErr w:type="spellStart"/>
      <w:r w:rsidRPr="00ED1C06">
        <w:rPr>
          <w:rFonts w:ascii="Times New Roman" w:eastAsia="Times New Roman" w:hAnsi="Times New Roman" w:cs="Times New Roman"/>
          <w:kern w:val="0"/>
          <w:lang w:val="en-US"/>
          <w14:ligatures w14:val="none"/>
        </w:rPr>
        <w:t>Linjës</w:t>
      </w:r>
      <w:proofErr w:type="spellEnd"/>
      <w:r w:rsidRPr="00ED1C06">
        <w:rPr>
          <w:rFonts w:ascii="Times New Roman" w:eastAsia="Times New Roman" w:hAnsi="Times New Roman" w:cs="Times New Roman"/>
          <w:kern w:val="0"/>
          <w:lang w:val="en-US"/>
          <w14:ligatures w14:val="none"/>
        </w:rPr>
        <w:t xml:space="preserve">, Media </w:t>
      </w:r>
      <w:proofErr w:type="spellStart"/>
      <w:r w:rsidRPr="00ED1C06">
        <w:rPr>
          <w:rFonts w:ascii="Times New Roman" w:eastAsia="Times New Roman" w:hAnsi="Times New Roman" w:cs="Times New Roman"/>
          <w:kern w:val="0"/>
          <w:lang w:val="en-US"/>
          <w14:ligatures w14:val="none"/>
        </w:rPr>
        <w:t>dhe</w:t>
      </w:r>
      <w:proofErr w:type="spellEnd"/>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Qytetarët</w:t>
      </w:r>
      <w:proofErr w:type="spellEnd"/>
    </w:p>
    <w:p w14:paraId="4504AF30" w14:textId="77777777" w:rsidR="00ED1C06" w:rsidRPr="00ED1C06" w:rsidRDefault="00ED1C06" w:rsidP="00331472">
      <w:pPr>
        <w:spacing w:after="0" w:line="276" w:lineRule="auto"/>
        <w:jc w:val="both"/>
        <w:rPr>
          <w:rFonts w:ascii="Times New Roman" w:eastAsia="Times New Roman" w:hAnsi="Times New Roman" w:cs="Times New Roman"/>
          <w:kern w:val="0"/>
          <w:lang w:val="en-US"/>
          <w14:ligatures w14:val="none"/>
        </w:rPr>
      </w:pPr>
      <w:proofErr w:type="spellStart"/>
      <w:r w:rsidRPr="00ED1C06">
        <w:rPr>
          <w:rFonts w:ascii="Times New Roman" w:eastAsia="Times New Roman" w:hAnsi="Times New Roman" w:cs="Times New Roman"/>
          <w:i/>
          <w:iCs/>
          <w:kern w:val="0"/>
          <w:lang w:val="en-US"/>
          <w14:ligatures w14:val="none"/>
        </w:rPr>
        <w:t>Donatorë</w:t>
      </w:r>
      <w:proofErr w:type="spellEnd"/>
      <w:r w:rsidRPr="00ED1C06">
        <w:rPr>
          <w:rFonts w:ascii="Times New Roman" w:eastAsia="Times New Roman" w:hAnsi="Times New Roman" w:cs="Times New Roman"/>
          <w:i/>
          <w:iCs/>
          <w:kern w:val="0"/>
          <w:lang w:val="en-US"/>
          <w14:ligatures w14:val="none"/>
        </w:rPr>
        <w:t>:</w:t>
      </w:r>
      <w:r w:rsidRPr="00ED1C06">
        <w:rPr>
          <w:rFonts w:ascii="Times New Roman" w:eastAsia="Times New Roman" w:hAnsi="Times New Roman" w:cs="Times New Roman"/>
          <w:kern w:val="0"/>
          <w:lang w:val="en-US"/>
          <w14:ligatures w14:val="none"/>
        </w:rPr>
        <w:t xml:space="preserve"> </w:t>
      </w:r>
      <w:proofErr w:type="spellStart"/>
      <w:r w:rsidRPr="00ED1C06">
        <w:rPr>
          <w:rFonts w:ascii="Times New Roman" w:eastAsia="Times New Roman" w:hAnsi="Times New Roman" w:cs="Times New Roman"/>
          <w:kern w:val="0"/>
          <w:lang w:val="en-US"/>
          <w14:ligatures w14:val="none"/>
        </w:rPr>
        <w:t>Gjermania</w:t>
      </w:r>
      <w:proofErr w:type="spellEnd"/>
      <w:r w:rsidRPr="00ED1C06">
        <w:rPr>
          <w:rFonts w:ascii="Times New Roman" w:eastAsia="Times New Roman" w:hAnsi="Times New Roman" w:cs="Times New Roman"/>
          <w:kern w:val="0"/>
          <w:lang w:val="en-US"/>
          <w14:ligatures w14:val="none"/>
        </w:rPr>
        <w:t xml:space="preserve">, Franca, Bashkimi </w:t>
      </w:r>
      <w:proofErr w:type="spellStart"/>
      <w:r w:rsidRPr="00ED1C06">
        <w:rPr>
          <w:rFonts w:ascii="Times New Roman" w:eastAsia="Times New Roman" w:hAnsi="Times New Roman" w:cs="Times New Roman"/>
          <w:kern w:val="0"/>
          <w:lang w:val="en-US"/>
          <w14:ligatures w14:val="none"/>
        </w:rPr>
        <w:t>Evropian</w:t>
      </w:r>
      <w:proofErr w:type="spellEnd"/>
      <w:r w:rsidRPr="00ED1C06">
        <w:rPr>
          <w:rFonts w:ascii="Times New Roman" w:eastAsia="Times New Roman" w:hAnsi="Times New Roman" w:cs="Times New Roman"/>
          <w:kern w:val="0"/>
          <w:lang w:val="en-US"/>
          <w14:ligatures w14:val="none"/>
        </w:rPr>
        <w:br/>
      </w:r>
      <w:r w:rsidRPr="00ED1C06">
        <w:rPr>
          <w:rFonts w:ascii="Times New Roman" w:eastAsia="Times New Roman" w:hAnsi="Times New Roman" w:cs="Times New Roman"/>
          <w:i/>
          <w:iCs/>
          <w:kern w:val="0"/>
          <w:lang w:val="en-US"/>
          <w14:ligatures w14:val="none"/>
        </w:rPr>
        <w:t xml:space="preserve">Shuma </w:t>
      </w:r>
      <w:proofErr w:type="spellStart"/>
      <w:r w:rsidRPr="00ED1C06">
        <w:rPr>
          <w:rFonts w:ascii="Times New Roman" w:eastAsia="Times New Roman" w:hAnsi="Times New Roman" w:cs="Times New Roman"/>
          <w:i/>
          <w:iCs/>
          <w:kern w:val="0"/>
          <w:lang w:val="en-US"/>
          <w14:ligatures w14:val="none"/>
        </w:rPr>
        <w:t>totale</w:t>
      </w:r>
      <w:proofErr w:type="spellEnd"/>
      <w:r w:rsidRPr="00ED1C06">
        <w:rPr>
          <w:rFonts w:ascii="Times New Roman" w:eastAsia="Times New Roman" w:hAnsi="Times New Roman" w:cs="Times New Roman"/>
          <w:i/>
          <w:iCs/>
          <w:kern w:val="0"/>
          <w:lang w:val="en-US"/>
          <w14:ligatures w14:val="none"/>
        </w:rPr>
        <w:t xml:space="preserve"> e </w:t>
      </w:r>
      <w:proofErr w:type="spellStart"/>
      <w:r w:rsidRPr="00ED1C06">
        <w:rPr>
          <w:rFonts w:ascii="Times New Roman" w:eastAsia="Times New Roman" w:hAnsi="Times New Roman" w:cs="Times New Roman"/>
          <w:i/>
          <w:iCs/>
          <w:kern w:val="0"/>
          <w:lang w:val="en-US"/>
          <w14:ligatures w14:val="none"/>
        </w:rPr>
        <w:t>financimit</w:t>
      </w:r>
      <w:proofErr w:type="spellEnd"/>
      <w:r w:rsidRPr="00ED1C06">
        <w:rPr>
          <w:rFonts w:ascii="Times New Roman" w:eastAsia="Times New Roman" w:hAnsi="Times New Roman" w:cs="Times New Roman"/>
          <w:i/>
          <w:iCs/>
          <w:kern w:val="0"/>
          <w:lang w:val="en-US"/>
          <w14:ligatures w14:val="none"/>
        </w:rPr>
        <w:t>:</w:t>
      </w:r>
      <w:r w:rsidRPr="00ED1C06">
        <w:rPr>
          <w:rFonts w:ascii="Times New Roman" w:eastAsia="Times New Roman" w:hAnsi="Times New Roman" w:cs="Times New Roman"/>
          <w:kern w:val="0"/>
          <w:lang w:val="en-US"/>
          <w14:ligatures w14:val="none"/>
        </w:rPr>
        <w:t xml:space="preserve"> 1,998,883 EUR</w:t>
      </w:r>
      <w:r w:rsidRPr="00ED1C06">
        <w:rPr>
          <w:rFonts w:ascii="Times New Roman" w:eastAsia="Times New Roman" w:hAnsi="Times New Roman" w:cs="Times New Roman"/>
          <w:kern w:val="0"/>
          <w:lang w:val="en-US"/>
          <w14:ligatures w14:val="none"/>
        </w:rPr>
        <w:br/>
      </w:r>
      <w:proofErr w:type="spellStart"/>
      <w:r w:rsidRPr="00ED1C06">
        <w:rPr>
          <w:rFonts w:ascii="Times New Roman" w:eastAsia="Times New Roman" w:hAnsi="Times New Roman" w:cs="Times New Roman"/>
          <w:i/>
          <w:iCs/>
          <w:kern w:val="0"/>
          <w:lang w:val="en-US"/>
          <w14:ligatures w14:val="none"/>
        </w:rPr>
        <w:t>Mungesa</w:t>
      </w:r>
      <w:proofErr w:type="spellEnd"/>
      <w:r w:rsidRPr="00ED1C06">
        <w:rPr>
          <w:rFonts w:ascii="Times New Roman" w:eastAsia="Times New Roman" w:hAnsi="Times New Roman" w:cs="Times New Roman"/>
          <w:i/>
          <w:iCs/>
          <w:kern w:val="0"/>
          <w:lang w:val="en-US"/>
          <w14:ligatures w14:val="none"/>
        </w:rPr>
        <w:t xml:space="preserve"> </w:t>
      </w:r>
      <w:proofErr w:type="spellStart"/>
      <w:r w:rsidRPr="00ED1C06">
        <w:rPr>
          <w:rFonts w:ascii="Times New Roman" w:eastAsia="Times New Roman" w:hAnsi="Times New Roman" w:cs="Times New Roman"/>
          <w:i/>
          <w:iCs/>
          <w:kern w:val="0"/>
          <w:lang w:val="en-US"/>
          <w14:ligatures w14:val="none"/>
        </w:rPr>
        <w:t>në</w:t>
      </w:r>
      <w:proofErr w:type="spellEnd"/>
      <w:r w:rsidRPr="00ED1C06">
        <w:rPr>
          <w:rFonts w:ascii="Times New Roman" w:eastAsia="Times New Roman" w:hAnsi="Times New Roman" w:cs="Times New Roman"/>
          <w:i/>
          <w:iCs/>
          <w:kern w:val="0"/>
          <w:lang w:val="en-US"/>
          <w14:ligatures w14:val="none"/>
        </w:rPr>
        <w:t xml:space="preserve"> </w:t>
      </w:r>
      <w:proofErr w:type="spellStart"/>
      <w:r w:rsidRPr="00ED1C06">
        <w:rPr>
          <w:rFonts w:ascii="Times New Roman" w:eastAsia="Times New Roman" w:hAnsi="Times New Roman" w:cs="Times New Roman"/>
          <w:i/>
          <w:iCs/>
          <w:kern w:val="0"/>
          <w:lang w:val="en-US"/>
          <w14:ligatures w14:val="none"/>
        </w:rPr>
        <w:t>financim</w:t>
      </w:r>
      <w:proofErr w:type="spellEnd"/>
      <w:r w:rsidRPr="00ED1C06">
        <w:rPr>
          <w:rFonts w:ascii="Times New Roman" w:eastAsia="Times New Roman" w:hAnsi="Times New Roman" w:cs="Times New Roman"/>
          <w:i/>
          <w:iCs/>
          <w:kern w:val="0"/>
          <w:lang w:val="en-US"/>
          <w14:ligatures w14:val="none"/>
        </w:rPr>
        <w:t xml:space="preserve"> (gap):</w:t>
      </w:r>
      <w:r w:rsidRPr="00ED1C06">
        <w:rPr>
          <w:rFonts w:ascii="Times New Roman" w:eastAsia="Times New Roman" w:hAnsi="Times New Roman" w:cs="Times New Roman"/>
          <w:kern w:val="0"/>
          <w:lang w:val="en-US"/>
          <w14:ligatures w14:val="none"/>
        </w:rPr>
        <w:t xml:space="preserve"> 422,324 EUR</w:t>
      </w:r>
    </w:p>
    <w:p w14:paraId="5FC19B6D" w14:textId="77777777" w:rsidR="00ED1C06" w:rsidRPr="00ED1C06" w:rsidRDefault="00ED1C06" w:rsidP="00331472">
      <w:pPr>
        <w:spacing w:after="0" w:line="276" w:lineRule="auto"/>
        <w:jc w:val="both"/>
        <w:rPr>
          <w:rFonts w:ascii="Times New Roman" w:eastAsia="Times New Roman" w:hAnsi="Times New Roman" w:cs="Times New Roman"/>
          <w:kern w:val="0"/>
          <w:lang w:val="en-US"/>
          <w14:ligatures w14:val="none"/>
        </w:rPr>
      </w:pPr>
    </w:p>
    <w:p w14:paraId="2174A062"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Projekti i OSBE-së “Asistenca për Autoritetet Kombëtare për Reduktimin e Rrezikut nga Përhapja dhe Keqpërdorimi i Armëve të Vogla dhe të Lehta (AVL)”</w:t>
      </w:r>
      <w:r w:rsidRPr="00ED1C06">
        <w:rPr>
          <w:rFonts w:ascii="Times New Roman" w:eastAsia="Times New Roman" w:hAnsi="Times New Roman" w:cs="Times New Roman"/>
          <w:b/>
          <w:bCs/>
          <w:kern w:val="0"/>
          <w14:ligatures w14:val="none"/>
        </w:rPr>
        <w:t xml:space="preserve"> </w:t>
      </w:r>
      <w:r w:rsidRPr="00ED1C06">
        <w:rPr>
          <w:rFonts w:ascii="Times New Roman" w:eastAsia="Times New Roman" w:hAnsi="Times New Roman" w:cs="Times New Roman"/>
          <w:kern w:val="0"/>
          <w14:ligatures w14:val="none"/>
        </w:rPr>
        <w:t>synon forcimin e kapaciteteve të Ministrisë së Brendshme dhe Policisë së Shtetit përmes asistencës teknike, pajisjeve dhe ngritjes së infrastrukturës në fushën e kontrollit dhe mos-përhapjes së AVL. Me mbështetjen e Gjermanisë, Francës dhe Bashkimit Evropian, projekti përqendrohet në tre shtylla kryesore: përmirësimin e kuadrit ligjor për çaktivizimin e armëve, modernizimin e njësive K9 për zbulimin e AVL, municioneve dhe eksplozivëve, si dhe rritjen e ndërgjegjësimit publik mbi rreziqet që lidhen me keqpërdorimin e armëve.</w:t>
      </w:r>
    </w:p>
    <w:p w14:paraId="123985C7"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p>
    <w:p w14:paraId="43CDE348"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Gjatë zbatimit të projektit janë përgatitur manuale trajnimi, janë zhvilluar trajnime për çaktivizimin e armëve dhe janë integruar këto module në kurrikulat e Akademisë së Sigurisë. Po mbështetet ngritja e një qendre kombëtare për çaktivizimin e AVL dhe janë realizuar përmirësime infrastrukturore në Institutin e Trajnimit të Njësisë K9, përfshirë ndërtimin e ambienteve të reja dhe pajisjen me mjete të specializuara, si dhe zhvillimin e një Master Plani për njësitë K9. Janë organizuar gjithashtu vizita studimore dhe ngjarje rajonale për shkëmbimin e përvojave dhe praktikave më të mira.</w:t>
      </w:r>
    </w:p>
    <w:p w14:paraId="4C951FA4"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p>
    <w:p w14:paraId="0FEBB24B"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Një komponent i rëndësishëm i projektit është edhe ndërgjegjësimi publik. Në  këtë kuadër janë zhvilluar dy fushata të mëdha kombëtare me fokus te të rinjtë dhe dhuna me bazë gjinore, të cilat kanë arritur mbi 2 milion qytetarë nëpërmjet aktiviteteve edukative dhe mesazheve mediatike. Gjithashtu janë realizuar aktivitete të përbashkëta me shoqërinë civile, shkollat dhe autoritetet vendore në disa qytete, si dhe janë organizuar vizita shkëmbimi me gazetarë dhe ekspertë të sigurisë për të rritur cilësinë e raportimit mbi AVL. Projekti gjithashtu ka integruar një strategji gjinore dhe materiale promovuese për nxitjen e pjesëmarrjes së grave në fushën e sigurisë.</w:t>
      </w:r>
    </w:p>
    <w:p w14:paraId="6023A74F"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p>
    <w:p w14:paraId="52D66727" w14:textId="77777777" w:rsidR="00ED1C06" w:rsidRPr="00ED1C06" w:rsidRDefault="00ED1C06" w:rsidP="00331472">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ED1C06">
        <w:rPr>
          <w:rFonts w:ascii="Times New Roman" w:eastAsia="Times New Roman" w:hAnsi="Times New Roman" w:cs="Times New Roman"/>
          <w:b/>
          <w:bCs/>
          <w:kern w:val="0"/>
          <w14:ligatures w14:val="none"/>
        </w:rPr>
        <w:t>Projekti 4: Justitia – Forcimi i Përgjigjes së Drejtësisë Penale ndaj Trafikimit të Armëve në Ballkanin Perëndimor</w:t>
      </w:r>
    </w:p>
    <w:p w14:paraId="06401AC3"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Projekti Justitia, i zbatuar nga UNODC, është projekt vijues bazuar në iniciativën e mëparshme (2020–2023) dhe synon të rrisë kapacitetet e sistemit të drejtësisë penale në juridiksionet e Ballkanit Perëndimor për të luftuar në mënyrë efektive krimin e organizuar dhe trafikimin e paligjshëm të armëve. Projekti fokusohet në harmonizimin e legjislacionit penal me Protokollin e Kombeve të Bashkuara mbi armët, përmirësimin e aftësive të praktikantëve të drejtësisë penale dhe nxitjen e bashkëpunimit rajonal për një përgjigje të unifikuar dhe efektive ligjore, në përputhje me qëllimet e Udhërrëfyesit Rajonal për Kontrollin e Armëve të Vogla dhe të Lehta (AVL).</w:t>
      </w:r>
    </w:p>
    <w:p w14:paraId="644F6B47"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 xml:space="preserve">Që nga fillimi i tij, projekti ka organizuar konferenca dhe seminare rajonale mbi harmonizimin e legjislacionit, praktikat gjyqësore dhe përdorimin e masave speciale hetimore në çështjet e armëve. Gjithashtu janë zhvilluar vizita studimore në Gjykatën Evropiane për të Drejtat e Njeriut dhe </w:t>
      </w:r>
      <w:r w:rsidRPr="00ED1C06">
        <w:rPr>
          <w:rFonts w:ascii="Times New Roman" w:eastAsia="Times New Roman" w:hAnsi="Times New Roman" w:cs="Times New Roman"/>
          <w:kern w:val="0"/>
          <w14:ligatures w14:val="none"/>
        </w:rPr>
        <w:lastRenderedPageBreak/>
        <w:t>institucione gjyqësore në Francë për shkëmbim eksperiencash. Njëkohësisht janë përgatitur dhe dorëzuar materiale trajnimi për prokurorë dhe gjyqtarë, dhe është përditësuar koleksioni i rasteve gjyqësore mbi armët në juridiksionet kryesore.</w:t>
      </w:r>
    </w:p>
    <w:p w14:paraId="55D364B9"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Aktivitetet deri në fund të vitit 2024 përfshijnë takime rajonale mbi harmonizimin e legjislacionit penal, seminare të specializuara mbi jurisprudencën për armët dhe trajnim të vazhdueshëm për gjyqtarët, me qëllim forcimin e ndjekjes penale dhe gjykimit të veprave penale lidhur me armët. Projekti synon të sigurojë përgjigje të qëndrueshme dhe të harmonizuara që kontribuojnë në uljen e trafikimit të paligjshëm të armëve në Ballkanin Perëndimor.</w:t>
      </w:r>
    </w:p>
    <w:p w14:paraId="29CBF68F" w14:textId="77777777" w:rsidR="00ED1C06" w:rsidRPr="00ED1C06" w:rsidRDefault="00ED1C06" w:rsidP="00331472">
      <w:pPr>
        <w:spacing w:after="0"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b/>
          <w:bCs/>
          <w:kern w:val="0"/>
          <w14:ligatures w14:val="none"/>
        </w:rPr>
        <w:t>Projekti 5: Hermes 2.1 – Luftimi i Trafikimit të Armëve përmes Pakove Postare dhe Korrierëve Ekspres</w:t>
      </w:r>
    </w:p>
    <w:p w14:paraId="10BE8E44"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Projekti Hermes 2.1 synon të rrisë kapacitetet e juridiksioneve të Ballkanit Perëndimor për të zbuluar dhe parandaluar trafikimin e armëve, pjesëve të tyre dhe municioneve të transportuara përmes shërbimeve postare dhe korrierëve ekspres. Duke u bazuar në një iniciativë pilot në Bosnje dhe Hercegovinë (2020–2022) dhe fazën e parë të Hermes (2023), ky projekt përqendrohet në pajisjen e autoriteteve doganore dhe atyre postare me aftësi dhe pajisje të specializuara.</w:t>
      </w:r>
    </w:p>
    <w:p w14:paraId="796470A9"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Aktivitetet kryesore përfshijnë trajnime të avancuara për operatorët e skanerëve me rreze X, seminare për njësitë analitike të doganave dhe inspektorët postare, si dhe blerjen dhe shpërndarjen e pajisjeve të specializuara për autoritetet përkatëse. Këto masa kanë për qëllim përmirësimin e kapaciteteve për zbulimin dhe bllokimin e ngarkesave të paligjshme të armëve, duke forcuar kontrollin kufitar dhe duke kontribuar në reduktimin e qarkullimit të paligjshëm të armëve në rajon.</w:t>
      </w:r>
    </w:p>
    <w:p w14:paraId="1D42F8CF"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Procesi i prokurimit për pajisjet thelbësore të skanimit ka nisur dhe aktivitetet e trajnimit dhe shpërndarjes së pajisjeve kanë vijuar deri në fund të vitit 2024. Projekti mbështet direkt objektivat e Udhërrëfyesit Rajonal për Kontrollin e Armëve për uljen e qarkullimit të armëve të paligjshme dhe rritjen e numrit të armëve të sekuestruara në Ballkanin Perëndimor.</w:t>
      </w:r>
    </w:p>
    <w:p w14:paraId="2D4FE8F4" w14:textId="77777777" w:rsidR="00ED1C06"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b/>
          <w:bCs/>
          <w:kern w:val="0"/>
          <w14:ligatures w14:val="none"/>
        </w:rPr>
        <w:t>Projekti 6: “Siguria Fizike dhe Menaxhimi i Depove në Shqipëri”</w:t>
      </w:r>
      <w:r w:rsidRPr="00ED1C06">
        <w:rPr>
          <w:rFonts w:ascii="Times New Roman" w:eastAsia="Times New Roman" w:hAnsi="Times New Roman" w:cs="Times New Roman"/>
          <w:kern w:val="0"/>
          <w14:ligatures w14:val="none"/>
        </w:rPr>
        <w:t xml:space="preserve"> i zbatuar nga ITF – Rritja e Sigurisë Njerëzore dhe me përfitues Policinë e Shtetit/Ministrinë e Brendshme të Republikës së Shqipërisë ka në fokus përmirësimin e sigurisë së ruajtjes së armëve, municioneve dhe eksplozivëve në përputhje me standardet ndërkombëtare. Projekti përfshin rindërtimin dhe ndërtimin e objekteve për ruajtje të përkohshme të armëve të zjarrit të sekuestruara apo grumbulluara nga njësitë vendore të Policisë së Shtetit të cilat do të magazinohen deri në dorëzimin e tyre për shkatërrim në Ministrinë e Mbrojtjes dhe sistemet përkatëse të mbrojtjes dhe sigurisë.</w:t>
      </w:r>
    </w:p>
    <w:p w14:paraId="04B777EF" w14:textId="192F1EEB" w:rsidR="00CA611F" w:rsidRPr="00ED1C06" w:rsidRDefault="00ED1C06" w:rsidP="00331472">
      <w:pPr>
        <w:spacing w:before="100" w:beforeAutospacing="1" w:after="100" w:afterAutospacing="1" w:line="276" w:lineRule="auto"/>
        <w:jc w:val="both"/>
        <w:rPr>
          <w:rFonts w:ascii="Times New Roman" w:eastAsia="Times New Roman" w:hAnsi="Times New Roman" w:cs="Times New Roman"/>
          <w:kern w:val="0"/>
          <w14:ligatures w14:val="none"/>
        </w:rPr>
      </w:pPr>
      <w:r w:rsidRPr="00ED1C06">
        <w:rPr>
          <w:rFonts w:ascii="Times New Roman" w:eastAsia="Times New Roman" w:hAnsi="Times New Roman" w:cs="Times New Roman"/>
          <w:kern w:val="0"/>
          <w14:ligatures w14:val="none"/>
        </w:rPr>
        <w:t>Projekti ka një financim total prej 390,615 USD, të siguruar nga Shtetet e Bashkuara të Amerikës.</w:t>
      </w:r>
    </w:p>
    <w:p w14:paraId="2FD971FA" w14:textId="49AEEA1B" w:rsidR="00041FA5" w:rsidRPr="002A284C" w:rsidRDefault="00CA611F" w:rsidP="00331472">
      <w:pPr>
        <w:pStyle w:val="NormalWeb"/>
        <w:spacing w:line="276" w:lineRule="auto"/>
        <w:jc w:val="both"/>
        <w:rPr>
          <w:b/>
          <w:bCs/>
          <w:sz w:val="28"/>
          <w:szCs w:val="28"/>
        </w:rPr>
      </w:pPr>
      <w:r w:rsidRPr="002A284C">
        <w:rPr>
          <w:b/>
          <w:bCs/>
          <w:sz w:val="28"/>
          <w:szCs w:val="28"/>
        </w:rPr>
        <w:lastRenderedPageBreak/>
        <w:t>10.</w:t>
      </w:r>
      <w:r w:rsidR="002A284C" w:rsidRPr="002A284C">
        <w:rPr>
          <w:b/>
          <w:bCs/>
          <w:sz w:val="28"/>
          <w:szCs w:val="28"/>
        </w:rPr>
        <w:t xml:space="preserve"> </w:t>
      </w:r>
      <w:r w:rsidRPr="002A284C">
        <w:rPr>
          <w:b/>
          <w:bCs/>
          <w:sz w:val="28"/>
          <w:szCs w:val="28"/>
        </w:rPr>
        <w:t>PJESA</w:t>
      </w:r>
      <w:r w:rsidR="002A284C" w:rsidRPr="002A284C">
        <w:rPr>
          <w:b/>
          <w:bCs/>
          <w:sz w:val="28"/>
          <w:szCs w:val="28"/>
        </w:rPr>
        <w:t xml:space="preserve"> </w:t>
      </w:r>
      <w:r w:rsidRPr="002A284C">
        <w:rPr>
          <w:b/>
          <w:bCs/>
          <w:sz w:val="28"/>
          <w:szCs w:val="28"/>
        </w:rPr>
        <w:t>IV: ZBATIMI, PËRGJEGJËSIA E INSTITUCIONEVE, LLOGARIDHËNIA, RAPORTIMI DHE MONITORIMI</w:t>
      </w:r>
    </w:p>
    <w:p w14:paraId="73ECFB0B" w14:textId="1E3031A9" w:rsidR="00CA611F" w:rsidRPr="002A284C" w:rsidRDefault="00041FA5" w:rsidP="00AE255F">
      <w:pPr>
        <w:pStyle w:val="NormalWeb"/>
        <w:spacing w:line="276" w:lineRule="auto"/>
        <w:jc w:val="both"/>
        <w:rPr>
          <w:b/>
          <w:bCs/>
          <w:sz w:val="28"/>
          <w:szCs w:val="28"/>
        </w:rPr>
      </w:pPr>
      <w:r w:rsidRPr="002A284C">
        <w:rPr>
          <w:b/>
          <w:bCs/>
          <w:sz w:val="28"/>
          <w:szCs w:val="28"/>
        </w:rPr>
        <w:t>10.</w:t>
      </w:r>
      <w:r w:rsidR="006B1F6D" w:rsidRPr="002A284C">
        <w:rPr>
          <w:b/>
          <w:bCs/>
          <w:sz w:val="28"/>
          <w:szCs w:val="28"/>
        </w:rPr>
        <w:t>1</w:t>
      </w:r>
      <w:r w:rsidRPr="002A284C">
        <w:rPr>
          <w:b/>
          <w:bCs/>
          <w:sz w:val="28"/>
          <w:szCs w:val="28"/>
        </w:rPr>
        <w:t xml:space="preserve"> </w:t>
      </w:r>
      <w:r w:rsidRPr="002A284C">
        <w:rPr>
          <w:b/>
          <w:bCs/>
          <w:color w:val="000000" w:themeColor="text1"/>
          <w:sz w:val="28"/>
          <w:szCs w:val="28"/>
        </w:rPr>
        <w:t>Përgj</w:t>
      </w:r>
      <w:r w:rsidR="002A47FF" w:rsidRPr="002A284C">
        <w:rPr>
          <w:b/>
          <w:bCs/>
          <w:color w:val="000000" w:themeColor="text1"/>
          <w:sz w:val="28"/>
          <w:szCs w:val="28"/>
        </w:rPr>
        <w:t>egj</w:t>
      </w:r>
      <w:r w:rsidRPr="002A284C">
        <w:rPr>
          <w:b/>
          <w:bCs/>
          <w:color w:val="000000" w:themeColor="text1"/>
          <w:sz w:val="28"/>
          <w:szCs w:val="28"/>
        </w:rPr>
        <w:t>ësia</w:t>
      </w:r>
      <w:r w:rsidRPr="002A284C">
        <w:rPr>
          <w:b/>
          <w:bCs/>
          <w:sz w:val="28"/>
          <w:szCs w:val="28"/>
        </w:rPr>
        <w:t xml:space="preserve"> e Institucioneve:</w:t>
      </w:r>
    </w:p>
    <w:p w14:paraId="10A64F4C" w14:textId="77777777" w:rsidR="00041FA5" w:rsidRPr="00CF2F70" w:rsidRDefault="00041FA5" w:rsidP="00041FA5">
      <w:pPr>
        <w:spacing w:line="276" w:lineRule="auto"/>
        <w:jc w:val="both"/>
        <w:rPr>
          <w:rFonts w:ascii="Times New Roman" w:hAnsi="Times New Roman" w:cs="Times New Roman"/>
          <w:b/>
          <w:bCs/>
        </w:rPr>
      </w:pPr>
      <w:r w:rsidRPr="00CF2F70">
        <w:rPr>
          <w:rFonts w:ascii="Times New Roman" w:hAnsi="Times New Roman" w:cs="Times New Roman"/>
        </w:rPr>
        <w:t>Kuadri institucional nënkupton të gjithë institucionet dhe mekanizmat, qoftë në nivel qendror, varësie, me autonomi apo institucion të pavarur kushtetues, të cilët kanë rol dhe rëndësi primare apo sekondare në zbatimin e strategjisë. Ky kuadër përfshin organet shtetërore, agjencitë e specializuara, institucionet e pavarura, si dhe strukturat mbështetëse që kontribuojnë në hartimin, koordinimin, monitorimin dhe vlerësimin e zbatimit të strategjisë. Roli i secilit institucion përcaktohet në përputhje me fushëveprimin e tij ligjor dhe përgjegjësitë funksionale në kuadër të objektivave strategjike si më poshtë:</w:t>
      </w:r>
      <w:r w:rsidRPr="00CF2F70">
        <w:rPr>
          <w:rFonts w:ascii="Times New Roman" w:hAnsi="Times New Roman" w:cs="Times New Roman"/>
          <w:b/>
          <w:bCs/>
        </w:rPr>
        <w:t xml:space="preserve"> </w:t>
      </w:r>
    </w:p>
    <w:p w14:paraId="573CD7DF" w14:textId="77777777" w:rsidR="00041FA5" w:rsidRPr="00CF2F70" w:rsidRDefault="00041FA5" w:rsidP="00041FA5">
      <w:pPr>
        <w:spacing w:line="276" w:lineRule="auto"/>
        <w:jc w:val="both"/>
        <w:rPr>
          <w:rFonts w:ascii="Times New Roman" w:hAnsi="Times New Roman" w:cs="Times New Roman"/>
          <w:b/>
          <w:bCs/>
        </w:rPr>
      </w:pPr>
      <w:r w:rsidRPr="00CF2F70">
        <w:rPr>
          <w:rFonts w:ascii="Times New Roman" w:hAnsi="Times New Roman" w:cs="Times New Roman"/>
          <w:b/>
          <w:bCs/>
        </w:rPr>
        <w:t xml:space="preserve">Komisioni Kombëtar për Armët e Vogla dhe të Lehta </w:t>
      </w:r>
      <w:r w:rsidRPr="00CF2F70">
        <w:rPr>
          <w:rFonts w:ascii="Times New Roman" w:hAnsi="Times New Roman" w:cs="Times New Roman"/>
        </w:rPr>
        <w:t>është përgjegjës për hartimin e politikave mbi armët e vogla dhe të lehta në Shqipëri. Koordinon dhe mbledh informacione dhe statistika nga institucionet përkatëse për prodhimin, tregtimin, çaktivizimin, asgjësimin, përdorimin e paligjshëm të armëve, kontrollin e armëve të lejuar, kontrollin e importit dhe eksportit të armëve. Gjithashtu është përgjegjës të bashkërendojë, udhëzojë, monitorojë dhe të raportojë për zbatimin e politikave që lidhen me AVL.</w:t>
      </w:r>
    </w:p>
    <w:p w14:paraId="543267DE" w14:textId="77777777" w:rsidR="00041FA5" w:rsidRPr="005D3F94" w:rsidRDefault="00041FA5" w:rsidP="00041FA5">
      <w:pPr>
        <w:spacing w:line="276" w:lineRule="auto"/>
        <w:jc w:val="both"/>
        <w:rPr>
          <w:rFonts w:ascii="Times New Roman" w:hAnsi="Times New Roman" w:cs="Times New Roman"/>
          <w:b/>
          <w:bCs/>
        </w:rPr>
      </w:pPr>
      <w:r w:rsidRPr="005D3F94">
        <w:rPr>
          <w:rFonts w:ascii="Times New Roman" w:hAnsi="Times New Roman" w:cs="Times New Roman"/>
          <w:b/>
          <w:bCs/>
        </w:rPr>
        <w:t>Ministria e Brendshme</w:t>
      </w:r>
      <w:r w:rsidRPr="005D3F94">
        <w:rPr>
          <w:rFonts w:ascii="Times New Roman" w:hAnsi="Times New Roman" w:cs="Times New Roman"/>
        </w:rPr>
        <w:t xml:space="preserve"> është institucioni përgjegjës për propozimin, hartimin, zbatimin dhe monitorimin e politikave dhe legjislacionit në fushën e armëve të vogla dhe të lehta, municioneve dhe materialeve shpërthyese. Në funksion të garantimit të sigurisë publike dhe rendit kushtetues, Ministria e Brendshme udhëheq procesin e hartimit të politikave kombëtare në këtë fushë, duke siguruar që ato të jenë të bazuara në evidencë, në përputhje me të drejtën ndërkombëtare dhe të harmonizuara me standardet e Bashkimit Evropian, Traktatin për Tregtinë e Armëve dhe Protokollin e Kombeve të Bashkuara për Armët e Zjarrit, si dhe me “Udhërrëfyesin për një zgjidhje të qëndrueshme për zotërimin e paligjshëm, keqpërdorimin dhe trafikimin e armëve të vogla dhe të lehta , municioneve të tyre dhe eksplozivëve 2025-2030”. Gjithashtu, Ministria mbikëqyr zbatimin e kuadrit ligjor dhe strategjik përmes strukturave të saj të varësisë, si dhe nëpërmjet koordinimit dhe bashkëpunimit ndërinstitucional dhe ndërkombëtar për të siguruar parandalimin, reduktimin dhe kontrollin efektiv të armëve dhe eksplozivëve në territorin e Republikës së Shqipërisë..</w:t>
      </w:r>
      <w:r w:rsidRPr="005D3F94">
        <w:rPr>
          <w:rFonts w:ascii="Times New Roman" w:hAnsi="Times New Roman" w:cs="Times New Roman"/>
          <w:b/>
          <w:bCs/>
        </w:rPr>
        <w:t xml:space="preserve"> </w:t>
      </w:r>
    </w:p>
    <w:p w14:paraId="2CC79208" w14:textId="780EEC99" w:rsidR="00041FA5" w:rsidRPr="005D3F94" w:rsidRDefault="003D1E88" w:rsidP="00041FA5">
      <w:pPr>
        <w:pStyle w:val="NormalWeb"/>
        <w:spacing w:line="276" w:lineRule="auto"/>
        <w:jc w:val="both"/>
        <w:rPr>
          <w:lang w:val="en-US"/>
        </w:rPr>
      </w:pPr>
      <w:r w:rsidRPr="00C90952">
        <w:rPr>
          <w:b/>
          <w:bCs/>
        </w:rPr>
        <w:t>Drejtoria e P</w:t>
      </w:r>
      <w:r w:rsidR="00740408" w:rsidRPr="00C90952">
        <w:rPr>
          <w:b/>
          <w:bCs/>
        </w:rPr>
        <w:t>ë</w:t>
      </w:r>
      <w:r w:rsidRPr="00C90952">
        <w:rPr>
          <w:b/>
          <w:bCs/>
        </w:rPr>
        <w:t>rgjithshme e Policis</w:t>
      </w:r>
      <w:r w:rsidR="00740408" w:rsidRPr="00C90952">
        <w:rPr>
          <w:b/>
          <w:bCs/>
        </w:rPr>
        <w:t>ë</w:t>
      </w:r>
      <w:r w:rsidRPr="00C90952">
        <w:rPr>
          <w:b/>
          <w:bCs/>
        </w:rPr>
        <w:t xml:space="preserve"> s</w:t>
      </w:r>
      <w:r w:rsidR="00740408" w:rsidRPr="00C90952">
        <w:rPr>
          <w:b/>
          <w:bCs/>
        </w:rPr>
        <w:t>ë</w:t>
      </w:r>
      <w:r w:rsidRPr="00C90952">
        <w:rPr>
          <w:b/>
          <w:bCs/>
        </w:rPr>
        <w:t xml:space="preserve"> Shtetit </w:t>
      </w:r>
      <w:r w:rsidR="00041FA5">
        <w:t xml:space="preserve">përfaqëson strukturën ekzekutive qendrore përgjegjëse për zbatimin e ligjit dhe sigurinë publike, dhe luan një rol thelbësor në luftën kundër trafiqeve të paligjshme të armëve, municioneve dhe eksplozivëve, si brenda territorit të Republikës së Shqipërisë, ashtu edhe në bashkëpunim me autoritetet kufitare dhe institucionet e tjera ligjzbatuese. Në këtë funksion, Policia e Shtetit angazhohet në mënyrë të drejtpërdrejtë në parandalimin, identifikimin dhe goditjen e rrjeteve të trafikimit të armëve, duke përdorur mjete të avancuara hetimore, kapacitete operacionale dhe bashkëpunim të strukturuar ndërkombëtar, </w:t>
      </w:r>
      <w:r w:rsidR="00041FA5">
        <w:lastRenderedPageBreak/>
        <w:t>veçanërisht me agjencitë homologe të vendeve të Bashkimit Evropian dhe të rajonit.</w:t>
      </w:r>
      <w:r w:rsidR="009260CB">
        <w:t xml:space="preserve"> </w:t>
      </w:r>
      <w:r w:rsidR="00041FA5">
        <w:t>Në zbatim të legjislacionit përkatës kombëtar dhe akteve ndërkombëtare që Shqipëria ka ratifikuar, Policia e Shtetit është gjithashtu autoriteti përgjegjës për lëshimin e licencave dhe autorizimeve për veprimtaritë e ligjshme që lidhen me armët e zjarrit, si për personat fizikë ashtu edhe për subjektet juridike. Ky proces përfshin vlerësimin e kritereve të sigurisë, përshtatshmërisë dhe integritetit të aplikantëve, si dhe sigurimin që aktivitetet e lejuara të jenë në përputhje me standardet e sigurisë dhe kontrollit të armëve.</w:t>
      </w:r>
    </w:p>
    <w:p w14:paraId="7F3A0356" w14:textId="77777777" w:rsidR="00041FA5" w:rsidRDefault="00041FA5" w:rsidP="00331472">
      <w:pPr>
        <w:pStyle w:val="NormalWeb"/>
        <w:spacing w:line="276" w:lineRule="auto"/>
        <w:jc w:val="both"/>
      </w:pPr>
      <w:r>
        <w:t>Një funksion tjetër parësor i Policisë së Shtetit është inspektimi dhe mbikëqyrja e kushteve të ruajtjes dhe përdorimit të armëve të zjarrit nga shoqëritë private të sigurisë fizike (SHPSF), si dhe nga të gjithë subjektet e licencuara për mbajtjen apo përdorimin e armëve. Në këtë kontekst, Policia e Shtetit kryen kontrolle të rregullta dhe të jashtëzakonshme për të verifikuar respektimin e kritereve teknike dhe të sigurisë, duke ndërhyrë me masa administrative ose penale në rast shkeljesh. Nëpërmjet këtij mekanizmi ligjor dhe operacional, Policia e Shtetit siguron që qarkullimi dhe përdorimi i armëve në vend të jetë plotësisht i kontrolluar, i ligjshëm dhe i përputhshëm me objektivat kombëtarë të sigurisë.</w:t>
      </w:r>
    </w:p>
    <w:p w14:paraId="6F9EF08D" w14:textId="68C987E4" w:rsidR="00041FA5" w:rsidRPr="00CF2F70" w:rsidRDefault="00041FA5" w:rsidP="00041FA5">
      <w:pPr>
        <w:spacing w:line="276" w:lineRule="auto"/>
        <w:jc w:val="both"/>
        <w:rPr>
          <w:rFonts w:ascii="Times New Roman" w:hAnsi="Times New Roman" w:cs="Times New Roman"/>
          <w:b/>
          <w:bCs/>
        </w:rPr>
      </w:pPr>
      <w:r w:rsidRPr="00CF2F70">
        <w:rPr>
          <w:rFonts w:ascii="Times New Roman" w:hAnsi="Times New Roman" w:cs="Times New Roman"/>
          <w:b/>
          <w:bCs/>
        </w:rPr>
        <w:t xml:space="preserve">Njësia Qendrore e Armëve të Zjarrit </w:t>
      </w:r>
      <w:r w:rsidRPr="00CF2F70">
        <w:rPr>
          <w:rFonts w:ascii="Times New Roman" w:hAnsi="Times New Roman" w:cs="Times New Roman"/>
        </w:rPr>
        <w:t>ngritja e kësaj njësie është përgjegjësi e Ministrit të Brendshëm dhe Drejtorit të Përgjithshëm të Policisë së Shtetit. NJQA do të punojë për përsosjen e formave dhe procedurave për regjistrimin e t</w:t>
      </w:r>
      <w:r w:rsidR="00D06887">
        <w:rPr>
          <w:rFonts w:ascii="Times New Roman" w:hAnsi="Times New Roman" w:cs="Times New Roman"/>
        </w:rPr>
        <w:t>ë</w:t>
      </w:r>
      <w:r w:rsidRPr="00CF2F70">
        <w:rPr>
          <w:rFonts w:ascii="Times New Roman" w:hAnsi="Times New Roman" w:cs="Times New Roman"/>
        </w:rPr>
        <w:t xml:space="preserve"> dhënave për shpërndarjen dhe ndikimin e armëve të zjarrit AVL, statistikat gjinore dhe procedurat për shkëmbimin e detyrueshëm të informacionit me vendet e rajonit. Procedurat për shkëmbim informacioni në sistemet që bartin të dhëna për armët.</w:t>
      </w:r>
    </w:p>
    <w:p w14:paraId="3F7F4A3B" w14:textId="56474B87" w:rsidR="00041FA5" w:rsidRPr="00CF2F70" w:rsidRDefault="00041FA5" w:rsidP="00041FA5">
      <w:pPr>
        <w:spacing w:line="276" w:lineRule="auto"/>
        <w:jc w:val="both"/>
        <w:rPr>
          <w:rFonts w:ascii="Times New Roman" w:hAnsi="Times New Roman" w:cs="Times New Roman"/>
          <w:b/>
          <w:bCs/>
        </w:rPr>
      </w:pPr>
      <w:r w:rsidRPr="00CF2F70">
        <w:rPr>
          <w:rFonts w:ascii="Times New Roman" w:hAnsi="Times New Roman" w:cs="Times New Roman"/>
          <w:b/>
          <w:bCs/>
        </w:rPr>
        <w:t xml:space="preserve">Ministria e Mbrojtjes </w:t>
      </w:r>
      <w:r w:rsidRPr="00CF2F70">
        <w:rPr>
          <w:rFonts w:ascii="Times New Roman" w:hAnsi="Times New Roman" w:cs="Times New Roman"/>
        </w:rPr>
        <w:t>është përgjegjëse për sigurinë e depove ushtarake të armatimeve, shkatërrimin e armëve, municioneve dhe eksplozivëve tepricë, në përputhje me standardet e NATO</w:t>
      </w:r>
      <w:r w:rsidR="006B71E5">
        <w:rPr>
          <w:rFonts w:ascii="Times New Roman" w:hAnsi="Times New Roman" w:cs="Times New Roman"/>
        </w:rPr>
        <w:t>-</w:t>
      </w:r>
      <w:r w:rsidRPr="00CF2F70">
        <w:rPr>
          <w:rFonts w:ascii="Times New Roman" w:hAnsi="Times New Roman" w:cs="Times New Roman"/>
        </w:rPr>
        <w:t>s. MM gjithashtu është aktor i rëndësishëm në sigurinë e kufijve detarë në ndihmë të institucioneve ligjzbatuese.</w:t>
      </w:r>
      <w:r w:rsidRPr="00CF2F70">
        <w:rPr>
          <w:rFonts w:ascii="Times New Roman" w:hAnsi="Times New Roman" w:cs="Times New Roman"/>
          <w:b/>
          <w:bCs/>
        </w:rPr>
        <w:t xml:space="preserve"> </w:t>
      </w:r>
    </w:p>
    <w:p w14:paraId="114FA0C3" w14:textId="5117509E" w:rsidR="00041FA5" w:rsidRPr="00F26F4D" w:rsidRDefault="006B1F6D" w:rsidP="00F26F4D">
      <w:pPr>
        <w:pStyle w:val="pf0"/>
        <w:spacing w:line="276" w:lineRule="auto"/>
        <w:jc w:val="both"/>
        <w:rPr>
          <w:lang w:val="en-US"/>
        </w:rPr>
      </w:pPr>
      <w:r w:rsidRPr="00F26F4D">
        <w:rPr>
          <w:b/>
          <w:bCs/>
        </w:rPr>
        <w:t>Autoriteti i Kontrollit Shtetëror të Eksporteve</w:t>
      </w:r>
      <w:r w:rsidR="00041FA5" w:rsidRPr="00F26F4D">
        <w:t xml:space="preserve"> është institucioni përgjegjës për zbatimin e politikës shtetërore në fushën e kontrollit të eksporteve dhe importeve të mallrave ushtarake dhe mallrave e teknologjive me përdorim të dyfishtë. Krijimi dhe veprimtaria e tij bazohet në ligjin nr. 46/2018, datë 23.07.2018 “Për kontrollin shtetëror të transferimeve ndërkombëtare të mallrave ushtarake dhe artikujve e teknologjive me përdorim të dyfishtë” dhe në Vendimin e Këshillit të Ministrave nr. 43, datë 16.01.2008 “Për organizimin, funksionimin dhe statusin e Autoritetit të Kontrollit Shtetëror të Eksporteve”. AKSHE është institucioni që licenson importet, eksportet, tranzitin, transship, brokering të mallrave ushtarake dhe mallrave me përdorim të dyfishtë, në zbatim të ligjit nr. 46/2018. Në bazë të rezultateve të ekspertizës, Autoriteti i Kontrollit Shtetëror të Eksporteve identifikon mallrat, Strategjia për Kontrollin e Armëve të vogla, të lehta dhe Eksplozivëve 2019-2024 dhe Plani i Veprimit 2019-2021 përcakton kushtet e transferimit të tyre ndërkombëtar në shtete të veçanta dhe u lëshon/ose jo këtyre subjekteve licensat respektive. Po ashtu </w:t>
      </w:r>
      <w:r w:rsidR="00F26F4D" w:rsidRPr="00F26F4D">
        <w:rPr>
          <w:rStyle w:val="cf01"/>
          <w:rFonts w:ascii="Times New Roman" w:eastAsiaTheme="majorEastAsia" w:hAnsi="Times New Roman" w:cs="Times New Roman"/>
          <w:sz w:val="24"/>
          <w:szCs w:val="24"/>
        </w:rPr>
        <w:t xml:space="preserve">pas miratimit te ligjit nr. 88/2024 “Për krijimin e shoqërisë shtetërore për prodhimin dhe </w:t>
      </w:r>
      <w:r w:rsidR="00F26F4D" w:rsidRPr="00F26F4D">
        <w:rPr>
          <w:rStyle w:val="cf01"/>
          <w:rFonts w:ascii="Times New Roman" w:eastAsiaTheme="majorEastAsia" w:hAnsi="Times New Roman" w:cs="Times New Roman"/>
          <w:sz w:val="24"/>
          <w:szCs w:val="24"/>
        </w:rPr>
        <w:lastRenderedPageBreak/>
        <w:t>tregtimin e armëve, municioneve, pajisjeve dhe teknologjive ushtarake”</w:t>
      </w:r>
      <w:r w:rsidR="00041FA5" w:rsidRPr="00F26F4D">
        <w:t>pajis subjektet edhe me licensa prodhimin, çaktivizimin dhe riparimin e armëve.</w:t>
      </w:r>
      <w:r w:rsidR="00041FA5" w:rsidRPr="00F26F4D">
        <w:rPr>
          <w:b/>
          <w:bCs/>
        </w:rPr>
        <w:t xml:space="preserve"> </w:t>
      </w:r>
    </w:p>
    <w:p w14:paraId="792ABA49" w14:textId="77777777" w:rsidR="00D40B15" w:rsidRDefault="003B4704" w:rsidP="00041FA5">
      <w:pPr>
        <w:spacing w:line="276" w:lineRule="auto"/>
        <w:jc w:val="both"/>
        <w:rPr>
          <w:rFonts w:ascii="Times New Roman" w:hAnsi="Times New Roman" w:cs="Times New Roman"/>
        </w:rPr>
      </w:pPr>
      <w:r w:rsidRPr="003B4704">
        <w:rPr>
          <w:rFonts w:ascii="Times New Roman" w:hAnsi="Times New Roman" w:cs="Times New Roman"/>
          <w:b/>
          <w:bCs/>
        </w:rPr>
        <w:t xml:space="preserve">Ministria për Europën dhe Punët e Jashtme </w:t>
      </w:r>
      <w:r w:rsidRPr="003B4704">
        <w:rPr>
          <w:rFonts w:ascii="Times New Roman" w:hAnsi="Times New Roman" w:cs="Times New Roman"/>
        </w:rPr>
        <w:t>ndihmon me detyra të veçanta për arritjen e objektivave të kësaj</w:t>
      </w:r>
    </w:p>
    <w:p w14:paraId="68786964" w14:textId="57A1E713" w:rsidR="003B4704" w:rsidRDefault="003B4704" w:rsidP="00041FA5">
      <w:pPr>
        <w:spacing w:line="276" w:lineRule="auto"/>
        <w:jc w:val="both"/>
        <w:rPr>
          <w:rFonts w:ascii="Times New Roman" w:hAnsi="Times New Roman" w:cs="Times New Roman"/>
        </w:rPr>
      </w:pPr>
      <w:r w:rsidRPr="003B4704">
        <w:rPr>
          <w:rFonts w:ascii="Times New Roman" w:hAnsi="Times New Roman" w:cs="Times New Roman"/>
        </w:rPr>
        <w:t xml:space="preserve"> strategjie, sidomos në fushën e bashkëpunimit të institucioneve shqiptare me institucionet partnere dhe organizatat ndërkombëtare, raportimeve ndërkombëtare, si dhe në procesin e lidhjes së marrëveshjeve ndërkombëtare, subjekt i ligjit nr.43/2016 “Për marrëveshjet ndërkombëtare në Republikën e Shqipërisë”, i ndryshuar,  për kontrollin fundor të eksporteve të armëve, municioneve dhe eksplozivëve.</w:t>
      </w:r>
    </w:p>
    <w:p w14:paraId="75C65127" w14:textId="612BCD86" w:rsidR="00041FA5" w:rsidRPr="00CF2F70" w:rsidRDefault="00041FA5" w:rsidP="00041FA5">
      <w:pPr>
        <w:spacing w:line="276" w:lineRule="auto"/>
        <w:jc w:val="both"/>
        <w:rPr>
          <w:rFonts w:ascii="Times New Roman" w:hAnsi="Times New Roman" w:cs="Times New Roman"/>
          <w:b/>
          <w:bCs/>
        </w:rPr>
      </w:pPr>
      <w:r w:rsidRPr="00CF2F70">
        <w:rPr>
          <w:rFonts w:ascii="Times New Roman" w:hAnsi="Times New Roman" w:cs="Times New Roman"/>
          <w:b/>
          <w:bCs/>
        </w:rPr>
        <w:t xml:space="preserve">Ministria e Drejtësisë </w:t>
      </w:r>
      <w:r w:rsidRPr="00CF2F70">
        <w:rPr>
          <w:rFonts w:ascii="Times New Roman" w:hAnsi="Times New Roman" w:cs="Times New Roman"/>
        </w:rPr>
        <w:t xml:space="preserve">ndihmon me aktivitete për bashkëpunimin e nevojshëm mes Prokurorisë, </w:t>
      </w:r>
      <w:r w:rsidR="006B71E5" w:rsidRPr="00DC6ABC">
        <w:rPr>
          <w:rFonts w:ascii="Times New Roman" w:hAnsi="Times New Roman" w:cs="Times New Roman"/>
        </w:rPr>
        <w:t>(</w:t>
      </w:r>
      <w:r w:rsidR="006B71E5" w:rsidRPr="00DC6ABC">
        <w:rPr>
          <w:rFonts w:ascii="Times New Roman" w:hAnsi="Times New Roman" w:cs="Times New Roman"/>
          <w:i/>
        </w:rPr>
        <w:t>Interpol-struktur</w:t>
      </w:r>
      <w:r w:rsidR="00BC4BAB" w:rsidRPr="00DC6ABC">
        <w:rPr>
          <w:rFonts w:ascii="Times New Roman" w:hAnsi="Times New Roman" w:cs="Times New Roman"/>
          <w:i/>
        </w:rPr>
        <w:t>ë</w:t>
      </w:r>
      <w:r w:rsidR="006B71E5" w:rsidRPr="00DC6ABC">
        <w:rPr>
          <w:rFonts w:ascii="Times New Roman" w:hAnsi="Times New Roman" w:cs="Times New Roman"/>
          <w:i/>
        </w:rPr>
        <w:t xml:space="preserve"> e Policis</w:t>
      </w:r>
      <w:r w:rsidR="00BC4BAB" w:rsidRPr="00DC6ABC">
        <w:rPr>
          <w:rFonts w:ascii="Times New Roman" w:hAnsi="Times New Roman" w:cs="Times New Roman"/>
          <w:i/>
        </w:rPr>
        <w:t>ë</w:t>
      </w:r>
      <w:r w:rsidR="006B71E5" w:rsidRPr="00DC6ABC">
        <w:rPr>
          <w:rFonts w:ascii="Times New Roman" w:hAnsi="Times New Roman" w:cs="Times New Roman"/>
          <w:i/>
        </w:rPr>
        <w:t xml:space="preserve"> s</w:t>
      </w:r>
      <w:r w:rsidR="00BC4BAB" w:rsidRPr="00DC6ABC">
        <w:rPr>
          <w:rFonts w:ascii="Times New Roman" w:hAnsi="Times New Roman" w:cs="Times New Roman"/>
          <w:i/>
        </w:rPr>
        <w:t>ë</w:t>
      </w:r>
      <w:r w:rsidR="006B71E5" w:rsidRPr="00DC6ABC">
        <w:rPr>
          <w:rFonts w:ascii="Times New Roman" w:hAnsi="Times New Roman" w:cs="Times New Roman"/>
          <w:i/>
        </w:rPr>
        <w:t xml:space="preserve"> Shtetit</w:t>
      </w:r>
      <w:r w:rsidR="006B71E5" w:rsidRPr="00DC6ABC">
        <w:rPr>
          <w:rFonts w:ascii="Times New Roman" w:hAnsi="Times New Roman" w:cs="Times New Roman"/>
        </w:rPr>
        <w:t>)</w:t>
      </w:r>
      <w:r w:rsidRPr="00DC6ABC">
        <w:rPr>
          <w:rFonts w:ascii="Times New Roman" w:hAnsi="Times New Roman" w:cs="Times New Roman"/>
        </w:rPr>
        <w:t xml:space="preserve"> </w:t>
      </w:r>
      <w:r w:rsidRPr="00CF2F70">
        <w:rPr>
          <w:rFonts w:ascii="Times New Roman" w:hAnsi="Times New Roman" w:cs="Times New Roman"/>
        </w:rPr>
        <w:t xml:space="preserve">dhe </w:t>
      </w:r>
      <w:r w:rsidR="00C90952">
        <w:rPr>
          <w:rFonts w:ascii="Times New Roman" w:hAnsi="Times New Roman" w:cs="Times New Roman"/>
        </w:rPr>
        <w:t>.,.</w:t>
      </w:r>
      <w:r w:rsidRPr="00CF2F70">
        <w:rPr>
          <w:rFonts w:ascii="Times New Roman" w:hAnsi="Times New Roman" w:cs="Times New Roman"/>
        </w:rPr>
        <w:t>autoriteteve të huaja të drejtësisë në çështje që lidhen me luftën kundër trafikimit të paligjshëm të armëve. MD është gjithashtu aktore e rëndësishme për përafrimin e akteve ligjore mbi kontrollin e armëve, municioneve dhe eksplozivëve me direktivat e Bashkimit Europian dhe akte të tjera ndërkombëtare.</w:t>
      </w:r>
      <w:r w:rsidRPr="00CF2F70">
        <w:rPr>
          <w:rFonts w:ascii="Times New Roman" w:hAnsi="Times New Roman" w:cs="Times New Roman"/>
          <w:b/>
          <w:bCs/>
        </w:rPr>
        <w:t xml:space="preserve"> </w:t>
      </w:r>
    </w:p>
    <w:p w14:paraId="54243077" w14:textId="77777777" w:rsidR="00041FA5" w:rsidRPr="00CF2F70" w:rsidRDefault="00041FA5" w:rsidP="00041FA5">
      <w:pPr>
        <w:spacing w:line="276" w:lineRule="auto"/>
        <w:jc w:val="both"/>
        <w:rPr>
          <w:rFonts w:ascii="Times New Roman" w:hAnsi="Times New Roman" w:cs="Times New Roman"/>
          <w:b/>
          <w:bCs/>
        </w:rPr>
      </w:pPr>
      <w:r w:rsidRPr="00CF2F70">
        <w:rPr>
          <w:rFonts w:ascii="Times New Roman" w:hAnsi="Times New Roman" w:cs="Times New Roman"/>
          <w:b/>
          <w:bCs/>
        </w:rPr>
        <w:t xml:space="preserve">Ministria e Financave dhe Ministria e Ekonomisë, Kulturës dhe Inovacionit </w:t>
      </w:r>
      <w:r w:rsidRPr="00CF2F70">
        <w:rPr>
          <w:rFonts w:ascii="Times New Roman" w:hAnsi="Times New Roman" w:cs="Times New Roman"/>
        </w:rPr>
        <w:t xml:space="preserve">janë përgjegjëse për planifikimin dhe zbatimin e detyrave që lidhen me aktet ligjore e normative sipas drejtimeve përkatëse të institucioneve në varësi, në funksion të parandalimit të trafikimit të paligjshëm të armëve, municioneve dhe eksplozivëve. </w:t>
      </w:r>
    </w:p>
    <w:p w14:paraId="0B642345" w14:textId="170BF635" w:rsidR="00041FA5" w:rsidRPr="00CF2F70" w:rsidRDefault="00041FA5" w:rsidP="00041FA5">
      <w:pPr>
        <w:spacing w:line="276" w:lineRule="auto"/>
        <w:jc w:val="both"/>
        <w:rPr>
          <w:rFonts w:ascii="Times New Roman" w:hAnsi="Times New Roman" w:cs="Times New Roman"/>
        </w:rPr>
      </w:pPr>
      <w:r w:rsidRPr="00CF2F70">
        <w:rPr>
          <w:rFonts w:ascii="Times New Roman" w:hAnsi="Times New Roman" w:cs="Times New Roman"/>
          <w:b/>
          <w:bCs/>
        </w:rPr>
        <w:t xml:space="preserve">Drejtoria e Përgjithshme e Doganave </w:t>
      </w:r>
      <w:r w:rsidRPr="00CF2F70">
        <w:rPr>
          <w:rFonts w:ascii="Times New Roman" w:hAnsi="Times New Roman" w:cs="Times New Roman"/>
        </w:rPr>
        <w:t xml:space="preserve">është përgjegjëse për bashkëveprimin me strukturat e tjera të zbatimit të ligjit në funksion të garantimit të kufijve të sigurte tokësore, ujorë dhe ajrorë, duke </w:t>
      </w:r>
      <w:r w:rsidRPr="00DC6ABC">
        <w:rPr>
          <w:rFonts w:ascii="Times New Roman" w:hAnsi="Times New Roman" w:cs="Times New Roman"/>
        </w:rPr>
        <w:t>pa</w:t>
      </w:r>
      <w:r w:rsidR="0027677B" w:rsidRPr="00DC6ABC">
        <w:rPr>
          <w:rFonts w:ascii="Times New Roman" w:hAnsi="Times New Roman" w:cs="Times New Roman"/>
        </w:rPr>
        <w:t>s</w:t>
      </w:r>
      <w:r w:rsidRPr="00DC6ABC">
        <w:rPr>
          <w:rFonts w:ascii="Times New Roman" w:hAnsi="Times New Roman" w:cs="Times New Roman"/>
        </w:rPr>
        <w:t xml:space="preserve">ur </w:t>
      </w:r>
      <w:r w:rsidRPr="00CF2F70">
        <w:rPr>
          <w:rFonts w:ascii="Times New Roman" w:hAnsi="Times New Roman" w:cs="Times New Roman"/>
        </w:rPr>
        <w:t xml:space="preserve">për qëllim parandalimin dhe luftimin e trafikimit të paligjshëm të armëve, municioneve dhe eksplozivëve. </w:t>
      </w:r>
    </w:p>
    <w:p w14:paraId="1BA9BFF9" w14:textId="3B710168" w:rsidR="00041FA5" w:rsidRPr="00CF2F70" w:rsidRDefault="00041FA5" w:rsidP="00041FA5">
      <w:pPr>
        <w:spacing w:line="276" w:lineRule="auto"/>
        <w:jc w:val="both"/>
        <w:rPr>
          <w:rFonts w:ascii="Times New Roman" w:hAnsi="Times New Roman" w:cs="Times New Roman"/>
        </w:rPr>
      </w:pPr>
      <w:r w:rsidRPr="00CF2F70">
        <w:rPr>
          <w:rFonts w:ascii="Times New Roman" w:hAnsi="Times New Roman" w:cs="Times New Roman"/>
          <w:b/>
          <w:bCs/>
        </w:rPr>
        <w:t>Min</w:t>
      </w:r>
      <w:r w:rsidR="0027677B">
        <w:rPr>
          <w:rFonts w:ascii="Times New Roman" w:hAnsi="Times New Roman" w:cs="Times New Roman"/>
          <w:b/>
          <w:bCs/>
        </w:rPr>
        <w:t xml:space="preserve">istria e Arsimit </w:t>
      </w:r>
      <w:r w:rsidR="0027677B" w:rsidRPr="00DC6ABC">
        <w:rPr>
          <w:rFonts w:ascii="Times New Roman" w:hAnsi="Times New Roman" w:cs="Times New Roman"/>
          <w:b/>
          <w:bCs/>
        </w:rPr>
        <w:t>dhe</w:t>
      </w:r>
      <w:r w:rsidRPr="00DC6ABC">
        <w:rPr>
          <w:rFonts w:ascii="Times New Roman" w:hAnsi="Times New Roman" w:cs="Times New Roman"/>
          <w:b/>
          <w:bCs/>
        </w:rPr>
        <w:t xml:space="preserve"> Sportit</w:t>
      </w:r>
      <w:r w:rsidR="00EC282E" w:rsidRPr="00DC6ABC">
        <w:rPr>
          <w:rFonts w:ascii="Times New Roman" w:hAnsi="Times New Roman" w:cs="Times New Roman"/>
          <w:b/>
          <w:bCs/>
        </w:rPr>
        <w:t>, si</w:t>
      </w:r>
      <w:r w:rsidRPr="00DC6ABC">
        <w:rPr>
          <w:rFonts w:ascii="Times New Roman" w:hAnsi="Times New Roman" w:cs="Times New Roman"/>
          <w:b/>
          <w:bCs/>
        </w:rPr>
        <w:t xml:space="preserve"> dhe Ministri</w:t>
      </w:r>
      <w:r w:rsidRPr="00CF2F70">
        <w:rPr>
          <w:rFonts w:ascii="Times New Roman" w:hAnsi="Times New Roman" w:cs="Times New Roman"/>
          <w:b/>
          <w:bCs/>
        </w:rPr>
        <w:t xml:space="preserve"> i Shtetit për Rininë dhe Fëmijët </w:t>
      </w:r>
      <w:r w:rsidRPr="00CF2F70">
        <w:rPr>
          <w:rFonts w:ascii="Times New Roman" w:hAnsi="Times New Roman" w:cs="Times New Roman"/>
        </w:rPr>
        <w:t xml:space="preserve">janë përgjegjëse për hartimin, ndjekjen dhe zbatimin e politikës shtetërore të ndërgjegjësimit dhe edukimit të brezit të ri kundër armëve, me fokus shkollat, qendrat sportive dhe rinore, duke marrë në konsideratë përfshirjen në orë të veçanta mësimore të rreziqeve nga armët, municionet dhe eksplozivët. </w:t>
      </w:r>
    </w:p>
    <w:p w14:paraId="5A3665E2" w14:textId="60DCC6A9" w:rsidR="00041FA5" w:rsidRPr="00740408" w:rsidRDefault="00041FA5" w:rsidP="00041FA5">
      <w:pPr>
        <w:spacing w:line="276" w:lineRule="auto"/>
        <w:jc w:val="both"/>
        <w:rPr>
          <w:rFonts w:ascii="Times New Roman" w:hAnsi="Times New Roman" w:cs="Times New Roman"/>
        </w:rPr>
      </w:pPr>
      <w:r w:rsidRPr="00740408">
        <w:rPr>
          <w:rFonts w:ascii="Times New Roman" w:hAnsi="Times New Roman" w:cs="Times New Roman"/>
          <w:b/>
          <w:bCs/>
        </w:rPr>
        <w:t xml:space="preserve">Ministria e Shëndetësisë dhe Mbrojtjes Sociale </w:t>
      </w:r>
      <w:r w:rsidRPr="00740408">
        <w:rPr>
          <w:rFonts w:ascii="Times New Roman" w:hAnsi="Times New Roman" w:cs="Times New Roman"/>
        </w:rPr>
        <w:t>është përgjegjëse për evidentimin e dëmeve ndaj shëndetit të qytetarëve nga armët e zjarrit duke i shërbyer fushatave ndërgjegjësuese mbi rreziqet nga armët, municionet dhe eksplozivët.</w:t>
      </w:r>
    </w:p>
    <w:p w14:paraId="10BE2CB2" w14:textId="31B13C82" w:rsidR="00740408" w:rsidRPr="00DC6ABC" w:rsidRDefault="00740408" w:rsidP="00041FA5">
      <w:pPr>
        <w:spacing w:line="276" w:lineRule="auto"/>
        <w:jc w:val="both"/>
        <w:rPr>
          <w:rFonts w:ascii="Times New Roman" w:hAnsi="Times New Roman" w:cs="Times New Roman"/>
          <w:b/>
        </w:rPr>
      </w:pPr>
      <w:bookmarkStart w:id="1" w:name="_Hlk201215132"/>
      <w:r w:rsidRPr="00DC6ABC">
        <w:rPr>
          <w:rFonts w:ascii="Times New Roman" w:hAnsi="Times New Roman" w:cs="Times New Roman"/>
          <w:b/>
        </w:rPr>
        <w:t xml:space="preserve">Ministri </w:t>
      </w:r>
      <w:r w:rsidR="00DC6ABC" w:rsidRPr="00DC6ABC">
        <w:rPr>
          <w:rFonts w:ascii="Times New Roman" w:hAnsi="Times New Roman" w:cs="Times New Roman"/>
          <w:b/>
        </w:rPr>
        <w:t xml:space="preserve">i </w:t>
      </w:r>
      <w:r w:rsidRPr="00DC6ABC">
        <w:rPr>
          <w:rFonts w:ascii="Times New Roman" w:hAnsi="Times New Roman" w:cs="Times New Roman"/>
          <w:b/>
        </w:rPr>
        <w:t xml:space="preserve">Shtetit për Pushtetin Vendor </w:t>
      </w:r>
      <w:r w:rsidRPr="00DC6ABC">
        <w:rPr>
          <w:rFonts w:ascii="Times New Roman" w:hAnsi="Times New Roman" w:cs="Times New Roman"/>
        </w:rPr>
        <w:t>është përgjegjëse për koordinimin dhe fuqizimin e kapaciteteve të njësive të qeverisjes vendore; mbështetjen e krijimit dhe funksionimit të strukturave lokale të sigurisë komunitare; ndërtimin e partneriteteve me komunitetin, rritjen e ndërgjegjësimit dhe lehtësimin e bashkëpunimit më komunitetin; si dhe monitorimin / raportimin e masave në nivel vendor.</w:t>
      </w:r>
    </w:p>
    <w:bookmarkEnd w:id="1"/>
    <w:p w14:paraId="73EF724E" w14:textId="08EECA4F" w:rsidR="00041FA5" w:rsidRPr="00CF2F70" w:rsidRDefault="00041FA5" w:rsidP="00041FA5">
      <w:pPr>
        <w:spacing w:line="276" w:lineRule="auto"/>
        <w:jc w:val="both"/>
        <w:rPr>
          <w:rFonts w:ascii="Times New Roman" w:hAnsi="Times New Roman" w:cs="Times New Roman"/>
        </w:rPr>
      </w:pPr>
      <w:r w:rsidRPr="00740408">
        <w:rPr>
          <w:rFonts w:ascii="Times New Roman" w:hAnsi="Times New Roman" w:cs="Times New Roman"/>
          <w:b/>
          <w:bCs/>
        </w:rPr>
        <w:lastRenderedPageBreak/>
        <w:t>Struktura e Posaçme kundër Korrupsionit dhe Krimit</w:t>
      </w:r>
      <w:r w:rsidRPr="00CF2F70">
        <w:rPr>
          <w:rFonts w:ascii="Times New Roman" w:hAnsi="Times New Roman" w:cs="Times New Roman"/>
          <w:b/>
          <w:bCs/>
        </w:rPr>
        <w:t xml:space="preserve"> të Organizuar</w:t>
      </w:r>
      <w:r w:rsidRPr="00CF2F70">
        <w:rPr>
          <w:rFonts w:ascii="Times New Roman" w:hAnsi="Times New Roman" w:cs="Times New Roman"/>
        </w:rPr>
        <w:t xml:space="preserve"> ka një rol në zbatimin e Strategjisë, pasi </w:t>
      </w:r>
      <w:r w:rsidR="00EC282E" w:rsidRPr="00DC6ABC">
        <w:rPr>
          <w:rFonts w:ascii="Times New Roman" w:hAnsi="Times New Roman" w:cs="Times New Roman"/>
        </w:rPr>
        <w:t xml:space="preserve">synon </w:t>
      </w:r>
      <w:r w:rsidRPr="00CF2F70">
        <w:rPr>
          <w:rFonts w:ascii="Times New Roman" w:hAnsi="Times New Roman" w:cs="Times New Roman"/>
        </w:rPr>
        <w:t>goditjen e krimit të organizuar dhe rritjen e sigurisë publike. Një nga aktivitetet kryesore të grupeve kriminale është trafikimi i armëve, që shpesh lidhet ngushtë me veprimtari të tjera të paligjshme si trafiku i drogës, i qenieve njerëzore dhe pastrimi i parave. SPAK, përmes hetimeve të thelluara dhe bashkëpunimit me institucionet ligjzbatuese brenda dhe jashtë vendit, ndihmon në identifikimin dhe çmontimin e rrjeteve kriminale që merren me trafik armësh. Në këtë mënyrë, puna e SPAK mbështet drejtpërdrejt objektivat e Strategjisë, duke garantuar ndëshkueshmëri dhe duke kontribuar në reduktimin e qarkullimit të armëve të paligjshme në vend.</w:t>
      </w:r>
    </w:p>
    <w:p w14:paraId="76789380" w14:textId="77777777" w:rsidR="00041FA5" w:rsidRPr="00CF2F70" w:rsidRDefault="00041FA5" w:rsidP="00041FA5">
      <w:pPr>
        <w:spacing w:line="276" w:lineRule="auto"/>
        <w:jc w:val="both"/>
        <w:rPr>
          <w:rFonts w:ascii="Times New Roman" w:hAnsi="Times New Roman" w:cs="Times New Roman"/>
        </w:rPr>
      </w:pPr>
      <w:r w:rsidRPr="00CF2F70">
        <w:rPr>
          <w:rFonts w:ascii="Times New Roman" w:hAnsi="Times New Roman" w:cs="Times New Roman"/>
          <w:b/>
          <w:bCs/>
        </w:rPr>
        <w:t>Prokuroria e Përgjithshme</w:t>
      </w:r>
      <w:r w:rsidRPr="00CF2F70">
        <w:rPr>
          <w:rFonts w:ascii="Times New Roman" w:hAnsi="Times New Roman" w:cs="Times New Roman"/>
        </w:rPr>
        <w:t xml:space="preserve"> në zbatimin e Strategjisë, është përgjegjëse për ndjekjen penale të veprave që lidhen me mbajtjen, prodhimin, trafikimin apo përdorimin e armëve pa leje. Si pjesë e sistemit të drejtësisë penale, Prokuroria e Përgjithshme bashkëpunon ngushtë me policinë, gjykatat dhe agjencitë e tjera ligjzbatuese për të siguruar hetime efikase dhe ndjekje të suksesshme të autorëve të këtyre veprave. Gjithashtu, ajo ka kompetencën të orientojë dhe të mbikëqyrë punën e prokurorive më të ulëta në shkallë, duke siguruar një qasje të unifikuar dhe efektive ndaj luftës kundër krimit të organizuar dhe armëve të paligjshme. Në këtë mënyrë, Prokuroria e Përgjithshme përforcon zbatimin e strategjisë duke kontribuar në rritjen e sigurisë dhe sundimin e ligjit.</w:t>
      </w:r>
    </w:p>
    <w:p w14:paraId="0ABF9987" w14:textId="36473BF7" w:rsidR="00041FA5" w:rsidRPr="00DC6ABC" w:rsidRDefault="00041FA5" w:rsidP="00041FA5">
      <w:pPr>
        <w:pStyle w:val="NormalWeb"/>
        <w:spacing w:line="276" w:lineRule="auto"/>
        <w:jc w:val="both"/>
      </w:pPr>
      <w:r w:rsidRPr="00CF2F70">
        <w:rPr>
          <w:rStyle w:val="Strong"/>
          <w:rFonts w:eastAsiaTheme="majorEastAsia"/>
        </w:rPr>
        <w:t xml:space="preserve">Shkolla e Magjistraturës </w:t>
      </w:r>
      <w:r w:rsidRPr="006B1F6D">
        <w:rPr>
          <w:rStyle w:val="Strong"/>
          <w:rFonts w:eastAsiaTheme="majorEastAsia"/>
          <w:b w:val="0"/>
          <w:bCs w:val="0"/>
        </w:rPr>
        <w:t>është përgjegjëse</w:t>
      </w:r>
      <w:r w:rsidRPr="00CF2F70">
        <w:rPr>
          <w:rStyle w:val="Strong"/>
          <w:rFonts w:eastAsiaTheme="majorEastAsia"/>
        </w:rPr>
        <w:t xml:space="preserve"> </w:t>
      </w:r>
      <w:r w:rsidR="00865A01">
        <w:rPr>
          <w:rStyle w:val="Strong"/>
          <w:rFonts w:eastAsiaTheme="majorEastAsia"/>
          <w:b w:val="0"/>
          <w:bCs w:val="0"/>
        </w:rPr>
        <w:t>në</w:t>
      </w:r>
      <w:r w:rsidRPr="00CF2F70">
        <w:t xml:space="preserve"> përgatitjen e gjyqtarëve dhe prokurorëve me njohuri të thelluara mbi legjislacionin penal, përfshirë çështjet që lidhen me armët e paligjshme, krimin e organizuar dhe trafikimin. Përmes trajnimeve të vazhdueshme dhe programeve të specializuara, kjo shkollë ndihmon në ngritjen e kapaciteteve të sistemit gjyqësor për të trajtuar me efikasitet çështje të ndërlikuara që lidhen me armët, duke rritur cilësinë e hetimeve dhe vendimeve gjyqësore.</w:t>
      </w:r>
    </w:p>
    <w:p w14:paraId="08006343" w14:textId="206FDAB9" w:rsidR="0024117E" w:rsidRPr="00DC6ABC" w:rsidRDefault="0024117E" w:rsidP="00041FA5">
      <w:pPr>
        <w:pStyle w:val="NormalWeb"/>
        <w:spacing w:line="276" w:lineRule="auto"/>
        <w:jc w:val="both"/>
      </w:pPr>
      <w:r w:rsidRPr="00DC6ABC">
        <w:rPr>
          <w:b/>
          <w:bCs/>
        </w:rPr>
        <w:t>Akademia e Sigurisë</w:t>
      </w:r>
      <w:r w:rsidRPr="00DC6ABC">
        <w:t>, është përgjegjëse për formimin, specializimin dhe kualifikimin e punonjësve të Policisë së Shtetit duke i pajisur ata, përveç të tjerave edhe me njohuri të plota në lidhje me legjislacionin dhe procedurat standarte të punës për armët dhe lëndët plasëse e piroteknike si dhe me aftësi praktike për identifikimin, ndalimin dhe hetimin e veprave penale që lidhen me armët e paligjshme dhe lëndët plasëse. Gjithashtu, ajo luan një rol të rëndësishëm në forcimin e kapaciteteve operacionale të policisë si dhe në nxitjen e bashkëpunimit ndërinstitucional.</w:t>
      </w:r>
    </w:p>
    <w:p w14:paraId="141EDB5C" w14:textId="5C92BCD8" w:rsidR="00177EB0" w:rsidRPr="004D114F" w:rsidRDefault="00041FA5" w:rsidP="004D114F">
      <w:pPr>
        <w:pStyle w:val="NormalWeb"/>
        <w:spacing w:line="276" w:lineRule="auto"/>
        <w:jc w:val="both"/>
        <w:rPr>
          <w:b/>
          <w:bCs/>
          <w:sz w:val="36"/>
          <w:szCs w:val="36"/>
        </w:rPr>
      </w:pPr>
      <w:r w:rsidRPr="00CF2F70">
        <w:rPr>
          <w:b/>
          <w:bCs/>
        </w:rPr>
        <w:t xml:space="preserve">Shërbimi Informativ </w:t>
      </w:r>
      <w:r w:rsidR="002A284C">
        <w:rPr>
          <w:b/>
          <w:bCs/>
        </w:rPr>
        <w:t>i Shtetit</w:t>
      </w:r>
      <w:r w:rsidRPr="00CF2F70">
        <w:t xml:space="preserve"> ka rol në aspektin e parandalimit dhe vlerësimit të rreziqeve që lidhen me armët, municionet dhe eksplozivët, duke siguruar informacion të klasifikuar mbi kërcënimet që mund të ndikojnë në sigurinë kombëtare. SHISH mbështet zbatimin e strategjisë nëpërmjet grumbullimit të të dhënave inteligjente dhe informimit të strukturave të tjera shtetërore për veprimtari të dyshuara të trafikut të paligjshëm apo grupeve të përfshira, duke luajtuar rol në identifikimin e risqeve që lidhen me aktorë apo rrjete me ndikim transnacional, gjithashtu duke kontribuar dhe në ndalimin në kohë të aktiviteteve që cenojnë sigurinë publike dhe atë shtetërore.</w:t>
      </w:r>
    </w:p>
    <w:p w14:paraId="524E02FF" w14:textId="10A00DDC" w:rsidR="00327A42" w:rsidRPr="00041FA5" w:rsidRDefault="00041FA5" w:rsidP="00041FA5">
      <w:pPr>
        <w:pStyle w:val="NormalWeb"/>
        <w:spacing w:line="276" w:lineRule="auto"/>
        <w:ind w:left="360"/>
        <w:jc w:val="both"/>
        <w:rPr>
          <w:b/>
          <w:bCs/>
          <w:sz w:val="32"/>
          <w:szCs w:val="32"/>
        </w:rPr>
      </w:pPr>
      <w:r w:rsidRPr="00041FA5">
        <w:rPr>
          <w:b/>
          <w:bCs/>
          <w:sz w:val="32"/>
          <w:szCs w:val="32"/>
        </w:rPr>
        <w:lastRenderedPageBreak/>
        <w:t>10.</w:t>
      </w:r>
      <w:r w:rsidR="006B1F6D">
        <w:rPr>
          <w:b/>
          <w:bCs/>
          <w:sz w:val="32"/>
          <w:szCs w:val="32"/>
        </w:rPr>
        <w:t>2</w:t>
      </w:r>
      <w:r w:rsidRPr="00041FA5">
        <w:rPr>
          <w:b/>
          <w:bCs/>
          <w:sz w:val="32"/>
          <w:szCs w:val="32"/>
        </w:rPr>
        <w:t xml:space="preserve"> Raportimi dhe Monitorimi</w:t>
      </w:r>
    </w:p>
    <w:p w14:paraId="5EEF8B88" w14:textId="77777777" w:rsidR="00091BA3" w:rsidRDefault="00091BA3" w:rsidP="00091BA3">
      <w:pPr>
        <w:spacing w:after="0" w:line="276" w:lineRule="auto"/>
        <w:jc w:val="both"/>
        <w:rPr>
          <w:rStyle w:val="A4"/>
          <w:rFonts w:ascii="Times New Roman" w:hAnsi="Times New Roman" w:cs="Times New Roman"/>
          <w:b/>
          <w:bCs/>
          <w:sz w:val="28"/>
          <w:szCs w:val="28"/>
        </w:rPr>
      </w:pPr>
      <w:r w:rsidRPr="00091BA3">
        <w:rPr>
          <w:rStyle w:val="A4"/>
          <w:rFonts w:ascii="Times New Roman" w:hAnsi="Times New Roman" w:cs="Times New Roman"/>
          <w:b/>
          <w:bCs/>
          <w:sz w:val="28"/>
          <w:szCs w:val="28"/>
        </w:rPr>
        <w:t>10.2.1 Raportimi</w:t>
      </w:r>
    </w:p>
    <w:p w14:paraId="78A3DEB2" w14:textId="77777777" w:rsidR="004D114F" w:rsidRDefault="004D114F" w:rsidP="00091BA3">
      <w:pPr>
        <w:spacing w:after="0" w:line="276" w:lineRule="auto"/>
        <w:jc w:val="both"/>
        <w:rPr>
          <w:rStyle w:val="A4"/>
          <w:rFonts w:ascii="Times New Roman" w:hAnsi="Times New Roman" w:cs="Times New Roman"/>
          <w:sz w:val="24"/>
          <w:szCs w:val="24"/>
        </w:rPr>
      </w:pPr>
    </w:p>
    <w:p w14:paraId="6D7D55E7" w14:textId="446706E8" w:rsidR="00091BA3" w:rsidRPr="00091BA3" w:rsidRDefault="00091BA3" w:rsidP="00091BA3">
      <w:pPr>
        <w:spacing w:after="0" w:line="276" w:lineRule="auto"/>
        <w:jc w:val="both"/>
        <w:rPr>
          <w:rFonts w:ascii="Times New Roman" w:eastAsiaTheme="majorEastAsia" w:hAnsi="Times New Roman" w:cs="Times New Roman"/>
          <w:color w:val="000000"/>
        </w:rPr>
      </w:pPr>
      <w:r w:rsidRPr="00091BA3">
        <w:rPr>
          <w:rStyle w:val="A4"/>
          <w:rFonts w:ascii="Times New Roman" w:hAnsi="Times New Roman" w:cs="Times New Roman"/>
          <w:sz w:val="24"/>
          <w:szCs w:val="24"/>
        </w:rPr>
        <w:t>Përqasja dhe rishikimi i dokumentit strategjik do të jetë sipas kërkesave të VKM-së nr. 290, datë 11.4.2020, të ndryshuar “Për krijimin e bazës së të dhënave shtetërore të sistemit informatik të planifikimit të integruar (SIPI/IPSIS), për të siguruar përputhshmërinë me sistemin IPSIS”.</w:t>
      </w:r>
      <w:bookmarkStart w:id="2" w:name="_Toc503790113"/>
      <w:bookmarkStart w:id="3" w:name="_Toc503790189"/>
      <w:bookmarkStart w:id="4" w:name="_Toc514071368"/>
      <w:r w:rsidR="00543FD0">
        <w:rPr>
          <w:rStyle w:val="A4"/>
          <w:rFonts w:ascii="Times New Roman" w:hAnsi="Times New Roman" w:cs="Times New Roman"/>
          <w:sz w:val="24"/>
          <w:szCs w:val="24"/>
        </w:rPr>
        <w:t xml:space="preserve"> </w:t>
      </w:r>
      <w:r w:rsidRPr="00091BA3">
        <w:rPr>
          <w:rFonts w:ascii="Times New Roman" w:hAnsi="Times New Roman" w:cs="Times New Roman"/>
        </w:rPr>
        <w:t>Procesi i llogaridhënies, monitorimit dhe analizës vlerësuese do të bëhet nga strukturat koordinuese si më poshtë:</w:t>
      </w:r>
    </w:p>
    <w:p w14:paraId="16F6441F" w14:textId="4BD3E19C" w:rsidR="00091BA3" w:rsidRDefault="00091BA3" w:rsidP="00300DC3">
      <w:pPr>
        <w:pStyle w:val="TEKSTI"/>
        <w:numPr>
          <w:ilvl w:val="0"/>
          <w:numId w:val="8"/>
        </w:numPr>
        <w:spacing w:line="276" w:lineRule="auto"/>
        <w:rPr>
          <w:rFonts w:ascii="Times New Roman" w:hAnsi="Times New Roman"/>
        </w:rPr>
      </w:pPr>
      <w:r w:rsidRPr="00091BA3">
        <w:rPr>
          <w:rFonts w:ascii="Times New Roman" w:hAnsi="Times New Roman"/>
        </w:rPr>
        <w:t>Komisioni i Ar</w:t>
      </w:r>
      <w:r w:rsidR="00543FD0" w:rsidRPr="00DC6ABC">
        <w:rPr>
          <w:rFonts w:ascii="Times New Roman" w:hAnsi="Times New Roman"/>
        </w:rPr>
        <w:t>m</w:t>
      </w:r>
      <w:r w:rsidRPr="00091BA3">
        <w:rPr>
          <w:rFonts w:ascii="Times New Roman" w:hAnsi="Times New Roman"/>
        </w:rPr>
        <w:t xml:space="preserve">ëve të Vogla dhe të Lehta i cili do të shqyrtojë dhe miratojë raportet në zbatim të politikave dhe objektivave të përcaktuar në këtë dokument strategjik. </w:t>
      </w:r>
    </w:p>
    <w:p w14:paraId="643AA195" w14:textId="7076C1D0" w:rsidR="00091BA3" w:rsidRPr="00091BA3" w:rsidRDefault="00091BA3" w:rsidP="00300DC3">
      <w:pPr>
        <w:pStyle w:val="TEKSTI"/>
        <w:numPr>
          <w:ilvl w:val="0"/>
          <w:numId w:val="8"/>
        </w:numPr>
        <w:spacing w:line="276" w:lineRule="auto"/>
        <w:rPr>
          <w:rFonts w:ascii="Times New Roman" w:hAnsi="Times New Roman"/>
        </w:rPr>
      </w:pPr>
      <w:r w:rsidRPr="00091BA3">
        <w:rPr>
          <w:rFonts w:ascii="Times New Roman" w:hAnsi="Times New Roman"/>
        </w:rPr>
        <w:t xml:space="preserve">Ministria e Brendshme është institucioni përgjegjës që udhëheq hartimin, koordinimin dhe bashkërendimin e institucioneve të përfshira në këtë strategji. </w:t>
      </w:r>
    </w:p>
    <w:p w14:paraId="7FF92003" w14:textId="77777777" w:rsidR="00091BA3" w:rsidRDefault="00091BA3" w:rsidP="00091BA3">
      <w:pPr>
        <w:pStyle w:val="TEKSTI"/>
      </w:pPr>
    </w:p>
    <w:p w14:paraId="3855AA5F" w14:textId="06C7B89B" w:rsidR="00091BA3" w:rsidRDefault="00091BA3" w:rsidP="00091BA3">
      <w:pPr>
        <w:spacing w:after="0" w:line="240" w:lineRule="auto"/>
        <w:rPr>
          <w:rFonts w:ascii="Times New Roman" w:hAnsi="Times New Roman" w:cs="Times New Roman"/>
          <w:b/>
          <w:color w:val="000000" w:themeColor="text1"/>
          <w:sz w:val="28"/>
          <w:szCs w:val="28"/>
        </w:rPr>
      </w:pPr>
      <w:r w:rsidRPr="00091BA3">
        <w:rPr>
          <w:rFonts w:ascii="Times New Roman" w:hAnsi="Times New Roman" w:cs="Times New Roman"/>
          <w:b/>
          <w:color w:val="000000" w:themeColor="text1"/>
          <w:sz w:val="28"/>
          <w:szCs w:val="28"/>
        </w:rPr>
        <w:t>10.2.2 Monitorimi</w:t>
      </w:r>
      <w:bookmarkEnd w:id="2"/>
      <w:bookmarkEnd w:id="3"/>
      <w:r w:rsidRPr="00091BA3">
        <w:rPr>
          <w:rFonts w:ascii="Times New Roman" w:hAnsi="Times New Roman" w:cs="Times New Roman"/>
          <w:b/>
          <w:color w:val="000000" w:themeColor="text1"/>
          <w:sz w:val="28"/>
          <w:szCs w:val="28"/>
        </w:rPr>
        <w:t xml:space="preserve"> </w:t>
      </w:r>
      <w:bookmarkEnd w:id="4"/>
    </w:p>
    <w:p w14:paraId="313BE592" w14:textId="77777777" w:rsidR="004D114F" w:rsidRPr="00091BA3" w:rsidRDefault="004D114F" w:rsidP="00091BA3">
      <w:pPr>
        <w:spacing w:after="0" w:line="240" w:lineRule="auto"/>
        <w:rPr>
          <w:rFonts w:ascii="Times New Roman" w:hAnsi="Times New Roman" w:cs="Times New Roman"/>
          <w:b/>
          <w:color w:val="000000" w:themeColor="text1"/>
          <w:sz w:val="28"/>
          <w:szCs w:val="28"/>
        </w:rPr>
      </w:pPr>
    </w:p>
    <w:p w14:paraId="4975BECD" w14:textId="77777777" w:rsidR="00091BA3" w:rsidRP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 xml:space="preserve">Krahas zbatimit të masave të përcaktuara në Strategji dhe Planin e Veprimit, monitorimi i vazhdueshëm i strukturave të angazhuara për përmbushjen e detyrimeve që rrjedhin nga këto dokumente konsiderohet i nevojshëm për të analizuar gjendjen reale gjatë zbatimit të tyre dhe për të mbikëqyrur implementimin periodik, me qëllim përmbushjen e tyre në mënyrë sa më efektive. </w:t>
      </w:r>
    </w:p>
    <w:p w14:paraId="45259278" w14:textId="715A826D" w:rsidR="00091BA3" w:rsidRP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 xml:space="preserve">Monitorimi dhe vlerësimi i punës së autoriteteve që kanë detyrime për zbatimin e Strategjisë do të shërbejë për të ndjekur ecurinë e strategjisë, për të vlerësuar shkallën e realizimit të politikave, objektivave të saj dhe përmbushjes së masave dhe aktiviteteve. </w:t>
      </w:r>
    </w:p>
    <w:p w14:paraId="7FAD00EA" w14:textId="1A82FE42" w:rsidR="00091BA3" w:rsidRPr="00091BA3" w:rsidRDefault="00091BA3" w:rsidP="00091BA3">
      <w:pPr>
        <w:pStyle w:val="TEKSTI"/>
        <w:spacing w:line="276" w:lineRule="auto"/>
        <w:ind w:firstLine="0"/>
        <w:rPr>
          <w:rFonts w:ascii="Times New Roman" w:hAnsi="Times New Roman"/>
        </w:rPr>
      </w:pPr>
      <w:r w:rsidRPr="00091BA3">
        <w:rPr>
          <w:rFonts w:ascii="Times New Roman" w:hAnsi="Times New Roman"/>
        </w:rPr>
        <w:t xml:space="preserve">Monitorimi i Planit të Veprimit do të kryhet nga Komisioni i </w:t>
      </w:r>
      <w:r w:rsidRPr="00DC6ABC">
        <w:rPr>
          <w:rFonts w:ascii="Times New Roman" w:hAnsi="Times New Roman"/>
        </w:rPr>
        <w:t>Ar</w:t>
      </w:r>
      <w:r w:rsidR="00725AF5" w:rsidRPr="00DC6ABC">
        <w:rPr>
          <w:rFonts w:ascii="Times New Roman" w:hAnsi="Times New Roman"/>
        </w:rPr>
        <w:t>m</w:t>
      </w:r>
      <w:r w:rsidRPr="00DC6ABC">
        <w:rPr>
          <w:rFonts w:ascii="Times New Roman" w:hAnsi="Times New Roman"/>
        </w:rPr>
        <w:t xml:space="preserve">ëve </w:t>
      </w:r>
      <w:r w:rsidRPr="00091BA3">
        <w:rPr>
          <w:rFonts w:ascii="Times New Roman" w:hAnsi="Times New Roman"/>
        </w:rPr>
        <w:t xml:space="preserve">të Vogla dhe të Lehta i cili do të shqyrtojë dhe miratojë raportet në zbatim të politikave dhe objektivave të përcaktuar në këtë dokument strategjik. </w:t>
      </w:r>
    </w:p>
    <w:p w14:paraId="4D70D0D2" w14:textId="4A176C92" w:rsidR="00091BA3" w:rsidRPr="00091BA3" w:rsidRDefault="00091BA3" w:rsidP="00091BA3">
      <w:pPr>
        <w:spacing w:after="0" w:line="276" w:lineRule="auto"/>
        <w:ind w:firstLine="284"/>
        <w:jc w:val="both"/>
        <w:rPr>
          <w:rFonts w:ascii="Times New Roman" w:hAnsi="Times New Roman" w:cs="Times New Roman"/>
        </w:rPr>
      </w:pPr>
      <w:r w:rsidRPr="00091BA3">
        <w:rPr>
          <w:rFonts w:ascii="Times New Roman" w:hAnsi="Times New Roman" w:cs="Times New Roman"/>
        </w:rPr>
        <w:t xml:space="preserve"> </w:t>
      </w:r>
    </w:p>
    <w:p w14:paraId="7C07F036" w14:textId="571BF0B0" w:rsidR="00091BA3" w:rsidRP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Procesi do të kryhet me pjesëmarrjen e përfaqësuesve nga institucionet kryesore përgjegjëse për çështjet e sigurisë në komunitet (përfs</w:t>
      </w:r>
      <w:r w:rsidR="00725AF5">
        <w:rPr>
          <w:rFonts w:ascii="Times New Roman" w:hAnsi="Times New Roman" w:cs="Times New Roman"/>
        </w:rPr>
        <w:t>hirë MB/DPPSH, MASR, MSHMS, etj.</w:t>
      </w:r>
      <w:r w:rsidRPr="00091BA3">
        <w:rPr>
          <w:rFonts w:ascii="Times New Roman" w:hAnsi="Times New Roman" w:cs="Times New Roman"/>
        </w:rPr>
        <w:t xml:space="preserve">, Donatorë dhe shoqërinë civile, (përfaqësues të organizatave joqeveritare). </w:t>
      </w:r>
    </w:p>
    <w:p w14:paraId="5B501C19" w14:textId="23B7E81F" w:rsid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Me synim garantimin e përmbushjes së objektivave strategjikë të sigurisë në komunitet, bazuar në këtë dokument strategjik, do të merren masat e mëposhtme</w:t>
      </w:r>
    </w:p>
    <w:p w14:paraId="6F0D8EFE" w14:textId="77777777" w:rsidR="00091BA3" w:rsidRPr="00091BA3" w:rsidRDefault="00091BA3" w:rsidP="00091BA3">
      <w:pPr>
        <w:spacing w:after="0" w:line="276" w:lineRule="auto"/>
        <w:jc w:val="both"/>
        <w:rPr>
          <w:rFonts w:ascii="Times New Roman" w:hAnsi="Times New Roman" w:cs="Times New Roman"/>
        </w:rPr>
      </w:pPr>
    </w:p>
    <w:p w14:paraId="614C3960" w14:textId="2D02CF43" w:rsidR="00091BA3" w:rsidRPr="00091BA3" w:rsidRDefault="00091BA3" w:rsidP="00300DC3">
      <w:pPr>
        <w:pStyle w:val="TEKSTI"/>
        <w:numPr>
          <w:ilvl w:val="0"/>
          <w:numId w:val="11"/>
        </w:numPr>
        <w:spacing w:line="276" w:lineRule="auto"/>
        <w:rPr>
          <w:rFonts w:ascii="Times New Roman" w:hAnsi="Times New Roman"/>
        </w:rPr>
      </w:pPr>
      <w:r w:rsidRPr="00091BA3">
        <w:rPr>
          <w:rFonts w:ascii="Times New Roman" w:hAnsi="Times New Roman"/>
        </w:rPr>
        <w:t xml:space="preserve">do të monitorohen treguesit e përcaktuar në strategji; </w:t>
      </w:r>
    </w:p>
    <w:p w14:paraId="4442141B" w14:textId="5FD60E56" w:rsidR="00091BA3" w:rsidRPr="00091BA3" w:rsidRDefault="00091BA3" w:rsidP="00300DC3">
      <w:pPr>
        <w:pStyle w:val="TEKSTI"/>
        <w:numPr>
          <w:ilvl w:val="0"/>
          <w:numId w:val="11"/>
        </w:numPr>
        <w:spacing w:line="276" w:lineRule="auto"/>
        <w:rPr>
          <w:rFonts w:ascii="Times New Roman" w:hAnsi="Times New Roman"/>
        </w:rPr>
      </w:pPr>
      <w:r w:rsidRPr="00091BA3">
        <w:rPr>
          <w:rFonts w:ascii="Times New Roman" w:hAnsi="Times New Roman"/>
        </w:rPr>
        <w:t xml:space="preserve">do të rekomandohen ndryshime në programet sektoriale, duke pasur parasysh arritjet, rrethanat, risqet dhe rreziqet si dhe eksperiencat e mëparshme, si dhe në përputhje me rekomandimet e progres raporteve të Bashkimit Evropian; </w:t>
      </w:r>
    </w:p>
    <w:p w14:paraId="360A2FCB" w14:textId="31F0EC25" w:rsidR="00091BA3" w:rsidRPr="00091BA3" w:rsidRDefault="00091BA3" w:rsidP="00300DC3">
      <w:pPr>
        <w:pStyle w:val="TEKSTI"/>
        <w:numPr>
          <w:ilvl w:val="0"/>
          <w:numId w:val="11"/>
        </w:numPr>
        <w:spacing w:line="276" w:lineRule="auto"/>
        <w:rPr>
          <w:rFonts w:ascii="Times New Roman" w:hAnsi="Times New Roman"/>
        </w:rPr>
      </w:pPr>
      <w:r w:rsidRPr="00091BA3">
        <w:rPr>
          <w:rFonts w:ascii="Times New Roman" w:hAnsi="Times New Roman"/>
        </w:rPr>
        <w:t xml:space="preserve">do të sigurohen konsultime me palët e interesit, përfshirë shpërndarjen sistematike të informacionit për publikun; </w:t>
      </w:r>
    </w:p>
    <w:p w14:paraId="3FD84C5F" w14:textId="02A02302" w:rsidR="00091BA3" w:rsidRPr="00091BA3" w:rsidRDefault="00091BA3" w:rsidP="00300DC3">
      <w:pPr>
        <w:pStyle w:val="TEKSTI"/>
        <w:numPr>
          <w:ilvl w:val="0"/>
          <w:numId w:val="11"/>
        </w:numPr>
        <w:spacing w:line="276" w:lineRule="auto"/>
        <w:rPr>
          <w:rFonts w:ascii="Times New Roman" w:hAnsi="Times New Roman"/>
          <w:color w:val="000000"/>
        </w:rPr>
      </w:pPr>
      <w:r w:rsidRPr="00091BA3">
        <w:rPr>
          <w:rFonts w:ascii="Times New Roman" w:hAnsi="Times New Roman"/>
        </w:rPr>
        <w:lastRenderedPageBreak/>
        <w:t xml:space="preserve">do të jepet kontribut në rritjen e konsistencës dhe integrimit të politikave dhe masave të sigurisë në të gjitha nivelet e administrimit, si dhe në përdorimin më të mirë të burimeve; </w:t>
      </w:r>
    </w:p>
    <w:p w14:paraId="67F6B93E" w14:textId="546BB5DA" w:rsidR="00091BA3" w:rsidRPr="00091BA3" w:rsidRDefault="00091BA3" w:rsidP="00300DC3">
      <w:pPr>
        <w:pStyle w:val="ListParagraph"/>
        <w:numPr>
          <w:ilvl w:val="0"/>
          <w:numId w:val="11"/>
        </w:numPr>
        <w:spacing w:after="0" w:line="276" w:lineRule="auto"/>
        <w:jc w:val="both"/>
        <w:rPr>
          <w:rFonts w:ascii="Times New Roman" w:hAnsi="Times New Roman" w:cs="Times New Roman"/>
        </w:rPr>
      </w:pPr>
      <w:r w:rsidRPr="00091BA3">
        <w:rPr>
          <w:rFonts w:ascii="Times New Roman" w:hAnsi="Times New Roman" w:cs="Times New Roman"/>
          <w:bCs/>
          <w:color w:val="000000"/>
        </w:rPr>
        <w:t>monitorimi do të kryhet bazuar në raporte 6-mujore dhe vjetore për</w:t>
      </w:r>
      <w:r w:rsidRPr="00091BA3">
        <w:rPr>
          <w:rFonts w:ascii="Times New Roman" w:hAnsi="Times New Roman" w:cs="Times New Roman"/>
          <w:b/>
          <w:bCs/>
          <w:color w:val="000000"/>
        </w:rPr>
        <w:t xml:space="preserve"> </w:t>
      </w:r>
      <w:r w:rsidRPr="00091BA3">
        <w:rPr>
          <w:rFonts w:ascii="Times New Roman" w:hAnsi="Times New Roman" w:cs="Times New Roman"/>
          <w:color w:val="000000"/>
        </w:rPr>
        <w:t xml:space="preserve">monitorimin dhe koordinimin e zbatimit të objektivave dhe masave të planit të veprimit. </w:t>
      </w:r>
    </w:p>
    <w:p w14:paraId="43ABFE34" w14:textId="77777777" w:rsidR="00091BA3" w:rsidRPr="00091BA3" w:rsidRDefault="00091BA3" w:rsidP="00091BA3">
      <w:pPr>
        <w:pStyle w:val="ListParagraph"/>
        <w:spacing w:after="0" w:line="276" w:lineRule="auto"/>
        <w:ind w:left="1004"/>
        <w:jc w:val="both"/>
        <w:rPr>
          <w:rFonts w:ascii="Times New Roman" w:hAnsi="Times New Roman" w:cs="Times New Roman"/>
        </w:rPr>
      </w:pPr>
    </w:p>
    <w:p w14:paraId="7F2D6C77" w14:textId="75952A49" w:rsidR="00091BA3" w:rsidRPr="00091BA3" w:rsidRDefault="00091BA3" w:rsidP="00091BA3">
      <w:pPr>
        <w:spacing w:after="0" w:line="276" w:lineRule="auto"/>
        <w:jc w:val="both"/>
        <w:rPr>
          <w:rFonts w:ascii="Times New Roman" w:hAnsi="Times New Roman" w:cs="Times New Roman"/>
        </w:rPr>
      </w:pPr>
      <w:r>
        <w:rPr>
          <w:rFonts w:ascii="Times New Roman" w:hAnsi="Times New Roman" w:cs="Times New Roman"/>
        </w:rPr>
        <w:t>P</w:t>
      </w:r>
      <w:r w:rsidRPr="00091BA3">
        <w:rPr>
          <w:rFonts w:ascii="Times New Roman" w:hAnsi="Times New Roman" w:cs="Times New Roman"/>
        </w:rPr>
        <w:t xml:space="preserve">ërmirësimet në sistemin e monitorimit dhe vlerësimit synojnë të lehtësojnë/ndihmojnë në përafrimin e kuadrit strategjik dhe prioriteteve në fusha të ndryshme dhe të informojnë për politikat e vendit të lidhura </w:t>
      </w:r>
      <w:r w:rsidR="00F16F0E" w:rsidRPr="00DC6ABC">
        <w:rPr>
          <w:rFonts w:ascii="Times New Roman" w:hAnsi="Times New Roman" w:cs="Times New Roman"/>
        </w:rPr>
        <w:t>me</w:t>
      </w:r>
      <w:r w:rsidR="00F16F0E">
        <w:rPr>
          <w:rFonts w:ascii="Times New Roman" w:hAnsi="Times New Roman" w:cs="Times New Roman"/>
        </w:rPr>
        <w:t xml:space="preserve"> </w:t>
      </w:r>
      <w:r w:rsidRPr="00091BA3">
        <w:rPr>
          <w:rFonts w:ascii="Times New Roman" w:hAnsi="Times New Roman" w:cs="Times New Roman"/>
        </w:rPr>
        <w:t xml:space="preserve">sigurinë në komunitet. Fuqizimi dhe zgjerimi i kuadrit statistikor si në MB, DPPSH dhe institucionet e tjera përgjegjëse do të lehtësojë hartimin e politikave bazuar në evidenca/ të dhëna, si dhe do të mundësojë vlerësimin objektiv për përmbushjen e objektivave. </w:t>
      </w:r>
    </w:p>
    <w:p w14:paraId="4F534B40" w14:textId="77777777" w:rsidR="00091BA3" w:rsidRDefault="00091BA3" w:rsidP="00091BA3">
      <w:pPr>
        <w:spacing w:after="0" w:line="276" w:lineRule="auto"/>
        <w:ind w:firstLine="284"/>
        <w:jc w:val="both"/>
        <w:rPr>
          <w:rFonts w:ascii="Times New Roman" w:hAnsi="Times New Roman" w:cs="Times New Roman"/>
          <w:b/>
          <w:color w:val="000000" w:themeColor="text1"/>
          <w:sz w:val="28"/>
          <w:szCs w:val="28"/>
        </w:rPr>
      </w:pPr>
    </w:p>
    <w:p w14:paraId="0CA7157B" w14:textId="7D58B637" w:rsidR="00091BA3" w:rsidRDefault="00091BA3" w:rsidP="00091BA3">
      <w:pPr>
        <w:spacing w:after="0" w:line="276" w:lineRule="auto"/>
        <w:jc w:val="both"/>
        <w:rPr>
          <w:rFonts w:ascii="Times New Roman" w:hAnsi="Times New Roman" w:cs="Times New Roman"/>
          <w:b/>
          <w:color w:val="000000" w:themeColor="text1"/>
          <w:sz w:val="28"/>
          <w:szCs w:val="28"/>
        </w:rPr>
      </w:pPr>
      <w:r w:rsidRPr="00091BA3">
        <w:rPr>
          <w:rFonts w:ascii="Times New Roman" w:hAnsi="Times New Roman" w:cs="Times New Roman"/>
          <w:b/>
          <w:color w:val="000000" w:themeColor="text1"/>
          <w:sz w:val="28"/>
          <w:szCs w:val="28"/>
        </w:rPr>
        <w:t xml:space="preserve">10.2.3 Raportimi </w:t>
      </w:r>
    </w:p>
    <w:p w14:paraId="3886A27F" w14:textId="77777777" w:rsidR="00091BA3" w:rsidRDefault="00091BA3" w:rsidP="00091BA3">
      <w:pPr>
        <w:spacing w:after="0" w:line="276" w:lineRule="auto"/>
        <w:jc w:val="both"/>
        <w:rPr>
          <w:rFonts w:ascii="Times New Roman" w:hAnsi="Times New Roman" w:cs="Times New Roman"/>
          <w:b/>
          <w:color w:val="000000" w:themeColor="text1"/>
          <w:sz w:val="28"/>
          <w:szCs w:val="28"/>
        </w:rPr>
      </w:pPr>
    </w:p>
    <w:p w14:paraId="0C8E65FF" w14:textId="36775C96" w:rsidR="00091BA3" w:rsidRP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 xml:space="preserve">Të gjithë institucionet të ngarkuara me zbatimin e Strategjisë Kombëtare për Armët e Vogla, Lehta, Municioneve, Eksplozivëve 2025-2030  do të hartojnë raporte mbi bazë 6-mujore dhe një vjeçare në zbatim të detyrimeve të përcaktuara në Planin e Veprimit në zbatim të Strategjisë, si dhe do të hedhin të dhëna në sistemin IPSIS. Ministria e Brendshme do të jetë institucioni lider, i cili do të mbledhë, përpunojë dhe analizojë raportet periodike 6-mujore dhe 1-vjeçare që do të përcillen nga të gjitha institucionet e ngarkuara në përmbushje të objektivave dhe masave përkatëse. </w:t>
      </w:r>
    </w:p>
    <w:p w14:paraId="4DEB9F9C" w14:textId="77777777" w:rsidR="00091BA3" w:rsidRPr="00091BA3" w:rsidRDefault="00091BA3" w:rsidP="00091BA3">
      <w:pPr>
        <w:shd w:val="clear" w:color="auto" w:fill="FFFFFF"/>
        <w:spacing w:after="0" w:line="276" w:lineRule="auto"/>
        <w:jc w:val="both"/>
        <w:rPr>
          <w:rFonts w:ascii="Times New Roman" w:hAnsi="Times New Roman" w:cs="Times New Roman"/>
        </w:rPr>
      </w:pPr>
      <w:r w:rsidRPr="00091BA3">
        <w:rPr>
          <w:rFonts w:ascii="Times New Roman" w:hAnsi="Times New Roman" w:cs="Times New Roman"/>
        </w:rPr>
        <w:t xml:space="preserve">Institucionet duhet të raportojnë periodikisht për realizimin e masave, me periodicitet 6 mujor përmes të dhënave të raportuara në Sistemin Informativ për Planifikimin Strategjik të Integruar (IPSIS) në Këshillin e Ministrave dhe në Sekretariatin Teknik Ndërinstitucional. </w:t>
      </w:r>
    </w:p>
    <w:p w14:paraId="561A474B" w14:textId="77777777" w:rsidR="00091BA3" w:rsidRPr="00091BA3" w:rsidRDefault="00091BA3" w:rsidP="00091BA3">
      <w:pPr>
        <w:spacing w:after="0" w:line="276" w:lineRule="auto"/>
        <w:ind w:firstLine="284"/>
        <w:jc w:val="both"/>
        <w:rPr>
          <w:rFonts w:ascii="Times New Roman" w:hAnsi="Times New Roman" w:cs="Times New Roman"/>
        </w:rPr>
      </w:pPr>
    </w:p>
    <w:p w14:paraId="1B32CD32" w14:textId="031FBECE" w:rsidR="00091BA3" w:rsidRP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 xml:space="preserve">Krahas monitorimit të vazhdueshëm, progresi në përmbushjen e qëllimeve të Strategjisë do të matet nëpërmjet vlerësimit afatmesëm, që do të kryhet në përfundim të katër-vjeçarit, në fund të vitit 2028, që do të analizojë rezultatet e arritura, menaxhimin e burimeve dhe cilësinë e zbatimit. Kjo analizë do të tregojë për ndryshimet në kontekstin e përgjithshëm ekonomik dhe social, do të vlerësojë nëse qëllimet janë të qenësishme, duke krahasuar kontekstin fillestar dhe do të identifikojë veprimet e nevojshme. </w:t>
      </w:r>
    </w:p>
    <w:p w14:paraId="16B9C784" w14:textId="77777777" w:rsidR="00091BA3" w:rsidRPr="00091BA3" w:rsidRDefault="00091BA3" w:rsidP="00091BA3">
      <w:pPr>
        <w:spacing w:after="0" w:line="276" w:lineRule="auto"/>
        <w:ind w:firstLine="284"/>
        <w:jc w:val="both"/>
        <w:rPr>
          <w:rFonts w:ascii="Times New Roman" w:hAnsi="Times New Roman" w:cs="Times New Roman"/>
        </w:rPr>
      </w:pPr>
    </w:p>
    <w:p w14:paraId="56D8ED75" w14:textId="76338A3A" w:rsidR="00130B46" w:rsidRPr="00091BA3" w:rsidRDefault="00091BA3" w:rsidP="00091BA3">
      <w:pPr>
        <w:spacing w:after="0" w:line="276" w:lineRule="auto"/>
        <w:jc w:val="both"/>
        <w:rPr>
          <w:rFonts w:ascii="Times New Roman" w:hAnsi="Times New Roman" w:cs="Times New Roman"/>
        </w:rPr>
      </w:pPr>
      <w:r w:rsidRPr="00091BA3">
        <w:rPr>
          <w:rFonts w:ascii="Times New Roman" w:hAnsi="Times New Roman" w:cs="Times New Roman"/>
        </w:rPr>
        <w:t>Një vlerësim përfundimtar, pas përfundimit të periudhës së zbatimit do të analizojë të gjithë strategjinë dhe ndikimin e saj të përgjithshëm, ku do të vlerësohen rezultatet e masave të ndërmarra, burimeve të investuara dhe masën në të cilën janë arritur efektet e pritura. Vlerësimi përfundimtar do të kryhet duke analizuar të dhënat nga burime të ndryshme, duke përfshirë edhe gjetjet e monitorimit të performancës dhe vlerësimit të ndikimit të programeve aktive të sigurisë në komunitet. Po në këtë kuadër do të shërbejnë edhe raportet e vlerësimit të impaktit, si dhe raporte e studime të kryera nga shoqëria civile dhe donatorët.</w:t>
      </w:r>
    </w:p>
    <w:p w14:paraId="24423664" w14:textId="77777777" w:rsidR="00130B46" w:rsidRDefault="00130B46" w:rsidP="0012642E">
      <w:pPr>
        <w:pStyle w:val="NormalWeb"/>
        <w:spacing w:line="276" w:lineRule="auto"/>
        <w:jc w:val="both"/>
      </w:pPr>
    </w:p>
    <w:p w14:paraId="5C9121FA" w14:textId="61E2D76C" w:rsidR="009C1ED7" w:rsidRPr="004D114F" w:rsidRDefault="00AE255F" w:rsidP="00B917E7">
      <w:pPr>
        <w:pStyle w:val="NormalWeb"/>
        <w:spacing w:line="276" w:lineRule="auto"/>
        <w:jc w:val="both"/>
        <w:rPr>
          <w:b/>
          <w:bCs/>
          <w:sz w:val="28"/>
          <w:szCs w:val="28"/>
        </w:rPr>
      </w:pPr>
      <w:r w:rsidRPr="004D114F">
        <w:rPr>
          <w:b/>
          <w:bCs/>
          <w:sz w:val="28"/>
          <w:szCs w:val="28"/>
        </w:rPr>
        <w:lastRenderedPageBreak/>
        <w:t>11. PJESA X. BUXHETI</w:t>
      </w:r>
    </w:p>
    <w:p w14:paraId="76F48CA5" w14:textId="6D483076" w:rsidR="00B917E7" w:rsidRDefault="005E5266" w:rsidP="005E5266">
      <w:pPr>
        <w:rPr>
          <w:rFonts w:ascii="Times New Roman" w:eastAsia="Times New Roman" w:hAnsi="Times New Roman" w:cs="Times New Roman"/>
          <w:kern w:val="0"/>
          <w14:ligatures w14:val="none"/>
        </w:rPr>
      </w:pPr>
      <w:r w:rsidRPr="005E5266">
        <w:rPr>
          <w:rFonts w:ascii="Times New Roman" w:eastAsia="Times New Roman" w:hAnsi="Times New Roman" w:cs="Times New Roman"/>
          <w:kern w:val="0"/>
          <w14:ligatures w14:val="none"/>
        </w:rPr>
        <w:t>Kostoja e përgjithshme e përllogaritur për zbatimin e Planit të Veprimit 2025-2028, të Strategjisë për Kontrollin e Armëve të Vogla, të Lehta, Municioneve dhe Eksplozivëve 2025-2030 është 3,366,987,133 lekë ose 36,165,275 (36.1 milion euro).</w:t>
      </w:r>
    </w:p>
    <w:p w14:paraId="2C3DAFCF" w14:textId="77777777" w:rsidR="005E5266" w:rsidRPr="005E5266" w:rsidRDefault="005E5266" w:rsidP="005E5266">
      <w:pPr>
        <w:rPr>
          <w:rFonts w:ascii="Times New Roman" w:eastAsia="Times New Roman" w:hAnsi="Times New Roman" w:cs="Times New Roman"/>
          <w:kern w:val="0"/>
          <w14:ligatures w14:val="none"/>
        </w:rPr>
      </w:pPr>
      <w:r w:rsidRPr="005E5266">
        <w:rPr>
          <w:rFonts w:ascii="Times New Roman" w:eastAsia="Times New Roman" w:hAnsi="Times New Roman" w:cs="Times New Roman"/>
          <w:kern w:val="0"/>
          <w14:ligatures w14:val="none"/>
        </w:rPr>
        <w:t>Kursi mesatar për referencë është përllogaritur me 93.1 lekë për 1 Euro. Tabela 1 pasqyron kostot e përgjithshme, burimet e financimit dhe hendekun financiar përgjatë 4 viteve të zbatimit të PV 2025 - 2028.</w:t>
      </w:r>
    </w:p>
    <w:p w14:paraId="28C76A4F" w14:textId="77777777" w:rsidR="005E5266" w:rsidRPr="005E5266" w:rsidRDefault="005E5266" w:rsidP="005E5266">
      <w:pPr>
        <w:rPr>
          <w:rFonts w:ascii="Times New Roman" w:eastAsia="Times New Roman" w:hAnsi="Times New Roman" w:cs="Times New Roman"/>
          <w:kern w:val="0"/>
          <w14:ligatures w14:val="none"/>
        </w:rPr>
      </w:pPr>
      <w:r w:rsidRPr="005E5266">
        <w:rPr>
          <w:rFonts w:ascii="Times New Roman" w:eastAsia="Times New Roman" w:hAnsi="Times New Roman" w:cs="Times New Roman"/>
          <w:kern w:val="0"/>
          <w14:ligatures w14:val="none"/>
        </w:rPr>
        <w:t>Efektet financiare janë përllogaritur për çdo aktivitetet të Planin e Veprimit, duke mbajtur në konsideratë produktet dhe treguesit e përcaktuar për çdo aktivitet. Efektet financiare parashikohen të përballohen nga buxhetet respektive vjetore të institucioneve të ngarkuara me zbatimin e masave, nga buxhete të donatorëve dhe institucioneve të tjera që janë ngarkuar për zbatimin e masave.</w:t>
      </w:r>
    </w:p>
    <w:p w14:paraId="3D60F5D0" w14:textId="05461B64" w:rsidR="005E5266" w:rsidRDefault="005E5266" w:rsidP="005E5266">
      <w:pPr>
        <w:rPr>
          <w:rFonts w:ascii="Times New Roman" w:eastAsia="Times New Roman" w:hAnsi="Times New Roman" w:cs="Times New Roman"/>
          <w:kern w:val="0"/>
          <w14:ligatures w14:val="none"/>
        </w:rPr>
      </w:pPr>
      <w:r w:rsidRPr="005E5266">
        <w:rPr>
          <w:rFonts w:ascii="Times New Roman" w:eastAsia="Times New Roman" w:hAnsi="Times New Roman" w:cs="Times New Roman"/>
          <w:kern w:val="0"/>
          <w14:ligatures w14:val="none"/>
        </w:rPr>
        <w:t>Procesi i kostimit u mbështet në konsultimin e dokumenteve të tjerë kombëtarë, përfshirë këtu Programi Buxhetor Afatmesëm 2025-2027 dhe propozimet sipas tavaneve të reja në kuadër të hartimit të PBA 2026-2028, konsultimet me të gjitha institucionet e përfshira në zbatimin e planit, si dhe në kostot historike nga zbatimi i planit pararendës.</w:t>
      </w:r>
    </w:p>
    <w:p w14:paraId="418043D5" w14:textId="70B7153F" w:rsidR="002C1482" w:rsidRPr="005E5266" w:rsidRDefault="005E5266" w:rsidP="005E5266">
      <w:pPr>
        <w:rPr>
          <w:rFonts w:ascii="Times New Roman" w:eastAsia="Times New Roman" w:hAnsi="Times New Roman" w:cs="Times New Roman"/>
          <w:kern w:val="0"/>
          <w14:ligatures w14:val="none"/>
        </w:rPr>
      </w:pPr>
      <w:r w:rsidRPr="005E5266">
        <w:rPr>
          <w:rFonts w:ascii="Times New Roman" w:eastAsia="Times New Roman" w:hAnsi="Times New Roman" w:cs="Times New Roman"/>
          <w:kern w:val="0"/>
          <w14:ligatures w14:val="none"/>
        </w:rPr>
        <w:t>Plani i veprimit shoqërohet me një kostim analitik të secilës masë, i cili mbështetet nga detajimi i hollësishëm i shpenzimeve për çdo aktivitet. Kostimi i PV është realizuar në bazë të metodologjive dhe praktikave së planifikimit buxhetor, duke përdorur instrumentet e rekomanduar nga IPSIS.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729"/>
        <w:gridCol w:w="1373"/>
      </w:tblGrid>
      <w:tr w:rsidR="005E5266" w:rsidRPr="00180CF8" w14:paraId="4A1755A5" w14:textId="77777777" w:rsidTr="00AB79BA">
        <w:trPr>
          <w:trHeight w:val="525"/>
        </w:trPr>
        <w:tc>
          <w:tcPr>
            <w:tcW w:w="4646" w:type="dxa"/>
            <w:shd w:val="clear" w:color="auto" w:fill="auto"/>
            <w:noWrap/>
            <w:hideMark/>
          </w:tcPr>
          <w:p w14:paraId="28E3900D" w14:textId="77777777" w:rsidR="005E5266" w:rsidRPr="00180CF8" w:rsidRDefault="005E5266" w:rsidP="005E5266">
            <w:pPr>
              <w:pStyle w:val="NormalWeb"/>
              <w:spacing w:line="276" w:lineRule="auto"/>
              <w:rPr>
                <w:bCs/>
                <w:sz w:val="28"/>
                <w:szCs w:val="28"/>
              </w:rPr>
            </w:pPr>
          </w:p>
        </w:tc>
        <w:tc>
          <w:tcPr>
            <w:tcW w:w="2729" w:type="dxa"/>
            <w:shd w:val="clear" w:color="auto" w:fill="auto"/>
            <w:noWrap/>
            <w:hideMark/>
          </w:tcPr>
          <w:p w14:paraId="3D1A06D5" w14:textId="1685009F" w:rsidR="005E5266" w:rsidRPr="00180CF8" w:rsidRDefault="005E5266" w:rsidP="005E5266">
            <w:pPr>
              <w:pStyle w:val="NormalWeb"/>
              <w:spacing w:line="276" w:lineRule="auto"/>
              <w:rPr>
                <w:bCs/>
                <w:sz w:val="28"/>
                <w:szCs w:val="28"/>
                <w:lang w:val="en-US"/>
              </w:rPr>
            </w:pPr>
            <w:r w:rsidRPr="00180CF8">
              <w:rPr>
                <w:bCs/>
                <w:sz w:val="28"/>
                <w:szCs w:val="28"/>
                <w:lang w:val="en-US"/>
              </w:rPr>
              <w:t>N</w:t>
            </w:r>
            <w:r w:rsidR="00180CF8" w:rsidRPr="00180CF8">
              <w:rPr>
                <w:bCs/>
                <w:sz w:val="28"/>
                <w:szCs w:val="28"/>
                <w:lang w:val="en-US"/>
              </w:rPr>
              <w:t>Ë</w:t>
            </w:r>
            <w:r w:rsidRPr="00180CF8">
              <w:rPr>
                <w:bCs/>
                <w:sz w:val="28"/>
                <w:szCs w:val="28"/>
                <w:lang w:val="en-US"/>
              </w:rPr>
              <w:t xml:space="preserve"> LEK</w:t>
            </w:r>
            <w:r w:rsidR="00180CF8" w:rsidRPr="00180CF8">
              <w:rPr>
                <w:bCs/>
                <w:sz w:val="28"/>
                <w:szCs w:val="28"/>
                <w:lang w:val="en-US"/>
              </w:rPr>
              <w:t>Ë</w:t>
            </w:r>
          </w:p>
        </w:tc>
        <w:tc>
          <w:tcPr>
            <w:tcW w:w="1373" w:type="dxa"/>
            <w:shd w:val="clear" w:color="auto" w:fill="auto"/>
            <w:noWrap/>
            <w:hideMark/>
          </w:tcPr>
          <w:p w14:paraId="2A84F77E"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w:t>
            </w:r>
          </w:p>
        </w:tc>
      </w:tr>
      <w:tr w:rsidR="005E5266" w:rsidRPr="00180CF8" w14:paraId="03E60564" w14:textId="77777777" w:rsidTr="00AB79BA">
        <w:trPr>
          <w:trHeight w:val="503"/>
        </w:trPr>
        <w:tc>
          <w:tcPr>
            <w:tcW w:w="4646" w:type="dxa"/>
            <w:shd w:val="clear" w:color="auto" w:fill="auto"/>
            <w:noWrap/>
            <w:hideMark/>
          </w:tcPr>
          <w:p w14:paraId="7C3D6F9B"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KOSTO TOTALE E PLANIT TË VEPRIMIT</w:t>
            </w:r>
          </w:p>
        </w:tc>
        <w:tc>
          <w:tcPr>
            <w:tcW w:w="2729" w:type="dxa"/>
            <w:shd w:val="clear" w:color="auto" w:fill="auto"/>
            <w:noWrap/>
            <w:hideMark/>
          </w:tcPr>
          <w:p w14:paraId="5BEF9740"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3,366,987,133</w:t>
            </w:r>
          </w:p>
        </w:tc>
        <w:tc>
          <w:tcPr>
            <w:tcW w:w="1373" w:type="dxa"/>
            <w:shd w:val="clear" w:color="auto" w:fill="auto"/>
            <w:noWrap/>
            <w:hideMark/>
          </w:tcPr>
          <w:p w14:paraId="118A5B87"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 </w:t>
            </w:r>
          </w:p>
        </w:tc>
      </w:tr>
      <w:tr w:rsidR="005E5266" w:rsidRPr="00180CF8" w14:paraId="7B312105" w14:textId="77777777" w:rsidTr="00AB79BA">
        <w:trPr>
          <w:trHeight w:val="287"/>
        </w:trPr>
        <w:tc>
          <w:tcPr>
            <w:tcW w:w="4646" w:type="dxa"/>
            <w:shd w:val="clear" w:color="auto" w:fill="auto"/>
            <w:noWrap/>
            <w:hideMark/>
          </w:tcPr>
          <w:p w14:paraId="2A697B69"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PBA 25-27</w:t>
            </w:r>
          </w:p>
        </w:tc>
        <w:tc>
          <w:tcPr>
            <w:tcW w:w="2729" w:type="dxa"/>
            <w:shd w:val="clear" w:color="auto" w:fill="auto"/>
            <w:noWrap/>
            <w:hideMark/>
          </w:tcPr>
          <w:p w14:paraId="2BB039D2"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2,899,466,786</w:t>
            </w:r>
          </w:p>
        </w:tc>
        <w:tc>
          <w:tcPr>
            <w:tcW w:w="1373" w:type="dxa"/>
            <w:vMerge w:val="restart"/>
            <w:shd w:val="clear" w:color="auto" w:fill="auto"/>
            <w:noWrap/>
            <w:hideMark/>
          </w:tcPr>
          <w:p w14:paraId="22A6FC7E"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98</w:t>
            </w:r>
          </w:p>
        </w:tc>
      </w:tr>
      <w:tr w:rsidR="005E5266" w:rsidRPr="00180CF8" w14:paraId="1A3517BC" w14:textId="77777777" w:rsidTr="00AB79BA">
        <w:trPr>
          <w:trHeight w:val="377"/>
        </w:trPr>
        <w:tc>
          <w:tcPr>
            <w:tcW w:w="4646" w:type="dxa"/>
            <w:shd w:val="clear" w:color="auto" w:fill="auto"/>
            <w:noWrap/>
            <w:hideMark/>
          </w:tcPr>
          <w:p w14:paraId="26CCC650"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PBA 26-28</w:t>
            </w:r>
          </w:p>
        </w:tc>
        <w:tc>
          <w:tcPr>
            <w:tcW w:w="2729" w:type="dxa"/>
            <w:shd w:val="clear" w:color="auto" w:fill="auto"/>
            <w:noWrap/>
            <w:hideMark/>
          </w:tcPr>
          <w:p w14:paraId="18E0AA88"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400,398,939</w:t>
            </w:r>
          </w:p>
        </w:tc>
        <w:tc>
          <w:tcPr>
            <w:tcW w:w="1373" w:type="dxa"/>
            <w:vMerge/>
            <w:shd w:val="clear" w:color="auto" w:fill="auto"/>
            <w:hideMark/>
          </w:tcPr>
          <w:p w14:paraId="7DFAD11C" w14:textId="77777777" w:rsidR="005E5266" w:rsidRPr="00180CF8" w:rsidRDefault="005E5266" w:rsidP="005E5266">
            <w:pPr>
              <w:pStyle w:val="NormalWeb"/>
              <w:spacing w:line="276" w:lineRule="auto"/>
              <w:rPr>
                <w:bCs/>
                <w:sz w:val="28"/>
                <w:szCs w:val="28"/>
                <w:lang w:val="en-US"/>
              </w:rPr>
            </w:pPr>
          </w:p>
        </w:tc>
      </w:tr>
      <w:tr w:rsidR="005E5266" w:rsidRPr="00180CF8" w14:paraId="608923A4" w14:textId="77777777" w:rsidTr="00AB79BA">
        <w:trPr>
          <w:trHeight w:val="359"/>
        </w:trPr>
        <w:tc>
          <w:tcPr>
            <w:tcW w:w="4646" w:type="dxa"/>
            <w:shd w:val="clear" w:color="auto" w:fill="auto"/>
            <w:noWrap/>
            <w:hideMark/>
          </w:tcPr>
          <w:p w14:paraId="01DC44D1"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FINANCIMI I HUAJ</w:t>
            </w:r>
          </w:p>
        </w:tc>
        <w:tc>
          <w:tcPr>
            <w:tcW w:w="2729" w:type="dxa"/>
            <w:shd w:val="clear" w:color="auto" w:fill="auto"/>
            <w:noWrap/>
            <w:hideMark/>
          </w:tcPr>
          <w:p w14:paraId="7A48BE45"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67,121,408</w:t>
            </w:r>
          </w:p>
        </w:tc>
        <w:tc>
          <w:tcPr>
            <w:tcW w:w="1373" w:type="dxa"/>
            <w:shd w:val="clear" w:color="auto" w:fill="auto"/>
            <w:noWrap/>
            <w:hideMark/>
          </w:tcPr>
          <w:p w14:paraId="53B84DAF"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2</w:t>
            </w:r>
          </w:p>
        </w:tc>
      </w:tr>
      <w:tr w:rsidR="005E5266" w:rsidRPr="00180CF8" w14:paraId="4D3AE3A0" w14:textId="77777777" w:rsidTr="00AB79BA">
        <w:trPr>
          <w:trHeight w:val="314"/>
        </w:trPr>
        <w:tc>
          <w:tcPr>
            <w:tcW w:w="4646" w:type="dxa"/>
            <w:shd w:val="clear" w:color="auto" w:fill="auto"/>
            <w:noWrap/>
            <w:hideMark/>
          </w:tcPr>
          <w:p w14:paraId="08292818"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HENDEKU</w:t>
            </w:r>
          </w:p>
        </w:tc>
        <w:tc>
          <w:tcPr>
            <w:tcW w:w="2729" w:type="dxa"/>
            <w:shd w:val="clear" w:color="auto" w:fill="auto"/>
            <w:noWrap/>
            <w:hideMark/>
          </w:tcPr>
          <w:p w14:paraId="2DF3C835"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0</w:t>
            </w:r>
          </w:p>
        </w:tc>
        <w:tc>
          <w:tcPr>
            <w:tcW w:w="1373" w:type="dxa"/>
            <w:shd w:val="clear" w:color="auto" w:fill="auto"/>
            <w:noWrap/>
            <w:hideMark/>
          </w:tcPr>
          <w:p w14:paraId="7C546886"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 </w:t>
            </w:r>
          </w:p>
        </w:tc>
      </w:tr>
      <w:tr w:rsidR="005E5266" w:rsidRPr="00180CF8" w14:paraId="7159989E" w14:textId="77777777" w:rsidTr="00AB79BA">
        <w:trPr>
          <w:trHeight w:val="269"/>
        </w:trPr>
        <w:tc>
          <w:tcPr>
            <w:tcW w:w="4646" w:type="dxa"/>
            <w:shd w:val="clear" w:color="auto" w:fill="auto"/>
            <w:noWrap/>
            <w:hideMark/>
          </w:tcPr>
          <w:p w14:paraId="673B5035" w14:textId="77777777" w:rsidR="005E5266" w:rsidRPr="00180CF8" w:rsidRDefault="005E5266" w:rsidP="005E5266">
            <w:pPr>
              <w:pStyle w:val="NormalWeb"/>
              <w:spacing w:line="276" w:lineRule="auto"/>
              <w:rPr>
                <w:bCs/>
                <w:sz w:val="28"/>
                <w:szCs w:val="28"/>
                <w:lang w:val="en-US"/>
              </w:rPr>
            </w:pPr>
            <w:proofErr w:type="spellStart"/>
            <w:r w:rsidRPr="00180CF8">
              <w:rPr>
                <w:bCs/>
                <w:sz w:val="28"/>
                <w:szCs w:val="28"/>
                <w:lang w:val="en-US"/>
              </w:rPr>
              <w:t>Korente</w:t>
            </w:r>
            <w:proofErr w:type="spellEnd"/>
          </w:p>
        </w:tc>
        <w:tc>
          <w:tcPr>
            <w:tcW w:w="2729" w:type="dxa"/>
            <w:shd w:val="clear" w:color="auto" w:fill="auto"/>
            <w:noWrap/>
            <w:hideMark/>
          </w:tcPr>
          <w:p w14:paraId="6980EE59"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3,363,654,848</w:t>
            </w:r>
          </w:p>
        </w:tc>
        <w:tc>
          <w:tcPr>
            <w:tcW w:w="1373" w:type="dxa"/>
            <w:shd w:val="clear" w:color="auto" w:fill="auto"/>
            <w:noWrap/>
            <w:hideMark/>
          </w:tcPr>
          <w:p w14:paraId="1244B828"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99.9</w:t>
            </w:r>
          </w:p>
        </w:tc>
      </w:tr>
      <w:tr w:rsidR="005E5266" w:rsidRPr="00180CF8" w14:paraId="1CFF3F2E" w14:textId="77777777" w:rsidTr="00AB79BA">
        <w:trPr>
          <w:trHeight w:val="287"/>
        </w:trPr>
        <w:tc>
          <w:tcPr>
            <w:tcW w:w="4646" w:type="dxa"/>
            <w:shd w:val="clear" w:color="auto" w:fill="auto"/>
            <w:noWrap/>
            <w:hideMark/>
          </w:tcPr>
          <w:p w14:paraId="1540C72F" w14:textId="77777777" w:rsidR="005E5266" w:rsidRPr="00180CF8" w:rsidRDefault="005E5266" w:rsidP="005E5266">
            <w:pPr>
              <w:pStyle w:val="NormalWeb"/>
              <w:spacing w:line="276" w:lineRule="auto"/>
              <w:rPr>
                <w:bCs/>
                <w:sz w:val="28"/>
                <w:szCs w:val="28"/>
                <w:lang w:val="en-US"/>
              </w:rPr>
            </w:pPr>
            <w:proofErr w:type="spellStart"/>
            <w:r w:rsidRPr="00180CF8">
              <w:rPr>
                <w:bCs/>
                <w:sz w:val="28"/>
                <w:szCs w:val="28"/>
                <w:lang w:val="en-US"/>
              </w:rPr>
              <w:t>Kapitale</w:t>
            </w:r>
            <w:proofErr w:type="spellEnd"/>
          </w:p>
        </w:tc>
        <w:tc>
          <w:tcPr>
            <w:tcW w:w="2729" w:type="dxa"/>
            <w:shd w:val="clear" w:color="auto" w:fill="auto"/>
            <w:noWrap/>
            <w:hideMark/>
          </w:tcPr>
          <w:p w14:paraId="71260B32"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3,332,285</w:t>
            </w:r>
          </w:p>
        </w:tc>
        <w:tc>
          <w:tcPr>
            <w:tcW w:w="1373" w:type="dxa"/>
            <w:shd w:val="clear" w:color="auto" w:fill="auto"/>
            <w:noWrap/>
            <w:hideMark/>
          </w:tcPr>
          <w:p w14:paraId="5B88750C" w14:textId="77777777" w:rsidR="005E5266" w:rsidRPr="00180CF8" w:rsidRDefault="005E5266" w:rsidP="005E5266">
            <w:pPr>
              <w:pStyle w:val="NormalWeb"/>
              <w:spacing w:line="276" w:lineRule="auto"/>
              <w:rPr>
                <w:bCs/>
                <w:sz w:val="28"/>
                <w:szCs w:val="28"/>
                <w:lang w:val="en-US"/>
              </w:rPr>
            </w:pPr>
            <w:r w:rsidRPr="00180CF8">
              <w:rPr>
                <w:bCs/>
                <w:sz w:val="28"/>
                <w:szCs w:val="28"/>
                <w:lang w:val="en-US"/>
              </w:rPr>
              <w:t>0.1</w:t>
            </w:r>
          </w:p>
        </w:tc>
      </w:tr>
    </w:tbl>
    <w:p w14:paraId="32D2707F" w14:textId="0A23F744" w:rsidR="00EA4F66" w:rsidRDefault="005E5266" w:rsidP="00331472">
      <w:pPr>
        <w:pStyle w:val="NormalWeb"/>
        <w:spacing w:line="276" w:lineRule="auto"/>
        <w:jc w:val="both"/>
      </w:pPr>
      <w:r w:rsidRPr="00331472">
        <w:t>Financimi i planit të veprimit do të realizohet nga disa burime, por buxheti i shtetit mbetet burimi kryesor i financimit. Për periudhën 2025-2028, buxheti i shtetit pritet të financojë zbatimin e planit në masën 98 % të kostove indikative dhe 2% e tij do të financohet nga donatorët. Hendeku financiar është 0%. Kostot korente zënë rreth 99.9% të shpenzimeve totale, ndërsa pjesa tjetër (0.1%) është e parashikuar për kosto kapitale.</w:t>
      </w:r>
    </w:p>
    <w:p w14:paraId="311469FF" w14:textId="31A36497" w:rsidR="009C1ED7" w:rsidRDefault="00EA4F66" w:rsidP="00331472">
      <w:pPr>
        <w:pStyle w:val="NormalWeb"/>
        <w:spacing w:line="276" w:lineRule="auto"/>
        <w:jc w:val="both"/>
      </w:pPr>
      <w:r w:rsidRPr="00EA4F66">
        <w:lastRenderedPageBreak/>
        <w:t>Tabela përmbledhëse e buxhetit</w:t>
      </w:r>
      <w:r>
        <w:t xml:space="preserve"> sipas 5 </w:t>
      </w:r>
      <w:r w:rsidR="00180CF8">
        <w:t>Që</w:t>
      </w:r>
      <w:r>
        <w:t>llimeve</w:t>
      </w:r>
      <w:r w:rsidR="00D13ECB">
        <w:t xml:space="preserve"> t</w:t>
      </w:r>
      <w:r w:rsidR="00180CF8">
        <w:t>ë</w:t>
      </w:r>
      <w:r w:rsidR="00D13ECB">
        <w:t xml:space="preserve"> </w:t>
      </w:r>
      <w:r w:rsidR="00180CF8">
        <w:t>P</w:t>
      </w:r>
      <w:r w:rsidR="00D13ECB">
        <w:t>ol</w:t>
      </w:r>
      <w:r w:rsidR="00180CF8">
        <w:t>i</w:t>
      </w:r>
      <w:r w:rsidR="00D13ECB">
        <w:t>tikave</w:t>
      </w:r>
      <w:r>
        <w:t xml:space="preserve"> </w:t>
      </w:r>
      <w:r w:rsidRPr="00EA4F66">
        <w:t>për realizimin e objektivave, masave dhe aktiviteteve të Strategjisë së AVLME 2025-2030 dhe Planit të veprimit 2025-2028</w:t>
      </w:r>
      <w:r>
        <w:t>:</w:t>
      </w:r>
    </w:p>
    <w:tbl>
      <w:tblPr>
        <w:tblW w:w="9135" w:type="dxa"/>
        <w:tblInd w:w="108" w:type="dxa"/>
        <w:tblLook w:val="04A0" w:firstRow="1" w:lastRow="0" w:firstColumn="1" w:lastColumn="0" w:noHBand="0" w:noVBand="1"/>
      </w:tblPr>
      <w:tblGrid>
        <w:gridCol w:w="871"/>
        <w:gridCol w:w="290"/>
        <w:gridCol w:w="1350"/>
        <w:gridCol w:w="1368"/>
        <w:gridCol w:w="1488"/>
        <w:gridCol w:w="1217"/>
        <w:gridCol w:w="1497"/>
        <w:gridCol w:w="1054"/>
      </w:tblGrid>
      <w:tr w:rsidR="002C1482" w:rsidRPr="008C0B20" w14:paraId="090D066C" w14:textId="77777777" w:rsidTr="00117717">
        <w:trPr>
          <w:trHeight w:val="300"/>
        </w:trPr>
        <w:tc>
          <w:tcPr>
            <w:tcW w:w="871" w:type="dxa"/>
            <w:tcBorders>
              <w:top w:val="nil"/>
              <w:left w:val="nil"/>
              <w:bottom w:val="nil"/>
              <w:right w:val="nil"/>
            </w:tcBorders>
          </w:tcPr>
          <w:p w14:paraId="3921EB2B" w14:textId="77777777" w:rsidR="002C1482" w:rsidRPr="008C0B20" w:rsidRDefault="002C1482" w:rsidP="00117717">
            <w:pPr>
              <w:spacing w:after="0" w:line="240" w:lineRule="auto"/>
              <w:jc w:val="center"/>
              <w:rPr>
                <w:rFonts w:ascii="Arial" w:eastAsia="Times New Roman" w:hAnsi="Arial" w:cs="Arial"/>
                <w:b/>
                <w:bCs/>
                <w:color w:val="000000"/>
                <w:highlight w:val="red"/>
              </w:rPr>
            </w:pPr>
          </w:p>
        </w:tc>
        <w:tc>
          <w:tcPr>
            <w:tcW w:w="8264" w:type="dxa"/>
            <w:gridSpan w:val="7"/>
            <w:tcBorders>
              <w:top w:val="nil"/>
              <w:left w:val="nil"/>
              <w:bottom w:val="nil"/>
              <w:right w:val="nil"/>
            </w:tcBorders>
            <w:shd w:val="clear" w:color="auto" w:fill="auto"/>
            <w:noWrap/>
            <w:vAlign w:val="center"/>
            <w:hideMark/>
          </w:tcPr>
          <w:p w14:paraId="6547A836" w14:textId="77777777" w:rsidR="002C1482" w:rsidRPr="008C0B20" w:rsidRDefault="002C1482" w:rsidP="00117717">
            <w:pPr>
              <w:spacing w:after="0" w:line="240" w:lineRule="auto"/>
              <w:jc w:val="center"/>
              <w:rPr>
                <w:rFonts w:ascii="Arial" w:eastAsia="Times New Roman" w:hAnsi="Arial" w:cs="Arial"/>
                <w:b/>
                <w:bCs/>
                <w:color w:val="000000"/>
                <w:highlight w:val="red"/>
              </w:rPr>
            </w:pPr>
            <w:r w:rsidRPr="00D778EB">
              <w:rPr>
                <w:rFonts w:ascii="Arial" w:eastAsia="Times New Roman" w:hAnsi="Arial" w:cs="Arial"/>
                <w:b/>
                <w:bCs/>
                <w:color w:val="000000"/>
              </w:rPr>
              <w:t>Nevojat Kapitale  (në  Lekë)</w:t>
            </w:r>
          </w:p>
        </w:tc>
      </w:tr>
      <w:tr w:rsidR="002C1482" w:rsidRPr="008C0B20" w14:paraId="7852B5F6" w14:textId="77777777" w:rsidTr="00117717">
        <w:trPr>
          <w:trHeight w:val="300"/>
        </w:trPr>
        <w:tc>
          <w:tcPr>
            <w:tcW w:w="871" w:type="dxa"/>
            <w:tcBorders>
              <w:top w:val="nil"/>
              <w:left w:val="nil"/>
              <w:bottom w:val="single" w:sz="4" w:space="0" w:color="auto"/>
              <w:right w:val="nil"/>
            </w:tcBorders>
          </w:tcPr>
          <w:p w14:paraId="53BC18CD" w14:textId="77777777" w:rsidR="002C1482" w:rsidRPr="008C0B20" w:rsidRDefault="002C1482" w:rsidP="00117717">
            <w:pPr>
              <w:spacing w:after="0" w:line="240" w:lineRule="auto"/>
              <w:jc w:val="center"/>
              <w:rPr>
                <w:rFonts w:ascii="Arial" w:eastAsia="Times New Roman" w:hAnsi="Arial" w:cs="Arial"/>
                <w:b/>
                <w:bCs/>
                <w:color w:val="000000"/>
                <w:highlight w:val="red"/>
              </w:rPr>
            </w:pPr>
          </w:p>
        </w:tc>
        <w:tc>
          <w:tcPr>
            <w:tcW w:w="8264" w:type="dxa"/>
            <w:gridSpan w:val="7"/>
            <w:tcBorders>
              <w:top w:val="nil"/>
              <w:left w:val="nil"/>
              <w:bottom w:val="single" w:sz="4" w:space="0" w:color="auto"/>
              <w:right w:val="nil"/>
            </w:tcBorders>
            <w:shd w:val="clear" w:color="auto" w:fill="auto"/>
            <w:noWrap/>
            <w:vAlign w:val="center"/>
            <w:hideMark/>
          </w:tcPr>
          <w:p w14:paraId="721059D2" w14:textId="77777777" w:rsidR="002C1482" w:rsidRPr="008C0B20" w:rsidRDefault="002C1482" w:rsidP="00117717">
            <w:pPr>
              <w:spacing w:after="0" w:line="240" w:lineRule="auto"/>
              <w:jc w:val="center"/>
              <w:rPr>
                <w:rFonts w:ascii="Arial" w:eastAsia="Times New Roman" w:hAnsi="Arial" w:cs="Arial"/>
                <w:b/>
                <w:bCs/>
                <w:color w:val="000000"/>
                <w:highlight w:val="red"/>
              </w:rPr>
            </w:pPr>
          </w:p>
        </w:tc>
      </w:tr>
      <w:tr w:rsidR="002C1482" w:rsidRPr="008C0B20" w14:paraId="0E83C11A" w14:textId="77777777" w:rsidTr="00117717">
        <w:trPr>
          <w:trHeight w:val="450"/>
        </w:trPr>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181B9522" w14:textId="77777777" w:rsidR="002C1482" w:rsidRPr="00D778EB" w:rsidRDefault="002C1482" w:rsidP="00117717">
            <w:pPr>
              <w:spacing w:after="0" w:line="240" w:lineRule="auto"/>
              <w:jc w:val="center"/>
              <w:rPr>
                <w:rFonts w:ascii="Arial" w:eastAsia="Times New Roman" w:hAnsi="Arial" w:cs="Arial"/>
                <w:b/>
                <w:bCs/>
                <w:sz w:val="18"/>
                <w:szCs w:val="18"/>
                <w:highlight w:val="red"/>
              </w:rPr>
            </w:pPr>
            <w:r w:rsidRPr="00D778EB">
              <w:rPr>
                <w:rFonts w:ascii="Arial" w:eastAsia="Times New Roman" w:hAnsi="Arial" w:cs="Arial"/>
                <w:b/>
                <w:bCs/>
                <w:sz w:val="18"/>
                <w:szCs w:val="18"/>
              </w:rPr>
              <w:t>Qëllimet e Politikave</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7534E914" w14:textId="77777777" w:rsidR="002C1482" w:rsidRPr="00D778EB" w:rsidRDefault="002C1482" w:rsidP="00117717">
            <w:pPr>
              <w:spacing w:after="0" w:line="240" w:lineRule="auto"/>
              <w:jc w:val="center"/>
              <w:rPr>
                <w:rFonts w:ascii="Arial" w:eastAsia="Times New Roman" w:hAnsi="Arial" w:cs="Arial"/>
                <w:b/>
                <w:bCs/>
                <w:sz w:val="18"/>
                <w:szCs w:val="18"/>
                <w:highlight w:val="red"/>
              </w:rPr>
            </w:pPr>
            <w:r w:rsidRPr="00D778EB">
              <w:rPr>
                <w:rFonts w:ascii="Arial" w:eastAsia="Times New Roman" w:hAnsi="Arial" w:cs="Arial"/>
                <w:b/>
                <w:bCs/>
                <w:sz w:val="18"/>
                <w:szCs w:val="18"/>
              </w:rPr>
              <w:t xml:space="preserve">Natyra/ Tipologjia e Kostove </w:t>
            </w:r>
          </w:p>
        </w:tc>
        <w:tc>
          <w:tcPr>
            <w:tcW w:w="136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09DE9928"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Kosto Totale</w:t>
            </w:r>
          </w:p>
        </w:tc>
        <w:tc>
          <w:tcPr>
            <w:tcW w:w="148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3BA654CB"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Kosto të Planifkuara</w:t>
            </w:r>
          </w:p>
        </w:tc>
        <w:tc>
          <w:tcPr>
            <w:tcW w:w="1217" w:type="dxa"/>
            <w:tcBorders>
              <w:top w:val="single" w:sz="4" w:space="0" w:color="auto"/>
              <w:left w:val="single" w:sz="4" w:space="0" w:color="auto"/>
              <w:bottom w:val="single" w:sz="4" w:space="0" w:color="auto"/>
              <w:right w:val="single" w:sz="4" w:space="0" w:color="auto"/>
            </w:tcBorders>
            <w:shd w:val="clear" w:color="000000" w:fill="4472C4"/>
          </w:tcPr>
          <w:p w14:paraId="770FD199" w14:textId="77777777" w:rsidR="002C1482" w:rsidRPr="00D778EB" w:rsidRDefault="002C1482" w:rsidP="00117717">
            <w:pPr>
              <w:spacing w:after="0" w:line="240" w:lineRule="auto"/>
              <w:jc w:val="center"/>
              <w:rPr>
                <w:rFonts w:ascii="Arial" w:eastAsia="Times New Roman" w:hAnsi="Arial" w:cs="Arial"/>
                <w:b/>
                <w:bCs/>
                <w:sz w:val="18"/>
                <w:szCs w:val="18"/>
                <w:highlight w:val="red"/>
              </w:rPr>
            </w:pPr>
            <w:r w:rsidRPr="00D778EB">
              <w:rPr>
                <w:rFonts w:ascii="Arial" w:eastAsia="Times New Roman" w:hAnsi="Arial" w:cs="Arial"/>
                <w:b/>
                <w:bCs/>
                <w:sz w:val="18"/>
                <w:szCs w:val="18"/>
              </w:rPr>
              <w:t>Kosto të Planifkuara</w:t>
            </w:r>
          </w:p>
        </w:tc>
        <w:tc>
          <w:tcPr>
            <w:tcW w:w="149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34E8E354"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Kosto të Planifkuara</w:t>
            </w:r>
          </w:p>
        </w:tc>
        <w:tc>
          <w:tcPr>
            <w:tcW w:w="1054"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6565D405"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Hendeku Financiar</w:t>
            </w:r>
          </w:p>
        </w:tc>
      </w:tr>
      <w:tr w:rsidR="002C1482" w:rsidRPr="008C0B20" w14:paraId="45F63128" w14:textId="77777777" w:rsidTr="00117717">
        <w:trPr>
          <w:trHeight w:val="300"/>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6F93AA88" w14:textId="77777777" w:rsidR="002C1482" w:rsidRPr="008C0B20" w:rsidRDefault="002C1482" w:rsidP="00117717">
            <w:pPr>
              <w:spacing w:after="0" w:line="240" w:lineRule="auto"/>
              <w:rPr>
                <w:rFonts w:ascii="Arial" w:eastAsia="Times New Roman" w:hAnsi="Arial" w:cs="Arial"/>
                <w:b/>
                <w:bCs/>
                <w:color w:val="FFFFFF"/>
                <w:sz w:val="18"/>
                <w:szCs w:val="18"/>
                <w:highlight w:val="red"/>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F020411" w14:textId="77777777" w:rsidR="002C1482" w:rsidRPr="008C0B20" w:rsidRDefault="002C1482" w:rsidP="00117717">
            <w:pPr>
              <w:spacing w:after="0" w:line="240" w:lineRule="auto"/>
              <w:rPr>
                <w:rFonts w:ascii="Arial" w:eastAsia="Times New Roman" w:hAnsi="Arial" w:cs="Arial"/>
                <w:b/>
                <w:bCs/>
                <w:color w:val="FFFFFF"/>
                <w:sz w:val="18"/>
                <w:szCs w:val="18"/>
                <w:highlight w:val="red"/>
              </w:rPr>
            </w:pPr>
          </w:p>
        </w:tc>
        <w:tc>
          <w:tcPr>
            <w:tcW w:w="136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5B62BFF0"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2025-2028</w:t>
            </w:r>
          </w:p>
        </w:tc>
        <w:tc>
          <w:tcPr>
            <w:tcW w:w="148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766A4A21"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PBA 2025-2027</w:t>
            </w:r>
          </w:p>
        </w:tc>
        <w:tc>
          <w:tcPr>
            <w:tcW w:w="1217" w:type="dxa"/>
            <w:tcBorders>
              <w:top w:val="single" w:sz="4" w:space="0" w:color="auto"/>
              <w:left w:val="single" w:sz="4" w:space="0" w:color="auto"/>
              <w:bottom w:val="single" w:sz="4" w:space="0" w:color="auto"/>
              <w:right w:val="single" w:sz="4" w:space="0" w:color="auto"/>
            </w:tcBorders>
            <w:shd w:val="clear" w:color="000000" w:fill="4472C4"/>
          </w:tcPr>
          <w:p w14:paraId="66AABC10" w14:textId="77777777" w:rsidR="002C1482" w:rsidRPr="00D778EB" w:rsidRDefault="002C1482" w:rsidP="00117717">
            <w:pPr>
              <w:spacing w:after="0" w:line="240" w:lineRule="auto"/>
              <w:jc w:val="center"/>
              <w:rPr>
                <w:rFonts w:ascii="Arial" w:eastAsia="Times New Roman" w:hAnsi="Arial" w:cs="Arial"/>
                <w:b/>
                <w:bCs/>
                <w:sz w:val="18"/>
                <w:szCs w:val="18"/>
                <w:highlight w:val="red"/>
              </w:rPr>
            </w:pPr>
            <w:r w:rsidRPr="00D778EB">
              <w:rPr>
                <w:rFonts w:ascii="Arial" w:eastAsia="Times New Roman" w:hAnsi="Arial" w:cs="Arial"/>
                <w:b/>
                <w:bCs/>
                <w:sz w:val="18"/>
                <w:szCs w:val="18"/>
              </w:rPr>
              <w:t>PBA 2026-2028</w:t>
            </w:r>
          </w:p>
        </w:tc>
        <w:tc>
          <w:tcPr>
            <w:tcW w:w="149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3EFD9731"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FH 2025-2028</w:t>
            </w:r>
          </w:p>
        </w:tc>
        <w:tc>
          <w:tcPr>
            <w:tcW w:w="1054"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219E036D"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2025-2028</w:t>
            </w:r>
          </w:p>
        </w:tc>
      </w:tr>
      <w:tr w:rsidR="002C1482" w:rsidRPr="008C0B20" w14:paraId="41676952" w14:textId="77777777" w:rsidTr="00117717">
        <w:trPr>
          <w:trHeight w:val="315"/>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10C8AD17" w14:textId="77777777" w:rsidR="002C1482" w:rsidRPr="008C0B20" w:rsidRDefault="002C1482" w:rsidP="00117717">
            <w:pPr>
              <w:spacing w:after="0" w:line="240" w:lineRule="auto"/>
              <w:rPr>
                <w:rFonts w:ascii="Arial" w:eastAsia="Times New Roman" w:hAnsi="Arial" w:cs="Arial"/>
                <w:b/>
                <w:bCs/>
                <w:color w:val="FFFFFF"/>
                <w:sz w:val="18"/>
                <w:szCs w:val="18"/>
                <w:highlight w:val="red"/>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DA511DC" w14:textId="77777777" w:rsidR="002C1482" w:rsidRPr="008C0B20" w:rsidRDefault="002C1482" w:rsidP="00117717">
            <w:pPr>
              <w:spacing w:after="0" w:line="240" w:lineRule="auto"/>
              <w:rPr>
                <w:rFonts w:ascii="Arial" w:eastAsia="Times New Roman" w:hAnsi="Arial" w:cs="Arial"/>
                <w:b/>
                <w:bCs/>
                <w:color w:val="FFFFFF"/>
                <w:sz w:val="18"/>
                <w:szCs w:val="18"/>
                <w:highlight w:val="red"/>
              </w:rPr>
            </w:pPr>
          </w:p>
        </w:tc>
        <w:tc>
          <w:tcPr>
            <w:tcW w:w="136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40AB2234" w14:textId="77777777" w:rsidR="002C1482" w:rsidRPr="008C0B20" w:rsidRDefault="002C1482" w:rsidP="00117717">
            <w:pPr>
              <w:spacing w:after="0" w:line="240" w:lineRule="auto"/>
              <w:rPr>
                <w:rFonts w:eastAsia="Times New Roman" w:cs="Calibri"/>
                <w:color w:val="000000"/>
                <w:highlight w:val="red"/>
              </w:rPr>
            </w:pPr>
            <w:r w:rsidRPr="00D778EB">
              <w:rPr>
                <w:rFonts w:eastAsia="Times New Roman" w:cs="Calibri"/>
                <w:color w:val="000000"/>
              </w:rPr>
              <w:t> </w:t>
            </w:r>
          </w:p>
        </w:tc>
        <w:tc>
          <w:tcPr>
            <w:tcW w:w="148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004BF358"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Buxheti</w:t>
            </w:r>
          </w:p>
        </w:tc>
        <w:tc>
          <w:tcPr>
            <w:tcW w:w="1217" w:type="dxa"/>
            <w:tcBorders>
              <w:top w:val="single" w:sz="4" w:space="0" w:color="auto"/>
              <w:left w:val="single" w:sz="4" w:space="0" w:color="auto"/>
              <w:bottom w:val="single" w:sz="4" w:space="0" w:color="auto"/>
              <w:right w:val="single" w:sz="4" w:space="0" w:color="auto"/>
            </w:tcBorders>
            <w:shd w:val="clear" w:color="000000" w:fill="4472C4"/>
          </w:tcPr>
          <w:p w14:paraId="7CC33142" w14:textId="77777777" w:rsidR="002C1482" w:rsidRPr="00D778EB" w:rsidRDefault="002C1482" w:rsidP="00117717">
            <w:pPr>
              <w:spacing w:after="0" w:line="240" w:lineRule="auto"/>
              <w:jc w:val="center"/>
              <w:rPr>
                <w:rFonts w:ascii="Arial" w:eastAsia="Times New Roman" w:hAnsi="Arial" w:cs="Arial"/>
                <w:b/>
                <w:bCs/>
                <w:sz w:val="18"/>
                <w:szCs w:val="18"/>
                <w:highlight w:val="red"/>
              </w:rPr>
            </w:pPr>
            <w:r w:rsidRPr="00D778EB">
              <w:rPr>
                <w:rFonts w:ascii="Arial" w:eastAsia="Times New Roman" w:hAnsi="Arial" w:cs="Arial"/>
                <w:b/>
                <w:bCs/>
                <w:sz w:val="18"/>
                <w:szCs w:val="18"/>
              </w:rPr>
              <w:t>Buxheti</w:t>
            </w:r>
          </w:p>
        </w:tc>
        <w:tc>
          <w:tcPr>
            <w:tcW w:w="149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6745BD51" w14:textId="77777777" w:rsidR="002C1482" w:rsidRPr="00D778EB" w:rsidRDefault="002C1482" w:rsidP="00117717">
            <w:pPr>
              <w:spacing w:after="0" w:line="240" w:lineRule="auto"/>
              <w:jc w:val="center"/>
              <w:rPr>
                <w:rFonts w:ascii="Arial" w:eastAsia="Times New Roman" w:hAnsi="Arial" w:cs="Arial"/>
                <w:b/>
                <w:bCs/>
                <w:sz w:val="18"/>
                <w:szCs w:val="18"/>
              </w:rPr>
            </w:pPr>
            <w:r w:rsidRPr="00D778EB">
              <w:rPr>
                <w:rFonts w:ascii="Arial" w:eastAsia="Times New Roman" w:hAnsi="Arial" w:cs="Arial"/>
                <w:b/>
                <w:bCs/>
                <w:sz w:val="18"/>
                <w:szCs w:val="18"/>
              </w:rPr>
              <w:t>Donatorët</w:t>
            </w:r>
          </w:p>
        </w:tc>
        <w:tc>
          <w:tcPr>
            <w:tcW w:w="1054"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797CBCE4" w14:textId="77777777" w:rsidR="002C1482" w:rsidRPr="00D778EB" w:rsidRDefault="002C1482" w:rsidP="00117717">
            <w:pPr>
              <w:spacing w:after="0" w:line="240" w:lineRule="auto"/>
              <w:rPr>
                <w:rFonts w:eastAsia="Times New Roman" w:cs="Calibri"/>
                <w:color w:val="000000"/>
              </w:rPr>
            </w:pPr>
            <w:r w:rsidRPr="00D778EB">
              <w:rPr>
                <w:rFonts w:eastAsia="Times New Roman" w:cs="Calibri"/>
                <w:color w:val="000000"/>
              </w:rPr>
              <w:t> </w:t>
            </w:r>
          </w:p>
        </w:tc>
      </w:tr>
      <w:tr w:rsidR="002C1482" w:rsidRPr="008C0B20" w14:paraId="4BEB1B74" w14:textId="77777777" w:rsidTr="00117717">
        <w:trPr>
          <w:trHeight w:val="315"/>
        </w:trPr>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3740373F" w14:textId="77777777" w:rsidR="002C1482" w:rsidRPr="00D778EB" w:rsidRDefault="002C1482" w:rsidP="00117717">
            <w:pPr>
              <w:spacing w:after="0" w:line="240" w:lineRule="auto"/>
              <w:jc w:val="center"/>
              <w:rPr>
                <w:rFonts w:ascii="Arial" w:eastAsia="Times New Roman" w:hAnsi="Arial" w:cs="Arial"/>
                <w:b/>
                <w:bCs/>
                <w:color w:val="000000"/>
                <w:sz w:val="18"/>
                <w:szCs w:val="18"/>
              </w:rPr>
            </w:pPr>
            <w:r w:rsidRPr="00D778EB">
              <w:rPr>
                <w:rFonts w:ascii="Arial" w:eastAsia="Times New Roman" w:hAnsi="Arial" w:cs="Arial"/>
                <w:b/>
                <w:bCs/>
                <w:color w:val="000000"/>
                <w:sz w:val="18"/>
                <w:szCs w:val="18"/>
              </w:rPr>
              <w:t>QP1</w:t>
            </w:r>
          </w:p>
        </w:tc>
        <w:tc>
          <w:tcPr>
            <w:tcW w:w="135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594382A"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123B79A7"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6D0E96">
              <w:rPr>
                <w:rFonts w:ascii="Arial" w:eastAsia="Times New Roman" w:hAnsi="Arial" w:cs="Arial"/>
                <w:color w:val="000000"/>
                <w:sz w:val="18"/>
                <w:szCs w:val="18"/>
              </w:rPr>
              <w:t>616,051,301</w:t>
            </w:r>
          </w:p>
        </w:tc>
        <w:tc>
          <w:tcPr>
            <w:tcW w:w="1488" w:type="dxa"/>
            <w:tcBorders>
              <w:top w:val="single" w:sz="4" w:space="0" w:color="auto"/>
              <w:left w:val="single" w:sz="4" w:space="0" w:color="auto"/>
              <w:bottom w:val="single" w:sz="4" w:space="0" w:color="auto"/>
              <w:right w:val="single" w:sz="4" w:space="0" w:color="auto"/>
            </w:tcBorders>
            <w:shd w:val="clear" w:color="000000" w:fill="D9E2F3"/>
            <w:vAlign w:val="center"/>
          </w:tcPr>
          <w:p w14:paraId="0EB6BFB5"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523,657,222</w:t>
            </w:r>
          </w:p>
        </w:tc>
        <w:tc>
          <w:tcPr>
            <w:tcW w:w="1217" w:type="dxa"/>
            <w:tcBorders>
              <w:top w:val="single" w:sz="4" w:space="0" w:color="auto"/>
              <w:left w:val="single" w:sz="4" w:space="0" w:color="auto"/>
              <w:bottom w:val="single" w:sz="4" w:space="0" w:color="auto"/>
              <w:right w:val="single" w:sz="4" w:space="0" w:color="auto"/>
            </w:tcBorders>
            <w:shd w:val="clear" w:color="000000" w:fill="D9E2F3"/>
          </w:tcPr>
          <w:p w14:paraId="13E53389"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29,088,596</w:t>
            </w:r>
          </w:p>
        </w:tc>
        <w:tc>
          <w:tcPr>
            <w:tcW w:w="1497"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AF6CBC3" w14:textId="77777777" w:rsidR="002C1482" w:rsidRPr="00D778EB" w:rsidRDefault="002C1482" w:rsidP="001177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66,581,908</w:t>
            </w:r>
          </w:p>
        </w:tc>
        <w:tc>
          <w:tcPr>
            <w:tcW w:w="105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48F3CC22" w14:textId="77777777" w:rsidR="002C1482" w:rsidRPr="0044026F" w:rsidRDefault="002C1482" w:rsidP="00117717">
            <w:pPr>
              <w:spacing w:after="0" w:line="240" w:lineRule="auto"/>
              <w:jc w:val="center"/>
              <w:rPr>
                <w:rFonts w:ascii="Arial" w:eastAsia="Times New Roman" w:hAnsi="Arial" w:cs="Arial"/>
                <w:b/>
                <w:bCs/>
                <w:color w:val="000000"/>
                <w:sz w:val="18"/>
                <w:szCs w:val="18"/>
              </w:rPr>
            </w:pPr>
            <w:r w:rsidRPr="0044026F">
              <w:rPr>
                <w:rFonts w:ascii="Arial" w:eastAsia="Times New Roman" w:hAnsi="Arial" w:cs="Arial"/>
                <w:b/>
                <w:bCs/>
                <w:color w:val="000000"/>
                <w:sz w:val="18"/>
                <w:szCs w:val="18"/>
              </w:rPr>
              <w:t>0</w:t>
            </w:r>
          </w:p>
        </w:tc>
      </w:tr>
      <w:tr w:rsidR="002C1482" w:rsidRPr="008C0B20" w14:paraId="371BEB75" w14:textId="77777777" w:rsidTr="00117717">
        <w:trPr>
          <w:trHeight w:val="345"/>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15890896" w14:textId="77777777" w:rsidR="002C1482" w:rsidRPr="008C0B20" w:rsidRDefault="002C1482" w:rsidP="00117717">
            <w:pPr>
              <w:spacing w:after="0" w:line="240" w:lineRule="auto"/>
              <w:rPr>
                <w:rFonts w:ascii="Arial" w:eastAsia="Times New Roman" w:hAnsi="Arial" w:cs="Arial"/>
                <w:b/>
                <w:bCs/>
                <w:color w:val="000000"/>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B14FE"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Kapitale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13E73"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6E090A">
              <w:rPr>
                <w:rFonts w:ascii="Arial" w:eastAsia="Times New Roman" w:hAnsi="Arial" w:cs="Arial"/>
                <w:color w:val="000000"/>
                <w:sz w:val="18"/>
                <w:szCs w:val="18"/>
              </w:rPr>
              <w:t>3</w:t>
            </w:r>
            <w:r>
              <w:rPr>
                <w:rFonts w:ascii="Arial" w:eastAsia="Times New Roman" w:hAnsi="Arial" w:cs="Arial"/>
                <w:color w:val="000000"/>
                <w:sz w:val="18"/>
                <w:szCs w:val="18"/>
              </w:rPr>
              <w:t>,</w:t>
            </w:r>
            <w:r w:rsidRPr="006E090A">
              <w:rPr>
                <w:rFonts w:ascii="Arial" w:eastAsia="Times New Roman" w:hAnsi="Arial" w:cs="Arial"/>
                <w:color w:val="000000"/>
                <w:sz w:val="18"/>
                <w:szCs w:val="18"/>
              </w:rPr>
              <w:t>276</w:t>
            </w:r>
            <w:r>
              <w:rPr>
                <w:rFonts w:ascii="Arial" w:eastAsia="Times New Roman" w:hAnsi="Arial" w:cs="Arial"/>
                <w:color w:val="000000"/>
                <w:sz w:val="18"/>
                <w:szCs w:val="18"/>
              </w:rPr>
              <w:t>,</w:t>
            </w:r>
            <w:r w:rsidRPr="006E090A">
              <w:rPr>
                <w:rFonts w:ascii="Arial" w:eastAsia="Times New Roman" w:hAnsi="Arial" w:cs="Arial"/>
                <w:color w:val="000000"/>
                <w:sz w:val="18"/>
                <w:szCs w:val="18"/>
              </w:rPr>
              <w:t>425</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58404" w14:textId="77777777" w:rsidR="002C1482" w:rsidRPr="00D778EB" w:rsidRDefault="002C1482" w:rsidP="001177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217" w:type="dxa"/>
            <w:tcBorders>
              <w:top w:val="single" w:sz="4" w:space="0" w:color="auto"/>
              <w:left w:val="single" w:sz="4" w:space="0" w:color="auto"/>
              <w:bottom w:val="single" w:sz="4" w:space="0" w:color="auto"/>
              <w:right w:val="single" w:sz="4" w:space="0" w:color="auto"/>
            </w:tcBorders>
          </w:tcPr>
          <w:p w14:paraId="696656CE"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D165F" w14:textId="77777777" w:rsidR="002C1482" w:rsidRPr="00D778EB" w:rsidRDefault="002C1482" w:rsidP="001177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3,276,425</w:t>
            </w: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74F005D0" w14:textId="77777777" w:rsidR="002C1482" w:rsidRPr="00D778EB" w:rsidRDefault="002C1482" w:rsidP="00117717">
            <w:pPr>
              <w:spacing w:after="0" w:line="240" w:lineRule="auto"/>
              <w:rPr>
                <w:rFonts w:ascii="Arial" w:eastAsia="Times New Roman" w:hAnsi="Arial" w:cs="Arial"/>
                <w:b/>
                <w:bCs/>
                <w:i/>
                <w:iCs/>
                <w:color w:val="000000"/>
                <w:sz w:val="18"/>
                <w:szCs w:val="18"/>
              </w:rPr>
            </w:pPr>
          </w:p>
        </w:tc>
      </w:tr>
      <w:tr w:rsidR="002C1482" w:rsidRPr="008C0B20" w14:paraId="543AC064" w14:textId="77777777" w:rsidTr="00117717">
        <w:trPr>
          <w:trHeight w:val="360"/>
        </w:trPr>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4524BAC0" w14:textId="77777777" w:rsidR="002C1482" w:rsidRPr="008C0B20" w:rsidRDefault="002C1482" w:rsidP="00117717">
            <w:pPr>
              <w:spacing w:after="0" w:line="240" w:lineRule="auto"/>
              <w:jc w:val="center"/>
              <w:rPr>
                <w:rFonts w:ascii="Arial" w:eastAsia="Times New Roman" w:hAnsi="Arial" w:cs="Arial"/>
                <w:b/>
                <w:bCs/>
                <w:color w:val="000000"/>
                <w:sz w:val="18"/>
                <w:szCs w:val="18"/>
                <w:highlight w:val="red"/>
              </w:rPr>
            </w:pPr>
            <w:r w:rsidRPr="00D778EB">
              <w:rPr>
                <w:rFonts w:ascii="Arial" w:eastAsia="Times New Roman" w:hAnsi="Arial" w:cs="Arial"/>
                <w:b/>
                <w:bCs/>
                <w:color w:val="000000"/>
                <w:sz w:val="18"/>
                <w:szCs w:val="18"/>
              </w:rPr>
              <w:t>QP2</w:t>
            </w:r>
          </w:p>
        </w:tc>
        <w:tc>
          <w:tcPr>
            <w:tcW w:w="135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D1D2A06"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D778EB">
              <w:rPr>
                <w:rFonts w:ascii="Arial" w:eastAsia="Times New Roman" w:hAnsi="Arial" w:cs="Arial"/>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2E1EC97"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6E090A">
              <w:rPr>
                <w:rFonts w:ascii="Arial" w:eastAsia="Times New Roman" w:hAnsi="Arial" w:cs="Arial"/>
                <w:color w:val="000000"/>
                <w:sz w:val="18"/>
                <w:szCs w:val="18"/>
              </w:rPr>
              <w:t>241,378,587</w:t>
            </w:r>
          </w:p>
        </w:tc>
        <w:tc>
          <w:tcPr>
            <w:tcW w:w="148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403E307A"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214,253,457</w:t>
            </w:r>
          </w:p>
        </w:tc>
        <w:tc>
          <w:tcPr>
            <w:tcW w:w="1217" w:type="dxa"/>
            <w:tcBorders>
              <w:top w:val="single" w:sz="4" w:space="0" w:color="auto"/>
              <w:left w:val="single" w:sz="4" w:space="0" w:color="auto"/>
              <w:bottom w:val="single" w:sz="4" w:space="0" w:color="auto"/>
              <w:right w:val="single" w:sz="4" w:space="0" w:color="auto"/>
            </w:tcBorders>
            <w:shd w:val="clear" w:color="000000" w:fill="D9E2F3"/>
          </w:tcPr>
          <w:p w14:paraId="2CD68712"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65,729,589</w:t>
            </w:r>
          </w:p>
        </w:tc>
        <w:tc>
          <w:tcPr>
            <w:tcW w:w="1497"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3D0893B5" w14:textId="77777777" w:rsidR="002C1482" w:rsidRPr="00D778EB" w:rsidRDefault="002C1482" w:rsidP="00117717">
            <w:pPr>
              <w:spacing w:after="0" w:line="240" w:lineRule="auto"/>
              <w:jc w:val="center"/>
              <w:rPr>
                <w:rFonts w:ascii="Arial" w:eastAsia="Times New Roman" w:hAnsi="Arial" w:cs="Arial"/>
                <w:color w:val="000000"/>
                <w:sz w:val="18"/>
                <w:szCs w:val="18"/>
              </w:rPr>
            </w:pPr>
            <w:r w:rsidRPr="00D778EB">
              <w:rPr>
                <w:rFonts w:ascii="Arial" w:eastAsia="Times New Roman" w:hAnsi="Arial" w:cs="Arial"/>
                <w:color w:val="000000"/>
                <w:sz w:val="18"/>
                <w:szCs w:val="18"/>
              </w:rPr>
              <w:t>539,500</w:t>
            </w:r>
          </w:p>
        </w:tc>
        <w:tc>
          <w:tcPr>
            <w:tcW w:w="105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0D175C40" w14:textId="77777777" w:rsidR="002C1482" w:rsidRPr="0044026F" w:rsidRDefault="002C1482" w:rsidP="00117717">
            <w:pPr>
              <w:spacing w:after="0" w:line="240" w:lineRule="auto"/>
              <w:jc w:val="center"/>
              <w:rPr>
                <w:rFonts w:ascii="Arial" w:eastAsia="Times New Roman" w:hAnsi="Arial" w:cs="Arial"/>
                <w:b/>
                <w:bCs/>
                <w:color w:val="000000"/>
                <w:sz w:val="18"/>
                <w:szCs w:val="18"/>
              </w:rPr>
            </w:pPr>
            <w:r w:rsidRPr="0044026F">
              <w:rPr>
                <w:rFonts w:ascii="Arial" w:eastAsia="Times New Roman" w:hAnsi="Arial" w:cs="Arial"/>
                <w:b/>
                <w:bCs/>
                <w:color w:val="000000"/>
                <w:sz w:val="18"/>
                <w:szCs w:val="18"/>
              </w:rPr>
              <w:t>0</w:t>
            </w:r>
          </w:p>
        </w:tc>
      </w:tr>
      <w:tr w:rsidR="002C1482" w:rsidRPr="008C0B20" w14:paraId="05FDD757" w14:textId="77777777" w:rsidTr="00117717">
        <w:trPr>
          <w:trHeight w:val="420"/>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6CF39E8F" w14:textId="77777777" w:rsidR="002C1482" w:rsidRPr="008C0B20" w:rsidRDefault="002C1482" w:rsidP="00117717">
            <w:pPr>
              <w:spacing w:after="0" w:line="240" w:lineRule="auto"/>
              <w:rPr>
                <w:rFonts w:ascii="Arial" w:eastAsia="Times New Roman" w:hAnsi="Arial" w:cs="Arial"/>
                <w:b/>
                <w:bCs/>
                <w:color w:val="000000"/>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6B2CF"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D778EB">
              <w:rPr>
                <w:rFonts w:ascii="Arial" w:eastAsia="Times New Roman" w:hAnsi="Arial" w:cs="Arial"/>
                <w:color w:val="000000"/>
                <w:sz w:val="18"/>
                <w:szCs w:val="18"/>
              </w:rPr>
              <w:t>Kapitale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6878A"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A98E3" w14:textId="77777777" w:rsidR="002C1482" w:rsidRPr="008C0B20" w:rsidRDefault="002C1482" w:rsidP="00117717">
            <w:pPr>
              <w:spacing w:after="0" w:line="240" w:lineRule="auto"/>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 xml:space="preserve">             0</w:t>
            </w:r>
          </w:p>
        </w:tc>
        <w:tc>
          <w:tcPr>
            <w:tcW w:w="1217" w:type="dxa"/>
            <w:tcBorders>
              <w:top w:val="single" w:sz="4" w:space="0" w:color="auto"/>
              <w:left w:val="single" w:sz="4" w:space="0" w:color="auto"/>
              <w:bottom w:val="single" w:sz="4" w:space="0" w:color="auto"/>
              <w:right w:val="single" w:sz="4" w:space="0" w:color="auto"/>
            </w:tcBorders>
          </w:tcPr>
          <w:p w14:paraId="3A6841EA" w14:textId="77777777" w:rsidR="002C1482" w:rsidRDefault="002C1482" w:rsidP="00117717">
            <w:pPr>
              <w:spacing w:after="0" w:line="240" w:lineRule="auto"/>
              <w:jc w:val="center"/>
              <w:rPr>
                <w:rFonts w:ascii="Arial" w:eastAsia="Times New Roman" w:hAnsi="Arial" w:cs="Arial"/>
                <w:color w:val="000000"/>
                <w:sz w:val="18"/>
                <w:szCs w:val="18"/>
              </w:rPr>
            </w:pPr>
          </w:p>
          <w:p w14:paraId="4CB574D1"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425A"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43B15B06" w14:textId="77777777" w:rsidR="002C1482" w:rsidRPr="008C0B20" w:rsidRDefault="002C1482" w:rsidP="00117717">
            <w:pPr>
              <w:spacing w:after="0" w:line="240" w:lineRule="auto"/>
              <w:rPr>
                <w:rFonts w:ascii="Arial" w:eastAsia="Times New Roman" w:hAnsi="Arial" w:cs="Arial"/>
                <w:b/>
                <w:bCs/>
                <w:i/>
                <w:iCs/>
                <w:color w:val="000000"/>
                <w:sz w:val="18"/>
                <w:szCs w:val="18"/>
                <w:highlight w:val="red"/>
              </w:rPr>
            </w:pPr>
          </w:p>
        </w:tc>
      </w:tr>
      <w:tr w:rsidR="002C1482" w:rsidRPr="008C0B20" w14:paraId="203C0AE4" w14:textId="77777777" w:rsidTr="00117717">
        <w:trPr>
          <w:trHeight w:val="420"/>
        </w:trPr>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63AD621" w14:textId="77777777" w:rsidR="002C1482" w:rsidRPr="008C0B20"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QP3</w:t>
            </w:r>
          </w:p>
        </w:tc>
        <w:tc>
          <w:tcPr>
            <w:tcW w:w="135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4A35B2AA"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913F535"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1F46A9">
              <w:rPr>
                <w:rFonts w:ascii="Arial" w:eastAsia="Times New Roman" w:hAnsi="Arial" w:cs="Arial"/>
                <w:color w:val="000000"/>
                <w:sz w:val="18"/>
                <w:szCs w:val="18"/>
              </w:rPr>
              <w:t>837,643,664</w:t>
            </w:r>
          </w:p>
        </w:tc>
        <w:tc>
          <w:tcPr>
            <w:tcW w:w="148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DB2B6BD"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628,563,089</w:t>
            </w:r>
          </w:p>
        </w:tc>
        <w:tc>
          <w:tcPr>
            <w:tcW w:w="1217" w:type="dxa"/>
            <w:tcBorders>
              <w:top w:val="single" w:sz="4" w:space="0" w:color="auto"/>
              <w:left w:val="single" w:sz="4" w:space="0" w:color="auto"/>
              <w:bottom w:val="single" w:sz="4" w:space="0" w:color="auto"/>
              <w:right w:val="single" w:sz="4" w:space="0" w:color="auto"/>
            </w:tcBorders>
            <w:shd w:val="clear" w:color="000000" w:fill="D9E2F3"/>
          </w:tcPr>
          <w:p w14:paraId="2C194B40" w14:textId="77777777" w:rsidR="002C1482" w:rsidRPr="0044026F" w:rsidRDefault="002C1482" w:rsidP="00117717">
            <w:pPr>
              <w:spacing w:after="0" w:line="240" w:lineRule="auto"/>
              <w:rPr>
                <w:rFonts w:ascii="Arial" w:eastAsia="Times New Roman" w:hAnsi="Arial" w:cs="Arial"/>
                <w:color w:val="000000"/>
                <w:sz w:val="18"/>
                <w:szCs w:val="18"/>
              </w:rPr>
            </w:pPr>
          </w:p>
          <w:p w14:paraId="6168A0E0" w14:textId="77777777" w:rsidR="002C1482" w:rsidRPr="008C0B20" w:rsidRDefault="002C1482" w:rsidP="00117717">
            <w:pPr>
              <w:spacing w:after="0" w:line="240" w:lineRule="auto"/>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209,080,575</w:t>
            </w:r>
          </w:p>
        </w:tc>
        <w:tc>
          <w:tcPr>
            <w:tcW w:w="1497"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5F0AE49"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D5AD220" w14:textId="77777777" w:rsidR="002C1482" w:rsidRPr="0044026F"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0</w:t>
            </w:r>
          </w:p>
        </w:tc>
      </w:tr>
      <w:tr w:rsidR="002C1482" w:rsidRPr="008C0B20" w14:paraId="40893115" w14:textId="77777777" w:rsidTr="00117717">
        <w:trPr>
          <w:trHeight w:val="465"/>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3A7A8AA5" w14:textId="77777777" w:rsidR="002C1482" w:rsidRPr="008C0B20" w:rsidRDefault="002C1482" w:rsidP="00117717">
            <w:pPr>
              <w:spacing w:after="0" w:line="240" w:lineRule="auto"/>
              <w:rPr>
                <w:rFonts w:ascii="Arial" w:eastAsia="Times New Roman" w:hAnsi="Arial" w:cs="Arial"/>
                <w:b/>
                <w:bCs/>
                <w:color w:val="000000"/>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5B02A"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Kapitale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3F507"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E91B"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217" w:type="dxa"/>
            <w:tcBorders>
              <w:top w:val="single" w:sz="4" w:space="0" w:color="auto"/>
              <w:left w:val="single" w:sz="4" w:space="0" w:color="auto"/>
              <w:bottom w:val="single" w:sz="4" w:space="0" w:color="auto"/>
              <w:right w:val="single" w:sz="4" w:space="0" w:color="auto"/>
            </w:tcBorders>
          </w:tcPr>
          <w:p w14:paraId="3B6A894D" w14:textId="77777777" w:rsidR="002C1482" w:rsidRDefault="002C1482" w:rsidP="00117717">
            <w:pPr>
              <w:spacing w:after="0" w:line="240" w:lineRule="auto"/>
              <w:jc w:val="center"/>
              <w:rPr>
                <w:rFonts w:ascii="Arial" w:eastAsia="Times New Roman" w:hAnsi="Arial" w:cs="Arial"/>
                <w:color w:val="000000"/>
                <w:sz w:val="18"/>
                <w:szCs w:val="18"/>
                <w:highlight w:val="red"/>
              </w:rPr>
            </w:pPr>
          </w:p>
          <w:p w14:paraId="0122164F"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E852E"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0F07FD32" w14:textId="77777777" w:rsidR="002C1482" w:rsidRPr="008C0B20" w:rsidRDefault="002C1482" w:rsidP="00117717">
            <w:pPr>
              <w:spacing w:after="0" w:line="240" w:lineRule="auto"/>
              <w:rPr>
                <w:rFonts w:ascii="Arial" w:eastAsia="Times New Roman" w:hAnsi="Arial" w:cs="Arial"/>
                <w:b/>
                <w:bCs/>
                <w:i/>
                <w:iCs/>
                <w:color w:val="000000"/>
                <w:sz w:val="18"/>
                <w:szCs w:val="18"/>
                <w:highlight w:val="red"/>
              </w:rPr>
            </w:pPr>
          </w:p>
        </w:tc>
      </w:tr>
      <w:tr w:rsidR="002C1482" w:rsidRPr="008C0B20" w14:paraId="74DA1B32" w14:textId="77777777" w:rsidTr="00117717">
        <w:trPr>
          <w:trHeight w:val="390"/>
        </w:trPr>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6A2CC084" w14:textId="77777777" w:rsidR="002C1482" w:rsidRPr="008C0B20"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QP4</w:t>
            </w:r>
          </w:p>
        </w:tc>
        <w:tc>
          <w:tcPr>
            <w:tcW w:w="135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1E26DDB"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769D4598"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5B642F">
              <w:rPr>
                <w:rFonts w:ascii="Arial" w:eastAsia="Times New Roman" w:hAnsi="Arial" w:cs="Arial"/>
                <w:color w:val="000000"/>
                <w:sz w:val="18"/>
                <w:szCs w:val="18"/>
              </w:rPr>
              <w:t>804,650,334</w:t>
            </w:r>
          </w:p>
        </w:tc>
        <w:tc>
          <w:tcPr>
            <w:tcW w:w="148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A83CCA9"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C61CED">
              <w:rPr>
                <w:rFonts w:ascii="Arial" w:eastAsia="Times New Roman" w:hAnsi="Arial" w:cs="Arial"/>
                <w:color w:val="000000"/>
                <w:sz w:val="18"/>
                <w:szCs w:val="18"/>
              </w:rPr>
              <w:t>709,424,154</w:t>
            </w:r>
          </w:p>
        </w:tc>
        <w:tc>
          <w:tcPr>
            <w:tcW w:w="1217" w:type="dxa"/>
            <w:tcBorders>
              <w:top w:val="single" w:sz="4" w:space="0" w:color="auto"/>
              <w:left w:val="single" w:sz="4" w:space="0" w:color="auto"/>
              <w:bottom w:val="single" w:sz="4" w:space="0" w:color="auto"/>
              <w:right w:val="single" w:sz="4" w:space="0" w:color="auto"/>
            </w:tcBorders>
            <w:shd w:val="clear" w:color="000000" w:fill="D9E2F3"/>
          </w:tcPr>
          <w:p w14:paraId="7D4F2D5B" w14:textId="77777777" w:rsidR="002C1482" w:rsidRDefault="002C1482" w:rsidP="00117717">
            <w:pPr>
              <w:spacing w:after="0" w:line="240" w:lineRule="auto"/>
              <w:rPr>
                <w:rFonts w:ascii="Arial" w:eastAsia="Times New Roman" w:hAnsi="Arial" w:cs="Arial"/>
                <w:color w:val="000000"/>
                <w:sz w:val="18"/>
                <w:szCs w:val="18"/>
                <w:highlight w:val="red"/>
              </w:rPr>
            </w:pPr>
          </w:p>
          <w:p w14:paraId="618C0494" w14:textId="77777777" w:rsidR="002C1482" w:rsidRPr="008C0B20" w:rsidRDefault="002C1482" w:rsidP="00117717">
            <w:pPr>
              <w:spacing w:after="0" w:line="240" w:lineRule="auto"/>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95,226,180</w:t>
            </w:r>
          </w:p>
        </w:tc>
        <w:tc>
          <w:tcPr>
            <w:tcW w:w="1497"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39879CE"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1B85BE16" w14:textId="77777777" w:rsidR="002C1482" w:rsidRPr="0044026F"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0</w:t>
            </w:r>
          </w:p>
        </w:tc>
      </w:tr>
      <w:tr w:rsidR="002C1482" w:rsidRPr="008C0B20" w14:paraId="1E667310" w14:textId="77777777" w:rsidTr="00117717">
        <w:trPr>
          <w:trHeight w:val="360"/>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6E5238C2" w14:textId="77777777" w:rsidR="002C1482" w:rsidRPr="008C0B20" w:rsidRDefault="002C1482" w:rsidP="00117717">
            <w:pPr>
              <w:spacing w:after="0" w:line="240" w:lineRule="auto"/>
              <w:rPr>
                <w:rFonts w:ascii="Arial" w:eastAsia="Times New Roman" w:hAnsi="Arial" w:cs="Arial"/>
                <w:b/>
                <w:bCs/>
                <w:color w:val="000000"/>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86462"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Kapitale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FF1D2"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E68B"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217" w:type="dxa"/>
            <w:tcBorders>
              <w:top w:val="single" w:sz="4" w:space="0" w:color="auto"/>
              <w:left w:val="single" w:sz="4" w:space="0" w:color="auto"/>
              <w:bottom w:val="single" w:sz="4" w:space="0" w:color="auto"/>
              <w:right w:val="single" w:sz="4" w:space="0" w:color="auto"/>
            </w:tcBorders>
          </w:tcPr>
          <w:p w14:paraId="48E559DB"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0E09"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39E84331" w14:textId="77777777" w:rsidR="002C1482" w:rsidRPr="008C0B20" w:rsidRDefault="002C1482" w:rsidP="00117717">
            <w:pPr>
              <w:spacing w:after="0" w:line="240" w:lineRule="auto"/>
              <w:rPr>
                <w:rFonts w:ascii="Arial" w:eastAsia="Times New Roman" w:hAnsi="Arial" w:cs="Arial"/>
                <w:b/>
                <w:bCs/>
                <w:i/>
                <w:iCs/>
                <w:color w:val="000000"/>
                <w:sz w:val="18"/>
                <w:szCs w:val="18"/>
                <w:highlight w:val="red"/>
              </w:rPr>
            </w:pPr>
          </w:p>
        </w:tc>
      </w:tr>
      <w:tr w:rsidR="002C1482" w:rsidRPr="008C0B20" w14:paraId="6E1663D5" w14:textId="77777777" w:rsidTr="00117717">
        <w:trPr>
          <w:trHeight w:val="450"/>
        </w:trPr>
        <w:tc>
          <w:tcPr>
            <w:tcW w:w="1161" w:type="dxa"/>
            <w:gridSpan w:val="2"/>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5B58F27F" w14:textId="77777777" w:rsidR="002C1482" w:rsidRPr="008C0B20"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QP5</w:t>
            </w:r>
          </w:p>
        </w:tc>
        <w:tc>
          <w:tcPr>
            <w:tcW w:w="135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7E5BC920"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23FCC69"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5B642F">
              <w:rPr>
                <w:rFonts w:ascii="Arial" w:eastAsia="Times New Roman" w:hAnsi="Arial" w:cs="Arial"/>
                <w:color w:val="000000"/>
                <w:sz w:val="18"/>
                <w:szCs w:val="18"/>
              </w:rPr>
              <w:t>824,787,004</w:t>
            </w:r>
          </w:p>
        </w:tc>
        <w:tc>
          <w:tcPr>
            <w:tcW w:w="1488"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4918E52"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823,513,004</w:t>
            </w:r>
          </w:p>
        </w:tc>
        <w:tc>
          <w:tcPr>
            <w:tcW w:w="1217" w:type="dxa"/>
            <w:tcBorders>
              <w:top w:val="single" w:sz="4" w:space="0" w:color="auto"/>
              <w:left w:val="single" w:sz="4" w:space="0" w:color="auto"/>
              <w:bottom w:val="single" w:sz="4" w:space="0" w:color="auto"/>
              <w:right w:val="single" w:sz="4" w:space="0" w:color="auto"/>
            </w:tcBorders>
            <w:shd w:val="clear" w:color="000000" w:fill="D9E2F3"/>
          </w:tcPr>
          <w:p w14:paraId="5F0D9FC7" w14:textId="77777777" w:rsidR="002C1482" w:rsidRPr="0044026F" w:rsidRDefault="002C1482" w:rsidP="00117717">
            <w:pPr>
              <w:spacing w:after="0" w:line="240" w:lineRule="auto"/>
              <w:rPr>
                <w:rFonts w:ascii="Arial" w:eastAsia="Times New Roman" w:hAnsi="Arial" w:cs="Arial"/>
                <w:color w:val="000000"/>
                <w:sz w:val="18"/>
                <w:szCs w:val="18"/>
              </w:rPr>
            </w:pPr>
          </w:p>
          <w:p w14:paraId="28B773C7" w14:textId="77777777" w:rsidR="002C1482" w:rsidRPr="008C0B20" w:rsidRDefault="002C1482" w:rsidP="00117717">
            <w:pPr>
              <w:spacing w:after="0" w:line="240" w:lineRule="auto"/>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 xml:space="preserve"> 1,274,000</w:t>
            </w:r>
          </w:p>
        </w:tc>
        <w:tc>
          <w:tcPr>
            <w:tcW w:w="1497"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0E17502"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04528DCB" w14:textId="77777777" w:rsidR="002C1482" w:rsidRPr="0044026F"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0</w:t>
            </w:r>
          </w:p>
        </w:tc>
      </w:tr>
      <w:tr w:rsidR="002C1482" w:rsidRPr="008C0B20" w14:paraId="1E3BBE2F" w14:textId="77777777" w:rsidTr="00117717">
        <w:trPr>
          <w:trHeight w:val="405"/>
        </w:trPr>
        <w:tc>
          <w:tcPr>
            <w:tcW w:w="1161" w:type="dxa"/>
            <w:gridSpan w:val="2"/>
            <w:vMerge/>
            <w:tcBorders>
              <w:top w:val="single" w:sz="4" w:space="0" w:color="auto"/>
              <w:left w:val="single" w:sz="4" w:space="0" w:color="auto"/>
              <w:bottom w:val="single" w:sz="4" w:space="0" w:color="auto"/>
              <w:right w:val="single" w:sz="4" w:space="0" w:color="auto"/>
            </w:tcBorders>
            <w:vAlign w:val="center"/>
            <w:hideMark/>
          </w:tcPr>
          <w:p w14:paraId="6C00E055" w14:textId="77777777" w:rsidR="002C1482" w:rsidRPr="008C0B20" w:rsidRDefault="002C1482" w:rsidP="00117717">
            <w:pPr>
              <w:spacing w:after="0" w:line="240" w:lineRule="auto"/>
              <w:rPr>
                <w:rFonts w:ascii="Arial" w:eastAsia="Times New Roman" w:hAnsi="Arial" w:cs="Arial"/>
                <w:b/>
                <w:bCs/>
                <w:color w:val="000000"/>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B03C1"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Kapitale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3BBEC16"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55,860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CF443"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55,860</w:t>
            </w:r>
          </w:p>
        </w:tc>
        <w:tc>
          <w:tcPr>
            <w:tcW w:w="1217" w:type="dxa"/>
            <w:tcBorders>
              <w:top w:val="single" w:sz="4" w:space="0" w:color="auto"/>
              <w:left w:val="single" w:sz="4" w:space="0" w:color="auto"/>
              <w:bottom w:val="single" w:sz="4" w:space="0" w:color="auto"/>
              <w:right w:val="single" w:sz="4" w:space="0" w:color="auto"/>
            </w:tcBorders>
          </w:tcPr>
          <w:p w14:paraId="68139A3C" w14:textId="77777777" w:rsidR="002C1482" w:rsidRPr="0044026F" w:rsidRDefault="002C1482" w:rsidP="00117717">
            <w:pPr>
              <w:spacing w:after="0" w:line="240" w:lineRule="auto"/>
              <w:rPr>
                <w:rFonts w:ascii="Arial" w:eastAsia="Times New Roman" w:hAnsi="Arial" w:cs="Arial"/>
                <w:color w:val="000000"/>
                <w:sz w:val="18"/>
                <w:szCs w:val="18"/>
              </w:rPr>
            </w:pPr>
          </w:p>
          <w:p w14:paraId="5310DF37" w14:textId="77777777" w:rsidR="002C1482" w:rsidRPr="008C0B20" w:rsidRDefault="002C1482" w:rsidP="00117717">
            <w:pPr>
              <w:spacing w:after="0" w:line="240" w:lineRule="auto"/>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 xml:space="preserve">      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01EA4" w14:textId="77777777" w:rsidR="002C1482" w:rsidRPr="008C0B20" w:rsidRDefault="002C1482" w:rsidP="00117717">
            <w:pPr>
              <w:spacing w:after="0" w:line="240" w:lineRule="auto"/>
              <w:jc w:val="center"/>
              <w:rPr>
                <w:rFonts w:ascii="Arial" w:eastAsia="Times New Roman" w:hAnsi="Arial" w:cs="Arial"/>
                <w:color w:val="000000"/>
                <w:sz w:val="18"/>
                <w:szCs w:val="18"/>
                <w:highlight w:val="red"/>
              </w:rPr>
            </w:pPr>
            <w:r w:rsidRPr="0044026F">
              <w:rPr>
                <w:rFonts w:ascii="Arial" w:eastAsia="Times New Roman" w:hAnsi="Arial" w:cs="Arial"/>
                <w:color w:val="000000"/>
                <w:sz w:val="18"/>
                <w:szCs w:val="18"/>
              </w:rPr>
              <w:t>0</w:t>
            </w: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21B4555E" w14:textId="77777777" w:rsidR="002C1482" w:rsidRPr="008C0B20" w:rsidRDefault="002C1482" w:rsidP="00117717">
            <w:pPr>
              <w:spacing w:after="0" w:line="240" w:lineRule="auto"/>
              <w:rPr>
                <w:rFonts w:ascii="Arial" w:eastAsia="Times New Roman" w:hAnsi="Arial" w:cs="Arial"/>
                <w:b/>
                <w:bCs/>
                <w:i/>
                <w:iCs/>
                <w:color w:val="000000"/>
                <w:sz w:val="18"/>
                <w:szCs w:val="18"/>
                <w:highlight w:val="red"/>
              </w:rPr>
            </w:pPr>
          </w:p>
        </w:tc>
      </w:tr>
      <w:tr w:rsidR="002C1482" w:rsidRPr="008C0B20" w14:paraId="075D49FE" w14:textId="77777777" w:rsidTr="00117717">
        <w:trPr>
          <w:trHeight w:val="467"/>
        </w:trPr>
        <w:tc>
          <w:tcPr>
            <w:tcW w:w="1161" w:type="dxa"/>
            <w:gridSpan w:val="2"/>
            <w:vMerge w:val="restart"/>
            <w:tcBorders>
              <w:top w:val="single" w:sz="4" w:space="0" w:color="auto"/>
              <w:left w:val="single" w:sz="4" w:space="0" w:color="auto"/>
              <w:right w:val="single" w:sz="4" w:space="0" w:color="auto"/>
            </w:tcBorders>
            <w:shd w:val="clear" w:color="auto" w:fill="auto"/>
            <w:vAlign w:val="center"/>
            <w:hideMark/>
          </w:tcPr>
          <w:p w14:paraId="74FBCC0A" w14:textId="77777777" w:rsidR="002C1482" w:rsidRPr="008C0B20" w:rsidRDefault="002C1482" w:rsidP="00117717">
            <w:pPr>
              <w:spacing w:after="0" w:line="240" w:lineRule="auto"/>
              <w:jc w:val="center"/>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TOTALI [Lekë]</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F99F5" w14:textId="77777777" w:rsidR="002C1482" w:rsidRPr="002657F4" w:rsidRDefault="002C1482" w:rsidP="00117717">
            <w:pPr>
              <w:spacing w:after="0" w:line="240" w:lineRule="auto"/>
              <w:jc w:val="center"/>
              <w:rPr>
                <w:rFonts w:ascii="Times New Roman" w:eastAsia="Times New Roman" w:hAnsi="Times New Roman"/>
                <w:color w:val="000000"/>
                <w:sz w:val="18"/>
                <w:szCs w:val="18"/>
                <w:highlight w:val="red"/>
              </w:rPr>
            </w:pPr>
            <w:r w:rsidRPr="002657F4">
              <w:rPr>
                <w:rFonts w:ascii="Times New Roman" w:eastAsia="Times New Roman" w:hAnsi="Times New Roman"/>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95255CD" w14:textId="77777777" w:rsidR="002C1482" w:rsidRPr="002657F4" w:rsidRDefault="002C1482" w:rsidP="00117717">
            <w:pPr>
              <w:spacing w:after="0" w:line="240" w:lineRule="auto"/>
              <w:jc w:val="center"/>
              <w:rPr>
                <w:rFonts w:ascii="Arial" w:eastAsia="Times New Roman" w:hAnsi="Arial" w:cs="Arial"/>
                <w:color w:val="000000"/>
                <w:sz w:val="18"/>
                <w:szCs w:val="18"/>
                <w:highlight w:val="red"/>
              </w:rPr>
            </w:pPr>
            <w:r w:rsidRPr="002657F4">
              <w:rPr>
                <w:rFonts w:ascii="Arial" w:eastAsia="Times New Roman" w:hAnsi="Arial" w:cs="Arial"/>
                <w:color w:val="000000"/>
                <w:sz w:val="18"/>
                <w:szCs w:val="18"/>
              </w:rPr>
              <w:t>3,363,654,848</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36B24E73" w14:textId="77777777" w:rsidR="002C1482" w:rsidRPr="002657F4" w:rsidRDefault="002C1482" w:rsidP="0011771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2,899,410,926</w:t>
            </w:r>
          </w:p>
        </w:tc>
        <w:tc>
          <w:tcPr>
            <w:tcW w:w="1217" w:type="dxa"/>
            <w:vMerge w:val="restart"/>
            <w:tcBorders>
              <w:top w:val="single" w:sz="4" w:space="0" w:color="auto"/>
              <w:left w:val="single" w:sz="4" w:space="0" w:color="auto"/>
              <w:right w:val="single" w:sz="4" w:space="0" w:color="auto"/>
            </w:tcBorders>
            <w:shd w:val="clear" w:color="auto" w:fill="auto"/>
          </w:tcPr>
          <w:p w14:paraId="7178555C" w14:textId="77777777" w:rsidR="002C1482" w:rsidRDefault="002C1482" w:rsidP="00117717">
            <w:pPr>
              <w:spacing w:after="0" w:line="240" w:lineRule="auto"/>
              <w:jc w:val="center"/>
              <w:rPr>
                <w:rFonts w:ascii="Arial" w:eastAsia="Times New Roman" w:hAnsi="Arial" w:cs="Arial"/>
                <w:b/>
                <w:bCs/>
                <w:color w:val="000000"/>
                <w:sz w:val="18"/>
                <w:szCs w:val="18"/>
              </w:rPr>
            </w:pPr>
          </w:p>
          <w:p w14:paraId="306FA47B" w14:textId="77777777" w:rsidR="002C1482" w:rsidRPr="002657F4" w:rsidRDefault="002C1482" w:rsidP="00117717">
            <w:pPr>
              <w:spacing w:after="0" w:line="240" w:lineRule="auto"/>
              <w:rPr>
                <w:rFonts w:ascii="Arial" w:eastAsia="Times New Roman" w:hAnsi="Arial" w:cs="Arial"/>
                <w:color w:val="000000"/>
                <w:sz w:val="18"/>
                <w:szCs w:val="18"/>
                <w:highlight w:val="red"/>
              </w:rPr>
            </w:pPr>
            <w:r>
              <w:rPr>
                <w:rFonts w:ascii="Arial" w:eastAsia="Times New Roman" w:hAnsi="Arial" w:cs="Arial"/>
                <w:color w:val="000000"/>
                <w:sz w:val="18"/>
                <w:szCs w:val="18"/>
              </w:rPr>
              <w:t>400,398,939</w:t>
            </w:r>
          </w:p>
        </w:tc>
        <w:tc>
          <w:tcPr>
            <w:tcW w:w="1497" w:type="dxa"/>
            <w:vMerge w:val="restart"/>
            <w:tcBorders>
              <w:top w:val="single" w:sz="4" w:space="0" w:color="auto"/>
              <w:left w:val="single" w:sz="4" w:space="0" w:color="auto"/>
              <w:right w:val="single" w:sz="4" w:space="0" w:color="auto"/>
            </w:tcBorders>
            <w:shd w:val="clear" w:color="auto" w:fill="auto"/>
            <w:vAlign w:val="center"/>
          </w:tcPr>
          <w:p w14:paraId="4605D87A" w14:textId="77777777" w:rsidR="002C1482" w:rsidRPr="002657F4" w:rsidRDefault="002C1482" w:rsidP="00117717">
            <w:pPr>
              <w:spacing w:after="0" w:line="240" w:lineRule="auto"/>
              <w:jc w:val="center"/>
              <w:rPr>
                <w:rFonts w:ascii="Arial" w:eastAsia="Times New Roman" w:hAnsi="Arial" w:cs="Arial"/>
                <w:color w:val="000000"/>
                <w:sz w:val="18"/>
                <w:szCs w:val="18"/>
                <w:highlight w:val="red"/>
              </w:rPr>
            </w:pPr>
            <w:r>
              <w:rPr>
                <w:rFonts w:ascii="Arial" w:eastAsia="Times New Roman" w:hAnsi="Arial" w:cs="Arial"/>
                <w:color w:val="000000"/>
                <w:sz w:val="18"/>
                <w:szCs w:val="18"/>
              </w:rPr>
              <w:t>63,844,983</w:t>
            </w:r>
          </w:p>
        </w:tc>
        <w:tc>
          <w:tcPr>
            <w:tcW w:w="1054" w:type="dxa"/>
            <w:vMerge w:val="restart"/>
            <w:tcBorders>
              <w:top w:val="single" w:sz="4" w:space="0" w:color="auto"/>
              <w:left w:val="single" w:sz="4" w:space="0" w:color="auto"/>
              <w:right w:val="single" w:sz="4" w:space="0" w:color="auto"/>
            </w:tcBorders>
            <w:shd w:val="clear" w:color="auto" w:fill="auto"/>
            <w:vAlign w:val="center"/>
            <w:hideMark/>
          </w:tcPr>
          <w:p w14:paraId="694E9955" w14:textId="77777777" w:rsidR="002C1482" w:rsidRPr="002657F4" w:rsidRDefault="002C1482" w:rsidP="00117717">
            <w:pPr>
              <w:spacing w:after="0" w:line="240" w:lineRule="auto"/>
              <w:jc w:val="center"/>
              <w:rPr>
                <w:rFonts w:ascii="Arial" w:eastAsia="Times New Roman" w:hAnsi="Arial" w:cs="Arial"/>
                <w:b/>
                <w:bCs/>
                <w:color w:val="000000"/>
                <w:sz w:val="18"/>
                <w:szCs w:val="18"/>
                <w:highlight w:val="red"/>
              </w:rPr>
            </w:pPr>
            <w:r w:rsidRPr="002657F4">
              <w:rPr>
                <w:rFonts w:ascii="Arial" w:eastAsia="Times New Roman" w:hAnsi="Arial" w:cs="Arial"/>
                <w:b/>
                <w:bCs/>
                <w:color w:val="000000"/>
                <w:sz w:val="18"/>
                <w:szCs w:val="18"/>
              </w:rPr>
              <w:t>0 </w:t>
            </w:r>
          </w:p>
        </w:tc>
      </w:tr>
      <w:tr w:rsidR="002C1482" w:rsidRPr="008C0B20" w14:paraId="1A192978" w14:textId="77777777" w:rsidTr="00117717">
        <w:trPr>
          <w:trHeight w:val="207"/>
        </w:trPr>
        <w:tc>
          <w:tcPr>
            <w:tcW w:w="1161" w:type="dxa"/>
            <w:gridSpan w:val="2"/>
            <w:vMerge/>
            <w:tcBorders>
              <w:left w:val="single" w:sz="4" w:space="0" w:color="auto"/>
              <w:right w:val="single" w:sz="4" w:space="0" w:color="auto"/>
            </w:tcBorders>
            <w:shd w:val="clear" w:color="000000" w:fill="D9E2F3"/>
            <w:vAlign w:val="center"/>
          </w:tcPr>
          <w:p w14:paraId="20EC4F45" w14:textId="77777777" w:rsidR="002C1482" w:rsidRPr="0044026F" w:rsidRDefault="002C1482" w:rsidP="00117717">
            <w:pPr>
              <w:spacing w:after="0" w:line="240" w:lineRule="auto"/>
              <w:jc w:val="right"/>
              <w:rPr>
                <w:rFonts w:ascii="Arial" w:eastAsia="Times New Roman" w:hAnsi="Arial" w:cs="Arial"/>
                <w:b/>
                <w:bCs/>
                <w:color w:val="000000"/>
                <w:sz w:val="18"/>
                <w:szCs w:val="18"/>
              </w:rPr>
            </w:pPr>
          </w:p>
        </w:tc>
        <w:tc>
          <w:tcPr>
            <w:tcW w:w="1350" w:type="dxa"/>
            <w:vMerge w:val="restart"/>
            <w:tcBorders>
              <w:top w:val="single" w:sz="4" w:space="0" w:color="auto"/>
              <w:left w:val="single" w:sz="4" w:space="0" w:color="auto"/>
              <w:right w:val="single" w:sz="4" w:space="0" w:color="auto"/>
            </w:tcBorders>
            <w:shd w:val="clear" w:color="000000" w:fill="D9E2F3"/>
            <w:vAlign w:val="center"/>
          </w:tcPr>
          <w:p w14:paraId="24A9D42C" w14:textId="77777777" w:rsidR="002C1482" w:rsidRPr="002657F4" w:rsidRDefault="002C1482" w:rsidP="00117717">
            <w:pPr>
              <w:spacing w:after="0" w:line="240" w:lineRule="auto"/>
              <w:jc w:val="center"/>
              <w:rPr>
                <w:rFonts w:ascii="Times New Roman" w:eastAsia="Times New Roman" w:hAnsi="Times New Roman"/>
                <w:color w:val="000000"/>
                <w:sz w:val="18"/>
                <w:szCs w:val="18"/>
              </w:rPr>
            </w:pPr>
            <w:r w:rsidRPr="002657F4">
              <w:rPr>
                <w:rFonts w:ascii="Times New Roman" w:eastAsia="Times New Roman" w:hAnsi="Times New Roman"/>
                <w:color w:val="000000"/>
                <w:sz w:val="18"/>
                <w:szCs w:val="18"/>
              </w:rPr>
              <w:t>Kapitale</w:t>
            </w:r>
          </w:p>
        </w:tc>
        <w:tc>
          <w:tcPr>
            <w:tcW w:w="1368" w:type="dxa"/>
            <w:vMerge w:val="restart"/>
            <w:tcBorders>
              <w:top w:val="single" w:sz="4" w:space="0" w:color="auto"/>
              <w:left w:val="single" w:sz="4" w:space="0" w:color="auto"/>
              <w:right w:val="single" w:sz="4" w:space="0" w:color="auto"/>
            </w:tcBorders>
            <w:shd w:val="clear" w:color="000000" w:fill="D9E2F3"/>
            <w:vAlign w:val="center"/>
          </w:tcPr>
          <w:p w14:paraId="223D681D" w14:textId="77777777" w:rsidR="002C1482" w:rsidRPr="002657F4" w:rsidRDefault="002C1482" w:rsidP="00117717">
            <w:pPr>
              <w:spacing w:after="0" w:line="240" w:lineRule="auto"/>
              <w:jc w:val="center"/>
              <w:rPr>
                <w:rFonts w:ascii="Arial" w:eastAsia="Times New Roman" w:hAnsi="Arial" w:cs="Arial"/>
                <w:color w:val="000000"/>
                <w:sz w:val="18"/>
                <w:szCs w:val="18"/>
                <w:highlight w:val="red"/>
              </w:rPr>
            </w:pPr>
            <w:r w:rsidRPr="002657F4">
              <w:rPr>
                <w:rFonts w:ascii="Arial" w:eastAsia="Times New Roman" w:hAnsi="Arial" w:cs="Arial"/>
                <w:color w:val="000000"/>
                <w:sz w:val="18"/>
                <w:szCs w:val="18"/>
              </w:rPr>
              <w:t>3,332,285</w:t>
            </w:r>
          </w:p>
        </w:tc>
        <w:tc>
          <w:tcPr>
            <w:tcW w:w="1488" w:type="dxa"/>
            <w:vMerge w:val="restart"/>
            <w:tcBorders>
              <w:top w:val="single" w:sz="4" w:space="0" w:color="auto"/>
              <w:left w:val="single" w:sz="4" w:space="0" w:color="auto"/>
              <w:right w:val="single" w:sz="4" w:space="0" w:color="auto"/>
            </w:tcBorders>
            <w:shd w:val="clear" w:color="000000" w:fill="D9E2F3"/>
            <w:vAlign w:val="center"/>
          </w:tcPr>
          <w:p w14:paraId="28CFE8FE" w14:textId="77777777" w:rsidR="002C1482" w:rsidRPr="00A90E93" w:rsidRDefault="002C1482" w:rsidP="00117717">
            <w:pPr>
              <w:spacing w:after="0" w:line="240" w:lineRule="auto"/>
              <w:jc w:val="center"/>
              <w:rPr>
                <w:rFonts w:ascii="Arial" w:eastAsia="Times New Roman" w:hAnsi="Arial" w:cs="Arial"/>
                <w:color w:val="000000"/>
                <w:sz w:val="18"/>
                <w:szCs w:val="18"/>
              </w:rPr>
            </w:pPr>
            <w:r w:rsidRPr="00A90E93">
              <w:rPr>
                <w:rFonts w:ascii="Arial" w:eastAsia="Times New Roman" w:hAnsi="Arial" w:cs="Arial"/>
                <w:color w:val="000000"/>
                <w:sz w:val="18"/>
                <w:szCs w:val="18"/>
              </w:rPr>
              <w:t>55,860</w:t>
            </w:r>
          </w:p>
        </w:tc>
        <w:tc>
          <w:tcPr>
            <w:tcW w:w="1217" w:type="dxa"/>
            <w:vMerge/>
            <w:tcBorders>
              <w:left w:val="single" w:sz="4" w:space="0" w:color="auto"/>
              <w:bottom w:val="single" w:sz="4" w:space="0" w:color="auto"/>
              <w:right w:val="single" w:sz="4" w:space="0" w:color="auto"/>
            </w:tcBorders>
            <w:shd w:val="clear" w:color="000000" w:fill="D9E2F3"/>
          </w:tcPr>
          <w:p w14:paraId="4B2A248D" w14:textId="77777777" w:rsidR="002C1482" w:rsidRPr="008C0B20" w:rsidRDefault="002C1482" w:rsidP="00117717">
            <w:pPr>
              <w:spacing w:after="0" w:line="240" w:lineRule="auto"/>
              <w:jc w:val="center"/>
              <w:rPr>
                <w:rFonts w:ascii="Arial" w:eastAsia="Times New Roman" w:hAnsi="Arial" w:cs="Arial"/>
                <w:b/>
                <w:bCs/>
                <w:color w:val="000000"/>
                <w:sz w:val="20"/>
                <w:szCs w:val="20"/>
                <w:highlight w:val="red"/>
              </w:rPr>
            </w:pPr>
          </w:p>
        </w:tc>
        <w:tc>
          <w:tcPr>
            <w:tcW w:w="1497" w:type="dxa"/>
            <w:vMerge/>
            <w:tcBorders>
              <w:left w:val="single" w:sz="4" w:space="0" w:color="auto"/>
              <w:bottom w:val="single" w:sz="4" w:space="0" w:color="auto"/>
              <w:right w:val="single" w:sz="4" w:space="0" w:color="auto"/>
            </w:tcBorders>
            <w:shd w:val="clear" w:color="000000" w:fill="D9E2F3"/>
            <w:vAlign w:val="center"/>
          </w:tcPr>
          <w:p w14:paraId="2AC90B9E" w14:textId="77777777" w:rsidR="002C1482" w:rsidRPr="008C0B20" w:rsidRDefault="002C1482" w:rsidP="00117717">
            <w:pPr>
              <w:spacing w:after="0" w:line="240" w:lineRule="auto"/>
              <w:jc w:val="center"/>
              <w:rPr>
                <w:rFonts w:ascii="Arial" w:eastAsia="Times New Roman" w:hAnsi="Arial" w:cs="Arial"/>
                <w:b/>
                <w:bCs/>
                <w:color w:val="000000"/>
                <w:sz w:val="20"/>
                <w:szCs w:val="20"/>
                <w:highlight w:val="red"/>
              </w:rPr>
            </w:pPr>
          </w:p>
        </w:tc>
        <w:tc>
          <w:tcPr>
            <w:tcW w:w="1054" w:type="dxa"/>
            <w:vMerge/>
            <w:tcBorders>
              <w:left w:val="single" w:sz="4" w:space="0" w:color="auto"/>
              <w:right w:val="single" w:sz="4" w:space="0" w:color="auto"/>
            </w:tcBorders>
            <w:shd w:val="clear" w:color="000000" w:fill="D9E2F3"/>
            <w:vAlign w:val="center"/>
          </w:tcPr>
          <w:p w14:paraId="7DCF706E" w14:textId="77777777" w:rsidR="002C1482" w:rsidRPr="0044026F" w:rsidRDefault="002C1482" w:rsidP="00117717">
            <w:pPr>
              <w:spacing w:after="0" w:line="240" w:lineRule="auto"/>
              <w:jc w:val="center"/>
              <w:rPr>
                <w:rFonts w:ascii="Arial" w:eastAsia="Times New Roman" w:hAnsi="Arial" w:cs="Arial"/>
                <w:b/>
                <w:bCs/>
                <w:i/>
                <w:iCs/>
                <w:color w:val="000000"/>
                <w:sz w:val="18"/>
                <w:szCs w:val="18"/>
              </w:rPr>
            </w:pPr>
          </w:p>
        </w:tc>
      </w:tr>
      <w:tr w:rsidR="002C1482" w:rsidRPr="008C0B20" w14:paraId="63BC570A" w14:textId="77777777" w:rsidTr="00117717">
        <w:trPr>
          <w:trHeight w:val="291"/>
        </w:trPr>
        <w:tc>
          <w:tcPr>
            <w:tcW w:w="1161" w:type="dxa"/>
            <w:gridSpan w:val="2"/>
            <w:vMerge/>
            <w:tcBorders>
              <w:left w:val="single" w:sz="4" w:space="0" w:color="auto"/>
              <w:bottom w:val="single" w:sz="4" w:space="0" w:color="auto"/>
              <w:right w:val="single" w:sz="4" w:space="0" w:color="auto"/>
            </w:tcBorders>
            <w:shd w:val="clear" w:color="000000" w:fill="D9E2F3"/>
            <w:vAlign w:val="center"/>
          </w:tcPr>
          <w:p w14:paraId="52589DA9" w14:textId="77777777" w:rsidR="002C1482" w:rsidRPr="0044026F" w:rsidRDefault="002C1482" w:rsidP="00117717">
            <w:pPr>
              <w:spacing w:after="0" w:line="240" w:lineRule="auto"/>
              <w:jc w:val="right"/>
              <w:rPr>
                <w:rFonts w:ascii="Arial" w:eastAsia="Times New Roman" w:hAnsi="Arial" w:cs="Arial"/>
                <w:b/>
                <w:bCs/>
                <w:color w:val="000000"/>
                <w:sz w:val="18"/>
                <w:szCs w:val="18"/>
              </w:rPr>
            </w:pPr>
          </w:p>
        </w:tc>
        <w:tc>
          <w:tcPr>
            <w:tcW w:w="1350" w:type="dxa"/>
            <w:vMerge/>
            <w:tcBorders>
              <w:left w:val="single" w:sz="4" w:space="0" w:color="auto"/>
              <w:bottom w:val="single" w:sz="4" w:space="0" w:color="auto"/>
              <w:right w:val="single" w:sz="4" w:space="0" w:color="auto"/>
            </w:tcBorders>
            <w:shd w:val="clear" w:color="000000" w:fill="D9E2F3"/>
            <w:vAlign w:val="center"/>
          </w:tcPr>
          <w:p w14:paraId="2CA537A9" w14:textId="77777777" w:rsidR="002C1482" w:rsidRPr="002657F4" w:rsidRDefault="002C1482" w:rsidP="00117717">
            <w:pPr>
              <w:spacing w:after="0" w:line="240" w:lineRule="auto"/>
              <w:jc w:val="center"/>
              <w:rPr>
                <w:rFonts w:ascii="Times New Roman" w:eastAsia="Times New Roman" w:hAnsi="Times New Roman"/>
                <w:color w:val="000000"/>
                <w:sz w:val="18"/>
                <w:szCs w:val="18"/>
              </w:rPr>
            </w:pPr>
          </w:p>
        </w:tc>
        <w:tc>
          <w:tcPr>
            <w:tcW w:w="1368" w:type="dxa"/>
            <w:vMerge/>
            <w:tcBorders>
              <w:left w:val="single" w:sz="4" w:space="0" w:color="auto"/>
              <w:bottom w:val="single" w:sz="4" w:space="0" w:color="auto"/>
              <w:right w:val="single" w:sz="4" w:space="0" w:color="auto"/>
            </w:tcBorders>
            <w:shd w:val="clear" w:color="000000" w:fill="D9E2F3"/>
            <w:vAlign w:val="center"/>
          </w:tcPr>
          <w:p w14:paraId="59550B03" w14:textId="77777777" w:rsidR="002C1482" w:rsidRPr="002657F4" w:rsidRDefault="002C1482" w:rsidP="00117717">
            <w:pPr>
              <w:spacing w:after="0" w:line="240" w:lineRule="auto"/>
              <w:jc w:val="center"/>
              <w:rPr>
                <w:rFonts w:ascii="Arial" w:eastAsia="Times New Roman" w:hAnsi="Arial" w:cs="Arial"/>
                <w:color w:val="000000"/>
                <w:sz w:val="18"/>
                <w:szCs w:val="18"/>
              </w:rPr>
            </w:pPr>
          </w:p>
        </w:tc>
        <w:tc>
          <w:tcPr>
            <w:tcW w:w="1488" w:type="dxa"/>
            <w:vMerge/>
            <w:tcBorders>
              <w:left w:val="single" w:sz="4" w:space="0" w:color="auto"/>
              <w:bottom w:val="single" w:sz="4" w:space="0" w:color="auto"/>
              <w:right w:val="single" w:sz="4" w:space="0" w:color="auto"/>
            </w:tcBorders>
            <w:shd w:val="clear" w:color="000000" w:fill="D9E2F3"/>
            <w:vAlign w:val="center"/>
          </w:tcPr>
          <w:p w14:paraId="2E9449E8" w14:textId="77777777" w:rsidR="002C1482" w:rsidRPr="0044026F" w:rsidRDefault="002C1482" w:rsidP="00117717">
            <w:pPr>
              <w:spacing w:after="0" w:line="240" w:lineRule="auto"/>
              <w:jc w:val="center"/>
              <w:rPr>
                <w:rFonts w:ascii="Arial" w:eastAsia="Times New Roman" w:hAnsi="Arial" w:cs="Arial"/>
                <w:b/>
                <w:bCs/>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shd w:val="clear" w:color="000000" w:fill="D9E2F3"/>
          </w:tcPr>
          <w:p w14:paraId="09E41EA1" w14:textId="77777777" w:rsidR="002C1482" w:rsidRPr="00A90E93" w:rsidRDefault="002C1482" w:rsidP="00117717">
            <w:pPr>
              <w:spacing w:after="0" w:line="240" w:lineRule="auto"/>
              <w:jc w:val="center"/>
              <w:rPr>
                <w:rFonts w:ascii="Arial" w:eastAsia="Times New Roman" w:hAnsi="Arial" w:cs="Arial"/>
                <w:color w:val="000000"/>
                <w:sz w:val="20"/>
                <w:szCs w:val="20"/>
                <w:highlight w:val="red"/>
              </w:rPr>
            </w:pPr>
            <w:r w:rsidRPr="00A90E93">
              <w:rPr>
                <w:rFonts w:ascii="Arial" w:eastAsia="Times New Roman" w:hAnsi="Arial" w:cs="Arial"/>
                <w:color w:val="000000"/>
                <w:sz w:val="20"/>
                <w:szCs w:val="20"/>
              </w:rPr>
              <w:t>0</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14:paraId="0F77B5B2" w14:textId="77777777" w:rsidR="002C1482" w:rsidRPr="00A90E93" w:rsidRDefault="002C1482" w:rsidP="00117717">
            <w:pPr>
              <w:spacing w:after="0" w:line="240" w:lineRule="auto"/>
              <w:jc w:val="center"/>
              <w:rPr>
                <w:rFonts w:ascii="Arial" w:eastAsia="Times New Roman" w:hAnsi="Arial" w:cs="Arial"/>
                <w:color w:val="000000"/>
                <w:sz w:val="20"/>
                <w:szCs w:val="20"/>
                <w:highlight w:val="red"/>
              </w:rPr>
            </w:pPr>
            <w:r w:rsidRPr="00A90E93">
              <w:rPr>
                <w:rFonts w:ascii="Arial" w:eastAsia="Times New Roman" w:hAnsi="Arial" w:cs="Arial"/>
                <w:color w:val="000000"/>
                <w:sz w:val="20"/>
                <w:szCs w:val="20"/>
              </w:rPr>
              <w:t>3,276,425</w:t>
            </w:r>
          </w:p>
        </w:tc>
        <w:tc>
          <w:tcPr>
            <w:tcW w:w="1054" w:type="dxa"/>
            <w:vMerge/>
            <w:tcBorders>
              <w:left w:val="single" w:sz="4" w:space="0" w:color="auto"/>
              <w:bottom w:val="single" w:sz="4" w:space="0" w:color="auto"/>
              <w:right w:val="single" w:sz="4" w:space="0" w:color="auto"/>
            </w:tcBorders>
            <w:shd w:val="clear" w:color="000000" w:fill="D9E2F3"/>
            <w:vAlign w:val="center"/>
          </w:tcPr>
          <w:p w14:paraId="7E8231C5" w14:textId="77777777" w:rsidR="002C1482" w:rsidRPr="0044026F" w:rsidRDefault="002C1482" w:rsidP="00117717">
            <w:pPr>
              <w:spacing w:after="0" w:line="240" w:lineRule="auto"/>
              <w:jc w:val="center"/>
              <w:rPr>
                <w:rFonts w:ascii="Arial" w:eastAsia="Times New Roman" w:hAnsi="Arial" w:cs="Arial"/>
                <w:b/>
                <w:bCs/>
                <w:i/>
                <w:iCs/>
                <w:color w:val="000000"/>
                <w:sz w:val="18"/>
                <w:szCs w:val="18"/>
              </w:rPr>
            </w:pPr>
          </w:p>
        </w:tc>
      </w:tr>
      <w:tr w:rsidR="002C1482" w:rsidRPr="008C0B20" w14:paraId="4079E55B" w14:textId="77777777" w:rsidTr="00117717">
        <w:trPr>
          <w:trHeight w:val="405"/>
        </w:trPr>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63F9DE" w14:textId="77777777" w:rsidR="002C1482" w:rsidRPr="008C0B20" w:rsidRDefault="002C1482" w:rsidP="00117717">
            <w:pPr>
              <w:spacing w:after="0" w:line="240" w:lineRule="auto"/>
              <w:jc w:val="right"/>
              <w:rPr>
                <w:rFonts w:ascii="Arial" w:eastAsia="Times New Roman" w:hAnsi="Arial" w:cs="Arial"/>
                <w:b/>
                <w:bCs/>
                <w:color w:val="000000"/>
                <w:sz w:val="18"/>
                <w:szCs w:val="18"/>
                <w:highlight w:val="red"/>
              </w:rPr>
            </w:pPr>
            <w:r w:rsidRPr="0044026F">
              <w:rPr>
                <w:rFonts w:ascii="Arial" w:eastAsia="Times New Roman" w:hAnsi="Arial" w:cs="Arial"/>
                <w:b/>
                <w:bCs/>
                <w:color w:val="000000"/>
                <w:sz w:val="18"/>
                <w:szCs w:val="18"/>
              </w:rPr>
              <w:t>TOTALI [Euro]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8E51" w14:textId="77777777" w:rsidR="002C1482" w:rsidRPr="0015142C" w:rsidRDefault="002C1482" w:rsidP="00117717">
            <w:pPr>
              <w:spacing w:after="0" w:line="240" w:lineRule="auto"/>
              <w:jc w:val="center"/>
              <w:rPr>
                <w:rFonts w:ascii="Arial" w:eastAsia="Times New Roman" w:hAnsi="Arial" w:cs="Arial"/>
                <w:color w:val="000000"/>
                <w:sz w:val="18"/>
                <w:szCs w:val="18"/>
                <w:highlight w:val="red"/>
              </w:rPr>
            </w:pPr>
            <w:r w:rsidRPr="0015142C">
              <w:rPr>
                <w:rFonts w:ascii="Arial" w:eastAsia="Times New Roman" w:hAnsi="Arial" w:cs="Arial"/>
                <w:color w:val="000000"/>
                <w:sz w:val="18"/>
                <w:szCs w:val="18"/>
              </w:rPr>
              <w:t>Korente</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19E19D02" w14:textId="77777777" w:rsidR="002C1482" w:rsidRPr="0015142C" w:rsidRDefault="002C1482" w:rsidP="00117717">
            <w:pPr>
              <w:spacing w:after="0" w:line="240" w:lineRule="auto"/>
              <w:rPr>
                <w:rFonts w:ascii="Times New Roman" w:eastAsia="Times New Roman" w:hAnsi="Times New Roman"/>
                <w:sz w:val="18"/>
                <w:szCs w:val="18"/>
                <w:lang w:eastAsia="sq-AL"/>
              </w:rPr>
            </w:pPr>
            <w:r w:rsidRPr="0015142C">
              <w:rPr>
                <w:rFonts w:ascii="Times New Roman" w:eastAsia="Times New Roman" w:hAnsi="Times New Roman"/>
                <w:color w:val="000000"/>
                <w:sz w:val="18"/>
                <w:szCs w:val="18"/>
                <w:lang w:eastAsia="sq-AL"/>
              </w:rPr>
              <w:t xml:space="preserve">36,129,483 </w:t>
            </w:r>
          </w:p>
          <w:p w14:paraId="7F51188F" w14:textId="77777777" w:rsidR="002C1482" w:rsidRPr="008C0B20" w:rsidRDefault="002C1482" w:rsidP="00117717">
            <w:pPr>
              <w:spacing w:after="0" w:line="240" w:lineRule="auto"/>
              <w:jc w:val="center"/>
              <w:rPr>
                <w:rFonts w:ascii="Arial" w:eastAsia="Times New Roman" w:hAnsi="Arial" w:cs="Arial"/>
                <w:b/>
                <w:bCs/>
                <w:color w:val="000000"/>
                <w:highlight w:val="red"/>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6528270C" w14:textId="77777777" w:rsidR="002C1482" w:rsidRPr="008C0B20" w:rsidRDefault="002C1482" w:rsidP="00117717">
            <w:pPr>
              <w:spacing w:after="0" w:line="240" w:lineRule="auto"/>
              <w:jc w:val="center"/>
              <w:rPr>
                <w:rFonts w:ascii="Arial" w:eastAsia="Times New Roman" w:hAnsi="Arial" w:cs="Arial"/>
                <w:b/>
                <w:bCs/>
                <w:color w:val="000000"/>
                <w:highlight w:val="red"/>
              </w:rPr>
            </w:pPr>
          </w:p>
        </w:tc>
        <w:tc>
          <w:tcPr>
            <w:tcW w:w="1217" w:type="dxa"/>
            <w:tcBorders>
              <w:top w:val="single" w:sz="4" w:space="0" w:color="auto"/>
              <w:left w:val="single" w:sz="4" w:space="0" w:color="auto"/>
              <w:bottom w:val="single" w:sz="4" w:space="0" w:color="auto"/>
              <w:right w:val="single" w:sz="4" w:space="0" w:color="auto"/>
            </w:tcBorders>
          </w:tcPr>
          <w:p w14:paraId="506EF65D" w14:textId="77777777" w:rsidR="002C1482" w:rsidRPr="008C0B20" w:rsidRDefault="002C1482" w:rsidP="00117717">
            <w:pPr>
              <w:spacing w:after="0" w:line="240" w:lineRule="auto"/>
              <w:jc w:val="center"/>
              <w:rPr>
                <w:rFonts w:ascii="Arial" w:eastAsia="Times New Roman" w:hAnsi="Arial" w:cs="Arial"/>
                <w:b/>
                <w:bCs/>
                <w:color w:val="000000"/>
                <w:highlight w:val="red"/>
              </w:rPr>
            </w:pP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BEE230E" w14:textId="77777777" w:rsidR="002C1482" w:rsidRPr="0015142C" w:rsidRDefault="002C1482" w:rsidP="00117717">
            <w:pPr>
              <w:spacing w:after="0" w:line="240" w:lineRule="auto"/>
              <w:rPr>
                <w:rFonts w:ascii="Times New Roman" w:eastAsia="Times New Roman" w:hAnsi="Times New Roman"/>
                <w:sz w:val="18"/>
                <w:szCs w:val="18"/>
                <w:lang w:eastAsia="sq-AL"/>
              </w:rPr>
            </w:pPr>
            <w:r>
              <w:rPr>
                <w:rFonts w:ascii="Times New Roman" w:eastAsia="Times New Roman" w:hAnsi="Times New Roman"/>
                <w:color w:val="000000"/>
                <w:sz w:val="18"/>
                <w:szCs w:val="18"/>
                <w:lang w:eastAsia="sq-AL"/>
              </w:rPr>
              <w:t xml:space="preserve">       </w:t>
            </w:r>
            <w:r w:rsidRPr="0015142C">
              <w:rPr>
                <w:rFonts w:ascii="Times New Roman" w:eastAsia="Times New Roman" w:hAnsi="Times New Roman"/>
                <w:color w:val="000000"/>
                <w:sz w:val="18"/>
                <w:szCs w:val="18"/>
                <w:lang w:eastAsia="sq-AL"/>
              </w:rPr>
              <w:t xml:space="preserve">720,960 </w:t>
            </w:r>
          </w:p>
          <w:p w14:paraId="09C39EB0" w14:textId="77777777" w:rsidR="002C1482" w:rsidRPr="008C0B20" w:rsidRDefault="002C1482" w:rsidP="00117717">
            <w:pPr>
              <w:spacing w:after="0" w:line="240" w:lineRule="auto"/>
              <w:rPr>
                <w:rFonts w:ascii="Arial" w:eastAsia="Times New Roman" w:hAnsi="Arial" w:cs="Arial"/>
                <w:b/>
                <w:bCs/>
                <w:color w:val="000000"/>
                <w:highlight w:val="red"/>
              </w:rPr>
            </w:pPr>
          </w:p>
        </w:tc>
        <w:tc>
          <w:tcPr>
            <w:tcW w:w="1054" w:type="dxa"/>
            <w:vMerge w:val="restart"/>
            <w:tcBorders>
              <w:top w:val="single" w:sz="4" w:space="0" w:color="auto"/>
              <w:left w:val="single" w:sz="4" w:space="0" w:color="auto"/>
              <w:right w:val="single" w:sz="4" w:space="0" w:color="auto"/>
            </w:tcBorders>
            <w:shd w:val="clear" w:color="auto" w:fill="auto"/>
            <w:vAlign w:val="center"/>
            <w:hideMark/>
          </w:tcPr>
          <w:p w14:paraId="30AB8E2B" w14:textId="77777777" w:rsidR="002C1482" w:rsidRPr="008C0B20" w:rsidRDefault="002C1482" w:rsidP="00117717">
            <w:pPr>
              <w:spacing w:after="0" w:line="240" w:lineRule="auto"/>
              <w:jc w:val="center"/>
              <w:rPr>
                <w:rFonts w:ascii="Arial" w:eastAsia="Times New Roman" w:hAnsi="Arial" w:cs="Arial"/>
                <w:b/>
                <w:bCs/>
                <w:i/>
                <w:iCs/>
                <w:color w:val="000000"/>
                <w:sz w:val="18"/>
                <w:szCs w:val="18"/>
                <w:highlight w:val="red"/>
              </w:rPr>
            </w:pPr>
          </w:p>
        </w:tc>
      </w:tr>
      <w:tr w:rsidR="002C1482" w:rsidRPr="008C0B20" w14:paraId="4CFD6DE8" w14:textId="77777777" w:rsidTr="00117717">
        <w:trPr>
          <w:trHeight w:val="435"/>
        </w:trPr>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0B6D1" w14:textId="77777777" w:rsidR="002C1482" w:rsidRPr="0044026F" w:rsidRDefault="002C1482" w:rsidP="00117717">
            <w:pPr>
              <w:spacing w:after="0" w:line="240" w:lineRule="auto"/>
              <w:jc w:val="right"/>
              <w:rPr>
                <w:rFonts w:ascii="Arial" w:eastAsia="Times New Roman" w:hAnsi="Arial" w:cs="Arial"/>
                <w:b/>
                <w:bCs/>
                <w:i/>
                <w:iCs/>
                <w:sz w:val="18"/>
                <w:szCs w:val="18"/>
                <w:highlight w:val="red"/>
              </w:rPr>
            </w:pPr>
            <w:r w:rsidRPr="0044026F">
              <w:rPr>
                <w:rFonts w:ascii="Arial" w:eastAsia="Times New Roman" w:hAnsi="Arial" w:cs="Arial"/>
                <w:b/>
                <w:bCs/>
                <w:i/>
                <w:iCs/>
                <w:sz w:val="18"/>
                <w:szCs w:val="18"/>
              </w:rPr>
              <w:t>1 euro 93,1 Lekë</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232D6" w14:textId="77777777" w:rsidR="002C1482" w:rsidRPr="0015142C" w:rsidRDefault="002C1482" w:rsidP="00117717">
            <w:pPr>
              <w:spacing w:after="0" w:line="240" w:lineRule="auto"/>
              <w:rPr>
                <w:rFonts w:ascii="Arial" w:eastAsia="Times New Roman" w:hAnsi="Arial" w:cs="Arial"/>
                <w:color w:val="000000"/>
                <w:sz w:val="18"/>
                <w:szCs w:val="18"/>
                <w:highlight w:val="red"/>
              </w:rPr>
            </w:pPr>
            <w:r w:rsidRPr="0015142C">
              <w:rPr>
                <w:rFonts w:ascii="Arial" w:eastAsia="Times New Roman" w:hAnsi="Arial" w:cs="Arial"/>
                <w:b/>
                <w:bCs/>
                <w:color w:val="000000"/>
                <w:sz w:val="18"/>
                <w:szCs w:val="18"/>
              </w:rPr>
              <w:t xml:space="preserve">    </w:t>
            </w:r>
            <w:r w:rsidRPr="0015142C">
              <w:rPr>
                <w:rFonts w:ascii="Arial" w:eastAsia="Times New Roman" w:hAnsi="Arial" w:cs="Arial"/>
                <w:color w:val="000000"/>
                <w:sz w:val="18"/>
                <w:szCs w:val="18"/>
              </w:rPr>
              <w:t>Kapitale</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8751D73" w14:textId="77777777" w:rsidR="002C1482" w:rsidRPr="0015142C" w:rsidRDefault="002C1482" w:rsidP="00117717">
            <w:pPr>
              <w:spacing w:after="0" w:line="240" w:lineRule="auto"/>
              <w:rPr>
                <w:rFonts w:ascii="Times New Roman" w:eastAsia="Times New Roman" w:hAnsi="Times New Roman"/>
                <w:sz w:val="18"/>
                <w:szCs w:val="18"/>
                <w:lang w:eastAsia="sq-AL"/>
              </w:rPr>
            </w:pPr>
            <w:r w:rsidRPr="0015142C">
              <w:rPr>
                <w:rFonts w:ascii="Times New Roman" w:eastAsia="Times New Roman" w:hAnsi="Times New Roman"/>
                <w:color w:val="000000"/>
                <w:sz w:val="18"/>
                <w:szCs w:val="18"/>
                <w:lang w:eastAsia="sq-AL"/>
              </w:rPr>
              <w:t>35,793</w:t>
            </w:r>
          </w:p>
          <w:p w14:paraId="1FF79939" w14:textId="77777777" w:rsidR="002C1482" w:rsidRPr="008C0B20" w:rsidRDefault="002C1482" w:rsidP="00117717">
            <w:pPr>
              <w:spacing w:after="0" w:line="240" w:lineRule="auto"/>
              <w:rPr>
                <w:rFonts w:ascii="Arial" w:eastAsia="Times New Roman" w:hAnsi="Arial" w:cs="Arial"/>
                <w:b/>
                <w:bCs/>
                <w:color w:val="000000"/>
                <w:highlight w:val="red"/>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78BDEE61" w14:textId="77777777" w:rsidR="002C1482" w:rsidRPr="008C0B20" w:rsidRDefault="002C1482" w:rsidP="00117717">
            <w:pPr>
              <w:spacing w:after="0" w:line="240" w:lineRule="auto"/>
              <w:rPr>
                <w:rFonts w:ascii="Arial" w:eastAsia="Times New Roman" w:hAnsi="Arial" w:cs="Arial"/>
                <w:b/>
                <w:bCs/>
                <w:color w:val="000000"/>
                <w:highlight w:val="red"/>
              </w:rPr>
            </w:pPr>
          </w:p>
        </w:tc>
        <w:tc>
          <w:tcPr>
            <w:tcW w:w="1217" w:type="dxa"/>
            <w:tcBorders>
              <w:top w:val="single" w:sz="4" w:space="0" w:color="auto"/>
              <w:left w:val="single" w:sz="4" w:space="0" w:color="auto"/>
              <w:bottom w:val="single" w:sz="4" w:space="0" w:color="auto"/>
              <w:right w:val="single" w:sz="4" w:space="0" w:color="auto"/>
            </w:tcBorders>
          </w:tcPr>
          <w:p w14:paraId="296EF4CD" w14:textId="77777777" w:rsidR="002C1482" w:rsidRPr="008C0B20" w:rsidRDefault="002C1482" w:rsidP="00117717">
            <w:pPr>
              <w:spacing w:after="0" w:line="240" w:lineRule="auto"/>
              <w:rPr>
                <w:rFonts w:ascii="Arial" w:eastAsia="Times New Roman" w:hAnsi="Arial" w:cs="Arial"/>
                <w:b/>
                <w:bCs/>
                <w:color w:val="000000"/>
                <w:highlight w:val="red"/>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0B2362A" w14:textId="77777777" w:rsidR="002C1482" w:rsidRPr="008C0B20" w:rsidRDefault="002C1482" w:rsidP="00117717">
            <w:pPr>
              <w:spacing w:after="0" w:line="240" w:lineRule="auto"/>
              <w:rPr>
                <w:rFonts w:ascii="Arial" w:eastAsia="Times New Roman" w:hAnsi="Arial" w:cs="Arial"/>
                <w:b/>
                <w:bCs/>
                <w:color w:val="000000"/>
                <w:highlight w:val="red"/>
              </w:rPr>
            </w:pPr>
          </w:p>
        </w:tc>
        <w:tc>
          <w:tcPr>
            <w:tcW w:w="1054" w:type="dxa"/>
            <w:vMerge/>
            <w:tcBorders>
              <w:left w:val="single" w:sz="4" w:space="0" w:color="auto"/>
              <w:bottom w:val="single" w:sz="4" w:space="0" w:color="auto"/>
              <w:right w:val="single" w:sz="4" w:space="0" w:color="auto"/>
            </w:tcBorders>
            <w:vAlign w:val="center"/>
            <w:hideMark/>
          </w:tcPr>
          <w:p w14:paraId="6FD4ACFE" w14:textId="77777777" w:rsidR="002C1482" w:rsidRPr="008C0B20" w:rsidRDefault="002C1482" w:rsidP="00117717">
            <w:pPr>
              <w:spacing w:after="0" w:line="240" w:lineRule="auto"/>
              <w:rPr>
                <w:rFonts w:ascii="Arial" w:eastAsia="Times New Roman" w:hAnsi="Arial" w:cs="Arial"/>
                <w:b/>
                <w:bCs/>
                <w:i/>
                <w:iCs/>
                <w:color w:val="000000"/>
                <w:sz w:val="18"/>
                <w:szCs w:val="18"/>
                <w:highlight w:val="red"/>
              </w:rPr>
            </w:pPr>
          </w:p>
        </w:tc>
      </w:tr>
    </w:tbl>
    <w:p w14:paraId="1C11B82A" w14:textId="77777777" w:rsidR="00EA4F66" w:rsidRPr="00331472" w:rsidRDefault="00EA4F66" w:rsidP="00331472">
      <w:pPr>
        <w:pStyle w:val="NormalWeb"/>
        <w:spacing w:line="276" w:lineRule="auto"/>
        <w:jc w:val="both"/>
      </w:pPr>
    </w:p>
    <w:p w14:paraId="001657D6" w14:textId="77777777" w:rsidR="009C1ED7" w:rsidRDefault="009C1ED7" w:rsidP="00B917E7">
      <w:pPr>
        <w:pStyle w:val="NormalWeb"/>
        <w:spacing w:line="276" w:lineRule="auto"/>
        <w:jc w:val="both"/>
        <w:rPr>
          <w:sz w:val="32"/>
          <w:szCs w:val="32"/>
        </w:rPr>
      </w:pPr>
    </w:p>
    <w:p w14:paraId="7C945D33" w14:textId="77777777" w:rsidR="00331472" w:rsidRDefault="00331472" w:rsidP="00B917E7">
      <w:pPr>
        <w:pStyle w:val="NormalWeb"/>
        <w:spacing w:line="276" w:lineRule="auto"/>
        <w:jc w:val="both"/>
        <w:rPr>
          <w:sz w:val="32"/>
          <w:szCs w:val="32"/>
        </w:rPr>
      </w:pPr>
    </w:p>
    <w:p w14:paraId="3EA7CAC9" w14:textId="77777777" w:rsidR="00331472" w:rsidRDefault="00331472" w:rsidP="00B917E7">
      <w:pPr>
        <w:pStyle w:val="NormalWeb"/>
        <w:spacing w:line="276" w:lineRule="auto"/>
        <w:jc w:val="both"/>
        <w:rPr>
          <w:sz w:val="32"/>
          <w:szCs w:val="32"/>
        </w:rPr>
      </w:pPr>
    </w:p>
    <w:p w14:paraId="235C9161" w14:textId="77777777" w:rsidR="00331472" w:rsidRDefault="00331472" w:rsidP="00B917E7">
      <w:pPr>
        <w:pStyle w:val="NormalWeb"/>
        <w:spacing w:line="276" w:lineRule="auto"/>
        <w:jc w:val="both"/>
        <w:rPr>
          <w:sz w:val="32"/>
          <w:szCs w:val="32"/>
        </w:rPr>
      </w:pPr>
    </w:p>
    <w:p w14:paraId="4B92A1EA" w14:textId="77777777" w:rsidR="00331472" w:rsidRDefault="00331472" w:rsidP="00B917E7">
      <w:pPr>
        <w:pStyle w:val="NormalWeb"/>
        <w:spacing w:line="276" w:lineRule="auto"/>
        <w:jc w:val="both"/>
        <w:rPr>
          <w:sz w:val="32"/>
          <w:szCs w:val="32"/>
        </w:rPr>
      </w:pPr>
    </w:p>
    <w:p w14:paraId="507F4849" w14:textId="77777777" w:rsidR="00331472" w:rsidRDefault="00331472" w:rsidP="00B917E7">
      <w:pPr>
        <w:pStyle w:val="NormalWeb"/>
        <w:spacing w:line="276" w:lineRule="auto"/>
        <w:jc w:val="both"/>
        <w:rPr>
          <w:sz w:val="32"/>
          <w:szCs w:val="32"/>
        </w:rPr>
      </w:pPr>
    </w:p>
    <w:p w14:paraId="5F0EE260" w14:textId="77777777" w:rsidR="00331472" w:rsidRDefault="00331472" w:rsidP="00B917E7">
      <w:pPr>
        <w:pStyle w:val="NormalWeb"/>
        <w:spacing w:line="276" w:lineRule="auto"/>
        <w:jc w:val="both"/>
        <w:rPr>
          <w:sz w:val="32"/>
          <w:szCs w:val="32"/>
        </w:rPr>
      </w:pPr>
    </w:p>
    <w:p w14:paraId="40B46BA8" w14:textId="77777777" w:rsidR="00331472" w:rsidRDefault="00331472" w:rsidP="00B917E7">
      <w:pPr>
        <w:pStyle w:val="NormalWeb"/>
        <w:spacing w:line="276" w:lineRule="auto"/>
        <w:jc w:val="both"/>
        <w:rPr>
          <w:sz w:val="32"/>
          <w:szCs w:val="32"/>
        </w:rPr>
      </w:pPr>
    </w:p>
    <w:p w14:paraId="70D76136" w14:textId="77777777" w:rsidR="00331472" w:rsidRDefault="00331472" w:rsidP="00B917E7">
      <w:pPr>
        <w:pStyle w:val="NormalWeb"/>
        <w:spacing w:line="276" w:lineRule="auto"/>
        <w:jc w:val="both"/>
        <w:rPr>
          <w:sz w:val="32"/>
          <w:szCs w:val="32"/>
        </w:rPr>
      </w:pPr>
    </w:p>
    <w:p w14:paraId="096BA27E" w14:textId="77777777" w:rsidR="00331472" w:rsidRDefault="00331472" w:rsidP="00B917E7">
      <w:pPr>
        <w:pStyle w:val="NormalWeb"/>
        <w:spacing w:line="276" w:lineRule="auto"/>
        <w:jc w:val="both"/>
        <w:rPr>
          <w:sz w:val="32"/>
          <w:szCs w:val="32"/>
        </w:rPr>
      </w:pPr>
    </w:p>
    <w:p w14:paraId="509F75BA" w14:textId="77777777" w:rsidR="00331472" w:rsidRDefault="00331472" w:rsidP="00B917E7">
      <w:pPr>
        <w:pStyle w:val="NormalWeb"/>
        <w:spacing w:line="276" w:lineRule="auto"/>
        <w:jc w:val="both"/>
        <w:rPr>
          <w:sz w:val="32"/>
          <w:szCs w:val="32"/>
        </w:rPr>
      </w:pPr>
    </w:p>
    <w:p w14:paraId="548D2FDA" w14:textId="77777777" w:rsidR="00331472" w:rsidRDefault="00331472" w:rsidP="00B917E7">
      <w:pPr>
        <w:pStyle w:val="NormalWeb"/>
        <w:spacing w:line="276" w:lineRule="auto"/>
        <w:jc w:val="both"/>
        <w:rPr>
          <w:sz w:val="32"/>
          <w:szCs w:val="32"/>
        </w:rPr>
      </w:pPr>
    </w:p>
    <w:p w14:paraId="33E2BAA6" w14:textId="77777777" w:rsidR="00331472" w:rsidRPr="00331472" w:rsidRDefault="00331472" w:rsidP="00331472">
      <w:pPr>
        <w:spacing w:after="0" w:line="240" w:lineRule="auto"/>
        <w:jc w:val="both"/>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Konfirmuan: Z. B. Lamallari – Zëvendësministër i Brendshëm</w:t>
      </w:r>
    </w:p>
    <w:p w14:paraId="1C1F475A" w14:textId="77777777" w:rsidR="00331472" w:rsidRPr="00331472" w:rsidRDefault="00331472" w:rsidP="00331472">
      <w:pPr>
        <w:spacing w:after="0" w:line="240" w:lineRule="auto"/>
        <w:jc w:val="both"/>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                      Znj. S. Hoxha– Sekretar i Përgjithshëm</w:t>
      </w:r>
    </w:p>
    <w:p w14:paraId="77010163" w14:textId="77777777" w:rsidR="00331472" w:rsidRPr="00331472" w:rsidRDefault="00331472" w:rsidP="00331472">
      <w:pPr>
        <w:spacing w:after="0" w:line="240" w:lineRule="auto"/>
        <w:rPr>
          <w:rFonts w:ascii="Times New Roman" w:hAnsi="Times New Roman"/>
          <w:i/>
          <w:iCs/>
          <w:color w:val="FFFFFF" w:themeColor="background1"/>
          <w:sz w:val="18"/>
          <w:szCs w:val="18"/>
        </w:rPr>
      </w:pPr>
      <w:r w:rsidRPr="00331472">
        <w:rPr>
          <w:rFonts w:ascii="Times New Roman" w:hAnsi="Times New Roman"/>
          <w:color w:val="FFFFFF" w:themeColor="background1"/>
          <w:sz w:val="18"/>
          <w:szCs w:val="18"/>
        </w:rPr>
        <w:t xml:space="preserve">Miratuan:      Z. A. Laska - Drejtor i Përgjithshëm </w:t>
      </w:r>
    </w:p>
    <w:p w14:paraId="7C9F2DEB"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                      Z. A. Dekavelli - Drejtor </w:t>
      </w:r>
    </w:p>
    <w:p w14:paraId="01B1936D"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                      Z. V. Hysaj – Drejtor </w:t>
      </w:r>
    </w:p>
    <w:p w14:paraId="1471643D"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Pranoi:           Znj. M.Vogli  – Përgjegjëse  Sektori</w:t>
      </w:r>
    </w:p>
    <w:p w14:paraId="5D1F2F02"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Konceptuan:  Znj. R. Azizaj – Specialiste </w:t>
      </w:r>
    </w:p>
    <w:p w14:paraId="105B4F13"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                       Z. M. Hoti – Specialist </w:t>
      </w:r>
    </w:p>
    <w:p w14:paraId="19F53C3C"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                       Znj. S. Tola -Specialiste</w:t>
      </w:r>
    </w:p>
    <w:p w14:paraId="70148357"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                       Znj. Y. Cani - Specialiste</w:t>
      </w:r>
    </w:p>
    <w:p w14:paraId="5DFF8DA0" w14:textId="77777777" w:rsidR="00331472" w:rsidRPr="00331472" w:rsidRDefault="00331472" w:rsidP="00331472">
      <w:pPr>
        <w:spacing w:after="0" w:line="240" w:lineRule="auto"/>
        <w:rPr>
          <w:rFonts w:ascii="Times New Roman" w:hAnsi="Times New Roman"/>
          <w:color w:val="FFFFFF" w:themeColor="background1"/>
          <w:sz w:val="18"/>
          <w:szCs w:val="18"/>
        </w:rPr>
      </w:pPr>
      <w:r w:rsidRPr="00331472">
        <w:rPr>
          <w:rFonts w:ascii="Times New Roman" w:hAnsi="Times New Roman"/>
          <w:color w:val="FFFFFF" w:themeColor="background1"/>
          <w:sz w:val="18"/>
          <w:szCs w:val="18"/>
        </w:rPr>
        <w:t xml:space="preserve">Datë                07.07:.2025, Nr. kopjeve: </w:t>
      </w:r>
    </w:p>
    <w:p w14:paraId="180B99A4" w14:textId="77777777" w:rsidR="009C1ED7" w:rsidRDefault="009C1ED7" w:rsidP="00B917E7">
      <w:pPr>
        <w:pStyle w:val="NormalWeb"/>
        <w:spacing w:line="276" w:lineRule="auto"/>
        <w:jc w:val="both"/>
        <w:rPr>
          <w:sz w:val="32"/>
          <w:szCs w:val="32"/>
        </w:rPr>
      </w:pPr>
    </w:p>
    <w:p w14:paraId="1A3EFF39" w14:textId="77777777" w:rsidR="009C1ED7" w:rsidRPr="008524CE" w:rsidRDefault="009C1ED7" w:rsidP="00B917E7">
      <w:pPr>
        <w:pStyle w:val="NormalWeb"/>
        <w:spacing w:line="276" w:lineRule="auto"/>
        <w:jc w:val="both"/>
        <w:rPr>
          <w:sz w:val="32"/>
          <w:szCs w:val="32"/>
        </w:rPr>
      </w:pPr>
    </w:p>
    <w:p w14:paraId="72DEF261" w14:textId="77777777" w:rsidR="009C1ED7" w:rsidRDefault="009C1ED7" w:rsidP="008524CE">
      <w:pPr>
        <w:pStyle w:val="NormalWeb"/>
        <w:spacing w:line="276" w:lineRule="auto"/>
        <w:jc w:val="center"/>
        <w:rPr>
          <w:sz w:val="20"/>
          <w:szCs w:val="20"/>
          <w:highlight w:val="yellow"/>
        </w:rPr>
        <w:sectPr w:rsidR="009C1ED7">
          <w:pgSz w:w="12240" w:h="15840"/>
          <w:pgMar w:top="1440" w:right="1440" w:bottom="1440" w:left="1440" w:header="720" w:footer="720" w:gutter="0"/>
          <w:cols w:space="720"/>
          <w:docGrid w:linePitch="360"/>
        </w:sectPr>
      </w:pPr>
    </w:p>
    <w:p w14:paraId="0C9D7C99" w14:textId="77777777" w:rsidR="009C1ED7" w:rsidRDefault="009C1ED7" w:rsidP="008524CE">
      <w:pPr>
        <w:pStyle w:val="NormalWeb"/>
        <w:spacing w:line="276" w:lineRule="auto"/>
        <w:jc w:val="both"/>
        <w:rPr>
          <w:color w:val="FF0000"/>
          <w:sz w:val="32"/>
          <w:szCs w:val="32"/>
          <w:highlight w:val="yellow"/>
        </w:rPr>
      </w:pPr>
    </w:p>
    <w:sectPr w:rsidR="009C1ED7" w:rsidSect="00811C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670C" w14:textId="77777777" w:rsidR="00287EE6" w:rsidRDefault="00287EE6" w:rsidP="00194609">
      <w:pPr>
        <w:spacing w:after="0" w:line="240" w:lineRule="auto"/>
      </w:pPr>
      <w:r>
        <w:separator/>
      </w:r>
    </w:p>
  </w:endnote>
  <w:endnote w:type="continuationSeparator" w:id="0">
    <w:p w14:paraId="7A2179D0" w14:textId="77777777" w:rsidR="00287EE6" w:rsidRDefault="00287EE6" w:rsidP="0019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979E" w14:textId="77777777" w:rsidR="00287EE6" w:rsidRDefault="00287EE6" w:rsidP="00194609">
      <w:pPr>
        <w:spacing w:after="0" w:line="240" w:lineRule="auto"/>
      </w:pPr>
      <w:r>
        <w:separator/>
      </w:r>
    </w:p>
  </w:footnote>
  <w:footnote w:type="continuationSeparator" w:id="0">
    <w:p w14:paraId="37BD292E" w14:textId="77777777" w:rsidR="00287EE6" w:rsidRDefault="00287EE6" w:rsidP="00194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09D"/>
    <w:multiLevelType w:val="hybridMultilevel"/>
    <w:tmpl w:val="7FD23EB2"/>
    <w:lvl w:ilvl="0" w:tplc="E0E68F3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0556A9"/>
    <w:multiLevelType w:val="hybridMultilevel"/>
    <w:tmpl w:val="9D8C8686"/>
    <w:lvl w:ilvl="0" w:tplc="E0E68F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10FA5"/>
    <w:multiLevelType w:val="multilevel"/>
    <w:tmpl w:val="4E8824CC"/>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B981AB8"/>
    <w:multiLevelType w:val="hybridMultilevel"/>
    <w:tmpl w:val="803CDE74"/>
    <w:lvl w:ilvl="0" w:tplc="E0E68F3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F8248E5"/>
    <w:multiLevelType w:val="multilevel"/>
    <w:tmpl w:val="9CBA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054F5"/>
    <w:multiLevelType w:val="hybridMultilevel"/>
    <w:tmpl w:val="FE64F3F4"/>
    <w:lvl w:ilvl="0" w:tplc="E0E68F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3158F"/>
    <w:multiLevelType w:val="multilevel"/>
    <w:tmpl w:val="86FCF0A2"/>
    <w:lvl w:ilvl="0">
      <w:start w:val="2"/>
      <w:numFmt w:val="decimal"/>
      <w:lvlText w:val="%1"/>
      <w:lvlJc w:val="left"/>
      <w:pPr>
        <w:ind w:left="360" w:hanging="360"/>
      </w:pPr>
      <w:rPr>
        <w:rFonts w:hint="default"/>
        <w:b/>
        <w:bCs/>
        <w:sz w:val="24"/>
      </w:rPr>
    </w:lvl>
    <w:lvl w:ilvl="1">
      <w:start w:val="2"/>
      <w:numFmt w:val="decimal"/>
      <w:lvlText w:val="%1.%2"/>
      <w:lvlJc w:val="left"/>
      <w:pPr>
        <w:ind w:left="360" w:hanging="360"/>
      </w:pPr>
      <w:rPr>
        <w:rFonts w:hint="default"/>
        <w:b/>
        <w:bCs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15:restartNumberingAfterBreak="0">
    <w:nsid w:val="576A41CC"/>
    <w:multiLevelType w:val="hybridMultilevel"/>
    <w:tmpl w:val="3DA2CED8"/>
    <w:lvl w:ilvl="0" w:tplc="E0E68F3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8BE3BBE"/>
    <w:multiLevelType w:val="hybridMultilevel"/>
    <w:tmpl w:val="6988DD98"/>
    <w:lvl w:ilvl="0" w:tplc="E0E68F3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D203E1"/>
    <w:multiLevelType w:val="hybridMultilevel"/>
    <w:tmpl w:val="20360AAC"/>
    <w:lvl w:ilvl="0" w:tplc="E0E68F32">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0C2AE4"/>
    <w:multiLevelType w:val="multilevel"/>
    <w:tmpl w:val="7508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E065A"/>
    <w:multiLevelType w:val="hybridMultilevel"/>
    <w:tmpl w:val="D24E8844"/>
    <w:lvl w:ilvl="0" w:tplc="FFFFFFFF">
      <w:numFmt w:val="bullet"/>
      <w:lvlText w:val="-"/>
      <w:lvlJc w:val="left"/>
      <w:pPr>
        <w:ind w:left="720" w:hanging="360"/>
      </w:pPr>
      <w:rPr>
        <w:rFonts w:ascii="Times New Roman" w:eastAsia="Times New Roman" w:hAnsi="Times New Roman" w:cs="Times New Roman" w:hint="default"/>
      </w:rPr>
    </w:lvl>
    <w:lvl w:ilvl="1" w:tplc="E0E68F32">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F62BFE"/>
    <w:multiLevelType w:val="hybridMultilevel"/>
    <w:tmpl w:val="C5EA2A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B431E4"/>
    <w:multiLevelType w:val="multilevel"/>
    <w:tmpl w:val="4FC8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00E9D"/>
    <w:multiLevelType w:val="hybridMultilevel"/>
    <w:tmpl w:val="694CEFF4"/>
    <w:lvl w:ilvl="0" w:tplc="E0E68F32">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275E43"/>
    <w:multiLevelType w:val="hybridMultilevel"/>
    <w:tmpl w:val="3AA64CBE"/>
    <w:lvl w:ilvl="0" w:tplc="E0E68F3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0126885">
    <w:abstractNumId w:val="5"/>
  </w:num>
  <w:num w:numId="2" w16cid:durableId="1506483432">
    <w:abstractNumId w:val="11"/>
  </w:num>
  <w:num w:numId="3" w16cid:durableId="562376996">
    <w:abstractNumId w:val="8"/>
  </w:num>
  <w:num w:numId="4" w16cid:durableId="1428888622">
    <w:abstractNumId w:val="0"/>
  </w:num>
  <w:num w:numId="5" w16cid:durableId="740829470">
    <w:abstractNumId w:val="3"/>
  </w:num>
  <w:num w:numId="6" w16cid:durableId="604461222">
    <w:abstractNumId w:val="2"/>
  </w:num>
  <w:num w:numId="7" w16cid:durableId="1874879106">
    <w:abstractNumId w:val="7"/>
  </w:num>
  <w:num w:numId="8" w16cid:durableId="1263148815">
    <w:abstractNumId w:val="9"/>
  </w:num>
  <w:num w:numId="9" w16cid:durableId="710812893">
    <w:abstractNumId w:val="6"/>
  </w:num>
  <w:num w:numId="10" w16cid:durableId="1208183773">
    <w:abstractNumId w:val="12"/>
  </w:num>
  <w:num w:numId="11" w16cid:durableId="690571621">
    <w:abstractNumId w:val="14"/>
  </w:num>
  <w:num w:numId="12" w16cid:durableId="650982787">
    <w:abstractNumId w:val="15"/>
  </w:num>
  <w:num w:numId="13" w16cid:durableId="818881544">
    <w:abstractNumId w:val="1"/>
  </w:num>
  <w:num w:numId="14" w16cid:durableId="193226908">
    <w:abstractNumId w:val="13"/>
  </w:num>
  <w:num w:numId="15" w16cid:durableId="1171677205">
    <w:abstractNumId w:val="4"/>
  </w:num>
  <w:num w:numId="16" w16cid:durableId="9519835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29"/>
    <w:rsid w:val="0000027A"/>
    <w:rsid w:val="00010850"/>
    <w:rsid w:val="00041FA5"/>
    <w:rsid w:val="00053E5A"/>
    <w:rsid w:val="000549C5"/>
    <w:rsid w:val="00054E0F"/>
    <w:rsid w:val="00070A2C"/>
    <w:rsid w:val="00091BA3"/>
    <w:rsid w:val="000A1F29"/>
    <w:rsid w:val="000A5B69"/>
    <w:rsid w:val="000A5EB4"/>
    <w:rsid w:val="000C12F6"/>
    <w:rsid w:val="000C3347"/>
    <w:rsid w:val="000E1569"/>
    <w:rsid w:val="000E5AFA"/>
    <w:rsid w:val="000F2C15"/>
    <w:rsid w:val="000F3839"/>
    <w:rsid w:val="00100E1F"/>
    <w:rsid w:val="00101B31"/>
    <w:rsid w:val="00113132"/>
    <w:rsid w:val="001262C9"/>
    <w:rsid w:val="0012642E"/>
    <w:rsid w:val="00130B46"/>
    <w:rsid w:val="0016728C"/>
    <w:rsid w:val="0017042A"/>
    <w:rsid w:val="00170A34"/>
    <w:rsid w:val="00175B3F"/>
    <w:rsid w:val="00177EB0"/>
    <w:rsid w:val="00180CF8"/>
    <w:rsid w:val="001823AA"/>
    <w:rsid w:val="00183BAD"/>
    <w:rsid w:val="00190E14"/>
    <w:rsid w:val="0019166B"/>
    <w:rsid w:val="00191ACD"/>
    <w:rsid w:val="00194609"/>
    <w:rsid w:val="001A4503"/>
    <w:rsid w:val="001A4D30"/>
    <w:rsid w:val="001A7D8D"/>
    <w:rsid w:val="001B0386"/>
    <w:rsid w:val="001C6AB9"/>
    <w:rsid w:val="001E6F55"/>
    <w:rsid w:val="00202C10"/>
    <w:rsid w:val="002072A3"/>
    <w:rsid w:val="00221F1F"/>
    <w:rsid w:val="00222110"/>
    <w:rsid w:val="00224616"/>
    <w:rsid w:val="0024117E"/>
    <w:rsid w:val="00242865"/>
    <w:rsid w:val="00243204"/>
    <w:rsid w:val="00273A0F"/>
    <w:rsid w:val="0027677B"/>
    <w:rsid w:val="002845C6"/>
    <w:rsid w:val="002851C8"/>
    <w:rsid w:val="00287EE6"/>
    <w:rsid w:val="0029160C"/>
    <w:rsid w:val="002A284C"/>
    <w:rsid w:val="002A47FF"/>
    <w:rsid w:val="002A55B3"/>
    <w:rsid w:val="002C1482"/>
    <w:rsid w:val="002D5436"/>
    <w:rsid w:val="002D7755"/>
    <w:rsid w:val="002E112D"/>
    <w:rsid w:val="002E755E"/>
    <w:rsid w:val="00300DC3"/>
    <w:rsid w:val="0030520F"/>
    <w:rsid w:val="00315255"/>
    <w:rsid w:val="0032211D"/>
    <w:rsid w:val="003234A0"/>
    <w:rsid w:val="00327A42"/>
    <w:rsid w:val="00331472"/>
    <w:rsid w:val="00335B18"/>
    <w:rsid w:val="00343426"/>
    <w:rsid w:val="00343D33"/>
    <w:rsid w:val="003475B8"/>
    <w:rsid w:val="0035254F"/>
    <w:rsid w:val="00365601"/>
    <w:rsid w:val="00375B20"/>
    <w:rsid w:val="00384D5C"/>
    <w:rsid w:val="003A43CC"/>
    <w:rsid w:val="003B4704"/>
    <w:rsid w:val="003D1E88"/>
    <w:rsid w:val="003E30B7"/>
    <w:rsid w:val="003F5199"/>
    <w:rsid w:val="0041288F"/>
    <w:rsid w:val="00412E2F"/>
    <w:rsid w:val="00422C6F"/>
    <w:rsid w:val="00431CB0"/>
    <w:rsid w:val="00445209"/>
    <w:rsid w:val="00460B58"/>
    <w:rsid w:val="004652BA"/>
    <w:rsid w:val="004742E7"/>
    <w:rsid w:val="00475BF3"/>
    <w:rsid w:val="0047601A"/>
    <w:rsid w:val="004769BE"/>
    <w:rsid w:val="004A3A00"/>
    <w:rsid w:val="004A3C38"/>
    <w:rsid w:val="004B59D4"/>
    <w:rsid w:val="004C7CFA"/>
    <w:rsid w:val="004D114F"/>
    <w:rsid w:val="004D3DEC"/>
    <w:rsid w:val="004F2FC0"/>
    <w:rsid w:val="00500D3E"/>
    <w:rsid w:val="0050593E"/>
    <w:rsid w:val="005164DB"/>
    <w:rsid w:val="00526613"/>
    <w:rsid w:val="00534AB4"/>
    <w:rsid w:val="005428C9"/>
    <w:rsid w:val="00543FD0"/>
    <w:rsid w:val="005571D3"/>
    <w:rsid w:val="005679FC"/>
    <w:rsid w:val="00570157"/>
    <w:rsid w:val="00573BCA"/>
    <w:rsid w:val="00580224"/>
    <w:rsid w:val="00596B9D"/>
    <w:rsid w:val="00597BB5"/>
    <w:rsid w:val="005A488A"/>
    <w:rsid w:val="005A72E7"/>
    <w:rsid w:val="005D20D9"/>
    <w:rsid w:val="005D3F94"/>
    <w:rsid w:val="005D597D"/>
    <w:rsid w:val="005E5266"/>
    <w:rsid w:val="00603ADC"/>
    <w:rsid w:val="00610DAB"/>
    <w:rsid w:val="00657B99"/>
    <w:rsid w:val="00660F90"/>
    <w:rsid w:val="0067090F"/>
    <w:rsid w:val="00675CB5"/>
    <w:rsid w:val="00682B8E"/>
    <w:rsid w:val="006908D2"/>
    <w:rsid w:val="006B1F6D"/>
    <w:rsid w:val="006B71E5"/>
    <w:rsid w:val="006E5CF8"/>
    <w:rsid w:val="00711D47"/>
    <w:rsid w:val="00713517"/>
    <w:rsid w:val="00717136"/>
    <w:rsid w:val="00721255"/>
    <w:rsid w:val="00723A8E"/>
    <w:rsid w:val="00725AF5"/>
    <w:rsid w:val="007277F5"/>
    <w:rsid w:val="00731563"/>
    <w:rsid w:val="0073172F"/>
    <w:rsid w:val="00740408"/>
    <w:rsid w:val="00740D05"/>
    <w:rsid w:val="00742FB9"/>
    <w:rsid w:val="00743540"/>
    <w:rsid w:val="0076641D"/>
    <w:rsid w:val="007915AF"/>
    <w:rsid w:val="0079741C"/>
    <w:rsid w:val="007C523F"/>
    <w:rsid w:val="007D20ED"/>
    <w:rsid w:val="007D4E81"/>
    <w:rsid w:val="007E30A9"/>
    <w:rsid w:val="007F0A03"/>
    <w:rsid w:val="007F0DEA"/>
    <w:rsid w:val="007F3D4E"/>
    <w:rsid w:val="00805F30"/>
    <w:rsid w:val="00811C34"/>
    <w:rsid w:val="00812E66"/>
    <w:rsid w:val="00822709"/>
    <w:rsid w:val="00830627"/>
    <w:rsid w:val="00831941"/>
    <w:rsid w:val="00832F6E"/>
    <w:rsid w:val="00846148"/>
    <w:rsid w:val="008524CE"/>
    <w:rsid w:val="00865A01"/>
    <w:rsid w:val="008B31D4"/>
    <w:rsid w:val="008B5DAA"/>
    <w:rsid w:val="008C4327"/>
    <w:rsid w:val="008D0AA3"/>
    <w:rsid w:val="008F625F"/>
    <w:rsid w:val="0090502E"/>
    <w:rsid w:val="009066C9"/>
    <w:rsid w:val="0092373D"/>
    <w:rsid w:val="00923C7D"/>
    <w:rsid w:val="009260CB"/>
    <w:rsid w:val="00930F6D"/>
    <w:rsid w:val="00957122"/>
    <w:rsid w:val="0095769E"/>
    <w:rsid w:val="009639B9"/>
    <w:rsid w:val="00975544"/>
    <w:rsid w:val="0098285E"/>
    <w:rsid w:val="00995F24"/>
    <w:rsid w:val="009B6D9A"/>
    <w:rsid w:val="009C1767"/>
    <w:rsid w:val="009C1ED7"/>
    <w:rsid w:val="009D3AF1"/>
    <w:rsid w:val="009D5A94"/>
    <w:rsid w:val="009E6BEC"/>
    <w:rsid w:val="009E721D"/>
    <w:rsid w:val="009F054E"/>
    <w:rsid w:val="00A01224"/>
    <w:rsid w:val="00A14F9A"/>
    <w:rsid w:val="00A304E6"/>
    <w:rsid w:val="00A9108F"/>
    <w:rsid w:val="00A92131"/>
    <w:rsid w:val="00AB286C"/>
    <w:rsid w:val="00AC0824"/>
    <w:rsid w:val="00AC6689"/>
    <w:rsid w:val="00AE255F"/>
    <w:rsid w:val="00AE3ABC"/>
    <w:rsid w:val="00AF768B"/>
    <w:rsid w:val="00B11BB7"/>
    <w:rsid w:val="00B24CA6"/>
    <w:rsid w:val="00B37B2A"/>
    <w:rsid w:val="00B42246"/>
    <w:rsid w:val="00B61287"/>
    <w:rsid w:val="00B67CEC"/>
    <w:rsid w:val="00B7026B"/>
    <w:rsid w:val="00B8319F"/>
    <w:rsid w:val="00B85A58"/>
    <w:rsid w:val="00B866E8"/>
    <w:rsid w:val="00B917E7"/>
    <w:rsid w:val="00B97361"/>
    <w:rsid w:val="00BA4227"/>
    <w:rsid w:val="00BC4BAB"/>
    <w:rsid w:val="00BD5AC0"/>
    <w:rsid w:val="00BD79D0"/>
    <w:rsid w:val="00BE23DE"/>
    <w:rsid w:val="00BE5A4F"/>
    <w:rsid w:val="00BE5D06"/>
    <w:rsid w:val="00BF7FC6"/>
    <w:rsid w:val="00C01ECF"/>
    <w:rsid w:val="00C13227"/>
    <w:rsid w:val="00C1546E"/>
    <w:rsid w:val="00C25B0D"/>
    <w:rsid w:val="00C27802"/>
    <w:rsid w:val="00C31AC0"/>
    <w:rsid w:val="00C33DA7"/>
    <w:rsid w:val="00C37C5E"/>
    <w:rsid w:val="00C619C7"/>
    <w:rsid w:val="00C6285E"/>
    <w:rsid w:val="00C6465C"/>
    <w:rsid w:val="00C8479D"/>
    <w:rsid w:val="00C90952"/>
    <w:rsid w:val="00C95C2A"/>
    <w:rsid w:val="00C968ED"/>
    <w:rsid w:val="00CA611F"/>
    <w:rsid w:val="00CA7A02"/>
    <w:rsid w:val="00CB18F2"/>
    <w:rsid w:val="00CC6BFC"/>
    <w:rsid w:val="00CF2F70"/>
    <w:rsid w:val="00CF3459"/>
    <w:rsid w:val="00D06887"/>
    <w:rsid w:val="00D106D6"/>
    <w:rsid w:val="00D13ECB"/>
    <w:rsid w:val="00D22842"/>
    <w:rsid w:val="00D23B69"/>
    <w:rsid w:val="00D351C2"/>
    <w:rsid w:val="00D3524B"/>
    <w:rsid w:val="00D35572"/>
    <w:rsid w:val="00D40B15"/>
    <w:rsid w:val="00D47E44"/>
    <w:rsid w:val="00D6022C"/>
    <w:rsid w:val="00D90287"/>
    <w:rsid w:val="00D9158D"/>
    <w:rsid w:val="00D94157"/>
    <w:rsid w:val="00D95198"/>
    <w:rsid w:val="00DC6ABC"/>
    <w:rsid w:val="00DF11B5"/>
    <w:rsid w:val="00DF2D16"/>
    <w:rsid w:val="00DF472E"/>
    <w:rsid w:val="00E32B8C"/>
    <w:rsid w:val="00E43259"/>
    <w:rsid w:val="00E4424E"/>
    <w:rsid w:val="00EA361B"/>
    <w:rsid w:val="00EA4F66"/>
    <w:rsid w:val="00EC282E"/>
    <w:rsid w:val="00EC4778"/>
    <w:rsid w:val="00ED1C06"/>
    <w:rsid w:val="00ED1CF0"/>
    <w:rsid w:val="00EF3ADA"/>
    <w:rsid w:val="00EF703E"/>
    <w:rsid w:val="00F16F0E"/>
    <w:rsid w:val="00F26F4D"/>
    <w:rsid w:val="00F43D61"/>
    <w:rsid w:val="00F47641"/>
    <w:rsid w:val="00F515BD"/>
    <w:rsid w:val="00F74113"/>
    <w:rsid w:val="00F93E9A"/>
    <w:rsid w:val="00FA46E5"/>
    <w:rsid w:val="00FC07B1"/>
    <w:rsid w:val="00FD5702"/>
    <w:rsid w:val="00FD733B"/>
    <w:rsid w:val="00FE14F1"/>
    <w:rsid w:val="00FE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DB3D"/>
  <w15:chartTrackingRefBased/>
  <w15:docId w15:val="{4C7C691A-E415-4421-83AF-6E358652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0A1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F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F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F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F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F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F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F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F29"/>
    <w:rPr>
      <w:rFonts w:eastAsiaTheme="majorEastAsia" w:cstheme="majorBidi"/>
      <w:color w:val="272727" w:themeColor="text1" w:themeTint="D8"/>
    </w:rPr>
  </w:style>
  <w:style w:type="paragraph" w:styleId="Title">
    <w:name w:val="Title"/>
    <w:basedOn w:val="Normal"/>
    <w:next w:val="Normal"/>
    <w:link w:val="TitleChar"/>
    <w:uiPriority w:val="10"/>
    <w:qFormat/>
    <w:rsid w:val="000A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F29"/>
    <w:pPr>
      <w:spacing w:before="160"/>
      <w:jc w:val="center"/>
    </w:pPr>
    <w:rPr>
      <w:i/>
      <w:iCs/>
      <w:color w:val="404040" w:themeColor="text1" w:themeTint="BF"/>
    </w:rPr>
  </w:style>
  <w:style w:type="character" w:customStyle="1" w:styleId="QuoteChar">
    <w:name w:val="Quote Char"/>
    <w:basedOn w:val="DefaultParagraphFont"/>
    <w:link w:val="Quote"/>
    <w:uiPriority w:val="29"/>
    <w:rsid w:val="000A1F29"/>
    <w:rPr>
      <w:i/>
      <w:iCs/>
      <w:color w:val="404040" w:themeColor="text1" w:themeTint="BF"/>
    </w:rPr>
  </w:style>
  <w:style w:type="paragraph" w:styleId="ListParagraph">
    <w:name w:val="List Paragraph"/>
    <w:basedOn w:val="Normal"/>
    <w:uiPriority w:val="34"/>
    <w:qFormat/>
    <w:rsid w:val="000A1F29"/>
    <w:pPr>
      <w:ind w:left="720"/>
      <w:contextualSpacing/>
    </w:pPr>
  </w:style>
  <w:style w:type="character" w:styleId="IntenseEmphasis">
    <w:name w:val="Intense Emphasis"/>
    <w:basedOn w:val="DefaultParagraphFont"/>
    <w:uiPriority w:val="21"/>
    <w:qFormat/>
    <w:rsid w:val="000A1F29"/>
    <w:rPr>
      <w:i/>
      <w:iCs/>
      <w:color w:val="2F5496" w:themeColor="accent1" w:themeShade="BF"/>
    </w:rPr>
  </w:style>
  <w:style w:type="paragraph" w:styleId="IntenseQuote">
    <w:name w:val="Intense Quote"/>
    <w:basedOn w:val="Normal"/>
    <w:next w:val="Normal"/>
    <w:link w:val="IntenseQuoteChar"/>
    <w:uiPriority w:val="30"/>
    <w:qFormat/>
    <w:rsid w:val="000A1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F29"/>
    <w:rPr>
      <w:i/>
      <w:iCs/>
      <w:color w:val="2F5496" w:themeColor="accent1" w:themeShade="BF"/>
    </w:rPr>
  </w:style>
  <w:style w:type="character" w:styleId="IntenseReference">
    <w:name w:val="Intense Reference"/>
    <w:basedOn w:val="DefaultParagraphFont"/>
    <w:uiPriority w:val="32"/>
    <w:qFormat/>
    <w:rsid w:val="000A1F29"/>
    <w:rPr>
      <w:b/>
      <w:bCs/>
      <w:smallCaps/>
      <w:color w:val="2F5496" w:themeColor="accent1" w:themeShade="BF"/>
      <w:spacing w:val="5"/>
    </w:rPr>
  </w:style>
  <w:style w:type="paragraph" w:styleId="NormalWeb">
    <w:name w:val="Normal (Web)"/>
    <w:basedOn w:val="Normal"/>
    <w:uiPriority w:val="99"/>
    <w:unhideWhenUsed/>
    <w:rsid w:val="00412E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2FB9"/>
    <w:rPr>
      <w:b/>
      <w:bCs/>
    </w:rPr>
  </w:style>
  <w:style w:type="table" w:styleId="TableGrid">
    <w:name w:val="Table Grid"/>
    <w:basedOn w:val="TableNormal"/>
    <w:uiPriority w:val="39"/>
    <w:rsid w:val="00742F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09"/>
    <w:rPr>
      <w:lang w:val="sq-AL"/>
    </w:rPr>
  </w:style>
  <w:style w:type="paragraph" w:styleId="Footer">
    <w:name w:val="footer"/>
    <w:basedOn w:val="Normal"/>
    <w:link w:val="FooterChar"/>
    <w:uiPriority w:val="99"/>
    <w:unhideWhenUsed/>
    <w:rsid w:val="00194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09"/>
    <w:rPr>
      <w:lang w:val="sq-AL"/>
    </w:rPr>
  </w:style>
  <w:style w:type="paragraph" w:customStyle="1" w:styleId="TEKSTI">
    <w:name w:val="TEKSTI"/>
    <w:basedOn w:val="Normal"/>
    <w:qFormat/>
    <w:rsid w:val="00091BA3"/>
    <w:pPr>
      <w:spacing w:after="0" w:line="240" w:lineRule="auto"/>
      <w:ind w:firstLine="284"/>
      <w:jc w:val="both"/>
    </w:pPr>
    <w:rPr>
      <w:rFonts w:ascii="Garamond" w:eastAsia="Times New Roman" w:hAnsi="Garamond" w:cs="Times New Roman"/>
      <w:kern w:val="0"/>
      <w14:ligatures w14:val="none"/>
    </w:rPr>
  </w:style>
  <w:style w:type="character" w:customStyle="1" w:styleId="A4">
    <w:name w:val="A4"/>
    <w:uiPriority w:val="99"/>
    <w:rsid w:val="00091BA3"/>
    <w:rPr>
      <w:rFonts w:ascii="Open Sans Light" w:hAnsi="Open Sans Light" w:cs="Open Sans Light" w:hint="default"/>
      <w:color w:val="000000"/>
      <w:sz w:val="20"/>
      <w:szCs w:val="20"/>
    </w:rPr>
  </w:style>
  <w:style w:type="paragraph" w:styleId="FootnoteText">
    <w:name w:val="footnote text"/>
    <w:basedOn w:val="Normal"/>
    <w:link w:val="FootnoteTextChar"/>
    <w:uiPriority w:val="99"/>
    <w:semiHidden/>
    <w:unhideWhenUsed/>
    <w:rsid w:val="004D3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DEC"/>
    <w:rPr>
      <w:sz w:val="20"/>
      <w:szCs w:val="20"/>
      <w:lang w:val="sq-AL"/>
    </w:rPr>
  </w:style>
  <w:style w:type="character" w:styleId="FootnoteReference">
    <w:name w:val="footnote reference"/>
    <w:basedOn w:val="DefaultParagraphFont"/>
    <w:uiPriority w:val="99"/>
    <w:semiHidden/>
    <w:unhideWhenUsed/>
    <w:rsid w:val="004D3DEC"/>
    <w:rPr>
      <w:vertAlign w:val="superscript"/>
    </w:rPr>
  </w:style>
  <w:style w:type="paragraph" w:customStyle="1" w:styleId="pf0">
    <w:name w:val="pf0"/>
    <w:basedOn w:val="Normal"/>
    <w:rsid w:val="00EF703E"/>
    <w:pPr>
      <w:spacing w:before="100" w:beforeAutospacing="1" w:after="100" w:afterAutospacing="1" w:line="240" w:lineRule="auto"/>
    </w:pPr>
    <w:rPr>
      <w:rFonts w:ascii="Times New Roman" w:eastAsia="Times New Roman" w:hAnsi="Times New Roman" w:cs="Times New Roman"/>
      <w:kern w:val="0"/>
      <w:lang w:eastAsia="sq-AL"/>
      <w14:ligatures w14:val="none"/>
    </w:rPr>
  </w:style>
  <w:style w:type="character" w:customStyle="1" w:styleId="cf01">
    <w:name w:val="cf01"/>
    <w:basedOn w:val="DefaultParagraphFont"/>
    <w:rsid w:val="00EF70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668">
      <w:bodyDiv w:val="1"/>
      <w:marLeft w:val="0"/>
      <w:marRight w:val="0"/>
      <w:marTop w:val="0"/>
      <w:marBottom w:val="0"/>
      <w:divBdr>
        <w:top w:val="none" w:sz="0" w:space="0" w:color="auto"/>
        <w:left w:val="none" w:sz="0" w:space="0" w:color="auto"/>
        <w:bottom w:val="none" w:sz="0" w:space="0" w:color="auto"/>
        <w:right w:val="none" w:sz="0" w:space="0" w:color="auto"/>
      </w:divBdr>
    </w:div>
    <w:div w:id="44566893">
      <w:bodyDiv w:val="1"/>
      <w:marLeft w:val="0"/>
      <w:marRight w:val="0"/>
      <w:marTop w:val="0"/>
      <w:marBottom w:val="0"/>
      <w:divBdr>
        <w:top w:val="none" w:sz="0" w:space="0" w:color="auto"/>
        <w:left w:val="none" w:sz="0" w:space="0" w:color="auto"/>
        <w:bottom w:val="none" w:sz="0" w:space="0" w:color="auto"/>
        <w:right w:val="none" w:sz="0" w:space="0" w:color="auto"/>
      </w:divBdr>
    </w:div>
    <w:div w:id="103351493">
      <w:bodyDiv w:val="1"/>
      <w:marLeft w:val="0"/>
      <w:marRight w:val="0"/>
      <w:marTop w:val="0"/>
      <w:marBottom w:val="0"/>
      <w:divBdr>
        <w:top w:val="none" w:sz="0" w:space="0" w:color="auto"/>
        <w:left w:val="none" w:sz="0" w:space="0" w:color="auto"/>
        <w:bottom w:val="none" w:sz="0" w:space="0" w:color="auto"/>
        <w:right w:val="none" w:sz="0" w:space="0" w:color="auto"/>
      </w:divBdr>
    </w:div>
    <w:div w:id="110512650">
      <w:bodyDiv w:val="1"/>
      <w:marLeft w:val="0"/>
      <w:marRight w:val="0"/>
      <w:marTop w:val="0"/>
      <w:marBottom w:val="0"/>
      <w:divBdr>
        <w:top w:val="none" w:sz="0" w:space="0" w:color="auto"/>
        <w:left w:val="none" w:sz="0" w:space="0" w:color="auto"/>
        <w:bottom w:val="none" w:sz="0" w:space="0" w:color="auto"/>
        <w:right w:val="none" w:sz="0" w:space="0" w:color="auto"/>
      </w:divBdr>
      <w:divsChild>
        <w:div w:id="876702056">
          <w:marLeft w:val="446"/>
          <w:marRight w:val="0"/>
          <w:marTop w:val="0"/>
          <w:marBottom w:val="0"/>
          <w:divBdr>
            <w:top w:val="none" w:sz="0" w:space="0" w:color="auto"/>
            <w:left w:val="none" w:sz="0" w:space="0" w:color="auto"/>
            <w:bottom w:val="none" w:sz="0" w:space="0" w:color="auto"/>
            <w:right w:val="none" w:sz="0" w:space="0" w:color="auto"/>
          </w:divBdr>
        </w:div>
        <w:div w:id="1435133290">
          <w:marLeft w:val="446"/>
          <w:marRight w:val="0"/>
          <w:marTop w:val="0"/>
          <w:marBottom w:val="0"/>
          <w:divBdr>
            <w:top w:val="none" w:sz="0" w:space="0" w:color="auto"/>
            <w:left w:val="none" w:sz="0" w:space="0" w:color="auto"/>
            <w:bottom w:val="none" w:sz="0" w:space="0" w:color="auto"/>
            <w:right w:val="none" w:sz="0" w:space="0" w:color="auto"/>
          </w:divBdr>
        </w:div>
        <w:div w:id="920798556">
          <w:marLeft w:val="446"/>
          <w:marRight w:val="0"/>
          <w:marTop w:val="0"/>
          <w:marBottom w:val="0"/>
          <w:divBdr>
            <w:top w:val="none" w:sz="0" w:space="0" w:color="auto"/>
            <w:left w:val="none" w:sz="0" w:space="0" w:color="auto"/>
            <w:bottom w:val="none" w:sz="0" w:space="0" w:color="auto"/>
            <w:right w:val="none" w:sz="0" w:space="0" w:color="auto"/>
          </w:divBdr>
        </w:div>
      </w:divsChild>
    </w:div>
    <w:div w:id="132597873">
      <w:bodyDiv w:val="1"/>
      <w:marLeft w:val="0"/>
      <w:marRight w:val="0"/>
      <w:marTop w:val="0"/>
      <w:marBottom w:val="0"/>
      <w:divBdr>
        <w:top w:val="none" w:sz="0" w:space="0" w:color="auto"/>
        <w:left w:val="none" w:sz="0" w:space="0" w:color="auto"/>
        <w:bottom w:val="none" w:sz="0" w:space="0" w:color="auto"/>
        <w:right w:val="none" w:sz="0" w:space="0" w:color="auto"/>
      </w:divBdr>
    </w:div>
    <w:div w:id="133642569">
      <w:bodyDiv w:val="1"/>
      <w:marLeft w:val="0"/>
      <w:marRight w:val="0"/>
      <w:marTop w:val="0"/>
      <w:marBottom w:val="0"/>
      <w:divBdr>
        <w:top w:val="none" w:sz="0" w:space="0" w:color="auto"/>
        <w:left w:val="none" w:sz="0" w:space="0" w:color="auto"/>
        <w:bottom w:val="none" w:sz="0" w:space="0" w:color="auto"/>
        <w:right w:val="none" w:sz="0" w:space="0" w:color="auto"/>
      </w:divBdr>
    </w:div>
    <w:div w:id="161966633">
      <w:bodyDiv w:val="1"/>
      <w:marLeft w:val="0"/>
      <w:marRight w:val="0"/>
      <w:marTop w:val="0"/>
      <w:marBottom w:val="0"/>
      <w:divBdr>
        <w:top w:val="none" w:sz="0" w:space="0" w:color="auto"/>
        <w:left w:val="none" w:sz="0" w:space="0" w:color="auto"/>
        <w:bottom w:val="none" w:sz="0" w:space="0" w:color="auto"/>
        <w:right w:val="none" w:sz="0" w:space="0" w:color="auto"/>
      </w:divBdr>
    </w:div>
    <w:div w:id="183910249">
      <w:bodyDiv w:val="1"/>
      <w:marLeft w:val="0"/>
      <w:marRight w:val="0"/>
      <w:marTop w:val="0"/>
      <w:marBottom w:val="0"/>
      <w:divBdr>
        <w:top w:val="none" w:sz="0" w:space="0" w:color="auto"/>
        <w:left w:val="none" w:sz="0" w:space="0" w:color="auto"/>
        <w:bottom w:val="none" w:sz="0" w:space="0" w:color="auto"/>
        <w:right w:val="none" w:sz="0" w:space="0" w:color="auto"/>
      </w:divBdr>
    </w:div>
    <w:div w:id="233050069">
      <w:bodyDiv w:val="1"/>
      <w:marLeft w:val="0"/>
      <w:marRight w:val="0"/>
      <w:marTop w:val="0"/>
      <w:marBottom w:val="0"/>
      <w:divBdr>
        <w:top w:val="none" w:sz="0" w:space="0" w:color="auto"/>
        <w:left w:val="none" w:sz="0" w:space="0" w:color="auto"/>
        <w:bottom w:val="none" w:sz="0" w:space="0" w:color="auto"/>
        <w:right w:val="none" w:sz="0" w:space="0" w:color="auto"/>
      </w:divBdr>
    </w:div>
    <w:div w:id="249388537">
      <w:bodyDiv w:val="1"/>
      <w:marLeft w:val="0"/>
      <w:marRight w:val="0"/>
      <w:marTop w:val="0"/>
      <w:marBottom w:val="0"/>
      <w:divBdr>
        <w:top w:val="none" w:sz="0" w:space="0" w:color="auto"/>
        <w:left w:val="none" w:sz="0" w:space="0" w:color="auto"/>
        <w:bottom w:val="none" w:sz="0" w:space="0" w:color="auto"/>
        <w:right w:val="none" w:sz="0" w:space="0" w:color="auto"/>
      </w:divBdr>
    </w:div>
    <w:div w:id="277642177">
      <w:bodyDiv w:val="1"/>
      <w:marLeft w:val="0"/>
      <w:marRight w:val="0"/>
      <w:marTop w:val="0"/>
      <w:marBottom w:val="0"/>
      <w:divBdr>
        <w:top w:val="none" w:sz="0" w:space="0" w:color="auto"/>
        <w:left w:val="none" w:sz="0" w:space="0" w:color="auto"/>
        <w:bottom w:val="none" w:sz="0" w:space="0" w:color="auto"/>
        <w:right w:val="none" w:sz="0" w:space="0" w:color="auto"/>
      </w:divBdr>
    </w:div>
    <w:div w:id="291911659">
      <w:bodyDiv w:val="1"/>
      <w:marLeft w:val="0"/>
      <w:marRight w:val="0"/>
      <w:marTop w:val="0"/>
      <w:marBottom w:val="0"/>
      <w:divBdr>
        <w:top w:val="none" w:sz="0" w:space="0" w:color="auto"/>
        <w:left w:val="none" w:sz="0" w:space="0" w:color="auto"/>
        <w:bottom w:val="none" w:sz="0" w:space="0" w:color="auto"/>
        <w:right w:val="none" w:sz="0" w:space="0" w:color="auto"/>
      </w:divBdr>
    </w:div>
    <w:div w:id="308170846">
      <w:bodyDiv w:val="1"/>
      <w:marLeft w:val="0"/>
      <w:marRight w:val="0"/>
      <w:marTop w:val="0"/>
      <w:marBottom w:val="0"/>
      <w:divBdr>
        <w:top w:val="none" w:sz="0" w:space="0" w:color="auto"/>
        <w:left w:val="none" w:sz="0" w:space="0" w:color="auto"/>
        <w:bottom w:val="none" w:sz="0" w:space="0" w:color="auto"/>
        <w:right w:val="none" w:sz="0" w:space="0" w:color="auto"/>
      </w:divBdr>
    </w:div>
    <w:div w:id="308293326">
      <w:bodyDiv w:val="1"/>
      <w:marLeft w:val="0"/>
      <w:marRight w:val="0"/>
      <w:marTop w:val="0"/>
      <w:marBottom w:val="0"/>
      <w:divBdr>
        <w:top w:val="none" w:sz="0" w:space="0" w:color="auto"/>
        <w:left w:val="none" w:sz="0" w:space="0" w:color="auto"/>
        <w:bottom w:val="none" w:sz="0" w:space="0" w:color="auto"/>
        <w:right w:val="none" w:sz="0" w:space="0" w:color="auto"/>
      </w:divBdr>
    </w:div>
    <w:div w:id="325402890">
      <w:bodyDiv w:val="1"/>
      <w:marLeft w:val="0"/>
      <w:marRight w:val="0"/>
      <w:marTop w:val="0"/>
      <w:marBottom w:val="0"/>
      <w:divBdr>
        <w:top w:val="none" w:sz="0" w:space="0" w:color="auto"/>
        <w:left w:val="none" w:sz="0" w:space="0" w:color="auto"/>
        <w:bottom w:val="none" w:sz="0" w:space="0" w:color="auto"/>
        <w:right w:val="none" w:sz="0" w:space="0" w:color="auto"/>
      </w:divBdr>
    </w:div>
    <w:div w:id="355741761">
      <w:bodyDiv w:val="1"/>
      <w:marLeft w:val="0"/>
      <w:marRight w:val="0"/>
      <w:marTop w:val="0"/>
      <w:marBottom w:val="0"/>
      <w:divBdr>
        <w:top w:val="none" w:sz="0" w:space="0" w:color="auto"/>
        <w:left w:val="none" w:sz="0" w:space="0" w:color="auto"/>
        <w:bottom w:val="none" w:sz="0" w:space="0" w:color="auto"/>
        <w:right w:val="none" w:sz="0" w:space="0" w:color="auto"/>
      </w:divBdr>
    </w:div>
    <w:div w:id="364525604">
      <w:bodyDiv w:val="1"/>
      <w:marLeft w:val="0"/>
      <w:marRight w:val="0"/>
      <w:marTop w:val="0"/>
      <w:marBottom w:val="0"/>
      <w:divBdr>
        <w:top w:val="none" w:sz="0" w:space="0" w:color="auto"/>
        <w:left w:val="none" w:sz="0" w:space="0" w:color="auto"/>
        <w:bottom w:val="none" w:sz="0" w:space="0" w:color="auto"/>
        <w:right w:val="none" w:sz="0" w:space="0" w:color="auto"/>
      </w:divBdr>
    </w:div>
    <w:div w:id="398476102">
      <w:bodyDiv w:val="1"/>
      <w:marLeft w:val="0"/>
      <w:marRight w:val="0"/>
      <w:marTop w:val="0"/>
      <w:marBottom w:val="0"/>
      <w:divBdr>
        <w:top w:val="none" w:sz="0" w:space="0" w:color="auto"/>
        <w:left w:val="none" w:sz="0" w:space="0" w:color="auto"/>
        <w:bottom w:val="none" w:sz="0" w:space="0" w:color="auto"/>
        <w:right w:val="none" w:sz="0" w:space="0" w:color="auto"/>
      </w:divBdr>
    </w:div>
    <w:div w:id="398482415">
      <w:bodyDiv w:val="1"/>
      <w:marLeft w:val="0"/>
      <w:marRight w:val="0"/>
      <w:marTop w:val="0"/>
      <w:marBottom w:val="0"/>
      <w:divBdr>
        <w:top w:val="none" w:sz="0" w:space="0" w:color="auto"/>
        <w:left w:val="none" w:sz="0" w:space="0" w:color="auto"/>
        <w:bottom w:val="none" w:sz="0" w:space="0" w:color="auto"/>
        <w:right w:val="none" w:sz="0" w:space="0" w:color="auto"/>
      </w:divBdr>
    </w:div>
    <w:div w:id="413860171">
      <w:bodyDiv w:val="1"/>
      <w:marLeft w:val="0"/>
      <w:marRight w:val="0"/>
      <w:marTop w:val="0"/>
      <w:marBottom w:val="0"/>
      <w:divBdr>
        <w:top w:val="none" w:sz="0" w:space="0" w:color="auto"/>
        <w:left w:val="none" w:sz="0" w:space="0" w:color="auto"/>
        <w:bottom w:val="none" w:sz="0" w:space="0" w:color="auto"/>
        <w:right w:val="none" w:sz="0" w:space="0" w:color="auto"/>
      </w:divBdr>
    </w:div>
    <w:div w:id="430514348">
      <w:bodyDiv w:val="1"/>
      <w:marLeft w:val="0"/>
      <w:marRight w:val="0"/>
      <w:marTop w:val="0"/>
      <w:marBottom w:val="0"/>
      <w:divBdr>
        <w:top w:val="none" w:sz="0" w:space="0" w:color="auto"/>
        <w:left w:val="none" w:sz="0" w:space="0" w:color="auto"/>
        <w:bottom w:val="none" w:sz="0" w:space="0" w:color="auto"/>
        <w:right w:val="none" w:sz="0" w:space="0" w:color="auto"/>
      </w:divBdr>
    </w:div>
    <w:div w:id="431438437">
      <w:bodyDiv w:val="1"/>
      <w:marLeft w:val="0"/>
      <w:marRight w:val="0"/>
      <w:marTop w:val="0"/>
      <w:marBottom w:val="0"/>
      <w:divBdr>
        <w:top w:val="none" w:sz="0" w:space="0" w:color="auto"/>
        <w:left w:val="none" w:sz="0" w:space="0" w:color="auto"/>
        <w:bottom w:val="none" w:sz="0" w:space="0" w:color="auto"/>
        <w:right w:val="none" w:sz="0" w:space="0" w:color="auto"/>
      </w:divBdr>
    </w:div>
    <w:div w:id="432670689">
      <w:bodyDiv w:val="1"/>
      <w:marLeft w:val="0"/>
      <w:marRight w:val="0"/>
      <w:marTop w:val="0"/>
      <w:marBottom w:val="0"/>
      <w:divBdr>
        <w:top w:val="none" w:sz="0" w:space="0" w:color="auto"/>
        <w:left w:val="none" w:sz="0" w:space="0" w:color="auto"/>
        <w:bottom w:val="none" w:sz="0" w:space="0" w:color="auto"/>
        <w:right w:val="none" w:sz="0" w:space="0" w:color="auto"/>
      </w:divBdr>
    </w:div>
    <w:div w:id="489249382">
      <w:bodyDiv w:val="1"/>
      <w:marLeft w:val="0"/>
      <w:marRight w:val="0"/>
      <w:marTop w:val="0"/>
      <w:marBottom w:val="0"/>
      <w:divBdr>
        <w:top w:val="none" w:sz="0" w:space="0" w:color="auto"/>
        <w:left w:val="none" w:sz="0" w:space="0" w:color="auto"/>
        <w:bottom w:val="none" w:sz="0" w:space="0" w:color="auto"/>
        <w:right w:val="none" w:sz="0" w:space="0" w:color="auto"/>
      </w:divBdr>
    </w:div>
    <w:div w:id="493567638">
      <w:bodyDiv w:val="1"/>
      <w:marLeft w:val="0"/>
      <w:marRight w:val="0"/>
      <w:marTop w:val="0"/>
      <w:marBottom w:val="0"/>
      <w:divBdr>
        <w:top w:val="none" w:sz="0" w:space="0" w:color="auto"/>
        <w:left w:val="none" w:sz="0" w:space="0" w:color="auto"/>
        <w:bottom w:val="none" w:sz="0" w:space="0" w:color="auto"/>
        <w:right w:val="none" w:sz="0" w:space="0" w:color="auto"/>
      </w:divBdr>
    </w:div>
    <w:div w:id="496506284">
      <w:bodyDiv w:val="1"/>
      <w:marLeft w:val="0"/>
      <w:marRight w:val="0"/>
      <w:marTop w:val="0"/>
      <w:marBottom w:val="0"/>
      <w:divBdr>
        <w:top w:val="none" w:sz="0" w:space="0" w:color="auto"/>
        <w:left w:val="none" w:sz="0" w:space="0" w:color="auto"/>
        <w:bottom w:val="none" w:sz="0" w:space="0" w:color="auto"/>
        <w:right w:val="none" w:sz="0" w:space="0" w:color="auto"/>
      </w:divBdr>
    </w:div>
    <w:div w:id="504439233">
      <w:bodyDiv w:val="1"/>
      <w:marLeft w:val="0"/>
      <w:marRight w:val="0"/>
      <w:marTop w:val="0"/>
      <w:marBottom w:val="0"/>
      <w:divBdr>
        <w:top w:val="none" w:sz="0" w:space="0" w:color="auto"/>
        <w:left w:val="none" w:sz="0" w:space="0" w:color="auto"/>
        <w:bottom w:val="none" w:sz="0" w:space="0" w:color="auto"/>
        <w:right w:val="none" w:sz="0" w:space="0" w:color="auto"/>
      </w:divBdr>
    </w:div>
    <w:div w:id="542447818">
      <w:bodyDiv w:val="1"/>
      <w:marLeft w:val="0"/>
      <w:marRight w:val="0"/>
      <w:marTop w:val="0"/>
      <w:marBottom w:val="0"/>
      <w:divBdr>
        <w:top w:val="none" w:sz="0" w:space="0" w:color="auto"/>
        <w:left w:val="none" w:sz="0" w:space="0" w:color="auto"/>
        <w:bottom w:val="none" w:sz="0" w:space="0" w:color="auto"/>
        <w:right w:val="none" w:sz="0" w:space="0" w:color="auto"/>
      </w:divBdr>
    </w:div>
    <w:div w:id="549342493">
      <w:bodyDiv w:val="1"/>
      <w:marLeft w:val="0"/>
      <w:marRight w:val="0"/>
      <w:marTop w:val="0"/>
      <w:marBottom w:val="0"/>
      <w:divBdr>
        <w:top w:val="none" w:sz="0" w:space="0" w:color="auto"/>
        <w:left w:val="none" w:sz="0" w:space="0" w:color="auto"/>
        <w:bottom w:val="none" w:sz="0" w:space="0" w:color="auto"/>
        <w:right w:val="none" w:sz="0" w:space="0" w:color="auto"/>
      </w:divBdr>
    </w:div>
    <w:div w:id="573201921">
      <w:bodyDiv w:val="1"/>
      <w:marLeft w:val="0"/>
      <w:marRight w:val="0"/>
      <w:marTop w:val="0"/>
      <w:marBottom w:val="0"/>
      <w:divBdr>
        <w:top w:val="none" w:sz="0" w:space="0" w:color="auto"/>
        <w:left w:val="none" w:sz="0" w:space="0" w:color="auto"/>
        <w:bottom w:val="none" w:sz="0" w:space="0" w:color="auto"/>
        <w:right w:val="none" w:sz="0" w:space="0" w:color="auto"/>
      </w:divBdr>
    </w:div>
    <w:div w:id="591283824">
      <w:bodyDiv w:val="1"/>
      <w:marLeft w:val="0"/>
      <w:marRight w:val="0"/>
      <w:marTop w:val="0"/>
      <w:marBottom w:val="0"/>
      <w:divBdr>
        <w:top w:val="none" w:sz="0" w:space="0" w:color="auto"/>
        <w:left w:val="none" w:sz="0" w:space="0" w:color="auto"/>
        <w:bottom w:val="none" w:sz="0" w:space="0" w:color="auto"/>
        <w:right w:val="none" w:sz="0" w:space="0" w:color="auto"/>
      </w:divBdr>
    </w:div>
    <w:div w:id="624776659">
      <w:bodyDiv w:val="1"/>
      <w:marLeft w:val="0"/>
      <w:marRight w:val="0"/>
      <w:marTop w:val="0"/>
      <w:marBottom w:val="0"/>
      <w:divBdr>
        <w:top w:val="none" w:sz="0" w:space="0" w:color="auto"/>
        <w:left w:val="none" w:sz="0" w:space="0" w:color="auto"/>
        <w:bottom w:val="none" w:sz="0" w:space="0" w:color="auto"/>
        <w:right w:val="none" w:sz="0" w:space="0" w:color="auto"/>
      </w:divBdr>
    </w:div>
    <w:div w:id="708335655">
      <w:bodyDiv w:val="1"/>
      <w:marLeft w:val="0"/>
      <w:marRight w:val="0"/>
      <w:marTop w:val="0"/>
      <w:marBottom w:val="0"/>
      <w:divBdr>
        <w:top w:val="none" w:sz="0" w:space="0" w:color="auto"/>
        <w:left w:val="none" w:sz="0" w:space="0" w:color="auto"/>
        <w:bottom w:val="none" w:sz="0" w:space="0" w:color="auto"/>
        <w:right w:val="none" w:sz="0" w:space="0" w:color="auto"/>
      </w:divBdr>
    </w:div>
    <w:div w:id="717970815">
      <w:bodyDiv w:val="1"/>
      <w:marLeft w:val="0"/>
      <w:marRight w:val="0"/>
      <w:marTop w:val="0"/>
      <w:marBottom w:val="0"/>
      <w:divBdr>
        <w:top w:val="none" w:sz="0" w:space="0" w:color="auto"/>
        <w:left w:val="none" w:sz="0" w:space="0" w:color="auto"/>
        <w:bottom w:val="none" w:sz="0" w:space="0" w:color="auto"/>
        <w:right w:val="none" w:sz="0" w:space="0" w:color="auto"/>
      </w:divBdr>
    </w:div>
    <w:div w:id="739793539">
      <w:bodyDiv w:val="1"/>
      <w:marLeft w:val="0"/>
      <w:marRight w:val="0"/>
      <w:marTop w:val="0"/>
      <w:marBottom w:val="0"/>
      <w:divBdr>
        <w:top w:val="none" w:sz="0" w:space="0" w:color="auto"/>
        <w:left w:val="none" w:sz="0" w:space="0" w:color="auto"/>
        <w:bottom w:val="none" w:sz="0" w:space="0" w:color="auto"/>
        <w:right w:val="none" w:sz="0" w:space="0" w:color="auto"/>
      </w:divBdr>
    </w:div>
    <w:div w:id="803238333">
      <w:bodyDiv w:val="1"/>
      <w:marLeft w:val="0"/>
      <w:marRight w:val="0"/>
      <w:marTop w:val="0"/>
      <w:marBottom w:val="0"/>
      <w:divBdr>
        <w:top w:val="none" w:sz="0" w:space="0" w:color="auto"/>
        <w:left w:val="none" w:sz="0" w:space="0" w:color="auto"/>
        <w:bottom w:val="none" w:sz="0" w:space="0" w:color="auto"/>
        <w:right w:val="none" w:sz="0" w:space="0" w:color="auto"/>
      </w:divBdr>
    </w:div>
    <w:div w:id="815300201">
      <w:bodyDiv w:val="1"/>
      <w:marLeft w:val="0"/>
      <w:marRight w:val="0"/>
      <w:marTop w:val="0"/>
      <w:marBottom w:val="0"/>
      <w:divBdr>
        <w:top w:val="none" w:sz="0" w:space="0" w:color="auto"/>
        <w:left w:val="none" w:sz="0" w:space="0" w:color="auto"/>
        <w:bottom w:val="none" w:sz="0" w:space="0" w:color="auto"/>
        <w:right w:val="none" w:sz="0" w:space="0" w:color="auto"/>
      </w:divBdr>
    </w:div>
    <w:div w:id="835877042">
      <w:bodyDiv w:val="1"/>
      <w:marLeft w:val="0"/>
      <w:marRight w:val="0"/>
      <w:marTop w:val="0"/>
      <w:marBottom w:val="0"/>
      <w:divBdr>
        <w:top w:val="none" w:sz="0" w:space="0" w:color="auto"/>
        <w:left w:val="none" w:sz="0" w:space="0" w:color="auto"/>
        <w:bottom w:val="none" w:sz="0" w:space="0" w:color="auto"/>
        <w:right w:val="none" w:sz="0" w:space="0" w:color="auto"/>
      </w:divBdr>
    </w:div>
    <w:div w:id="850724534">
      <w:bodyDiv w:val="1"/>
      <w:marLeft w:val="0"/>
      <w:marRight w:val="0"/>
      <w:marTop w:val="0"/>
      <w:marBottom w:val="0"/>
      <w:divBdr>
        <w:top w:val="none" w:sz="0" w:space="0" w:color="auto"/>
        <w:left w:val="none" w:sz="0" w:space="0" w:color="auto"/>
        <w:bottom w:val="none" w:sz="0" w:space="0" w:color="auto"/>
        <w:right w:val="none" w:sz="0" w:space="0" w:color="auto"/>
      </w:divBdr>
    </w:div>
    <w:div w:id="859776792">
      <w:bodyDiv w:val="1"/>
      <w:marLeft w:val="0"/>
      <w:marRight w:val="0"/>
      <w:marTop w:val="0"/>
      <w:marBottom w:val="0"/>
      <w:divBdr>
        <w:top w:val="none" w:sz="0" w:space="0" w:color="auto"/>
        <w:left w:val="none" w:sz="0" w:space="0" w:color="auto"/>
        <w:bottom w:val="none" w:sz="0" w:space="0" w:color="auto"/>
        <w:right w:val="none" w:sz="0" w:space="0" w:color="auto"/>
      </w:divBdr>
    </w:div>
    <w:div w:id="890850602">
      <w:bodyDiv w:val="1"/>
      <w:marLeft w:val="0"/>
      <w:marRight w:val="0"/>
      <w:marTop w:val="0"/>
      <w:marBottom w:val="0"/>
      <w:divBdr>
        <w:top w:val="none" w:sz="0" w:space="0" w:color="auto"/>
        <w:left w:val="none" w:sz="0" w:space="0" w:color="auto"/>
        <w:bottom w:val="none" w:sz="0" w:space="0" w:color="auto"/>
        <w:right w:val="none" w:sz="0" w:space="0" w:color="auto"/>
      </w:divBdr>
    </w:div>
    <w:div w:id="901255431">
      <w:bodyDiv w:val="1"/>
      <w:marLeft w:val="0"/>
      <w:marRight w:val="0"/>
      <w:marTop w:val="0"/>
      <w:marBottom w:val="0"/>
      <w:divBdr>
        <w:top w:val="none" w:sz="0" w:space="0" w:color="auto"/>
        <w:left w:val="none" w:sz="0" w:space="0" w:color="auto"/>
        <w:bottom w:val="none" w:sz="0" w:space="0" w:color="auto"/>
        <w:right w:val="none" w:sz="0" w:space="0" w:color="auto"/>
      </w:divBdr>
      <w:divsChild>
        <w:div w:id="1555044722">
          <w:marLeft w:val="0"/>
          <w:marRight w:val="0"/>
          <w:marTop w:val="0"/>
          <w:marBottom w:val="0"/>
          <w:divBdr>
            <w:top w:val="none" w:sz="0" w:space="0" w:color="auto"/>
            <w:left w:val="none" w:sz="0" w:space="0" w:color="auto"/>
            <w:bottom w:val="none" w:sz="0" w:space="0" w:color="auto"/>
            <w:right w:val="none" w:sz="0" w:space="0" w:color="auto"/>
          </w:divBdr>
          <w:divsChild>
            <w:div w:id="2134863145">
              <w:marLeft w:val="0"/>
              <w:marRight w:val="0"/>
              <w:marTop w:val="0"/>
              <w:marBottom w:val="0"/>
              <w:divBdr>
                <w:top w:val="none" w:sz="0" w:space="0" w:color="auto"/>
                <w:left w:val="none" w:sz="0" w:space="0" w:color="auto"/>
                <w:bottom w:val="none" w:sz="0" w:space="0" w:color="auto"/>
                <w:right w:val="none" w:sz="0" w:space="0" w:color="auto"/>
              </w:divBdr>
              <w:divsChild>
                <w:div w:id="165554983">
                  <w:marLeft w:val="0"/>
                  <w:marRight w:val="0"/>
                  <w:marTop w:val="0"/>
                  <w:marBottom w:val="0"/>
                  <w:divBdr>
                    <w:top w:val="none" w:sz="0" w:space="0" w:color="auto"/>
                    <w:left w:val="none" w:sz="0" w:space="0" w:color="auto"/>
                    <w:bottom w:val="none" w:sz="0" w:space="0" w:color="auto"/>
                    <w:right w:val="none" w:sz="0" w:space="0" w:color="auto"/>
                  </w:divBdr>
                  <w:divsChild>
                    <w:div w:id="398669975">
                      <w:marLeft w:val="0"/>
                      <w:marRight w:val="0"/>
                      <w:marTop w:val="0"/>
                      <w:marBottom w:val="0"/>
                      <w:divBdr>
                        <w:top w:val="none" w:sz="0" w:space="0" w:color="auto"/>
                        <w:left w:val="none" w:sz="0" w:space="0" w:color="auto"/>
                        <w:bottom w:val="none" w:sz="0" w:space="0" w:color="auto"/>
                        <w:right w:val="none" w:sz="0" w:space="0" w:color="auto"/>
                      </w:divBdr>
                      <w:divsChild>
                        <w:div w:id="1412921226">
                          <w:marLeft w:val="0"/>
                          <w:marRight w:val="0"/>
                          <w:marTop w:val="0"/>
                          <w:marBottom w:val="0"/>
                          <w:divBdr>
                            <w:top w:val="none" w:sz="0" w:space="0" w:color="auto"/>
                            <w:left w:val="none" w:sz="0" w:space="0" w:color="auto"/>
                            <w:bottom w:val="none" w:sz="0" w:space="0" w:color="auto"/>
                            <w:right w:val="none" w:sz="0" w:space="0" w:color="auto"/>
                          </w:divBdr>
                          <w:divsChild>
                            <w:div w:id="1834299237">
                              <w:marLeft w:val="0"/>
                              <w:marRight w:val="0"/>
                              <w:marTop w:val="0"/>
                              <w:marBottom w:val="0"/>
                              <w:divBdr>
                                <w:top w:val="none" w:sz="0" w:space="0" w:color="auto"/>
                                <w:left w:val="none" w:sz="0" w:space="0" w:color="auto"/>
                                <w:bottom w:val="none" w:sz="0" w:space="0" w:color="auto"/>
                                <w:right w:val="none" w:sz="0" w:space="0" w:color="auto"/>
                              </w:divBdr>
                              <w:divsChild>
                                <w:div w:id="1349142469">
                                  <w:marLeft w:val="0"/>
                                  <w:marRight w:val="0"/>
                                  <w:marTop w:val="0"/>
                                  <w:marBottom w:val="0"/>
                                  <w:divBdr>
                                    <w:top w:val="none" w:sz="0" w:space="0" w:color="auto"/>
                                    <w:left w:val="none" w:sz="0" w:space="0" w:color="auto"/>
                                    <w:bottom w:val="none" w:sz="0" w:space="0" w:color="auto"/>
                                    <w:right w:val="none" w:sz="0" w:space="0" w:color="auto"/>
                                  </w:divBdr>
                                  <w:divsChild>
                                    <w:div w:id="7635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968483">
      <w:bodyDiv w:val="1"/>
      <w:marLeft w:val="0"/>
      <w:marRight w:val="0"/>
      <w:marTop w:val="0"/>
      <w:marBottom w:val="0"/>
      <w:divBdr>
        <w:top w:val="none" w:sz="0" w:space="0" w:color="auto"/>
        <w:left w:val="none" w:sz="0" w:space="0" w:color="auto"/>
        <w:bottom w:val="none" w:sz="0" w:space="0" w:color="auto"/>
        <w:right w:val="none" w:sz="0" w:space="0" w:color="auto"/>
      </w:divBdr>
    </w:div>
    <w:div w:id="921841597">
      <w:bodyDiv w:val="1"/>
      <w:marLeft w:val="0"/>
      <w:marRight w:val="0"/>
      <w:marTop w:val="0"/>
      <w:marBottom w:val="0"/>
      <w:divBdr>
        <w:top w:val="none" w:sz="0" w:space="0" w:color="auto"/>
        <w:left w:val="none" w:sz="0" w:space="0" w:color="auto"/>
        <w:bottom w:val="none" w:sz="0" w:space="0" w:color="auto"/>
        <w:right w:val="none" w:sz="0" w:space="0" w:color="auto"/>
      </w:divBdr>
    </w:div>
    <w:div w:id="932860997">
      <w:bodyDiv w:val="1"/>
      <w:marLeft w:val="0"/>
      <w:marRight w:val="0"/>
      <w:marTop w:val="0"/>
      <w:marBottom w:val="0"/>
      <w:divBdr>
        <w:top w:val="none" w:sz="0" w:space="0" w:color="auto"/>
        <w:left w:val="none" w:sz="0" w:space="0" w:color="auto"/>
        <w:bottom w:val="none" w:sz="0" w:space="0" w:color="auto"/>
        <w:right w:val="none" w:sz="0" w:space="0" w:color="auto"/>
      </w:divBdr>
    </w:div>
    <w:div w:id="946354812">
      <w:bodyDiv w:val="1"/>
      <w:marLeft w:val="0"/>
      <w:marRight w:val="0"/>
      <w:marTop w:val="0"/>
      <w:marBottom w:val="0"/>
      <w:divBdr>
        <w:top w:val="none" w:sz="0" w:space="0" w:color="auto"/>
        <w:left w:val="none" w:sz="0" w:space="0" w:color="auto"/>
        <w:bottom w:val="none" w:sz="0" w:space="0" w:color="auto"/>
        <w:right w:val="none" w:sz="0" w:space="0" w:color="auto"/>
      </w:divBdr>
    </w:div>
    <w:div w:id="973095188">
      <w:bodyDiv w:val="1"/>
      <w:marLeft w:val="0"/>
      <w:marRight w:val="0"/>
      <w:marTop w:val="0"/>
      <w:marBottom w:val="0"/>
      <w:divBdr>
        <w:top w:val="none" w:sz="0" w:space="0" w:color="auto"/>
        <w:left w:val="none" w:sz="0" w:space="0" w:color="auto"/>
        <w:bottom w:val="none" w:sz="0" w:space="0" w:color="auto"/>
        <w:right w:val="none" w:sz="0" w:space="0" w:color="auto"/>
      </w:divBdr>
    </w:div>
    <w:div w:id="1018849049">
      <w:bodyDiv w:val="1"/>
      <w:marLeft w:val="0"/>
      <w:marRight w:val="0"/>
      <w:marTop w:val="0"/>
      <w:marBottom w:val="0"/>
      <w:divBdr>
        <w:top w:val="none" w:sz="0" w:space="0" w:color="auto"/>
        <w:left w:val="none" w:sz="0" w:space="0" w:color="auto"/>
        <w:bottom w:val="none" w:sz="0" w:space="0" w:color="auto"/>
        <w:right w:val="none" w:sz="0" w:space="0" w:color="auto"/>
      </w:divBdr>
      <w:divsChild>
        <w:div w:id="1977223774">
          <w:marLeft w:val="0"/>
          <w:marRight w:val="0"/>
          <w:marTop w:val="0"/>
          <w:marBottom w:val="0"/>
          <w:divBdr>
            <w:top w:val="none" w:sz="0" w:space="0" w:color="auto"/>
            <w:left w:val="none" w:sz="0" w:space="0" w:color="auto"/>
            <w:bottom w:val="none" w:sz="0" w:space="0" w:color="auto"/>
            <w:right w:val="none" w:sz="0" w:space="0" w:color="auto"/>
          </w:divBdr>
          <w:divsChild>
            <w:div w:id="1636715298">
              <w:marLeft w:val="0"/>
              <w:marRight w:val="0"/>
              <w:marTop w:val="0"/>
              <w:marBottom w:val="0"/>
              <w:divBdr>
                <w:top w:val="none" w:sz="0" w:space="0" w:color="auto"/>
                <w:left w:val="none" w:sz="0" w:space="0" w:color="auto"/>
                <w:bottom w:val="none" w:sz="0" w:space="0" w:color="auto"/>
                <w:right w:val="none" w:sz="0" w:space="0" w:color="auto"/>
              </w:divBdr>
              <w:divsChild>
                <w:div w:id="926770039">
                  <w:marLeft w:val="0"/>
                  <w:marRight w:val="0"/>
                  <w:marTop w:val="0"/>
                  <w:marBottom w:val="0"/>
                  <w:divBdr>
                    <w:top w:val="none" w:sz="0" w:space="0" w:color="auto"/>
                    <w:left w:val="none" w:sz="0" w:space="0" w:color="auto"/>
                    <w:bottom w:val="none" w:sz="0" w:space="0" w:color="auto"/>
                    <w:right w:val="none" w:sz="0" w:space="0" w:color="auto"/>
                  </w:divBdr>
                  <w:divsChild>
                    <w:div w:id="911503119">
                      <w:marLeft w:val="0"/>
                      <w:marRight w:val="0"/>
                      <w:marTop w:val="0"/>
                      <w:marBottom w:val="0"/>
                      <w:divBdr>
                        <w:top w:val="none" w:sz="0" w:space="0" w:color="auto"/>
                        <w:left w:val="none" w:sz="0" w:space="0" w:color="auto"/>
                        <w:bottom w:val="none" w:sz="0" w:space="0" w:color="auto"/>
                        <w:right w:val="none" w:sz="0" w:space="0" w:color="auto"/>
                      </w:divBdr>
                      <w:divsChild>
                        <w:div w:id="421684813">
                          <w:marLeft w:val="0"/>
                          <w:marRight w:val="0"/>
                          <w:marTop w:val="0"/>
                          <w:marBottom w:val="0"/>
                          <w:divBdr>
                            <w:top w:val="none" w:sz="0" w:space="0" w:color="auto"/>
                            <w:left w:val="none" w:sz="0" w:space="0" w:color="auto"/>
                            <w:bottom w:val="none" w:sz="0" w:space="0" w:color="auto"/>
                            <w:right w:val="none" w:sz="0" w:space="0" w:color="auto"/>
                          </w:divBdr>
                          <w:divsChild>
                            <w:div w:id="1978678617">
                              <w:marLeft w:val="0"/>
                              <w:marRight w:val="0"/>
                              <w:marTop w:val="0"/>
                              <w:marBottom w:val="0"/>
                              <w:divBdr>
                                <w:top w:val="none" w:sz="0" w:space="0" w:color="auto"/>
                                <w:left w:val="none" w:sz="0" w:space="0" w:color="auto"/>
                                <w:bottom w:val="none" w:sz="0" w:space="0" w:color="auto"/>
                                <w:right w:val="none" w:sz="0" w:space="0" w:color="auto"/>
                              </w:divBdr>
                              <w:divsChild>
                                <w:div w:id="1017119537">
                                  <w:marLeft w:val="0"/>
                                  <w:marRight w:val="0"/>
                                  <w:marTop w:val="0"/>
                                  <w:marBottom w:val="0"/>
                                  <w:divBdr>
                                    <w:top w:val="none" w:sz="0" w:space="0" w:color="auto"/>
                                    <w:left w:val="none" w:sz="0" w:space="0" w:color="auto"/>
                                    <w:bottom w:val="none" w:sz="0" w:space="0" w:color="auto"/>
                                    <w:right w:val="none" w:sz="0" w:space="0" w:color="auto"/>
                                  </w:divBdr>
                                  <w:divsChild>
                                    <w:div w:id="611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33136">
      <w:bodyDiv w:val="1"/>
      <w:marLeft w:val="0"/>
      <w:marRight w:val="0"/>
      <w:marTop w:val="0"/>
      <w:marBottom w:val="0"/>
      <w:divBdr>
        <w:top w:val="none" w:sz="0" w:space="0" w:color="auto"/>
        <w:left w:val="none" w:sz="0" w:space="0" w:color="auto"/>
        <w:bottom w:val="none" w:sz="0" w:space="0" w:color="auto"/>
        <w:right w:val="none" w:sz="0" w:space="0" w:color="auto"/>
      </w:divBdr>
    </w:div>
    <w:div w:id="1125612322">
      <w:bodyDiv w:val="1"/>
      <w:marLeft w:val="0"/>
      <w:marRight w:val="0"/>
      <w:marTop w:val="0"/>
      <w:marBottom w:val="0"/>
      <w:divBdr>
        <w:top w:val="none" w:sz="0" w:space="0" w:color="auto"/>
        <w:left w:val="none" w:sz="0" w:space="0" w:color="auto"/>
        <w:bottom w:val="none" w:sz="0" w:space="0" w:color="auto"/>
        <w:right w:val="none" w:sz="0" w:space="0" w:color="auto"/>
      </w:divBdr>
    </w:div>
    <w:div w:id="1150681488">
      <w:bodyDiv w:val="1"/>
      <w:marLeft w:val="0"/>
      <w:marRight w:val="0"/>
      <w:marTop w:val="0"/>
      <w:marBottom w:val="0"/>
      <w:divBdr>
        <w:top w:val="none" w:sz="0" w:space="0" w:color="auto"/>
        <w:left w:val="none" w:sz="0" w:space="0" w:color="auto"/>
        <w:bottom w:val="none" w:sz="0" w:space="0" w:color="auto"/>
        <w:right w:val="none" w:sz="0" w:space="0" w:color="auto"/>
      </w:divBdr>
    </w:div>
    <w:div w:id="1166166222">
      <w:bodyDiv w:val="1"/>
      <w:marLeft w:val="0"/>
      <w:marRight w:val="0"/>
      <w:marTop w:val="0"/>
      <w:marBottom w:val="0"/>
      <w:divBdr>
        <w:top w:val="none" w:sz="0" w:space="0" w:color="auto"/>
        <w:left w:val="none" w:sz="0" w:space="0" w:color="auto"/>
        <w:bottom w:val="none" w:sz="0" w:space="0" w:color="auto"/>
        <w:right w:val="none" w:sz="0" w:space="0" w:color="auto"/>
      </w:divBdr>
    </w:div>
    <w:div w:id="1244994222">
      <w:bodyDiv w:val="1"/>
      <w:marLeft w:val="0"/>
      <w:marRight w:val="0"/>
      <w:marTop w:val="0"/>
      <w:marBottom w:val="0"/>
      <w:divBdr>
        <w:top w:val="none" w:sz="0" w:space="0" w:color="auto"/>
        <w:left w:val="none" w:sz="0" w:space="0" w:color="auto"/>
        <w:bottom w:val="none" w:sz="0" w:space="0" w:color="auto"/>
        <w:right w:val="none" w:sz="0" w:space="0" w:color="auto"/>
      </w:divBdr>
      <w:divsChild>
        <w:div w:id="1129786618">
          <w:marLeft w:val="600"/>
          <w:marRight w:val="0"/>
          <w:marTop w:val="0"/>
          <w:marBottom w:val="0"/>
          <w:divBdr>
            <w:top w:val="none" w:sz="0" w:space="0" w:color="auto"/>
            <w:left w:val="none" w:sz="0" w:space="0" w:color="auto"/>
            <w:bottom w:val="none" w:sz="0" w:space="0" w:color="auto"/>
            <w:right w:val="none" w:sz="0" w:space="0" w:color="auto"/>
          </w:divBdr>
          <w:divsChild>
            <w:div w:id="294913833">
              <w:marLeft w:val="0"/>
              <w:marRight w:val="0"/>
              <w:marTop w:val="0"/>
              <w:marBottom w:val="0"/>
              <w:divBdr>
                <w:top w:val="none" w:sz="0" w:space="0" w:color="auto"/>
                <w:left w:val="none" w:sz="0" w:space="0" w:color="auto"/>
                <w:bottom w:val="none" w:sz="0" w:space="0" w:color="auto"/>
                <w:right w:val="none" w:sz="0" w:space="0" w:color="auto"/>
              </w:divBdr>
            </w:div>
          </w:divsChild>
        </w:div>
        <w:div w:id="1448964820">
          <w:marLeft w:val="0"/>
          <w:marRight w:val="0"/>
          <w:marTop w:val="0"/>
          <w:marBottom w:val="0"/>
          <w:divBdr>
            <w:top w:val="none" w:sz="0" w:space="0" w:color="auto"/>
            <w:left w:val="none" w:sz="0" w:space="0" w:color="auto"/>
            <w:bottom w:val="none" w:sz="0" w:space="0" w:color="auto"/>
            <w:right w:val="none" w:sz="0" w:space="0" w:color="auto"/>
          </w:divBdr>
          <w:divsChild>
            <w:div w:id="4140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9262">
      <w:bodyDiv w:val="1"/>
      <w:marLeft w:val="0"/>
      <w:marRight w:val="0"/>
      <w:marTop w:val="0"/>
      <w:marBottom w:val="0"/>
      <w:divBdr>
        <w:top w:val="none" w:sz="0" w:space="0" w:color="auto"/>
        <w:left w:val="none" w:sz="0" w:space="0" w:color="auto"/>
        <w:bottom w:val="none" w:sz="0" w:space="0" w:color="auto"/>
        <w:right w:val="none" w:sz="0" w:space="0" w:color="auto"/>
      </w:divBdr>
    </w:div>
    <w:div w:id="1257247197">
      <w:bodyDiv w:val="1"/>
      <w:marLeft w:val="0"/>
      <w:marRight w:val="0"/>
      <w:marTop w:val="0"/>
      <w:marBottom w:val="0"/>
      <w:divBdr>
        <w:top w:val="none" w:sz="0" w:space="0" w:color="auto"/>
        <w:left w:val="none" w:sz="0" w:space="0" w:color="auto"/>
        <w:bottom w:val="none" w:sz="0" w:space="0" w:color="auto"/>
        <w:right w:val="none" w:sz="0" w:space="0" w:color="auto"/>
      </w:divBdr>
    </w:div>
    <w:div w:id="1291322858">
      <w:bodyDiv w:val="1"/>
      <w:marLeft w:val="0"/>
      <w:marRight w:val="0"/>
      <w:marTop w:val="0"/>
      <w:marBottom w:val="0"/>
      <w:divBdr>
        <w:top w:val="none" w:sz="0" w:space="0" w:color="auto"/>
        <w:left w:val="none" w:sz="0" w:space="0" w:color="auto"/>
        <w:bottom w:val="none" w:sz="0" w:space="0" w:color="auto"/>
        <w:right w:val="none" w:sz="0" w:space="0" w:color="auto"/>
      </w:divBdr>
    </w:div>
    <w:div w:id="1301039286">
      <w:bodyDiv w:val="1"/>
      <w:marLeft w:val="0"/>
      <w:marRight w:val="0"/>
      <w:marTop w:val="0"/>
      <w:marBottom w:val="0"/>
      <w:divBdr>
        <w:top w:val="none" w:sz="0" w:space="0" w:color="auto"/>
        <w:left w:val="none" w:sz="0" w:space="0" w:color="auto"/>
        <w:bottom w:val="none" w:sz="0" w:space="0" w:color="auto"/>
        <w:right w:val="none" w:sz="0" w:space="0" w:color="auto"/>
      </w:divBdr>
      <w:divsChild>
        <w:div w:id="1064648317">
          <w:marLeft w:val="0"/>
          <w:marRight w:val="0"/>
          <w:marTop w:val="0"/>
          <w:marBottom w:val="0"/>
          <w:divBdr>
            <w:top w:val="none" w:sz="0" w:space="0" w:color="auto"/>
            <w:left w:val="none" w:sz="0" w:space="0" w:color="auto"/>
            <w:bottom w:val="none" w:sz="0" w:space="0" w:color="auto"/>
            <w:right w:val="none" w:sz="0" w:space="0" w:color="auto"/>
          </w:divBdr>
          <w:divsChild>
            <w:div w:id="1638679111">
              <w:marLeft w:val="0"/>
              <w:marRight w:val="0"/>
              <w:marTop w:val="0"/>
              <w:marBottom w:val="0"/>
              <w:divBdr>
                <w:top w:val="none" w:sz="0" w:space="0" w:color="auto"/>
                <w:left w:val="none" w:sz="0" w:space="0" w:color="auto"/>
                <w:bottom w:val="none" w:sz="0" w:space="0" w:color="auto"/>
                <w:right w:val="none" w:sz="0" w:space="0" w:color="auto"/>
              </w:divBdr>
              <w:divsChild>
                <w:div w:id="670916997">
                  <w:marLeft w:val="0"/>
                  <w:marRight w:val="0"/>
                  <w:marTop w:val="0"/>
                  <w:marBottom w:val="0"/>
                  <w:divBdr>
                    <w:top w:val="none" w:sz="0" w:space="0" w:color="auto"/>
                    <w:left w:val="none" w:sz="0" w:space="0" w:color="auto"/>
                    <w:bottom w:val="none" w:sz="0" w:space="0" w:color="auto"/>
                    <w:right w:val="none" w:sz="0" w:space="0" w:color="auto"/>
                  </w:divBdr>
                  <w:divsChild>
                    <w:div w:id="1556891530">
                      <w:marLeft w:val="0"/>
                      <w:marRight w:val="0"/>
                      <w:marTop w:val="0"/>
                      <w:marBottom w:val="0"/>
                      <w:divBdr>
                        <w:top w:val="none" w:sz="0" w:space="0" w:color="auto"/>
                        <w:left w:val="none" w:sz="0" w:space="0" w:color="auto"/>
                        <w:bottom w:val="none" w:sz="0" w:space="0" w:color="auto"/>
                        <w:right w:val="none" w:sz="0" w:space="0" w:color="auto"/>
                      </w:divBdr>
                      <w:divsChild>
                        <w:div w:id="21438248">
                          <w:marLeft w:val="0"/>
                          <w:marRight w:val="0"/>
                          <w:marTop w:val="0"/>
                          <w:marBottom w:val="0"/>
                          <w:divBdr>
                            <w:top w:val="none" w:sz="0" w:space="0" w:color="auto"/>
                            <w:left w:val="none" w:sz="0" w:space="0" w:color="auto"/>
                            <w:bottom w:val="none" w:sz="0" w:space="0" w:color="auto"/>
                            <w:right w:val="none" w:sz="0" w:space="0" w:color="auto"/>
                          </w:divBdr>
                          <w:divsChild>
                            <w:div w:id="464470935">
                              <w:marLeft w:val="0"/>
                              <w:marRight w:val="0"/>
                              <w:marTop w:val="0"/>
                              <w:marBottom w:val="0"/>
                              <w:divBdr>
                                <w:top w:val="none" w:sz="0" w:space="0" w:color="auto"/>
                                <w:left w:val="none" w:sz="0" w:space="0" w:color="auto"/>
                                <w:bottom w:val="none" w:sz="0" w:space="0" w:color="auto"/>
                                <w:right w:val="none" w:sz="0" w:space="0" w:color="auto"/>
                              </w:divBdr>
                              <w:divsChild>
                                <w:div w:id="913205463">
                                  <w:marLeft w:val="0"/>
                                  <w:marRight w:val="0"/>
                                  <w:marTop w:val="0"/>
                                  <w:marBottom w:val="0"/>
                                  <w:divBdr>
                                    <w:top w:val="none" w:sz="0" w:space="0" w:color="auto"/>
                                    <w:left w:val="none" w:sz="0" w:space="0" w:color="auto"/>
                                    <w:bottom w:val="none" w:sz="0" w:space="0" w:color="auto"/>
                                    <w:right w:val="none" w:sz="0" w:space="0" w:color="auto"/>
                                  </w:divBdr>
                                  <w:divsChild>
                                    <w:div w:id="2891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379078">
      <w:bodyDiv w:val="1"/>
      <w:marLeft w:val="0"/>
      <w:marRight w:val="0"/>
      <w:marTop w:val="0"/>
      <w:marBottom w:val="0"/>
      <w:divBdr>
        <w:top w:val="none" w:sz="0" w:space="0" w:color="auto"/>
        <w:left w:val="none" w:sz="0" w:space="0" w:color="auto"/>
        <w:bottom w:val="none" w:sz="0" w:space="0" w:color="auto"/>
        <w:right w:val="none" w:sz="0" w:space="0" w:color="auto"/>
      </w:divBdr>
    </w:div>
    <w:div w:id="1352144785">
      <w:bodyDiv w:val="1"/>
      <w:marLeft w:val="0"/>
      <w:marRight w:val="0"/>
      <w:marTop w:val="0"/>
      <w:marBottom w:val="0"/>
      <w:divBdr>
        <w:top w:val="none" w:sz="0" w:space="0" w:color="auto"/>
        <w:left w:val="none" w:sz="0" w:space="0" w:color="auto"/>
        <w:bottom w:val="none" w:sz="0" w:space="0" w:color="auto"/>
        <w:right w:val="none" w:sz="0" w:space="0" w:color="auto"/>
      </w:divBdr>
      <w:divsChild>
        <w:div w:id="1813059558">
          <w:marLeft w:val="0"/>
          <w:marRight w:val="0"/>
          <w:marTop w:val="0"/>
          <w:marBottom w:val="0"/>
          <w:divBdr>
            <w:top w:val="none" w:sz="0" w:space="0" w:color="auto"/>
            <w:left w:val="none" w:sz="0" w:space="0" w:color="auto"/>
            <w:bottom w:val="none" w:sz="0" w:space="0" w:color="auto"/>
            <w:right w:val="none" w:sz="0" w:space="0" w:color="auto"/>
          </w:divBdr>
          <w:divsChild>
            <w:div w:id="1109541672">
              <w:marLeft w:val="0"/>
              <w:marRight w:val="0"/>
              <w:marTop w:val="0"/>
              <w:marBottom w:val="0"/>
              <w:divBdr>
                <w:top w:val="none" w:sz="0" w:space="0" w:color="auto"/>
                <w:left w:val="none" w:sz="0" w:space="0" w:color="auto"/>
                <w:bottom w:val="none" w:sz="0" w:space="0" w:color="auto"/>
                <w:right w:val="none" w:sz="0" w:space="0" w:color="auto"/>
              </w:divBdr>
              <w:divsChild>
                <w:div w:id="1890264171">
                  <w:marLeft w:val="0"/>
                  <w:marRight w:val="0"/>
                  <w:marTop w:val="0"/>
                  <w:marBottom w:val="0"/>
                  <w:divBdr>
                    <w:top w:val="none" w:sz="0" w:space="0" w:color="auto"/>
                    <w:left w:val="none" w:sz="0" w:space="0" w:color="auto"/>
                    <w:bottom w:val="none" w:sz="0" w:space="0" w:color="auto"/>
                    <w:right w:val="none" w:sz="0" w:space="0" w:color="auto"/>
                  </w:divBdr>
                  <w:divsChild>
                    <w:div w:id="1353648301">
                      <w:marLeft w:val="0"/>
                      <w:marRight w:val="0"/>
                      <w:marTop w:val="0"/>
                      <w:marBottom w:val="0"/>
                      <w:divBdr>
                        <w:top w:val="none" w:sz="0" w:space="0" w:color="auto"/>
                        <w:left w:val="none" w:sz="0" w:space="0" w:color="auto"/>
                        <w:bottom w:val="none" w:sz="0" w:space="0" w:color="auto"/>
                        <w:right w:val="none" w:sz="0" w:space="0" w:color="auto"/>
                      </w:divBdr>
                      <w:divsChild>
                        <w:div w:id="74672748">
                          <w:marLeft w:val="0"/>
                          <w:marRight w:val="0"/>
                          <w:marTop w:val="0"/>
                          <w:marBottom w:val="0"/>
                          <w:divBdr>
                            <w:top w:val="none" w:sz="0" w:space="0" w:color="auto"/>
                            <w:left w:val="none" w:sz="0" w:space="0" w:color="auto"/>
                            <w:bottom w:val="none" w:sz="0" w:space="0" w:color="auto"/>
                            <w:right w:val="none" w:sz="0" w:space="0" w:color="auto"/>
                          </w:divBdr>
                          <w:divsChild>
                            <w:div w:id="829252752">
                              <w:marLeft w:val="0"/>
                              <w:marRight w:val="0"/>
                              <w:marTop w:val="0"/>
                              <w:marBottom w:val="0"/>
                              <w:divBdr>
                                <w:top w:val="none" w:sz="0" w:space="0" w:color="auto"/>
                                <w:left w:val="none" w:sz="0" w:space="0" w:color="auto"/>
                                <w:bottom w:val="none" w:sz="0" w:space="0" w:color="auto"/>
                                <w:right w:val="none" w:sz="0" w:space="0" w:color="auto"/>
                              </w:divBdr>
                              <w:divsChild>
                                <w:div w:id="1425614842">
                                  <w:marLeft w:val="0"/>
                                  <w:marRight w:val="0"/>
                                  <w:marTop w:val="0"/>
                                  <w:marBottom w:val="0"/>
                                  <w:divBdr>
                                    <w:top w:val="none" w:sz="0" w:space="0" w:color="auto"/>
                                    <w:left w:val="none" w:sz="0" w:space="0" w:color="auto"/>
                                    <w:bottom w:val="none" w:sz="0" w:space="0" w:color="auto"/>
                                    <w:right w:val="none" w:sz="0" w:space="0" w:color="auto"/>
                                  </w:divBdr>
                                  <w:divsChild>
                                    <w:div w:id="6136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616562">
      <w:bodyDiv w:val="1"/>
      <w:marLeft w:val="0"/>
      <w:marRight w:val="0"/>
      <w:marTop w:val="0"/>
      <w:marBottom w:val="0"/>
      <w:divBdr>
        <w:top w:val="none" w:sz="0" w:space="0" w:color="auto"/>
        <w:left w:val="none" w:sz="0" w:space="0" w:color="auto"/>
        <w:bottom w:val="none" w:sz="0" w:space="0" w:color="auto"/>
        <w:right w:val="none" w:sz="0" w:space="0" w:color="auto"/>
      </w:divBdr>
    </w:div>
    <w:div w:id="1402093218">
      <w:bodyDiv w:val="1"/>
      <w:marLeft w:val="0"/>
      <w:marRight w:val="0"/>
      <w:marTop w:val="0"/>
      <w:marBottom w:val="0"/>
      <w:divBdr>
        <w:top w:val="none" w:sz="0" w:space="0" w:color="auto"/>
        <w:left w:val="none" w:sz="0" w:space="0" w:color="auto"/>
        <w:bottom w:val="none" w:sz="0" w:space="0" w:color="auto"/>
        <w:right w:val="none" w:sz="0" w:space="0" w:color="auto"/>
      </w:divBdr>
    </w:div>
    <w:div w:id="1423531645">
      <w:bodyDiv w:val="1"/>
      <w:marLeft w:val="0"/>
      <w:marRight w:val="0"/>
      <w:marTop w:val="0"/>
      <w:marBottom w:val="0"/>
      <w:divBdr>
        <w:top w:val="none" w:sz="0" w:space="0" w:color="auto"/>
        <w:left w:val="none" w:sz="0" w:space="0" w:color="auto"/>
        <w:bottom w:val="none" w:sz="0" w:space="0" w:color="auto"/>
        <w:right w:val="none" w:sz="0" w:space="0" w:color="auto"/>
      </w:divBdr>
    </w:div>
    <w:div w:id="1438217535">
      <w:bodyDiv w:val="1"/>
      <w:marLeft w:val="0"/>
      <w:marRight w:val="0"/>
      <w:marTop w:val="0"/>
      <w:marBottom w:val="0"/>
      <w:divBdr>
        <w:top w:val="none" w:sz="0" w:space="0" w:color="auto"/>
        <w:left w:val="none" w:sz="0" w:space="0" w:color="auto"/>
        <w:bottom w:val="none" w:sz="0" w:space="0" w:color="auto"/>
        <w:right w:val="none" w:sz="0" w:space="0" w:color="auto"/>
      </w:divBdr>
    </w:div>
    <w:div w:id="1465663424">
      <w:bodyDiv w:val="1"/>
      <w:marLeft w:val="0"/>
      <w:marRight w:val="0"/>
      <w:marTop w:val="0"/>
      <w:marBottom w:val="0"/>
      <w:divBdr>
        <w:top w:val="none" w:sz="0" w:space="0" w:color="auto"/>
        <w:left w:val="none" w:sz="0" w:space="0" w:color="auto"/>
        <w:bottom w:val="none" w:sz="0" w:space="0" w:color="auto"/>
        <w:right w:val="none" w:sz="0" w:space="0" w:color="auto"/>
      </w:divBdr>
    </w:div>
    <w:div w:id="1466240162">
      <w:bodyDiv w:val="1"/>
      <w:marLeft w:val="0"/>
      <w:marRight w:val="0"/>
      <w:marTop w:val="0"/>
      <w:marBottom w:val="0"/>
      <w:divBdr>
        <w:top w:val="none" w:sz="0" w:space="0" w:color="auto"/>
        <w:left w:val="none" w:sz="0" w:space="0" w:color="auto"/>
        <w:bottom w:val="none" w:sz="0" w:space="0" w:color="auto"/>
        <w:right w:val="none" w:sz="0" w:space="0" w:color="auto"/>
      </w:divBdr>
    </w:div>
    <w:div w:id="1479877694">
      <w:bodyDiv w:val="1"/>
      <w:marLeft w:val="0"/>
      <w:marRight w:val="0"/>
      <w:marTop w:val="0"/>
      <w:marBottom w:val="0"/>
      <w:divBdr>
        <w:top w:val="none" w:sz="0" w:space="0" w:color="auto"/>
        <w:left w:val="none" w:sz="0" w:space="0" w:color="auto"/>
        <w:bottom w:val="none" w:sz="0" w:space="0" w:color="auto"/>
        <w:right w:val="none" w:sz="0" w:space="0" w:color="auto"/>
      </w:divBdr>
    </w:div>
    <w:div w:id="1542286295">
      <w:bodyDiv w:val="1"/>
      <w:marLeft w:val="0"/>
      <w:marRight w:val="0"/>
      <w:marTop w:val="0"/>
      <w:marBottom w:val="0"/>
      <w:divBdr>
        <w:top w:val="none" w:sz="0" w:space="0" w:color="auto"/>
        <w:left w:val="none" w:sz="0" w:space="0" w:color="auto"/>
        <w:bottom w:val="none" w:sz="0" w:space="0" w:color="auto"/>
        <w:right w:val="none" w:sz="0" w:space="0" w:color="auto"/>
      </w:divBdr>
    </w:div>
    <w:div w:id="1595671986">
      <w:bodyDiv w:val="1"/>
      <w:marLeft w:val="0"/>
      <w:marRight w:val="0"/>
      <w:marTop w:val="0"/>
      <w:marBottom w:val="0"/>
      <w:divBdr>
        <w:top w:val="none" w:sz="0" w:space="0" w:color="auto"/>
        <w:left w:val="none" w:sz="0" w:space="0" w:color="auto"/>
        <w:bottom w:val="none" w:sz="0" w:space="0" w:color="auto"/>
        <w:right w:val="none" w:sz="0" w:space="0" w:color="auto"/>
      </w:divBdr>
    </w:div>
    <w:div w:id="1605188490">
      <w:bodyDiv w:val="1"/>
      <w:marLeft w:val="0"/>
      <w:marRight w:val="0"/>
      <w:marTop w:val="0"/>
      <w:marBottom w:val="0"/>
      <w:divBdr>
        <w:top w:val="none" w:sz="0" w:space="0" w:color="auto"/>
        <w:left w:val="none" w:sz="0" w:space="0" w:color="auto"/>
        <w:bottom w:val="none" w:sz="0" w:space="0" w:color="auto"/>
        <w:right w:val="none" w:sz="0" w:space="0" w:color="auto"/>
      </w:divBdr>
      <w:divsChild>
        <w:div w:id="1958028272">
          <w:marLeft w:val="600"/>
          <w:marRight w:val="0"/>
          <w:marTop w:val="0"/>
          <w:marBottom w:val="0"/>
          <w:divBdr>
            <w:top w:val="none" w:sz="0" w:space="0" w:color="auto"/>
            <w:left w:val="none" w:sz="0" w:space="0" w:color="auto"/>
            <w:bottom w:val="none" w:sz="0" w:space="0" w:color="auto"/>
            <w:right w:val="none" w:sz="0" w:space="0" w:color="auto"/>
          </w:divBdr>
          <w:divsChild>
            <w:div w:id="273363190">
              <w:marLeft w:val="0"/>
              <w:marRight w:val="0"/>
              <w:marTop w:val="0"/>
              <w:marBottom w:val="0"/>
              <w:divBdr>
                <w:top w:val="none" w:sz="0" w:space="0" w:color="auto"/>
                <w:left w:val="none" w:sz="0" w:space="0" w:color="auto"/>
                <w:bottom w:val="none" w:sz="0" w:space="0" w:color="auto"/>
                <w:right w:val="none" w:sz="0" w:space="0" w:color="auto"/>
              </w:divBdr>
            </w:div>
          </w:divsChild>
        </w:div>
        <w:div w:id="1434789413">
          <w:marLeft w:val="0"/>
          <w:marRight w:val="0"/>
          <w:marTop w:val="0"/>
          <w:marBottom w:val="0"/>
          <w:divBdr>
            <w:top w:val="none" w:sz="0" w:space="0" w:color="auto"/>
            <w:left w:val="none" w:sz="0" w:space="0" w:color="auto"/>
            <w:bottom w:val="none" w:sz="0" w:space="0" w:color="auto"/>
            <w:right w:val="none" w:sz="0" w:space="0" w:color="auto"/>
          </w:divBdr>
          <w:divsChild>
            <w:div w:id="1322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18615">
      <w:bodyDiv w:val="1"/>
      <w:marLeft w:val="0"/>
      <w:marRight w:val="0"/>
      <w:marTop w:val="0"/>
      <w:marBottom w:val="0"/>
      <w:divBdr>
        <w:top w:val="none" w:sz="0" w:space="0" w:color="auto"/>
        <w:left w:val="none" w:sz="0" w:space="0" w:color="auto"/>
        <w:bottom w:val="none" w:sz="0" w:space="0" w:color="auto"/>
        <w:right w:val="none" w:sz="0" w:space="0" w:color="auto"/>
      </w:divBdr>
    </w:div>
    <w:div w:id="1618951679">
      <w:bodyDiv w:val="1"/>
      <w:marLeft w:val="0"/>
      <w:marRight w:val="0"/>
      <w:marTop w:val="0"/>
      <w:marBottom w:val="0"/>
      <w:divBdr>
        <w:top w:val="none" w:sz="0" w:space="0" w:color="auto"/>
        <w:left w:val="none" w:sz="0" w:space="0" w:color="auto"/>
        <w:bottom w:val="none" w:sz="0" w:space="0" w:color="auto"/>
        <w:right w:val="none" w:sz="0" w:space="0" w:color="auto"/>
      </w:divBdr>
    </w:div>
    <w:div w:id="1627656525">
      <w:bodyDiv w:val="1"/>
      <w:marLeft w:val="0"/>
      <w:marRight w:val="0"/>
      <w:marTop w:val="0"/>
      <w:marBottom w:val="0"/>
      <w:divBdr>
        <w:top w:val="none" w:sz="0" w:space="0" w:color="auto"/>
        <w:left w:val="none" w:sz="0" w:space="0" w:color="auto"/>
        <w:bottom w:val="none" w:sz="0" w:space="0" w:color="auto"/>
        <w:right w:val="none" w:sz="0" w:space="0" w:color="auto"/>
      </w:divBdr>
    </w:div>
    <w:div w:id="1644850107">
      <w:bodyDiv w:val="1"/>
      <w:marLeft w:val="0"/>
      <w:marRight w:val="0"/>
      <w:marTop w:val="0"/>
      <w:marBottom w:val="0"/>
      <w:divBdr>
        <w:top w:val="none" w:sz="0" w:space="0" w:color="auto"/>
        <w:left w:val="none" w:sz="0" w:space="0" w:color="auto"/>
        <w:bottom w:val="none" w:sz="0" w:space="0" w:color="auto"/>
        <w:right w:val="none" w:sz="0" w:space="0" w:color="auto"/>
      </w:divBdr>
    </w:div>
    <w:div w:id="1688676423">
      <w:bodyDiv w:val="1"/>
      <w:marLeft w:val="0"/>
      <w:marRight w:val="0"/>
      <w:marTop w:val="0"/>
      <w:marBottom w:val="0"/>
      <w:divBdr>
        <w:top w:val="none" w:sz="0" w:space="0" w:color="auto"/>
        <w:left w:val="none" w:sz="0" w:space="0" w:color="auto"/>
        <w:bottom w:val="none" w:sz="0" w:space="0" w:color="auto"/>
        <w:right w:val="none" w:sz="0" w:space="0" w:color="auto"/>
      </w:divBdr>
    </w:div>
    <w:div w:id="1692142720">
      <w:bodyDiv w:val="1"/>
      <w:marLeft w:val="0"/>
      <w:marRight w:val="0"/>
      <w:marTop w:val="0"/>
      <w:marBottom w:val="0"/>
      <w:divBdr>
        <w:top w:val="none" w:sz="0" w:space="0" w:color="auto"/>
        <w:left w:val="none" w:sz="0" w:space="0" w:color="auto"/>
        <w:bottom w:val="none" w:sz="0" w:space="0" w:color="auto"/>
        <w:right w:val="none" w:sz="0" w:space="0" w:color="auto"/>
      </w:divBdr>
    </w:div>
    <w:div w:id="1716856245">
      <w:bodyDiv w:val="1"/>
      <w:marLeft w:val="0"/>
      <w:marRight w:val="0"/>
      <w:marTop w:val="0"/>
      <w:marBottom w:val="0"/>
      <w:divBdr>
        <w:top w:val="none" w:sz="0" w:space="0" w:color="auto"/>
        <w:left w:val="none" w:sz="0" w:space="0" w:color="auto"/>
        <w:bottom w:val="none" w:sz="0" w:space="0" w:color="auto"/>
        <w:right w:val="none" w:sz="0" w:space="0" w:color="auto"/>
      </w:divBdr>
    </w:div>
    <w:div w:id="1717006209">
      <w:bodyDiv w:val="1"/>
      <w:marLeft w:val="0"/>
      <w:marRight w:val="0"/>
      <w:marTop w:val="0"/>
      <w:marBottom w:val="0"/>
      <w:divBdr>
        <w:top w:val="none" w:sz="0" w:space="0" w:color="auto"/>
        <w:left w:val="none" w:sz="0" w:space="0" w:color="auto"/>
        <w:bottom w:val="none" w:sz="0" w:space="0" w:color="auto"/>
        <w:right w:val="none" w:sz="0" w:space="0" w:color="auto"/>
      </w:divBdr>
    </w:div>
    <w:div w:id="1717117157">
      <w:bodyDiv w:val="1"/>
      <w:marLeft w:val="0"/>
      <w:marRight w:val="0"/>
      <w:marTop w:val="0"/>
      <w:marBottom w:val="0"/>
      <w:divBdr>
        <w:top w:val="none" w:sz="0" w:space="0" w:color="auto"/>
        <w:left w:val="none" w:sz="0" w:space="0" w:color="auto"/>
        <w:bottom w:val="none" w:sz="0" w:space="0" w:color="auto"/>
        <w:right w:val="none" w:sz="0" w:space="0" w:color="auto"/>
      </w:divBdr>
    </w:div>
    <w:div w:id="1720010042">
      <w:bodyDiv w:val="1"/>
      <w:marLeft w:val="0"/>
      <w:marRight w:val="0"/>
      <w:marTop w:val="0"/>
      <w:marBottom w:val="0"/>
      <w:divBdr>
        <w:top w:val="none" w:sz="0" w:space="0" w:color="auto"/>
        <w:left w:val="none" w:sz="0" w:space="0" w:color="auto"/>
        <w:bottom w:val="none" w:sz="0" w:space="0" w:color="auto"/>
        <w:right w:val="none" w:sz="0" w:space="0" w:color="auto"/>
      </w:divBdr>
    </w:div>
    <w:div w:id="1740863507">
      <w:bodyDiv w:val="1"/>
      <w:marLeft w:val="0"/>
      <w:marRight w:val="0"/>
      <w:marTop w:val="0"/>
      <w:marBottom w:val="0"/>
      <w:divBdr>
        <w:top w:val="none" w:sz="0" w:space="0" w:color="auto"/>
        <w:left w:val="none" w:sz="0" w:space="0" w:color="auto"/>
        <w:bottom w:val="none" w:sz="0" w:space="0" w:color="auto"/>
        <w:right w:val="none" w:sz="0" w:space="0" w:color="auto"/>
      </w:divBdr>
    </w:div>
    <w:div w:id="1747651510">
      <w:bodyDiv w:val="1"/>
      <w:marLeft w:val="0"/>
      <w:marRight w:val="0"/>
      <w:marTop w:val="0"/>
      <w:marBottom w:val="0"/>
      <w:divBdr>
        <w:top w:val="none" w:sz="0" w:space="0" w:color="auto"/>
        <w:left w:val="none" w:sz="0" w:space="0" w:color="auto"/>
        <w:bottom w:val="none" w:sz="0" w:space="0" w:color="auto"/>
        <w:right w:val="none" w:sz="0" w:space="0" w:color="auto"/>
      </w:divBdr>
    </w:div>
    <w:div w:id="1749183909">
      <w:bodyDiv w:val="1"/>
      <w:marLeft w:val="0"/>
      <w:marRight w:val="0"/>
      <w:marTop w:val="0"/>
      <w:marBottom w:val="0"/>
      <w:divBdr>
        <w:top w:val="none" w:sz="0" w:space="0" w:color="auto"/>
        <w:left w:val="none" w:sz="0" w:space="0" w:color="auto"/>
        <w:bottom w:val="none" w:sz="0" w:space="0" w:color="auto"/>
        <w:right w:val="none" w:sz="0" w:space="0" w:color="auto"/>
      </w:divBdr>
    </w:div>
    <w:div w:id="1763603668">
      <w:bodyDiv w:val="1"/>
      <w:marLeft w:val="0"/>
      <w:marRight w:val="0"/>
      <w:marTop w:val="0"/>
      <w:marBottom w:val="0"/>
      <w:divBdr>
        <w:top w:val="none" w:sz="0" w:space="0" w:color="auto"/>
        <w:left w:val="none" w:sz="0" w:space="0" w:color="auto"/>
        <w:bottom w:val="none" w:sz="0" w:space="0" w:color="auto"/>
        <w:right w:val="none" w:sz="0" w:space="0" w:color="auto"/>
      </w:divBdr>
      <w:divsChild>
        <w:div w:id="1756512747">
          <w:marLeft w:val="0"/>
          <w:marRight w:val="0"/>
          <w:marTop w:val="0"/>
          <w:marBottom w:val="0"/>
          <w:divBdr>
            <w:top w:val="none" w:sz="0" w:space="0" w:color="auto"/>
            <w:left w:val="none" w:sz="0" w:space="0" w:color="auto"/>
            <w:bottom w:val="none" w:sz="0" w:space="0" w:color="auto"/>
            <w:right w:val="none" w:sz="0" w:space="0" w:color="auto"/>
          </w:divBdr>
          <w:divsChild>
            <w:div w:id="491802686">
              <w:marLeft w:val="0"/>
              <w:marRight w:val="0"/>
              <w:marTop w:val="0"/>
              <w:marBottom w:val="0"/>
              <w:divBdr>
                <w:top w:val="none" w:sz="0" w:space="0" w:color="auto"/>
                <w:left w:val="none" w:sz="0" w:space="0" w:color="auto"/>
                <w:bottom w:val="none" w:sz="0" w:space="0" w:color="auto"/>
                <w:right w:val="none" w:sz="0" w:space="0" w:color="auto"/>
              </w:divBdr>
              <w:divsChild>
                <w:div w:id="1241065435">
                  <w:marLeft w:val="0"/>
                  <w:marRight w:val="0"/>
                  <w:marTop w:val="0"/>
                  <w:marBottom w:val="0"/>
                  <w:divBdr>
                    <w:top w:val="none" w:sz="0" w:space="0" w:color="auto"/>
                    <w:left w:val="none" w:sz="0" w:space="0" w:color="auto"/>
                    <w:bottom w:val="none" w:sz="0" w:space="0" w:color="auto"/>
                    <w:right w:val="none" w:sz="0" w:space="0" w:color="auto"/>
                  </w:divBdr>
                  <w:divsChild>
                    <w:div w:id="72515284">
                      <w:marLeft w:val="0"/>
                      <w:marRight w:val="0"/>
                      <w:marTop w:val="0"/>
                      <w:marBottom w:val="0"/>
                      <w:divBdr>
                        <w:top w:val="none" w:sz="0" w:space="0" w:color="auto"/>
                        <w:left w:val="none" w:sz="0" w:space="0" w:color="auto"/>
                        <w:bottom w:val="none" w:sz="0" w:space="0" w:color="auto"/>
                        <w:right w:val="none" w:sz="0" w:space="0" w:color="auto"/>
                      </w:divBdr>
                      <w:divsChild>
                        <w:div w:id="1569879855">
                          <w:marLeft w:val="0"/>
                          <w:marRight w:val="0"/>
                          <w:marTop w:val="0"/>
                          <w:marBottom w:val="0"/>
                          <w:divBdr>
                            <w:top w:val="none" w:sz="0" w:space="0" w:color="auto"/>
                            <w:left w:val="none" w:sz="0" w:space="0" w:color="auto"/>
                            <w:bottom w:val="none" w:sz="0" w:space="0" w:color="auto"/>
                            <w:right w:val="none" w:sz="0" w:space="0" w:color="auto"/>
                          </w:divBdr>
                          <w:divsChild>
                            <w:div w:id="1801341976">
                              <w:marLeft w:val="0"/>
                              <w:marRight w:val="0"/>
                              <w:marTop w:val="0"/>
                              <w:marBottom w:val="0"/>
                              <w:divBdr>
                                <w:top w:val="none" w:sz="0" w:space="0" w:color="auto"/>
                                <w:left w:val="none" w:sz="0" w:space="0" w:color="auto"/>
                                <w:bottom w:val="none" w:sz="0" w:space="0" w:color="auto"/>
                                <w:right w:val="none" w:sz="0" w:space="0" w:color="auto"/>
                              </w:divBdr>
                              <w:divsChild>
                                <w:div w:id="1215774020">
                                  <w:marLeft w:val="0"/>
                                  <w:marRight w:val="0"/>
                                  <w:marTop w:val="0"/>
                                  <w:marBottom w:val="0"/>
                                  <w:divBdr>
                                    <w:top w:val="none" w:sz="0" w:space="0" w:color="auto"/>
                                    <w:left w:val="none" w:sz="0" w:space="0" w:color="auto"/>
                                    <w:bottom w:val="none" w:sz="0" w:space="0" w:color="auto"/>
                                    <w:right w:val="none" w:sz="0" w:space="0" w:color="auto"/>
                                  </w:divBdr>
                                  <w:divsChild>
                                    <w:div w:id="15167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913237">
      <w:bodyDiv w:val="1"/>
      <w:marLeft w:val="0"/>
      <w:marRight w:val="0"/>
      <w:marTop w:val="0"/>
      <w:marBottom w:val="0"/>
      <w:divBdr>
        <w:top w:val="none" w:sz="0" w:space="0" w:color="auto"/>
        <w:left w:val="none" w:sz="0" w:space="0" w:color="auto"/>
        <w:bottom w:val="none" w:sz="0" w:space="0" w:color="auto"/>
        <w:right w:val="none" w:sz="0" w:space="0" w:color="auto"/>
      </w:divBdr>
    </w:div>
    <w:div w:id="1784108315">
      <w:bodyDiv w:val="1"/>
      <w:marLeft w:val="0"/>
      <w:marRight w:val="0"/>
      <w:marTop w:val="0"/>
      <w:marBottom w:val="0"/>
      <w:divBdr>
        <w:top w:val="none" w:sz="0" w:space="0" w:color="auto"/>
        <w:left w:val="none" w:sz="0" w:space="0" w:color="auto"/>
        <w:bottom w:val="none" w:sz="0" w:space="0" w:color="auto"/>
        <w:right w:val="none" w:sz="0" w:space="0" w:color="auto"/>
      </w:divBdr>
    </w:div>
    <w:div w:id="1824929618">
      <w:bodyDiv w:val="1"/>
      <w:marLeft w:val="0"/>
      <w:marRight w:val="0"/>
      <w:marTop w:val="0"/>
      <w:marBottom w:val="0"/>
      <w:divBdr>
        <w:top w:val="none" w:sz="0" w:space="0" w:color="auto"/>
        <w:left w:val="none" w:sz="0" w:space="0" w:color="auto"/>
        <w:bottom w:val="none" w:sz="0" w:space="0" w:color="auto"/>
        <w:right w:val="none" w:sz="0" w:space="0" w:color="auto"/>
      </w:divBdr>
    </w:div>
    <w:div w:id="1833138994">
      <w:bodyDiv w:val="1"/>
      <w:marLeft w:val="0"/>
      <w:marRight w:val="0"/>
      <w:marTop w:val="0"/>
      <w:marBottom w:val="0"/>
      <w:divBdr>
        <w:top w:val="none" w:sz="0" w:space="0" w:color="auto"/>
        <w:left w:val="none" w:sz="0" w:space="0" w:color="auto"/>
        <w:bottom w:val="none" w:sz="0" w:space="0" w:color="auto"/>
        <w:right w:val="none" w:sz="0" w:space="0" w:color="auto"/>
      </w:divBdr>
    </w:div>
    <w:div w:id="1834099696">
      <w:bodyDiv w:val="1"/>
      <w:marLeft w:val="0"/>
      <w:marRight w:val="0"/>
      <w:marTop w:val="0"/>
      <w:marBottom w:val="0"/>
      <w:divBdr>
        <w:top w:val="none" w:sz="0" w:space="0" w:color="auto"/>
        <w:left w:val="none" w:sz="0" w:space="0" w:color="auto"/>
        <w:bottom w:val="none" w:sz="0" w:space="0" w:color="auto"/>
        <w:right w:val="none" w:sz="0" w:space="0" w:color="auto"/>
      </w:divBdr>
    </w:div>
    <w:div w:id="1837718866">
      <w:bodyDiv w:val="1"/>
      <w:marLeft w:val="0"/>
      <w:marRight w:val="0"/>
      <w:marTop w:val="0"/>
      <w:marBottom w:val="0"/>
      <w:divBdr>
        <w:top w:val="none" w:sz="0" w:space="0" w:color="auto"/>
        <w:left w:val="none" w:sz="0" w:space="0" w:color="auto"/>
        <w:bottom w:val="none" w:sz="0" w:space="0" w:color="auto"/>
        <w:right w:val="none" w:sz="0" w:space="0" w:color="auto"/>
      </w:divBdr>
      <w:divsChild>
        <w:div w:id="1606687783">
          <w:marLeft w:val="0"/>
          <w:marRight w:val="0"/>
          <w:marTop w:val="0"/>
          <w:marBottom w:val="0"/>
          <w:divBdr>
            <w:top w:val="none" w:sz="0" w:space="0" w:color="auto"/>
            <w:left w:val="none" w:sz="0" w:space="0" w:color="auto"/>
            <w:bottom w:val="none" w:sz="0" w:space="0" w:color="auto"/>
            <w:right w:val="none" w:sz="0" w:space="0" w:color="auto"/>
          </w:divBdr>
          <w:divsChild>
            <w:div w:id="1241403096">
              <w:marLeft w:val="0"/>
              <w:marRight w:val="0"/>
              <w:marTop w:val="0"/>
              <w:marBottom w:val="0"/>
              <w:divBdr>
                <w:top w:val="none" w:sz="0" w:space="0" w:color="auto"/>
                <w:left w:val="none" w:sz="0" w:space="0" w:color="auto"/>
                <w:bottom w:val="none" w:sz="0" w:space="0" w:color="auto"/>
                <w:right w:val="none" w:sz="0" w:space="0" w:color="auto"/>
              </w:divBdr>
              <w:divsChild>
                <w:div w:id="2022926605">
                  <w:marLeft w:val="0"/>
                  <w:marRight w:val="0"/>
                  <w:marTop w:val="0"/>
                  <w:marBottom w:val="0"/>
                  <w:divBdr>
                    <w:top w:val="none" w:sz="0" w:space="0" w:color="auto"/>
                    <w:left w:val="none" w:sz="0" w:space="0" w:color="auto"/>
                    <w:bottom w:val="none" w:sz="0" w:space="0" w:color="auto"/>
                    <w:right w:val="none" w:sz="0" w:space="0" w:color="auto"/>
                  </w:divBdr>
                  <w:divsChild>
                    <w:div w:id="1945116050">
                      <w:marLeft w:val="0"/>
                      <w:marRight w:val="0"/>
                      <w:marTop w:val="0"/>
                      <w:marBottom w:val="0"/>
                      <w:divBdr>
                        <w:top w:val="none" w:sz="0" w:space="0" w:color="auto"/>
                        <w:left w:val="none" w:sz="0" w:space="0" w:color="auto"/>
                        <w:bottom w:val="none" w:sz="0" w:space="0" w:color="auto"/>
                        <w:right w:val="none" w:sz="0" w:space="0" w:color="auto"/>
                      </w:divBdr>
                      <w:divsChild>
                        <w:div w:id="414595879">
                          <w:marLeft w:val="0"/>
                          <w:marRight w:val="0"/>
                          <w:marTop w:val="0"/>
                          <w:marBottom w:val="0"/>
                          <w:divBdr>
                            <w:top w:val="none" w:sz="0" w:space="0" w:color="auto"/>
                            <w:left w:val="none" w:sz="0" w:space="0" w:color="auto"/>
                            <w:bottom w:val="none" w:sz="0" w:space="0" w:color="auto"/>
                            <w:right w:val="none" w:sz="0" w:space="0" w:color="auto"/>
                          </w:divBdr>
                          <w:divsChild>
                            <w:div w:id="1294409577">
                              <w:marLeft w:val="0"/>
                              <w:marRight w:val="0"/>
                              <w:marTop w:val="0"/>
                              <w:marBottom w:val="0"/>
                              <w:divBdr>
                                <w:top w:val="none" w:sz="0" w:space="0" w:color="auto"/>
                                <w:left w:val="none" w:sz="0" w:space="0" w:color="auto"/>
                                <w:bottom w:val="none" w:sz="0" w:space="0" w:color="auto"/>
                                <w:right w:val="none" w:sz="0" w:space="0" w:color="auto"/>
                              </w:divBdr>
                              <w:divsChild>
                                <w:div w:id="1693991782">
                                  <w:marLeft w:val="0"/>
                                  <w:marRight w:val="0"/>
                                  <w:marTop w:val="0"/>
                                  <w:marBottom w:val="0"/>
                                  <w:divBdr>
                                    <w:top w:val="none" w:sz="0" w:space="0" w:color="auto"/>
                                    <w:left w:val="none" w:sz="0" w:space="0" w:color="auto"/>
                                    <w:bottom w:val="none" w:sz="0" w:space="0" w:color="auto"/>
                                    <w:right w:val="none" w:sz="0" w:space="0" w:color="auto"/>
                                  </w:divBdr>
                                  <w:divsChild>
                                    <w:div w:id="1874222389">
                                      <w:marLeft w:val="0"/>
                                      <w:marRight w:val="0"/>
                                      <w:marTop w:val="0"/>
                                      <w:marBottom w:val="0"/>
                                      <w:divBdr>
                                        <w:top w:val="none" w:sz="0" w:space="0" w:color="auto"/>
                                        <w:left w:val="none" w:sz="0" w:space="0" w:color="auto"/>
                                        <w:bottom w:val="none" w:sz="0" w:space="0" w:color="auto"/>
                                        <w:right w:val="none" w:sz="0" w:space="0" w:color="auto"/>
                                      </w:divBdr>
                                      <w:divsChild>
                                        <w:div w:id="215513733">
                                          <w:marLeft w:val="0"/>
                                          <w:marRight w:val="0"/>
                                          <w:marTop w:val="0"/>
                                          <w:marBottom w:val="0"/>
                                          <w:divBdr>
                                            <w:top w:val="none" w:sz="0" w:space="0" w:color="auto"/>
                                            <w:left w:val="none" w:sz="0" w:space="0" w:color="auto"/>
                                            <w:bottom w:val="none" w:sz="0" w:space="0" w:color="auto"/>
                                            <w:right w:val="none" w:sz="0" w:space="0" w:color="auto"/>
                                          </w:divBdr>
                                          <w:divsChild>
                                            <w:div w:id="1758015135">
                                              <w:marLeft w:val="0"/>
                                              <w:marRight w:val="0"/>
                                              <w:marTop w:val="0"/>
                                              <w:marBottom w:val="0"/>
                                              <w:divBdr>
                                                <w:top w:val="none" w:sz="0" w:space="0" w:color="auto"/>
                                                <w:left w:val="none" w:sz="0" w:space="0" w:color="auto"/>
                                                <w:bottom w:val="none" w:sz="0" w:space="0" w:color="auto"/>
                                                <w:right w:val="none" w:sz="0" w:space="0" w:color="auto"/>
                                              </w:divBdr>
                                              <w:divsChild>
                                                <w:div w:id="1556693626">
                                                  <w:marLeft w:val="0"/>
                                                  <w:marRight w:val="0"/>
                                                  <w:marTop w:val="0"/>
                                                  <w:marBottom w:val="0"/>
                                                  <w:divBdr>
                                                    <w:top w:val="none" w:sz="0" w:space="0" w:color="auto"/>
                                                    <w:left w:val="none" w:sz="0" w:space="0" w:color="auto"/>
                                                    <w:bottom w:val="none" w:sz="0" w:space="0" w:color="auto"/>
                                                    <w:right w:val="none" w:sz="0" w:space="0" w:color="auto"/>
                                                  </w:divBdr>
                                                  <w:divsChild>
                                                    <w:div w:id="12792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422787">
          <w:marLeft w:val="0"/>
          <w:marRight w:val="0"/>
          <w:marTop w:val="0"/>
          <w:marBottom w:val="0"/>
          <w:divBdr>
            <w:top w:val="none" w:sz="0" w:space="0" w:color="auto"/>
            <w:left w:val="none" w:sz="0" w:space="0" w:color="auto"/>
            <w:bottom w:val="none" w:sz="0" w:space="0" w:color="auto"/>
            <w:right w:val="none" w:sz="0" w:space="0" w:color="auto"/>
          </w:divBdr>
          <w:divsChild>
            <w:div w:id="1597054721">
              <w:marLeft w:val="0"/>
              <w:marRight w:val="0"/>
              <w:marTop w:val="0"/>
              <w:marBottom w:val="0"/>
              <w:divBdr>
                <w:top w:val="none" w:sz="0" w:space="0" w:color="auto"/>
                <w:left w:val="none" w:sz="0" w:space="0" w:color="auto"/>
                <w:bottom w:val="none" w:sz="0" w:space="0" w:color="auto"/>
                <w:right w:val="none" w:sz="0" w:space="0" w:color="auto"/>
              </w:divBdr>
              <w:divsChild>
                <w:div w:id="427385929">
                  <w:marLeft w:val="0"/>
                  <w:marRight w:val="0"/>
                  <w:marTop w:val="0"/>
                  <w:marBottom w:val="0"/>
                  <w:divBdr>
                    <w:top w:val="none" w:sz="0" w:space="0" w:color="auto"/>
                    <w:left w:val="none" w:sz="0" w:space="0" w:color="auto"/>
                    <w:bottom w:val="none" w:sz="0" w:space="0" w:color="auto"/>
                    <w:right w:val="none" w:sz="0" w:space="0" w:color="auto"/>
                  </w:divBdr>
                  <w:divsChild>
                    <w:div w:id="1408503309">
                      <w:marLeft w:val="0"/>
                      <w:marRight w:val="0"/>
                      <w:marTop w:val="0"/>
                      <w:marBottom w:val="0"/>
                      <w:divBdr>
                        <w:top w:val="none" w:sz="0" w:space="0" w:color="auto"/>
                        <w:left w:val="none" w:sz="0" w:space="0" w:color="auto"/>
                        <w:bottom w:val="none" w:sz="0" w:space="0" w:color="auto"/>
                        <w:right w:val="none" w:sz="0" w:space="0" w:color="auto"/>
                      </w:divBdr>
                      <w:divsChild>
                        <w:div w:id="2098749002">
                          <w:marLeft w:val="0"/>
                          <w:marRight w:val="0"/>
                          <w:marTop w:val="0"/>
                          <w:marBottom w:val="0"/>
                          <w:divBdr>
                            <w:top w:val="none" w:sz="0" w:space="0" w:color="auto"/>
                            <w:left w:val="none" w:sz="0" w:space="0" w:color="auto"/>
                            <w:bottom w:val="none" w:sz="0" w:space="0" w:color="auto"/>
                            <w:right w:val="none" w:sz="0" w:space="0" w:color="auto"/>
                          </w:divBdr>
                          <w:divsChild>
                            <w:div w:id="1756630684">
                              <w:marLeft w:val="0"/>
                              <w:marRight w:val="0"/>
                              <w:marTop w:val="0"/>
                              <w:marBottom w:val="0"/>
                              <w:divBdr>
                                <w:top w:val="none" w:sz="0" w:space="0" w:color="auto"/>
                                <w:left w:val="none" w:sz="0" w:space="0" w:color="auto"/>
                                <w:bottom w:val="none" w:sz="0" w:space="0" w:color="auto"/>
                                <w:right w:val="none" w:sz="0" w:space="0" w:color="auto"/>
                              </w:divBdr>
                              <w:divsChild>
                                <w:div w:id="2021007979">
                                  <w:marLeft w:val="0"/>
                                  <w:marRight w:val="0"/>
                                  <w:marTop w:val="0"/>
                                  <w:marBottom w:val="0"/>
                                  <w:divBdr>
                                    <w:top w:val="none" w:sz="0" w:space="0" w:color="auto"/>
                                    <w:left w:val="none" w:sz="0" w:space="0" w:color="auto"/>
                                    <w:bottom w:val="none" w:sz="0" w:space="0" w:color="auto"/>
                                    <w:right w:val="none" w:sz="0" w:space="0" w:color="auto"/>
                                  </w:divBdr>
                                  <w:divsChild>
                                    <w:div w:id="398284379">
                                      <w:marLeft w:val="0"/>
                                      <w:marRight w:val="0"/>
                                      <w:marTop w:val="0"/>
                                      <w:marBottom w:val="0"/>
                                      <w:divBdr>
                                        <w:top w:val="none" w:sz="0" w:space="0" w:color="auto"/>
                                        <w:left w:val="none" w:sz="0" w:space="0" w:color="auto"/>
                                        <w:bottom w:val="none" w:sz="0" w:space="0" w:color="auto"/>
                                        <w:right w:val="none" w:sz="0" w:space="0" w:color="auto"/>
                                      </w:divBdr>
                                      <w:divsChild>
                                        <w:div w:id="1676804180">
                                          <w:marLeft w:val="0"/>
                                          <w:marRight w:val="0"/>
                                          <w:marTop w:val="0"/>
                                          <w:marBottom w:val="0"/>
                                          <w:divBdr>
                                            <w:top w:val="none" w:sz="0" w:space="0" w:color="auto"/>
                                            <w:left w:val="none" w:sz="0" w:space="0" w:color="auto"/>
                                            <w:bottom w:val="none" w:sz="0" w:space="0" w:color="auto"/>
                                            <w:right w:val="none" w:sz="0" w:space="0" w:color="auto"/>
                                          </w:divBdr>
                                          <w:divsChild>
                                            <w:div w:id="692147265">
                                              <w:marLeft w:val="0"/>
                                              <w:marRight w:val="0"/>
                                              <w:marTop w:val="0"/>
                                              <w:marBottom w:val="0"/>
                                              <w:divBdr>
                                                <w:top w:val="none" w:sz="0" w:space="0" w:color="auto"/>
                                                <w:left w:val="none" w:sz="0" w:space="0" w:color="auto"/>
                                                <w:bottom w:val="none" w:sz="0" w:space="0" w:color="auto"/>
                                                <w:right w:val="none" w:sz="0" w:space="0" w:color="auto"/>
                                              </w:divBdr>
                                              <w:divsChild>
                                                <w:div w:id="191958992">
                                                  <w:marLeft w:val="0"/>
                                                  <w:marRight w:val="0"/>
                                                  <w:marTop w:val="0"/>
                                                  <w:marBottom w:val="0"/>
                                                  <w:divBdr>
                                                    <w:top w:val="none" w:sz="0" w:space="0" w:color="auto"/>
                                                    <w:left w:val="none" w:sz="0" w:space="0" w:color="auto"/>
                                                    <w:bottom w:val="none" w:sz="0" w:space="0" w:color="auto"/>
                                                    <w:right w:val="none" w:sz="0" w:space="0" w:color="auto"/>
                                                  </w:divBdr>
                                                  <w:divsChild>
                                                    <w:div w:id="1052464865">
                                                      <w:marLeft w:val="0"/>
                                                      <w:marRight w:val="0"/>
                                                      <w:marTop w:val="0"/>
                                                      <w:marBottom w:val="0"/>
                                                      <w:divBdr>
                                                        <w:top w:val="none" w:sz="0" w:space="0" w:color="auto"/>
                                                        <w:left w:val="none" w:sz="0" w:space="0" w:color="auto"/>
                                                        <w:bottom w:val="none" w:sz="0" w:space="0" w:color="auto"/>
                                                        <w:right w:val="none" w:sz="0" w:space="0" w:color="auto"/>
                                                      </w:divBdr>
                                                      <w:divsChild>
                                                        <w:div w:id="1532189487">
                                                          <w:marLeft w:val="0"/>
                                                          <w:marRight w:val="0"/>
                                                          <w:marTop w:val="0"/>
                                                          <w:marBottom w:val="0"/>
                                                          <w:divBdr>
                                                            <w:top w:val="none" w:sz="0" w:space="0" w:color="auto"/>
                                                            <w:left w:val="none" w:sz="0" w:space="0" w:color="auto"/>
                                                            <w:bottom w:val="none" w:sz="0" w:space="0" w:color="auto"/>
                                                            <w:right w:val="none" w:sz="0" w:space="0" w:color="auto"/>
                                                          </w:divBdr>
                                                          <w:divsChild>
                                                            <w:div w:id="486439350">
                                                              <w:marLeft w:val="0"/>
                                                              <w:marRight w:val="0"/>
                                                              <w:marTop w:val="0"/>
                                                              <w:marBottom w:val="0"/>
                                                              <w:divBdr>
                                                                <w:top w:val="none" w:sz="0" w:space="0" w:color="auto"/>
                                                                <w:left w:val="none" w:sz="0" w:space="0" w:color="auto"/>
                                                                <w:bottom w:val="none" w:sz="0" w:space="0" w:color="auto"/>
                                                                <w:right w:val="none" w:sz="0" w:space="0" w:color="auto"/>
                                                              </w:divBdr>
                                                              <w:divsChild>
                                                                <w:div w:id="5612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2406247">
      <w:bodyDiv w:val="1"/>
      <w:marLeft w:val="0"/>
      <w:marRight w:val="0"/>
      <w:marTop w:val="0"/>
      <w:marBottom w:val="0"/>
      <w:divBdr>
        <w:top w:val="none" w:sz="0" w:space="0" w:color="auto"/>
        <w:left w:val="none" w:sz="0" w:space="0" w:color="auto"/>
        <w:bottom w:val="none" w:sz="0" w:space="0" w:color="auto"/>
        <w:right w:val="none" w:sz="0" w:space="0" w:color="auto"/>
      </w:divBdr>
    </w:div>
    <w:div w:id="1895389690">
      <w:bodyDiv w:val="1"/>
      <w:marLeft w:val="0"/>
      <w:marRight w:val="0"/>
      <w:marTop w:val="0"/>
      <w:marBottom w:val="0"/>
      <w:divBdr>
        <w:top w:val="none" w:sz="0" w:space="0" w:color="auto"/>
        <w:left w:val="none" w:sz="0" w:space="0" w:color="auto"/>
        <w:bottom w:val="none" w:sz="0" w:space="0" w:color="auto"/>
        <w:right w:val="none" w:sz="0" w:space="0" w:color="auto"/>
      </w:divBdr>
    </w:div>
    <w:div w:id="1900313623">
      <w:bodyDiv w:val="1"/>
      <w:marLeft w:val="0"/>
      <w:marRight w:val="0"/>
      <w:marTop w:val="0"/>
      <w:marBottom w:val="0"/>
      <w:divBdr>
        <w:top w:val="none" w:sz="0" w:space="0" w:color="auto"/>
        <w:left w:val="none" w:sz="0" w:space="0" w:color="auto"/>
        <w:bottom w:val="none" w:sz="0" w:space="0" w:color="auto"/>
        <w:right w:val="none" w:sz="0" w:space="0" w:color="auto"/>
      </w:divBdr>
    </w:div>
    <w:div w:id="1920796895">
      <w:bodyDiv w:val="1"/>
      <w:marLeft w:val="0"/>
      <w:marRight w:val="0"/>
      <w:marTop w:val="0"/>
      <w:marBottom w:val="0"/>
      <w:divBdr>
        <w:top w:val="none" w:sz="0" w:space="0" w:color="auto"/>
        <w:left w:val="none" w:sz="0" w:space="0" w:color="auto"/>
        <w:bottom w:val="none" w:sz="0" w:space="0" w:color="auto"/>
        <w:right w:val="none" w:sz="0" w:space="0" w:color="auto"/>
      </w:divBdr>
    </w:div>
    <w:div w:id="1933050172">
      <w:bodyDiv w:val="1"/>
      <w:marLeft w:val="0"/>
      <w:marRight w:val="0"/>
      <w:marTop w:val="0"/>
      <w:marBottom w:val="0"/>
      <w:divBdr>
        <w:top w:val="none" w:sz="0" w:space="0" w:color="auto"/>
        <w:left w:val="none" w:sz="0" w:space="0" w:color="auto"/>
        <w:bottom w:val="none" w:sz="0" w:space="0" w:color="auto"/>
        <w:right w:val="none" w:sz="0" w:space="0" w:color="auto"/>
      </w:divBdr>
    </w:div>
    <w:div w:id="1987009495">
      <w:bodyDiv w:val="1"/>
      <w:marLeft w:val="0"/>
      <w:marRight w:val="0"/>
      <w:marTop w:val="0"/>
      <w:marBottom w:val="0"/>
      <w:divBdr>
        <w:top w:val="none" w:sz="0" w:space="0" w:color="auto"/>
        <w:left w:val="none" w:sz="0" w:space="0" w:color="auto"/>
        <w:bottom w:val="none" w:sz="0" w:space="0" w:color="auto"/>
        <w:right w:val="none" w:sz="0" w:space="0" w:color="auto"/>
      </w:divBdr>
    </w:div>
    <w:div w:id="2027513671">
      <w:bodyDiv w:val="1"/>
      <w:marLeft w:val="0"/>
      <w:marRight w:val="0"/>
      <w:marTop w:val="0"/>
      <w:marBottom w:val="0"/>
      <w:divBdr>
        <w:top w:val="none" w:sz="0" w:space="0" w:color="auto"/>
        <w:left w:val="none" w:sz="0" w:space="0" w:color="auto"/>
        <w:bottom w:val="none" w:sz="0" w:space="0" w:color="auto"/>
        <w:right w:val="none" w:sz="0" w:space="0" w:color="auto"/>
      </w:divBdr>
    </w:div>
    <w:div w:id="2055276136">
      <w:bodyDiv w:val="1"/>
      <w:marLeft w:val="0"/>
      <w:marRight w:val="0"/>
      <w:marTop w:val="0"/>
      <w:marBottom w:val="0"/>
      <w:divBdr>
        <w:top w:val="none" w:sz="0" w:space="0" w:color="auto"/>
        <w:left w:val="none" w:sz="0" w:space="0" w:color="auto"/>
        <w:bottom w:val="none" w:sz="0" w:space="0" w:color="auto"/>
        <w:right w:val="none" w:sz="0" w:space="0" w:color="auto"/>
      </w:divBdr>
    </w:div>
    <w:div w:id="2057049691">
      <w:bodyDiv w:val="1"/>
      <w:marLeft w:val="0"/>
      <w:marRight w:val="0"/>
      <w:marTop w:val="0"/>
      <w:marBottom w:val="0"/>
      <w:divBdr>
        <w:top w:val="none" w:sz="0" w:space="0" w:color="auto"/>
        <w:left w:val="none" w:sz="0" w:space="0" w:color="auto"/>
        <w:bottom w:val="none" w:sz="0" w:space="0" w:color="auto"/>
        <w:right w:val="none" w:sz="0" w:space="0" w:color="auto"/>
      </w:divBdr>
    </w:div>
    <w:div w:id="2069373775">
      <w:bodyDiv w:val="1"/>
      <w:marLeft w:val="0"/>
      <w:marRight w:val="0"/>
      <w:marTop w:val="0"/>
      <w:marBottom w:val="0"/>
      <w:divBdr>
        <w:top w:val="none" w:sz="0" w:space="0" w:color="auto"/>
        <w:left w:val="none" w:sz="0" w:space="0" w:color="auto"/>
        <w:bottom w:val="none" w:sz="0" w:space="0" w:color="auto"/>
        <w:right w:val="none" w:sz="0" w:space="0" w:color="auto"/>
      </w:divBdr>
    </w:div>
    <w:div w:id="2093310613">
      <w:bodyDiv w:val="1"/>
      <w:marLeft w:val="0"/>
      <w:marRight w:val="0"/>
      <w:marTop w:val="0"/>
      <w:marBottom w:val="0"/>
      <w:divBdr>
        <w:top w:val="none" w:sz="0" w:space="0" w:color="auto"/>
        <w:left w:val="none" w:sz="0" w:space="0" w:color="auto"/>
        <w:bottom w:val="none" w:sz="0" w:space="0" w:color="auto"/>
        <w:right w:val="none" w:sz="0" w:space="0" w:color="auto"/>
      </w:divBdr>
    </w:div>
    <w:div w:id="2098090259">
      <w:bodyDiv w:val="1"/>
      <w:marLeft w:val="0"/>
      <w:marRight w:val="0"/>
      <w:marTop w:val="0"/>
      <w:marBottom w:val="0"/>
      <w:divBdr>
        <w:top w:val="none" w:sz="0" w:space="0" w:color="auto"/>
        <w:left w:val="none" w:sz="0" w:space="0" w:color="auto"/>
        <w:bottom w:val="none" w:sz="0" w:space="0" w:color="auto"/>
        <w:right w:val="none" w:sz="0" w:space="0" w:color="auto"/>
      </w:divBdr>
    </w:div>
    <w:div w:id="2105761945">
      <w:bodyDiv w:val="1"/>
      <w:marLeft w:val="0"/>
      <w:marRight w:val="0"/>
      <w:marTop w:val="0"/>
      <w:marBottom w:val="0"/>
      <w:divBdr>
        <w:top w:val="none" w:sz="0" w:space="0" w:color="auto"/>
        <w:left w:val="none" w:sz="0" w:space="0" w:color="auto"/>
        <w:bottom w:val="none" w:sz="0" w:space="0" w:color="auto"/>
        <w:right w:val="none" w:sz="0" w:space="0" w:color="auto"/>
      </w:divBdr>
    </w:div>
    <w:div w:id="2106264334">
      <w:bodyDiv w:val="1"/>
      <w:marLeft w:val="0"/>
      <w:marRight w:val="0"/>
      <w:marTop w:val="0"/>
      <w:marBottom w:val="0"/>
      <w:divBdr>
        <w:top w:val="none" w:sz="0" w:space="0" w:color="auto"/>
        <w:left w:val="none" w:sz="0" w:space="0" w:color="auto"/>
        <w:bottom w:val="none" w:sz="0" w:space="0" w:color="auto"/>
        <w:right w:val="none" w:sz="0" w:space="0" w:color="auto"/>
      </w:divBdr>
    </w:div>
    <w:div w:id="21075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EBDB-E81A-4231-90BD-7E13BE85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14274</Words>
  <Characters>81367</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Muhamed Hoti</dc:creator>
  <cp:keywords/>
  <dc:description/>
  <cp:lastModifiedBy>Redinela Azizaj</cp:lastModifiedBy>
  <cp:revision>2</cp:revision>
  <cp:lastPrinted>2025-07-07T14:20:00Z</cp:lastPrinted>
  <dcterms:created xsi:type="dcterms:W3CDTF">2025-07-10T14:10:00Z</dcterms:created>
  <dcterms:modified xsi:type="dcterms:W3CDTF">2025-07-10T14:10:00Z</dcterms:modified>
</cp:coreProperties>
</file>