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77777777" w:rsidR="008675CA" w:rsidRPr="00822FD1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Cs w:val="24"/>
          <w:lang w:val="fr-FR"/>
        </w:rPr>
      </w:pPr>
      <w:r w:rsidRPr="00822FD1">
        <w:rPr>
          <w:rFonts w:asciiTheme="minorHAnsi" w:hAnsiTheme="minorHAnsi" w:cstheme="minorHAnsi"/>
          <w:i w:val="0"/>
          <w:iCs/>
          <w:szCs w:val="24"/>
          <w:lang w:val="fr-FR"/>
        </w:rPr>
        <w:t>MODEL</w:t>
      </w:r>
      <w:r w:rsidR="00463C25" w:rsidRPr="00822FD1">
        <w:rPr>
          <w:rFonts w:asciiTheme="minorHAnsi" w:hAnsiTheme="minorHAnsi" w:cstheme="minorHAnsi"/>
          <w:i w:val="0"/>
          <w:iCs/>
          <w:szCs w:val="24"/>
          <w:lang w:val="fr-FR"/>
        </w:rPr>
        <w:t xml:space="preserve">I </w:t>
      </w:r>
      <w:r w:rsidRPr="00822FD1">
        <w:rPr>
          <w:rFonts w:asciiTheme="minorHAnsi" w:hAnsiTheme="minorHAnsi" w:cstheme="minorHAnsi"/>
          <w:i w:val="0"/>
          <w:iCs/>
          <w:szCs w:val="24"/>
          <w:lang w:val="fr-FR"/>
        </w:rPr>
        <w:t>P</w:t>
      </w:r>
      <w:r w:rsidR="00044810" w:rsidRPr="00822FD1">
        <w:rPr>
          <w:rFonts w:asciiTheme="minorHAnsi" w:hAnsiTheme="minorHAnsi" w:cstheme="minorHAnsi"/>
          <w:i w:val="0"/>
          <w:iCs/>
          <w:szCs w:val="24"/>
          <w:lang w:val="fr-FR"/>
        </w:rPr>
        <w:t>Ë</w:t>
      </w:r>
      <w:r w:rsidRPr="00822FD1">
        <w:rPr>
          <w:rFonts w:asciiTheme="minorHAnsi" w:hAnsiTheme="minorHAnsi" w:cstheme="minorHAnsi"/>
          <w:i w:val="0"/>
          <w:iCs/>
          <w:szCs w:val="24"/>
          <w:lang w:val="fr-FR"/>
        </w:rPr>
        <w:t>R DOKUMENTIN KONSULTATIV</w:t>
      </w:r>
    </w:p>
    <w:p w14:paraId="6372D3DD" w14:textId="76518C26" w:rsidR="008675CA" w:rsidRPr="003159D6" w:rsidRDefault="00E54C97" w:rsidP="001E4573">
      <w:pPr>
        <w:pStyle w:val="BodyText"/>
        <w:jc w:val="center"/>
        <w:rPr>
          <w:rFonts w:asciiTheme="minorHAnsi" w:hAnsiTheme="minorHAnsi" w:cstheme="minorHAnsi"/>
          <w:sz w:val="24"/>
          <w:szCs w:val="24"/>
          <w:lang w:val="fr-FR"/>
        </w:rPr>
      </w:pPr>
      <w:r w:rsidRPr="003159D6">
        <w:rPr>
          <w:rFonts w:asciiTheme="minorHAnsi" w:hAnsiTheme="minorHAnsi" w:cstheme="minorHAnsi"/>
          <w:sz w:val="24"/>
          <w:szCs w:val="24"/>
          <w:lang w:val="fr-FR"/>
        </w:rPr>
        <w:t>P</w:t>
      </w:r>
      <w:r w:rsidR="00044810" w:rsidRPr="003159D6">
        <w:rPr>
          <w:rFonts w:asciiTheme="minorHAnsi" w:hAnsiTheme="minorHAnsi" w:cstheme="minorHAnsi"/>
          <w:sz w:val="24"/>
          <w:szCs w:val="24"/>
          <w:lang w:val="fr-FR"/>
        </w:rPr>
        <w:t>ë</w:t>
      </w:r>
      <w:r w:rsidRPr="003159D6">
        <w:rPr>
          <w:rFonts w:asciiTheme="minorHAnsi" w:hAnsiTheme="minorHAnsi" w:cstheme="minorHAnsi"/>
          <w:sz w:val="24"/>
          <w:szCs w:val="24"/>
          <w:lang w:val="fr-FR"/>
        </w:rPr>
        <w:t xml:space="preserve">r </w:t>
      </w:r>
      <w:r w:rsidR="003159D6">
        <w:rPr>
          <w:rFonts w:asciiTheme="minorHAnsi" w:hAnsiTheme="minorHAnsi" w:cstheme="minorHAnsi"/>
          <w:sz w:val="24"/>
          <w:szCs w:val="24"/>
          <w:lang w:val="sq-AL"/>
        </w:rPr>
        <w:t>p</w:t>
      </w:r>
      <w:r w:rsidR="006A20F3" w:rsidRPr="003159D6">
        <w:rPr>
          <w:rFonts w:asciiTheme="minorHAnsi" w:hAnsiTheme="minorHAnsi" w:cstheme="minorHAnsi"/>
          <w:sz w:val="24"/>
          <w:szCs w:val="24"/>
          <w:lang w:val="sq-AL"/>
        </w:rPr>
        <w:t>rojektligji</w:t>
      </w:r>
      <w:r w:rsidR="00822FD1" w:rsidRPr="003159D6">
        <w:rPr>
          <w:rFonts w:asciiTheme="minorHAnsi" w:hAnsiTheme="minorHAnsi" w:cstheme="minorHAnsi"/>
          <w:sz w:val="24"/>
          <w:szCs w:val="24"/>
          <w:lang w:val="sq-AL"/>
        </w:rPr>
        <w:t>n</w:t>
      </w:r>
      <w:r w:rsidR="006A20F3" w:rsidRPr="003159D6">
        <w:rPr>
          <w:rFonts w:asciiTheme="minorHAnsi" w:hAnsiTheme="minorHAnsi" w:cstheme="minorHAnsi"/>
          <w:sz w:val="24"/>
          <w:szCs w:val="24"/>
          <w:lang w:val="sq-AL"/>
        </w:rPr>
        <w:t xml:space="preserve"> </w:t>
      </w:r>
      <w:r w:rsidR="006A20F3" w:rsidRPr="003159D6">
        <w:rPr>
          <w:rFonts w:asciiTheme="minorHAnsi" w:hAnsiTheme="minorHAnsi" w:cstheme="minorHAnsi"/>
          <w:i/>
          <w:iCs/>
          <w:sz w:val="24"/>
          <w:szCs w:val="24"/>
          <w:lang w:val="sq-AL"/>
        </w:rPr>
        <w:t>“Për rivlerësimin e pasurisë së paluajtshme</w:t>
      </w:r>
      <w:r w:rsidR="006A20F3" w:rsidRPr="003159D6">
        <w:rPr>
          <w:rFonts w:asciiTheme="minorHAnsi" w:hAnsiTheme="minorHAnsi" w:cstheme="minorHAnsi"/>
          <w:sz w:val="24"/>
          <w:szCs w:val="24"/>
          <w:lang w:val="sq-AL"/>
        </w:rPr>
        <w:t>”</w:t>
      </w:r>
      <w:r w:rsidR="008675CA" w:rsidRPr="003159D6">
        <w:rPr>
          <w:rFonts w:asciiTheme="minorHAnsi" w:hAnsiTheme="minorHAnsi" w:cstheme="minorHAnsi"/>
          <w:sz w:val="24"/>
          <w:szCs w:val="24"/>
          <w:lang w:val="fr-FR"/>
        </w:rPr>
        <w:t>:</w:t>
      </w:r>
    </w:p>
    <w:p w14:paraId="0F4667DD" w14:textId="77777777" w:rsidR="00822FD1" w:rsidRPr="008F7012" w:rsidRDefault="00822FD1" w:rsidP="001E4573">
      <w:pPr>
        <w:pStyle w:val="BodyText"/>
        <w:jc w:val="center"/>
        <w:rPr>
          <w:rFonts w:asciiTheme="minorHAnsi" w:hAnsiTheme="minorHAnsi" w:cstheme="minorHAnsi"/>
          <w:sz w:val="14"/>
          <w:szCs w:val="1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3BF55563" w14:textId="77777777" w:rsidTr="009F3A30">
        <w:tc>
          <w:tcPr>
            <w:tcW w:w="9212" w:type="dxa"/>
          </w:tcPr>
          <w:p w14:paraId="4736AAD0" w14:textId="77777777" w:rsidR="008675CA" w:rsidRPr="00822FD1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</w:pP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  <w:t>(</w:t>
            </w:r>
            <w:r w:rsidR="00E54C97" w:rsidRPr="00822FD1"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  <w:t>Përcaktoni/shkruani komentet e kujt po kërkoni (veçanërisht), p.sh. komente (t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  <w:t>ë</w:t>
            </w:r>
            <w:r w:rsidR="00E54C97" w:rsidRPr="00822FD1"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7099F2E3" w14:textId="77777777" w:rsidR="00282382" w:rsidRPr="00822FD1" w:rsidRDefault="00282382" w:rsidP="006A20F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9D38456" w14:textId="1B5A41C5" w:rsidR="006A20F3" w:rsidRPr="00822FD1" w:rsidRDefault="006A20F3" w:rsidP="0028238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2FD1">
              <w:rPr>
                <w:rFonts w:ascii="Times New Roman" w:hAnsi="Times New Roman"/>
                <w:sz w:val="24"/>
                <w:szCs w:val="24"/>
                <w:lang w:val="sq-AL"/>
              </w:rPr>
              <w:t>Ky projektligj synon të krijojë një kuadër ligjor për rivlerësimin e pasurive të paluajtshme të individëve dhe personave juridikë, duke ofruar një instrument për të përshtatur vlerën e pronave të tyre me atë të tregut, në kushtet kur çmimet e pasurive të paluajtshme janë në rritje. Periudha e zbatimit të këtij projektligji propozohet nga data 1 janar 2026 deri më 30 shtator 2026.</w:t>
            </w:r>
          </w:p>
          <w:p w14:paraId="18CC7BA5" w14:textId="77777777" w:rsidR="002E5946" w:rsidRPr="00BD3573" w:rsidRDefault="002E5946" w:rsidP="00282382">
            <w:pPr>
              <w:spacing w:line="276" w:lineRule="auto"/>
              <w:jc w:val="both"/>
              <w:rPr>
                <w:rFonts w:ascii="Times New Roman" w:hAnsi="Times New Roman"/>
                <w:sz w:val="14"/>
                <w:szCs w:val="14"/>
                <w:lang w:val="sq-AL"/>
              </w:rPr>
            </w:pPr>
          </w:p>
          <w:p w14:paraId="24F7F2FE" w14:textId="4F1B8810" w:rsidR="006A20F3" w:rsidRPr="00822FD1" w:rsidRDefault="00EE5882" w:rsidP="0028238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r k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arsye, n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rmj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et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konsultimit publik</w:t>
            </w:r>
            <w:r w:rsidR="002823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k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rkohet q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merren mendime</w:t>
            </w:r>
            <w:r w:rsidR="00BD3573"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/ komente</w:t>
            </w:r>
            <w:r w:rsidR="00BD3573"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/ opinionet e 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gjithë individëve </w:t>
            </w:r>
            <w:r w:rsidR="00282382" w:rsidRPr="00822FD1">
              <w:rPr>
                <w:rFonts w:ascii="Times New Roman" w:hAnsi="Times New Roman"/>
                <w:sz w:val="24"/>
                <w:szCs w:val="24"/>
                <w:lang w:val="sq-AL"/>
              </w:rPr>
              <w:t>dh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sq-AL"/>
              </w:rPr>
              <w:t>e tatimpaguesve</w:t>
            </w:r>
            <w:r w:rsidR="00282382" w:rsidRPr="00822FD1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cil</w:t>
            </w:r>
            <w:r w:rsidR="00282382" w:rsidRPr="00822FD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sq-AL"/>
              </w:rPr>
              <w:t>t kanë prona ndërtesë dhe janë të interesuar për të bërë rivlerësimin e pronës ndërtesë apo ekspertë në fushën tatimore dhe pronën e paluajtshme.</w:t>
            </w:r>
          </w:p>
          <w:p w14:paraId="2CB498F1" w14:textId="77777777" w:rsidR="006A20F3" w:rsidRPr="00BD3573" w:rsidRDefault="006A20F3" w:rsidP="00282382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sq-AL"/>
              </w:rPr>
            </w:pPr>
          </w:p>
          <w:p w14:paraId="03DCA591" w14:textId="656048FD" w:rsidR="00EE5882" w:rsidRPr="00822FD1" w:rsidRDefault="006A20F3" w:rsidP="0028238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22FD1">
              <w:rPr>
                <w:rFonts w:ascii="Times New Roman" w:hAnsi="Times New Roman"/>
                <w:sz w:val="24"/>
                <w:szCs w:val="24"/>
                <w:lang w:val="sq-AL"/>
              </w:rPr>
              <w:t>Synohet t</w:t>
            </w:r>
            <w:r w:rsidR="00DA03C2" w:rsidRPr="00822FD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22F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merren </w:t>
            </w:r>
            <w:r w:rsidR="00EE58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komente p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EE58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="00A07A2E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ç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EE58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shtje konkrete qe trajton </w:t>
            </w:r>
            <w:r w:rsidR="00B9582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projekt</w:t>
            </w: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ligji</w:t>
            </w:r>
            <w:r w:rsidR="00B9582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="00A07A2E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si </w:t>
            </w:r>
            <w:r w:rsidR="00EE58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dhe mendime </w:t>
            </w:r>
            <w:r w:rsidR="00A07A2E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për</w:t>
            </w:r>
            <w:r w:rsidR="00EE58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EE58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rmir</w:t>
            </w:r>
            <w:r w:rsidR="00EA5FB1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EE588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s</w:t>
            </w:r>
            <w:r w:rsidR="00A07A2E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imin e tij.</w:t>
            </w:r>
          </w:p>
          <w:p w14:paraId="3A367DEF" w14:textId="77777777" w:rsidR="002E5946" w:rsidRPr="00BD3573" w:rsidRDefault="002E5946" w:rsidP="00282382">
            <w:pPr>
              <w:spacing w:line="276" w:lineRule="auto"/>
              <w:jc w:val="both"/>
              <w:rPr>
                <w:rFonts w:ascii="Times New Roman" w:hAnsi="Times New Roman"/>
                <w:sz w:val="12"/>
                <w:szCs w:val="12"/>
                <w:lang w:val="fr-FR"/>
              </w:rPr>
            </w:pPr>
          </w:p>
          <w:p w14:paraId="41A4AD81" w14:textId="77777777" w:rsidR="001E4573" w:rsidRPr="00822FD1" w:rsidRDefault="00A07A2E" w:rsidP="0028238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Ç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do tatimpagues n</w:t>
            </w:r>
            <w:r w:rsidR="00683DEB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Shqip</w:t>
            </w:r>
            <w:r w:rsidR="00683DEB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ri </w:t>
            </w:r>
            <w:r w:rsidR="00683DEB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sht</w:t>
            </w:r>
            <w:r w:rsidR="00683DEB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ftuar q</w:t>
            </w:r>
            <w:r w:rsidR="00683DEB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</w:t>
            </w:r>
            <w:r w:rsidR="00683DEB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jap mendime, komente mbi 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proje</w:t>
            </w:r>
            <w:r w:rsidR="000A44A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k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tligjin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bazuar n</w:t>
            </w:r>
            <w:r w:rsidR="00683DEB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eksperi</w:t>
            </w:r>
            <w:r w:rsidR="00C47DA0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encat e 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m</w:t>
            </w:r>
            <w:r w:rsidR="00DA03C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pa</w:t>
            </w:r>
            <w:r w:rsidR="000A44A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shme t</w:t>
            </w:r>
            <w:r w:rsidR="00DA03C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zbatimit t</w:t>
            </w:r>
            <w:r w:rsidR="00DA03C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ligjeve mbi rivler</w:t>
            </w:r>
            <w:r w:rsidR="00DA03C2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6A20F3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simin</w:t>
            </w:r>
            <w:r w:rsidR="002E5946" w:rsidRPr="00822FD1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107036DC" w14:textId="724DFFD6" w:rsidR="00A07A2E" w:rsidRPr="00822FD1" w:rsidRDefault="00A07A2E" w:rsidP="0028238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6A20F3" w:rsidRPr="00822FD1" w14:paraId="022C277C" w14:textId="77777777" w:rsidTr="009F3A30">
        <w:tc>
          <w:tcPr>
            <w:tcW w:w="9212" w:type="dxa"/>
          </w:tcPr>
          <w:p w14:paraId="14A467BB" w14:textId="77777777" w:rsidR="006A20F3" w:rsidRPr="00822FD1" w:rsidRDefault="006A20F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</w:pPr>
          </w:p>
        </w:tc>
      </w:tr>
    </w:tbl>
    <w:p w14:paraId="4DD98B09" w14:textId="77777777" w:rsidR="008675CA" w:rsidRPr="00822FD1" w:rsidRDefault="008675CA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2DB7AA78" w14:textId="77777777" w:rsidR="008675CA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822FD1">
        <w:rPr>
          <w:rFonts w:asciiTheme="minorHAnsi" w:hAnsiTheme="minorHAnsi" w:cstheme="minorHAnsi"/>
          <w:sz w:val="24"/>
          <w:szCs w:val="24"/>
        </w:rPr>
        <w:t>Kohëzgjatja e konsultimeve</w:t>
      </w:r>
      <w:r w:rsidR="008675CA" w:rsidRPr="00822FD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0A95A18B" w14:textId="77777777" w:rsidTr="009F3A30">
        <w:tc>
          <w:tcPr>
            <w:tcW w:w="9212" w:type="dxa"/>
          </w:tcPr>
          <w:p w14:paraId="7A137B08" w14:textId="77777777" w:rsidR="008675CA" w:rsidRPr="00BD357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863E002" w14:textId="2FE46FAA" w:rsidR="001E4573" w:rsidRPr="00822FD1" w:rsidRDefault="006A20F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sz w:val="24"/>
                <w:szCs w:val="24"/>
              </w:rPr>
              <w:t>23 korrik 2025</w:t>
            </w:r>
            <w:r w:rsidR="00EE5882" w:rsidRPr="00822FD1">
              <w:rPr>
                <w:rFonts w:ascii="Times New Roman" w:hAnsi="Times New Roman"/>
                <w:sz w:val="24"/>
                <w:szCs w:val="24"/>
              </w:rPr>
              <w:t>- 2</w:t>
            </w:r>
            <w:r w:rsidR="00C64C1D" w:rsidRPr="00822FD1">
              <w:rPr>
                <w:rFonts w:ascii="Times New Roman" w:hAnsi="Times New Roman"/>
                <w:sz w:val="24"/>
                <w:szCs w:val="24"/>
              </w:rPr>
              <w:t>0</w:t>
            </w:r>
            <w:r w:rsidRPr="00822FD1">
              <w:rPr>
                <w:rFonts w:ascii="Times New Roman" w:hAnsi="Times New Roman"/>
                <w:sz w:val="24"/>
                <w:szCs w:val="24"/>
              </w:rPr>
              <w:t xml:space="preserve"> gusht 202</w:t>
            </w:r>
            <w:r w:rsidR="00C64C1D" w:rsidRPr="00822F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9630BCB" w14:textId="77777777" w:rsidR="008675CA" w:rsidRPr="00822FD1" w:rsidRDefault="008675CA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57C82A5C" w14:textId="77777777" w:rsidR="008675CA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822FD1">
        <w:rPr>
          <w:rFonts w:asciiTheme="minorHAnsi" w:hAnsiTheme="minorHAnsi" w:cstheme="minorHAnsi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0FF81B91" w14:textId="77777777" w:rsidTr="009F3A30">
        <w:tc>
          <w:tcPr>
            <w:tcW w:w="9212" w:type="dxa"/>
          </w:tcPr>
          <w:p w14:paraId="350DED6E" w14:textId="77777777" w:rsidR="008675CA" w:rsidRPr="00822FD1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Shkruani si mund të p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rgjigjen  palët e interesuara/publiku në konsultime, p.sh. Me email:, Me post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në:, Duke plotësuar formularin në internet në RENJKP (siguroni linket e drejtpërdrejta)</w:t>
            </w:r>
            <w:r w:rsidR="008675CA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3BE90A53" w14:textId="180E8CEE" w:rsidR="008675CA" w:rsidRPr="00822FD1" w:rsidRDefault="00146864" w:rsidP="00146864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2FD1">
              <w:rPr>
                <w:rFonts w:ascii="Times New Roman" w:hAnsi="Times New Roman"/>
                <w:iCs/>
                <w:sz w:val="24"/>
                <w:szCs w:val="24"/>
              </w:rPr>
              <w:t>e-konsultimi</w:t>
            </w:r>
          </w:p>
          <w:p w14:paraId="725A5EEA" w14:textId="2A0A1FBA" w:rsidR="00146864" w:rsidRPr="00822FD1" w:rsidRDefault="006A20F3" w:rsidP="00146864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22FD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Me </w:t>
            </w:r>
            <w:r w:rsidR="00146864" w:rsidRPr="00822FD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email tek adresa </w:t>
            </w:r>
            <w:hyperlink r:id="rId5" w:history="1">
              <w:r w:rsidRPr="00822FD1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en-US"/>
                </w:rPr>
                <w:t>i</w:t>
              </w:r>
              <w:r w:rsidRPr="00822FD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nfof</w:t>
              </w:r>
              <w:r w:rsidRPr="00822F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inanca</w:t>
              </w:r>
              <w:r w:rsidRPr="00822FD1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en-US"/>
                </w:rPr>
                <w:t>@financa.gov.al</w:t>
              </w:r>
            </w:hyperlink>
          </w:p>
        </w:tc>
      </w:tr>
    </w:tbl>
    <w:p w14:paraId="3C463429" w14:textId="77777777" w:rsidR="008675CA" w:rsidRPr="00822FD1" w:rsidRDefault="008675CA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C4BE25B" w14:textId="77777777" w:rsidR="008675CA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822FD1">
        <w:rPr>
          <w:rFonts w:asciiTheme="minorHAnsi" w:hAnsiTheme="minorHAnsi" w:cstheme="minorHAnsi"/>
          <w:sz w:val="24"/>
          <w:szCs w:val="24"/>
        </w:rPr>
        <w:t>Kontakti</w:t>
      </w:r>
      <w:r w:rsidR="008675CA" w:rsidRPr="00822FD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12B24D1C" w14:textId="77777777" w:rsidTr="009F3A30">
        <w:tc>
          <w:tcPr>
            <w:tcW w:w="9212" w:type="dxa"/>
          </w:tcPr>
          <w:p w14:paraId="30781C6E" w14:textId="77777777" w:rsidR="008675CA" w:rsidRPr="00822FD1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Duhet t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jepen t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dh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nat e kontaktit të koordinatorit përkatës për konsultime publike dhe /ose të ndonjë personi tjetër t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cilit i drejtohen pyetjet.</w:t>
            </w:r>
          </w:p>
          <w:p w14:paraId="3637B89E" w14:textId="72FD1336" w:rsidR="00146864" w:rsidRPr="00822FD1" w:rsidRDefault="006A20F3" w:rsidP="00146864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sz w:val="24"/>
                <w:szCs w:val="24"/>
              </w:rPr>
              <w:t>infofinanca</w:t>
            </w:r>
            <w:r w:rsidR="00146864" w:rsidRPr="00822FD1">
              <w:rPr>
                <w:rFonts w:ascii="Times New Roman" w:hAnsi="Times New Roman"/>
                <w:sz w:val="24"/>
                <w:szCs w:val="24"/>
              </w:rPr>
              <w:t>@financa.gov.al</w:t>
            </w:r>
          </w:p>
        </w:tc>
      </w:tr>
    </w:tbl>
    <w:p w14:paraId="5D44D821" w14:textId="77777777" w:rsidR="008675CA" w:rsidRPr="00822FD1" w:rsidRDefault="008675CA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3524433B" w14:textId="77777777" w:rsidR="008675CA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822FD1">
        <w:rPr>
          <w:rFonts w:asciiTheme="minorHAnsi" w:hAnsiTheme="minorHAnsi" w:cstheme="minorHAnsi"/>
          <w:sz w:val="24"/>
          <w:szCs w:val="24"/>
          <w:lang w:val="it-CH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7239AD1E" w14:textId="77777777" w:rsidTr="009F3A30">
        <w:tc>
          <w:tcPr>
            <w:tcW w:w="9212" w:type="dxa"/>
          </w:tcPr>
          <w:p w14:paraId="4B33EEB9" w14:textId="77777777" w:rsidR="008675CA" w:rsidRPr="00822FD1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</w:pP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Siguroni informacionin nëse ato janë të organizuar.</w:t>
            </w:r>
          </w:p>
          <w:p w14:paraId="32C6A55F" w14:textId="65360506" w:rsidR="00146864" w:rsidRPr="00822FD1" w:rsidRDefault="006A20F3" w:rsidP="00146864">
            <w:pPr>
              <w:pStyle w:val="elementtoproof"/>
              <w:spacing w:after="160" w:line="252" w:lineRule="auto"/>
              <w:jc w:val="both"/>
              <w:rPr>
                <w:rFonts w:ascii="Times New Roman" w:hAnsi="Times New Roman" w:cs="Times New Roman"/>
              </w:rPr>
            </w:pPr>
            <w:r w:rsidRPr="00822FD1">
              <w:rPr>
                <w:rFonts w:ascii="Times New Roman" w:hAnsi="Times New Roman" w:cs="Times New Roman"/>
              </w:rPr>
              <w:t>Nuk parashikohen takime fizike</w:t>
            </w:r>
            <w:r w:rsidR="00C64C1D" w:rsidRPr="00822FD1">
              <w:rPr>
                <w:rFonts w:ascii="Times New Roman" w:hAnsi="Times New Roman" w:cs="Times New Roman"/>
              </w:rPr>
              <w:t>.</w:t>
            </w:r>
          </w:p>
          <w:p w14:paraId="225A0334" w14:textId="73924593" w:rsidR="00146864" w:rsidRPr="00822FD1" w:rsidRDefault="00146864" w:rsidP="009F3A30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29B33FD3" w14:textId="77777777" w:rsidR="008675CA" w:rsidRPr="00822FD1" w:rsidRDefault="008675CA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CA45918" w14:textId="77777777" w:rsidR="008675CA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822FD1">
        <w:rPr>
          <w:rFonts w:asciiTheme="minorHAnsi" w:hAnsiTheme="minorHAnsi" w:cstheme="minorHAnsi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5017327A" w14:textId="77777777" w:rsidTr="009F3A30">
        <w:tc>
          <w:tcPr>
            <w:tcW w:w="9212" w:type="dxa"/>
          </w:tcPr>
          <w:p w14:paraId="27FAC696" w14:textId="77777777" w:rsidR="001E4573" w:rsidRPr="00822FD1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rregulloreve ekzistuese, çfar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eshte bërë në të kaluarën ashtu siç duhet me keto politika.</w:t>
            </w:r>
          </w:p>
          <w:p w14:paraId="5AA12C4D" w14:textId="77777777" w:rsidR="001E4573" w:rsidRPr="00822FD1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14:paraId="2A484225" w14:textId="3A9B2ACB" w:rsidR="00E87F83" w:rsidRPr="00822FD1" w:rsidRDefault="00E87F83" w:rsidP="00E87F83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Rishikimi i cmimeve t</w:t>
            </w:r>
            <w:r w:rsidR="00C44D23"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ë</w:t>
            </w:r>
            <w:r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referenc</w:t>
            </w:r>
            <w:r w:rsidR="00C44D23"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ë</w:t>
            </w:r>
            <w:r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s p</w:t>
            </w:r>
            <w:r w:rsidR="00C44D23"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ë</w:t>
            </w:r>
            <w:r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r nd</w:t>
            </w:r>
            <w:r w:rsidR="00C44D23"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ë</w:t>
            </w:r>
            <w:r w:rsidR="00640EAA"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r</w:t>
            </w:r>
            <w:r w:rsidRPr="0082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tesat</w:t>
            </w:r>
          </w:p>
          <w:p w14:paraId="0C02D283" w14:textId="77777777" w:rsidR="00F928E6" w:rsidRPr="00822FD1" w:rsidRDefault="00F928E6" w:rsidP="00E87F8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14:paraId="7EE2ADC1" w14:textId="7EEA29EC" w:rsidR="00E87F83" w:rsidRPr="00822FD1" w:rsidRDefault="00E87F83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mesin e vitit 2023</w:t>
            </w:r>
            <w:r w:rsidR="00640EAA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 b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rishikimi i çmimeve mesatare referuese të banesave të Bashkisë Tiranë, nd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F928E6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sa p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r t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gjith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bashkit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dhe komuna</w:t>
            </w:r>
            <w:r w:rsidR="00F928E6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</w:t>
            </w:r>
            <w:r w:rsidR="00F928E6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tjera n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gjith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territorin e Republik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s s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Shqip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ri</w:t>
            </w:r>
            <w:r w:rsidR="00F928E6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8D6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D6982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është parashikuar</w:t>
            </w:r>
            <w:r w:rsidR="008D6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që </w:t>
            </w:r>
            <w:r w:rsidR="000516DF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çmime</w:t>
            </w:r>
            <w:r w:rsidR="000516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e rishikuara </w:t>
            </w:r>
            <w:r w:rsidR="000516DF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mesatare referuese të banesave 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hyjn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fuqi n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n 1 janar 2026.</w:t>
            </w:r>
          </w:p>
          <w:p w14:paraId="5EFD4345" w14:textId="1870212A" w:rsidR="005607B9" w:rsidRPr="00822FD1" w:rsidRDefault="00640EAA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Ç</w:t>
            </w:r>
            <w:r w:rsidR="005607B9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mimet mesatare referuese të banesave q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5607B9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rishikohen i p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5607B9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rkasin vitit 2026.</w:t>
            </w:r>
          </w:p>
          <w:p w14:paraId="455333BA" w14:textId="77777777" w:rsidR="003834E6" w:rsidRPr="00822FD1" w:rsidRDefault="003834E6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Të dhënat nga Banka e Shqipërisë tregojnë se çmimet e banesave, në rang vendi, kanë shënuar rritje të konsiderueshme. Vetëm në gjashtëmujorin e parë të vitit 2024, indeksi </w:t>
            </w:r>
            <w:r w:rsidRPr="00822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Fischer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çmimit të banesave u rrit me 16.9%, ndërsa në gjashtëmujorin e dytë me 23.6%. Kjo tendencë rritëse, krahasuar me periudhën e fundit të rivlerësimeve në vitin 2022, e bën të domosdoshëm një përditësim të vlerës së pasurive të paluajtshme në përputhje me realitetin e tregut.</w:t>
            </w:r>
          </w:p>
          <w:p w14:paraId="1C0F4366" w14:textId="7664178A" w:rsidR="00E87F83" w:rsidRPr="00822FD1" w:rsidRDefault="00E87F83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Ky rishikim synon p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rafrimin gradualisht me çmimet reale të tregut, 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duk</w:t>
            </w:r>
            <w:r w:rsidR="00F928E6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rritur k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shtu baz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F928E6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e tatu</w:t>
            </w:r>
            <w:r w:rsidR="00F928E6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shme t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vler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s s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pron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s nd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rtes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mbi t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cil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4E56C1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n aplikohen tatimet.</w:t>
            </w:r>
          </w:p>
          <w:p w14:paraId="69D22447" w14:textId="25AFE3AE" w:rsidR="00E87F83" w:rsidRPr="00822FD1" w:rsidRDefault="00E87F83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Përvoja e mëparshme nga aplikimi i ligjeve të ngjashme, ka treguar se ekziston një interes i lartë nga qytetarët për të përfituar nga mundësia e rivlerësimit të pasurisë, çka është reflektuar në rritjen e ndjeshme të numrit të aplikimeve dhe transaksioneve të regjistruara pranë Agjencisë Shtetërore të Kadastrës. </w:t>
            </w:r>
          </w:p>
          <w:p w14:paraId="7EB181C2" w14:textId="7A19AA35" w:rsidR="003834E6" w:rsidRPr="00822FD1" w:rsidRDefault="003834E6" w:rsidP="00077675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lang w:val="sq-AL"/>
              </w:rPr>
            </w:pPr>
            <w:r w:rsidRPr="00822FD1">
              <w:rPr>
                <w:rStyle w:val="Strong"/>
                <w:b w:val="0"/>
                <w:bCs w:val="0"/>
                <w:lang w:val="sq-AL"/>
              </w:rPr>
              <w:t>Në periudhën 2011-2013</w:t>
            </w:r>
            <w:r w:rsidRPr="00822FD1">
              <w:rPr>
                <w:lang w:val="sq-AL"/>
              </w:rPr>
              <w:t xml:space="preserve">, janë kryer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95,681 aplikime</w:t>
            </w:r>
            <w:r w:rsidRPr="00822FD1">
              <w:rPr>
                <w:lang w:val="sq-AL"/>
              </w:rPr>
              <w:t xml:space="preserve"> për rivlerësim, me një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normë tatimore prej 1%</w:t>
            </w:r>
            <w:r w:rsidRPr="00822FD1">
              <w:rPr>
                <w:lang w:val="sq-AL"/>
              </w:rPr>
              <w:t>, duke sjellë një total tatimi të paguar rreth 4 miliard</w:t>
            </w:r>
            <w:r w:rsidR="00C44D23" w:rsidRPr="00822FD1">
              <w:rPr>
                <w:lang w:val="sq-AL"/>
              </w:rPr>
              <w:t>ë</w:t>
            </w:r>
            <w:r w:rsidRPr="00822FD1">
              <w:rPr>
                <w:rStyle w:val="Strong"/>
                <w:b w:val="0"/>
                <w:bCs w:val="0"/>
                <w:lang w:val="sq-AL"/>
              </w:rPr>
              <w:t xml:space="preserve"> lekë</w:t>
            </w:r>
            <w:r w:rsidRPr="00822FD1">
              <w:rPr>
                <w:lang w:val="sq-AL"/>
              </w:rPr>
              <w:t>.</w:t>
            </w:r>
          </w:p>
          <w:p w14:paraId="7ACBE137" w14:textId="5970B1B2" w:rsidR="003834E6" w:rsidRPr="00822FD1" w:rsidRDefault="003834E6" w:rsidP="00077675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lang w:val="sq-AL"/>
              </w:rPr>
            </w:pPr>
            <w:r w:rsidRPr="00822FD1">
              <w:rPr>
                <w:rStyle w:val="Strong"/>
                <w:b w:val="0"/>
                <w:bCs w:val="0"/>
                <w:lang w:val="sq-AL"/>
              </w:rPr>
              <w:t>Në periudhën 2016-2017</w:t>
            </w:r>
            <w:r w:rsidRPr="00822FD1">
              <w:rPr>
                <w:lang w:val="sq-AL"/>
              </w:rPr>
              <w:t xml:space="preserve">, janë regjistruar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64,686 aplikime</w:t>
            </w:r>
            <w:r w:rsidRPr="00822FD1">
              <w:rPr>
                <w:lang w:val="sq-AL"/>
              </w:rPr>
              <w:t xml:space="preserve">, me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normë tatimore 2%</w:t>
            </w:r>
            <w:r w:rsidRPr="00822FD1">
              <w:rPr>
                <w:lang w:val="sq-AL"/>
              </w:rPr>
              <w:t xml:space="preserve">, dhe është arkëtuar një shumë rreth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5,7 mi</w:t>
            </w:r>
            <w:r w:rsidR="008D6982">
              <w:rPr>
                <w:rStyle w:val="Strong"/>
                <w:b w:val="0"/>
                <w:bCs w:val="0"/>
                <w:lang w:val="sq-AL"/>
              </w:rPr>
              <w:t>l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ard</w:t>
            </w:r>
            <w:r w:rsidR="00C44D23" w:rsidRPr="00822FD1">
              <w:rPr>
                <w:rStyle w:val="Strong"/>
                <w:b w:val="0"/>
                <w:bCs w:val="0"/>
                <w:lang w:val="sq-AL"/>
              </w:rPr>
              <w:t>ë</w:t>
            </w:r>
            <w:r w:rsidRPr="00822FD1">
              <w:rPr>
                <w:rStyle w:val="Strong"/>
                <w:b w:val="0"/>
                <w:bCs w:val="0"/>
                <w:lang w:val="sq-AL"/>
              </w:rPr>
              <w:t xml:space="preserve"> lekësh</w:t>
            </w:r>
            <w:r w:rsidRPr="00822FD1">
              <w:rPr>
                <w:lang w:val="sq-AL"/>
              </w:rPr>
              <w:t>.</w:t>
            </w:r>
          </w:p>
          <w:p w14:paraId="13CC844E" w14:textId="77777777" w:rsidR="00077675" w:rsidRDefault="003834E6" w:rsidP="00077675">
            <w:pPr>
              <w:pStyle w:val="NormalWeb"/>
              <w:numPr>
                <w:ilvl w:val="0"/>
                <w:numId w:val="12"/>
              </w:numPr>
              <w:spacing w:line="276" w:lineRule="auto"/>
              <w:rPr>
                <w:lang w:val="sq-AL"/>
              </w:rPr>
            </w:pPr>
            <w:r w:rsidRPr="00822FD1">
              <w:rPr>
                <w:rStyle w:val="Strong"/>
                <w:b w:val="0"/>
                <w:bCs w:val="0"/>
                <w:lang w:val="sq-AL"/>
              </w:rPr>
              <w:lastRenderedPageBreak/>
              <w:t>Në periudhën 2020-2022</w:t>
            </w:r>
            <w:r w:rsidRPr="00822FD1">
              <w:rPr>
                <w:lang w:val="sq-AL"/>
              </w:rPr>
              <w:t xml:space="preserve">, janë kryer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94,298 aplikime</w:t>
            </w:r>
            <w:r w:rsidRPr="00822FD1">
              <w:rPr>
                <w:lang w:val="sq-AL"/>
              </w:rPr>
              <w:t xml:space="preserve">, me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normë tatimore 3%</w:t>
            </w:r>
            <w:r w:rsidRPr="00822FD1">
              <w:rPr>
                <w:lang w:val="sq-AL"/>
              </w:rPr>
              <w:t xml:space="preserve">, duke gjeneruar rreth </w:t>
            </w:r>
            <w:r w:rsidRPr="00822FD1">
              <w:rPr>
                <w:rStyle w:val="Strong"/>
                <w:b w:val="0"/>
                <w:bCs w:val="0"/>
                <w:lang w:val="sq-AL"/>
              </w:rPr>
              <w:t>13,86 miliard</w:t>
            </w:r>
            <w:r w:rsidR="00C44D23" w:rsidRPr="00822FD1">
              <w:rPr>
                <w:rStyle w:val="Strong"/>
                <w:b w:val="0"/>
                <w:bCs w:val="0"/>
                <w:lang w:val="sq-AL"/>
              </w:rPr>
              <w:t>ë</w:t>
            </w:r>
            <w:r w:rsidRPr="00822FD1">
              <w:rPr>
                <w:rStyle w:val="Strong"/>
                <w:b w:val="0"/>
                <w:bCs w:val="0"/>
                <w:lang w:val="sq-AL"/>
              </w:rPr>
              <w:t xml:space="preserve">  lekë</w:t>
            </w:r>
            <w:r w:rsidRPr="00822FD1">
              <w:rPr>
                <w:lang w:val="sq-AL"/>
              </w:rPr>
              <w:t xml:space="preserve"> nga tatimi.</w:t>
            </w:r>
          </w:p>
          <w:p w14:paraId="59B6BADD" w14:textId="0C8CE226" w:rsidR="00077675" w:rsidRPr="00077675" w:rsidRDefault="003834E6" w:rsidP="00077675">
            <w:pPr>
              <w:pStyle w:val="NormalWeb"/>
              <w:spacing w:line="276" w:lineRule="auto"/>
              <w:ind w:left="1800"/>
              <w:rPr>
                <w:lang w:val="sq-AL"/>
              </w:rPr>
            </w:pPr>
            <w:r w:rsidRPr="00077675">
              <w:rPr>
                <w:lang w:val="sq-AL"/>
              </w:rPr>
              <w:t xml:space="preserve">Në total, përgjatë gjithë këtyre periudhave, janë bërë </w:t>
            </w:r>
            <w:r w:rsidRPr="00077675">
              <w:rPr>
                <w:rStyle w:val="Strong"/>
                <w:b w:val="0"/>
                <w:bCs w:val="0"/>
                <w:lang w:val="sq-AL"/>
              </w:rPr>
              <w:t>254,665 aplikime</w:t>
            </w:r>
            <w:r w:rsidRPr="00077675">
              <w:rPr>
                <w:lang w:val="sq-AL"/>
              </w:rPr>
              <w:t xml:space="preserve"> dhe është mbledhur një shumë prej rreth </w:t>
            </w:r>
            <w:r w:rsidRPr="00077675">
              <w:rPr>
                <w:rStyle w:val="Strong"/>
                <w:b w:val="0"/>
                <w:bCs w:val="0"/>
                <w:lang w:val="sq-AL"/>
              </w:rPr>
              <w:t>23,54 miliard</w:t>
            </w:r>
            <w:r w:rsidR="00C44D23" w:rsidRPr="00077675">
              <w:rPr>
                <w:rStyle w:val="Strong"/>
                <w:b w:val="0"/>
                <w:bCs w:val="0"/>
                <w:lang w:val="sq-AL"/>
              </w:rPr>
              <w:t>ë</w:t>
            </w:r>
            <w:r w:rsidRPr="00077675">
              <w:rPr>
                <w:rStyle w:val="Strong"/>
                <w:b w:val="0"/>
                <w:bCs w:val="0"/>
                <w:lang w:val="sq-AL"/>
              </w:rPr>
              <w:t xml:space="preserve"> lek</w:t>
            </w:r>
            <w:r w:rsidR="00C44D23" w:rsidRPr="00077675">
              <w:rPr>
                <w:rStyle w:val="Strong"/>
                <w:b w:val="0"/>
                <w:bCs w:val="0"/>
                <w:lang w:val="sq-AL"/>
              </w:rPr>
              <w:t>ë</w:t>
            </w:r>
            <w:r w:rsidRPr="00077675">
              <w:rPr>
                <w:rStyle w:val="Strong"/>
                <w:b w:val="0"/>
                <w:bCs w:val="0"/>
                <w:lang w:val="sq-AL"/>
              </w:rPr>
              <w:t xml:space="preserve"> </w:t>
            </w:r>
            <w:r w:rsidRPr="00077675">
              <w:rPr>
                <w:lang w:val="sq-AL"/>
              </w:rPr>
              <w:t>nga tatimi i rivlerësimit.</w:t>
            </w:r>
          </w:p>
          <w:p w14:paraId="7590D3B8" w14:textId="25661EC2" w:rsidR="00675C00" w:rsidRPr="00077675" w:rsidRDefault="003834E6" w:rsidP="00483D57">
            <w:pPr>
              <w:pStyle w:val="NormalWeb"/>
              <w:numPr>
                <w:ilvl w:val="0"/>
                <w:numId w:val="2"/>
              </w:numPr>
              <w:spacing w:line="276" w:lineRule="auto"/>
              <w:jc w:val="both"/>
              <w:rPr>
                <w:lang w:val="sq-AL"/>
              </w:rPr>
            </w:pPr>
            <w:r w:rsidRPr="00077675">
              <w:rPr>
                <w:color w:val="000000"/>
              </w:rPr>
              <w:t>R</w:t>
            </w:r>
            <w:r w:rsidR="00E87F83" w:rsidRPr="00077675">
              <w:rPr>
                <w:color w:val="000000"/>
              </w:rPr>
              <w:t>ivlerësimi me çmimet e përafërta me tregun është një mekanizëm</w:t>
            </w:r>
            <w:r w:rsidR="00066246" w:rsidRPr="00077675">
              <w:rPr>
                <w:color w:val="000000"/>
              </w:rPr>
              <w:t>,</w:t>
            </w:r>
            <w:r w:rsidR="00E87F83" w:rsidRPr="00077675">
              <w:rPr>
                <w:color w:val="000000"/>
              </w:rPr>
              <w:t xml:space="preserve"> që ndihmon në uljen e informalitetit në transaksionet e pasurive të paluajtshme, duke e bërë të vështirë deklarimin fiktiv të vlerave më të ulëta gjatë shitblerjeve, një problem i vazhdueshëm në praktikë.</w:t>
            </w:r>
          </w:p>
        </w:tc>
      </w:tr>
    </w:tbl>
    <w:p w14:paraId="24F85D3F" w14:textId="77777777" w:rsidR="008675CA" w:rsidRPr="00822FD1" w:rsidRDefault="008675CA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14:paraId="671DF514" w14:textId="77777777" w:rsidR="00E54C97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14:paraId="034FED24" w14:textId="77777777" w:rsidR="008675CA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822FD1">
        <w:rPr>
          <w:rFonts w:asciiTheme="minorHAnsi" w:hAnsiTheme="minorHAnsi" w:cstheme="minorHAnsi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59FC2C08" w14:textId="77777777" w:rsidTr="009F3A30">
        <w:tc>
          <w:tcPr>
            <w:tcW w:w="9212" w:type="dxa"/>
          </w:tcPr>
          <w:p w14:paraId="2C492EA2" w14:textId="77777777" w:rsidR="008675CA" w:rsidRPr="00822FD1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gjuhë të thjeshtë.</w:t>
            </w:r>
          </w:p>
          <w:p w14:paraId="0E8ECB4F" w14:textId="77777777" w:rsidR="001E4573" w:rsidRPr="001B0699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E4D7730" w14:textId="77777777" w:rsidR="00C44D23" w:rsidRPr="00822FD1" w:rsidRDefault="00C44D23" w:rsidP="00FB1BDF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Propozimi i këtij projektligji ka për qëllim t’u ofrojë qytetarëve edhe një herë mundësinë për të kryer rivlerësimin e pasurive të paluajtshme në një afat të kufizuar, nga data 1 janar 2026 deri më 30 shtator 2026. </w:t>
            </w:r>
          </w:p>
          <w:p w14:paraId="5EFD2ABE" w14:textId="77777777" w:rsidR="00C44D23" w:rsidRPr="00822FD1" w:rsidRDefault="00C44D23" w:rsidP="00FB1BDF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Projektligji parashikon të drejtën e personave juridikë për të rivlerësuar pasuritë e tyre të paluajtshme me vlerën e tregut, nëse këto pasuri janë të regjistruara me një vlerë më të ulët në pasqyrat financiare. </w:t>
            </w:r>
          </w:p>
          <w:p w14:paraId="6D20D8D3" w14:textId="77777777" w:rsidR="00066246" w:rsidRPr="00822FD1" w:rsidRDefault="00C44D23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Zgjedhja e afatit 9 mujor është bërë duke pasur parasysh balancën midis kohës së mjaftueshme për informimin dhe përgatitjen e qytetarëve dhe nevojës për të ruajtur karakterin e përkohshëm të masës, në mënyrë që të mos deformohet funksioni normal i tregut.</w:t>
            </w:r>
          </w:p>
          <w:p w14:paraId="6D4FC373" w14:textId="77777777" w:rsidR="00066246" w:rsidRPr="00822FD1" w:rsidRDefault="00C44D23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sz w:val="24"/>
                <w:szCs w:val="24"/>
              </w:rPr>
              <w:t>Norma e rivlerësimit është 5%.</w:t>
            </w:r>
          </w:p>
          <w:p w14:paraId="4E652F5A" w14:textId="548CAA32" w:rsidR="00C44D23" w:rsidRPr="00822FD1" w:rsidRDefault="00C44D23" w:rsidP="00066246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sz w:val="24"/>
                <w:szCs w:val="24"/>
              </w:rPr>
              <w:t>Rivlerësim</w:t>
            </w:r>
            <w:r w:rsidR="00DF6CE1">
              <w:rPr>
                <w:rFonts w:ascii="Times New Roman" w:hAnsi="Times New Roman"/>
                <w:sz w:val="24"/>
                <w:szCs w:val="24"/>
              </w:rPr>
              <w:t>i</w:t>
            </w:r>
            <w:r w:rsidRPr="00822FD1">
              <w:rPr>
                <w:rFonts w:ascii="Times New Roman" w:hAnsi="Times New Roman"/>
                <w:sz w:val="24"/>
                <w:szCs w:val="24"/>
              </w:rPr>
              <w:t xml:space="preserve"> për in</w:t>
            </w:r>
            <w:r w:rsidR="00DF6CE1">
              <w:rPr>
                <w:rFonts w:ascii="Times New Roman" w:hAnsi="Times New Roman"/>
                <w:sz w:val="24"/>
                <w:szCs w:val="24"/>
              </w:rPr>
              <w:t>d</w:t>
            </w:r>
            <w:r w:rsidRPr="00822FD1">
              <w:rPr>
                <w:rFonts w:ascii="Times New Roman" w:hAnsi="Times New Roman"/>
                <w:sz w:val="24"/>
                <w:szCs w:val="24"/>
              </w:rPr>
              <w:t>ividët mund të bëhet nga një ekspert i licencuar për vlerësimin e pasurisë së paluajtshme nga institucionet përkatëse ose nga zyrat vendore të Agjencisë Shtetërore të Kadastrës.</w:t>
            </w:r>
          </w:p>
          <w:p w14:paraId="6FCE0A11" w14:textId="113B21AA" w:rsidR="00C44D23" w:rsidRPr="00822FD1" w:rsidRDefault="00C44D23" w:rsidP="00FB1BDF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Rivlerësimi nga personat juridikë kryhet nga ekspertë të licencuar dhe mbi diferencën e vlerës paguhet një tatim prej 5%, pa e përfshirë këtë diferencë në amortizimin tatimor.</w:t>
            </w:r>
          </w:p>
          <w:p w14:paraId="1D22E3DF" w14:textId="4F514A26" w:rsidR="00C44D23" w:rsidRPr="00822FD1" w:rsidRDefault="001B0699" w:rsidP="00FB1BD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Gjithashtu, k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y projektligj do të ketë ndikim pozitiv në të ardhurat e buxhetit të shtetit, përmes rritjes së të ardhurave nga tatimi mbi rivlerësimin. Kjo e bën atë një instrument efikas dhe të qëndrueshëm për politikën fiskale.</w:t>
            </w:r>
          </w:p>
          <w:p w14:paraId="7A7AF454" w14:textId="44663B61" w:rsidR="001E4573" w:rsidRPr="00822FD1" w:rsidRDefault="001E4573" w:rsidP="00C44D23">
            <w:pPr>
              <w:tabs>
                <w:tab w:val="left" w:pos="826"/>
              </w:tabs>
              <w:ind w:left="360" w:right="23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Default="008675CA" w:rsidP="008675CA">
      <w:pPr>
        <w:pStyle w:val="BodyText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</w:p>
    <w:p w14:paraId="34DBE361" w14:textId="77777777" w:rsidR="001B0699" w:rsidRDefault="001B0699" w:rsidP="008675CA">
      <w:pPr>
        <w:pStyle w:val="BodyText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</w:p>
    <w:p w14:paraId="3564ABCE" w14:textId="77777777" w:rsidR="001B0699" w:rsidRPr="00822FD1" w:rsidRDefault="001B0699" w:rsidP="008675CA">
      <w:pPr>
        <w:pStyle w:val="BodyText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</w:p>
    <w:p w14:paraId="2D9A4CA5" w14:textId="77777777" w:rsidR="008675CA" w:rsidRPr="00822FD1" w:rsidRDefault="00E54C97" w:rsidP="008675C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822FD1">
        <w:rPr>
          <w:rFonts w:asciiTheme="minorHAnsi" w:hAnsiTheme="minorHAnsi" w:cstheme="minorHAnsi"/>
          <w:sz w:val="24"/>
          <w:szCs w:val="24"/>
        </w:rPr>
        <w:lastRenderedPageBreak/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22FD1" w14:paraId="6F85D1AB" w14:textId="77777777" w:rsidTr="009F3A30">
        <w:tc>
          <w:tcPr>
            <w:tcW w:w="9212" w:type="dxa"/>
          </w:tcPr>
          <w:p w14:paraId="137B2358" w14:textId="77777777"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</w:pP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ë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A e bën organizata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 xml:space="preserve"> </w:t>
            </w:r>
            <w:r w:rsidR="00785430"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j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 xml:space="preserve">uaj ..., etj.). Ju mund të merrni parasysh kufizimin e gjatësisë së përgjigjeve </w:t>
            </w:r>
            <w:r w:rsidR="00785430"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p</w:t>
            </w:r>
            <w:r w:rsidR="00044810"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ë</w:t>
            </w:r>
            <w:r w:rsidR="00785430"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 xml:space="preserve">r 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 xml:space="preserve"> pyetje</w:t>
            </w:r>
            <w:r w:rsidR="00785430"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>t</w:t>
            </w:r>
            <w:r w:rsidRPr="00822FD1"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  <w:t xml:space="preserve"> individuale (p.sh. 250/500 fjalë).</w:t>
            </w:r>
          </w:p>
          <w:p w14:paraId="2AEB7E40" w14:textId="77777777" w:rsidR="00403232" w:rsidRPr="00403232" w:rsidRDefault="0040323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"/>
                <w:szCs w:val="2"/>
                <w:lang w:val="it-CH"/>
              </w:rPr>
            </w:pPr>
          </w:p>
          <w:p w14:paraId="36D3929E" w14:textId="32A9DF53" w:rsidR="005918D4" w:rsidRPr="00822FD1" w:rsidRDefault="00675C00" w:rsidP="00403232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N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ëp</w:t>
            </w:r>
            <w:r w:rsidR="00D74830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rmjet konsultimit publik, Ministria e Fi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nancave 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k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rkon t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t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rheq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mendime dhe</w:t>
            </w:r>
            <w:r w:rsidR="00317D93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komente lidhur me 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t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sin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e dispozit</w:t>
            </w:r>
            <w:r w:rsidR="00317D93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a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ve q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jan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par</w:t>
            </w:r>
            <w:r w:rsidR="00317D93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a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shikuar p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 pr</w:t>
            </w:r>
            <w:r w:rsidR="00317D93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o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cesin e rivler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simi</w:t>
            </w:r>
            <w:r w:rsidR="00E3525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n,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n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ve</w:t>
            </w:r>
            <w:r w:rsidR="00317D93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ç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anti:</w:t>
            </w:r>
          </w:p>
          <w:p w14:paraId="6D45888C" w14:textId="08E73EB1" w:rsidR="00683DEB" w:rsidRPr="00822FD1" w:rsidRDefault="00675C00" w:rsidP="00403232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Ministria e Financave ka propozuar 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norm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n e rivler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simit prej 5%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. A ka dakordësi mbi kët</w:t>
            </w:r>
            <w:r w:rsidR="00317D93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parashikim?</w:t>
            </w:r>
          </w:p>
          <w:p w14:paraId="7EF72468" w14:textId="62B48582" w:rsidR="00683DEB" w:rsidRPr="00822FD1" w:rsidRDefault="00403232" w:rsidP="00403232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Projekt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ligji parashikon q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procesi i rivler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simit t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zgjas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9 muaj</w:t>
            </w:r>
            <w:r w:rsidR="00317D93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.</w:t>
            </w:r>
            <w:r w:rsidR="00FB1BDF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A ka dakordësi mbi kët</w:t>
            </w:r>
            <w:r w:rsidR="00C44D23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parashikim?</w:t>
            </w:r>
          </w:p>
          <w:p w14:paraId="2DADC2A5" w14:textId="7DB591BE" w:rsidR="00675C00" w:rsidRPr="00822FD1" w:rsidRDefault="00261953" w:rsidP="00403232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Projekt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ligji parashikon </w:t>
            </w:r>
            <w:r w:rsidR="00C44D23" w:rsidRPr="00822FD1">
              <w:rPr>
                <w:rFonts w:ascii="Times New Roman" w:hAnsi="Times New Roman"/>
                <w:color w:val="000000"/>
                <w:sz w:val="24"/>
                <w:szCs w:val="24"/>
              </w:rPr>
              <w:t>të drejtën e personave juridikë për të rivlerësuar pasuritë e tyre të paluajtshme me vlerën e tregut, nëse këto pasuri janë të regjistruara me një vlerë më të ulët në pasqyrat financiare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. A janë të mjaftueshëm këto kompone</w:t>
            </w:r>
            <w:r w:rsidR="00D9169F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ntë</w:t>
            </w:r>
            <w:r w:rsidR="00683DEB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apo ka propozime për masa të tjera</w:t>
            </w:r>
            <w:r w:rsidR="00D9169F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?</w:t>
            </w:r>
          </w:p>
          <w:p w14:paraId="526AABE2" w14:textId="0BA3BD0E" w:rsidR="00683DEB" w:rsidRPr="00822FD1" w:rsidRDefault="00D74830" w:rsidP="00403232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A ka propozime për 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parashikime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të reja që duhet të vendosen në </w:t>
            </w:r>
            <w:r w:rsidR="00D9169F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projek</w:t>
            </w:r>
            <w:r w:rsidR="000A44A6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ligj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për të rritur 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inte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re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sin p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 rivler</w:t>
            </w:r>
            <w:r w:rsidR="00DA03C2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</w:t>
            </w:r>
            <w:r w:rsidR="00D9169F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i</w:t>
            </w:r>
            <w:r w:rsidR="005918D4"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min</w:t>
            </w: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?</w:t>
            </w:r>
          </w:p>
          <w:p w14:paraId="04BBE5AD" w14:textId="56FE89FE" w:rsidR="00C447DC" w:rsidRPr="00822FD1" w:rsidRDefault="00C447DC" w:rsidP="00403232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 w:rsidRPr="00822FD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Cili do të ishte ndikimi i propozimeve tona në biznesin tuaj, organizatat?</w:t>
            </w:r>
          </w:p>
          <w:p w14:paraId="5FFF2172" w14:textId="2941B8D1" w:rsidR="00683DEB" w:rsidRPr="00822FD1" w:rsidRDefault="00683DEB" w:rsidP="005918D4">
            <w:pPr>
              <w:pStyle w:val="BodyText"/>
              <w:ind w:left="207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val="it-CH"/>
              </w:rPr>
            </w:pPr>
          </w:p>
          <w:p w14:paraId="2E9C3600" w14:textId="77777777" w:rsidR="00675C00" w:rsidRPr="00822FD1" w:rsidRDefault="00675C00" w:rsidP="009F3A30">
            <w:pPr>
              <w:pStyle w:val="BodyText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val="it-CH"/>
              </w:rPr>
            </w:pPr>
          </w:p>
          <w:p w14:paraId="20630F0F" w14:textId="77777777" w:rsidR="001E4573" w:rsidRPr="00822FD1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val="it-CH"/>
              </w:rPr>
            </w:pPr>
          </w:p>
          <w:p w14:paraId="134568ED" w14:textId="77777777" w:rsidR="001E4573" w:rsidRPr="00822FD1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</w:pPr>
          </w:p>
          <w:p w14:paraId="68D70198" w14:textId="77777777" w:rsidR="001E4573" w:rsidRPr="00822FD1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</w:pPr>
          </w:p>
          <w:p w14:paraId="1B651896" w14:textId="77777777" w:rsidR="001E4573" w:rsidRPr="00822FD1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</w:pPr>
          </w:p>
          <w:p w14:paraId="106CE958" w14:textId="77777777" w:rsidR="001E4573" w:rsidRPr="00822FD1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</w:pPr>
          </w:p>
          <w:p w14:paraId="3D4086F2" w14:textId="77777777" w:rsidR="001E4573" w:rsidRPr="00822FD1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CH"/>
              </w:rPr>
            </w:pPr>
          </w:p>
        </w:tc>
      </w:tr>
    </w:tbl>
    <w:p w14:paraId="7BC99291" w14:textId="77777777" w:rsidR="008675CA" w:rsidRPr="00822FD1" w:rsidRDefault="008675CA" w:rsidP="008675CA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  <w:lang w:val="it-CH"/>
        </w:rPr>
      </w:pPr>
    </w:p>
    <w:p w14:paraId="7F08B1D8" w14:textId="77777777" w:rsidR="008675CA" w:rsidRPr="00822FD1" w:rsidRDefault="008675CA">
      <w:pPr>
        <w:rPr>
          <w:sz w:val="24"/>
          <w:szCs w:val="24"/>
          <w:lang w:val="it-CH"/>
        </w:rPr>
      </w:pPr>
    </w:p>
    <w:sectPr w:rsidR="008675CA" w:rsidRPr="00822FD1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50A"/>
    <w:multiLevelType w:val="hybridMultilevel"/>
    <w:tmpl w:val="EB1C59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08301F"/>
    <w:multiLevelType w:val="hybridMultilevel"/>
    <w:tmpl w:val="B6684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75F12"/>
    <w:multiLevelType w:val="hybridMultilevel"/>
    <w:tmpl w:val="EACA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DC7"/>
    <w:multiLevelType w:val="multilevel"/>
    <w:tmpl w:val="9360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340BA"/>
    <w:multiLevelType w:val="hybridMultilevel"/>
    <w:tmpl w:val="3E768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C53C6"/>
    <w:multiLevelType w:val="hybridMultilevel"/>
    <w:tmpl w:val="CAB40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4664"/>
    <w:multiLevelType w:val="hybridMultilevel"/>
    <w:tmpl w:val="48FEB3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0F45D8C"/>
    <w:multiLevelType w:val="hybridMultilevel"/>
    <w:tmpl w:val="33A247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17198"/>
    <w:multiLevelType w:val="hybridMultilevel"/>
    <w:tmpl w:val="307A2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143D87"/>
    <w:multiLevelType w:val="multilevel"/>
    <w:tmpl w:val="C2F01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i/>
      </w:rPr>
    </w:lvl>
  </w:abstractNum>
  <w:abstractNum w:abstractNumId="10" w15:restartNumberingAfterBreak="0">
    <w:nsid w:val="70E01C5B"/>
    <w:multiLevelType w:val="hybridMultilevel"/>
    <w:tmpl w:val="D16C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FF9"/>
    <w:multiLevelType w:val="hybridMultilevel"/>
    <w:tmpl w:val="F28A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320">
    <w:abstractNumId w:val="1"/>
  </w:num>
  <w:num w:numId="2" w16cid:durableId="1235582567">
    <w:abstractNumId w:val="11"/>
  </w:num>
  <w:num w:numId="3" w16cid:durableId="2061241654">
    <w:abstractNumId w:val="9"/>
  </w:num>
  <w:num w:numId="4" w16cid:durableId="1939368769">
    <w:abstractNumId w:val="4"/>
  </w:num>
  <w:num w:numId="5" w16cid:durableId="859855704">
    <w:abstractNumId w:val="8"/>
  </w:num>
  <w:num w:numId="6" w16cid:durableId="386301048">
    <w:abstractNumId w:val="6"/>
  </w:num>
  <w:num w:numId="7" w16cid:durableId="1398628794">
    <w:abstractNumId w:val="7"/>
  </w:num>
  <w:num w:numId="8" w16cid:durableId="1145244207">
    <w:abstractNumId w:val="10"/>
  </w:num>
  <w:num w:numId="9" w16cid:durableId="1272544267">
    <w:abstractNumId w:val="2"/>
  </w:num>
  <w:num w:numId="10" w16cid:durableId="1402754737">
    <w:abstractNumId w:val="3"/>
  </w:num>
  <w:num w:numId="11" w16cid:durableId="1924681710">
    <w:abstractNumId w:val="5"/>
  </w:num>
  <w:num w:numId="12" w16cid:durableId="49153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A"/>
    <w:rsid w:val="00036597"/>
    <w:rsid w:val="00044810"/>
    <w:rsid w:val="000516DF"/>
    <w:rsid w:val="00066246"/>
    <w:rsid w:val="00077675"/>
    <w:rsid w:val="000A44A6"/>
    <w:rsid w:val="00100B2A"/>
    <w:rsid w:val="00103C86"/>
    <w:rsid w:val="00146864"/>
    <w:rsid w:val="001B0699"/>
    <w:rsid w:val="001D7FE1"/>
    <w:rsid w:val="001E4573"/>
    <w:rsid w:val="00261953"/>
    <w:rsid w:val="00282382"/>
    <w:rsid w:val="002E5946"/>
    <w:rsid w:val="002E5A18"/>
    <w:rsid w:val="003159D6"/>
    <w:rsid w:val="00317D93"/>
    <w:rsid w:val="0035262F"/>
    <w:rsid w:val="003834E6"/>
    <w:rsid w:val="00403232"/>
    <w:rsid w:val="00453FEB"/>
    <w:rsid w:val="00463C25"/>
    <w:rsid w:val="00483D57"/>
    <w:rsid w:val="004C5AE2"/>
    <w:rsid w:val="004E56C1"/>
    <w:rsid w:val="00504DAF"/>
    <w:rsid w:val="005374C3"/>
    <w:rsid w:val="005607B9"/>
    <w:rsid w:val="00574E6C"/>
    <w:rsid w:val="005918D4"/>
    <w:rsid w:val="00640EAA"/>
    <w:rsid w:val="006615AB"/>
    <w:rsid w:val="00675C00"/>
    <w:rsid w:val="00683DEB"/>
    <w:rsid w:val="006A20F3"/>
    <w:rsid w:val="007738F7"/>
    <w:rsid w:val="00785430"/>
    <w:rsid w:val="00822FD1"/>
    <w:rsid w:val="008675CA"/>
    <w:rsid w:val="008D6982"/>
    <w:rsid w:val="008F7012"/>
    <w:rsid w:val="009A7FFC"/>
    <w:rsid w:val="00A07A2E"/>
    <w:rsid w:val="00A17EE5"/>
    <w:rsid w:val="00B95821"/>
    <w:rsid w:val="00BD2CC2"/>
    <w:rsid w:val="00BD3573"/>
    <w:rsid w:val="00BF5E2A"/>
    <w:rsid w:val="00C447DC"/>
    <w:rsid w:val="00C44D23"/>
    <w:rsid w:val="00C47DA0"/>
    <w:rsid w:val="00C64C1D"/>
    <w:rsid w:val="00CC3D10"/>
    <w:rsid w:val="00CD4F3B"/>
    <w:rsid w:val="00D74830"/>
    <w:rsid w:val="00D9169F"/>
    <w:rsid w:val="00DA03C2"/>
    <w:rsid w:val="00DF6CE1"/>
    <w:rsid w:val="00E3525A"/>
    <w:rsid w:val="00E4228F"/>
    <w:rsid w:val="00E54C97"/>
    <w:rsid w:val="00E553A1"/>
    <w:rsid w:val="00E87F83"/>
    <w:rsid w:val="00EA5FB1"/>
    <w:rsid w:val="00EE5882"/>
    <w:rsid w:val="00F928E6"/>
    <w:rsid w:val="00FB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F3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46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864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uiPriority w:val="99"/>
    <w:rsid w:val="00146864"/>
    <w:rPr>
      <w:rFonts w:ascii="Aptos" w:eastAsiaTheme="minorHAnsi" w:hAnsi="Aptos" w:cs="Aptos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CD4F3B"/>
    <w:pPr>
      <w:spacing w:after="200"/>
    </w:pPr>
    <w:rPr>
      <w:rFonts w:asciiTheme="minorHAnsi" w:eastAsia="MS Mincho" w:hAnsiTheme="minorHAnsi" w:cstheme="minorBidi"/>
      <w:i/>
      <w:iCs/>
      <w:color w:val="44546A" w:themeColor="text2"/>
      <w:sz w:val="18"/>
      <w:szCs w:val="18"/>
      <w:lang w:val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4F3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4F3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sq-AL"/>
    </w:rPr>
  </w:style>
  <w:style w:type="paragraph" w:styleId="NoSpacing">
    <w:name w:val="No Spacing"/>
    <w:link w:val="NoSpacingChar"/>
    <w:uiPriority w:val="1"/>
    <w:qFormat/>
    <w:rsid w:val="00CD4F3B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link w:val="NoSpacing"/>
    <w:uiPriority w:val="1"/>
    <w:locked/>
    <w:rsid w:val="00CD4F3B"/>
    <w:rPr>
      <w:rFonts w:eastAsia="MS Mincho"/>
      <w:sz w:val="22"/>
      <w:szCs w:val="22"/>
      <w:lang w:val="sq-AL"/>
    </w:rPr>
  </w:style>
  <w:style w:type="paragraph" w:styleId="ListParagraph">
    <w:name w:val="List Paragraph"/>
    <w:aliases w:val="Normal 1,List Paragraph (numbered (a)),List Paragraph 1,Akapit z listą BS,Bullets,List Paragraph1,Bullet1,NumberedParas,Dot pt,F5 List Paragraph,List Paragraph Char Char Char,Indicator Text,Numbered Para 1,Bullet 1,Bullet Points,heading 4"/>
    <w:basedOn w:val="Normal"/>
    <w:link w:val="ListParagraphChar"/>
    <w:uiPriority w:val="34"/>
    <w:qFormat/>
    <w:rsid w:val="00675C0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Cs w:val="22"/>
      <w:lang w:val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675C00"/>
    <w:rPr>
      <w:rFonts w:eastAsia="MS Mincho"/>
      <w:sz w:val="22"/>
      <w:szCs w:val="22"/>
      <w:lang w:val="sq-AL"/>
    </w:rPr>
  </w:style>
  <w:style w:type="paragraph" w:styleId="NormalWeb">
    <w:name w:val="Normal (Web)"/>
    <w:basedOn w:val="Normal"/>
    <w:uiPriority w:val="99"/>
    <w:unhideWhenUsed/>
    <w:rsid w:val="003834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83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financa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Patricia Myslimi</cp:lastModifiedBy>
  <cp:revision>110</cp:revision>
  <cp:lastPrinted>2025-08-11T10:14:00Z</cp:lastPrinted>
  <dcterms:created xsi:type="dcterms:W3CDTF">2025-08-11T11:21:00Z</dcterms:created>
  <dcterms:modified xsi:type="dcterms:W3CDTF">2025-08-11T12:20:00Z</dcterms:modified>
</cp:coreProperties>
</file>