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DC51F" w14:textId="77777777" w:rsidR="00457DCA" w:rsidRPr="004A7593" w:rsidRDefault="00457DCA" w:rsidP="00BF1273">
      <w:pPr>
        <w:spacing w:after="0"/>
      </w:pPr>
    </w:p>
    <w:p w14:paraId="124FE40C" w14:textId="77777777" w:rsidR="00457DCA" w:rsidRPr="004A7593" w:rsidRDefault="00457DCA" w:rsidP="00BF1273">
      <w:pPr>
        <w:pStyle w:val="NoSpacing"/>
        <w:spacing w:line="276" w:lineRule="auto"/>
        <w:jc w:val="center"/>
        <w:rPr>
          <w:rFonts w:ascii="Times New Roman" w:hAnsi="Times New Roman"/>
          <w:b/>
          <w:sz w:val="24"/>
          <w:szCs w:val="24"/>
          <w:lang w:val="sq-AL"/>
        </w:rPr>
      </w:pPr>
      <w:r w:rsidRPr="004A7593">
        <w:rPr>
          <w:rFonts w:ascii="Times New Roman" w:hAnsi="Times New Roman"/>
          <w:b/>
          <w:noProof/>
          <w:sz w:val="24"/>
          <w:szCs w:val="24"/>
          <w:lang w:val="sq-AL"/>
        </w:rPr>
        <w:drawing>
          <wp:inline distT="0" distB="0" distL="0" distR="0" wp14:anchorId="203449F8" wp14:editId="11067F7F">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1DEC532A" w14:textId="77777777" w:rsidR="00457DCA" w:rsidRPr="004A7593" w:rsidRDefault="00457DCA" w:rsidP="00BF1273">
      <w:pPr>
        <w:pStyle w:val="NoSpacing"/>
        <w:spacing w:line="276" w:lineRule="auto"/>
        <w:jc w:val="center"/>
        <w:rPr>
          <w:rFonts w:ascii="Times New Roman" w:hAnsi="Times New Roman"/>
          <w:b/>
          <w:iCs/>
          <w:sz w:val="24"/>
          <w:szCs w:val="24"/>
          <w:lang w:val="sq-AL"/>
        </w:rPr>
      </w:pPr>
      <w:r w:rsidRPr="004A7593">
        <w:rPr>
          <w:rFonts w:ascii="Times New Roman" w:hAnsi="Times New Roman"/>
          <w:b/>
          <w:iCs/>
          <w:sz w:val="24"/>
          <w:szCs w:val="24"/>
          <w:lang w:val="sq-AL"/>
        </w:rPr>
        <w:t>REPUBLIKA E SHQIPËRISË</w:t>
      </w:r>
    </w:p>
    <w:p w14:paraId="0E3F2B95" w14:textId="77777777" w:rsidR="00457DCA" w:rsidRPr="004A7593" w:rsidRDefault="00457DCA" w:rsidP="00BF1273">
      <w:pPr>
        <w:tabs>
          <w:tab w:val="left" w:pos="11199"/>
        </w:tabs>
        <w:spacing w:after="0"/>
        <w:jc w:val="center"/>
        <w:rPr>
          <w:b/>
        </w:rPr>
      </w:pPr>
      <w:r w:rsidRPr="004A7593">
        <w:rPr>
          <w:b/>
        </w:rPr>
        <w:t>Kuvendi</w:t>
      </w:r>
    </w:p>
    <w:p w14:paraId="2877A4E2" w14:textId="77777777" w:rsidR="00457DCA" w:rsidRPr="004A7593" w:rsidRDefault="00457DCA" w:rsidP="00BF1273">
      <w:pPr>
        <w:spacing w:after="0"/>
        <w:jc w:val="center"/>
        <w:rPr>
          <w:b/>
          <w:bCs/>
        </w:rPr>
      </w:pPr>
    </w:p>
    <w:p w14:paraId="10FD3CF5" w14:textId="77777777" w:rsidR="00457DCA" w:rsidRPr="004A7593" w:rsidRDefault="00457DCA" w:rsidP="00BF1273">
      <w:pPr>
        <w:spacing w:after="0"/>
        <w:jc w:val="center"/>
        <w:rPr>
          <w:b/>
          <w:bCs/>
        </w:rPr>
      </w:pPr>
      <w:r w:rsidRPr="004A7593">
        <w:rPr>
          <w:b/>
          <w:bCs/>
        </w:rPr>
        <w:t>P R O J E K T L I GJ</w:t>
      </w:r>
    </w:p>
    <w:p w14:paraId="5E184816" w14:textId="77777777" w:rsidR="00457DCA" w:rsidRPr="004A7593" w:rsidRDefault="00457DCA" w:rsidP="00BF1273">
      <w:pPr>
        <w:pStyle w:val="Normal0"/>
        <w:spacing w:line="276" w:lineRule="auto"/>
        <w:jc w:val="center"/>
        <w:rPr>
          <w:rFonts w:ascii="Times New Roman" w:hAnsi="Times New Roman" w:cs="Times New Roman"/>
          <w:b/>
          <w:bCs/>
          <w:lang w:val="sq-AL"/>
        </w:rPr>
      </w:pPr>
    </w:p>
    <w:p w14:paraId="64925FF6" w14:textId="77777777" w:rsidR="00457DCA" w:rsidRPr="004A7593" w:rsidRDefault="00457DCA" w:rsidP="00BF1273">
      <w:pPr>
        <w:pStyle w:val="Normal0"/>
        <w:spacing w:line="276" w:lineRule="auto"/>
        <w:jc w:val="center"/>
        <w:rPr>
          <w:rFonts w:ascii="Times New Roman" w:hAnsi="Times New Roman" w:cs="Times New Roman"/>
          <w:b/>
          <w:bCs/>
          <w:lang w:val="sq-AL"/>
        </w:rPr>
      </w:pPr>
    </w:p>
    <w:p w14:paraId="5E7856C1" w14:textId="4985E3DC" w:rsidR="00457DCA" w:rsidRPr="004A7593" w:rsidRDefault="00457DCA" w:rsidP="00BF1273">
      <w:pPr>
        <w:pStyle w:val="Normal0"/>
        <w:spacing w:line="276" w:lineRule="auto"/>
        <w:jc w:val="center"/>
        <w:rPr>
          <w:rFonts w:ascii="Times New Roman" w:hAnsi="Times New Roman" w:cs="Times New Roman"/>
          <w:b/>
          <w:lang w:val="sq-AL"/>
        </w:rPr>
      </w:pPr>
      <w:r w:rsidRPr="004A7593">
        <w:rPr>
          <w:rFonts w:ascii="Times New Roman" w:hAnsi="Times New Roman" w:cs="Times New Roman"/>
          <w:b/>
          <w:bCs/>
          <w:lang w:val="sq-AL"/>
        </w:rPr>
        <w:t>Nr.______/2025</w:t>
      </w:r>
    </w:p>
    <w:p w14:paraId="49A503A7" w14:textId="77777777" w:rsidR="00457DCA" w:rsidRPr="004A7593" w:rsidRDefault="00457DCA" w:rsidP="00BF1273">
      <w:pPr>
        <w:pStyle w:val="Normal0"/>
        <w:spacing w:line="276" w:lineRule="auto"/>
        <w:rPr>
          <w:rFonts w:ascii="Times New Roman" w:hAnsi="Times New Roman" w:cs="Times New Roman"/>
          <w:b/>
          <w:lang w:val="sq-AL"/>
        </w:rPr>
      </w:pPr>
    </w:p>
    <w:p w14:paraId="5A89F9D4" w14:textId="77777777" w:rsidR="00457DCA" w:rsidRPr="004A7593" w:rsidRDefault="00457DCA" w:rsidP="00BF1273">
      <w:pPr>
        <w:pStyle w:val="Normal0"/>
        <w:spacing w:line="276" w:lineRule="auto"/>
        <w:rPr>
          <w:rFonts w:ascii="Times New Roman" w:hAnsi="Times New Roman" w:cs="Times New Roman"/>
          <w:b/>
          <w:lang w:val="sq-AL"/>
        </w:rPr>
      </w:pPr>
    </w:p>
    <w:p w14:paraId="7A4223E3" w14:textId="77777777" w:rsidR="00457DCA" w:rsidRPr="004A7593" w:rsidRDefault="00457DCA" w:rsidP="00BF1273">
      <w:pPr>
        <w:pStyle w:val="Normal0"/>
        <w:spacing w:line="276" w:lineRule="auto"/>
        <w:jc w:val="center"/>
        <w:rPr>
          <w:rFonts w:ascii="Times New Roman" w:eastAsia="Calibri" w:hAnsi="Times New Roman" w:cs="Times New Roman"/>
          <w:b/>
          <w:u w:val="single"/>
          <w:lang w:val="sq-AL"/>
        </w:rPr>
      </w:pPr>
      <w:r w:rsidRPr="004A7593">
        <w:rPr>
          <w:rFonts w:ascii="Times New Roman" w:eastAsia="Calibri" w:hAnsi="Times New Roman" w:cs="Times New Roman"/>
          <w:b/>
          <w:u w:val="single"/>
          <w:lang w:val="sq-AL"/>
        </w:rPr>
        <w:t>PËR</w:t>
      </w:r>
    </w:p>
    <w:p w14:paraId="5667AE8E" w14:textId="77777777" w:rsidR="00457DCA" w:rsidRPr="004A7593" w:rsidRDefault="00457DCA" w:rsidP="00BF1273">
      <w:pPr>
        <w:pStyle w:val="Normal0"/>
        <w:spacing w:line="276" w:lineRule="auto"/>
        <w:jc w:val="center"/>
        <w:rPr>
          <w:rFonts w:ascii="Times New Roman" w:eastAsia="Calibri" w:hAnsi="Times New Roman" w:cs="Times New Roman"/>
          <w:b/>
          <w:u w:val="single"/>
          <w:lang w:val="sq-AL"/>
        </w:rPr>
      </w:pPr>
    </w:p>
    <w:p w14:paraId="26A286F2" w14:textId="7D7882C7" w:rsidR="00457DCA" w:rsidRPr="004A7593" w:rsidRDefault="00D5234B" w:rsidP="00BF1273">
      <w:pPr>
        <w:shd w:val="clear" w:color="auto" w:fill="FFFFFF"/>
        <w:jc w:val="center"/>
        <w:rPr>
          <w:b/>
          <w:u w:val="single"/>
        </w:rPr>
      </w:pPr>
      <w:bookmarkStart w:id="0" w:name="_Hlk147925751"/>
      <w:r w:rsidRPr="004A7593">
        <w:rPr>
          <w:b/>
          <w:u w:val="single"/>
        </w:rPr>
        <w:t>DISA SHTESA DHE NDRYSHIME NË LIGJIN NR. 10 489, DATË 15.12.2011 “PËR TREGTIMIN DHE MBIKËQYRJEN E TREGUT TË PRODUKTEVE JOUSHQIMORE”, I NDRYSHUAR</w:t>
      </w:r>
      <w:r w:rsidR="008321D5" w:rsidRPr="004A7593">
        <w:rPr>
          <w:rStyle w:val="FootnoteReference"/>
          <w:b/>
          <w:u w:val="single"/>
        </w:rPr>
        <w:footnoteReference w:id="1"/>
      </w:r>
      <w:r w:rsidRPr="004A7593">
        <w:rPr>
          <w:b/>
          <w:u w:val="single"/>
        </w:rPr>
        <w:t>,</w:t>
      </w:r>
    </w:p>
    <w:bookmarkEnd w:id="0"/>
    <w:p w14:paraId="0197AA76" w14:textId="77777777" w:rsidR="00457DCA" w:rsidRPr="004A7593" w:rsidRDefault="00457DCA" w:rsidP="00BF1273">
      <w:pPr>
        <w:pStyle w:val="Normal0"/>
        <w:spacing w:line="276" w:lineRule="auto"/>
        <w:rPr>
          <w:rFonts w:ascii="Times New Roman" w:hAnsi="Times New Roman" w:cs="Times New Roman"/>
          <w:lang w:val="sq-AL"/>
        </w:rPr>
      </w:pPr>
    </w:p>
    <w:p w14:paraId="327318BB" w14:textId="04CFE3BC" w:rsidR="00457DCA" w:rsidRPr="004A7593" w:rsidRDefault="00457DCA" w:rsidP="00BF1273">
      <w:pPr>
        <w:pStyle w:val="Normal0"/>
        <w:spacing w:line="276" w:lineRule="auto"/>
        <w:jc w:val="both"/>
        <w:rPr>
          <w:rFonts w:ascii="Times New Roman" w:hAnsi="Times New Roman" w:cs="Times New Roman"/>
          <w:lang w:val="sq-AL"/>
        </w:rPr>
      </w:pPr>
      <w:r w:rsidRPr="004A7593">
        <w:rPr>
          <w:rFonts w:ascii="Times New Roman" w:hAnsi="Times New Roman" w:cs="Times New Roman"/>
          <w:lang w:val="sq-AL"/>
        </w:rPr>
        <w:t>Në mbështetje të neneve 78</w:t>
      </w:r>
      <w:r w:rsidR="009B5859" w:rsidRPr="004A7593">
        <w:rPr>
          <w:rFonts w:ascii="Times New Roman" w:hAnsi="Times New Roman" w:cs="Times New Roman"/>
          <w:lang w:val="sq-AL"/>
        </w:rPr>
        <w:t xml:space="preserve">, 81 pika 1 </w:t>
      </w:r>
      <w:r w:rsidRPr="004A7593">
        <w:rPr>
          <w:rFonts w:ascii="Times New Roman" w:hAnsi="Times New Roman" w:cs="Times New Roman"/>
          <w:lang w:val="sq-AL"/>
        </w:rPr>
        <w:t xml:space="preserve"> dhe 83</w:t>
      </w:r>
      <w:r w:rsidR="008269A4">
        <w:rPr>
          <w:rFonts w:ascii="Times New Roman" w:hAnsi="Times New Roman" w:cs="Times New Roman"/>
          <w:lang w:val="sq-AL"/>
        </w:rPr>
        <w:t xml:space="preserve"> </w:t>
      </w:r>
      <w:r w:rsidRPr="004A7593">
        <w:rPr>
          <w:rFonts w:ascii="Times New Roman" w:hAnsi="Times New Roman" w:cs="Times New Roman"/>
          <w:lang w:val="sq-AL"/>
        </w:rPr>
        <w:t>pika 1, të Kushtetutës, me propozimin e Këshillit të Ministrave, Kuvendi i Republikës së Shqipërisë,</w:t>
      </w:r>
    </w:p>
    <w:p w14:paraId="048889B1" w14:textId="77777777" w:rsidR="00457DCA" w:rsidRPr="004A7593" w:rsidRDefault="00457DCA" w:rsidP="00BF1273">
      <w:pPr>
        <w:pStyle w:val="Normal0"/>
        <w:spacing w:line="276" w:lineRule="auto"/>
        <w:rPr>
          <w:rFonts w:ascii="Times New Roman" w:hAnsi="Times New Roman" w:cs="Times New Roman"/>
          <w:b/>
          <w:lang w:val="sq-AL"/>
        </w:rPr>
      </w:pPr>
    </w:p>
    <w:p w14:paraId="5DDE5E09" w14:textId="77777777" w:rsidR="00457DCA" w:rsidRPr="004A7593" w:rsidRDefault="00457DCA" w:rsidP="00BF1273">
      <w:pPr>
        <w:pStyle w:val="Normal0"/>
        <w:spacing w:line="276" w:lineRule="auto"/>
        <w:jc w:val="center"/>
        <w:rPr>
          <w:rFonts w:ascii="Times New Roman" w:hAnsi="Times New Roman" w:cs="Times New Roman"/>
          <w:b/>
          <w:lang w:val="sq-AL"/>
        </w:rPr>
      </w:pPr>
      <w:r w:rsidRPr="004A7593">
        <w:rPr>
          <w:rFonts w:ascii="Times New Roman" w:hAnsi="Times New Roman" w:cs="Times New Roman"/>
          <w:b/>
          <w:lang w:val="sq-AL"/>
        </w:rPr>
        <w:t>V E N D O S I:</w:t>
      </w:r>
    </w:p>
    <w:p w14:paraId="36CA7A91" w14:textId="77777777" w:rsidR="00457DCA" w:rsidRPr="004A7593" w:rsidRDefault="00457DCA" w:rsidP="00BF1273">
      <w:pPr>
        <w:spacing w:after="0"/>
        <w:jc w:val="both"/>
      </w:pPr>
    </w:p>
    <w:p w14:paraId="1C30701B" w14:textId="0053736B" w:rsidR="00457DCA" w:rsidRPr="004A7593" w:rsidRDefault="00C469B2" w:rsidP="00BF1273">
      <w:pPr>
        <w:spacing w:after="0"/>
        <w:jc w:val="both"/>
      </w:pPr>
      <w:r w:rsidRPr="004A7593">
        <w:t xml:space="preserve">Në ligjin nr. 10 489, datë 15.12.2011 “Për tregtimin dhe mbikëqyrjen e tregut të produkteve joushqimore”, i ndryshuar, </w:t>
      </w:r>
      <w:r w:rsidR="00457DCA" w:rsidRPr="004A7593">
        <w:t>bëhen shtesa</w:t>
      </w:r>
      <w:r w:rsidR="0091508B" w:rsidRPr="004A7593">
        <w:t>t</w:t>
      </w:r>
      <w:r w:rsidR="00457DCA" w:rsidRPr="004A7593">
        <w:t xml:space="preserve"> dhe ndryshime</w:t>
      </w:r>
      <w:r w:rsidR="0091508B" w:rsidRPr="004A7593">
        <w:t xml:space="preserve">t e </w:t>
      </w:r>
      <w:r w:rsidR="008353EF" w:rsidRPr="004A7593">
        <w:t>mëposhtme</w:t>
      </w:r>
      <w:r w:rsidR="00457DCA" w:rsidRPr="004A7593">
        <w:t>:</w:t>
      </w:r>
    </w:p>
    <w:p w14:paraId="094986BE" w14:textId="77777777" w:rsidR="00457DCA" w:rsidRPr="004A7593" w:rsidRDefault="00457DCA" w:rsidP="00BF1273">
      <w:pPr>
        <w:spacing w:after="0"/>
        <w:rPr>
          <w:b/>
        </w:rPr>
      </w:pPr>
    </w:p>
    <w:p w14:paraId="3AD5137D" w14:textId="5179714D" w:rsidR="008454DD" w:rsidRDefault="00457DCA" w:rsidP="00BF1273">
      <w:pPr>
        <w:spacing w:after="0"/>
        <w:jc w:val="center"/>
        <w:rPr>
          <w:b/>
        </w:rPr>
      </w:pPr>
      <w:r w:rsidRPr="004A7593">
        <w:rPr>
          <w:b/>
        </w:rPr>
        <w:t>Neni 1</w:t>
      </w:r>
    </w:p>
    <w:p w14:paraId="3AFC70D0" w14:textId="77777777" w:rsidR="00EB3E0C" w:rsidRPr="004A7593" w:rsidRDefault="00EB3E0C" w:rsidP="00BF1273">
      <w:pPr>
        <w:spacing w:after="0"/>
        <w:jc w:val="center"/>
      </w:pPr>
    </w:p>
    <w:p w14:paraId="26879A42" w14:textId="4BED3388" w:rsidR="008454DD" w:rsidRPr="004A7593" w:rsidRDefault="008454DD" w:rsidP="00BF1273">
      <w:pPr>
        <w:shd w:val="clear" w:color="auto" w:fill="FFFFFF"/>
      </w:pPr>
      <w:r w:rsidRPr="004A7593">
        <w:t>Në nenin 2</w:t>
      </w:r>
      <w:r w:rsidR="009923FB" w:rsidRPr="004A7593">
        <w:t xml:space="preserve"> “Fusha e zbatimit”</w:t>
      </w:r>
      <w:r w:rsidRPr="004A7593">
        <w:t xml:space="preserve"> bëhen </w:t>
      </w:r>
      <w:r w:rsidR="00D27D9C" w:rsidRPr="004A7593">
        <w:t xml:space="preserve">shtesat dhe ndryshimet </w:t>
      </w:r>
      <w:r w:rsidR="006F4115" w:rsidRPr="004A7593">
        <w:t>si m</w:t>
      </w:r>
      <w:r w:rsidR="003C70F1" w:rsidRPr="004A7593">
        <w:t>ë</w:t>
      </w:r>
      <w:r w:rsidR="006F4115" w:rsidRPr="004A7593">
        <w:t xml:space="preserve"> posht</w:t>
      </w:r>
      <w:r w:rsidR="003C70F1" w:rsidRPr="004A7593">
        <w:t>ë</w:t>
      </w:r>
      <w:r w:rsidR="00D27D9C" w:rsidRPr="004A7593">
        <w:t>:</w:t>
      </w:r>
    </w:p>
    <w:p w14:paraId="689FC450" w14:textId="0C33EDB2" w:rsidR="008454DD" w:rsidRPr="004A7593" w:rsidRDefault="008454DD" w:rsidP="00BF1273">
      <w:pPr>
        <w:pStyle w:val="Default"/>
        <w:numPr>
          <w:ilvl w:val="0"/>
          <w:numId w:val="1"/>
        </w:numPr>
        <w:spacing w:line="276" w:lineRule="auto"/>
        <w:rPr>
          <w:lang w:val="sq-AL"/>
        </w:rPr>
      </w:pPr>
      <w:r w:rsidRPr="004A7593">
        <w:rPr>
          <w:lang w:val="sq-AL"/>
        </w:rPr>
        <w:t xml:space="preserve">Pas pikës </w:t>
      </w:r>
      <w:r w:rsidR="001F2B9F" w:rsidRPr="004A7593">
        <w:rPr>
          <w:lang w:val="sq-AL"/>
        </w:rPr>
        <w:t>1</w:t>
      </w:r>
      <w:r w:rsidR="00DC4BC5" w:rsidRPr="004A7593">
        <w:rPr>
          <w:lang w:val="sq-AL"/>
        </w:rPr>
        <w:t>,</w:t>
      </w:r>
      <w:r w:rsidRPr="004A7593">
        <w:rPr>
          <w:lang w:val="sq-AL"/>
        </w:rPr>
        <w:t xml:space="preserve"> shtohet pika </w:t>
      </w:r>
      <w:r w:rsidR="001F2B9F" w:rsidRPr="004A7593">
        <w:rPr>
          <w:lang w:val="sq-AL"/>
        </w:rPr>
        <w:t>1/1</w:t>
      </w:r>
      <w:r w:rsidRPr="004A7593">
        <w:rPr>
          <w:lang w:val="sq-AL"/>
        </w:rPr>
        <w:t xml:space="preserve"> me këtë përmbajtje: </w:t>
      </w:r>
    </w:p>
    <w:p w14:paraId="5D6825AE" w14:textId="77777777" w:rsidR="008353EF" w:rsidRPr="004A7593" w:rsidRDefault="001F2B9F" w:rsidP="008353EF">
      <w:pPr>
        <w:pStyle w:val="ListParagraph"/>
        <w:spacing w:after="0"/>
        <w:jc w:val="both"/>
      </w:pPr>
      <w:r w:rsidRPr="004A7593">
        <w:lastRenderedPageBreak/>
        <w:t xml:space="preserve">“1/1. </w:t>
      </w:r>
      <w:r w:rsidR="00AD3EF3" w:rsidRPr="004A7593">
        <w:t>Ky ligj zbatohet për të gjitha produktet, sipas përkufizimeve të pikave 1 dhe 2 të nenit 3 të këtij ligji, deri në përfundimin e procesit të harmonizimit të legjislacionit shqiptar me aktet e legjislacionit të harmonizuar të Bashkimit Evropian dhe miratimin, me vendim të Këshillit të Ministrave, të listës së grupeve përkatëse të produkteve</w:t>
      </w:r>
      <w:r w:rsidRPr="004A7593">
        <w:t>.”.</w:t>
      </w:r>
    </w:p>
    <w:p w14:paraId="63444D98" w14:textId="59C29FD4" w:rsidR="008353EF" w:rsidRPr="004A7593" w:rsidRDefault="008353EF" w:rsidP="008353EF">
      <w:pPr>
        <w:pStyle w:val="ListParagraph"/>
        <w:numPr>
          <w:ilvl w:val="0"/>
          <w:numId w:val="1"/>
        </w:numPr>
        <w:spacing w:after="0"/>
        <w:jc w:val="both"/>
      </w:pPr>
      <w:r w:rsidRPr="004A7593">
        <w:t>Në pikën 2, pas togfjalëshit “dhe produktet kozmetike,” shtohet togfjalëshi “deri në miratimin, me vendim të Këshillit të Ministrave, të listës së grupeve të produkteve të përcaktuara në pikën 1/1 të këtij neni.”.</w:t>
      </w:r>
    </w:p>
    <w:p w14:paraId="0268F7A4" w14:textId="77777777" w:rsidR="008454DD" w:rsidRPr="004A7593" w:rsidRDefault="008454DD" w:rsidP="00BF1273">
      <w:pPr>
        <w:pStyle w:val="ListParagraph"/>
        <w:spacing w:after="0"/>
      </w:pPr>
    </w:p>
    <w:p w14:paraId="39DDE638" w14:textId="0180AD3D" w:rsidR="001F2B9F" w:rsidRDefault="001F2B9F" w:rsidP="00BF1273">
      <w:pPr>
        <w:spacing w:after="0"/>
        <w:jc w:val="center"/>
        <w:rPr>
          <w:b/>
        </w:rPr>
      </w:pPr>
      <w:r w:rsidRPr="004A7593">
        <w:rPr>
          <w:b/>
        </w:rPr>
        <w:t>Neni 2</w:t>
      </w:r>
    </w:p>
    <w:p w14:paraId="4082B030" w14:textId="77777777" w:rsidR="00EB3E0C" w:rsidRPr="004A7593" w:rsidRDefault="00EB3E0C" w:rsidP="00BF1273">
      <w:pPr>
        <w:spacing w:after="0"/>
        <w:jc w:val="center"/>
      </w:pPr>
    </w:p>
    <w:p w14:paraId="430E3657" w14:textId="12D4E1A7" w:rsidR="00D27D9C" w:rsidRPr="004A7593" w:rsidRDefault="00D27D9C" w:rsidP="00BF1273">
      <w:pPr>
        <w:shd w:val="clear" w:color="auto" w:fill="FFFFFF"/>
      </w:pPr>
      <w:r w:rsidRPr="004A7593">
        <w:t xml:space="preserve">Në nenin </w:t>
      </w:r>
      <w:r w:rsidR="00C02AF6" w:rsidRPr="004A7593">
        <w:t>3 “Përkufizime”</w:t>
      </w:r>
      <w:r w:rsidRPr="004A7593">
        <w:t xml:space="preserve"> bëhen shtesat dhe ndryshimet </w:t>
      </w:r>
      <w:r w:rsidR="006F4115" w:rsidRPr="004A7593">
        <w:t>si m</w:t>
      </w:r>
      <w:r w:rsidR="003C70F1" w:rsidRPr="004A7593">
        <w:t>ë</w:t>
      </w:r>
      <w:r w:rsidR="006F4115" w:rsidRPr="004A7593">
        <w:t xml:space="preserve"> posht</w:t>
      </w:r>
      <w:r w:rsidR="003C70F1" w:rsidRPr="004A7593">
        <w:t>ë</w:t>
      </w:r>
      <w:r w:rsidRPr="004A7593">
        <w:t>:</w:t>
      </w:r>
    </w:p>
    <w:p w14:paraId="54F790E0" w14:textId="1DE70F7B" w:rsidR="00D27D9C" w:rsidRPr="004A7593" w:rsidRDefault="00D27D9C" w:rsidP="00BF1273">
      <w:pPr>
        <w:pStyle w:val="ListParagraph"/>
        <w:numPr>
          <w:ilvl w:val="0"/>
          <w:numId w:val="2"/>
        </w:numPr>
        <w:spacing w:after="0"/>
        <w:jc w:val="both"/>
      </w:pPr>
      <w:r w:rsidRPr="004A7593">
        <w:t>Pika 1</w:t>
      </w:r>
      <w:r w:rsidR="001A4689" w:rsidRPr="004A7593">
        <w:t>,</w:t>
      </w:r>
      <w:r w:rsidRPr="004A7593">
        <w:t xml:space="preserve"> </w:t>
      </w:r>
      <w:r w:rsidR="001A4689" w:rsidRPr="004A7593">
        <w:t>ndryshohet</w:t>
      </w:r>
      <w:r w:rsidRPr="004A7593">
        <w:t xml:space="preserve"> si më poshtë:</w:t>
      </w:r>
    </w:p>
    <w:p w14:paraId="2BDC434F" w14:textId="5B1D2819" w:rsidR="00E819FF" w:rsidRPr="004A7593" w:rsidRDefault="00D27D9C" w:rsidP="00D76AEF">
      <w:pPr>
        <w:pStyle w:val="ListParagraph"/>
        <w:widowControl w:val="0"/>
        <w:shd w:val="clear" w:color="auto" w:fill="FFFFFF"/>
        <w:tabs>
          <w:tab w:val="left" w:pos="970"/>
        </w:tabs>
        <w:autoSpaceDE w:val="0"/>
        <w:autoSpaceDN w:val="0"/>
        <w:adjustRightInd w:val="0"/>
        <w:spacing w:after="0"/>
        <w:jc w:val="both"/>
      </w:pPr>
      <w:r w:rsidRPr="004A7593">
        <w:t>“</w:t>
      </w:r>
      <w:r w:rsidR="007C47EF" w:rsidRPr="004A7593">
        <w:t xml:space="preserve">1. </w:t>
      </w:r>
      <w:r w:rsidRPr="004A7593">
        <w:t xml:space="preserve">Produkt” është çdo send i ri apo i përdorur, i cili është prodhuar, nxjerrë ose përftuar, pavarësisht nga niveli i përpunimit, </w:t>
      </w:r>
      <w:r w:rsidR="00E819FF" w:rsidRPr="004A7593">
        <w:t>i destinuar për t’u bërë i disponueshëm në treg</w:t>
      </w:r>
      <w:r w:rsidR="00D76AEF" w:rsidRPr="004A7593">
        <w:t xml:space="preserve">, </w:t>
      </w:r>
      <w:r w:rsidR="00E819FF" w:rsidRPr="004A7593">
        <w:t>përveç produkteve ushqimore, ushqimit të kafshëve, barnave për përdorim njerëzor dhe veterinar, bimëve dhe kafshëve të gjalla, produkteve me prejardhje njerëzore dhe produkteve bimore ose shtazore që lidhen drejtpërdrejt me riprodhimin e tyre të ardhshëm.</w:t>
      </w:r>
      <w:r w:rsidR="00F557B0">
        <w:t xml:space="preserve">”. </w:t>
      </w:r>
      <w:r w:rsidR="00E819FF" w:rsidRPr="004A7593">
        <w:t xml:space="preserve"> </w:t>
      </w:r>
    </w:p>
    <w:p w14:paraId="4F53B6EB" w14:textId="42C87D28" w:rsidR="00D76AEF" w:rsidRPr="004A7593" w:rsidRDefault="00D76AEF" w:rsidP="00D76AEF">
      <w:pPr>
        <w:pStyle w:val="Default"/>
        <w:numPr>
          <w:ilvl w:val="0"/>
          <w:numId w:val="2"/>
        </w:numPr>
        <w:spacing w:line="276" w:lineRule="auto"/>
        <w:rPr>
          <w:color w:val="auto"/>
          <w:lang w:val="sq-AL"/>
        </w:rPr>
      </w:pPr>
      <w:r w:rsidRPr="004A7593">
        <w:rPr>
          <w:color w:val="auto"/>
          <w:lang w:val="sq-AL"/>
        </w:rPr>
        <w:t xml:space="preserve">Pas pikës 1, shtohet pika 1/1 </w:t>
      </w:r>
      <w:r w:rsidR="006F4115" w:rsidRPr="004A7593">
        <w:rPr>
          <w:color w:val="auto"/>
          <w:lang w:val="sq-AL"/>
        </w:rPr>
        <w:t xml:space="preserve">me </w:t>
      </w:r>
      <w:r w:rsidRPr="004A7593">
        <w:rPr>
          <w:color w:val="auto"/>
          <w:lang w:val="sq-AL"/>
        </w:rPr>
        <w:t>përmbajtje</w:t>
      </w:r>
      <w:r w:rsidR="006F4115" w:rsidRPr="004A7593">
        <w:rPr>
          <w:color w:val="auto"/>
          <w:lang w:val="sq-AL"/>
        </w:rPr>
        <w:t xml:space="preserve"> si vijon</w:t>
      </w:r>
      <w:r w:rsidRPr="004A7593">
        <w:rPr>
          <w:color w:val="auto"/>
          <w:lang w:val="sq-AL"/>
        </w:rPr>
        <w:t xml:space="preserve">: </w:t>
      </w:r>
    </w:p>
    <w:p w14:paraId="24BE1043" w14:textId="360D7016" w:rsidR="00D76AEF" w:rsidRPr="004A7593" w:rsidRDefault="00D76AEF" w:rsidP="00D76AEF">
      <w:pPr>
        <w:pStyle w:val="Default"/>
        <w:spacing w:line="276" w:lineRule="auto"/>
        <w:ind w:left="720"/>
        <w:jc w:val="both"/>
        <w:rPr>
          <w:color w:val="auto"/>
          <w:lang w:val="sq-AL"/>
        </w:rPr>
      </w:pPr>
      <w:r w:rsidRPr="004A7593">
        <w:rPr>
          <w:color w:val="auto"/>
          <w:lang w:val="sq-AL"/>
        </w:rPr>
        <w:t xml:space="preserve">“1/1. “Produkt i përdorur” është çdo send që përfshihet në përkufizimin e “produkt” sipas pikës 1 të këtij neni, i cili ka qenë më parë në pronësi ose në përdorim nga një përdorues i fundit dhe që bëhet sërish i disponueshëm në treg, për sa kohë nuk përjashtohet shprehimisht nga </w:t>
      </w:r>
      <w:bookmarkStart w:id="1" w:name="_Hlk198036287"/>
      <w:r w:rsidRPr="004A7593">
        <w:rPr>
          <w:color w:val="auto"/>
          <w:lang w:val="sq-AL"/>
        </w:rPr>
        <w:t xml:space="preserve">legjislacioni i zbatueshëm për produktin </w:t>
      </w:r>
      <w:bookmarkEnd w:id="1"/>
      <w:r w:rsidRPr="004A7593">
        <w:rPr>
          <w:color w:val="auto"/>
          <w:lang w:val="sq-AL"/>
        </w:rPr>
        <w:t>dhe përmbush kërkesat për siguri dhe përputhshmëri të parashikuara në legjislacionin në fuqi.”.</w:t>
      </w:r>
    </w:p>
    <w:p w14:paraId="559A1348" w14:textId="223ED13E" w:rsidR="00D76AEF" w:rsidRPr="004A7593" w:rsidRDefault="00D76AEF" w:rsidP="00D76AEF">
      <w:pPr>
        <w:pStyle w:val="Default"/>
        <w:numPr>
          <w:ilvl w:val="0"/>
          <w:numId w:val="2"/>
        </w:numPr>
        <w:spacing w:line="276" w:lineRule="auto"/>
        <w:rPr>
          <w:color w:val="auto"/>
          <w:lang w:val="sq-AL"/>
        </w:rPr>
      </w:pPr>
      <w:r w:rsidRPr="004A7593">
        <w:rPr>
          <w:color w:val="auto"/>
          <w:lang w:val="sq-AL"/>
        </w:rPr>
        <w:t xml:space="preserve">Pas pikës 4, shtohet pika 4/1 </w:t>
      </w:r>
      <w:r w:rsidR="006F4115" w:rsidRPr="004A7593">
        <w:rPr>
          <w:color w:val="auto"/>
          <w:lang w:val="sq-AL"/>
        </w:rPr>
        <w:t>me përmbajtje si vijon</w:t>
      </w:r>
      <w:r w:rsidRPr="004A7593">
        <w:rPr>
          <w:color w:val="auto"/>
          <w:lang w:val="sq-AL"/>
        </w:rPr>
        <w:t xml:space="preserve">: </w:t>
      </w:r>
    </w:p>
    <w:p w14:paraId="12E2A4EC" w14:textId="5E7F9C55" w:rsidR="00D76AEF" w:rsidRPr="004A7593" w:rsidRDefault="00D76AEF" w:rsidP="00D76AEF">
      <w:pPr>
        <w:pStyle w:val="ListParagraph"/>
        <w:spacing w:after="0"/>
        <w:jc w:val="both"/>
      </w:pPr>
      <w:r w:rsidRPr="004A7593">
        <w:t>“4/1. “Produktet që hyjnë në tregun shqiptar” janë produktet që vijnë nga shtete të tjera, të destinuara për t'u vendosur në tregun shqiptar ose të destinuara për përdorim ose konsum personal brenda zonës doganore shqiptare, dhe që janë vendosur nën regjimin doganor “çlirim për qarkullim të lirë.”.</w:t>
      </w:r>
    </w:p>
    <w:p w14:paraId="68AA83FC" w14:textId="6B6DF8DD" w:rsidR="00D76AEF" w:rsidRPr="004A7593" w:rsidRDefault="00D27D9C" w:rsidP="00D76AEF">
      <w:pPr>
        <w:pStyle w:val="Default"/>
        <w:numPr>
          <w:ilvl w:val="0"/>
          <w:numId w:val="2"/>
        </w:numPr>
        <w:spacing w:line="276" w:lineRule="auto"/>
        <w:rPr>
          <w:color w:val="auto"/>
          <w:lang w:val="sq-AL"/>
        </w:rPr>
      </w:pPr>
      <w:r w:rsidRPr="004A7593">
        <w:rPr>
          <w:color w:val="auto"/>
          <w:lang w:val="sq-AL"/>
        </w:rPr>
        <w:t>Pas pikës 8</w:t>
      </w:r>
      <w:r w:rsidR="0084198B" w:rsidRPr="004A7593">
        <w:rPr>
          <w:color w:val="auto"/>
          <w:lang w:val="sq-AL"/>
        </w:rPr>
        <w:t>,</w:t>
      </w:r>
      <w:r w:rsidRPr="004A7593">
        <w:rPr>
          <w:color w:val="auto"/>
          <w:lang w:val="sq-AL"/>
        </w:rPr>
        <w:t xml:space="preserve"> shtohet pika 8/1 </w:t>
      </w:r>
      <w:r w:rsidR="006F4115" w:rsidRPr="004A7593">
        <w:rPr>
          <w:color w:val="auto"/>
          <w:lang w:val="sq-AL"/>
        </w:rPr>
        <w:t>me përmbajtje si vijon</w:t>
      </w:r>
      <w:r w:rsidRPr="004A7593">
        <w:rPr>
          <w:color w:val="auto"/>
          <w:lang w:val="sq-AL"/>
        </w:rPr>
        <w:t xml:space="preserve">: </w:t>
      </w:r>
      <w:bookmarkStart w:id="2" w:name="_Hlk182501699"/>
    </w:p>
    <w:p w14:paraId="05F05310" w14:textId="12146020" w:rsidR="005C2943" w:rsidRPr="00396614" w:rsidRDefault="003E2366" w:rsidP="000123CD">
      <w:pPr>
        <w:pStyle w:val="Default"/>
        <w:spacing w:line="276" w:lineRule="auto"/>
        <w:ind w:left="720"/>
        <w:jc w:val="both"/>
        <w:rPr>
          <w:rFonts w:eastAsia="ヒラギノ角ゴ Pro W3"/>
          <w:color w:val="auto"/>
          <w:lang w:val="sq-AL"/>
        </w:rPr>
      </w:pPr>
      <w:r w:rsidRPr="004A7593">
        <w:rPr>
          <w:color w:val="auto"/>
          <w:lang w:val="sq-AL"/>
        </w:rPr>
        <w:t>“</w:t>
      </w:r>
      <w:bookmarkEnd w:id="2"/>
      <w:r w:rsidR="00D76AEF" w:rsidRPr="004A7593">
        <w:rPr>
          <w:color w:val="auto"/>
          <w:lang w:val="sq-AL"/>
        </w:rPr>
        <w:t xml:space="preserve">8/1. </w:t>
      </w:r>
      <w:r w:rsidR="00D76AEF" w:rsidRPr="004A7593">
        <w:rPr>
          <w:rFonts w:eastAsia="ヒラギノ角ゴ Pro W3"/>
          <w:color w:val="auto"/>
          <w:lang w:val="sq-AL"/>
        </w:rPr>
        <w:t>“Ofrues i shërbimit të zbatimit të porosive” është çdo person fizik ose juridik që, në kuadër të veprimtarisë tregtare, ofron të paktën dy nga shërbimet e mëposhtme: magazinim, paketim, adresim dhe shpërndarje, pa pasur pronësinë mbi produktet e përfshira, duke përjashtuar shërbimet postare të ofruara në përputhje me legjislacionin për shërbimet postare në Republikën e Shqipërisë</w:t>
      </w:r>
      <w:r w:rsidR="000123CD" w:rsidRPr="004A7593">
        <w:rPr>
          <w:color w:val="auto"/>
          <w:lang w:val="sq-AL"/>
        </w:rPr>
        <w:t>”.</w:t>
      </w:r>
    </w:p>
    <w:p w14:paraId="4FC0BE5C" w14:textId="77777777" w:rsidR="00D76AEF" w:rsidRPr="004A7593" w:rsidRDefault="005C2943" w:rsidP="00D76AEF">
      <w:pPr>
        <w:pStyle w:val="ListParagraph"/>
        <w:numPr>
          <w:ilvl w:val="0"/>
          <w:numId w:val="2"/>
        </w:numPr>
        <w:spacing w:after="0"/>
        <w:jc w:val="both"/>
      </w:pPr>
      <w:r w:rsidRPr="004A7593">
        <w:t>Pika 9</w:t>
      </w:r>
      <w:r w:rsidR="0065084C" w:rsidRPr="004A7593">
        <w:t>, ndryshohet</w:t>
      </w:r>
      <w:r w:rsidRPr="004A7593">
        <w:t xml:space="preserve"> si më poshtë:</w:t>
      </w:r>
    </w:p>
    <w:p w14:paraId="3E87D041" w14:textId="46779B63" w:rsidR="005C2943" w:rsidRPr="004A7593" w:rsidRDefault="003E2366" w:rsidP="007C47EF">
      <w:pPr>
        <w:pStyle w:val="ListParagraph"/>
        <w:spacing w:after="0"/>
        <w:jc w:val="both"/>
      </w:pPr>
      <w:r w:rsidRPr="004A7593">
        <w:t>“</w:t>
      </w:r>
      <w:r w:rsidR="005C2943" w:rsidRPr="004A7593">
        <w:t>9.“Operator ekonomik”</w:t>
      </w:r>
      <w:bookmarkStart w:id="3" w:name="_Hlk182556032"/>
      <w:r w:rsidR="007C47EF" w:rsidRPr="004A7593">
        <w:t xml:space="preserve"> </w:t>
      </w:r>
      <w:r w:rsidR="00D76AEF" w:rsidRPr="004A7593">
        <w:t>është prodhuesi, përfaqësuesi i tij i autorizuar, importuesi, shpërndarësi, ofruesi i shërbimit të zbatimit të porosive ose çdo person tjetër fizik ose juridik, që ka detyrime lidhur me prodhimin e produkteve, bërjen e tyre të disponueshme në treg ose vendosjen e tyre në shërbim, në përputhje me legjislacionin sektorial të zbatueshëm.</w:t>
      </w:r>
      <w:r w:rsidRPr="004A7593">
        <w:t xml:space="preserve">”. </w:t>
      </w:r>
    </w:p>
    <w:bookmarkEnd w:id="3"/>
    <w:p w14:paraId="5E95AA2E" w14:textId="65064841" w:rsidR="007C47EF" w:rsidRPr="004A7593" w:rsidRDefault="005C2943" w:rsidP="007C47EF">
      <w:pPr>
        <w:pStyle w:val="Default"/>
        <w:numPr>
          <w:ilvl w:val="0"/>
          <w:numId w:val="2"/>
        </w:numPr>
        <w:spacing w:line="276" w:lineRule="auto"/>
        <w:rPr>
          <w:color w:val="auto"/>
          <w:lang w:val="sq-AL"/>
        </w:rPr>
      </w:pPr>
      <w:r w:rsidRPr="004A7593">
        <w:rPr>
          <w:color w:val="auto"/>
          <w:lang w:val="sq-AL"/>
        </w:rPr>
        <w:lastRenderedPageBreak/>
        <w:t>Pas pikës 9</w:t>
      </w:r>
      <w:r w:rsidR="001658DF" w:rsidRPr="004A7593">
        <w:rPr>
          <w:color w:val="auto"/>
          <w:lang w:val="sq-AL"/>
        </w:rPr>
        <w:t>,</w:t>
      </w:r>
      <w:r w:rsidRPr="004A7593">
        <w:rPr>
          <w:color w:val="auto"/>
          <w:lang w:val="sq-AL"/>
        </w:rPr>
        <w:t xml:space="preserve"> shtohe</w:t>
      </w:r>
      <w:r w:rsidR="00BF2DC9" w:rsidRPr="004A7593">
        <w:rPr>
          <w:color w:val="auto"/>
          <w:lang w:val="sq-AL"/>
        </w:rPr>
        <w:t xml:space="preserve">n </w:t>
      </w:r>
      <w:r w:rsidRPr="004A7593">
        <w:rPr>
          <w:color w:val="auto"/>
          <w:lang w:val="sq-AL"/>
        </w:rPr>
        <w:t>pika</w:t>
      </w:r>
      <w:r w:rsidR="00BF2DC9" w:rsidRPr="004A7593">
        <w:rPr>
          <w:color w:val="auto"/>
          <w:lang w:val="sq-AL"/>
        </w:rPr>
        <w:t>t</w:t>
      </w:r>
      <w:r w:rsidRPr="004A7593">
        <w:rPr>
          <w:color w:val="auto"/>
          <w:lang w:val="sq-AL"/>
        </w:rPr>
        <w:t xml:space="preserve"> 9/1, 9/2</w:t>
      </w:r>
      <w:r w:rsidR="00BF2DC9" w:rsidRPr="004A7593">
        <w:rPr>
          <w:color w:val="auto"/>
          <w:lang w:val="sq-AL"/>
        </w:rPr>
        <w:t>, 9/3, 9/4, 9/5, 9/6, 9/7, 9/8, 9/9</w:t>
      </w:r>
      <w:r w:rsidR="00CE5F0E" w:rsidRPr="004A7593">
        <w:rPr>
          <w:color w:val="auto"/>
          <w:lang w:val="sq-AL"/>
        </w:rPr>
        <w:t xml:space="preserve"> dhe </w:t>
      </w:r>
      <w:r w:rsidR="00BF2DC9" w:rsidRPr="004A7593">
        <w:rPr>
          <w:color w:val="auto"/>
          <w:lang w:val="sq-AL"/>
        </w:rPr>
        <w:t xml:space="preserve">9/10 </w:t>
      </w:r>
      <w:r w:rsidR="006F4115" w:rsidRPr="004A7593">
        <w:rPr>
          <w:color w:val="auto"/>
          <w:lang w:val="sq-AL"/>
        </w:rPr>
        <w:t>me përmbajtje si vijon</w:t>
      </w:r>
      <w:r w:rsidRPr="004A7593">
        <w:rPr>
          <w:color w:val="auto"/>
          <w:lang w:val="sq-AL"/>
        </w:rPr>
        <w:t>:</w:t>
      </w:r>
    </w:p>
    <w:p w14:paraId="209824D4" w14:textId="77777777" w:rsidR="007C47EF" w:rsidRPr="004A7593" w:rsidRDefault="00837BE2" w:rsidP="007C47EF">
      <w:pPr>
        <w:pStyle w:val="Default"/>
        <w:spacing w:line="276" w:lineRule="auto"/>
        <w:ind w:left="720"/>
        <w:jc w:val="both"/>
        <w:rPr>
          <w:color w:val="auto"/>
          <w:lang w:val="sq-AL"/>
        </w:rPr>
      </w:pPr>
      <w:r w:rsidRPr="004A7593">
        <w:rPr>
          <w:color w:val="auto"/>
          <w:lang w:val="sq-AL"/>
        </w:rPr>
        <w:t>“</w:t>
      </w:r>
      <w:r w:rsidR="007C47EF" w:rsidRPr="004A7593">
        <w:rPr>
          <w:color w:val="auto"/>
          <w:lang w:val="sq-AL"/>
        </w:rPr>
        <w:t>9/1. “Ofruesi i shërbimeve të shoqërisë së informacionit” është çdo person fizik ose juridik që ofron shërbime të shoqërisë së informacionit sipas përkufizimit në legjislacionin për komunikimet elektronike në Republikën e Shqipërisë.</w:t>
      </w:r>
    </w:p>
    <w:p w14:paraId="1FBBED82" w14:textId="77777777" w:rsidR="007C47EF" w:rsidRPr="004A7593" w:rsidRDefault="007C47EF" w:rsidP="007C47EF">
      <w:pPr>
        <w:pStyle w:val="Default"/>
        <w:spacing w:line="276" w:lineRule="auto"/>
        <w:ind w:left="720"/>
        <w:jc w:val="both"/>
        <w:rPr>
          <w:color w:val="auto"/>
          <w:lang w:val="sq-AL"/>
        </w:rPr>
      </w:pPr>
      <w:r w:rsidRPr="004A7593">
        <w:rPr>
          <w:color w:val="auto"/>
          <w:lang w:val="sq-AL"/>
        </w:rPr>
        <w:t>9/2. “Ndërfaqja online” është çdo program kompjuterik, përfshirë faqet e internetit ose aplikacionet, që administrohet nga operatori ekonomik ose në emër të tij dhe që shërben për të mundësuar aksesin e përdoruesve të fundit në produktet e operatorit ekonomik.</w:t>
      </w:r>
    </w:p>
    <w:p w14:paraId="4781A3DB" w14:textId="77777777" w:rsidR="007C47EF" w:rsidRPr="004A7593" w:rsidRDefault="007C47EF" w:rsidP="007C47EF">
      <w:pPr>
        <w:pStyle w:val="Default"/>
        <w:spacing w:line="276" w:lineRule="auto"/>
        <w:ind w:left="720"/>
        <w:jc w:val="both"/>
        <w:rPr>
          <w:color w:val="auto"/>
          <w:lang w:val="sq-AL"/>
        </w:rPr>
      </w:pPr>
      <w:r w:rsidRPr="004A7593">
        <w:rPr>
          <w:color w:val="auto"/>
          <w:lang w:val="sq-AL"/>
        </w:rPr>
        <w:t xml:space="preserve"> 9/3. “Ndërfaqe publike” është pjesa e sistemit të komunikimit dhe shkëmbimit të informacionit, e cila i mundëson përdoruesit të fundit të marrë informacion mbi aktivitetet e mbikëqyrjes së tregut dhe të përdorë funksionalitetet e sistemit përmes një platforme të dedikuar në internet.</w:t>
      </w:r>
    </w:p>
    <w:p w14:paraId="34B5E308" w14:textId="77777777" w:rsidR="00E1621E" w:rsidRDefault="00E1621E" w:rsidP="00E1621E">
      <w:pPr>
        <w:spacing w:after="0"/>
        <w:ind w:left="720"/>
        <w:jc w:val="both"/>
      </w:pPr>
      <w:r w:rsidRPr="00E1621E">
        <w:t>9/4. “Masa vullnetare” është çdo masë korrigjuese e marrë nga operatori ekonomik me iniciativën e tij, pa një kërkesë paraprake nga struktura përgjegjëse.</w:t>
      </w:r>
    </w:p>
    <w:p w14:paraId="6835C659" w14:textId="77777777" w:rsidR="00E1621E" w:rsidRDefault="00E1621E" w:rsidP="00E1621E">
      <w:pPr>
        <w:spacing w:after="0"/>
        <w:ind w:left="720"/>
        <w:jc w:val="both"/>
      </w:pPr>
      <w:r w:rsidRPr="00E1621E">
        <w:t>9/5“Masa korrigjuese” është çdo masë e marrë nga një operator ekonomik, me kërkesë të strukturës përgjegjëse ose me iniciativën e tij, për të eliminuar mospërputhshmërinë.</w:t>
      </w:r>
    </w:p>
    <w:p w14:paraId="149A59F2" w14:textId="77777777" w:rsidR="00E1621E" w:rsidRDefault="00E1621E" w:rsidP="00E1621E">
      <w:pPr>
        <w:spacing w:after="0"/>
        <w:ind w:left="720"/>
        <w:jc w:val="both"/>
      </w:pPr>
      <w:r w:rsidRPr="00E1621E">
        <w:t xml:space="preserve">9/6. “Rrezik” është kombinimi i probabilitetit të shfaqjes së një rreziku që shkakton dëm dhe shkallës së ashpërsisë së këtij dëmi. </w:t>
      </w:r>
    </w:p>
    <w:p w14:paraId="183AD1A1" w14:textId="77777777" w:rsidR="00E1621E" w:rsidRDefault="00E1621E" w:rsidP="00E1621E">
      <w:pPr>
        <w:spacing w:after="0"/>
        <w:ind w:left="720"/>
        <w:jc w:val="both"/>
      </w:pPr>
      <w:r w:rsidRPr="00E1621E">
        <w:t xml:space="preserve">9/7. “Produkt që paraqet rrezik” është çdo produkt që ka potencial të ndikojë negativisht në shëndetin dhe sigurinë e individëve, në sigurinë në vendin e punës, në mbrojtjen e konsumatorëve, në mjedis, në sigurinë publike, si dhe në interesa të tjera publike të mbrojtura nga legjislacioni në fuqi, në një shkallë që tejkalon atë që konsiderohet e arsyeshme dhe e pranueshme në raport me qëllimin për të cilin është projektuar produkti ose me përdorimin e tij në kushte normale apo të parashikueshme, përfshirë kohëzgjatjen e përdorimit dhe, kur është e zbatueshme, vënien në përdorim, instalimin dhe kërkesat për mirëmbajtje. </w:t>
      </w:r>
    </w:p>
    <w:p w14:paraId="035BF05B" w14:textId="77777777" w:rsidR="00E1621E" w:rsidRDefault="00E1621E" w:rsidP="00E1621E">
      <w:pPr>
        <w:spacing w:after="0"/>
        <w:ind w:left="720"/>
        <w:jc w:val="both"/>
      </w:pPr>
      <w:r w:rsidRPr="00E1621E">
        <w:t>9/8. “Produkt që paraqet rrezik serioz” është çdo produkt i rrezikshëm që, bazuar në vlerësimin e rrezikut dhe duke marrë parasysh përdorimin normal dhe të parashikueshëm të tij, paraqet një kombinim të tillë të gjasës së ndodhjes së rrezikut dhe të ashpërsisë së dëmit, i cili kërkon ndërhyrje të shpejtë nga struktura përgjegjëse, përfshirë rastet kur pasojat e rrezikut nuk janë të menjëhershme.</w:t>
      </w:r>
    </w:p>
    <w:p w14:paraId="1B6DEFAC" w14:textId="77777777" w:rsidR="00E1621E" w:rsidRDefault="00E1621E" w:rsidP="00E1621E">
      <w:pPr>
        <w:spacing w:after="0"/>
        <w:ind w:left="720"/>
        <w:jc w:val="both"/>
      </w:pPr>
      <w:r w:rsidRPr="00E1621E">
        <w:t>9/9."Përdorues i fundit” është çdo person fizik ose juridik që ka vendbanimin ose selinë në Republikën e Shqipërisë, të cilit i është vënë në dispozicion një produkt si konsumator ose si përdorues i fundit për qëllime tregtare.</w:t>
      </w:r>
    </w:p>
    <w:p w14:paraId="27016EDC" w14:textId="77777777" w:rsidR="00E1621E" w:rsidRDefault="00E1621E" w:rsidP="00E1621E">
      <w:pPr>
        <w:spacing w:after="0"/>
        <w:ind w:left="720"/>
        <w:jc w:val="both"/>
      </w:pPr>
      <w:r w:rsidRPr="00E1621E">
        <w:t>9/10. “Shitje në largësi” është çdo shitje e produktit e kryer nga operatori ekonomik sipas një skeme të organizuar të shitjes në largësi, me përdorimin ekskluziv të një apo më shumë mjeteve të komunikimit në largësi deri në momentin e lidhjes së kontratës, pa praninë e njëkohshme fizike të operatorit ekonomik dhe të përdoruesit të fundit.</w:t>
      </w:r>
    </w:p>
    <w:p w14:paraId="315DA9C6" w14:textId="55E7245D" w:rsidR="007C47EF" w:rsidRPr="004A7593" w:rsidRDefault="00E1621E" w:rsidP="00E1621E">
      <w:pPr>
        <w:spacing w:after="0"/>
        <w:ind w:left="720"/>
        <w:jc w:val="both"/>
      </w:pPr>
      <w:r w:rsidRPr="00E1621E">
        <w:t>9/11. “Çlirim për qarkullim të lirë” është regjimi doganor sipas parashikimeve të legjislacionit doganor në fuqi</w:t>
      </w:r>
      <w:r w:rsidR="007C47EF" w:rsidRPr="004A7593">
        <w:t xml:space="preserve">.”.  </w:t>
      </w:r>
    </w:p>
    <w:p w14:paraId="14DDA3AA" w14:textId="67C935E3" w:rsidR="00F557B0" w:rsidRPr="004A7593" w:rsidRDefault="00F557B0" w:rsidP="00F557B0">
      <w:pPr>
        <w:pStyle w:val="ListParagraph"/>
        <w:numPr>
          <w:ilvl w:val="0"/>
          <w:numId w:val="2"/>
        </w:numPr>
        <w:spacing w:after="0"/>
        <w:jc w:val="both"/>
      </w:pPr>
      <w:r w:rsidRPr="004A7593">
        <w:lastRenderedPageBreak/>
        <w:t xml:space="preserve">Pika </w:t>
      </w:r>
      <w:r>
        <w:t>17</w:t>
      </w:r>
      <w:r w:rsidRPr="004A7593">
        <w:t>, ndryshohet si më poshtë:</w:t>
      </w:r>
    </w:p>
    <w:p w14:paraId="407D5CF7" w14:textId="267EF4BC" w:rsidR="00F557B0" w:rsidRPr="00DA7663" w:rsidRDefault="00F557B0" w:rsidP="00396614">
      <w:pPr>
        <w:widowControl w:val="0"/>
        <w:shd w:val="clear" w:color="auto" w:fill="FFFFFF"/>
        <w:tabs>
          <w:tab w:val="left" w:pos="1104"/>
        </w:tabs>
        <w:autoSpaceDE w:val="0"/>
        <w:autoSpaceDN w:val="0"/>
        <w:adjustRightInd w:val="0"/>
        <w:spacing w:after="0"/>
        <w:ind w:left="720"/>
        <w:jc w:val="both"/>
        <w:rPr>
          <w:color w:val="C45911"/>
        </w:rPr>
      </w:pPr>
      <w:r>
        <w:t xml:space="preserve">“17. </w:t>
      </w:r>
      <w:r w:rsidRPr="00396614">
        <w:t xml:space="preserve">“Standard i harmonizuar shqiptar” është një standard shqiptar, që transpozon një standard të harmonizuar </w:t>
      </w:r>
      <w:r w:rsidR="00C916DC" w:rsidRPr="00F557B0">
        <w:t>evropian</w:t>
      </w:r>
      <w:r w:rsidRPr="00396614">
        <w:t>, në mbështetje të këtij ligji dhe të rregullave teknike, i cili adoptohet dhe publikohet si SSH nga Drejtoria e Përgjithshme e Standardizimit.  Ministritë e linjës dhe/ose autoritetet e tjera të administratës qendrore, në bashkërendim me Drejtorinë e Përgjithshme të Standardizimit për mënyrën e referimit të tyre, i propozojnë Këshillit të Ministrave për miratim listën e standardeve të harmonizuara shqiptare dhe çdo ndryshim të saj, e cila botohet në Fletoren Zyrtare.</w:t>
      </w:r>
      <w:r>
        <w:t xml:space="preserve">”. </w:t>
      </w:r>
    </w:p>
    <w:p w14:paraId="348F2A0D" w14:textId="7D630684" w:rsidR="003E2366" w:rsidRPr="004A7593" w:rsidRDefault="003E2366" w:rsidP="007C47EF">
      <w:pPr>
        <w:pStyle w:val="ListParagraph"/>
        <w:widowControl w:val="0"/>
        <w:numPr>
          <w:ilvl w:val="0"/>
          <w:numId w:val="2"/>
        </w:numPr>
        <w:shd w:val="clear" w:color="auto" w:fill="FFFFFF"/>
        <w:tabs>
          <w:tab w:val="left" w:pos="970"/>
        </w:tabs>
        <w:autoSpaceDE w:val="0"/>
        <w:autoSpaceDN w:val="0"/>
        <w:adjustRightInd w:val="0"/>
        <w:jc w:val="both"/>
      </w:pPr>
      <w:r w:rsidRPr="004A7593">
        <w:t>Pas pikës 20</w:t>
      </w:r>
      <w:r w:rsidR="009C1B57" w:rsidRPr="004A7593">
        <w:t>,</w:t>
      </w:r>
      <w:r w:rsidRPr="004A7593">
        <w:t xml:space="preserve"> shtohet pika 20/1</w:t>
      </w:r>
      <w:r w:rsidR="006F4115" w:rsidRPr="004A7593">
        <w:t xml:space="preserve"> me përmbajtje si vijon</w:t>
      </w:r>
      <w:r w:rsidRPr="004A7593">
        <w:t>:</w:t>
      </w:r>
    </w:p>
    <w:p w14:paraId="765B5D59" w14:textId="312C2AE3" w:rsidR="003E2366" w:rsidRPr="004A7593" w:rsidRDefault="00837BE2" w:rsidP="00BF1273">
      <w:pPr>
        <w:pStyle w:val="ListParagraph"/>
        <w:spacing w:after="0"/>
        <w:jc w:val="both"/>
      </w:pPr>
      <w:r w:rsidRPr="004A7593">
        <w:t>“</w:t>
      </w:r>
      <w:r w:rsidR="003E2366" w:rsidRPr="004A7593">
        <w:t>20/1.</w:t>
      </w:r>
      <w:r w:rsidR="003E2366" w:rsidRPr="004A7593">
        <w:rPr>
          <w:rFonts w:eastAsia="ヒラギノ角ゴ Pro W3"/>
        </w:rPr>
        <w:t>“</w:t>
      </w:r>
      <w:r w:rsidR="009C1B57" w:rsidRPr="004A7593">
        <w:rPr>
          <w:rFonts w:eastAsia="ヒラギノ角ゴ Pro W3"/>
        </w:rPr>
        <w:t>M</w:t>
      </w:r>
      <w:r w:rsidR="003E2366" w:rsidRPr="004A7593">
        <w:rPr>
          <w:rFonts w:eastAsia="ヒラギノ角ゴ Pro W3"/>
        </w:rPr>
        <w:t>os-përputhshmëri”</w:t>
      </w:r>
      <w:r w:rsidR="007C47EF" w:rsidRPr="004A7593">
        <w:rPr>
          <w:rFonts w:eastAsia="ヒラギノ角ゴ Pro W3"/>
        </w:rPr>
        <w:t xml:space="preserve"> </w:t>
      </w:r>
      <w:r w:rsidR="007C47EF" w:rsidRPr="004A7593">
        <w:t>është çdo shkelje ose mospërmbushje e kërkesave të përcaktuara në këtë ligj dhe/ose në legjislacionin në fuqi.</w:t>
      </w:r>
      <w:r w:rsidRPr="004A7593">
        <w:rPr>
          <w:rFonts w:eastAsia="ヒラギノ角ゴ Pro W3"/>
        </w:rPr>
        <w:t>”.</w:t>
      </w:r>
    </w:p>
    <w:p w14:paraId="224537E0" w14:textId="5548CFDF" w:rsidR="001A17A4" w:rsidRPr="004A7593" w:rsidRDefault="001A17A4" w:rsidP="00D76AEF">
      <w:pPr>
        <w:pStyle w:val="Default"/>
        <w:numPr>
          <w:ilvl w:val="0"/>
          <w:numId w:val="2"/>
        </w:numPr>
        <w:spacing w:line="276" w:lineRule="auto"/>
        <w:rPr>
          <w:color w:val="auto"/>
          <w:lang w:val="sq-AL"/>
        </w:rPr>
      </w:pPr>
      <w:r w:rsidRPr="004A7593">
        <w:rPr>
          <w:color w:val="auto"/>
          <w:lang w:val="sq-AL"/>
        </w:rPr>
        <w:t>N</w:t>
      </w:r>
      <w:r w:rsidR="00DC6BA2" w:rsidRPr="004A7593">
        <w:rPr>
          <w:color w:val="auto"/>
          <w:lang w:val="sq-AL"/>
        </w:rPr>
        <w:t>ë</w:t>
      </w:r>
      <w:r w:rsidRPr="004A7593">
        <w:rPr>
          <w:color w:val="auto"/>
          <w:lang w:val="sq-AL"/>
        </w:rPr>
        <w:t xml:space="preserve"> pik</w:t>
      </w:r>
      <w:r w:rsidR="00DC6BA2" w:rsidRPr="004A7593">
        <w:rPr>
          <w:color w:val="auto"/>
          <w:lang w:val="sq-AL"/>
        </w:rPr>
        <w:t>ë</w:t>
      </w:r>
      <w:r w:rsidRPr="004A7593">
        <w:rPr>
          <w:color w:val="auto"/>
          <w:lang w:val="sq-AL"/>
        </w:rPr>
        <w:t>n 24, togfjal</w:t>
      </w:r>
      <w:r w:rsidR="00DC6BA2" w:rsidRPr="004A7593">
        <w:rPr>
          <w:color w:val="auto"/>
          <w:lang w:val="sq-AL"/>
        </w:rPr>
        <w:t>ë</w:t>
      </w:r>
      <w:r w:rsidRPr="004A7593">
        <w:rPr>
          <w:color w:val="auto"/>
          <w:lang w:val="sq-AL"/>
        </w:rPr>
        <w:t xml:space="preserve">shi “Personi përgjegjës i produktit/instalimit të vënë në shërbim’” </w:t>
      </w:r>
      <w:r w:rsidR="006566F8" w:rsidRPr="004A7593">
        <w:rPr>
          <w:color w:val="auto"/>
          <w:lang w:val="sq-AL"/>
        </w:rPr>
        <w:t>ndryshohet</w:t>
      </w:r>
      <w:r w:rsidRPr="004A7593">
        <w:rPr>
          <w:color w:val="auto"/>
          <w:lang w:val="sq-AL"/>
        </w:rPr>
        <w:t xml:space="preserve"> me togfjal</w:t>
      </w:r>
      <w:r w:rsidR="00DC6BA2" w:rsidRPr="004A7593">
        <w:rPr>
          <w:color w:val="auto"/>
          <w:lang w:val="sq-AL"/>
        </w:rPr>
        <w:t>ë</w:t>
      </w:r>
      <w:r w:rsidRPr="004A7593">
        <w:rPr>
          <w:color w:val="auto"/>
          <w:lang w:val="sq-AL"/>
        </w:rPr>
        <w:t xml:space="preserve">shin ““Personi përgjegjës për instalimin e vënë në shërbim”. </w:t>
      </w:r>
    </w:p>
    <w:p w14:paraId="3E2D42CD" w14:textId="24E56B22" w:rsidR="00BF2DC9" w:rsidRPr="004A7593" w:rsidRDefault="00BF2DC9" w:rsidP="00D76AEF">
      <w:pPr>
        <w:pStyle w:val="Default"/>
        <w:numPr>
          <w:ilvl w:val="0"/>
          <w:numId w:val="2"/>
        </w:numPr>
        <w:spacing w:line="276" w:lineRule="auto"/>
        <w:rPr>
          <w:color w:val="auto"/>
          <w:lang w:val="sq-AL"/>
        </w:rPr>
      </w:pPr>
      <w:r w:rsidRPr="004A7593">
        <w:rPr>
          <w:color w:val="auto"/>
          <w:lang w:val="sq-AL"/>
        </w:rPr>
        <w:t>Pas pikës 24</w:t>
      </w:r>
      <w:r w:rsidR="009C1B57" w:rsidRPr="004A7593">
        <w:rPr>
          <w:color w:val="auto"/>
          <w:lang w:val="sq-AL"/>
        </w:rPr>
        <w:t>,</w:t>
      </w:r>
      <w:r w:rsidRPr="004A7593">
        <w:rPr>
          <w:color w:val="auto"/>
          <w:lang w:val="sq-AL"/>
        </w:rPr>
        <w:t xml:space="preserve"> shtohet pika</w:t>
      </w:r>
      <w:r w:rsidR="009C1B57" w:rsidRPr="004A7593">
        <w:rPr>
          <w:color w:val="auto"/>
          <w:lang w:val="sq-AL"/>
        </w:rPr>
        <w:t xml:space="preserve"> </w:t>
      </w:r>
      <w:r w:rsidRPr="004A7593">
        <w:rPr>
          <w:color w:val="auto"/>
          <w:lang w:val="sq-AL"/>
        </w:rPr>
        <w:t>24/1</w:t>
      </w:r>
      <w:r w:rsidR="009C1B57" w:rsidRPr="004A7593">
        <w:rPr>
          <w:color w:val="auto"/>
          <w:lang w:val="sq-AL"/>
        </w:rPr>
        <w:t xml:space="preserve"> </w:t>
      </w:r>
      <w:r w:rsidR="006F4115" w:rsidRPr="004A7593">
        <w:rPr>
          <w:color w:val="auto"/>
          <w:lang w:val="sq-AL"/>
        </w:rPr>
        <w:t>me përmbajtje si vijon</w:t>
      </w:r>
      <w:r w:rsidRPr="004A7593">
        <w:rPr>
          <w:color w:val="auto"/>
          <w:lang w:val="sq-AL"/>
        </w:rPr>
        <w:t>:</w:t>
      </w:r>
    </w:p>
    <w:p w14:paraId="447216DC" w14:textId="217E0C91" w:rsidR="00BF2DC9" w:rsidRPr="004A7593" w:rsidRDefault="00837BE2" w:rsidP="00BF1273">
      <w:pPr>
        <w:pStyle w:val="ListParagraph"/>
        <w:widowControl w:val="0"/>
        <w:shd w:val="clear" w:color="auto" w:fill="FFFFFF"/>
        <w:tabs>
          <w:tab w:val="left" w:pos="1075"/>
        </w:tabs>
        <w:autoSpaceDE w:val="0"/>
        <w:autoSpaceDN w:val="0"/>
        <w:adjustRightInd w:val="0"/>
        <w:spacing w:after="0"/>
        <w:jc w:val="both"/>
      </w:pPr>
      <w:r w:rsidRPr="004A7593">
        <w:t>“</w:t>
      </w:r>
      <w:r w:rsidR="00BF2DC9" w:rsidRPr="004A7593">
        <w:t>24/1. “Autoritete  doganore”  është  administrata  doganore  e  Republikës  së</w:t>
      </w:r>
      <w:r w:rsidRPr="004A7593">
        <w:t xml:space="preserve"> </w:t>
      </w:r>
      <w:r w:rsidR="00BF2DC9" w:rsidRPr="004A7593">
        <w:t>Shqipërisë sipas përkufizimit në legjislacionin doganor.</w:t>
      </w:r>
      <w:r w:rsidRPr="004A7593">
        <w:t xml:space="preserve">”. </w:t>
      </w:r>
    </w:p>
    <w:p w14:paraId="50B7AF67" w14:textId="474BFA7B" w:rsidR="00BF2DC9" w:rsidRPr="004A7593" w:rsidRDefault="00BF2DC9" w:rsidP="00D76AEF">
      <w:pPr>
        <w:pStyle w:val="Default"/>
        <w:numPr>
          <w:ilvl w:val="0"/>
          <w:numId w:val="2"/>
        </w:numPr>
        <w:spacing w:line="276" w:lineRule="auto"/>
        <w:rPr>
          <w:color w:val="auto"/>
          <w:lang w:val="sq-AL"/>
        </w:rPr>
      </w:pPr>
      <w:r w:rsidRPr="004A7593">
        <w:rPr>
          <w:color w:val="auto"/>
          <w:lang w:val="sq-AL"/>
        </w:rPr>
        <w:t>Pas pikës 2</w:t>
      </w:r>
      <w:r w:rsidR="003E2366" w:rsidRPr="004A7593">
        <w:rPr>
          <w:color w:val="auto"/>
          <w:lang w:val="sq-AL"/>
        </w:rPr>
        <w:t>7</w:t>
      </w:r>
      <w:r w:rsidR="009C1B57" w:rsidRPr="004A7593">
        <w:rPr>
          <w:color w:val="auto"/>
          <w:lang w:val="sq-AL"/>
        </w:rPr>
        <w:t>,</w:t>
      </w:r>
      <w:r w:rsidRPr="004A7593">
        <w:rPr>
          <w:color w:val="auto"/>
          <w:lang w:val="sq-AL"/>
        </w:rPr>
        <w:t xml:space="preserve"> shtohe</w:t>
      </w:r>
      <w:r w:rsidR="003E2366" w:rsidRPr="004A7593">
        <w:rPr>
          <w:color w:val="auto"/>
          <w:lang w:val="sq-AL"/>
        </w:rPr>
        <w:t>n</w:t>
      </w:r>
      <w:r w:rsidRPr="004A7593">
        <w:rPr>
          <w:color w:val="auto"/>
          <w:lang w:val="sq-AL"/>
        </w:rPr>
        <w:t xml:space="preserve"> pika</w:t>
      </w:r>
      <w:r w:rsidR="003E2366" w:rsidRPr="004A7593">
        <w:rPr>
          <w:color w:val="auto"/>
          <w:lang w:val="sq-AL"/>
        </w:rPr>
        <w:t>t 28 dhe 29</w:t>
      </w:r>
      <w:r w:rsidR="009C1B57" w:rsidRPr="004A7593">
        <w:rPr>
          <w:color w:val="auto"/>
          <w:lang w:val="sq-AL"/>
        </w:rPr>
        <w:t xml:space="preserve"> </w:t>
      </w:r>
      <w:r w:rsidR="006F4115" w:rsidRPr="004A7593">
        <w:rPr>
          <w:color w:val="auto"/>
          <w:lang w:val="sq-AL"/>
        </w:rPr>
        <w:t>me përmbajtje si vijon</w:t>
      </w:r>
      <w:r w:rsidRPr="004A7593">
        <w:rPr>
          <w:color w:val="auto"/>
          <w:lang w:val="sq-AL"/>
        </w:rPr>
        <w:t>:</w:t>
      </w:r>
    </w:p>
    <w:p w14:paraId="4E1D6CE5" w14:textId="77777777" w:rsidR="007C47EF" w:rsidRPr="004A7593" w:rsidRDefault="00837BE2" w:rsidP="007C47EF">
      <w:pPr>
        <w:widowControl w:val="0"/>
        <w:shd w:val="clear" w:color="auto" w:fill="FFFFFF"/>
        <w:tabs>
          <w:tab w:val="left" w:pos="1080"/>
        </w:tabs>
        <w:autoSpaceDE w:val="0"/>
        <w:autoSpaceDN w:val="0"/>
        <w:adjustRightInd w:val="0"/>
        <w:spacing w:after="0"/>
        <w:ind w:left="720"/>
        <w:jc w:val="both"/>
      </w:pPr>
      <w:r w:rsidRPr="004A7593">
        <w:rPr>
          <w:rStyle w:val="Strong"/>
          <w:b w:val="0"/>
        </w:rPr>
        <w:t xml:space="preserve">“28. </w:t>
      </w:r>
      <w:r w:rsidR="003E2366" w:rsidRPr="004A7593">
        <w:rPr>
          <w:rStyle w:val="Strong"/>
          <w:b w:val="0"/>
        </w:rPr>
        <w:t>“</w:t>
      </w:r>
      <w:r w:rsidR="003E2366" w:rsidRPr="004A7593">
        <w:rPr>
          <w:rStyle w:val="Strong"/>
          <w:b w:val="0"/>
          <w:bCs w:val="0"/>
        </w:rPr>
        <w:t>ICSMS</w:t>
      </w:r>
      <w:r w:rsidR="003E2366" w:rsidRPr="004A7593">
        <w:t>” është sistemi</w:t>
      </w:r>
      <w:r w:rsidR="00B411B8" w:rsidRPr="004A7593">
        <w:t xml:space="preserve"> elektronik </w:t>
      </w:r>
      <w:r w:rsidR="003E2366" w:rsidRPr="004A7593">
        <w:t xml:space="preserve">evropian i informacionit dhe komunikimit për mbikëqyrjen e produkteve në treg, i cili </w:t>
      </w:r>
      <w:r w:rsidR="00B411B8" w:rsidRPr="004A7593">
        <w:t>mundëson</w:t>
      </w:r>
      <w:r w:rsidR="003E2366" w:rsidRPr="004A7593">
        <w:t xml:space="preserve"> shkëmbimin e informacionit dhe komunikimin ndërmjet autoriteteve të mbikëqyrjes së tregut në shtetet anëtare të Bashkimit Evropian dhe në Shoqatën Evropiane të Tregtisë së Lirë (EFTA).</w:t>
      </w:r>
      <w:r w:rsidRPr="004A7593">
        <w:t xml:space="preserve"> </w:t>
      </w:r>
    </w:p>
    <w:p w14:paraId="40029626" w14:textId="1D90ADC5" w:rsidR="003E2366" w:rsidRPr="004A7593" w:rsidRDefault="00837BE2" w:rsidP="007C47EF">
      <w:pPr>
        <w:widowControl w:val="0"/>
        <w:shd w:val="clear" w:color="auto" w:fill="FFFFFF"/>
        <w:tabs>
          <w:tab w:val="left" w:pos="1080"/>
        </w:tabs>
        <w:autoSpaceDE w:val="0"/>
        <w:autoSpaceDN w:val="0"/>
        <w:adjustRightInd w:val="0"/>
        <w:spacing w:after="0"/>
        <w:ind w:left="720"/>
        <w:jc w:val="both"/>
      </w:pPr>
      <w:r w:rsidRPr="004A7593">
        <w:t xml:space="preserve">29. </w:t>
      </w:r>
      <w:r w:rsidR="003E2366" w:rsidRPr="004A7593">
        <w:t xml:space="preserve">“Legjislacioni i harmonizuar i Bashkimit Evropian” </w:t>
      </w:r>
      <w:r w:rsidR="007C47EF" w:rsidRPr="004A7593">
        <w:t>është legjislacioni i Bashkimit Evropian që harmonizon kushtet dhe përcakton kërkesat e përbashkëta për vënien në dispozicion të produkteve në tregun e brendshëm, me qëllim sigurimin e përputhshmërisë së tyre me këto kërkesa dhe garantimin e funksionimit të tregut të brendshëm të Bashkimit Evropian.</w:t>
      </w:r>
      <w:r w:rsidRPr="004A7593">
        <w:t xml:space="preserve">”. </w:t>
      </w:r>
      <w:r w:rsidR="003E2366" w:rsidRPr="004A7593">
        <w:t xml:space="preserve"> </w:t>
      </w:r>
    </w:p>
    <w:p w14:paraId="3C3793B9" w14:textId="77777777" w:rsidR="00F41E6E" w:rsidRPr="004A7593" w:rsidRDefault="00F41E6E" w:rsidP="00BF1273">
      <w:pPr>
        <w:widowControl w:val="0"/>
        <w:shd w:val="clear" w:color="auto" w:fill="FFFFFF"/>
        <w:tabs>
          <w:tab w:val="left" w:pos="1080"/>
        </w:tabs>
        <w:autoSpaceDE w:val="0"/>
        <w:autoSpaceDN w:val="0"/>
        <w:adjustRightInd w:val="0"/>
        <w:spacing w:after="0"/>
        <w:ind w:left="720"/>
        <w:jc w:val="both"/>
      </w:pPr>
    </w:p>
    <w:p w14:paraId="2F6812E8" w14:textId="70ADEFA9" w:rsidR="00BF2DC9" w:rsidRDefault="00C4181E" w:rsidP="00C4181E">
      <w:pPr>
        <w:pStyle w:val="Default"/>
        <w:spacing w:line="276" w:lineRule="auto"/>
        <w:jc w:val="center"/>
        <w:rPr>
          <w:b/>
          <w:bCs/>
          <w:lang w:val="sq-AL"/>
        </w:rPr>
      </w:pPr>
      <w:r w:rsidRPr="004A7593">
        <w:rPr>
          <w:b/>
          <w:bCs/>
          <w:lang w:val="sq-AL"/>
        </w:rPr>
        <w:t>Neni 3</w:t>
      </w:r>
    </w:p>
    <w:p w14:paraId="5BD023F9" w14:textId="77777777" w:rsidR="00EB3E0C" w:rsidRPr="004A7593" w:rsidRDefault="00EB3E0C" w:rsidP="00C4181E">
      <w:pPr>
        <w:pStyle w:val="Default"/>
        <w:spacing w:line="276" w:lineRule="auto"/>
        <w:jc w:val="center"/>
        <w:rPr>
          <w:b/>
          <w:bCs/>
          <w:lang w:val="sq-AL"/>
        </w:rPr>
      </w:pPr>
    </w:p>
    <w:p w14:paraId="6C82C374" w14:textId="495F6D35" w:rsidR="00117E64" w:rsidRDefault="00C4181E" w:rsidP="00396614">
      <w:pPr>
        <w:spacing w:after="0"/>
      </w:pPr>
      <w:r w:rsidRPr="004A7593">
        <w:t>Në nenin 5</w:t>
      </w:r>
      <w:r w:rsidR="002B0AF0" w:rsidRPr="004A7593">
        <w:t xml:space="preserve">, pas pikës 4 shtohet pika 5 </w:t>
      </w:r>
      <w:r w:rsidR="006F4115" w:rsidRPr="004A7593">
        <w:t>me përmbajtje si vijon</w:t>
      </w:r>
      <w:r w:rsidR="002B0AF0" w:rsidRPr="004A7593">
        <w:t xml:space="preserve">: </w:t>
      </w:r>
    </w:p>
    <w:p w14:paraId="6CED71E1" w14:textId="77777777" w:rsidR="003E7D68" w:rsidRPr="004A7593" w:rsidRDefault="003E7D68" w:rsidP="00396614">
      <w:pPr>
        <w:spacing w:after="0"/>
      </w:pPr>
    </w:p>
    <w:p w14:paraId="6103F880" w14:textId="3FF4DECB" w:rsidR="002B0AF0" w:rsidRPr="004A7593" w:rsidRDefault="002B0AF0" w:rsidP="00396614">
      <w:pPr>
        <w:spacing w:after="0"/>
        <w:jc w:val="both"/>
      </w:pPr>
      <w:r w:rsidRPr="004A7593">
        <w:t xml:space="preserve">“5. Operatorët ekonomikë zbatojnë kërkesat thelbësore të sigurisë dhe kërkesat teknike për produktet, të përcaktuara sipas këtij ligji dhe rregullave teknike të zbatueshme për produktet, përfshirë kërkesat për projektimin, etiketimin, paketimin, markimin, instruksionet për përdorimin dhe mirëmbajtjen, si dhe procedurat e vlerësimit të konformitetit.”. </w:t>
      </w:r>
    </w:p>
    <w:p w14:paraId="5B85C147" w14:textId="07754BCD" w:rsidR="00653944" w:rsidRPr="004A7593" w:rsidRDefault="00653944" w:rsidP="00653944">
      <w:pPr>
        <w:shd w:val="clear" w:color="auto" w:fill="FFFFFF"/>
        <w:spacing w:after="0"/>
        <w:jc w:val="both"/>
      </w:pPr>
    </w:p>
    <w:p w14:paraId="39E99CCA" w14:textId="5B00F1C7" w:rsidR="00653944" w:rsidRDefault="00653944" w:rsidP="00653944">
      <w:pPr>
        <w:shd w:val="clear" w:color="auto" w:fill="FFFFFF"/>
        <w:spacing w:after="0"/>
        <w:jc w:val="center"/>
        <w:rPr>
          <w:b/>
          <w:bCs/>
        </w:rPr>
      </w:pPr>
      <w:r w:rsidRPr="004A7593">
        <w:rPr>
          <w:b/>
          <w:bCs/>
        </w:rPr>
        <w:t>Neni 4</w:t>
      </w:r>
    </w:p>
    <w:p w14:paraId="4E4855D4" w14:textId="77777777" w:rsidR="00EB3E0C" w:rsidRPr="004A7593" w:rsidRDefault="00EB3E0C" w:rsidP="00653944">
      <w:pPr>
        <w:shd w:val="clear" w:color="auto" w:fill="FFFFFF"/>
        <w:spacing w:after="0"/>
        <w:jc w:val="center"/>
        <w:rPr>
          <w:b/>
          <w:bCs/>
        </w:rPr>
      </w:pPr>
    </w:p>
    <w:p w14:paraId="5A0B204F" w14:textId="22B9063C" w:rsidR="00866A16" w:rsidRDefault="00866A16" w:rsidP="00866A16">
      <w:pPr>
        <w:shd w:val="clear" w:color="auto" w:fill="FFFFFF"/>
        <w:spacing w:after="0"/>
        <w:jc w:val="both"/>
      </w:pPr>
      <w:r w:rsidRPr="004A7593">
        <w:t>Në</w:t>
      </w:r>
      <w:r w:rsidR="005B0A30">
        <w:t xml:space="preserve"> pik</w:t>
      </w:r>
      <w:r w:rsidR="00FF7441">
        <w:t>ë</w:t>
      </w:r>
      <w:r w:rsidR="005B0A30">
        <w:t>n 2 t</w:t>
      </w:r>
      <w:r w:rsidR="00FF7441">
        <w:t>ë</w:t>
      </w:r>
      <w:r w:rsidR="00EE38B6">
        <w:t xml:space="preserve"> </w:t>
      </w:r>
      <w:r w:rsidRPr="004A7593">
        <w:t xml:space="preserve">nenin 8, </w:t>
      </w:r>
      <w:r w:rsidR="00117E64">
        <w:t>p</w:t>
      </w:r>
      <w:r w:rsidR="00117E64" w:rsidRPr="004A7593">
        <w:t>as shkronjës dh) shtohet shkronja e) me përmbajtje si vijon</w:t>
      </w:r>
      <w:r w:rsidRPr="004A7593">
        <w:t xml:space="preserve">: </w:t>
      </w:r>
    </w:p>
    <w:p w14:paraId="0961AED3" w14:textId="587DB75E" w:rsidR="00644E51" w:rsidRPr="004A7593" w:rsidRDefault="001D31F3" w:rsidP="00396614">
      <w:pPr>
        <w:pStyle w:val="ListParagraph"/>
        <w:shd w:val="clear" w:color="auto" w:fill="FFFFFF"/>
        <w:tabs>
          <w:tab w:val="left" w:pos="1022"/>
          <w:tab w:val="left" w:pos="1080"/>
        </w:tabs>
        <w:jc w:val="both"/>
      </w:pPr>
      <w:r>
        <w:lastRenderedPageBreak/>
        <w:t>“</w:t>
      </w:r>
      <w:r w:rsidR="005B0A30" w:rsidRPr="004A7593">
        <w:t xml:space="preserve">e) </w:t>
      </w:r>
      <w:r w:rsidR="005B0A30" w:rsidRPr="004A7593">
        <w:rPr>
          <w:shd w:val="clear" w:color="auto" w:fill="FFFFFF"/>
        </w:rPr>
        <w:t>elemente shtesë për produkte specifike, kur parashikohen nga legjislacioni sektorial i zbatueshëm</w:t>
      </w:r>
      <w:r w:rsidR="005B0A30" w:rsidRPr="004A7593">
        <w:t>.</w:t>
      </w:r>
      <w:r>
        <w:t xml:space="preserve">”. </w:t>
      </w:r>
    </w:p>
    <w:p w14:paraId="07CFD64A" w14:textId="77777777" w:rsidR="005B0A30" w:rsidRDefault="005B0A30" w:rsidP="0056790B">
      <w:pPr>
        <w:pStyle w:val="ListParagraph"/>
        <w:shd w:val="clear" w:color="auto" w:fill="FFFFFF"/>
        <w:tabs>
          <w:tab w:val="left" w:pos="1022"/>
          <w:tab w:val="left" w:pos="1080"/>
        </w:tabs>
        <w:jc w:val="both"/>
      </w:pPr>
    </w:p>
    <w:p w14:paraId="01D75CD2" w14:textId="5ED48289" w:rsidR="005B0A30" w:rsidRPr="00396614" w:rsidRDefault="005B0A30" w:rsidP="00396614">
      <w:pPr>
        <w:shd w:val="clear" w:color="auto" w:fill="FFFFFF"/>
        <w:tabs>
          <w:tab w:val="left" w:pos="1022"/>
          <w:tab w:val="left" w:pos="1080"/>
        </w:tabs>
        <w:jc w:val="center"/>
        <w:rPr>
          <w:b/>
          <w:bCs/>
        </w:rPr>
      </w:pPr>
      <w:r w:rsidRPr="00396614">
        <w:rPr>
          <w:b/>
          <w:bCs/>
        </w:rPr>
        <w:t>Neni 5</w:t>
      </w:r>
    </w:p>
    <w:p w14:paraId="107FFD81" w14:textId="677D590F" w:rsidR="005B0A30" w:rsidRPr="004A7593" w:rsidRDefault="005B0A30" w:rsidP="00396614">
      <w:pPr>
        <w:shd w:val="clear" w:color="auto" w:fill="FFFFFF"/>
        <w:spacing w:after="0"/>
        <w:jc w:val="both"/>
      </w:pPr>
      <w:r>
        <w:t>Kudo n</w:t>
      </w:r>
      <w:r w:rsidR="00FF7441">
        <w:t>ë</w:t>
      </w:r>
      <w:r>
        <w:t xml:space="preserve"> tekstin e ligjit</w:t>
      </w:r>
      <w:r w:rsidR="00215F98">
        <w:t xml:space="preserve"> </w:t>
      </w:r>
      <w:r w:rsidRPr="004A7593">
        <w:t>“Deklarata EC</w:t>
      </w:r>
      <w:r w:rsidR="00215F98" w:rsidRPr="00396614">
        <w:rPr>
          <w:b/>
          <w:bCs/>
        </w:rPr>
        <w:t xml:space="preserve"> </w:t>
      </w:r>
      <w:r w:rsidR="00215F98" w:rsidRPr="00396614">
        <w:t>e konformitetit</w:t>
      </w:r>
      <w:r w:rsidRPr="004A7593">
        <w:t>” ndryshohet me “Deklarata EU</w:t>
      </w:r>
      <w:r w:rsidR="00215F98" w:rsidRPr="00396614">
        <w:rPr>
          <w:b/>
          <w:bCs/>
        </w:rPr>
        <w:t xml:space="preserve"> </w:t>
      </w:r>
      <w:r w:rsidR="00215F98" w:rsidRPr="00396614">
        <w:t>e konformitetit</w:t>
      </w:r>
      <w:r w:rsidRPr="004A7593">
        <w:t>”.</w:t>
      </w:r>
    </w:p>
    <w:p w14:paraId="686AE6EC" w14:textId="77777777" w:rsidR="00EB3E0C" w:rsidRPr="004A7593" w:rsidRDefault="00EB3E0C" w:rsidP="002B0AF0">
      <w:pPr>
        <w:spacing w:after="0"/>
        <w:rPr>
          <w:b/>
        </w:rPr>
      </w:pPr>
    </w:p>
    <w:p w14:paraId="593EA424" w14:textId="65F8BE89" w:rsidR="003B696F" w:rsidRDefault="003B696F" w:rsidP="00C4181E">
      <w:pPr>
        <w:spacing w:after="0"/>
        <w:jc w:val="center"/>
        <w:rPr>
          <w:b/>
        </w:rPr>
      </w:pPr>
      <w:r w:rsidRPr="004A7593">
        <w:rPr>
          <w:b/>
        </w:rPr>
        <w:t>Neni</w:t>
      </w:r>
      <w:r w:rsidR="00EE38B6">
        <w:rPr>
          <w:b/>
        </w:rPr>
        <w:t xml:space="preserve"> </w:t>
      </w:r>
      <w:r w:rsidR="005B0A30">
        <w:rPr>
          <w:b/>
        </w:rPr>
        <w:t xml:space="preserve">6 </w:t>
      </w:r>
    </w:p>
    <w:p w14:paraId="19CCE172" w14:textId="77777777" w:rsidR="0039710D" w:rsidRPr="004A7593" w:rsidRDefault="0039710D" w:rsidP="00C4181E">
      <w:pPr>
        <w:spacing w:after="0"/>
        <w:jc w:val="center"/>
        <w:rPr>
          <w:b/>
        </w:rPr>
      </w:pPr>
    </w:p>
    <w:p w14:paraId="519F7902" w14:textId="1222D6A4" w:rsidR="00F96503" w:rsidRPr="004A7593" w:rsidRDefault="00F96503" w:rsidP="00F96503">
      <w:pPr>
        <w:shd w:val="clear" w:color="auto" w:fill="FFFFFF"/>
      </w:pPr>
      <w:r w:rsidRPr="004A7593">
        <w:t>Pas nenit 9</w:t>
      </w:r>
      <w:r w:rsidR="006F4115" w:rsidRPr="004A7593">
        <w:t>,</w:t>
      </w:r>
      <w:r w:rsidRPr="004A7593">
        <w:t xml:space="preserve"> shtohet neni 9/1 </w:t>
      </w:r>
      <w:r w:rsidR="006F4115" w:rsidRPr="004A7593">
        <w:t>me përmbajtje si vijon</w:t>
      </w:r>
      <w:r w:rsidRPr="004A7593">
        <w:t>:</w:t>
      </w:r>
    </w:p>
    <w:p w14:paraId="2D312685" w14:textId="77777777" w:rsidR="00F96503" w:rsidRPr="004A7593" w:rsidRDefault="00F96503" w:rsidP="00C4181E">
      <w:pPr>
        <w:spacing w:after="0"/>
        <w:jc w:val="center"/>
        <w:rPr>
          <w:b/>
        </w:rPr>
      </w:pPr>
    </w:p>
    <w:p w14:paraId="00713531" w14:textId="3B9C8B81" w:rsidR="00F96503" w:rsidRPr="004A7593" w:rsidRDefault="00F96503" w:rsidP="003E7D68">
      <w:pPr>
        <w:widowControl w:val="0"/>
        <w:shd w:val="clear" w:color="auto" w:fill="FFFFFF"/>
        <w:tabs>
          <w:tab w:val="left" w:pos="970"/>
        </w:tabs>
        <w:autoSpaceDE w:val="0"/>
        <w:autoSpaceDN w:val="0"/>
        <w:adjustRightInd w:val="0"/>
        <w:spacing w:after="0"/>
        <w:jc w:val="center"/>
        <w:rPr>
          <w:b/>
          <w:lang w:val="it-IT"/>
        </w:rPr>
      </w:pPr>
      <w:r w:rsidRPr="004A7593">
        <w:rPr>
          <w:b/>
          <w:lang w:val="it-IT"/>
        </w:rPr>
        <w:t>“Neni 9/1</w:t>
      </w:r>
    </w:p>
    <w:p w14:paraId="603F1168" w14:textId="5326B570" w:rsidR="00F96503" w:rsidRDefault="00F96503" w:rsidP="003E7D68">
      <w:pPr>
        <w:widowControl w:val="0"/>
        <w:shd w:val="clear" w:color="auto" w:fill="FFFFFF"/>
        <w:tabs>
          <w:tab w:val="left" w:pos="970"/>
        </w:tabs>
        <w:autoSpaceDE w:val="0"/>
        <w:autoSpaceDN w:val="0"/>
        <w:adjustRightInd w:val="0"/>
        <w:spacing w:after="0"/>
        <w:jc w:val="center"/>
        <w:rPr>
          <w:b/>
          <w:lang w:val="it-IT"/>
        </w:rPr>
      </w:pPr>
      <w:r w:rsidRPr="004A7593">
        <w:rPr>
          <w:b/>
          <w:lang w:val="it-IT"/>
        </w:rPr>
        <w:t>Markime të tjera të konformitetit</w:t>
      </w:r>
    </w:p>
    <w:p w14:paraId="0F0B736A" w14:textId="77777777" w:rsidR="003E7D68" w:rsidRPr="004A7593" w:rsidRDefault="003E7D68" w:rsidP="003E7D68">
      <w:pPr>
        <w:widowControl w:val="0"/>
        <w:shd w:val="clear" w:color="auto" w:fill="FFFFFF"/>
        <w:tabs>
          <w:tab w:val="left" w:pos="970"/>
        </w:tabs>
        <w:autoSpaceDE w:val="0"/>
        <w:autoSpaceDN w:val="0"/>
        <w:adjustRightInd w:val="0"/>
        <w:spacing w:after="0"/>
        <w:jc w:val="center"/>
        <w:rPr>
          <w:lang w:val="it-IT"/>
        </w:rPr>
      </w:pPr>
    </w:p>
    <w:p w14:paraId="6E8BBC20" w14:textId="77777777" w:rsidR="00F96503" w:rsidRPr="004A7593" w:rsidRDefault="00F96503" w:rsidP="006B49C5">
      <w:pPr>
        <w:widowControl w:val="0"/>
        <w:numPr>
          <w:ilvl w:val="0"/>
          <w:numId w:val="41"/>
        </w:numPr>
        <w:shd w:val="clear" w:color="auto" w:fill="FFFFFF"/>
        <w:tabs>
          <w:tab w:val="left" w:pos="970"/>
        </w:tabs>
        <w:autoSpaceDE w:val="0"/>
        <w:autoSpaceDN w:val="0"/>
        <w:adjustRightInd w:val="0"/>
        <w:spacing w:after="0"/>
        <w:jc w:val="both"/>
        <w:rPr>
          <w:lang w:val="it-IT"/>
        </w:rPr>
      </w:pPr>
      <w:r w:rsidRPr="004A7593">
        <w:rPr>
          <w:lang w:val="it-IT"/>
        </w:rPr>
        <w:t xml:space="preserve">Vendosja e markimeve të tjera të konformitetit, të ndryshme nga markimi CE, lejohet në territorin e Republikës së Shqipërisë vetëm për produkte për të cilat një markim i tillë parashikohet nga legjislacioni shqiptar i përafruar me legjislacionin e harmonizuar të Bashkimit Evropian. </w:t>
      </w:r>
    </w:p>
    <w:p w14:paraId="01BD0B05" w14:textId="12B286DB" w:rsidR="00F96503" w:rsidRPr="004A7593" w:rsidRDefault="00F96503" w:rsidP="006B49C5">
      <w:pPr>
        <w:widowControl w:val="0"/>
        <w:numPr>
          <w:ilvl w:val="0"/>
          <w:numId w:val="41"/>
        </w:numPr>
        <w:shd w:val="clear" w:color="auto" w:fill="FFFFFF"/>
        <w:tabs>
          <w:tab w:val="left" w:pos="970"/>
        </w:tabs>
        <w:autoSpaceDE w:val="0"/>
        <w:autoSpaceDN w:val="0"/>
        <w:adjustRightInd w:val="0"/>
        <w:spacing w:after="0"/>
        <w:jc w:val="both"/>
        <w:rPr>
          <w:lang w:val="it-IT"/>
        </w:rPr>
      </w:pPr>
      <w:r w:rsidRPr="004A7593">
        <w:rPr>
          <w:lang w:val="it-IT"/>
        </w:rPr>
        <w:t>Markimet e parashikuara në pikën 1 të këtij neni nuk duhet të krijojnë ngatërrim me markimin CE dhe duhet të jenë të qarta, të dallueshme dhe lehtësisht të identifikueshme nga konsumatorët dhe strukturat përgjegjëse.</w:t>
      </w:r>
      <w:r w:rsidR="001D31F3">
        <w:rPr>
          <w:lang w:val="it-IT"/>
        </w:rPr>
        <w:t xml:space="preserve">”. </w:t>
      </w:r>
    </w:p>
    <w:p w14:paraId="5B84605A" w14:textId="77777777" w:rsidR="00F96503" w:rsidRPr="004A7593" w:rsidRDefault="00F96503" w:rsidP="00C4181E">
      <w:pPr>
        <w:spacing w:after="0"/>
        <w:jc w:val="center"/>
        <w:rPr>
          <w:b/>
          <w:lang w:val="it-IT"/>
        </w:rPr>
      </w:pPr>
    </w:p>
    <w:p w14:paraId="28EC925C" w14:textId="77777777" w:rsidR="003F37B4" w:rsidRPr="004A7593" w:rsidRDefault="003F37B4" w:rsidP="003F37B4">
      <w:pPr>
        <w:pStyle w:val="ListParagraph"/>
        <w:spacing w:after="0"/>
        <w:jc w:val="both"/>
      </w:pPr>
    </w:p>
    <w:p w14:paraId="75ECA6F2" w14:textId="52758356" w:rsidR="003F37B4" w:rsidRDefault="003F37B4" w:rsidP="003F37B4">
      <w:pPr>
        <w:spacing w:after="0"/>
        <w:jc w:val="center"/>
        <w:rPr>
          <w:b/>
          <w:bCs/>
        </w:rPr>
      </w:pPr>
      <w:r w:rsidRPr="004A7593">
        <w:rPr>
          <w:b/>
          <w:bCs/>
        </w:rPr>
        <w:t>Neni</w:t>
      </w:r>
      <w:r w:rsidR="0039710D">
        <w:rPr>
          <w:b/>
          <w:bCs/>
        </w:rPr>
        <w:t xml:space="preserve"> </w:t>
      </w:r>
      <w:r w:rsidRPr="004A7593">
        <w:rPr>
          <w:b/>
          <w:bCs/>
        </w:rPr>
        <w:t>7</w:t>
      </w:r>
    </w:p>
    <w:p w14:paraId="04DB5A73" w14:textId="77777777" w:rsidR="0039710D" w:rsidRPr="004A7593" w:rsidRDefault="0039710D" w:rsidP="003F37B4">
      <w:pPr>
        <w:spacing w:after="0"/>
        <w:jc w:val="center"/>
        <w:rPr>
          <w:b/>
          <w:bCs/>
        </w:rPr>
      </w:pPr>
    </w:p>
    <w:p w14:paraId="12CD9AF6" w14:textId="02A918D9" w:rsidR="003F37B4" w:rsidRPr="004A7593" w:rsidRDefault="003F37B4" w:rsidP="003F37B4">
      <w:pPr>
        <w:shd w:val="clear" w:color="auto" w:fill="FFFFFF"/>
        <w:spacing w:after="0"/>
        <w:jc w:val="both"/>
      </w:pPr>
      <w:r w:rsidRPr="004A7593">
        <w:t xml:space="preserve">Në nenin 11, bëhen </w:t>
      </w:r>
      <w:r w:rsidR="00954E53">
        <w:t xml:space="preserve">shtesat </w:t>
      </w:r>
      <w:r w:rsidR="00477026" w:rsidRPr="004A7593">
        <w:t>si m</w:t>
      </w:r>
      <w:r w:rsidR="003C70F1" w:rsidRPr="004A7593">
        <w:t>ë</w:t>
      </w:r>
      <w:r w:rsidR="00477026" w:rsidRPr="004A7593">
        <w:t xml:space="preserve"> posht</w:t>
      </w:r>
      <w:r w:rsidR="003C70F1" w:rsidRPr="004A7593">
        <w:t>ë</w:t>
      </w:r>
      <w:r w:rsidRPr="004A7593">
        <w:t xml:space="preserve">: </w:t>
      </w:r>
    </w:p>
    <w:p w14:paraId="3DA27CE0" w14:textId="7F4DE94B" w:rsidR="007E660A" w:rsidRPr="004A7593" w:rsidRDefault="007E660A" w:rsidP="002174B0">
      <w:pPr>
        <w:pStyle w:val="ListParagraph"/>
        <w:spacing w:after="0"/>
        <w:jc w:val="both"/>
      </w:pPr>
    </w:p>
    <w:p w14:paraId="667DC307" w14:textId="5281EF60" w:rsidR="00F96503" w:rsidRPr="004A7593" w:rsidRDefault="003F37B4" w:rsidP="006B49C5">
      <w:pPr>
        <w:pStyle w:val="ListParagraph"/>
        <w:numPr>
          <w:ilvl w:val="0"/>
          <w:numId w:val="42"/>
        </w:numPr>
        <w:spacing w:after="0"/>
        <w:jc w:val="both"/>
      </w:pPr>
      <w:r w:rsidRPr="004A7593">
        <w:t>N</w:t>
      </w:r>
      <w:r w:rsidR="00DC6BA2" w:rsidRPr="004A7593">
        <w:t>ë</w:t>
      </w:r>
      <w:r w:rsidRPr="004A7593">
        <w:t xml:space="preserve"> pik</w:t>
      </w:r>
      <w:r w:rsidR="00DC6BA2" w:rsidRPr="004A7593">
        <w:t>ë</w:t>
      </w:r>
      <w:r w:rsidRPr="004A7593">
        <w:t xml:space="preserve">n </w:t>
      </w:r>
      <w:r w:rsidR="007E660A" w:rsidRPr="004A7593">
        <w:t>2</w:t>
      </w:r>
      <w:r w:rsidRPr="004A7593">
        <w:t xml:space="preserve">, </w:t>
      </w:r>
      <w:r w:rsidR="007E660A" w:rsidRPr="004A7593">
        <w:t>pas shkronj</w:t>
      </w:r>
      <w:r w:rsidR="00DC6BA2" w:rsidRPr="004A7593">
        <w:t>ë</w:t>
      </w:r>
      <w:r w:rsidR="007E660A" w:rsidRPr="004A7593">
        <w:t xml:space="preserve">s c) shtohen shkronjat ç) dhe d) </w:t>
      </w:r>
      <w:r w:rsidR="00477026" w:rsidRPr="004A7593">
        <w:t>me përmbajtje si vijon</w:t>
      </w:r>
      <w:r w:rsidR="007E660A" w:rsidRPr="004A7593">
        <w:t xml:space="preserve">: </w:t>
      </w:r>
    </w:p>
    <w:p w14:paraId="35F76904" w14:textId="77777777" w:rsidR="007E660A" w:rsidRPr="004A7593" w:rsidRDefault="007E660A" w:rsidP="007E660A">
      <w:pPr>
        <w:pStyle w:val="ListParagraph"/>
        <w:shd w:val="clear" w:color="auto" w:fill="FFFFFF"/>
        <w:jc w:val="both"/>
      </w:pPr>
      <w:r w:rsidRPr="004A7593">
        <w:t xml:space="preserve">“ç) të përmbushë detyrat e përcaktuara në nenin </w:t>
      </w:r>
      <w:r w:rsidRPr="005B1245">
        <w:t>15/1,</w:t>
      </w:r>
      <w:r w:rsidRPr="004A7593">
        <w:t xml:space="preserve"> pika 3 e këtij ligji, nëse akti i përfaqësimit i lëshuar nga prodhuesi mbulon produktet që i përkasin grupeve të përcaktuara në nenin 15/1, pika 4, pavarësisht nga çdo detyrë tjetër e parashikuar në aktin e përfaqësimit sipas legjislacionit të zbatueshëm për produktet; </w:t>
      </w:r>
    </w:p>
    <w:p w14:paraId="410CB676" w14:textId="58EF4CC5" w:rsidR="00FF48DA" w:rsidRPr="004A7593" w:rsidRDefault="007E660A" w:rsidP="007E660A">
      <w:pPr>
        <w:pStyle w:val="ListParagraph"/>
        <w:shd w:val="clear" w:color="auto" w:fill="FFFFFF"/>
        <w:jc w:val="both"/>
      </w:pPr>
      <w:r w:rsidRPr="004A7593">
        <w:t xml:space="preserve">d) t’i dorëzojë strukturës përgjegjëse, me kërkesë të saj, një kopje të aktit të përfaqësimit në gjuhën shqipe.”. </w:t>
      </w:r>
    </w:p>
    <w:p w14:paraId="4E555298" w14:textId="74D04363" w:rsidR="007E660A" w:rsidRPr="004A7593" w:rsidRDefault="007E660A" w:rsidP="006B49C5">
      <w:pPr>
        <w:pStyle w:val="ListParagraph"/>
        <w:numPr>
          <w:ilvl w:val="0"/>
          <w:numId w:val="42"/>
        </w:numPr>
        <w:shd w:val="clear" w:color="auto" w:fill="FFFFFF"/>
        <w:jc w:val="both"/>
      </w:pPr>
      <w:r w:rsidRPr="004A7593">
        <w:t>Pas pik</w:t>
      </w:r>
      <w:r w:rsidR="00DC6BA2" w:rsidRPr="004A7593">
        <w:t>ë</w:t>
      </w:r>
      <w:r w:rsidRPr="004A7593">
        <w:t xml:space="preserve">s 2, shtohet pika 3 </w:t>
      </w:r>
      <w:r w:rsidR="00477026" w:rsidRPr="004A7593">
        <w:t>me përmbajtje si vijon</w:t>
      </w:r>
      <w:r w:rsidRPr="004A7593">
        <w:t xml:space="preserve">: </w:t>
      </w:r>
    </w:p>
    <w:p w14:paraId="0F6AA513" w14:textId="4C575F22" w:rsidR="007E660A" w:rsidRDefault="007E660A" w:rsidP="007E660A">
      <w:pPr>
        <w:pStyle w:val="ListParagraph"/>
        <w:spacing w:after="0"/>
        <w:jc w:val="both"/>
      </w:pPr>
      <w:r w:rsidRPr="004A7593">
        <w:t>“3. Prodhuesi i siguron përfaqësuesit të autorizuar burimet e nevojshme për të kryer detyrat e përcaktuara.”.</w:t>
      </w:r>
    </w:p>
    <w:p w14:paraId="4EE9829A" w14:textId="6F443352" w:rsidR="003E7D68" w:rsidRDefault="003E7D68" w:rsidP="007E660A">
      <w:pPr>
        <w:pStyle w:val="ListParagraph"/>
        <w:spacing w:after="0"/>
        <w:jc w:val="both"/>
      </w:pPr>
    </w:p>
    <w:p w14:paraId="2671C7C7" w14:textId="77777777" w:rsidR="003E7D68" w:rsidRPr="004A7593" w:rsidRDefault="003E7D68" w:rsidP="007E660A">
      <w:pPr>
        <w:pStyle w:val="ListParagraph"/>
        <w:spacing w:after="0"/>
        <w:jc w:val="both"/>
      </w:pPr>
    </w:p>
    <w:p w14:paraId="3FA1188E" w14:textId="77777777" w:rsidR="007E660A" w:rsidRPr="004A7593" w:rsidRDefault="007E660A" w:rsidP="007E660A">
      <w:pPr>
        <w:spacing w:after="0"/>
        <w:jc w:val="both"/>
      </w:pPr>
    </w:p>
    <w:p w14:paraId="542329BD" w14:textId="6C36A698" w:rsidR="007E660A" w:rsidRDefault="001A17A4" w:rsidP="001A17A4">
      <w:pPr>
        <w:pStyle w:val="ListParagraph"/>
        <w:spacing w:after="0"/>
        <w:jc w:val="center"/>
        <w:rPr>
          <w:b/>
          <w:bCs/>
        </w:rPr>
      </w:pPr>
      <w:r w:rsidRPr="004A7593">
        <w:rPr>
          <w:b/>
          <w:bCs/>
        </w:rPr>
        <w:t>Neni 8</w:t>
      </w:r>
    </w:p>
    <w:p w14:paraId="07A1F7C1" w14:textId="77777777" w:rsidR="003E7D68" w:rsidRPr="004A7593" w:rsidRDefault="003E7D68" w:rsidP="001A17A4">
      <w:pPr>
        <w:pStyle w:val="ListParagraph"/>
        <w:spacing w:after="0"/>
        <w:jc w:val="center"/>
        <w:rPr>
          <w:b/>
          <w:bCs/>
        </w:rPr>
      </w:pPr>
    </w:p>
    <w:p w14:paraId="5756911F" w14:textId="095D7FB3" w:rsidR="00CE5F0E" w:rsidRPr="004A7593" w:rsidRDefault="00C40613" w:rsidP="000D0D59">
      <w:pPr>
        <w:shd w:val="clear" w:color="auto" w:fill="FFFFFF"/>
      </w:pPr>
      <w:r w:rsidRPr="004A7593">
        <w:t>Pas nenit 15</w:t>
      </w:r>
      <w:r w:rsidR="001A17A4" w:rsidRPr="004A7593">
        <w:t>,</w:t>
      </w:r>
      <w:r w:rsidRPr="004A7593">
        <w:t xml:space="preserve"> shtohe</w:t>
      </w:r>
      <w:r w:rsidR="00A26902" w:rsidRPr="004A7593">
        <w:t>n</w:t>
      </w:r>
      <w:r w:rsidRPr="004A7593">
        <w:t xml:space="preserve"> </w:t>
      </w:r>
      <w:r w:rsidR="00CE5F0E" w:rsidRPr="004A7593">
        <w:t xml:space="preserve">nenet 15/1, 15/2, 15/3 dhe 15/4 </w:t>
      </w:r>
      <w:r w:rsidR="00477026" w:rsidRPr="004A7593">
        <w:t>me përmbajtje si vijon</w:t>
      </w:r>
      <w:r w:rsidRPr="004A7593">
        <w:t>:</w:t>
      </w:r>
    </w:p>
    <w:p w14:paraId="4E218E28" w14:textId="1FA76DB4" w:rsidR="001A17A4" w:rsidRPr="004A7593" w:rsidRDefault="001A17A4" w:rsidP="003E7D68">
      <w:pPr>
        <w:widowControl w:val="0"/>
        <w:shd w:val="clear" w:color="auto" w:fill="FFFFFF"/>
        <w:tabs>
          <w:tab w:val="left" w:pos="955"/>
        </w:tabs>
        <w:autoSpaceDE w:val="0"/>
        <w:autoSpaceDN w:val="0"/>
        <w:adjustRightInd w:val="0"/>
        <w:spacing w:after="0"/>
        <w:jc w:val="center"/>
        <w:rPr>
          <w:b/>
          <w:bCs/>
        </w:rPr>
      </w:pPr>
      <w:r w:rsidRPr="004A7593">
        <w:rPr>
          <w:b/>
          <w:bCs/>
        </w:rPr>
        <w:t>“Neni 15/1</w:t>
      </w:r>
    </w:p>
    <w:p w14:paraId="4FDE2567" w14:textId="4557684C" w:rsidR="001A17A4" w:rsidRDefault="001A17A4" w:rsidP="003E7D68">
      <w:pPr>
        <w:shd w:val="clear" w:color="auto" w:fill="FFFFFF"/>
        <w:spacing w:after="0"/>
        <w:jc w:val="center"/>
        <w:rPr>
          <w:b/>
          <w:bCs/>
        </w:rPr>
      </w:pPr>
      <w:r w:rsidRPr="004A7593">
        <w:rPr>
          <w:b/>
          <w:bCs/>
        </w:rPr>
        <w:t>Detyrimet e operatorëve ekonomikë për një grup të caktuar të produkteve</w:t>
      </w:r>
    </w:p>
    <w:p w14:paraId="45490DB1" w14:textId="77777777" w:rsidR="003E7D68" w:rsidRPr="004A7593" w:rsidRDefault="003E7D68" w:rsidP="003E7D68">
      <w:pPr>
        <w:shd w:val="clear" w:color="auto" w:fill="FFFFFF"/>
        <w:spacing w:after="0"/>
        <w:jc w:val="center"/>
        <w:rPr>
          <w:b/>
          <w:bCs/>
        </w:rPr>
      </w:pPr>
    </w:p>
    <w:p w14:paraId="184DCA72" w14:textId="77777777" w:rsidR="001A17A4" w:rsidRPr="004A7593" w:rsidRDefault="001A17A4" w:rsidP="006B49C5">
      <w:pPr>
        <w:pStyle w:val="ListParagraph"/>
        <w:numPr>
          <w:ilvl w:val="0"/>
          <w:numId w:val="24"/>
        </w:numPr>
        <w:spacing w:after="0"/>
        <w:jc w:val="both"/>
        <w:rPr>
          <w:b/>
          <w:bCs/>
        </w:rPr>
      </w:pPr>
      <w:r w:rsidRPr="004A7593">
        <w:t>Një produkt nga grupi i caktuar i produkteve, sipas pikës 4 të këtij neni, mund të vendoset në treg vetëm nëse ekziston një operator ekonomik i regjistruar në Republikën e Shqipërisë,  i cili është përgjegjës për detyrat e përcaktuara në pikën 3 të këtij neni.</w:t>
      </w:r>
    </w:p>
    <w:p w14:paraId="7B5C2BB6" w14:textId="77777777" w:rsidR="001A17A4" w:rsidRPr="004A7593" w:rsidRDefault="001A17A4" w:rsidP="006B49C5">
      <w:pPr>
        <w:pStyle w:val="ListParagraph"/>
        <w:numPr>
          <w:ilvl w:val="0"/>
          <w:numId w:val="24"/>
        </w:numPr>
        <w:spacing w:after="160"/>
        <w:jc w:val="both"/>
        <w:rPr>
          <w:b/>
          <w:bCs/>
        </w:rPr>
      </w:pPr>
      <w:r w:rsidRPr="004A7593">
        <w:t>Operator ekonomik, sipas pikës 1 të këtij neni, është:</w:t>
      </w:r>
    </w:p>
    <w:p w14:paraId="1A05DD14" w14:textId="77777777" w:rsidR="001A17A4" w:rsidRPr="004A7593" w:rsidRDefault="001A17A4" w:rsidP="001A17A4">
      <w:pPr>
        <w:pStyle w:val="ListParagraph"/>
        <w:numPr>
          <w:ilvl w:val="0"/>
          <w:numId w:val="3"/>
        </w:numPr>
        <w:spacing w:after="160"/>
        <w:ind w:left="1440"/>
        <w:jc w:val="both"/>
        <w:rPr>
          <w:b/>
          <w:bCs/>
        </w:rPr>
      </w:pPr>
      <w:r w:rsidRPr="004A7593">
        <w:t>prodhuesi me seli në Republikën e Shqipërisë;</w:t>
      </w:r>
    </w:p>
    <w:p w14:paraId="6DFF1AC2" w14:textId="77777777" w:rsidR="001A17A4" w:rsidRPr="004A7593" w:rsidRDefault="001A17A4" w:rsidP="001A17A4">
      <w:pPr>
        <w:pStyle w:val="ListParagraph"/>
        <w:numPr>
          <w:ilvl w:val="0"/>
          <w:numId w:val="3"/>
        </w:numPr>
        <w:spacing w:after="160"/>
        <w:ind w:left="1440"/>
        <w:jc w:val="both"/>
        <w:rPr>
          <w:b/>
          <w:bCs/>
        </w:rPr>
      </w:pPr>
      <w:r w:rsidRPr="004A7593">
        <w:t xml:space="preserve">importuesi, nëse prodhuesi nuk ka seli në Republikën e Shqipërisë; </w:t>
      </w:r>
    </w:p>
    <w:p w14:paraId="6EB28427" w14:textId="77777777" w:rsidR="001A17A4" w:rsidRPr="004A7593" w:rsidRDefault="001A17A4" w:rsidP="001A17A4">
      <w:pPr>
        <w:pStyle w:val="ListParagraph"/>
        <w:numPr>
          <w:ilvl w:val="0"/>
          <w:numId w:val="3"/>
        </w:numPr>
        <w:spacing w:after="160"/>
        <w:ind w:left="1440"/>
        <w:jc w:val="both"/>
        <w:rPr>
          <w:b/>
          <w:bCs/>
        </w:rPr>
      </w:pPr>
      <w:r w:rsidRPr="004A7593">
        <w:t>përfaqësuesi i autorizuar me akt përfaqësimi të lëshuar nga prodhuesi për të kryer detyrat e përcaktuara në pikën 3 të këtij neni;</w:t>
      </w:r>
    </w:p>
    <w:p w14:paraId="5184B9CA" w14:textId="77777777" w:rsidR="001A17A4" w:rsidRPr="004A7593" w:rsidRDefault="001A17A4" w:rsidP="001A17A4">
      <w:pPr>
        <w:pStyle w:val="ListParagraph"/>
        <w:spacing w:after="0"/>
        <w:ind w:left="1080"/>
        <w:jc w:val="both"/>
      </w:pPr>
      <w:r w:rsidRPr="004A7593">
        <w:t>ç) ofruesi i shërbimit të zbatimit të porosive me seli në territorin e Republikës së Shqipërisë, që trajton produktet, nëse operatorët ekonomik sipas shkronjave (a), (b) dhe (c) të këtij neni nuk kanë selinë në Republikën e Shqipërisë.</w:t>
      </w:r>
    </w:p>
    <w:p w14:paraId="6BD84A54" w14:textId="77777777" w:rsidR="001A17A4" w:rsidRPr="004A7593" w:rsidRDefault="001A17A4" w:rsidP="006B49C5">
      <w:pPr>
        <w:pStyle w:val="ListParagraph"/>
        <w:numPr>
          <w:ilvl w:val="0"/>
          <w:numId w:val="25"/>
        </w:numPr>
        <w:spacing w:after="0"/>
        <w:jc w:val="both"/>
      </w:pPr>
      <w:r w:rsidRPr="004A7593">
        <w:t>Operatori ekonomik me seli në territorin e Republikës së Shqipërisë, sipas pikës 2 të këtij neni, kryen detyrat e mëposhtme:</w:t>
      </w:r>
    </w:p>
    <w:p w14:paraId="63A87173" w14:textId="77777777" w:rsidR="001A17A4" w:rsidRPr="004A7593" w:rsidRDefault="001A17A4" w:rsidP="001A17A4">
      <w:pPr>
        <w:numPr>
          <w:ilvl w:val="0"/>
          <w:numId w:val="4"/>
        </w:numPr>
        <w:spacing w:after="0"/>
        <w:ind w:left="1440"/>
        <w:jc w:val="both"/>
      </w:pPr>
      <w:r w:rsidRPr="004A7593">
        <w:t>verifikon nëse deklarata EU e konformitetit dhe dokumentacioni teknik, sipas përcaktimeve të legjislacionit të zbatueshëm për produktin, janë hartuar, i mban ato në dispozicion të strukturës përgjegjëse për periudhën e përcaktuar në legjislacionin përkatës dhe siguron që dokumentacioni teknik t’i vihet në dispozicion kësaj strukture me kërkesë të saj.</w:t>
      </w:r>
    </w:p>
    <w:p w14:paraId="50152936" w14:textId="77777777" w:rsidR="001A17A4" w:rsidRPr="004A7593" w:rsidRDefault="001A17A4" w:rsidP="001A17A4">
      <w:pPr>
        <w:numPr>
          <w:ilvl w:val="0"/>
          <w:numId w:val="4"/>
        </w:numPr>
        <w:spacing w:after="0"/>
        <w:ind w:left="1440"/>
        <w:jc w:val="both"/>
      </w:pPr>
      <w:r w:rsidRPr="004A7593">
        <w:t>ofron të gjithë informacionin dhe dokumentacionin e nevojshëm për të vërtetuar përputhshmërinë  e produktit, me kërkesë të arsyetuar të strukturës përgjegjëse, në një gjuhë lehtësisht të kuptueshme nga kjo strukturë;</w:t>
      </w:r>
    </w:p>
    <w:p w14:paraId="56DACDB0" w14:textId="77777777" w:rsidR="001A17A4" w:rsidRPr="004A7593" w:rsidRDefault="001A17A4" w:rsidP="001A17A4">
      <w:pPr>
        <w:numPr>
          <w:ilvl w:val="0"/>
          <w:numId w:val="4"/>
        </w:numPr>
        <w:spacing w:after="0"/>
        <w:ind w:left="1440"/>
        <w:jc w:val="both"/>
      </w:pPr>
      <w:r w:rsidRPr="004A7593">
        <w:t xml:space="preserve">njofton strukturën përgjegjëse nëse dyshon se një produkt paraqet rrezik; </w:t>
      </w:r>
    </w:p>
    <w:p w14:paraId="2311C74F" w14:textId="77777777" w:rsidR="001A17A4" w:rsidRPr="004A7593" w:rsidRDefault="001A17A4" w:rsidP="001A17A4">
      <w:pPr>
        <w:ind w:left="1080"/>
        <w:jc w:val="both"/>
      </w:pPr>
      <w:r w:rsidRPr="004A7593">
        <w:t>ç)  zbaton masat e nevojshme korrigjuese për të eliminuar mospërputhshmëritë me rregullat teknike të zbatueshme ndaj produktit, me kërkesë të arsyetuar të strukturës përgjegjëse ose me iniciativë të tij, ose, nëse kjo nuk është e mundur, për të zvogëluar rrezikun që paraqet produkti;</w:t>
      </w:r>
    </w:p>
    <w:p w14:paraId="7C17EA87" w14:textId="77777777" w:rsidR="001A17A4" w:rsidRPr="004A7593" w:rsidRDefault="001A17A4" w:rsidP="001A17A4">
      <w:pPr>
        <w:numPr>
          <w:ilvl w:val="0"/>
          <w:numId w:val="4"/>
        </w:numPr>
        <w:spacing w:after="0"/>
        <w:ind w:left="1440"/>
        <w:jc w:val="both"/>
      </w:pPr>
      <w:bookmarkStart w:id="4" w:name="_Hlk195617716"/>
      <w:r w:rsidRPr="004A7593">
        <w:t>siguron që emri i tij, emri tregtar ose marka tregtare e regjistruar dhe të dhënat e kontaktit të operatorit ekonomik, përfshirë adresën e selisë, të vendosen në produkt, në paketimin e tij ose në dokumentacionin shoqërues të produktit;</w:t>
      </w:r>
    </w:p>
    <w:bookmarkEnd w:id="4"/>
    <w:p w14:paraId="3C8D2C2A" w14:textId="77777777" w:rsidR="001A17A4" w:rsidRPr="004A7593" w:rsidRDefault="001A17A4" w:rsidP="001A17A4">
      <w:pPr>
        <w:ind w:left="1080"/>
        <w:jc w:val="both"/>
      </w:pPr>
      <w:r w:rsidRPr="004A7593">
        <w:t>dh) çdo detyrë tjetër të përcaktuar në rregullat teknike të zbatueshme ndaj produktit.</w:t>
      </w:r>
    </w:p>
    <w:p w14:paraId="0EE40920" w14:textId="77777777" w:rsidR="001A17A4" w:rsidRPr="004A7593" w:rsidRDefault="001A17A4" w:rsidP="006B49C5">
      <w:pPr>
        <w:numPr>
          <w:ilvl w:val="0"/>
          <w:numId w:val="25"/>
        </w:numPr>
        <w:spacing w:before="100" w:beforeAutospacing="1" w:after="100" w:afterAutospacing="1"/>
        <w:jc w:val="both"/>
      </w:pPr>
      <w:r w:rsidRPr="004A7593">
        <w:lastRenderedPageBreak/>
        <w:t xml:space="preserve">Grupi i produkteve që i nënshtrohet zbatimit të këtij neni përcaktohet me vendim të Këshillit të Ministrave, bazuar në parimet e mbrojtjes së interesit publik, proporcionalitetit dhe harmonizimit me legjislacionin e Bashkimit Evropian. </w:t>
      </w:r>
    </w:p>
    <w:p w14:paraId="4A04A17E" w14:textId="77777777" w:rsidR="001A17A4" w:rsidRPr="004A7593" w:rsidRDefault="001A17A4" w:rsidP="003E7D68">
      <w:pPr>
        <w:spacing w:after="0"/>
        <w:ind w:left="360"/>
        <w:jc w:val="center"/>
        <w:rPr>
          <w:b/>
          <w:bCs/>
        </w:rPr>
      </w:pPr>
      <w:r w:rsidRPr="004A7593">
        <w:rPr>
          <w:b/>
          <w:bCs/>
        </w:rPr>
        <w:t>Neni 15/2</w:t>
      </w:r>
    </w:p>
    <w:p w14:paraId="2EB42834" w14:textId="4F89D0C3" w:rsidR="001A17A4" w:rsidRDefault="001A17A4" w:rsidP="003E7D68">
      <w:pPr>
        <w:spacing w:after="0"/>
        <w:ind w:left="360"/>
        <w:jc w:val="center"/>
        <w:rPr>
          <w:b/>
          <w:bCs/>
        </w:rPr>
      </w:pPr>
      <w:r w:rsidRPr="004A7593">
        <w:rPr>
          <w:b/>
          <w:bCs/>
        </w:rPr>
        <w:t>Shitja në largësi</w:t>
      </w:r>
    </w:p>
    <w:p w14:paraId="751AA500" w14:textId="77777777" w:rsidR="003E7D68" w:rsidRPr="004A7593" w:rsidRDefault="003E7D68" w:rsidP="003E7D68">
      <w:pPr>
        <w:spacing w:after="0"/>
        <w:ind w:left="360"/>
        <w:jc w:val="center"/>
        <w:rPr>
          <w:b/>
          <w:bCs/>
        </w:rPr>
      </w:pPr>
    </w:p>
    <w:p w14:paraId="50772D07" w14:textId="77777777" w:rsidR="001A17A4" w:rsidRPr="004A7593" w:rsidRDefault="001A17A4" w:rsidP="003E7D68">
      <w:pPr>
        <w:numPr>
          <w:ilvl w:val="0"/>
          <w:numId w:val="5"/>
        </w:numPr>
        <w:spacing w:after="0"/>
        <w:jc w:val="both"/>
        <w:rPr>
          <w:b/>
          <w:bCs/>
        </w:rPr>
      </w:pPr>
      <w:r w:rsidRPr="004A7593">
        <w:t xml:space="preserve">Produktet që ofrohen për shitje në internet ose përmes mjeteve të tjera të shitjes në largësi konsiderohen të jenë vënë në dispozicion në treg nëse oferta i drejtohet përdoruesve të fundit në territorin e Republikës së Shqipërisë. </w:t>
      </w:r>
    </w:p>
    <w:p w14:paraId="07075318" w14:textId="77777777" w:rsidR="001A17A4" w:rsidRPr="004A7593" w:rsidRDefault="001A17A4" w:rsidP="001A17A4">
      <w:pPr>
        <w:numPr>
          <w:ilvl w:val="0"/>
          <w:numId w:val="5"/>
        </w:numPr>
        <w:spacing w:after="0"/>
        <w:jc w:val="both"/>
        <w:rPr>
          <w:b/>
          <w:bCs/>
        </w:rPr>
      </w:pPr>
      <w:r w:rsidRPr="004A7593">
        <w:t>Oferta për shitje në largësi i drejtohet përdoruesve të fundit në Republikën e Shqipërisë, nëse operatori ekonomik përkatës drejton, në çfarëdo lloj mënyre, aktivitetet e tij në territorin e Republikës së Shqipërisë.</w:t>
      </w:r>
    </w:p>
    <w:p w14:paraId="3F0B6243" w14:textId="77777777" w:rsidR="001A17A4" w:rsidRPr="004A7593" w:rsidRDefault="001A17A4" w:rsidP="001A17A4">
      <w:pPr>
        <w:pStyle w:val="NormalWeb"/>
        <w:numPr>
          <w:ilvl w:val="0"/>
          <w:numId w:val="5"/>
        </w:numPr>
        <w:spacing w:after="0" w:afterAutospacing="0" w:line="276" w:lineRule="auto"/>
        <w:jc w:val="both"/>
        <w:rPr>
          <w:lang w:val="sq-AL"/>
        </w:rPr>
      </w:pPr>
      <w:r w:rsidRPr="004A7593">
        <w:rPr>
          <w:lang w:val="sq-AL"/>
        </w:rPr>
        <w:t>Oferta për shitjeje në largësi i drejtohet përdoruesve të fundit në Republikën e Shqipërisë kur përmbush një ose më shumë nga kriteret e mëposhtme:</w:t>
      </w:r>
    </w:p>
    <w:p w14:paraId="32C57411" w14:textId="77777777" w:rsidR="001A17A4" w:rsidRPr="004A7593" w:rsidRDefault="001A17A4" w:rsidP="001A17A4">
      <w:pPr>
        <w:pStyle w:val="NormalWeb"/>
        <w:spacing w:before="0" w:beforeAutospacing="0" w:after="0" w:afterAutospacing="0" w:line="276" w:lineRule="auto"/>
        <w:ind w:left="1440"/>
        <w:jc w:val="both"/>
        <w:rPr>
          <w:lang w:val="sq-AL"/>
        </w:rPr>
      </w:pPr>
      <w:r w:rsidRPr="004A7593">
        <w:rPr>
          <w:lang w:val="sq-AL"/>
        </w:rPr>
        <w:t>a) operatori ekonomik ofron mundësinë e porosisë, dërgimit dhe/ose shpërndarjes së produkteve në territorin e Republikës së Shqipërisë.</w:t>
      </w:r>
    </w:p>
    <w:p w14:paraId="5C026DD7" w14:textId="77777777" w:rsidR="001A17A4" w:rsidRPr="004A7593" w:rsidRDefault="001A17A4" w:rsidP="001A17A4">
      <w:pPr>
        <w:pStyle w:val="NormalWeb"/>
        <w:spacing w:before="0" w:beforeAutospacing="0" w:after="0" w:afterAutospacing="0" w:line="276" w:lineRule="auto"/>
        <w:ind w:left="1440"/>
        <w:jc w:val="both"/>
        <w:rPr>
          <w:lang w:val="sq-AL"/>
        </w:rPr>
      </w:pPr>
      <w:r w:rsidRPr="004A7593">
        <w:rPr>
          <w:lang w:val="sq-AL"/>
        </w:rPr>
        <w:t xml:space="preserve">b) </w:t>
      </w:r>
      <w:r w:rsidRPr="004A7593">
        <w:rPr>
          <w:rStyle w:val="Strong"/>
          <w:rFonts w:eastAsia="Calibri"/>
          <w:b w:val="0"/>
          <w:bCs w:val="0"/>
          <w:lang w:val="sq-AL"/>
        </w:rPr>
        <w:t>m</w:t>
      </w:r>
      <w:r w:rsidRPr="004A7593">
        <w:rPr>
          <w:lang w:val="sq-AL"/>
        </w:rPr>
        <w:t>aterialet promovuese dhe/ose çdo komunikim tjetër me përdoruesit e fundit janë në gjuhën shqipe.</w:t>
      </w:r>
    </w:p>
    <w:p w14:paraId="643CBDC0" w14:textId="77777777" w:rsidR="001A17A4" w:rsidRPr="004A7593" w:rsidRDefault="001A17A4" w:rsidP="001A17A4">
      <w:pPr>
        <w:pStyle w:val="NormalWeb"/>
        <w:spacing w:before="0" w:beforeAutospacing="0" w:after="0" w:afterAutospacing="0" w:line="276" w:lineRule="auto"/>
        <w:ind w:left="1440"/>
        <w:jc w:val="both"/>
        <w:rPr>
          <w:lang w:val="sq-AL"/>
        </w:rPr>
      </w:pPr>
      <w:r w:rsidRPr="004A7593">
        <w:rPr>
          <w:lang w:val="sq-AL"/>
        </w:rPr>
        <w:t xml:space="preserve">c) pranohen pagesa në lekë shqiptare për produktet e ofruara dhe/ose ofrohen mundësi pagese të njohura dhe të përdorura gjerësisht nga përdoruesit e fundit në Republikën e Shqipërisë. </w:t>
      </w:r>
    </w:p>
    <w:p w14:paraId="09485721" w14:textId="77777777" w:rsidR="001A17A4" w:rsidRPr="004A7593" w:rsidRDefault="001A17A4" w:rsidP="001A17A4">
      <w:pPr>
        <w:pStyle w:val="NormalWeb"/>
        <w:spacing w:before="0" w:beforeAutospacing="0" w:after="0" w:afterAutospacing="0" w:line="276" w:lineRule="auto"/>
        <w:ind w:left="1440"/>
        <w:jc w:val="both"/>
        <w:rPr>
          <w:lang w:val="sq-AL"/>
        </w:rPr>
      </w:pPr>
      <w:r w:rsidRPr="004A7593">
        <w:rPr>
          <w:lang w:val="sq-AL"/>
        </w:rPr>
        <w:t>ç) zbatohen strategji tregtimi që synojnë tregun shqiptar.</w:t>
      </w:r>
    </w:p>
    <w:p w14:paraId="37434170" w14:textId="77777777" w:rsidR="001A17A4" w:rsidRPr="004A7593" w:rsidRDefault="001A17A4" w:rsidP="001A17A4">
      <w:pPr>
        <w:pStyle w:val="NormalWeb"/>
        <w:spacing w:before="0" w:beforeAutospacing="0" w:after="0" w:afterAutospacing="0" w:line="276" w:lineRule="auto"/>
        <w:ind w:left="1440"/>
        <w:jc w:val="both"/>
        <w:rPr>
          <w:lang w:val="sq-AL"/>
        </w:rPr>
      </w:pPr>
      <w:r w:rsidRPr="004A7593">
        <w:rPr>
          <w:lang w:val="sq-AL"/>
        </w:rPr>
        <w:t>d) çdo lloj veprimtarie tjetër që tregon qartë synimin për të shitur produktet te përdoruesit e fundit në Republikën e Shqipërisë.</w:t>
      </w:r>
    </w:p>
    <w:p w14:paraId="2A324539" w14:textId="77777777" w:rsidR="001A17A4" w:rsidRPr="004A7593" w:rsidRDefault="001A17A4" w:rsidP="001A17A4">
      <w:pPr>
        <w:pStyle w:val="NormalWeb"/>
        <w:spacing w:before="0" w:beforeAutospacing="0" w:after="0" w:afterAutospacing="0" w:line="276" w:lineRule="auto"/>
        <w:ind w:left="1440"/>
        <w:jc w:val="both"/>
        <w:rPr>
          <w:lang w:val="sq-AL"/>
        </w:rPr>
      </w:pPr>
    </w:p>
    <w:p w14:paraId="659665E2" w14:textId="77777777" w:rsidR="001A17A4" w:rsidRPr="004A7593" w:rsidRDefault="001A17A4" w:rsidP="003E7D68">
      <w:pPr>
        <w:spacing w:after="0"/>
        <w:jc w:val="center"/>
        <w:rPr>
          <w:b/>
          <w:bCs/>
        </w:rPr>
      </w:pPr>
      <w:bookmarkStart w:id="5" w:name="_Hlk190350140"/>
      <w:r w:rsidRPr="004A7593">
        <w:rPr>
          <w:b/>
          <w:bCs/>
        </w:rPr>
        <w:t>Neni 15/3</w:t>
      </w:r>
    </w:p>
    <w:p w14:paraId="55CF888F" w14:textId="1A38DAE0" w:rsidR="001A17A4" w:rsidRDefault="001A17A4" w:rsidP="003E7D68">
      <w:pPr>
        <w:spacing w:after="0"/>
        <w:jc w:val="center"/>
        <w:rPr>
          <w:b/>
          <w:bCs/>
        </w:rPr>
      </w:pPr>
      <w:r w:rsidRPr="004A7593">
        <w:rPr>
          <w:b/>
          <w:bCs/>
        </w:rPr>
        <w:t>Detyrimi për bashkëpunim me strukturën përgjegjëse</w:t>
      </w:r>
    </w:p>
    <w:p w14:paraId="1231902E" w14:textId="77777777" w:rsidR="003E7D68" w:rsidRPr="004A7593" w:rsidRDefault="003E7D68" w:rsidP="003E7D68">
      <w:pPr>
        <w:spacing w:after="0"/>
        <w:jc w:val="center"/>
        <w:rPr>
          <w:b/>
          <w:bCs/>
        </w:rPr>
      </w:pPr>
    </w:p>
    <w:p w14:paraId="15B6C0A6" w14:textId="77777777" w:rsidR="001A17A4" w:rsidRPr="004A7593" w:rsidRDefault="001A17A4" w:rsidP="003E7D68">
      <w:pPr>
        <w:pStyle w:val="ListParagraph"/>
        <w:numPr>
          <w:ilvl w:val="0"/>
          <w:numId w:val="6"/>
        </w:numPr>
        <w:spacing w:after="0"/>
        <w:jc w:val="both"/>
        <w:rPr>
          <w:b/>
          <w:bCs/>
        </w:rPr>
      </w:pPr>
      <w:r w:rsidRPr="004A7593">
        <w:t>Operatorët ekonomikë dhe personi përgjegjës për instalimin e vënë në shërbim, sipas nenit 3, pika 24, bashkëpunojnë me strukturën përgjegjëse për marrjen e masave të nevojshme për të eliminuar ose zbutur rreziqet që paraqesin produktet apo instalimet që ata kanë vënë në dispozicion në treg ose në përdorim.</w:t>
      </w:r>
      <w:bookmarkStart w:id="6" w:name="_Hlk169268570"/>
    </w:p>
    <w:p w14:paraId="1F096CF5" w14:textId="77777777" w:rsidR="001A17A4" w:rsidRPr="004A7593" w:rsidRDefault="001A17A4" w:rsidP="001A17A4">
      <w:pPr>
        <w:pStyle w:val="ListParagraph"/>
        <w:numPr>
          <w:ilvl w:val="0"/>
          <w:numId w:val="6"/>
        </w:numPr>
        <w:spacing w:after="160"/>
        <w:jc w:val="both"/>
        <w:rPr>
          <w:b/>
          <w:bCs/>
        </w:rPr>
      </w:pPr>
      <w:r w:rsidRPr="004A7593">
        <w:t xml:space="preserve">Ofruesit e shërbimeve të shoqërisë së informacionit </w:t>
      </w:r>
      <w:bookmarkEnd w:id="6"/>
      <w:r w:rsidRPr="004A7593">
        <w:t>bashkëpunojnë me strukturën përgjegjëse, me kërkesë të saj, për të lehtësuar zbatimin e masave për të eliminuar ose zbutur rreziqet që paraqesin produktet që ofrohet ose shiten përmes internetit në kuadër të shërbimeve të tyre.</w:t>
      </w:r>
      <w:bookmarkEnd w:id="5"/>
    </w:p>
    <w:p w14:paraId="47A5C5E0" w14:textId="77777777" w:rsidR="001A17A4" w:rsidRPr="004A7593" w:rsidRDefault="001A17A4" w:rsidP="001A17A4">
      <w:pPr>
        <w:pStyle w:val="ListParagraph"/>
        <w:jc w:val="both"/>
      </w:pPr>
    </w:p>
    <w:p w14:paraId="3DA4F82B" w14:textId="77777777" w:rsidR="001A17A4" w:rsidRPr="004A7593" w:rsidRDefault="001A17A4" w:rsidP="001A17A4">
      <w:pPr>
        <w:pStyle w:val="Heading3"/>
        <w:spacing w:before="0" w:line="276" w:lineRule="auto"/>
        <w:jc w:val="center"/>
        <w:rPr>
          <w:rFonts w:ascii="Times New Roman" w:hAnsi="Times New Roman"/>
          <w:sz w:val="24"/>
          <w:szCs w:val="24"/>
          <w:lang w:val="sq-AL"/>
        </w:rPr>
      </w:pPr>
      <w:r w:rsidRPr="004A7593">
        <w:rPr>
          <w:rFonts w:ascii="Times New Roman" w:hAnsi="Times New Roman"/>
          <w:sz w:val="24"/>
          <w:szCs w:val="24"/>
          <w:lang w:val="sq-AL"/>
        </w:rPr>
        <w:t>Neni 15/4</w:t>
      </w:r>
    </w:p>
    <w:p w14:paraId="7CD162A2" w14:textId="136408B8" w:rsidR="001A17A4" w:rsidRPr="004A7593" w:rsidRDefault="001A17A4" w:rsidP="001A17A4">
      <w:pPr>
        <w:jc w:val="center"/>
        <w:rPr>
          <w:b/>
          <w:bCs/>
        </w:rPr>
      </w:pPr>
      <w:r w:rsidRPr="004A7593">
        <w:rPr>
          <w:b/>
          <w:bCs/>
        </w:rPr>
        <w:t xml:space="preserve">Bashkëpunimi me Agjencinë </w:t>
      </w:r>
      <w:r w:rsidR="00A61421">
        <w:rPr>
          <w:b/>
          <w:bCs/>
        </w:rPr>
        <w:t xml:space="preserve">Kombëtare </w:t>
      </w:r>
      <w:r w:rsidRPr="004A7593">
        <w:rPr>
          <w:b/>
          <w:bCs/>
        </w:rPr>
        <w:t>për Mbrojtjen e Konsumatorit</w:t>
      </w:r>
      <w:r w:rsidRPr="004A7593">
        <w:t xml:space="preserve"> </w:t>
      </w:r>
      <w:r w:rsidRPr="004A7593">
        <w:rPr>
          <w:b/>
          <w:bCs/>
        </w:rPr>
        <w:t>në rastet e shitjes në largësi</w:t>
      </w:r>
    </w:p>
    <w:p w14:paraId="25C5F53F" w14:textId="0D4370C3" w:rsidR="00406077" w:rsidRPr="004A7593" w:rsidRDefault="001A17A4" w:rsidP="006B49C5">
      <w:pPr>
        <w:pStyle w:val="ListParagraph"/>
        <w:numPr>
          <w:ilvl w:val="0"/>
          <w:numId w:val="57"/>
        </w:numPr>
        <w:jc w:val="both"/>
      </w:pPr>
      <w:r w:rsidRPr="004A7593">
        <w:lastRenderedPageBreak/>
        <w:t xml:space="preserve">Kur struktura përgjegjëse konstaton se një produkt i ofruar nëpërmjet shitjes në largësi paraqet rrezik serioz, dhe pas marrjes së të gjitha masave të parashikuara në nenin 29, pika 2, shkronja h) të këtij ligji, rezulton i pamundur eliminimi i rrezikut ose i shkeljes nga operatori ekonomik ose ofruesi i shërbimeve të shoqërisë së informacionit, ajo i drejtohet Agjencisë </w:t>
      </w:r>
      <w:r w:rsidR="00A61421">
        <w:t xml:space="preserve">Kombëtare </w:t>
      </w:r>
      <w:r w:rsidRPr="004A7593">
        <w:t>për Mbrojtjen e Konsumatorit me një kërkesë të arsyetuar për marrjen e masave të mëtejshme, në përputhje me legjislacionin për mbrojtjen e konsumatorit.</w:t>
      </w:r>
    </w:p>
    <w:p w14:paraId="39F5CA8C" w14:textId="00773988" w:rsidR="001A17A4" w:rsidRPr="004A7593" w:rsidRDefault="001A17A4" w:rsidP="006B49C5">
      <w:pPr>
        <w:pStyle w:val="ListParagraph"/>
        <w:numPr>
          <w:ilvl w:val="0"/>
          <w:numId w:val="57"/>
        </w:numPr>
        <w:spacing w:after="0"/>
        <w:jc w:val="both"/>
      </w:pPr>
      <w:r w:rsidRPr="004A7593">
        <w:t xml:space="preserve">Kërkesa e strukturës përgjegjëse drejtuar Agjencisë </w:t>
      </w:r>
      <w:r w:rsidR="00A61421">
        <w:t xml:space="preserve">Kombëtare </w:t>
      </w:r>
      <w:r w:rsidRPr="004A7593">
        <w:t xml:space="preserve">për Mbrojtjen e Konsumatorit mund të përfshijë, sipas rastit: </w:t>
      </w:r>
    </w:p>
    <w:p w14:paraId="256824DE" w14:textId="77777777" w:rsidR="001A17A4" w:rsidRPr="004A7593" w:rsidRDefault="001A17A4" w:rsidP="006B49C5">
      <w:pPr>
        <w:numPr>
          <w:ilvl w:val="1"/>
          <w:numId w:val="43"/>
        </w:numPr>
        <w:spacing w:after="0"/>
        <w:jc w:val="both"/>
      </w:pPr>
      <w:r w:rsidRPr="004A7593">
        <w:t>urdhërimin për heqjen e përmbajtjes që lidhet me produktin nga ndërfaqja online ose për shfaqen e një paralajmërimi të qartë për përdoruesin e fundit për rrezikun që paraqet produkti;</w:t>
      </w:r>
    </w:p>
    <w:p w14:paraId="275B217B" w14:textId="77777777" w:rsidR="001A17A4" w:rsidRPr="004A7593" w:rsidRDefault="001A17A4" w:rsidP="006B49C5">
      <w:pPr>
        <w:numPr>
          <w:ilvl w:val="1"/>
          <w:numId w:val="43"/>
        </w:numPr>
        <w:spacing w:after="0"/>
        <w:jc w:val="both"/>
      </w:pPr>
      <w:r w:rsidRPr="004A7593">
        <w:t xml:space="preserve">identifikimin e operatorit ekonomik që qëndron pas veprimtarisë tregtare në largësi; </w:t>
      </w:r>
    </w:p>
    <w:p w14:paraId="6E203470" w14:textId="77777777" w:rsidR="001A17A4" w:rsidRPr="004A7593" w:rsidRDefault="001A17A4" w:rsidP="006B49C5">
      <w:pPr>
        <w:numPr>
          <w:ilvl w:val="1"/>
          <w:numId w:val="43"/>
        </w:numPr>
        <w:spacing w:after="0"/>
        <w:jc w:val="both"/>
      </w:pPr>
      <w:r w:rsidRPr="004A7593">
        <w:t>kufizimin e aksesit në ndërfaqet online ku kryhet veprimtaria tregtare.</w:t>
      </w:r>
    </w:p>
    <w:p w14:paraId="648894D6" w14:textId="4EA9F86D" w:rsidR="001A17A4" w:rsidRPr="004A7593" w:rsidRDefault="001A17A4" w:rsidP="006B49C5">
      <w:pPr>
        <w:pStyle w:val="ListParagraph"/>
        <w:numPr>
          <w:ilvl w:val="0"/>
          <w:numId w:val="57"/>
        </w:numPr>
        <w:spacing w:after="0"/>
        <w:jc w:val="both"/>
      </w:pPr>
      <w:r w:rsidRPr="004A7593">
        <w:t xml:space="preserve">Kërkesa e strukturës përgjegjëse përmban, të paktën: </w:t>
      </w:r>
    </w:p>
    <w:p w14:paraId="589F98BA" w14:textId="77777777" w:rsidR="001A17A4" w:rsidRPr="004A7593" w:rsidRDefault="001A17A4" w:rsidP="006B49C5">
      <w:pPr>
        <w:pStyle w:val="ListParagraph"/>
        <w:numPr>
          <w:ilvl w:val="1"/>
          <w:numId w:val="58"/>
        </w:numPr>
        <w:spacing w:after="0"/>
        <w:jc w:val="both"/>
      </w:pPr>
      <w:r w:rsidRPr="004A7593">
        <w:t>përshkrimin e rrezikut serioz të konstatuar;</w:t>
      </w:r>
    </w:p>
    <w:p w14:paraId="12A58EA6" w14:textId="16EAAFCE" w:rsidR="003D53E2" w:rsidRPr="004A7593" w:rsidRDefault="001A17A4" w:rsidP="006B49C5">
      <w:pPr>
        <w:pStyle w:val="ListParagraph"/>
        <w:numPr>
          <w:ilvl w:val="1"/>
          <w:numId w:val="58"/>
        </w:numPr>
        <w:spacing w:after="0"/>
        <w:jc w:val="both"/>
      </w:pPr>
      <w:r w:rsidRPr="004A7593">
        <w:t xml:space="preserve">përshkrimin e masave të marra në përputhje me këtë ligji dhe mungesën e bashkëpunimit nga operatori ekonomik dhe/ose ofruesi i shërbimit të shoqërisë së informacionit;  </w:t>
      </w:r>
    </w:p>
    <w:p w14:paraId="56E3C3CC" w14:textId="446736EB" w:rsidR="001A17A4" w:rsidRPr="004A7593" w:rsidRDefault="001A17A4" w:rsidP="006B49C5">
      <w:pPr>
        <w:pStyle w:val="ListParagraph"/>
        <w:numPr>
          <w:ilvl w:val="1"/>
          <w:numId w:val="58"/>
        </w:numPr>
        <w:spacing w:after="0"/>
        <w:jc w:val="both"/>
      </w:pPr>
      <w:r w:rsidRPr="004A7593">
        <w:t xml:space="preserve">të dhënat identifikuese të ndërfaqes online dhe çdo informacion të disponueshëm mbi operatorin ekonomik; </w:t>
      </w:r>
    </w:p>
    <w:p w14:paraId="7ADB3DDA" w14:textId="46B2C158" w:rsidR="001A17A4" w:rsidRPr="004A7593" w:rsidRDefault="003D53E2" w:rsidP="00396614">
      <w:pPr>
        <w:spacing w:after="0"/>
        <w:ind w:left="1080"/>
        <w:jc w:val="both"/>
      </w:pPr>
      <w:r w:rsidRPr="004A7593">
        <w:t>ç</w:t>
      </w:r>
      <w:r w:rsidR="001A17A4" w:rsidRPr="004A7593">
        <w:t>) masën e kërkuar dhe arsyetimin e proporcionalitetit të saj në raport me rrezikun.</w:t>
      </w:r>
    </w:p>
    <w:p w14:paraId="47E0BEBE" w14:textId="214C57AE" w:rsidR="001A17A4" w:rsidRPr="004A7593" w:rsidRDefault="001A17A4" w:rsidP="006B49C5">
      <w:pPr>
        <w:pStyle w:val="ListParagraph"/>
        <w:numPr>
          <w:ilvl w:val="0"/>
          <w:numId w:val="57"/>
        </w:numPr>
        <w:spacing w:after="0"/>
        <w:jc w:val="both"/>
        <w:rPr>
          <w:rFonts w:eastAsia="Times New Roman"/>
        </w:rPr>
      </w:pPr>
      <w:r w:rsidRPr="004A7593">
        <w:rPr>
          <w:rFonts w:eastAsia="Times New Roman"/>
        </w:rPr>
        <w:t>Agjencia</w:t>
      </w:r>
      <w:r w:rsidR="00A61421">
        <w:rPr>
          <w:rFonts w:eastAsia="Times New Roman"/>
        </w:rPr>
        <w:t xml:space="preserve"> </w:t>
      </w:r>
      <w:r w:rsidR="00A61421">
        <w:t>Kombëtare</w:t>
      </w:r>
      <w:r w:rsidRPr="004A7593">
        <w:rPr>
          <w:rFonts w:eastAsia="Times New Roman"/>
        </w:rPr>
        <w:t xml:space="preserve"> për Mbrojtjen e Konsumatorit shqyrton kërkesën dhe, kur e çmon të drejtë, merr masat përkatëse në përputhje me kompetencat që i njeh ligji për mbrojtjen e konsumatorit. </w:t>
      </w:r>
    </w:p>
    <w:p w14:paraId="14026441" w14:textId="26C06C99" w:rsidR="001A17A4" w:rsidRPr="004A7593" w:rsidRDefault="001A17A4" w:rsidP="006B49C5">
      <w:pPr>
        <w:pStyle w:val="ListParagraph"/>
        <w:numPr>
          <w:ilvl w:val="0"/>
          <w:numId w:val="57"/>
        </w:numPr>
        <w:spacing w:after="0"/>
        <w:jc w:val="both"/>
        <w:rPr>
          <w:rFonts w:eastAsia="Times New Roman"/>
        </w:rPr>
      </w:pPr>
      <w:r w:rsidRPr="004A7593">
        <w:rPr>
          <w:rFonts w:eastAsia="Times New Roman"/>
        </w:rPr>
        <w:t>Agjencia</w:t>
      </w:r>
      <w:r w:rsidR="00A61421">
        <w:rPr>
          <w:rFonts w:eastAsia="Times New Roman"/>
        </w:rPr>
        <w:t xml:space="preserve"> </w:t>
      </w:r>
      <w:r w:rsidR="00A61421">
        <w:t>Kombëtare</w:t>
      </w:r>
      <w:r w:rsidRPr="004A7593">
        <w:rPr>
          <w:rFonts w:eastAsia="Times New Roman"/>
        </w:rPr>
        <w:t xml:space="preserve"> për Mbrojtjen e Konsumatorit informon strukturën përgjegjëse mbi masat e marra dhe rezultatet e arritura.</w:t>
      </w:r>
      <w:r w:rsidR="0052524A">
        <w:rPr>
          <w:rFonts w:eastAsia="Times New Roman"/>
        </w:rPr>
        <w:t xml:space="preserve">”. </w:t>
      </w:r>
    </w:p>
    <w:p w14:paraId="222A31CF" w14:textId="47C59BEE" w:rsidR="001A17A4" w:rsidRPr="004A7593" w:rsidRDefault="001A17A4" w:rsidP="001A17A4">
      <w:pPr>
        <w:pStyle w:val="ListParagraph"/>
        <w:spacing w:after="0"/>
        <w:jc w:val="both"/>
        <w:rPr>
          <w:rFonts w:eastAsia="Times New Roman"/>
        </w:rPr>
      </w:pPr>
    </w:p>
    <w:p w14:paraId="4918D0EB" w14:textId="127FAB15" w:rsidR="00406077" w:rsidRPr="004A7593" w:rsidRDefault="001A17A4" w:rsidP="001A17A4">
      <w:pPr>
        <w:spacing w:after="0"/>
        <w:jc w:val="center"/>
        <w:rPr>
          <w:rFonts w:eastAsia="Times New Roman"/>
          <w:b/>
          <w:bCs/>
        </w:rPr>
      </w:pPr>
      <w:r w:rsidRPr="004A7593">
        <w:rPr>
          <w:rFonts w:eastAsia="Times New Roman"/>
          <w:b/>
          <w:bCs/>
        </w:rPr>
        <w:t>Neni 9</w:t>
      </w:r>
    </w:p>
    <w:p w14:paraId="4D34ECC0" w14:textId="72146314" w:rsidR="009858B6" w:rsidRDefault="009858B6" w:rsidP="00396614">
      <w:pPr>
        <w:spacing w:after="0"/>
        <w:jc w:val="center"/>
      </w:pPr>
    </w:p>
    <w:p w14:paraId="14D98CAF" w14:textId="4B36FC43" w:rsidR="009858B6" w:rsidRDefault="009858B6" w:rsidP="00772F42">
      <w:pPr>
        <w:shd w:val="clear" w:color="auto" w:fill="FFFFFF"/>
        <w:spacing w:after="0"/>
        <w:jc w:val="both"/>
      </w:pPr>
      <w:r>
        <w:t>Kudo n</w:t>
      </w:r>
      <w:r w:rsidR="00FF7441">
        <w:t>ë</w:t>
      </w:r>
      <w:r>
        <w:t xml:space="preserve"> p</w:t>
      </w:r>
      <w:r w:rsidR="00FF7441">
        <w:t>ë</w:t>
      </w:r>
      <w:r>
        <w:t xml:space="preserve">rmbajtjen e </w:t>
      </w:r>
      <w:r w:rsidR="000F097F">
        <w:t>ligjit</w:t>
      </w:r>
      <w:r>
        <w:t xml:space="preserve"> n</w:t>
      </w:r>
      <w:r w:rsidR="00FF7441">
        <w:t>ë</w:t>
      </w:r>
      <w:r>
        <w:t xml:space="preserve"> togfjal</w:t>
      </w:r>
      <w:r w:rsidR="00FF7441">
        <w:t>ë</w:t>
      </w:r>
      <w:r>
        <w:t>shin “...</w:t>
      </w:r>
      <w:r w:rsidRPr="004A7593">
        <w:t>produktit/instalimit</w:t>
      </w:r>
      <w:r>
        <w:t xml:space="preserve">...” fjala “...produktit/...” </w:t>
      </w:r>
      <w:r w:rsidR="004D5919">
        <w:t>shfuqizohet</w:t>
      </w:r>
      <w:r w:rsidR="00AD26DB">
        <w:t xml:space="preserve">. </w:t>
      </w:r>
      <w:r>
        <w:t xml:space="preserve"> </w:t>
      </w:r>
    </w:p>
    <w:p w14:paraId="71D6085C" w14:textId="48A125A8" w:rsidR="003F4B8A" w:rsidRDefault="003F4B8A" w:rsidP="003F4B8A">
      <w:pPr>
        <w:shd w:val="clear" w:color="auto" w:fill="FFFFFF"/>
        <w:spacing w:after="0"/>
        <w:jc w:val="both"/>
      </w:pPr>
    </w:p>
    <w:p w14:paraId="2ADF88E3" w14:textId="5D645C80" w:rsidR="00DC6BA2" w:rsidRDefault="00DC6BA2" w:rsidP="00DC6BA2">
      <w:pPr>
        <w:spacing w:after="0"/>
        <w:jc w:val="center"/>
        <w:rPr>
          <w:rFonts w:eastAsia="Times New Roman"/>
          <w:b/>
          <w:bCs/>
        </w:rPr>
      </w:pPr>
      <w:r w:rsidRPr="004A7593">
        <w:rPr>
          <w:rFonts w:eastAsia="Times New Roman"/>
          <w:b/>
          <w:bCs/>
        </w:rPr>
        <w:t xml:space="preserve">Neni </w:t>
      </w:r>
      <w:r w:rsidR="003F4B8A" w:rsidRPr="004A7593">
        <w:rPr>
          <w:rFonts w:eastAsia="Times New Roman"/>
          <w:b/>
          <w:bCs/>
        </w:rPr>
        <w:t>1</w:t>
      </w:r>
      <w:r w:rsidR="006D4E29">
        <w:rPr>
          <w:rFonts w:eastAsia="Times New Roman"/>
          <w:b/>
          <w:bCs/>
        </w:rPr>
        <w:t>0</w:t>
      </w:r>
    </w:p>
    <w:p w14:paraId="059500D1" w14:textId="77777777" w:rsidR="00406077" w:rsidRPr="004A7593" w:rsidRDefault="00406077" w:rsidP="00DC6BA2">
      <w:pPr>
        <w:spacing w:after="0"/>
        <w:jc w:val="center"/>
        <w:rPr>
          <w:rFonts w:eastAsia="Times New Roman"/>
          <w:b/>
          <w:bCs/>
        </w:rPr>
      </w:pPr>
    </w:p>
    <w:p w14:paraId="64C11EAF" w14:textId="0E2F2694" w:rsidR="00425087" w:rsidRPr="004A7593" w:rsidRDefault="00C9784E" w:rsidP="00BF1273">
      <w:pPr>
        <w:shd w:val="clear" w:color="auto" w:fill="FFFFFF"/>
      </w:pPr>
      <w:r w:rsidRPr="004A7593">
        <w:t>Neni 27 “Struktura përgjegjëse e mbikëqyrjes s</w:t>
      </w:r>
      <w:r w:rsidR="00CC5018" w:rsidRPr="004A7593">
        <w:t>ë</w:t>
      </w:r>
      <w:r w:rsidRPr="004A7593">
        <w:t xml:space="preserve"> tregut” ndryshohet si më poshtë:</w:t>
      </w:r>
    </w:p>
    <w:p w14:paraId="03320F1A" w14:textId="0B991715" w:rsidR="00C9784E" w:rsidRPr="004A7593" w:rsidRDefault="00C9784E" w:rsidP="00BF1273">
      <w:pPr>
        <w:shd w:val="clear" w:color="auto" w:fill="FFFFFF"/>
        <w:spacing w:after="0"/>
        <w:jc w:val="center"/>
      </w:pPr>
      <w:r w:rsidRPr="004A7593">
        <w:t>“</w:t>
      </w:r>
      <w:bookmarkStart w:id="7" w:name="_Hlk191211700"/>
      <w:r w:rsidRPr="004A7593">
        <w:rPr>
          <w:b/>
          <w:bCs/>
        </w:rPr>
        <w:t>Neni 27</w:t>
      </w:r>
    </w:p>
    <w:p w14:paraId="327A0AB9" w14:textId="5E6EC264" w:rsidR="00C9784E" w:rsidRDefault="00C9784E" w:rsidP="00BF1273">
      <w:pPr>
        <w:shd w:val="clear" w:color="auto" w:fill="FFFFFF"/>
        <w:spacing w:after="0"/>
        <w:jc w:val="center"/>
        <w:rPr>
          <w:b/>
          <w:bCs/>
        </w:rPr>
      </w:pPr>
      <w:bookmarkStart w:id="8" w:name="_Hlk187666654"/>
      <w:r w:rsidRPr="004A7593">
        <w:rPr>
          <w:b/>
          <w:bCs/>
        </w:rPr>
        <w:t>Strukturat përgjegjëse për mbikëqyrjen e tregut</w:t>
      </w:r>
    </w:p>
    <w:p w14:paraId="5A246765" w14:textId="77777777" w:rsidR="003E7D68" w:rsidRPr="004A7593" w:rsidRDefault="003E7D68" w:rsidP="00BF1273">
      <w:pPr>
        <w:shd w:val="clear" w:color="auto" w:fill="FFFFFF"/>
        <w:spacing w:after="0"/>
        <w:jc w:val="center"/>
        <w:rPr>
          <w:b/>
          <w:bCs/>
        </w:rPr>
      </w:pPr>
    </w:p>
    <w:p w14:paraId="49FF56E6" w14:textId="49929D35" w:rsidR="00C83EEF" w:rsidRPr="004A7593" w:rsidRDefault="00C9784E" w:rsidP="006B49C5">
      <w:pPr>
        <w:pStyle w:val="ListParagraph"/>
        <w:widowControl w:val="0"/>
        <w:numPr>
          <w:ilvl w:val="0"/>
          <w:numId w:val="26"/>
        </w:numPr>
        <w:shd w:val="clear" w:color="auto" w:fill="FFFFFF"/>
        <w:tabs>
          <w:tab w:val="left" w:pos="1008"/>
        </w:tabs>
        <w:autoSpaceDE w:val="0"/>
        <w:autoSpaceDN w:val="0"/>
        <w:adjustRightInd w:val="0"/>
        <w:spacing w:after="0"/>
        <w:jc w:val="both"/>
      </w:pPr>
      <w:bookmarkStart w:id="9" w:name="_Hlk191211770"/>
      <w:bookmarkEnd w:id="8"/>
      <w:r w:rsidRPr="004A7593">
        <w:t xml:space="preserve">Mbikëqyrja e përputhshmërisë </w:t>
      </w:r>
      <w:r w:rsidR="00BA7D05" w:rsidRPr="004A7593">
        <w:t>së</w:t>
      </w:r>
      <w:r w:rsidR="00415D78" w:rsidRPr="004A7593">
        <w:t xml:space="preserve"> produkteve </w:t>
      </w:r>
      <w:r w:rsidRPr="004A7593">
        <w:t xml:space="preserve">me kërkesat e </w:t>
      </w:r>
      <w:r w:rsidR="00415D78" w:rsidRPr="004A7593">
        <w:t xml:space="preserve">legjislacionit </w:t>
      </w:r>
      <w:r w:rsidR="00BA7D05" w:rsidRPr="004A7593">
        <w:t>në</w:t>
      </w:r>
      <w:r w:rsidR="00415D78" w:rsidRPr="004A7593">
        <w:t xml:space="preserve"> fuqi</w:t>
      </w:r>
      <w:r w:rsidRPr="004A7593">
        <w:t xml:space="preserve"> kryhet nga rrjeti i strukturave përgjegjëse të mbikëqyrjes së tregut dhe mbështetet nga autoritetet </w:t>
      </w:r>
      <w:r w:rsidRPr="004A7593">
        <w:lastRenderedPageBreak/>
        <w:t xml:space="preserve">doganore, </w:t>
      </w:r>
      <w:r w:rsidR="00C83EEF" w:rsidRPr="004A7593">
        <w:t>në përputhje me dispozitat e këtij ligji.</w:t>
      </w:r>
    </w:p>
    <w:p w14:paraId="32080FA9" w14:textId="2D533234" w:rsidR="009D2C8F" w:rsidRPr="004A7593" w:rsidRDefault="00C9784E" w:rsidP="006B49C5">
      <w:pPr>
        <w:pStyle w:val="ListParagraph"/>
        <w:widowControl w:val="0"/>
        <w:numPr>
          <w:ilvl w:val="0"/>
          <w:numId w:val="26"/>
        </w:numPr>
        <w:shd w:val="clear" w:color="auto" w:fill="FFFFFF"/>
        <w:tabs>
          <w:tab w:val="left" w:pos="1008"/>
        </w:tabs>
        <w:autoSpaceDE w:val="0"/>
        <w:autoSpaceDN w:val="0"/>
        <w:adjustRightInd w:val="0"/>
        <w:spacing w:after="0"/>
        <w:jc w:val="both"/>
      </w:pPr>
      <w:r w:rsidRPr="004A7593">
        <w:t>Struktura</w:t>
      </w:r>
      <w:r w:rsidR="008C4A8D" w:rsidRPr="004A7593">
        <w:t>t</w:t>
      </w:r>
      <w:r w:rsidRPr="004A7593">
        <w:t xml:space="preserve"> përgjegjëse </w:t>
      </w:r>
      <w:r w:rsidR="00C83EEF" w:rsidRPr="004A7593">
        <w:t>ushtrojnë</w:t>
      </w:r>
      <w:r w:rsidRPr="004A7593">
        <w:t xml:space="preserve"> përgjegjësitë e </w:t>
      </w:r>
      <w:r w:rsidR="008C4A8D" w:rsidRPr="004A7593">
        <w:t>tyre</w:t>
      </w:r>
      <w:r w:rsidRPr="004A7593">
        <w:t xml:space="preserve"> në zbatim të këtij ligji, në përputhje me legjislacionin për inspektimin në Republikën e Shqipërisë, përveçse kur parashikohet shprehimisht ndryshe në këtë ligj. </w:t>
      </w:r>
    </w:p>
    <w:p w14:paraId="58A784E6" w14:textId="6A0A671E" w:rsidR="00C9784E" w:rsidRPr="004A7593" w:rsidRDefault="009D2C8F" w:rsidP="006B49C5">
      <w:pPr>
        <w:pStyle w:val="ListParagraph"/>
        <w:widowControl w:val="0"/>
        <w:numPr>
          <w:ilvl w:val="0"/>
          <w:numId w:val="26"/>
        </w:numPr>
        <w:shd w:val="clear" w:color="auto" w:fill="FFFFFF"/>
        <w:tabs>
          <w:tab w:val="left" w:pos="1008"/>
        </w:tabs>
        <w:autoSpaceDE w:val="0"/>
        <w:autoSpaceDN w:val="0"/>
        <w:adjustRightInd w:val="0"/>
        <w:spacing w:after="0"/>
        <w:jc w:val="both"/>
      </w:pPr>
      <w:r w:rsidRPr="004A7593">
        <w:t xml:space="preserve">Strukturat përgjegjëse ushtrojnë veprimtarinë e tyre me transparence të lartë dhe vënë në dispozicion të publikut çdo informacion që konsiderohet i rëndësishëm për mbrojtjen e interesave të përdoruesve të fundit. </w:t>
      </w:r>
      <w:r w:rsidR="008C4A8D" w:rsidRPr="004A7593">
        <w:t>Në ushtrimin e përgjegjësive të tyre, ato respektojnë parimet e konfidencialitetit, sekretit profesional dhe tregtar, si dhe sigurojnë mbrojtjen e të dhënave personale, në përputhje me legjislacionin në fuqi.</w:t>
      </w:r>
      <w:r w:rsidR="00DC6BA2" w:rsidRPr="004A7593">
        <w:t xml:space="preserve">”. </w:t>
      </w:r>
      <w:r w:rsidRPr="004A7593">
        <w:t xml:space="preserve"> </w:t>
      </w:r>
    </w:p>
    <w:bookmarkEnd w:id="7"/>
    <w:bookmarkEnd w:id="9"/>
    <w:p w14:paraId="5DEA2BD5" w14:textId="07D69C33" w:rsidR="00B5287B" w:rsidRPr="004A7593" w:rsidRDefault="009D2C8F" w:rsidP="00BF1273">
      <w:pPr>
        <w:widowControl w:val="0"/>
        <w:shd w:val="clear" w:color="auto" w:fill="FFFFFF"/>
        <w:tabs>
          <w:tab w:val="left" w:pos="2424"/>
        </w:tabs>
        <w:autoSpaceDE w:val="0"/>
        <w:autoSpaceDN w:val="0"/>
        <w:adjustRightInd w:val="0"/>
        <w:spacing w:after="0"/>
        <w:jc w:val="both"/>
        <w:rPr>
          <w:b/>
          <w:bCs/>
          <w:color w:val="C00000"/>
        </w:rPr>
      </w:pPr>
      <w:r w:rsidRPr="004A7593">
        <w:rPr>
          <w:b/>
          <w:bCs/>
          <w:color w:val="C00000"/>
        </w:rPr>
        <w:tab/>
      </w:r>
    </w:p>
    <w:p w14:paraId="46696CAE" w14:textId="0116021D" w:rsidR="00C9784E" w:rsidRDefault="00C9784E" w:rsidP="00BF1273">
      <w:pPr>
        <w:shd w:val="clear" w:color="auto" w:fill="FFFFFF"/>
        <w:spacing w:after="0"/>
        <w:jc w:val="center"/>
        <w:rPr>
          <w:b/>
          <w:bCs/>
        </w:rPr>
      </w:pPr>
      <w:r w:rsidRPr="004A7593">
        <w:rPr>
          <w:b/>
          <w:bCs/>
        </w:rPr>
        <w:t xml:space="preserve">Neni </w:t>
      </w:r>
      <w:r w:rsidR="00F90683" w:rsidRPr="004A7593">
        <w:rPr>
          <w:b/>
          <w:bCs/>
        </w:rPr>
        <w:t>1</w:t>
      </w:r>
      <w:r w:rsidR="008478B6">
        <w:rPr>
          <w:b/>
          <w:bCs/>
        </w:rPr>
        <w:t>1</w:t>
      </w:r>
    </w:p>
    <w:p w14:paraId="6425E57D" w14:textId="77777777" w:rsidR="00406077" w:rsidRPr="004A7593" w:rsidRDefault="00406077" w:rsidP="00BF1273">
      <w:pPr>
        <w:shd w:val="clear" w:color="auto" w:fill="FFFFFF"/>
        <w:spacing w:after="0"/>
        <w:jc w:val="center"/>
        <w:rPr>
          <w:b/>
          <w:bCs/>
        </w:rPr>
      </w:pPr>
    </w:p>
    <w:p w14:paraId="23525EC0" w14:textId="29526075" w:rsidR="00C9784E" w:rsidRDefault="00C9784E" w:rsidP="00BF1273">
      <w:pPr>
        <w:shd w:val="clear" w:color="auto" w:fill="FFFFFF"/>
        <w:spacing w:after="0"/>
        <w:jc w:val="both"/>
      </w:pPr>
      <w:r w:rsidRPr="004A7593">
        <w:t xml:space="preserve">Në nenin 28 “Përgjegjësitë e ministrisë” bëhen ndryshimet </w:t>
      </w:r>
      <w:r w:rsidR="006F4115" w:rsidRPr="004A7593">
        <w:t>si m</w:t>
      </w:r>
      <w:r w:rsidR="003C70F1" w:rsidRPr="004A7593">
        <w:t>ë</w:t>
      </w:r>
      <w:r w:rsidR="006F4115" w:rsidRPr="004A7593">
        <w:t xml:space="preserve"> posht</w:t>
      </w:r>
      <w:r w:rsidR="003C70F1" w:rsidRPr="004A7593">
        <w:t>ë</w:t>
      </w:r>
      <w:r w:rsidRPr="004A7593">
        <w:t xml:space="preserve">: </w:t>
      </w:r>
    </w:p>
    <w:p w14:paraId="584B29B1" w14:textId="77777777" w:rsidR="003E7D68" w:rsidRPr="004A7593" w:rsidRDefault="003E7D68" w:rsidP="00BF1273">
      <w:pPr>
        <w:shd w:val="clear" w:color="auto" w:fill="FFFFFF"/>
        <w:spacing w:after="0"/>
        <w:jc w:val="both"/>
      </w:pPr>
    </w:p>
    <w:p w14:paraId="4FE7D7B6" w14:textId="36FE7DEE" w:rsidR="00686D62" w:rsidRPr="004A7593" w:rsidRDefault="006E0373" w:rsidP="00D14F71">
      <w:pPr>
        <w:pStyle w:val="ListParagraph"/>
        <w:numPr>
          <w:ilvl w:val="0"/>
          <w:numId w:val="8"/>
        </w:numPr>
        <w:shd w:val="clear" w:color="auto" w:fill="FFFFFF"/>
        <w:spacing w:after="0"/>
        <w:jc w:val="both"/>
      </w:pPr>
      <w:r w:rsidRPr="004A7593">
        <w:t>Shkronja “b”</w:t>
      </w:r>
      <w:r w:rsidR="00C9784E" w:rsidRPr="004A7593">
        <w:t xml:space="preserve"> </w:t>
      </w:r>
      <w:r w:rsidR="00686D62" w:rsidRPr="004A7593">
        <w:t>e pik</w:t>
      </w:r>
      <w:r w:rsidR="00CC5018" w:rsidRPr="004A7593">
        <w:t>ë</w:t>
      </w:r>
      <w:r w:rsidR="00686D62" w:rsidRPr="004A7593">
        <w:t xml:space="preserve">s 3 </w:t>
      </w:r>
      <w:r w:rsidR="00C9784E" w:rsidRPr="004A7593">
        <w:t>riformulohet, si më poshtë:</w:t>
      </w:r>
    </w:p>
    <w:p w14:paraId="1DE5D1AA" w14:textId="7FC309F5" w:rsidR="00686D62" w:rsidRPr="004A7593" w:rsidRDefault="0001758C" w:rsidP="00BF1273">
      <w:pPr>
        <w:shd w:val="clear" w:color="auto" w:fill="FFFFFF"/>
        <w:spacing w:after="0"/>
        <w:jc w:val="both"/>
      </w:pPr>
      <w:r w:rsidRPr="004A7593">
        <w:t xml:space="preserve">“ b) </w:t>
      </w:r>
      <w:r w:rsidR="00224E36" w:rsidRPr="004A7593">
        <w:t>përgatitja dhe shqyrtimi i akteve normative dhe masave të tjera rregulluese për mbikëqyrjen e tregut</w:t>
      </w:r>
      <w:r w:rsidRPr="004A7593">
        <w:t xml:space="preserve">.”. </w:t>
      </w:r>
    </w:p>
    <w:p w14:paraId="6D046BB6" w14:textId="45D34F50" w:rsidR="006E0373" w:rsidRPr="004A7593" w:rsidRDefault="006E0373" w:rsidP="00D14F71">
      <w:pPr>
        <w:pStyle w:val="ListParagraph"/>
        <w:numPr>
          <w:ilvl w:val="0"/>
          <w:numId w:val="8"/>
        </w:numPr>
        <w:spacing w:after="0"/>
        <w:jc w:val="both"/>
      </w:pPr>
      <w:r w:rsidRPr="004A7593">
        <w:t>Në shkronj</w:t>
      </w:r>
      <w:r w:rsidR="00CC5018" w:rsidRPr="004A7593">
        <w:t>ë</w:t>
      </w:r>
      <w:r w:rsidRPr="004A7593">
        <w:t>n “c” t</w:t>
      </w:r>
      <w:r w:rsidR="00CC5018" w:rsidRPr="004A7593">
        <w:t>ë</w:t>
      </w:r>
      <w:r w:rsidRPr="004A7593">
        <w:t xml:space="preserve"> pikës 3, togfjalëshi “</w:t>
      </w:r>
      <w:r w:rsidRPr="004A7593">
        <w:rPr>
          <w:bCs/>
        </w:rPr>
        <w:t>me struktur</w:t>
      </w:r>
      <w:r w:rsidR="00CC5018" w:rsidRPr="004A7593">
        <w:rPr>
          <w:bCs/>
        </w:rPr>
        <w:t>ë</w:t>
      </w:r>
      <w:r w:rsidRPr="004A7593">
        <w:rPr>
          <w:bCs/>
        </w:rPr>
        <w:t>n p</w:t>
      </w:r>
      <w:r w:rsidR="00CC5018" w:rsidRPr="004A7593">
        <w:rPr>
          <w:bCs/>
        </w:rPr>
        <w:t>ë</w:t>
      </w:r>
      <w:r w:rsidRPr="004A7593">
        <w:rPr>
          <w:bCs/>
        </w:rPr>
        <w:t>rgjegj</w:t>
      </w:r>
      <w:r w:rsidR="00CC5018" w:rsidRPr="004A7593">
        <w:rPr>
          <w:bCs/>
        </w:rPr>
        <w:t>ë</w:t>
      </w:r>
      <w:r w:rsidRPr="004A7593">
        <w:rPr>
          <w:bCs/>
        </w:rPr>
        <w:t>se</w:t>
      </w:r>
      <w:r w:rsidRPr="004A7593">
        <w:t>”, shfuqizohet.</w:t>
      </w:r>
    </w:p>
    <w:p w14:paraId="6F1F2BB2" w14:textId="7212F896" w:rsidR="006E0373" w:rsidRPr="004A7593" w:rsidRDefault="006E0373" w:rsidP="00D14F71">
      <w:pPr>
        <w:pStyle w:val="ListParagraph"/>
        <w:numPr>
          <w:ilvl w:val="0"/>
          <w:numId w:val="8"/>
        </w:numPr>
        <w:spacing w:after="0"/>
        <w:jc w:val="both"/>
      </w:pPr>
      <w:r w:rsidRPr="004A7593">
        <w:t>Në shkronj</w:t>
      </w:r>
      <w:r w:rsidR="00CC5018" w:rsidRPr="004A7593">
        <w:t>ë</w:t>
      </w:r>
      <w:r w:rsidRPr="004A7593">
        <w:t>n “ç” t</w:t>
      </w:r>
      <w:r w:rsidR="00CC5018" w:rsidRPr="004A7593">
        <w:t>ë</w:t>
      </w:r>
      <w:r w:rsidRPr="004A7593">
        <w:t xml:space="preserve"> pikës 3, togfjalëshi “</w:t>
      </w:r>
      <w:r w:rsidRPr="004A7593">
        <w:rPr>
          <w:bCs/>
        </w:rPr>
        <w:t>me ministrin</w:t>
      </w:r>
      <w:r w:rsidR="00CC5018" w:rsidRPr="004A7593">
        <w:rPr>
          <w:bCs/>
        </w:rPr>
        <w:t>ë</w:t>
      </w:r>
      <w:r w:rsidRPr="004A7593">
        <w:t>”, shfuqizohet.</w:t>
      </w:r>
    </w:p>
    <w:p w14:paraId="09A44662" w14:textId="77777777" w:rsidR="006E0373" w:rsidRPr="004A7593" w:rsidRDefault="006E0373" w:rsidP="00BF1273">
      <w:pPr>
        <w:pStyle w:val="ListParagraph"/>
        <w:spacing w:after="0"/>
        <w:jc w:val="both"/>
      </w:pPr>
    </w:p>
    <w:p w14:paraId="6513C58E" w14:textId="77777777" w:rsidR="00584678" w:rsidRPr="004A7593" w:rsidRDefault="00584678" w:rsidP="00BF1273">
      <w:pPr>
        <w:pStyle w:val="ListParagraph"/>
        <w:shd w:val="clear" w:color="auto" w:fill="FFFFFF"/>
        <w:spacing w:after="0"/>
        <w:jc w:val="both"/>
      </w:pPr>
    </w:p>
    <w:p w14:paraId="244B858F" w14:textId="11E77A53" w:rsidR="006E0373" w:rsidRDefault="006E0373" w:rsidP="00BF1273">
      <w:pPr>
        <w:spacing w:after="0"/>
        <w:jc w:val="center"/>
        <w:rPr>
          <w:b/>
        </w:rPr>
      </w:pPr>
      <w:r w:rsidRPr="004A7593">
        <w:rPr>
          <w:b/>
        </w:rPr>
        <w:t>Neni</w:t>
      </w:r>
      <w:r w:rsidR="008F47A0" w:rsidRPr="004A7593">
        <w:rPr>
          <w:b/>
        </w:rPr>
        <w:t xml:space="preserve"> </w:t>
      </w:r>
      <w:r w:rsidR="00F90683" w:rsidRPr="004A7593">
        <w:rPr>
          <w:b/>
        </w:rPr>
        <w:t>1</w:t>
      </w:r>
      <w:r w:rsidR="008478B6">
        <w:rPr>
          <w:b/>
        </w:rPr>
        <w:t>2</w:t>
      </w:r>
    </w:p>
    <w:p w14:paraId="1D14D033" w14:textId="77777777" w:rsidR="00406077" w:rsidRPr="004A7593" w:rsidRDefault="00406077" w:rsidP="00BF1273">
      <w:pPr>
        <w:spacing w:after="0"/>
        <w:jc w:val="center"/>
        <w:rPr>
          <w:b/>
        </w:rPr>
      </w:pPr>
    </w:p>
    <w:p w14:paraId="004F7F8B" w14:textId="0E1CB882" w:rsidR="006E0373" w:rsidRPr="004A7593" w:rsidRDefault="006E0373" w:rsidP="00BF1273">
      <w:pPr>
        <w:shd w:val="clear" w:color="auto" w:fill="FFFFFF"/>
      </w:pPr>
      <w:r w:rsidRPr="004A7593">
        <w:t>Pas nenit 28</w:t>
      </w:r>
      <w:r w:rsidR="002B7D4A" w:rsidRPr="004A7593">
        <w:t>,</w:t>
      </w:r>
      <w:r w:rsidRPr="004A7593">
        <w:t xml:space="preserve"> shtohe</w:t>
      </w:r>
      <w:r w:rsidR="00A70980" w:rsidRPr="004A7593">
        <w:t xml:space="preserve">n nenet </w:t>
      </w:r>
      <w:r w:rsidRPr="004A7593">
        <w:t xml:space="preserve"> </w:t>
      </w:r>
      <w:r w:rsidR="00A70980" w:rsidRPr="004A7593">
        <w:t>28</w:t>
      </w:r>
      <w:r w:rsidRPr="004A7593">
        <w:t xml:space="preserve">/1, </w:t>
      </w:r>
      <w:r w:rsidR="00A70980" w:rsidRPr="004A7593">
        <w:t>28</w:t>
      </w:r>
      <w:r w:rsidRPr="004A7593">
        <w:t>/2</w:t>
      </w:r>
      <w:r w:rsidR="00A70980" w:rsidRPr="004A7593">
        <w:t xml:space="preserve"> dhe</w:t>
      </w:r>
      <w:r w:rsidRPr="004A7593">
        <w:t xml:space="preserve"> </w:t>
      </w:r>
      <w:r w:rsidR="00A70980" w:rsidRPr="004A7593">
        <w:t>28</w:t>
      </w:r>
      <w:r w:rsidRPr="004A7593">
        <w:t xml:space="preserve">/3 </w:t>
      </w:r>
      <w:r w:rsidR="00477026" w:rsidRPr="004A7593">
        <w:t>me përmbajtje si vijon</w:t>
      </w:r>
      <w:r w:rsidRPr="004A7593">
        <w:t>:</w:t>
      </w:r>
    </w:p>
    <w:p w14:paraId="7646A0B2" w14:textId="77777777" w:rsidR="002B7D4A" w:rsidRPr="004A7593" w:rsidRDefault="00A70980" w:rsidP="003E7D68">
      <w:pPr>
        <w:shd w:val="clear" w:color="auto" w:fill="FFFFFF"/>
        <w:spacing w:after="0"/>
        <w:jc w:val="center"/>
        <w:rPr>
          <w:b/>
          <w:bCs/>
          <w:lang w:val="it-IT"/>
        </w:rPr>
      </w:pPr>
      <w:r w:rsidRPr="004A7593">
        <w:rPr>
          <w:b/>
          <w:bCs/>
        </w:rPr>
        <w:t>“</w:t>
      </w:r>
      <w:bookmarkStart w:id="10" w:name="_Hlk190854015"/>
      <w:bookmarkStart w:id="11" w:name="_Hlk182590782"/>
      <w:bookmarkStart w:id="12" w:name="_Hlk191211885"/>
      <w:r w:rsidR="002B7D4A" w:rsidRPr="004A7593">
        <w:rPr>
          <w:b/>
          <w:bCs/>
          <w:lang w:val="it-IT"/>
        </w:rPr>
        <w:t>Neni 28/1</w:t>
      </w:r>
    </w:p>
    <w:p w14:paraId="0E8FD197" w14:textId="467626CB" w:rsidR="002B7D4A" w:rsidRDefault="002B7D4A" w:rsidP="003E7D68">
      <w:pPr>
        <w:shd w:val="clear" w:color="auto" w:fill="FFFFFF"/>
        <w:spacing w:after="0"/>
        <w:jc w:val="center"/>
        <w:rPr>
          <w:b/>
          <w:bCs/>
          <w:lang w:val="it-IT"/>
        </w:rPr>
      </w:pPr>
      <w:r w:rsidRPr="004A7593">
        <w:rPr>
          <w:b/>
          <w:bCs/>
          <w:lang w:val="it-IT"/>
        </w:rPr>
        <w:t>Strategjia e Mbikëqyrjes së Tregut</w:t>
      </w:r>
    </w:p>
    <w:p w14:paraId="3DBB0C2B" w14:textId="77777777" w:rsidR="003E7D68" w:rsidRPr="004A7593" w:rsidRDefault="003E7D68" w:rsidP="003E7D68">
      <w:pPr>
        <w:shd w:val="clear" w:color="auto" w:fill="FFFFFF"/>
        <w:spacing w:after="0"/>
        <w:jc w:val="center"/>
        <w:rPr>
          <w:lang w:val="it-IT"/>
        </w:rPr>
      </w:pPr>
    </w:p>
    <w:p w14:paraId="3E684A53" w14:textId="77777777" w:rsidR="002B7D4A" w:rsidRPr="004A7593" w:rsidRDefault="002B7D4A" w:rsidP="003E7D68">
      <w:pPr>
        <w:numPr>
          <w:ilvl w:val="0"/>
          <w:numId w:val="9"/>
        </w:numPr>
        <w:shd w:val="clear" w:color="auto" w:fill="FFFFFF"/>
        <w:spacing w:after="0"/>
        <w:jc w:val="both"/>
        <w:rPr>
          <w:lang w:val="it-IT"/>
        </w:rPr>
      </w:pPr>
      <w:r w:rsidRPr="004A7593">
        <w:rPr>
          <w:lang w:val="it-IT"/>
        </w:rPr>
        <w:t>Ministria organizon dhe koordinon punën për hartimin e Strategjisë së Mbikëqyrjes së Tregut, e cila miratohet me Vendim të Këshillit të Ministrave,</w:t>
      </w:r>
      <w:r w:rsidRPr="004A7593">
        <w:rPr>
          <w:b/>
          <w:bCs/>
          <w:lang w:val="it-IT"/>
        </w:rPr>
        <w:t xml:space="preserve"> </w:t>
      </w:r>
      <w:r w:rsidRPr="004A7593">
        <w:rPr>
          <w:lang w:val="it-IT"/>
        </w:rPr>
        <w:t>për një periudhë katërvjeçare.</w:t>
      </w:r>
    </w:p>
    <w:p w14:paraId="41F81C08" w14:textId="77777777" w:rsidR="002B7D4A" w:rsidRPr="004A7593" w:rsidRDefault="002B7D4A" w:rsidP="002B7D4A">
      <w:pPr>
        <w:numPr>
          <w:ilvl w:val="0"/>
          <w:numId w:val="9"/>
        </w:numPr>
        <w:shd w:val="clear" w:color="auto" w:fill="FFFFFF"/>
        <w:spacing w:after="0"/>
        <w:jc w:val="both"/>
        <w:rPr>
          <w:lang w:val="it-IT"/>
        </w:rPr>
      </w:pPr>
      <w:r w:rsidRPr="004A7593">
        <w:rPr>
          <w:lang w:val="it-IT"/>
        </w:rPr>
        <w:t>Strategjia siguron një qasje të qëndrueshme, gjithëpërfshirëse dhe të integruar për mbikëqyrjen e tregut dhe zbatimin e legjislacionit që përcakton kërkesat teknike për produktet.</w:t>
      </w:r>
    </w:p>
    <w:p w14:paraId="66583C7D" w14:textId="77777777" w:rsidR="002B7D4A" w:rsidRPr="004A7593" w:rsidRDefault="002B7D4A" w:rsidP="002B7D4A">
      <w:pPr>
        <w:numPr>
          <w:ilvl w:val="0"/>
          <w:numId w:val="9"/>
        </w:numPr>
        <w:shd w:val="clear" w:color="auto" w:fill="FFFFFF"/>
        <w:spacing w:after="0"/>
        <w:jc w:val="both"/>
        <w:rPr>
          <w:lang w:val="it-IT"/>
        </w:rPr>
      </w:pPr>
      <w:r w:rsidRPr="004A7593">
        <w:rPr>
          <w:lang w:val="it-IT"/>
        </w:rPr>
        <w:t>Strategjia përfshin të gjithë sektorët ku zbatohet legjislacioni që përcakton kërkesat teknike për produktet, si dhe të gjitha fazat e zinxhirit të furnizimit, përfshirë produktet e importuara dhe zinxhirët e furnizimit digjital. Prioritetet e përcaktuara në programin e punës së organizatave ndërkombëtare të mbikëqyrjes së tregut, në të cilat Republika e Shqipërisë është anëtare, merren në konsideratë gjatë hartimit të strategjisë.</w:t>
      </w:r>
    </w:p>
    <w:p w14:paraId="62158297" w14:textId="77777777" w:rsidR="002B7D4A" w:rsidRPr="004A7593" w:rsidRDefault="002B7D4A" w:rsidP="002B7D4A">
      <w:pPr>
        <w:numPr>
          <w:ilvl w:val="0"/>
          <w:numId w:val="9"/>
        </w:numPr>
        <w:shd w:val="clear" w:color="auto" w:fill="FFFFFF"/>
        <w:spacing w:after="0"/>
        <w:jc w:val="both"/>
        <w:rPr>
          <w:lang w:val="it-IT"/>
        </w:rPr>
      </w:pPr>
      <w:r w:rsidRPr="004A7593">
        <w:rPr>
          <w:lang w:val="it-IT"/>
        </w:rPr>
        <w:t>Strategjia përfshin të paktën:</w:t>
      </w:r>
    </w:p>
    <w:p w14:paraId="6E3FCC5F" w14:textId="77777777" w:rsidR="002B7D4A" w:rsidRPr="004A7593" w:rsidRDefault="002B7D4A" w:rsidP="002B7D4A">
      <w:pPr>
        <w:numPr>
          <w:ilvl w:val="0"/>
          <w:numId w:val="10"/>
        </w:numPr>
        <w:shd w:val="clear" w:color="auto" w:fill="FFFFFF"/>
        <w:spacing w:after="0"/>
        <w:jc w:val="both"/>
        <w:rPr>
          <w:lang w:val="it-IT"/>
        </w:rPr>
      </w:pPr>
      <w:bookmarkStart w:id="13" w:name="_Hlk192939098"/>
      <w:r w:rsidRPr="004A7593">
        <w:rPr>
          <w:lang w:val="it-IT"/>
        </w:rPr>
        <w:lastRenderedPageBreak/>
        <w:t>informacionin e disponueshëm mbi produktet që nuk përputhen me kërkesat e legjislacionit të zbatueshëm, bazuar në rezultatet e kontrolleve të kryera dhe, kur është e nevojshme, zhvillimet në treg që ndikojnë në shkallën e mospërputhshmërisë së produkteve, si dhe kërcënimet dhe rreziqet e mundshme të lidhura me teknologjitë e reja;</w:t>
      </w:r>
    </w:p>
    <w:p w14:paraId="20903979" w14:textId="77777777" w:rsidR="002B7D4A" w:rsidRPr="004A7593" w:rsidRDefault="002B7D4A" w:rsidP="002B7D4A">
      <w:pPr>
        <w:numPr>
          <w:ilvl w:val="0"/>
          <w:numId w:val="10"/>
        </w:numPr>
        <w:shd w:val="clear" w:color="auto" w:fill="FFFFFF"/>
        <w:spacing w:after="0"/>
        <w:jc w:val="both"/>
        <w:rPr>
          <w:lang w:val="it-IT"/>
        </w:rPr>
      </w:pPr>
      <w:r w:rsidRPr="004A7593">
        <w:rPr>
          <w:lang w:val="it-IT"/>
        </w:rPr>
        <w:t>grupet e produkteve të identifikuara si prioritare për mbikëqyrjen e tregut dhe zbatimin e kërkesave teknike të përcaktuara nga legjislacioni në fuqi;</w:t>
      </w:r>
    </w:p>
    <w:p w14:paraId="57F98C3B" w14:textId="77777777" w:rsidR="002B7D4A" w:rsidRPr="004A7593" w:rsidRDefault="002B7D4A" w:rsidP="002B7D4A">
      <w:pPr>
        <w:numPr>
          <w:ilvl w:val="0"/>
          <w:numId w:val="10"/>
        </w:numPr>
        <w:shd w:val="clear" w:color="auto" w:fill="FFFFFF"/>
        <w:spacing w:after="0"/>
        <w:jc w:val="both"/>
        <w:rPr>
          <w:lang w:val="it-IT"/>
        </w:rPr>
      </w:pPr>
      <w:r w:rsidRPr="004A7593">
        <w:rPr>
          <w:lang w:val="it-IT"/>
        </w:rPr>
        <w:t xml:space="preserve">aktivitetet e planifikuara të mbikëqyrjes së tregut për reduktimin e mospërputhshmërisë në grupet prioritare të produkteve, duke përfshirë, kur është e nevojshme, nivelet minimale të kontrollit për kategori produktesh me shkallë të lartë të mospërputhshmërisë. </w:t>
      </w:r>
    </w:p>
    <w:bookmarkEnd w:id="13"/>
    <w:p w14:paraId="6E611E66" w14:textId="77777777" w:rsidR="002B7D4A" w:rsidRPr="004A7593" w:rsidRDefault="002B7D4A" w:rsidP="002B7D4A">
      <w:pPr>
        <w:pStyle w:val="ListParagraph"/>
        <w:spacing w:before="100" w:beforeAutospacing="1" w:after="100" w:afterAutospacing="1"/>
        <w:jc w:val="center"/>
        <w:rPr>
          <w:rFonts w:eastAsia="Times New Roman"/>
          <w:b/>
          <w:bCs/>
          <w:lang w:val="it-IT"/>
        </w:rPr>
      </w:pPr>
      <w:r w:rsidRPr="004A7593">
        <w:rPr>
          <w:rFonts w:eastAsia="Times New Roman"/>
          <w:b/>
          <w:bCs/>
          <w:lang w:val="it-IT"/>
        </w:rPr>
        <w:t>Neni 28/2</w:t>
      </w:r>
    </w:p>
    <w:p w14:paraId="1ED82CA3" w14:textId="77777777" w:rsidR="002B7D4A" w:rsidRPr="004A7593" w:rsidRDefault="002B7D4A" w:rsidP="002B7D4A">
      <w:pPr>
        <w:pStyle w:val="ListParagraph"/>
        <w:spacing w:before="100" w:beforeAutospacing="1" w:after="100" w:afterAutospacing="1"/>
        <w:jc w:val="center"/>
        <w:rPr>
          <w:rFonts w:eastAsia="Times New Roman"/>
          <w:b/>
          <w:bCs/>
          <w:lang w:val="it-IT"/>
        </w:rPr>
      </w:pPr>
      <w:r w:rsidRPr="004A7593">
        <w:rPr>
          <w:rFonts w:eastAsia="Times New Roman"/>
          <w:b/>
          <w:bCs/>
          <w:lang w:val="it-IT"/>
        </w:rPr>
        <w:t>Zyra e Vetme Ndërlidhëse</w:t>
      </w:r>
    </w:p>
    <w:p w14:paraId="66352D2C" w14:textId="77777777" w:rsidR="002B7D4A" w:rsidRPr="004A7593" w:rsidRDefault="002B7D4A" w:rsidP="002B7D4A">
      <w:pPr>
        <w:pStyle w:val="ListParagraph"/>
        <w:numPr>
          <w:ilvl w:val="0"/>
          <w:numId w:val="11"/>
        </w:numPr>
        <w:spacing w:before="100" w:beforeAutospacing="1" w:after="100" w:afterAutospacing="1"/>
        <w:jc w:val="both"/>
        <w:rPr>
          <w:rFonts w:eastAsia="Times New Roman"/>
        </w:rPr>
      </w:pPr>
      <w:r w:rsidRPr="004A7593">
        <w:t xml:space="preserve">Strukturat përgjegjëse, autoritetet doganore dhe autoritetet e tjera bashkëpunojnë për të siguruar mbikëqyrje efektive të tregut. </w:t>
      </w:r>
    </w:p>
    <w:p w14:paraId="2112E786" w14:textId="77777777" w:rsidR="002B7D4A" w:rsidRPr="004A7593" w:rsidRDefault="002B7D4A" w:rsidP="002B7D4A">
      <w:pPr>
        <w:pStyle w:val="ListParagraph"/>
        <w:numPr>
          <w:ilvl w:val="0"/>
          <w:numId w:val="11"/>
        </w:numPr>
        <w:spacing w:before="100" w:beforeAutospacing="1" w:after="100" w:afterAutospacing="1"/>
        <w:jc w:val="both"/>
        <w:rPr>
          <w:rFonts w:eastAsia="Times New Roman"/>
        </w:rPr>
      </w:pPr>
      <w:r w:rsidRPr="004A7593">
        <w:t xml:space="preserve">Ministria krijon Zyrën e Vetme Ndërlidhëse si pjesë përbërëse të strukturës së saj, e cila është përgjegjëse për koordinimin e mbikëqyrjes së tregut dhe bashkëpunimin ndërinstitucional. </w:t>
      </w:r>
    </w:p>
    <w:p w14:paraId="6D48C0CA" w14:textId="77777777" w:rsidR="002B7D4A" w:rsidRPr="004A7593" w:rsidRDefault="002B7D4A" w:rsidP="002B7D4A">
      <w:pPr>
        <w:pStyle w:val="ListParagraph"/>
        <w:numPr>
          <w:ilvl w:val="0"/>
          <w:numId w:val="11"/>
        </w:numPr>
        <w:spacing w:before="100" w:beforeAutospacing="1" w:after="100" w:afterAutospacing="1"/>
        <w:jc w:val="both"/>
        <w:rPr>
          <w:rFonts w:eastAsia="Times New Roman"/>
          <w:lang w:val="it-IT"/>
        </w:rPr>
      </w:pPr>
      <w:r w:rsidRPr="004A7593">
        <w:rPr>
          <w:rFonts w:eastAsia="Times New Roman"/>
          <w:lang w:val="it-IT"/>
        </w:rPr>
        <w:t>Zyra e vetme ndërlidhëse:</w:t>
      </w:r>
    </w:p>
    <w:p w14:paraId="1B18FFAB" w14:textId="77777777" w:rsidR="002B7D4A" w:rsidRPr="004A7593" w:rsidRDefault="002B7D4A" w:rsidP="002B7D4A">
      <w:pPr>
        <w:pStyle w:val="ListParagraph"/>
        <w:numPr>
          <w:ilvl w:val="0"/>
          <w:numId w:val="12"/>
        </w:numPr>
        <w:spacing w:before="100" w:beforeAutospacing="1" w:after="100" w:afterAutospacing="1"/>
        <w:jc w:val="both"/>
        <w:rPr>
          <w:rFonts w:eastAsia="Times New Roman"/>
          <w:lang w:val="it-IT"/>
        </w:rPr>
      </w:pPr>
      <w:r w:rsidRPr="004A7593">
        <w:rPr>
          <w:rFonts w:eastAsia="Times New Roman"/>
          <w:lang w:val="it-IT"/>
        </w:rPr>
        <w:t>përfaqëson qëndrimin e koordinuar të strukturave përgjegjëse dhe autoriteteve doganore lidhur me mbikëqyrjen e produkteve në treg dhe informon publikun e interesuar dhe organizatat ndërkombëtare për këtë qëndrim;</w:t>
      </w:r>
    </w:p>
    <w:p w14:paraId="29150762" w14:textId="77777777" w:rsidR="002B7D4A" w:rsidRPr="004A7593" w:rsidRDefault="002B7D4A" w:rsidP="002B7D4A">
      <w:pPr>
        <w:pStyle w:val="ListParagraph"/>
        <w:numPr>
          <w:ilvl w:val="0"/>
          <w:numId w:val="12"/>
        </w:numPr>
        <w:spacing w:before="100" w:beforeAutospacing="1" w:after="100" w:afterAutospacing="1"/>
        <w:jc w:val="both"/>
        <w:rPr>
          <w:rFonts w:eastAsia="Times New Roman"/>
          <w:lang w:val="it-IT"/>
        </w:rPr>
      </w:pPr>
      <w:r w:rsidRPr="004A7593">
        <w:t>mbështet dhe koordinon zbatimin e Strategjisë Kombëtare të Mbikëqyrjes së Tregut</w:t>
      </w:r>
      <w:r w:rsidRPr="004A7593">
        <w:rPr>
          <w:rFonts w:eastAsia="Times New Roman"/>
          <w:lang w:val="it-IT"/>
        </w:rPr>
        <w:t xml:space="preserve"> të hartuar në përputhje me nenin 28/1 të këtij ligji,</w:t>
      </w:r>
      <w:r w:rsidRPr="004A7593">
        <w:t xml:space="preserve"> si dhe siguron komunikimin ndërinstitucional dhe me palët e interesuara, përfshirë përmes </w:t>
      </w:r>
      <w:r w:rsidRPr="004A7593">
        <w:rPr>
          <w:rFonts w:eastAsia="Times New Roman"/>
          <w:lang w:val="it-IT"/>
        </w:rPr>
        <w:t>sistemit të komunikimit dhe shkëmbimit të informacionit;</w:t>
      </w:r>
    </w:p>
    <w:p w14:paraId="26C90049" w14:textId="77777777" w:rsidR="002B7D4A" w:rsidRPr="004A7593" w:rsidRDefault="002B7D4A" w:rsidP="002B7D4A">
      <w:pPr>
        <w:pStyle w:val="ListParagraph"/>
        <w:numPr>
          <w:ilvl w:val="0"/>
          <w:numId w:val="12"/>
        </w:numPr>
        <w:spacing w:before="100" w:beforeAutospacing="1" w:after="100" w:afterAutospacing="1"/>
        <w:jc w:val="both"/>
        <w:rPr>
          <w:rFonts w:eastAsia="Times New Roman"/>
          <w:lang w:val="it-IT"/>
        </w:rPr>
      </w:pPr>
      <w:r w:rsidRPr="004A7593">
        <w:rPr>
          <w:rFonts w:eastAsia="Times New Roman"/>
          <w:lang w:val="it-IT"/>
        </w:rPr>
        <w:t>lehtëson</w:t>
      </w:r>
      <w:r w:rsidRPr="004A7593">
        <w:rPr>
          <w:rFonts w:eastAsia="Times New Roman"/>
          <w:b/>
          <w:bCs/>
          <w:lang w:val="it-IT"/>
        </w:rPr>
        <w:t xml:space="preserve"> </w:t>
      </w:r>
      <w:r w:rsidRPr="004A7593">
        <w:rPr>
          <w:rFonts w:eastAsia="Times New Roman"/>
          <w:lang w:val="it-IT"/>
        </w:rPr>
        <w:t>bashkëpunimin ndërkombëtar të strukturave përgjegjëse me autoritetet e mbikëqyrjes së tregut në vende të tjera, në përputhje me marrëveshjet ndërkombëtare në të cilat Republika e Shqipërisë është palë;</w:t>
      </w:r>
    </w:p>
    <w:p w14:paraId="081CC784" w14:textId="77777777" w:rsidR="002B7D4A" w:rsidRPr="004A7593" w:rsidRDefault="002B7D4A" w:rsidP="002B7D4A">
      <w:pPr>
        <w:pStyle w:val="ListParagraph"/>
        <w:spacing w:before="120" w:after="120"/>
        <w:ind w:left="1080"/>
        <w:jc w:val="both"/>
        <w:rPr>
          <w:rFonts w:eastAsia="Times New Roman"/>
          <w:lang w:val="it-IT"/>
        </w:rPr>
      </w:pPr>
      <w:r w:rsidRPr="004A7593">
        <w:rPr>
          <w:rFonts w:eastAsia="Times New Roman"/>
          <w:lang w:val="it-IT"/>
        </w:rPr>
        <w:t>ç) organizon dhe koordinon aktivitete të përbashkëta për promovimin e përputhshmërisë në përputhje me parashikimet e nenit 33/1 të këtij ligji;</w:t>
      </w:r>
    </w:p>
    <w:p w14:paraId="531EC202" w14:textId="77777777" w:rsidR="002B7D4A" w:rsidRPr="004A7593" w:rsidRDefault="002B7D4A" w:rsidP="002B7D4A">
      <w:pPr>
        <w:pStyle w:val="ListParagraph"/>
        <w:numPr>
          <w:ilvl w:val="0"/>
          <w:numId w:val="12"/>
        </w:numPr>
        <w:spacing w:before="100" w:beforeAutospacing="1" w:after="100" w:afterAutospacing="1"/>
        <w:jc w:val="both"/>
        <w:rPr>
          <w:rFonts w:eastAsia="Times New Roman"/>
          <w:b/>
          <w:bCs/>
          <w:lang w:val="it-IT"/>
        </w:rPr>
      </w:pPr>
      <w:r w:rsidRPr="004A7593">
        <w:rPr>
          <w:rFonts w:eastAsia="Times New Roman"/>
          <w:lang w:val="it-IT"/>
        </w:rPr>
        <w:t>administron, mirëmban dhe përditëson sistemin e komunikimit dhe shkëmbimit të informacionit të parashikuar në nenin 34/4 të këtij ligji;</w:t>
      </w:r>
    </w:p>
    <w:p w14:paraId="5E05A343" w14:textId="77777777" w:rsidR="002B7D4A" w:rsidRPr="004A7593" w:rsidRDefault="002B7D4A" w:rsidP="002B7D4A">
      <w:pPr>
        <w:pStyle w:val="ListParagraph"/>
        <w:spacing w:before="100" w:beforeAutospacing="1" w:after="100" w:afterAutospacing="1"/>
        <w:ind w:left="1080"/>
        <w:jc w:val="both"/>
        <w:rPr>
          <w:rFonts w:eastAsia="Times New Roman"/>
          <w:lang w:val="it-IT"/>
        </w:rPr>
      </w:pPr>
      <w:r w:rsidRPr="004A7593">
        <w:rPr>
          <w:rFonts w:eastAsia="Times New Roman"/>
          <w:lang w:val="it-IT"/>
        </w:rPr>
        <w:t>dh) mbledh dhe përpunon informacionet e siguruara nga strukturat përgjegjëse dhe autoritetet doganore mbi produktet e rrezikshme dhe koordinon shkëmbimin e informacionit ndërinstitucional dhe ndërkombëtar, sipas rastit;</w:t>
      </w:r>
    </w:p>
    <w:p w14:paraId="195527B2" w14:textId="77777777" w:rsidR="002B7D4A" w:rsidRPr="004A7593" w:rsidRDefault="002B7D4A" w:rsidP="002B7D4A">
      <w:pPr>
        <w:pStyle w:val="ListParagraph"/>
        <w:numPr>
          <w:ilvl w:val="0"/>
          <w:numId w:val="12"/>
        </w:numPr>
        <w:spacing w:before="100" w:beforeAutospacing="1" w:after="100" w:afterAutospacing="1"/>
        <w:jc w:val="both"/>
        <w:rPr>
          <w:rFonts w:eastAsia="Times New Roman"/>
          <w:lang w:val="it-IT"/>
        </w:rPr>
      </w:pPr>
      <w:r w:rsidRPr="004A7593">
        <w:rPr>
          <w:rFonts w:eastAsia="Times New Roman"/>
          <w:lang w:val="it-IT"/>
        </w:rPr>
        <w:t>siguron bashkëpunimin e vazhdueshëm dhe të koordinuar ndërmjet strukturave përgjegjëse, autoriteteve doganore dhe autoriteteve të tjera përkatëse.</w:t>
      </w:r>
    </w:p>
    <w:p w14:paraId="2BF8EDBC" w14:textId="77777777" w:rsidR="002B7D4A" w:rsidRPr="004A7593" w:rsidRDefault="002B7D4A" w:rsidP="00396614">
      <w:pPr>
        <w:shd w:val="clear" w:color="auto" w:fill="FFFFFF"/>
        <w:spacing w:after="0"/>
        <w:jc w:val="center"/>
        <w:rPr>
          <w:b/>
          <w:bCs/>
        </w:rPr>
      </w:pPr>
      <w:r w:rsidRPr="004A7593">
        <w:rPr>
          <w:b/>
          <w:bCs/>
        </w:rPr>
        <w:t>Neni 28/3</w:t>
      </w:r>
    </w:p>
    <w:p w14:paraId="07C5055D" w14:textId="77777777" w:rsidR="002B7D4A" w:rsidRPr="004A7593" w:rsidRDefault="002B7D4A" w:rsidP="00396614">
      <w:pPr>
        <w:shd w:val="clear" w:color="auto" w:fill="FFFFFF"/>
        <w:spacing w:after="0"/>
        <w:jc w:val="center"/>
        <w:rPr>
          <w:b/>
          <w:bCs/>
        </w:rPr>
      </w:pPr>
      <w:r w:rsidRPr="004A7593">
        <w:rPr>
          <w:b/>
          <w:bCs/>
        </w:rPr>
        <w:lastRenderedPageBreak/>
        <w:t>Veprimtaria e strukturave përgjegjëse për mbikëqyrjen e tregut</w:t>
      </w:r>
    </w:p>
    <w:p w14:paraId="2C6B7FE0" w14:textId="77777777" w:rsidR="002B7D4A" w:rsidRPr="004A7593" w:rsidRDefault="002B7D4A" w:rsidP="00772F42">
      <w:pPr>
        <w:pStyle w:val="ListParagraph"/>
        <w:numPr>
          <w:ilvl w:val="0"/>
          <w:numId w:val="13"/>
        </w:numPr>
        <w:spacing w:before="100" w:beforeAutospacing="1" w:after="0"/>
        <w:jc w:val="both"/>
      </w:pPr>
      <w:r w:rsidRPr="004A7593">
        <w:t>Strukturat përgjegjëse garantojnë mbikëqyrje efektive të produkteve në territorin e Republikës së Shqipërisë, pavarësisht mënyrës së vënies së tyre në dispozicion në treg.</w:t>
      </w:r>
    </w:p>
    <w:p w14:paraId="33158BF8" w14:textId="77777777" w:rsidR="002B7D4A" w:rsidRPr="004A7593" w:rsidRDefault="002B7D4A" w:rsidP="002B7D4A">
      <w:pPr>
        <w:numPr>
          <w:ilvl w:val="0"/>
          <w:numId w:val="13"/>
        </w:numPr>
        <w:spacing w:after="0"/>
        <w:jc w:val="both"/>
      </w:pPr>
      <w:r w:rsidRPr="004A7593">
        <w:t xml:space="preserve">Për të siguruar përputhshmërinë me rregullat teknike dhe këtë ligj, strukturat përgjegjëse: </w:t>
      </w:r>
    </w:p>
    <w:p w14:paraId="5CA76988" w14:textId="77777777" w:rsidR="002B7D4A" w:rsidRPr="004A7593" w:rsidRDefault="002B7D4A" w:rsidP="006B49C5">
      <w:pPr>
        <w:numPr>
          <w:ilvl w:val="0"/>
          <w:numId w:val="27"/>
        </w:numPr>
        <w:spacing w:after="0"/>
        <w:jc w:val="both"/>
      </w:pPr>
      <w:r w:rsidRPr="004A7593">
        <w:t xml:space="preserve">urdhërojnë operatorët ekonomikë për marrjen e masave korrigjuese të përshtatshme dhe proporcionale; </w:t>
      </w:r>
    </w:p>
    <w:p w14:paraId="1D886857" w14:textId="77777777" w:rsidR="002B7D4A" w:rsidRPr="004A7593" w:rsidRDefault="002B7D4A" w:rsidP="006B49C5">
      <w:pPr>
        <w:numPr>
          <w:ilvl w:val="0"/>
          <w:numId w:val="27"/>
        </w:numPr>
        <w:spacing w:after="0"/>
        <w:jc w:val="both"/>
      </w:pPr>
      <w:r w:rsidRPr="004A7593">
        <w:t xml:space="preserve">vendosin </w:t>
      </w:r>
      <w:bookmarkStart w:id="14" w:name="_Hlk192939396"/>
      <w:r w:rsidRPr="004A7593">
        <w:t xml:space="preserve">masa të përshtatshme dhe proporcionale </w:t>
      </w:r>
      <w:bookmarkEnd w:id="14"/>
      <w:r w:rsidRPr="004A7593">
        <w:t>në rast se operatori ekonomik nuk zbaton masat korrigjuese.</w:t>
      </w:r>
    </w:p>
    <w:p w14:paraId="15179498" w14:textId="77777777" w:rsidR="002B7D4A" w:rsidRPr="004A7593" w:rsidRDefault="002B7D4A" w:rsidP="002B7D4A">
      <w:pPr>
        <w:widowControl w:val="0"/>
        <w:numPr>
          <w:ilvl w:val="0"/>
          <w:numId w:val="13"/>
        </w:numPr>
        <w:shd w:val="clear" w:color="auto" w:fill="FFFFFF"/>
        <w:tabs>
          <w:tab w:val="left" w:pos="1003"/>
        </w:tabs>
        <w:autoSpaceDE w:val="0"/>
        <w:autoSpaceDN w:val="0"/>
        <w:adjustRightInd w:val="0"/>
        <w:spacing w:after="0"/>
        <w:jc w:val="both"/>
      </w:pPr>
      <w:r w:rsidRPr="004A7593">
        <w:t>Strukturat përgjegjëse kryejnë detyrat në mënyrë të pavarur, të paanshme dhe të pandikuar.</w:t>
      </w:r>
    </w:p>
    <w:p w14:paraId="44AC4D88" w14:textId="77777777" w:rsidR="002B7D4A" w:rsidRPr="004A7593" w:rsidRDefault="002B7D4A" w:rsidP="002B7D4A">
      <w:pPr>
        <w:numPr>
          <w:ilvl w:val="0"/>
          <w:numId w:val="13"/>
        </w:numPr>
        <w:spacing w:after="0"/>
      </w:pPr>
      <w:r w:rsidRPr="004A7593">
        <w:t>Strukturat përgjegjëse hartojnë dhe miratojnë procedura për:</w:t>
      </w:r>
    </w:p>
    <w:p w14:paraId="21272ABB" w14:textId="77777777" w:rsidR="002B7D4A" w:rsidRPr="004A7593" w:rsidRDefault="002B7D4A" w:rsidP="002B7D4A">
      <w:pPr>
        <w:numPr>
          <w:ilvl w:val="0"/>
          <w:numId w:val="14"/>
        </w:numPr>
        <w:spacing w:after="0"/>
        <w:jc w:val="both"/>
      </w:pPr>
      <w:r w:rsidRPr="004A7593">
        <w:t>trajtimin e ankesave ose raportimeve lidhur me rreziqet ose mospërputhshmëritë e produkteve;</w:t>
      </w:r>
    </w:p>
    <w:p w14:paraId="769F16FB" w14:textId="77777777" w:rsidR="002B7D4A" w:rsidRPr="004A7593" w:rsidRDefault="002B7D4A" w:rsidP="002B7D4A">
      <w:pPr>
        <w:numPr>
          <w:ilvl w:val="0"/>
          <w:numId w:val="14"/>
        </w:numPr>
        <w:spacing w:after="0"/>
        <w:jc w:val="both"/>
      </w:pPr>
      <w:r w:rsidRPr="004A7593">
        <w:t xml:space="preserve">kontrollin e zbatimit të masave korrigjuese nga operatorët ekonomikë. </w:t>
      </w:r>
    </w:p>
    <w:p w14:paraId="50418D39" w14:textId="77777777" w:rsidR="002B7D4A" w:rsidRPr="004A7593" w:rsidRDefault="002B7D4A" w:rsidP="002B7D4A">
      <w:pPr>
        <w:widowControl w:val="0"/>
        <w:numPr>
          <w:ilvl w:val="0"/>
          <w:numId w:val="13"/>
        </w:numPr>
        <w:shd w:val="clear" w:color="auto" w:fill="FFFFFF"/>
        <w:tabs>
          <w:tab w:val="left" w:pos="960"/>
        </w:tabs>
        <w:autoSpaceDE w:val="0"/>
        <w:autoSpaceDN w:val="0"/>
        <w:adjustRightInd w:val="0"/>
        <w:spacing w:after="0"/>
        <w:jc w:val="both"/>
        <w:rPr>
          <w:spacing w:val="-4"/>
        </w:rPr>
      </w:pPr>
      <w:r w:rsidRPr="004A7593">
        <w:t xml:space="preserve">Për përmbushjen e detyrave të përcaktuara në pikën 1 të këtij neni, strukturat përgjegjëse kryejnë kontrolle të përshtatshme të karakteristikave të produkteve, në shkallën e nevojshme, përmes shqyrtimit të dokumentacionit dhe, sipas rastit, përmes kontrolleve fizike dhe laboratorike mbi mostra. </w:t>
      </w:r>
    </w:p>
    <w:p w14:paraId="7DD3AF3A" w14:textId="77777777" w:rsidR="002B7D4A" w:rsidRPr="004A7593" w:rsidRDefault="002B7D4A" w:rsidP="002B7D4A">
      <w:pPr>
        <w:widowControl w:val="0"/>
        <w:numPr>
          <w:ilvl w:val="0"/>
          <w:numId w:val="13"/>
        </w:numPr>
        <w:shd w:val="clear" w:color="auto" w:fill="FFFFFF"/>
        <w:tabs>
          <w:tab w:val="left" w:pos="960"/>
        </w:tabs>
        <w:autoSpaceDE w:val="0"/>
        <w:autoSpaceDN w:val="0"/>
        <w:adjustRightInd w:val="0"/>
        <w:spacing w:after="0"/>
        <w:jc w:val="both"/>
      </w:pPr>
      <w:r w:rsidRPr="004A7593">
        <w:t>Gjatë vendimmarrjes mbi llojin dhe shkallën e kontrolleve që do të kryhen, si dhe përzgjedhjen e produkteve për kontroll, strukturat përgjegjëse kryejnë vlerësimin e rrezikut duke marrë parasysh:</w:t>
      </w:r>
    </w:p>
    <w:p w14:paraId="3CF63703" w14:textId="77777777" w:rsidR="002B7D4A" w:rsidRPr="004A7593" w:rsidRDefault="002B7D4A" w:rsidP="002B7D4A">
      <w:pPr>
        <w:numPr>
          <w:ilvl w:val="0"/>
          <w:numId w:val="15"/>
        </w:numPr>
        <w:spacing w:after="0"/>
        <w:jc w:val="both"/>
      </w:pPr>
      <w:r w:rsidRPr="004A7593">
        <w:t>rreziqet dhe mospërputhshmëritë e mundshme të produktit, si dhe, kur është e mundur, përhapjen e tij në treg;</w:t>
      </w:r>
    </w:p>
    <w:p w14:paraId="4CA93A24" w14:textId="77777777" w:rsidR="002B7D4A" w:rsidRPr="004A7593" w:rsidRDefault="002B7D4A" w:rsidP="002B7D4A">
      <w:pPr>
        <w:numPr>
          <w:ilvl w:val="0"/>
          <w:numId w:val="15"/>
        </w:numPr>
        <w:spacing w:after="0"/>
        <w:jc w:val="both"/>
      </w:pPr>
      <w:r w:rsidRPr="004A7593">
        <w:t>aktivitetet dhe procedurat e ndjekura nga operatori ekonomik për të siguruar përputhshmërinë;</w:t>
      </w:r>
    </w:p>
    <w:p w14:paraId="13285EEF" w14:textId="77777777" w:rsidR="002B7D4A" w:rsidRPr="004A7593" w:rsidRDefault="002B7D4A" w:rsidP="002B7D4A">
      <w:pPr>
        <w:numPr>
          <w:ilvl w:val="0"/>
          <w:numId w:val="15"/>
        </w:numPr>
        <w:spacing w:after="0"/>
        <w:jc w:val="both"/>
      </w:pPr>
      <w:r w:rsidRPr="004A7593">
        <w:t>të dhënat për mospërputhshmëritë e mëparshme të operatorit ekonomik;</w:t>
      </w:r>
    </w:p>
    <w:p w14:paraId="0ECEA0DD" w14:textId="77777777" w:rsidR="002B7D4A" w:rsidRPr="004A7593" w:rsidRDefault="002B7D4A" w:rsidP="00396614">
      <w:pPr>
        <w:spacing w:after="0"/>
        <w:ind w:left="720"/>
        <w:jc w:val="both"/>
      </w:pPr>
      <w:r w:rsidRPr="004A7593">
        <w:t>ç)  vlerësimet e rrezikut të kryera nga autoriteti doganor gjatë kontrollit të produkteve të deklaruara për çlirim për qarkullim të lirë;</w:t>
      </w:r>
    </w:p>
    <w:p w14:paraId="27FDEDF1" w14:textId="77777777" w:rsidR="002B7D4A" w:rsidRPr="004A7593" w:rsidRDefault="002B7D4A" w:rsidP="00772F42">
      <w:pPr>
        <w:numPr>
          <w:ilvl w:val="0"/>
          <w:numId w:val="15"/>
        </w:numPr>
        <w:spacing w:after="0"/>
        <w:jc w:val="both"/>
      </w:pPr>
      <w:r w:rsidRPr="004A7593">
        <w:t xml:space="preserve">ankesat e konsumatorëve dhe informacionet nga burime të tjera që  tregojnë mospërputhshmëri me kërkesat ligjore. </w:t>
      </w:r>
    </w:p>
    <w:p w14:paraId="539DFE1B" w14:textId="77777777" w:rsidR="002B7D4A" w:rsidRPr="004A7593" w:rsidRDefault="002B7D4A" w:rsidP="002B7D4A">
      <w:pPr>
        <w:widowControl w:val="0"/>
        <w:numPr>
          <w:ilvl w:val="0"/>
          <w:numId w:val="13"/>
        </w:numPr>
        <w:shd w:val="clear" w:color="auto" w:fill="FFFFFF"/>
        <w:tabs>
          <w:tab w:val="left" w:pos="984"/>
        </w:tabs>
        <w:autoSpaceDE w:val="0"/>
        <w:autoSpaceDN w:val="0"/>
        <w:adjustRightInd w:val="0"/>
        <w:spacing w:after="0"/>
        <w:jc w:val="both"/>
      </w:pPr>
      <w:bookmarkStart w:id="15" w:name="_Hlk196152653"/>
      <w:bookmarkStart w:id="16" w:name="_Hlk196302663"/>
      <w:r w:rsidRPr="004A7593">
        <w:t>Ngarkohet ministri për nxjerrjen e udhëzimit për mënyrën e klasifikimit dhe vlerësimit të rrezikut</w:t>
      </w:r>
      <w:bookmarkEnd w:id="15"/>
      <w:r w:rsidRPr="004A7593">
        <w:t xml:space="preserve">, bazuar në parimet e analizës së rrezikut, proporcionalitetit dhe mbrojtjes së interesit publik. </w:t>
      </w:r>
    </w:p>
    <w:bookmarkEnd w:id="16"/>
    <w:p w14:paraId="4F27B0A3" w14:textId="7D6C2954" w:rsidR="00A70980" w:rsidRPr="004A7593" w:rsidRDefault="002B7D4A" w:rsidP="002B7D4A">
      <w:pPr>
        <w:widowControl w:val="0"/>
        <w:numPr>
          <w:ilvl w:val="0"/>
          <w:numId w:val="13"/>
        </w:numPr>
        <w:shd w:val="clear" w:color="auto" w:fill="FFFFFF"/>
        <w:tabs>
          <w:tab w:val="left" w:pos="984"/>
        </w:tabs>
        <w:autoSpaceDE w:val="0"/>
        <w:autoSpaceDN w:val="0"/>
        <w:adjustRightInd w:val="0"/>
        <w:spacing w:after="0"/>
        <w:jc w:val="both"/>
      </w:pPr>
      <w:r w:rsidRPr="004A7593">
        <w:t>Strukturat përgjegjëse, në bashkëpunim me ministrinë përgjegjëse, hartojnë programet e mbikëqyrjes së tregut për sektorët ku ushtrojnë veprimtarinë dhe i paraqesin ato për mendim pranë Këshillit Bashkërendues për Mbrojtjen e Konsumatorëve, i krijuar sipas legjislacionit në fuqi për mbrojtjen e konsumatorëve. Pas miratimit, programet e mbikëqyrjes së tregut bëhen publike në formë elektronike dhe, sipas rastit, edhe me mjete të tjera</w:t>
      </w:r>
      <w:r w:rsidR="00297F13" w:rsidRPr="004A7593">
        <w:t xml:space="preserve">.”. </w:t>
      </w:r>
      <w:bookmarkEnd w:id="10"/>
      <w:bookmarkEnd w:id="11"/>
    </w:p>
    <w:bookmarkEnd w:id="12"/>
    <w:p w14:paraId="64595DCF" w14:textId="77777777" w:rsidR="00996AB7" w:rsidRPr="004A7593" w:rsidRDefault="00996AB7" w:rsidP="00BF1273">
      <w:pPr>
        <w:widowControl w:val="0"/>
        <w:shd w:val="clear" w:color="auto" w:fill="FFFFFF"/>
        <w:tabs>
          <w:tab w:val="left" w:pos="984"/>
        </w:tabs>
        <w:autoSpaceDE w:val="0"/>
        <w:autoSpaceDN w:val="0"/>
        <w:adjustRightInd w:val="0"/>
        <w:spacing w:after="0"/>
        <w:ind w:left="720"/>
        <w:jc w:val="both"/>
      </w:pPr>
    </w:p>
    <w:p w14:paraId="50E78DDD" w14:textId="77777777" w:rsidR="008478B6" w:rsidRDefault="008478B6" w:rsidP="00BF1273">
      <w:pPr>
        <w:spacing w:after="0"/>
        <w:jc w:val="center"/>
        <w:rPr>
          <w:b/>
        </w:rPr>
      </w:pPr>
    </w:p>
    <w:p w14:paraId="7A5BA035" w14:textId="77777777" w:rsidR="008478B6" w:rsidRDefault="008478B6" w:rsidP="00BF1273">
      <w:pPr>
        <w:spacing w:after="0"/>
        <w:jc w:val="center"/>
        <w:rPr>
          <w:b/>
        </w:rPr>
      </w:pPr>
    </w:p>
    <w:p w14:paraId="64BC3732" w14:textId="5E3A36F8" w:rsidR="00E5411E" w:rsidRDefault="00E5411E" w:rsidP="00BF1273">
      <w:pPr>
        <w:spacing w:after="0"/>
        <w:jc w:val="center"/>
        <w:rPr>
          <w:b/>
        </w:rPr>
      </w:pPr>
      <w:r w:rsidRPr="004A7593">
        <w:rPr>
          <w:b/>
        </w:rPr>
        <w:t xml:space="preserve">Neni </w:t>
      </w:r>
      <w:r w:rsidR="00F90683" w:rsidRPr="004A7593">
        <w:rPr>
          <w:b/>
        </w:rPr>
        <w:t>1</w:t>
      </w:r>
      <w:r w:rsidR="008478B6">
        <w:rPr>
          <w:b/>
        </w:rPr>
        <w:t>3</w:t>
      </w:r>
    </w:p>
    <w:p w14:paraId="7029AC21" w14:textId="77777777" w:rsidR="00772F42" w:rsidRPr="004A7593" w:rsidRDefault="00772F42" w:rsidP="00BF1273">
      <w:pPr>
        <w:spacing w:after="0"/>
        <w:jc w:val="center"/>
        <w:rPr>
          <w:b/>
        </w:rPr>
      </w:pPr>
    </w:p>
    <w:p w14:paraId="5C7E0C43" w14:textId="33236F64" w:rsidR="00772F42" w:rsidRPr="004A7593" w:rsidRDefault="00E5411E" w:rsidP="00BF1273">
      <w:pPr>
        <w:shd w:val="clear" w:color="auto" w:fill="FFFFFF"/>
        <w:jc w:val="both"/>
      </w:pPr>
      <w:r w:rsidRPr="004A7593">
        <w:t>Neni 29 “Kompetencat e strukturave përgjegjëse për mbikëqyrjen e tregut” ndryshohet</w:t>
      </w:r>
      <w:r w:rsidR="00B758E9" w:rsidRPr="004A7593">
        <w:t xml:space="preserve"> </w:t>
      </w:r>
      <w:r w:rsidRPr="004A7593">
        <w:t>si më poshtë:</w:t>
      </w:r>
      <w:bookmarkStart w:id="17" w:name="_Hlk191212405"/>
    </w:p>
    <w:p w14:paraId="38EAA90C" w14:textId="77777777" w:rsidR="002B7D4A" w:rsidRPr="004A7593" w:rsidRDefault="00E5411E" w:rsidP="00396614">
      <w:pPr>
        <w:shd w:val="clear" w:color="auto" w:fill="FFFFFF"/>
        <w:spacing w:after="0"/>
        <w:jc w:val="center"/>
        <w:rPr>
          <w:b/>
          <w:bCs/>
        </w:rPr>
      </w:pPr>
      <w:bookmarkStart w:id="18" w:name="_Hlk190861402"/>
      <w:bookmarkStart w:id="19" w:name="_Hlk190864128"/>
      <w:r w:rsidRPr="004A7593">
        <w:rPr>
          <w:b/>
          <w:bCs/>
        </w:rPr>
        <w:t>“</w:t>
      </w:r>
      <w:r w:rsidR="002B7D4A" w:rsidRPr="004A7593">
        <w:rPr>
          <w:b/>
          <w:bCs/>
        </w:rPr>
        <w:t>Neni 29</w:t>
      </w:r>
    </w:p>
    <w:p w14:paraId="1D63FB8A" w14:textId="77777777" w:rsidR="002B7D4A" w:rsidRPr="004A7593" w:rsidRDefault="002B7D4A" w:rsidP="00396614">
      <w:pPr>
        <w:shd w:val="clear" w:color="auto" w:fill="FFFFFF"/>
        <w:spacing w:after="0"/>
        <w:jc w:val="center"/>
        <w:rPr>
          <w:b/>
          <w:bCs/>
        </w:rPr>
      </w:pPr>
      <w:r w:rsidRPr="004A7593">
        <w:rPr>
          <w:b/>
          <w:bCs/>
        </w:rPr>
        <w:t>Kompetencat e strukturave përgjegjëse për mbikëqyrjen e tregut</w:t>
      </w:r>
    </w:p>
    <w:p w14:paraId="1FB5B03B" w14:textId="77777777" w:rsidR="002B7D4A" w:rsidRPr="004A7593" w:rsidRDefault="002B7D4A" w:rsidP="00396614">
      <w:pPr>
        <w:shd w:val="clear" w:color="auto" w:fill="FFFFFF"/>
        <w:spacing w:after="0"/>
        <w:jc w:val="center"/>
        <w:rPr>
          <w:b/>
          <w:bCs/>
        </w:rPr>
      </w:pPr>
    </w:p>
    <w:p w14:paraId="18368BC5" w14:textId="77777777" w:rsidR="002B7D4A" w:rsidRPr="004A7593" w:rsidRDefault="002B7D4A" w:rsidP="006B49C5">
      <w:pPr>
        <w:numPr>
          <w:ilvl w:val="0"/>
          <w:numId w:val="44"/>
        </w:numPr>
        <w:shd w:val="clear" w:color="auto" w:fill="FFFFFF"/>
        <w:spacing w:after="0"/>
        <w:jc w:val="both"/>
      </w:pPr>
      <w:r w:rsidRPr="004A7593">
        <w:t>Strukturat përgjegjëse ushtrojnë kompetencat e përcaktuara në këtë nen në mënyrë efikase dhe efektive, duke respektuar parimin e proporcionalitetit, në përputhje me objektin dhe qëllimin e masave, si dhe duke marrë parasysh natyrën dhe shkallën e dëmit real ose të mundshëm që mund të rezultojë nga mospërputhshmëria.</w:t>
      </w:r>
    </w:p>
    <w:p w14:paraId="7F9CD137" w14:textId="77777777" w:rsidR="002B7D4A" w:rsidRPr="004A7593" w:rsidRDefault="002B7D4A" w:rsidP="006B49C5">
      <w:pPr>
        <w:numPr>
          <w:ilvl w:val="0"/>
          <w:numId w:val="44"/>
        </w:numPr>
        <w:shd w:val="clear" w:color="auto" w:fill="FFFFFF"/>
        <w:spacing w:after="0"/>
        <w:jc w:val="both"/>
      </w:pPr>
      <w:r w:rsidRPr="004A7593">
        <w:t>Për zbatimin e kërkesave të këtij ligji, strukturat përgjegjëse kanë të drejtë të:</w:t>
      </w:r>
    </w:p>
    <w:p w14:paraId="3E132437" w14:textId="77777777" w:rsidR="002B7D4A" w:rsidRPr="004A7593" w:rsidRDefault="002B7D4A" w:rsidP="006B49C5">
      <w:pPr>
        <w:numPr>
          <w:ilvl w:val="0"/>
          <w:numId w:val="45"/>
        </w:numPr>
        <w:shd w:val="clear" w:color="auto" w:fill="FFFFFF"/>
        <w:spacing w:after="0"/>
        <w:jc w:val="both"/>
      </w:pPr>
      <w:r w:rsidRPr="004A7593">
        <w:t>kërkojnë nga operatorët ekonomikë dokumentacionin e nevojshëm, specifikimet teknike, të dhënat ose informacionin mbi përputhshmërinë dhe aspektet teknike të produktit, përfshirë aksesin në softuerin e integruar, në masën e nevojshme për të vlerësuar përputhshmërinë e produktit me rregullat teknike, në çfarëdo forme ose formati, pavarësisht nga mënyra e ruajtjes ose vendndodhja e tyre, dhe të marrin ose të bëjnë kopje;</w:t>
      </w:r>
    </w:p>
    <w:p w14:paraId="7F6127EB" w14:textId="77777777" w:rsidR="002B7D4A" w:rsidRPr="004A7593" w:rsidRDefault="002B7D4A" w:rsidP="006B49C5">
      <w:pPr>
        <w:numPr>
          <w:ilvl w:val="0"/>
          <w:numId w:val="45"/>
        </w:numPr>
        <w:shd w:val="clear" w:color="auto" w:fill="FFFFFF"/>
        <w:spacing w:after="0"/>
        <w:jc w:val="both"/>
      </w:pPr>
      <w:r w:rsidRPr="004A7593">
        <w:t>kërkojnë nga operatorët ekonomikë informacion mbi zinxhirin e furnizimit, rrjetin e shpërndarjes, sasinë e produkteve në treg dhe modelet e tjera të produkteve me karakteristika teknike të ngjashme, kur kjo është e nevojshme për vlerësimin e përputhshmërisë me rregullat teknike;</w:t>
      </w:r>
    </w:p>
    <w:p w14:paraId="4D456FAF" w14:textId="77777777" w:rsidR="002B7D4A" w:rsidRPr="004A7593" w:rsidRDefault="002B7D4A" w:rsidP="006B49C5">
      <w:pPr>
        <w:numPr>
          <w:ilvl w:val="0"/>
          <w:numId w:val="45"/>
        </w:numPr>
        <w:shd w:val="clear" w:color="auto" w:fill="FFFFFF"/>
        <w:spacing w:after="0"/>
        <w:jc w:val="both"/>
      </w:pPr>
      <w:r w:rsidRPr="004A7593">
        <w:t>kërkojnë nga operatorët ekonomikë informacionin e nevojshëm për përcaktimin e pronësisë së faqeve të internetit, kur ky informacion lidhet me objektin e mbikëqyrjes;</w:t>
      </w:r>
    </w:p>
    <w:p w14:paraId="7BDA7C97" w14:textId="77777777" w:rsidR="002B7D4A" w:rsidRPr="004A7593" w:rsidRDefault="002B7D4A" w:rsidP="00396614">
      <w:pPr>
        <w:shd w:val="clear" w:color="auto" w:fill="FFFFFF"/>
        <w:spacing w:after="0"/>
        <w:ind w:left="360"/>
        <w:jc w:val="both"/>
      </w:pPr>
      <w:r w:rsidRPr="004A7593">
        <w:t>ç)  kërkojnë nga prodhuesi informacion për produkte të tjera të prodhuara duke përdorur të njëjtën procedurë, që përmbajnë të njëjtët komponentë ose i përkasin të njëjtës seri prodhimi dhe që janë të ekspozuara ndaj të njëjtit rrezik, në rastet kur identifikohet një produkt i rrezikshëm;</w:t>
      </w:r>
    </w:p>
    <w:p w14:paraId="07EA9BE7" w14:textId="77777777" w:rsidR="002B7D4A" w:rsidRPr="004A7593" w:rsidRDefault="002B7D4A" w:rsidP="006B49C5">
      <w:pPr>
        <w:numPr>
          <w:ilvl w:val="0"/>
          <w:numId w:val="47"/>
        </w:numPr>
        <w:shd w:val="clear" w:color="auto" w:fill="FFFFFF"/>
        <w:spacing w:after="0"/>
        <w:jc w:val="both"/>
      </w:pPr>
      <w:bookmarkStart w:id="20" w:name="_Hlk192940731"/>
      <w:r w:rsidRPr="004A7593">
        <w:t>kryejnë kontrolle në terren dhe verifikime fizike të produkteve pa njoftim paraprak;</w:t>
      </w:r>
    </w:p>
    <w:p w14:paraId="4E6BA7E3" w14:textId="77777777" w:rsidR="002B7D4A" w:rsidRPr="004A7593" w:rsidRDefault="002B7D4A" w:rsidP="00396614">
      <w:pPr>
        <w:shd w:val="clear" w:color="auto" w:fill="FFFFFF"/>
        <w:spacing w:after="0"/>
        <w:ind w:left="360"/>
        <w:jc w:val="both"/>
      </w:pPr>
      <w:r w:rsidRPr="004A7593">
        <w:t xml:space="preserve">dh) hyjnë në ambientet tregtare dhe në mjetet e transportit të përdorura nga operatorët ekonomikë për qëllime tregtare ose profesionale, për të verifikuar mospërputhshmërinë e produkteve dhe për të marrë mostra ose prova; </w:t>
      </w:r>
    </w:p>
    <w:p w14:paraId="1314876F" w14:textId="77777777" w:rsidR="002B7D4A" w:rsidRPr="004A7593" w:rsidRDefault="002B7D4A" w:rsidP="006B49C5">
      <w:pPr>
        <w:numPr>
          <w:ilvl w:val="0"/>
          <w:numId w:val="48"/>
        </w:numPr>
        <w:shd w:val="clear" w:color="auto" w:fill="FFFFFF"/>
        <w:spacing w:after="0"/>
        <w:jc w:val="both"/>
      </w:pPr>
      <w:r w:rsidRPr="004A7593">
        <w:t>organizojnë kontrolle me iniciativë të tyre për të identifikuar dhe eliminuar mospërputhshmëritë;</w:t>
      </w:r>
    </w:p>
    <w:p w14:paraId="159C6A3E" w14:textId="77777777" w:rsidR="002B7D4A" w:rsidRPr="004A7593" w:rsidRDefault="002B7D4A" w:rsidP="00396614">
      <w:pPr>
        <w:shd w:val="clear" w:color="auto" w:fill="FFFFFF"/>
        <w:spacing w:after="0"/>
        <w:ind w:firstLine="360"/>
        <w:jc w:val="both"/>
      </w:pPr>
      <w:r w:rsidRPr="004A7593">
        <w:t>ë) urdhërojnë operatorët ekonomik për marrjen e  masave korrigjuese të përshtatshme për eliminimin e mospërputhshmërisë ose rrezikut;</w:t>
      </w:r>
    </w:p>
    <w:p w14:paraId="2CA499DA" w14:textId="77777777" w:rsidR="002B7D4A" w:rsidRPr="004A7593" w:rsidRDefault="002B7D4A" w:rsidP="006B49C5">
      <w:pPr>
        <w:numPr>
          <w:ilvl w:val="0"/>
          <w:numId w:val="46"/>
        </w:numPr>
        <w:shd w:val="clear" w:color="auto" w:fill="FFFFFF"/>
        <w:spacing w:after="0"/>
        <w:jc w:val="both"/>
      </w:pPr>
      <w:r w:rsidRPr="004A7593">
        <w:t>vendosin masa të përshtatshme, në rast se operatorët ekonomik nuk përmbushin detyrimet e përcaktuara në shkronjën ë), të pikës 2 të këtij neni, ose kur mos-përputhshmëria ose rreziku vazhdon të ekzistojë, përfshirë ndalimin, kufizimin e shpërndarjes së produktit në treg ose urdhërimin për kthimin e tij;</w:t>
      </w:r>
    </w:p>
    <w:p w14:paraId="41AF050E" w14:textId="77777777" w:rsidR="002B7D4A" w:rsidRPr="004A7593" w:rsidRDefault="002B7D4A" w:rsidP="006B49C5">
      <w:pPr>
        <w:numPr>
          <w:ilvl w:val="0"/>
          <w:numId w:val="46"/>
        </w:numPr>
        <w:shd w:val="clear" w:color="auto" w:fill="FFFFFF"/>
        <w:spacing w:after="0"/>
        <w:jc w:val="both"/>
      </w:pPr>
      <w:r w:rsidRPr="004A7593">
        <w:lastRenderedPageBreak/>
        <w:t xml:space="preserve">vendosin sanksionet e përshtatshme në rast kundërvajtje administrative, në përputhje me parashikimet e këtij ligji; </w:t>
      </w:r>
    </w:p>
    <w:p w14:paraId="7261C126" w14:textId="77777777" w:rsidR="002B7D4A" w:rsidRPr="004A7593" w:rsidRDefault="002B7D4A" w:rsidP="00396614">
      <w:pPr>
        <w:shd w:val="clear" w:color="auto" w:fill="FFFFFF"/>
        <w:spacing w:after="0"/>
        <w:ind w:firstLine="360"/>
        <w:jc w:val="both"/>
      </w:pPr>
      <w:r w:rsidRPr="004A7593">
        <w:t>gj) marrin mostra të produkteve dhe të kryejnë kontrolle, përfshirë nën një identitet të fshehtë, kur është e nevojshme për të konstatuar mospërputhshmërinë dhe për të mbledhur prova;</w:t>
      </w:r>
    </w:p>
    <w:p w14:paraId="2B3BD18E" w14:textId="77777777" w:rsidR="002B7D4A" w:rsidRPr="004A7593" w:rsidRDefault="002B7D4A" w:rsidP="006B49C5">
      <w:pPr>
        <w:numPr>
          <w:ilvl w:val="0"/>
          <w:numId w:val="49"/>
        </w:numPr>
        <w:shd w:val="clear" w:color="auto" w:fill="FFFFFF"/>
        <w:spacing w:after="0"/>
        <w:jc w:val="both"/>
      </w:pPr>
      <w:r w:rsidRPr="004A7593">
        <w:t xml:space="preserve">urdhërojnë heqjen e përmbajtjes që i referohet produktit nga një ndërfaqe online ose shfaqen e një paralajmërimi të qartë për përdoruesin e fundit për rrezikun që paraqet produkti, kur nuk ka mjete të tjera efektive për eliminimin e një rreziku serioz. Nëse kjo kërkesë nuk përmbushet, struktura përgjegjëse kërkon nga ofruesi i shërbimeve të shoqërisë së informacionit kufizimin e aksesit në ndërfaqen online. </w:t>
      </w:r>
    </w:p>
    <w:p w14:paraId="30E30D14" w14:textId="77777777" w:rsidR="002B7D4A" w:rsidRPr="004A7593" w:rsidRDefault="002B7D4A" w:rsidP="006B49C5">
      <w:pPr>
        <w:numPr>
          <w:ilvl w:val="0"/>
          <w:numId w:val="49"/>
        </w:numPr>
        <w:shd w:val="clear" w:color="auto" w:fill="FFFFFF"/>
        <w:spacing w:after="0"/>
        <w:jc w:val="both"/>
      </w:pPr>
      <w:r w:rsidRPr="004A7593">
        <w:t xml:space="preserve">marrin masa për të lajmëruar përdoruesit e fundit mbi rreziqet e identifikuara të një produkti, brenda një afati të arsyeshëm, me qëllim reduktimin e rrezikut të dëmtimeve; </w:t>
      </w:r>
    </w:p>
    <w:p w14:paraId="11797F9A" w14:textId="77777777" w:rsidR="002B7D4A" w:rsidRPr="004A7593" w:rsidRDefault="002B7D4A" w:rsidP="006B49C5">
      <w:pPr>
        <w:numPr>
          <w:ilvl w:val="0"/>
          <w:numId w:val="49"/>
        </w:numPr>
        <w:shd w:val="clear" w:color="auto" w:fill="FFFFFF"/>
        <w:spacing w:after="0"/>
        <w:jc w:val="both"/>
      </w:pPr>
      <w:r w:rsidRPr="004A7593">
        <w:t>shkatërrojnë ose bëjnë jofunksional produktin që paraqet rrezik serioz, kur kjo është e nevojshme.</w:t>
      </w:r>
    </w:p>
    <w:bookmarkEnd w:id="20"/>
    <w:p w14:paraId="7D20E76C" w14:textId="77777777" w:rsidR="002B7D4A" w:rsidRPr="004A7593" w:rsidRDefault="002B7D4A" w:rsidP="006B49C5">
      <w:pPr>
        <w:numPr>
          <w:ilvl w:val="0"/>
          <w:numId w:val="44"/>
        </w:numPr>
        <w:shd w:val="clear" w:color="auto" w:fill="FFFFFF"/>
        <w:spacing w:after="0"/>
        <w:jc w:val="both"/>
      </w:pPr>
      <w:r w:rsidRPr="004A7593">
        <w:t>Strukturat përgjegjëse mund të përdorin si provë çdo informacion, dokument, deklaratë ose të dhënë tjetër, për qëllime të kontrollit mbi produktet, pavarësisht nga formati dhe mënyra e ruajtjes së tyre.</w:t>
      </w:r>
    </w:p>
    <w:p w14:paraId="725B0814" w14:textId="77777777" w:rsidR="002B7D4A" w:rsidRPr="004A7593" w:rsidRDefault="002B7D4A" w:rsidP="006B49C5">
      <w:pPr>
        <w:numPr>
          <w:ilvl w:val="0"/>
          <w:numId w:val="44"/>
        </w:numPr>
        <w:shd w:val="clear" w:color="auto" w:fill="FFFFFF"/>
        <w:spacing w:after="0"/>
        <w:jc w:val="both"/>
      </w:pPr>
      <w:r w:rsidRPr="004A7593">
        <w:t xml:space="preserve">Strukturat përgjegjëse mund të marrin dokumentacionin dhe informacionin e përmendur në shkronjën a) dhe b) të pikës 2 të këtij neni, drejtpërdrejt nga sistemet elektronike të të dhënave publike, nëse kanë akses dhe informacioni është i disponueshëm. </w:t>
      </w:r>
    </w:p>
    <w:p w14:paraId="2951CC32" w14:textId="77777777" w:rsidR="002B7D4A" w:rsidRPr="004A7593" w:rsidRDefault="002B7D4A" w:rsidP="006B49C5">
      <w:pPr>
        <w:numPr>
          <w:ilvl w:val="0"/>
          <w:numId w:val="44"/>
        </w:numPr>
        <w:shd w:val="clear" w:color="auto" w:fill="FFFFFF"/>
        <w:spacing w:after="0"/>
        <w:jc w:val="both"/>
      </w:pPr>
      <w:r w:rsidRPr="004A7593">
        <w:t>Operatorët ekonomikë janë të detyruar të lejojnë hyrjen në ambientet e tyre tregtare, të paraqesin informacionin dhe dokumentacionin e kërkuar, si dhe të krijojnë kushte të përshtatshme për mbikëqyrjen nga struktura përgjegjëse.</w:t>
      </w:r>
    </w:p>
    <w:p w14:paraId="345E4F05" w14:textId="2F26BF02" w:rsidR="00F2547C" w:rsidRPr="004A7593" w:rsidRDefault="002B7D4A" w:rsidP="006B49C5">
      <w:pPr>
        <w:numPr>
          <w:ilvl w:val="0"/>
          <w:numId w:val="44"/>
        </w:numPr>
        <w:shd w:val="clear" w:color="auto" w:fill="FFFFFF"/>
        <w:spacing w:after="0"/>
        <w:jc w:val="both"/>
      </w:pPr>
      <w:r w:rsidRPr="004A7593">
        <w:t>Gjatë ushtrimit të funksioneve, struktura përgjegjëse mbështetet nga organet e Policisë së Shtetit, sipas kërkesës së saj</w:t>
      </w:r>
      <w:r w:rsidR="00F2547C" w:rsidRPr="004A7593">
        <w:t xml:space="preserve">.”. </w:t>
      </w:r>
    </w:p>
    <w:bookmarkEnd w:id="17"/>
    <w:bookmarkEnd w:id="18"/>
    <w:p w14:paraId="2C82CA10" w14:textId="77777777" w:rsidR="00E5411E" w:rsidRPr="004A7593" w:rsidRDefault="00E5411E" w:rsidP="00BF1273">
      <w:pPr>
        <w:shd w:val="clear" w:color="auto" w:fill="FFFFFF"/>
      </w:pPr>
    </w:p>
    <w:bookmarkEnd w:id="19"/>
    <w:p w14:paraId="0C6C3468" w14:textId="2251A11E" w:rsidR="009019F8" w:rsidRDefault="009019F8" w:rsidP="00BF1273">
      <w:pPr>
        <w:spacing w:after="0"/>
        <w:jc w:val="center"/>
        <w:rPr>
          <w:b/>
        </w:rPr>
      </w:pPr>
      <w:r w:rsidRPr="004A7593">
        <w:rPr>
          <w:b/>
        </w:rPr>
        <w:t xml:space="preserve">Neni </w:t>
      </w:r>
      <w:r w:rsidR="00F90683" w:rsidRPr="004A7593">
        <w:rPr>
          <w:b/>
        </w:rPr>
        <w:t>1</w:t>
      </w:r>
      <w:r w:rsidR="008478B6">
        <w:rPr>
          <w:b/>
        </w:rPr>
        <w:t>4</w:t>
      </w:r>
    </w:p>
    <w:p w14:paraId="25B8E127" w14:textId="77777777" w:rsidR="00772F42" w:rsidRPr="004A7593" w:rsidRDefault="00772F42" w:rsidP="00BF1273">
      <w:pPr>
        <w:spacing w:after="0"/>
        <w:jc w:val="center"/>
        <w:rPr>
          <w:b/>
        </w:rPr>
      </w:pPr>
    </w:p>
    <w:p w14:paraId="2E233A25" w14:textId="2268F802" w:rsidR="009019F8" w:rsidRPr="004A7593" w:rsidRDefault="009019F8" w:rsidP="00BF1273">
      <w:pPr>
        <w:shd w:val="clear" w:color="auto" w:fill="FFFFFF"/>
      </w:pPr>
      <w:r w:rsidRPr="004A7593">
        <w:t>Pas nenit 29</w:t>
      </w:r>
      <w:r w:rsidR="00E829BB" w:rsidRPr="004A7593">
        <w:t>,</w:t>
      </w:r>
      <w:r w:rsidRPr="004A7593">
        <w:t xml:space="preserve"> shtohen nenet  29/1 dhe 29/2 me përmbajtje</w:t>
      </w:r>
      <w:r w:rsidR="00E829BB" w:rsidRPr="004A7593">
        <w:t xml:space="preserve"> si vijon</w:t>
      </w:r>
      <w:r w:rsidRPr="004A7593">
        <w:t>:</w:t>
      </w:r>
    </w:p>
    <w:p w14:paraId="2C9C05B0" w14:textId="77777777" w:rsidR="00B04997" w:rsidRPr="004A7593" w:rsidRDefault="009019F8" w:rsidP="00396614">
      <w:pPr>
        <w:widowControl w:val="0"/>
        <w:shd w:val="clear" w:color="auto" w:fill="FFFFFF"/>
        <w:tabs>
          <w:tab w:val="left" w:pos="979"/>
        </w:tabs>
        <w:autoSpaceDE w:val="0"/>
        <w:autoSpaceDN w:val="0"/>
        <w:adjustRightInd w:val="0"/>
        <w:spacing w:after="0"/>
        <w:jc w:val="center"/>
        <w:rPr>
          <w:b/>
          <w:bCs/>
          <w:lang w:val="it-IT"/>
        </w:rPr>
      </w:pPr>
      <w:bookmarkStart w:id="21" w:name="_Hlk190864162"/>
      <w:r w:rsidRPr="004A7593">
        <w:rPr>
          <w:b/>
          <w:bCs/>
        </w:rPr>
        <w:t>“</w:t>
      </w:r>
      <w:r w:rsidR="00B04997" w:rsidRPr="004A7593">
        <w:rPr>
          <w:b/>
          <w:bCs/>
          <w:lang w:val="it-IT"/>
        </w:rPr>
        <w:t>Neni 29/1</w:t>
      </w:r>
    </w:p>
    <w:p w14:paraId="7892FE7C" w14:textId="77777777" w:rsidR="00B04997" w:rsidRPr="004A7593" w:rsidRDefault="00B04997" w:rsidP="00396614">
      <w:pPr>
        <w:widowControl w:val="0"/>
        <w:shd w:val="clear" w:color="auto" w:fill="FFFFFF"/>
        <w:tabs>
          <w:tab w:val="left" w:pos="979"/>
        </w:tabs>
        <w:autoSpaceDE w:val="0"/>
        <w:autoSpaceDN w:val="0"/>
        <w:adjustRightInd w:val="0"/>
        <w:spacing w:after="0"/>
        <w:jc w:val="center"/>
        <w:rPr>
          <w:b/>
          <w:bCs/>
          <w:lang w:val="it-IT"/>
        </w:rPr>
      </w:pPr>
      <w:r w:rsidRPr="004A7593">
        <w:rPr>
          <w:b/>
          <w:bCs/>
          <w:lang w:val="it-IT"/>
        </w:rPr>
        <w:t>Masat për mbikëqyrjen e tregut</w:t>
      </w:r>
    </w:p>
    <w:p w14:paraId="3A39DB2D" w14:textId="77777777" w:rsidR="00B04997" w:rsidRPr="004A7593" w:rsidRDefault="00B04997" w:rsidP="00396614">
      <w:pPr>
        <w:widowControl w:val="0"/>
        <w:shd w:val="clear" w:color="auto" w:fill="FFFFFF"/>
        <w:tabs>
          <w:tab w:val="left" w:pos="979"/>
        </w:tabs>
        <w:autoSpaceDE w:val="0"/>
        <w:autoSpaceDN w:val="0"/>
        <w:adjustRightInd w:val="0"/>
        <w:spacing w:after="0"/>
        <w:jc w:val="both"/>
        <w:rPr>
          <w:lang w:val="it-IT"/>
        </w:rPr>
      </w:pPr>
      <w:r w:rsidRPr="004A7593">
        <w:rPr>
          <w:lang w:val="it-IT"/>
        </w:rPr>
        <w:br/>
        <w:t xml:space="preserve">1. </w:t>
      </w:r>
      <w:r w:rsidRPr="004A7593">
        <w:rPr>
          <w:lang w:val="it-IT"/>
        </w:rPr>
        <w:tab/>
        <w:t>Struktura përgjegjëse merr masat e nevojshme nëse konstaton se një produkt, kur përdoret në përputhje me qëllimin e tij ose në kushte të parashikueshme në mënyrë të arsyeshme dhe kur është instaluar dhe mirëmbajtur siç duhet:</w:t>
      </w:r>
    </w:p>
    <w:p w14:paraId="589A1833" w14:textId="77777777" w:rsidR="00B04997" w:rsidRPr="004A7593" w:rsidRDefault="00B04997" w:rsidP="006B49C5">
      <w:pPr>
        <w:widowControl w:val="0"/>
        <w:numPr>
          <w:ilvl w:val="0"/>
          <w:numId w:val="50"/>
        </w:numPr>
        <w:shd w:val="clear" w:color="auto" w:fill="FFFFFF"/>
        <w:tabs>
          <w:tab w:val="left" w:pos="979"/>
        </w:tabs>
        <w:autoSpaceDE w:val="0"/>
        <w:autoSpaceDN w:val="0"/>
        <w:adjustRightInd w:val="0"/>
        <w:spacing w:after="0"/>
        <w:jc w:val="both"/>
        <w:rPr>
          <w:lang w:val="it-IT"/>
        </w:rPr>
      </w:pPr>
      <w:r w:rsidRPr="004A7593">
        <w:rPr>
          <w:lang w:val="it-IT"/>
        </w:rPr>
        <w:t>mund të rrezikojë shëndetin ose sigurinë e përdoruesve të fundit; ose</w:t>
      </w:r>
    </w:p>
    <w:p w14:paraId="2A9F47FA" w14:textId="77777777" w:rsidR="00B04997" w:rsidRPr="004A7593" w:rsidRDefault="00B04997" w:rsidP="006B49C5">
      <w:pPr>
        <w:widowControl w:val="0"/>
        <w:numPr>
          <w:ilvl w:val="0"/>
          <w:numId w:val="50"/>
        </w:numPr>
        <w:shd w:val="clear" w:color="auto" w:fill="FFFFFF"/>
        <w:tabs>
          <w:tab w:val="left" w:pos="979"/>
        </w:tabs>
        <w:autoSpaceDE w:val="0"/>
        <w:autoSpaceDN w:val="0"/>
        <w:adjustRightInd w:val="0"/>
        <w:spacing w:after="0"/>
        <w:jc w:val="both"/>
        <w:rPr>
          <w:lang w:val="it-IT"/>
        </w:rPr>
      </w:pPr>
      <w:r w:rsidRPr="004A7593">
        <w:rPr>
          <w:lang w:val="it-IT"/>
        </w:rPr>
        <w:t xml:space="preserve">nuk është në përputhje me legjislacionin e zbatueshëm. </w:t>
      </w:r>
    </w:p>
    <w:p w14:paraId="3B99076E" w14:textId="77777777" w:rsidR="00B04997" w:rsidRPr="004A7593" w:rsidRDefault="00B04997" w:rsidP="006B49C5">
      <w:pPr>
        <w:widowControl w:val="0"/>
        <w:numPr>
          <w:ilvl w:val="0"/>
          <w:numId w:val="51"/>
        </w:numPr>
        <w:shd w:val="clear" w:color="auto" w:fill="FFFFFF"/>
        <w:tabs>
          <w:tab w:val="left" w:pos="979"/>
        </w:tabs>
        <w:autoSpaceDE w:val="0"/>
        <w:autoSpaceDN w:val="0"/>
        <w:adjustRightInd w:val="0"/>
        <w:spacing w:after="0"/>
        <w:jc w:val="both"/>
        <w:rPr>
          <w:lang w:val="it-IT"/>
        </w:rPr>
      </w:pPr>
      <w:r w:rsidRPr="004A7593">
        <w:rPr>
          <w:lang w:val="it-IT"/>
        </w:rPr>
        <w:t xml:space="preserve">Kur konstaton situatat e parashikuara në pikën 1 të këtij neni, struktura përgjegjëse urdhëron menjëherë operatorin ekonomik për marrjen e masave korrigjuese të përshtatshme dhe proporcionale për të eliminuar mospërputhshmërinë ose rrezikun që paraqet produkti, brenda një </w:t>
      </w:r>
      <w:r w:rsidRPr="004A7593">
        <w:rPr>
          <w:lang w:val="it-IT"/>
        </w:rPr>
        <w:lastRenderedPageBreak/>
        <w:t>afati të arsyeshëm të caktuar prej saj.</w:t>
      </w:r>
    </w:p>
    <w:p w14:paraId="79210133" w14:textId="77777777" w:rsidR="008149FC" w:rsidRDefault="00B04997" w:rsidP="006B49C5">
      <w:pPr>
        <w:widowControl w:val="0"/>
        <w:numPr>
          <w:ilvl w:val="0"/>
          <w:numId w:val="51"/>
        </w:numPr>
        <w:shd w:val="clear" w:color="auto" w:fill="FFFFFF"/>
        <w:tabs>
          <w:tab w:val="left" w:pos="984"/>
        </w:tabs>
        <w:autoSpaceDE w:val="0"/>
        <w:autoSpaceDN w:val="0"/>
        <w:adjustRightInd w:val="0"/>
        <w:spacing w:after="0"/>
        <w:jc w:val="both"/>
        <w:rPr>
          <w:lang w:val="it-IT"/>
        </w:rPr>
      </w:pPr>
      <w:r w:rsidRPr="004A7593">
        <w:rPr>
          <w:lang w:val="it-IT"/>
        </w:rPr>
        <w:t xml:space="preserve">Operatori ekonomik është i detyruar të njoftojë për zbatimin e masave korrigjuese brenda afatit të përcaktuar dhe, nëse kërkohet nga struktura përgjegjëse, të paraqesë provat përkatëse që vërtetojnë këtë fakt. Për verifikimin e zbatimit të masave korrigjuese, struktura përgjegjëse mund të kryejë një inspektim të ri. </w:t>
      </w:r>
    </w:p>
    <w:p w14:paraId="4C4A5B16" w14:textId="2AF0F62E" w:rsidR="00B04997" w:rsidRPr="008149FC" w:rsidRDefault="00B04997" w:rsidP="006B49C5">
      <w:pPr>
        <w:widowControl w:val="0"/>
        <w:numPr>
          <w:ilvl w:val="0"/>
          <w:numId w:val="51"/>
        </w:numPr>
        <w:shd w:val="clear" w:color="auto" w:fill="FFFFFF"/>
        <w:tabs>
          <w:tab w:val="left" w:pos="984"/>
        </w:tabs>
        <w:autoSpaceDE w:val="0"/>
        <w:autoSpaceDN w:val="0"/>
        <w:adjustRightInd w:val="0"/>
        <w:spacing w:after="0"/>
        <w:jc w:val="both"/>
        <w:rPr>
          <w:lang w:val="it-IT"/>
        </w:rPr>
      </w:pPr>
      <w:r w:rsidRPr="008149FC">
        <w:rPr>
          <w:lang w:val="it-IT"/>
        </w:rPr>
        <w:t xml:space="preserve">Nëse operatori ekonomik nuk zbaton masat korrigjuese sipas pikës 2 të këtij neni, ose kur mospërputhshmëria ose rreziku vazhdon, </w:t>
      </w:r>
      <w:r w:rsidR="008149FC" w:rsidRPr="008149FC">
        <w:rPr>
          <w:lang w:val="it-IT"/>
        </w:rPr>
        <w:t>struktura përgjegjëse merr masat e nevojshme në përputhje me parashikimet e nenit 30 të këtij ligji</w:t>
      </w:r>
      <w:r w:rsidRPr="008149FC">
        <w:rPr>
          <w:lang w:val="it-IT"/>
        </w:rPr>
        <w:t>.</w:t>
      </w:r>
    </w:p>
    <w:p w14:paraId="5B95373A" w14:textId="77777777" w:rsidR="00B04997" w:rsidRPr="004A7593" w:rsidRDefault="00B04997" w:rsidP="006B49C5">
      <w:pPr>
        <w:widowControl w:val="0"/>
        <w:numPr>
          <w:ilvl w:val="0"/>
          <w:numId w:val="51"/>
        </w:numPr>
        <w:shd w:val="clear" w:color="auto" w:fill="FFFFFF"/>
        <w:tabs>
          <w:tab w:val="left" w:pos="984"/>
        </w:tabs>
        <w:autoSpaceDE w:val="0"/>
        <w:autoSpaceDN w:val="0"/>
        <w:adjustRightInd w:val="0"/>
        <w:spacing w:after="0"/>
        <w:jc w:val="both"/>
        <w:rPr>
          <w:lang w:val="it-IT"/>
        </w:rPr>
      </w:pPr>
      <w:r w:rsidRPr="004A7593">
        <w:rPr>
          <w:lang w:val="it-IT"/>
        </w:rPr>
        <w:t xml:space="preserve">Struktura përgjegjëse bashkëpunon me operatorin ekonomik për marrjen e masave dhe veprimeve që synojnë parandalimin ose reduktimin e rreziqeve që rrjedhin nga bërja e disponueshme e produktit në treg. </w:t>
      </w:r>
    </w:p>
    <w:p w14:paraId="3BF17E99" w14:textId="77777777" w:rsidR="003533F0" w:rsidRDefault="003533F0" w:rsidP="00772F42">
      <w:pPr>
        <w:widowControl w:val="0"/>
        <w:shd w:val="clear" w:color="auto" w:fill="FFFFFF"/>
        <w:tabs>
          <w:tab w:val="left" w:pos="979"/>
        </w:tabs>
        <w:autoSpaceDE w:val="0"/>
        <w:autoSpaceDN w:val="0"/>
        <w:adjustRightInd w:val="0"/>
        <w:spacing w:after="0"/>
        <w:jc w:val="center"/>
        <w:rPr>
          <w:b/>
          <w:bCs/>
          <w:lang w:val="it-IT"/>
        </w:rPr>
      </w:pPr>
    </w:p>
    <w:p w14:paraId="42B4859D" w14:textId="365A295C" w:rsidR="00B04997" w:rsidRPr="004A7593" w:rsidRDefault="00B04997" w:rsidP="00772F42">
      <w:pPr>
        <w:widowControl w:val="0"/>
        <w:shd w:val="clear" w:color="auto" w:fill="FFFFFF"/>
        <w:tabs>
          <w:tab w:val="left" w:pos="979"/>
        </w:tabs>
        <w:autoSpaceDE w:val="0"/>
        <w:autoSpaceDN w:val="0"/>
        <w:adjustRightInd w:val="0"/>
        <w:spacing w:after="0"/>
        <w:jc w:val="center"/>
        <w:rPr>
          <w:b/>
          <w:bCs/>
          <w:lang w:val="it-IT"/>
        </w:rPr>
      </w:pPr>
      <w:r w:rsidRPr="004A7593">
        <w:rPr>
          <w:b/>
          <w:bCs/>
          <w:lang w:val="it-IT"/>
        </w:rPr>
        <w:t>Neni 29/2</w:t>
      </w:r>
    </w:p>
    <w:p w14:paraId="2276B240" w14:textId="77777777" w:rsidR="00B04997" w:rsidRPr="004A7593" w:rsidRDefault="00B04997" w:rsidP="00772F42">
      <w:pPr>
        <w:widowControl w:val="0"/>
        <w:shd w:val="clear" w:color="auto" w:fill="FFFFFF"/>
        <w:tabs>
          <w:tab w:val="left" w:pos="979"/>
        </w:tabs>
        <w:autoSpaceDE w:val="0"/>
        <w:autoSpaceDN w:val="0"/>
        <w:adjustRightInd w:val="0"/>
        <w:spacing w:after="0"/>
        <w:jc w:val="center"/>
        <w:rPr>
          <w:b/>
          <w:bCs/>
          <w:lang w:val="it-IT"/>
        </w:rPr>
      </w:pPr>
      <w:r w:rsidRPr="004A7593">
        <w:rPr>
          <w:b/>
          <w:bCs/>
          <w:lang w:val="it-IT"/>
        </w:rPr>
        <w:t>Masat korrigjuese të zbatuara nga operatori ekonomik</w:t>
      </w:r>
    </w:p>
    <w:p w14:paraId="3EA10F67" w14:textId="77777777" w:rsidR="00B04997" w:rsidRPr="004A7593" w:rsidRDefault="00B04997" w:rsidP="00772F42">
      <w:pPr>
        <w:widowControl w:val="0"/>
        <w:shd w:val="clear" w:color="auto" w:fill="FFFFFF"/>
        <w:tabs>
          <w:tab w:val="left" w:pos="979"/>
        </w:tabs>
        <w:autoSpaceDE w:val="0"/>
        <w:autoSpaceDN w:val="0"/>
        <w:adjustRightInd w:val="0"/>
        <w:spacing w:after="0"/>
        <w:jc w:val="both"/>
        <w:rPr>
          <w:lang w:val="it-IT"/>
        </w:rPr>
      </w:pPr>
      <w:r w:rsidRPr="004A7593">
        <w:rPr>
          <w:lang w:val="it-IT"/>
        </w:rPr>
        <w:t>1. Operatori ekonomik zbaton masat korrigjuese të urdhëruara nga struktura përgjegjëse, të cilat mund të përfshijnë:</w:t>
      </w:r>
    </w:p>
    <w:p w14:paraId="43D8A734"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a) përshtatjen e produktit për të eliminuar mospërputhshmërinë ose për të siguruar që ai të mos paraqesë më rrezik;</w:t>
      </w:r>
    </w:p>
    <w:p w14:paraId="699345FD"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b) parandalimin e bërjes së disponueshme të produktit në treg;</w:t>
      </w:r>
    </w:p>
    <w:p w14:paraId="51F0DB6B"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c) kthimin e menjëhershëm të produktit nga tregu dhe paralajmërimin e publikut për rrezikun që ai paraqet;</w:t>
      </w:r>
    </w:p>
    <w:p w14:paraId="201E6FEA"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ç) shkatërrimin ose bërjen jofunksional të produktit;</w:t>
      </w:r>
    </w:p>
    <w:p w14:paraId="4AB827E4"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d) vendosjen në produkt të paralajmërimeve të përshtatshme, të qarta dhe lehtësisht të kuptueshme në gjuhën shqipe për rreziqet që ai mund të paraqesë;</w:t>
      </w:r>
    </w:p>
    <w:p w14:paraId="15DF4566"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 xml:space="preserve">dh) përcaktimin e kushteve paraprake për bërjen </w:t>
      </w:r>
      <w:bookmarkStart w:id="22" w:name="_Hlk192948144"/>
      <w:r w:rsidRPr="004A7593">
        <w:rPr>
          <w:lang w:val="it-IT"/>
        </w:rPr>
        <w:t>e produktit të disponueshëm në treg</w:t>
      </w:r>
      <w:bookmarkEnd w:id="22"/>
      <w:r w:rsidRPr="004A7593">
        <w:rPr>
          <w:lang w:val="it-IT"/>
        </w:rPr>
        <w:t>;</w:t>
      </w:r>
    </w:p>
    <w:p w14:paraId="31761F4A" w14:textId="77777777" w:rsidR="00B04997" w:rsidRPr="004A7593" w:rsidRDefault="00B04997" w:rsidP="00B04997">
      <w:pPr>
        <w:widowControl w:val="0"/>
        <w:shd w:val="clear" w:color="auto" w:fill="FFFFFF"/>
        <w:tabs>
          <w:tab w:val="left" w:pos="974"/>
        </w:tabs>
        <w:autoSpaceDE w:val="0"/>
        <w:autoSpaceDN w:val="0"/>
        <w:adjustRightInd w:val="0"/>
        <w:spacing w:after="0"/>
        <w:jc w:val="both"/>
        <w:rPr>
          <w:lang w:val="it-IT"/>
        </w:rPr>
      </w:pPr>
      <w:r w:rsidRPr="004A7593">
        <w:rPr>
          <w:lang w:val="it-IT"/>
        </w:rPr>
        <w:t xml:space="preserve">e) njoftimin e menjëhershëm të përdoruesve të fundit për rreziqet, </w:t>
      </w:r>
      <w:bookmarkStart w:id="23" w:name="_Hlk192948857"/>
      <w:r w:rsidRPr="004A7593">
        <w:rPr>
          <w:lang w:val="it-IT"/>
        </w:rPr>
        <w:t>në një formë të përshtatshme</w:t>
      </w:r>
      <w:bookmarkEnd w:id="23"/>
      <w:r w:rsidRPr="004A7593">
        <w:rPr>
          <w:lang w:val="it-IT"/>
        </w:rPr>
        <w:t>, duke përfshirë publikimin e njoftimeve të veçanta në gjuhën shqipe;</w:t>
      </w:r>
    </w:p>
    <w:p w14:paraId="1B9B2D6E"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r w:rsidRPr="004A7593">
        <w:rPr>
          <w:lang w:val="it-IT"/>
        </w:rPr>
        <w:t xml:space="preserve">ë) çdo masë tjetër të nevojshme për të eliminuar ose reduktuar rrezikun dhe për të siguruar përputhshmërinë e produktit me kërkesat e legjislacionit të zbatueshëm.  </w:t>
      </w:r>
    </w:p>
    <w:p w14:paraId="6316A04E" w14:textId="0B84D19B" w:rsidR="009019F8" w:rsidRPr="004A7593" w:rsidRDefault="00B04997" w:rsidP="00B04997">
      <w:pPr>
        <w:widowControl w:val="0"/>
        <w:shd w:val="clear" w:color="auto" w:fill="FFFFFF"/>
        <w:tabs>
          <w:tab w:val="left" w:pos="979"/>
        </w:tabs>
        <w:autoSpaceDE w:val="0"/>
        <w:autoSpaceDN w:val="0"/>
        <w:adjustRightInd w:val="0"/>
        <w:spacing w:after="0"/>
        <w:jc w:val="both"/>
      </w:pPr>
      <w:bookmarkStart w:id="24" w:name="_Hlk192949490"/>
      <w:r w:rsidRPr="004A7593">
        <w:rPr>
          <w:lang w:val="it-IT"/>
        </w:rPr>
        <w:t>2. Masat korrigjuese të parashikuara në shkronjat d), dh) dhe e) të pikës 1 të këtij neni mund të kërkohen vetëm nëse produkti mund të paraqesë rrezik në kushte të caktuara ose për kategori të caktuara përdoruesish të fundit</w:t>
      </w:r>
      <w:bookmarkEnd w:id="24"/>
      <w:r w:rsidR="009019F8" w:rsidRPr="004A7593">
        <w:t xml:space="preserve">.”. </w:t>
      </w:r>
    </w:p>
    <w:p w14:paraId="0169DB9D" w14:textId="77777777" w:rsidR="00B04997" w:rsidRPr="004A7593" w:rsidRDefault="00B04997" w:rsidP="00B04997">
      <w:pPr>
        <w:widowControl w:val="0"/>
        <w:shd w:val="clear" w:color="auto" w:fill="FFFFFF"/>
        <w:tabs>
          <w:tab w:val="left" w:pos="979"/>
        </w:tabs>
        <w:autoSpaceDE w:val="0"/>
        <w:autoSpaceDN w:val="0"/>
        <w:adjustRightInd w:val="0"/>
        <w:spacing w:after="0"/>
        <w:jc w:val="both"/>
        <w:rPr>
          <w:lang w:val="it-IT"/>
        </w:rPr>
      </w:pPr>
    </w:p>
    <w:bookmarkEnd w:id="21"/>
    <w:p w14:paraId="38462B1A" w14:textId="567DBC39" w:rsidR="00CA36BD" w:rsidRDefault="00CA36BD" w:rsidP="00BF1273">
      <w:pPr>
        <w:spacing w:after="0"/>
        <w:jc w:val="center"/>
        <w:rPr>
          <w:b/>
        </w:rPr>
      </w:pPr>
      <w:r w:rsidRPr="004A7593">
        <w:rPr>
          <w:b/>
        </w:rPr>
        <w:t xml:space="preserve">Neni </w:t>
      </w:r>
      <w:r w:rsidR="00F90683" w:rsidRPr="004A7593">
        <w:rPr>
          <w:b/>
        </w:rPr>
        <w:t>1</w:t>
      </w:r>
      <w:r w:rsidR="008478B6">
        <w:rPr>
          <w:b/>
        </w:rPr>
        <w:t>5</w:t>
      </w:r>
    </w:p>
    <w:p w14:paraId="6AF3B3AE" w14:textId="77777777" w:rsidR="003533F0" w:rsidRPr="004A7593" w:rsidRDefault="003533F0" w:rsidP="00BF1273">
      <w:pPr>
        <w:spacing w:after="0"/>
        <w:jc w:val="center"/>
        <w:rPr>
          <w:b/>
        </w:rPr>
      </w:pPr>
    </w:p>
    <w:p w14:paraId="76F05271" w14:textId="1BAF06BD" w:rsidR="00CA36BD" w:rsidRPr="004A7593" w:rsidRDefault="00CA36BD" w:rsidP="00BF1273">
      <w:pPr>
        <w:shd w:val="clear" w:color="auto" w:fill="FFFFFF"/>
        <w:jc w:val="both"/>
      </w:pPr>
      <w:r w:rsidRPr="004A7593">
        <w:t>Neni 30 “Ndalimi i tregtimit” ndryshohet si më poshtë:</w:t>
      </w:r>
    </w:p>
    <w:p w14:paraId="36588216" w14:textId="28A5BA47" w:rsidR="00CA36BD" w:rsidRPr="004A7593" w:rsidRDefault="00CC5018" w:rsidP="00BF1273">
      <w:pPr>
        <w:widowControl w:val="0"/>
        <w:shd w:val="clear" w:color="auto" w:fill="FFFFFF"/>
        <w:tabs>
          <w:tab w:val="left" w:pos="979"/>
        </w:tabs>
        <w:autoSpaceDE w:val="0"/>
        <w:autoSpaceDN w:val="0"/>
        <w:adjustRightInd w:val="0"/>
        <w:spacing w:after="0"/>
        <w:jc w:val="center"/>
        <w:rPr>
          <w:b/>
          <w:bCs/>
        </w:rPr>
      </w:pPr>
      <w:bookmarkStart w:id="25" w:name="_Hlk190872653"/>
      <w:r w:rsidRPr="004A7593">
        <w:rPr>
          <w:b/>
          <w:bCs/>
        </w:rPr>
        <w:t>“</w:t>
      </w:r>
      <w:r w:rsidR="00CA36BD" w:rsidRPr="004A7593">
        <w:rPr>
          <w:b/>
          <w:bCs/>
        </w:rPr>
        <w:t>Neni 30</w:t>
      </w:r>
    </w:p>
    <w:p w14:paraId="56AB652A" w14:textId="78E39928" w:rsidR="001823DB" w:rsidRDefault="00CA36BD" w:rsidP="001823DB">
      <w:pPr>
        <w:widowControl w:val="0"/>
        <w:shd w:val="clear" w:color="auto" w:fill="FFFFFF"/>
        <w:tabs>
          <w:tab w:val="left" w:pos="979"/>
        </w:tabs>
        <w:autoSpaceDE w:val="0"/>
        <w:autoSpaceDN w:val="0"/>
        <w:adjustRightInd w:val="0"/>
        <w:spacing w:after="0"/>
        <w:ind w:left="720"/>
        <w:jc w:val="center"/>
        <w:rPr>
          <w:b/>
          <w:bCs/>
        </w:rPr>
      </w:pPr>
      <w:r w:rsidRPr="004A7593">
        <w:rPr>
          <w:b/>
          <w:bCs/>
        </w:rPr>
        <w:t xml:space="preserve">Masa të </w:t>
      </w:r>
      <w:r w:rsidR="00695736" w:rsidRPr="004A7593">
        <w:rPr>
          <w:b/>
          <w:bCs/>
        </w:rPr>
        <w:t>marra</w:t>
      </w:r>
      <w:r w:rsidRPr="004A7593">
        <w:rPr>
          <w:b/>
          <w:bCs/>
        </w:rPr>
        <w:t xml:space="preserve"> nga struktura përgjegjëse </w:t>
      </w:r>
    </w:p>
    <w:p w14:paraId="4E778353" w14:textId="77777777" w:rsidR="003E7D68" w:rsidRPr="004A7593" w:rsidRDefault="003E7D68" w:rsidP="001823DB">
      <w:pPr>
        <w:widowControl w:val="0"/>
        <w:shd w:val="clear" w:color="auto" w:fill="FFFFFF"/>
        <w:tabs>
          <w:tab w:val="left" w:pos="979"/>
        </w:tabs>
        <w:autoSpaceDE w:val="0"/>
        <w:autoSpaceDN w:val="0"/>
        <w:adjustRightInd w:val="0"/>
        <w:spacing w:after="0"/>
        <w:ind w:left="720"/>
        <w:jc w:val="center"/>
        <w:rPr>
          <w:b/>
          <w:bCs/>
        </w:rPr>
      </w:pPr>
    </w:p>
    <w:p w14:paraId="162B9446" w14:textId="77777777" w:rsidR="00B04997" w:rsidRPr="00396614" w:rsidRDefault="00B04997" w:rsidP="006B49C5">
      <w:pPr>
        <w:pStyle w:val="ListParagraph"/>
        <w:numPr>
          <w:ilvl w:val="0"/>
          <w:numId w:val="34"/>
        </w:numPr>
        <w:spacing w:after="0"/>
        <w:jc w:val="both"/>
      </w:pPr>
      <w:r w:rsidRPr="00396614">
        <w:lastRenderedPageBreak/>
        <w:t>Kur operatori ekonomik nuk zbaton masat korrigjuese, sipas parashikimeve të nenit 29/2 të këtij ligji, ose kur masat e marra nuk eliminojnë mospërputhshmërinë apo rrezikun, struktura përgjegjëse ndalon përkohësisht bërjen e disponueshme të produktit në treg dhe/ose urdhëron kthimin e tij nga tregu.</w:t>
      </w:r>
    </w:p>
    <w:p w14:paraId="20E40F48" w14:textId="77777777" w:rsidR="00B04997" w:rsidRPr="00396614" w:rsidRDefault="00B04997" w:rsidP="006B49C5">
      <w:pPr>
        <w:pStyle w:val="ListParagraph"/>
        <w:numPr>
          <w:ilvl w:val="0"/>
          <w:numId w:val="34"/>
        </w:numPr>
        <w:spacing w:after="0"/>
        <w:jc w:val="both"/>
      </w:pPr>
      <w:r w:rsidRPr="004A7593">
        <w:t>Në rastet e përcaktuara në pikën 1 të këtij neni, struktura përgjegjëse mund të urdhërojë operatorin ekonomik për të marrë një ose më shumë nga masat e mëposhtme brenda një afati të arsyeshëm caktuar prej saj</w:t>
      </w:r>
      <w:r w:rsidRPr="00396614">
        <w:t>:</w:t>
      </w:r>
    </w:p>
    <w:p w14:paraId="682B0C6E" w14:textId="77777777" w:rsidR="00B04997" w:rsidRPr="00396614" w:rsidRDefault="00B04997" w:rsidP="006B49C5">
      <w:pPr>
        <w:pStyle w:val="ListParagraph"/>
        <w:numPr>
          <w:ilvl w:val="0"/>
          <w:numId w:val="35"/>
        </w:numPr>
        <w:spacing w:after="0"/>
        <w:jc w:val="both"/>
      </w:pPr>
      <w:r w:rsidRPr="004A7593">
        <w:t>P</w:t>
      </w:r>
      <w:r w:rsidRPr="00396614">
        <w:t>ër produktin që nuk përputhet me rregullat teknike të zbatueshme, struktura përgjegjëse urdhëron:</w:t>
      </w:r>
    </w:p>
    <w:p w14:paraId="5688B88B" w14:textId="77777777" w:rsidR="00B04997" w:rsidRPr="004A7593" w:rsidRDefault="00B04997" w:rsidP="006B49C5">
      <w:pPr>
        <w:pStyle w:val="ListParagraph"/>
        <w:numPr>
          <w:ilvl w:val="2"/>
          <w:numId w:val="36"/>
        </w:numPr>
        <w:spacing w:after="0"/>
        <w:jc w:val="both"/>
        <w:rPr>
          <w:lang w:val="it-IT"/>
        </w:rPr>
      </w:pPr>
      <w:r w:rsidRPr="004A7593">
        <w:rPr>
          <w:lang w:val="it-IT"/>
        </w:rPr>
        <w:t>eliminimin e mos-përputhshmërive të konstatuara;</w:t>
      </w:r>
    </w:p>
    <w:p w14:paraId="561C8B81" w14:textId="77777777" w:rsidR="00B04997" w:rsidRPr="004A7593" w:rsidRDefault="00B04997" w:rsidP="006B49C5">
      <w:pPr>
        <w:pStyle w:val="ListParagraph"/>
        <w:numPr>
          <w:ilvl w:val="2"/>
          <w:numId w:val="36"/>
        </w:numPr>
        <w:spacing w:after="0"/>
        <w:jc w:val="both"/>
        <w:rPr>
          <w:lang w:val="it-IT"/>
        </w:rPr>
      </w:pPr>
      <w:r w:rsidRPr="004A7593">
        <w:rPr>
          <w:lang w:val="it-IT"/>
        </w:rPr>
        <w:t xml:space="preserve">vendosjen e markimit të konformitetit ose heqjen e markimit të paligjshëm; </w:t>
      </w:r>
    </w:p>
    <w:p w14:paraId="2020B9FE" w14:textId="77777777" w:rsidR="00B04997" w:rsidRPr="004A7593" w:rsidRDefault="00B04997" w:rsidP="006B49C5">
      <w:pPr>
        <w:pStyle w:val="ListParagraph"/>
        <w:numPr>
          <w:ilvl w:val="2"/>
          <w:numId w:val="36"/>
        </w:numPr>
        <w:spacing w:after="0"/>
        <w:jc w:val="both"/>
        <w:rPr>
          <w:lang w:val="it-IT"/>
        </w:rPr>
      </w:pPr>
      <w:r w:rsidRPr="004A7593">
        <w:rPr>
          <w:lang w:val="it-IT"/>
        </w:rPr>
        <w:t>plotësimin e dokumentacionit të kërkuar sipas legjislacionit të zbatueshëm;</w:t>
      </w:r>
    </w:p>
    <w:p w14:paraId="228C0EDB" w14:textId="77777777" w:rsidR="00B04997" w:rsidRPr="004A7593" w:rsidRDefault="00B04997" w:rsidP="006B49C5">
      <w:pPr>
        <w:pStyle w:val="ListParagraph"/>
        <w:numPr>
          <w:ilvl w:val="2"/>
          <w:numId w:val="36"/>
        </w:numPr>
        <w:spacing w:after="0"/>
        <w:jc w:val="both"/>
        <w:rPr>
          <w:lang w:val="it-IT"/>
        </w:rPr>
      </w:pPr>
      <w:r w:rsidRPr="004A7593">
        <w:rPr>
          <w:lang w:val="it-IT"/>
        </w:rPr>
        <w:t>marrjen e masave për të siguruar që kushtet e magazinimit dhe transportit të produktit nuk cenojnë përputhshmërinë e tij me kërkesat e legjislacionit të zbatueshëm;</w:t>
      </w:r>
    </w:p>
    <w:p w14:paraId="7222A945" w14:textId="77777777" w:rsidR="00B04997" w:rsidRPr="004A7593" w:rsidRDefault="00B04997" w:rsidP="006B49C5">
      <w:pPr>
        <w:pStyle w:val="ListParagraph"/>
        <w:numPr>
          <w:ilvl w:val="0"/>
          <w:numId w:val="35"/>
        </w:numPr>
        <w:spacing w:after="0"/>
        <w:jc w:val="both"/>
        <w:rPr>
          <w:lang w:val="it-IT"/>
        </w:rPr>
      </w:pPr>
      <w:r w:rsidRPr="004A7593">
        <w:rPr>
          <w:lang w:val="it-IT"/>
        </w:rPr>
        <w:t>Për produktin që mund të paraqesë rrezik në kushte të caktuara, struktura përgjegjëse urdhëron:</w:t>
      </w:r>
    </w:p>
    <w:p w14:paraId="36C4A15F" w14:textId="77777777" w:rsidR="00B04997" w:rsidRPr="004A7593" w:rsidRDefault="00B04997" w:rsidP="006B49C5">
      <w:pPr>
        <w:pStyle w:val="ListParagraph"/>
        <w:numPr>
          <w:ilvl w:val="0"/>
          <w:numId w:val="37"/>
        </w:numPr>
        <w:spacing w:after="0"/>
        <w:jc w:val="both"/>
        <w:rPr>
          <w:lang w:val="it-IT"/>
        </w:rPr>
      </w:pPr>
      <w:r w:rsidRPr="004A7593">
        <w:rPr>
          <w:lang w:val="it-IT"/>
        </w:rPr>
        <w:t xml:space="preserve">paralajmërimin e qartë dhe të kuptueshëm për rreziqet e mundshme të produktit, </w:t>
      </w:r>
      <w:r w:rsidRPr="004A7593">
        <w:rPr>
          <w:highlight w:val="white"/>
          <w:lang w:val="it-IT"/>
        </w:rPr>
        <w:t>në gjuhën shqipe;</w:t>
      </w:r>
    </w:p>
    <w:p w14:paraId="306F832B" w14:textId="77777777" w:rsidR="00B04997" w:rsidRPr="004A7593" w:rsidRDefault="00B04997" w:rsidP="006B49C5">
      <w:pPr>
        <w:pStyle w:val="ListParagraph"/>
        <w:numPr>
          <w:ilvl w:val="0"/>
          <w:numId w:val="37"/>
        </w:numPr>
        <w:spacing w:after="0"/>
        <w:jc w:val="both"/>
        <w:rPr>
          <w:lang w:val="it-IT"/>
        </w:rPr>
      </w:pPr>
      <w:r w:rsidRPr="004A7593">
        <w:rPr>
          <w:lang w:val="it-IT"/>
        </w:rPr>
        <w:t>përmbushjen e kërkesave të sigurisë të përcaktuara në rregullat teknike për bërjen e produktit të disponueshëm në treg.</w:t>
      </w:r>
    </w:p>
    <w:p w14:paraId="4107D14D" w14:textId="77777777" w:rsidR="00B04997" w:rsidRPr="004A7593" w:rsidRDefault="00B04997" w:rsidP="006B49C5">
      <w:pPr>
        <w:pStyle w:val="ListParagraph"/>
        <w:numPr>
          <w:ilvl w:val="0"/>
          <w:numId w:val="35"/>
        </w:numPr>
        <w:spacing w:after="0"/>
        <w:jc w:val="both"/>
        <w:rPr>
          <w:lang w:val="it-IT"/>
        </w:rPr>
      </w:pPr>
      <w:r w:rsidRPr="004A7593">
        <w:rPr>
          <w:lang w:val="it-IT"/>
        </w:rPr>
        <w:t>Për produktin që mund të paraqesë rrezik për përdorues të fundit të caktuar, struktura përgjegjëse urdhëron paralajmërimin e tyre në kohën dhe formën e duhur, përfshirë publikimin e paralajmërimeve të veçanta.</w:t>
      </w:r>
    </w:p>
    <w:p w14:paraId="63F55827" w14:textId="77777777" w:rsidR="00B04997" w:rsidRPr="004A7593" w:rsidRDefault="00B04997" w:rsidP="00B04997">
      <w:pPr>
        <w:pStyle w:val="ListParagraph"/>
        <w:spacing w:after="0"/>
        <w:jc w:val="both"/>
        <w:rPr>
          <w:lang w:val="it-IT"/>
        </w:rPr>
      </w:pPr>
      <w:r w:rsidRPr="004A7593">
        <w:rPr>
          <w:lang w:val="it-IT"/>
        </w:rPr>
        <w:t xml:space="preserve">ç.   Për produktin që mund të paraqesë rrezik, struktura përgjegjëse urdhëron ndalimin </w:t>
      </w:r>
    </w:p>
    <w:p w14:paraId="5643C08F" w14:textId="77777777" w:rsidR="00B04997" w:rsidRPr="004A7593" w:rsidRDefault="00B04997" w:rsidP="00B04997">
      <w:pPr>
        <w:pStyle w:val="ListParagraph"/>
        <w:spacing w:after="0"/>
        <w:ind w:left="1080"/>
        <w:jc w:val="both"/>
        <w:rPr>
          <w:lang w:val="it-IT"/>
        </w:rPr>
      </w:pPr>
      <w:r w:rsidRPr="004A7593">
        <w:rPr>
          <w:lang w:val="it-IT"/>
        </w:rPr>
        <w:t>e përkohshëm të ofrimit, ekspozimit, shpërndarjes dhe përdorimit të produktit, deri në përfundimin e testeve të sigurisë.</w:t>
      </w:r>
    </w:p>
    <w:p w14:paraId="003F197A" w14:textId="77777777" w:rsidR="00B04997" w:rsidRPr="004A7593" w:rsidRDefault="00B04997" w:rsidP="006B49C5">
      <w:pPr>
        <w:pStyle w:val="ListParagraph"/>
        <w:numPr>
          <w:ilvl w:val="0"/>
          <w:numId w:val="35"/>
        </w:numPr>
        <w:spacing w:after="0"/>
        <w:jc w:val="both"/>
        <w:rPr>
          <w:lang w:val="it-IT"/>
        </w:rPr>
      </w:pPr>
      <w:r w:rsidRPr="004A7593">
        <w:rPr>
          <w:lang w:val="it-IT"/>
        </w:rPr>
        <w:t>Për produktin e rrezikshëm, struktura përgjegjëse urdhëron</w:t>
      </w:r>
      <w:r w:rsidRPr="004A7593">
        <w:t>:</w:t>
      </w:r>
    </w:p>
    <w:p w14:paraId="0FC10389" w14:textId="77777777" w:rsidR="00B04997" w:rsidRPr="004A7593" w:rsidRDefault="00B04997" w:rsidP="006B49C5">
      <w:pPr>
        <w:pStyle w:val="ListParagraph"/>
        <w:numPr>
          <w:ilvl w:val="0"/>
          <w:numId w:val="38"/>
        </w:numPr>
        <w:spacing w:after="0"/>
        <w:jc w:val="both"/>
        <w:rPr>
          <w:lang w:val="it-IT"/>
        </w:rPr>
      </w:pPr>
      <w:r w:rsidRPr="004A7593">
        <w:rPr>
          <w:lang w:val="it-IT"/>
        </w:rPr>
        <w:t>ndalimin e përkohshëm të bërjes së produktit të disponueshëm në treg, duke përfshirë marrjen e masave shoqëruese të nevojshme për të siguruar zbatimin efektiv të masës së ndalimit;</w:t>
      </w:r>
    </w:p>
    <w:p w14:paraId="7AB16AAC" w14:textId="77777777" w:rsidR="00B04997" w:rsidRPr="004A7593" w:rsidRDefault="00B04997" w:rsidP="006B49C5">
      <w:pPr>
        <w:pStyle w:val="ListParagraph"/>
        <w:numPr>
          <w:ilvl w:val="0"/>
          <w:numId w:val="38"/>
        </w:numPr>
        <w:shd w:val="clear" w:color="auto" w:fill="FFFFFF"/>
        <w:spacing w:after="0"/>
        <w:jc w:val="both"/>
        <w:rPr>
          <w:lang w:val="it-IT"/>
        </w:rPr>
      </w:pPr>
      <w:r w:rsidRPr="004A7593">
        <w:rPr>
          <w:lang w:val="it-IT"/>
        </w:rPr>
        <w:t xml:space="preserve">kthimin e produktit nga tregu dhe paralajmërimin e përdoruesve të fundit  për rreziqet që ai paraqet; </w:t>
      </w:r>
    </w:p>
    <w:p w14:paraId="035630C5" w14:textId="77777777" w:rsidR="00B04997" w:rsidRPr="004A7593" w:rsidRDefault="00B04997" w:rsidP="006B49C5">
      <w:pPr>
        <w:pStyle w:val="ListParagraph"/>
        <w:numPr>
          <w:ilvl w:val="0"/>
          <w:numId w:val="38"/>
        </w:numPr>
        <w:shd w:val="clear" w:color="auto" w:fill="FFFFFF"/>
        <w:spacing w:after="0"/>
        <w:jc w:val="both"/>
        <w:rPr>
          <w:lang w:val="it-IT"/>
        </w:rPr>
      </w:pPr>
      <w:r w:rsidRPr="004A7593">
        <w:rPr>
          <w:lang w:val="it-IT"/>
        </w:rPr>
        <w:t xml:space="preserve">organizimin e procesit të kthimit të produktit në bashkëpunim me operatorin </w:t>
      </w:r>
      <w:r w:rsidRPr="004A7593">
        <w:t>ekonomik;</w:t>
      </w:r>
    </w:p>
    <w:p w14:paraId="1C99AAFE" w14:textId="77777777" w:rsidR="00B04997" w:rsidRPr="004A7593" w:rsidRDefault="00B04997" w:rsidP="006B49C5">
      <w:pPr>
        <w:pStyle w:val="ListParagraph"/>
        <w:numPr>
          <w:ilvl w:val="0"/>
          <w:numId w:val="38"/>
        </w:numPr>
        <w:shd w:val="clear" w:color="auto" w:fill="FFFFFF"/>
        <w:spacing w:after="0"/>
        <w:jc w:val="both"/>
      </w:pPr>
      <w:r w:rsidRPr="004A7593">
        <w:t>shkatërrimin ose bërjen jofunksional të produktit të rrezikshëm.</w:t>
      </w:r>
    </w:p>
    <w:p w14:paraId="4E41994E" w14:textId="77777777" w:rsidR="00B04997" w:rsidRPr="004A7593" w:rsidRDefault="00B04997" w:rsidP="006B49C5">
      <w:pPr>
        <w:pStyle w:val="ListParagraph"/>
        <w:numPr>
          <w:ilvl w:val="0"/>
          <w:numId w:val="34"/>
        </w:numPr>
        <w:spacing w:after="0"/>
        <w:jc w:val="both"/>
      </w:pPr>
      <w:r w:rsidRPr="004A7593">
        <w:t xml:space="preserve">Struktura përgjegjëse anulon vendimin për ndalimin e përkohshëm të bërjes së produktit të disponueshëm në treg, kur operatori ekonomik provon se ka eliminuar rrezikun dhe produkti është në përputhje me kërkesat ligjore. </w:t>
      </w:r>
    </w:p>
    <w:p w14:paraId="45A326AB" w14:textId="77777777" w:rsidR="00B04997" w:rsidRPr="004A7593" w:rsidRDefault="00B04997" w:rsidP="006B49C5">
      <w:pPr>
        <w:pStyle w:val="ListParagraph"/>
        <w:numPr>
          <w:ilvl w:val="0"/>
          <w:numId w:val="34"/>
        </w:numPr>
        <w:spacing w:after="0"/>
        <w:jc w:val="both"/>
      </w:pPr>
      <w:r w:rsidRPr="004A7593">
        <w:lastRenderedPageBreak/>
        <w:t>Struktura përgjegjëse urdhëron ndalimin e përhershëm të bërjes së disponueshme të produktit në treg kur:</w:t>
      </w:r>
    </w:p>
    <w:p w14:paraId="1F0F4617" w14:textId="77777777" w:rsidR="00B04997" w:rsidRPr="004A7593" w:rsidRDefault="00B04997" w:rsidP="006B49C5">
      <w:pPr>
        <w:pStyle w:val="ListParagraph"/>
        <w:numPr>
          <w:ilvl w:val="1"/>
          <w:numId w:val="39"/>
        </w:numPr>
        <w:spacing w:after="0"/>
        <w:jc w:val="both"/>
      </w:pPr>
      <w:r w:rsidRPr="004A7593">
        <w:t>Operatori ekonomik nuk përmbush masat e kërkuara nga struktura përgjegjëse për të eliminuar mospërputhshmërinë ose reduktuar rrezikun brenda afatit të caktuar;</w:t>
      </w:r>
    </w:p>
    <w:p w14:paraId="28009D46" w14:textId="77777777" w:rsidR="00B04997" w:rsidRPr="004A7593" w:rsidRDefault="00B04997" w:rsidP="006B49C5">
      <w:pPr>
        <w:pStyle w:val="ListParagraph"/>
        <w:numPr>
          <w:ilvl w:val="1"/>
          <w:numId w:val="39"/>
        </w:numPr>
        <w:spacing w:after="0"/>
        <w:jc w:val="both"/>
      </w:pPr>
      <w:r w:rsidRPr="004A7593">
        <w:t xml:space="preserve">Kontrollet ose testimet provojnë se produkti është i rrezikshëm; </w:t>
      </w:r>
    </w:p>
    <w:p w14:paraId="3A9E53C2" w14:textId="77777777" w:rsidR="00B04997" w:rsidRPr="004A7593" w:rsidRDefault="00B04997" w:rsidP="006B49C5">
      <w:pPr>
        <w:pStyle w:val="ListParagraph"/>
        <w:numPr>
          <w:ilvl w:val="1"/>
          <w:numId w:val="39"/>
        </w:numPr>
        <w:spacing w:after="0"/>
        <w:jc w:val="both"/>
      </w:pPr>
      <w:r w:rsidRPr="004A7593">
        <w:t>Pavarësisht përputhshmërisë me legjislacionin e zbatueshëm, produkti paraqet rrezik për jetën, shëndetin, mjedisin ose interesat e tjera publike;</w:t>
      </w:r>
    </w:p>
    <w:p w14:paraId="66FFFE55" w14:textId="77777777" w:rsidR="00B04997" w:rsidRPr="004A7593" w:rsidRDefault="00B04997" w:rsidP="00B04997">
      <w:pPr>
        <w:spacing w:after="0"/>
        <w:ind w:left="1080"/>
        <w:jc w:val="both"/>
      </w:pPr>
      <w:r w:rsidRPr="004A7593">
        <w:t xml:space="preserve">ç)   Produkti </w:t>
      </w:r>
      <w:r w:rsidRPr="004A7593">
        <w:rPr>
          <w:rStyle w:val="Strong"/>
          <w:b w:val="0"/>
          <w:bCs w:val="0"/>
        </w:rPr>
        <w:t xml:space="preserve">nuk është në përputhje me kërkesat e </w:t>
      </w:r>
      <w:r w:rsidRPr="004A7593">
        <w:t xml:space="preserve">përcaktuara në rregullat teknike </w:t>
      </w:r>
    </w:p>
    <w:p w14:paraId="05CD0050" w14:textId="77777777" w:rsidR="00B04997" w:rsidRPr="004A7593" w:rsidRDefault="00B04997" w:rsidP="00B04997">
      <w:pPr>
        <w:spacing w:after="0"/>
        <w:ind w:left="1080" w:firstLine="360"/>
        <w:jc w:val="both"/>
      </w:pPr>
      <w:r w:rsidRPr="004A7593">
        <w:t>të zbatueshme;</w:t>
      </w:r>
    </w:p>
    <w:p w14:paraId="2491B316" w14:textId="77777777" w:rsidR="00B04997" w:rsidRPr="004A7593" w:rsidRDefault="00B04997" w:rsidP="006B49C5">
      <w:pPr>
        <w:pStyle w:val="ListParagraph"/>
        <w:numPr>
          <w:ilvl w:val="1"/>
          <w:numId w:val="39"/>
        </w:numPr>
        <w:spacing w:after="0"/>
        <w:jc w:val="both"/>
      </w:pPr>
      <w:r w:rsidRPr="004A7593">
        <w:rPr>
          <w:rStyle w:val="Strong"/>
          <w:b w:val="0"/>
          <w:bCs w:val="0"/>
        </w:rPr>
        <w:t>Prodhuesi, përfaqësuesi i autorizuar ose importuesi</w:t>
      </w:r>
      <w:r w:rsidRPr="004A7593">
        <w:t xml:space="preserve"> kanë njoftuar se produkti është i rrezikshëm ose nuk është në përputhje me legjislacionin e zbatueshëm;</w:t>
      </w:r>
    </w:p>
    <w:p w14:paraId="04902B69" w14:textId="77777777" w:rsidR="00B04997" w:rsidRPr="004A7593" w:rsidRDefault="00B04997" w:rsidP="00B04997">
      <w:pPr>
        <w:spacing w:after="0"/>
        <w:ind w:left="1080"/>
        <w:jc w:val="both"/>
      </w:pPr>
      <w:r w:rsidRPr="004A7593">
        <w:t xml:space="preserve">dh) Të njëjtat masa janë marrë nga të gjitha shtetet anëtare të Bashkimit Evropian, </w:t>
      </w:r>
    </w:p>
    <w:p w14:paraId="29DE1B82" w14:textId="77777777" w:rsidR="00B04997" w:rsidRPr="004A7593" w:rsidRDefault="00B04997" w:rsidP="00B04997">
      <w:pPr>
        <w:spacing w:after="0"/>
        <w:ind w:left="1080" w:firstLine="360"/>
        <w:jc w:val="both"/>
      </w:pPr>
      <w:r w:rsidRPr="004A7593">
        <w:t xml:space="preserve"> ku është tregtuar </w:t>
      </w:r>
      <w:r w:rsidRPr="004A7593">
        <w:rPr>
          <w:spacing w:val="-2"/>
        </w:rPr>
        <w:t xml:space="preserve"> </w:t>
      </w:r>
      <w:r w:rsidRPr="004A7593">
        <w:t>produkti;</w:t>
      </w:r>
    </w:p>
    <w:p w14:paraId="48D22530" w14:textId="77777777" w:rsidR="00B04997" w:rsidRPr="004A7593" w:rsidRDefault="00B04997" w:rsidP="006B49C5">
      <w:pPr>
        <w:numPr>
          <w:ilvl w:val="0"/>
          <w:numId w:val="34"/>
        </w:numPr>
        <w:spacing w:after="0"/>
      </w:pPr>
      <w:r w:rsidRPr="004A7593">
        <w:t xml:space="preserve">Masat e marra nga struktura përgjegjëse zbatohen, sipas rastit, ndaj: </w:t>
      </w:r>
    </w:p>
    <w:p w14:paraId="40E98FE8" w14:textId="77777777" w:rsidR="00B04997" w:rsidRPr="004A7593" w:rsidRDefault="00B04997" w:rsidP="00B04997">
      <w:pPr>
        <w:spacing w:after="0"/>
        <w:ind w:left="1440"/>
      </w:pPr>
      <w:r w:rsidRPr="004A7593">
        <w:t xml:space="preserve">a) prodhuesit; </w:t>
      </w:r>
    </w:p>
    <w:p w14:paraId="5B429F95" w14:textId="77777777" w:rsidR="00B04997" w:rsidRPr="004A7593" w:rsidRDefault="00B04997" w:rsidP="00B04997">
      <w:pPr>
        <w:spacing w:after="0"/>
        <w:ind w:left="1440"/>
      </w:pPr>
      <w:r w:rsidRPr="004A7593">
        <w:t xml:space="preserve">b) importuesit ose shpërndarësit, brenda fushës së veprimtarisë së tyre; </w:t>
      </w:r>
    </w:p>
    <w:p w14:paraId="25F0EAFA" w14:textId="77777777" w:rsidR="00B04997" w:rsidRPr="004A7593" w:rsidRDefault="00B04997" w:rsidP="00B04997">
      <w:pPr>
        <w:spacing w:after="0"/>
        <w:ind w:left="1440"/>
      </w:pPr>
      <w:r w:rsidRPr="004A7593">
        <w:t xml:space="preserve">c) çdo personi tjetër, kur është e nevojshme për zbatimin e këtyre masave. </w:t>
      </w:r>
    </w:p>
    <w:p w14:paraId="2673361D" w14:textId="77777777" w:rsidR="00B04997" w:rsidRPr="004A7593" w:rsidRDefault="00B04997" w:rsidP="006B49C5">
      <w:pPr>
        <w:pStyle w:val="ListParagraph"/>
        <w:numPr>
          <w:ilvl w:val="0"/>
          <w:numId w:val="34"/>
        </w:numPr>
        <w:shd w:val="clear" w:color="auto" w:fill="FFFFFF"/>
        <w:spacing w:after="0"/>
        <w:jc w:val="both"/>
      </w:pPr>
      <w:r w:rsidRPr="004A7593">
        <w:t xml:space="preserve">Struktura përgjegjëse informon </w:t>
      </w:r>
      <w:r w:rsidRPr="004A7593">
        <w:rPr>
          <w:rStyle w:val="Strong"/>
          <w:b w:val="0"/>
          <w:bCs w:val="0"/>
        </w:rPr>
        <w:t>ministrinë dhe publikun</w:t>
      </w:r>
      <w:r w:rsidRPr="004A7593">
        <w:t xml:space="preserve"> për masat e marra dhe arsyet përkatëse. </w:t>
      </w:r>
    </w:p>
    <w:p w14:paraId="2CEFC057" w14:textId="0B04029D" w:rsidR="00B04997" w:rsidRPr="004A7593" w:rsidRDefault="00B04997" w:rsidP="006B49C5">
      <w:pPr>
        <w:numPr>
          <w:ilvl w:val="0"/>
          <w:numId w:val="34"/>
        </w:numPr>
        <w:spacing w:after="0"/>
        <w:jc w:val="both"/>
      </w:pPr>
      <w:bookmarkStart w:id="26" w:name="_Hlk196302722"/>
      <w:r w:rsidRPr="004A7593">
        <w:t xml:space="preserve">Rregullat dhe procedurat e shkatërrimit përcaktohen me vendim të Këshillit të Ministrave, bazuar në parimet e proporcionalitetit, sigurisë juridike dhe mbrojtjes së shëndetit dhe mjedisit.”. </w:t>
      </w:r>
    </w:p>
    <w:bookmarkEnd w:id="26"/>
    <w:p w14:paraId="6404AE8F" w14:textId="0A381214" w:rsidR="00D61EE6" w:rsidRPr="004A7593" w:rsidRDefault="00D61EE6" w:rsidP="001823DB">
      <w:pPr>
        <w:widowControl w:val="0"/>
        <w:shd w:val="clear" w:color="auto" w:fill="FFFFFF"/>
        <w:tabs>
          <w:tab w:val="left" w:pos="979"/>
        </w:tabs>
        <w:autoSpaceDE w:val="0"/>
        <w:autoSpaceDN w:val="0"/>
        <w:adjustRightInd w:val="0"/>
        <w:spacing w:after="0"/>
        <w:jc w:val="both"/>
      </w:pPr>
    </w:p>
    <w:bookmarkEnd w:id="25"/>
    <w:p w14:paraId="54592EB1" w14:textId="1F469C67" w:rsidR="00552622" w:rsidRDefault="00552622" w:rsidP="00BF1273">
      <w:pPr>
        <w:shd w:val="clear" w:color="auto" w:fill="FFFFFF"/>
        <w:spacing w:after="0"/>
        <w:jc w:val="center"/>
        <w:rPr>
          <w:b/>
          <w:bCs/>
        </w:rPr>
      </w:pPr>
      <w:r w:rsidRPr="004A7593">
        <w:rPr>
          <w:b/>
          <w:bCs/>
        </w:rPr>
        <w:t xml:space="preserve">Neni </w:t>
      </w:r>
      <w:r w:rsidR="00F90683" w:rsidRPr="004A7593">
        <w:rPr>
          <w:b/>
          <w:bCs/>
        </w:rPr>
        <w:t>1</w:t>
      </w:r>
      <w:r w:rsidR="008478B6">
        <w:rPr>
          <w:b/>
          <w:bCs/>
        </w:rPr>
        <w:t>6</w:t>
      </w:r>
    </w:p>
    <w:p w14:paraId="08778F59" w14:textId="77777777" w:rsidR="003533F0" w:rsidRPr="004A7593" w:rsidRDefault="003533F0" w:rsidP="00BF1273">
      <w:pPr>
        <w:shd w:val="clear" w:color="auto" w:fill="FFFFFF"/>
        <w:spacing w:after="0"/>
        <w:jc w:val="center"/>
        <w:rPr>
          <w:b/>
          <w:bCs/>
        </w:rPr>
      </w:pPr>
    </w:p>
    <w:p w14:paraId="698450E5" w14:textId="5E62FEF7" w:rsidR="00061F83" w:rsidRPr="004A7593" w:rsidRDefault="00061F83" w:rsidP="00061F83">
      <w:pPr>
        <w:shd w:val="clear" w:color="auto" w:fill="FFFFFF"/>
        <w:spacing w:after="0"/>
        <w:jc w:val="both"/>
      </w:pPr>
      <w:r w:rsidRPr="004A7593">
        <w:t>Në nenin 31, bëhen ndryshimet si m</w:t>
      </w:r>
      <w:r w:rsidR="003C70F1" w:rsidRPr="004A7593">
        <w:t>ë</w:t>
      </w:r>
      <w:r w:rsidRPr="004A7593">
        <w:t xml:space="preserve"> posht</w:t>
      </w:r>
      <w:r w:rsidR="003C70F1" w:rsidRPr="004A7593">
        <w:t>ë</w:t>
      </w:r>
      <w:r w:rsidRPr="004A7593">
        <w:t xml:space="preserve">: </w:t>
      </w:r>
    </w:p>
    <w:p w14:paraId="6A9F6F53" w14:textId="63F725C4" w:rsidR="00882C5D" w:rsidRPr="004A7593" w:rsidRDefault="00882C5D" w:rsidP="006B49C5">
      <w:pPr>
        <w:pStyle w:val="ListParagraph"/>
        <w:numPr>
          <w:ilvl w:val="0"/>
          <w:numId w:val="52"/>
        </w:numPr>
        <w:spacing w:after="0"/>
        <w:jc w:val="both"/>
      </w:pPr>
      <w:r w:rsidRPr="004A7593">
        <w:t>Në shkronj</w:t>
      </w:r>
      <w:r w:rsidR="003C70F1" w:rsidRPr="004A7593">
        <w:t>ë</w:t>
      </w:r>
      <w:r w:rsidRPr="004A7593">
        <w:t>n c) t</w:t>
      </w:r>
      <w:r w:rsidR="003C70F1" w:rsidRPr="004A7593">
        <w:t>ë</w:t>
      </w:r>
      <w:r w:rsidRPr="004A7593">
        <w:t xml:space="preserve"> pikës 1, togfjalëshi “të përcaktuara në pikën 4 të nenit 29” </w:t>
      </w:r>
      <w:r w:rsidR="00EF2FE4" w:rsidRPr="004A7593">
        <w:t>ndryshohet</w:t>
      </w:r>
      <w:r w:rsidRPr="004A7593">
        <w:t xml:space="preserve"> me togfjalëshin “</w:t>
      </w:r>
      <w:bookmarkStart w:id="27" w:name="_Hlk198901390"/>
      <w:r w:rsidRPr="004A7593">
        <w:t xml:space="preserve">të përcaktuara </w:t>
      </w:r>
      <w:bookmarkEnd w:id="27"/>
      <w:r w:rsidRPr="004A7593">
        <w:t>në nenin 29/2, pika 1 e këtij ligji”.</w:t>
      </w:r>
    </w:p>
    <w:p w14:paraId="73F46FF0" w14:textId="28B5FE34" w:rsidR="00882C5D" w:rsidRPr="004A7593" w:rsidRDefault="00882C5D" w:rsidP="006B49C5">
      <w:pPr>
        <w:pStyle w:val="ListParagraph"/>
        <w:numPr>
          <w:ilvl w:val="0"/>
          <w:numId w:val="52"/>
        </w:numPr>
        <w:spacing w:after="0"/>
        <w:jc w:val="both"/>
      </w:pPr>
      <w:r w:rsidRPr="004A7593">
        <w:t xml:space="preserve">Në pikën 4, togfjalëshi “anulon pezullimin e përkohshëm” </w:t>
      </w:r>
      <w:r w:rsidR="00EF2FE4" w:rsidRPr="004A7593">
        <w:t>ndryshohet</w:t>
      </w:r>
      <w:r w:rsidRPr="004A7593">
        <w:t xml:space="preserve"> me togfjalëshin “anulon ndalimin e përkohshëm.”. </w:t>
      </w:r>
    </w:p>
    <w:p w14:paraId="32B0B4DC" w14:textId="77777777" w:rsidR="003C70F1" w:rsidRPr="004A7593" w:rsidRDefault="003C70F1" w:rsidP="003C70F1">
      <w:pPr>
        <w:pStyle w:val="ListParagraph"/>
        <w:spacing w:after="0"/>
        <w:jc w:val="both"/>
      </w:pPr>
    </w:p>
    <w:p w14:paraId="164C5160" w14:textId="77777777" w:rsidR="003E7D68" w:rsidRPr="004A7593" w:rsidRDefault="003E7D68" w:rsidP="00BF1273">
      <w:pPr>
        <w:spacing w:after="0"/>
        <w:jc w:val="both"/>
      </w:pPr>
    </w:p>
    <w:p w14:paraId="1192EA08" w14:textId="3A205E8A" w:rsidR="006420CD" w:rsidRDefault="006420CD" w:rsidP="00BF1273">
      <w:pPr>
        <w:shd w:val="clear" w:color="auto" w:fill="FFFFFF"/>
        <w:spacing w:after="0"/>
        <w:jc w:val="center"/>
        <w:rPr>
          <w:b/>
          <w:bCs/>
        </w:rPr>
      </w:pPr>
      <w:r w:rsidRPr="004A7593">
        <w:rPr>
          <w:b/>
          <w:bCs/>
        </w:rPr>
        <w:t xml:space="preserve">Neni </w:t>
      </w:r>
      <w:r w:rsidR="00AF56E3">
        <w:rPr>
          <w:b/>
          <w:bCs/>
        </w:rPr>
        <w:t>1</w:t>
      </w:r>
      <w:r w:rsidR="008478B6">
        <w:rPr>
          <w:b/>
          <w:bCs/>
        </w:rPr>
        <w:t>7</w:t>
      </w:r>
    </w:p>
    <w:p w14:paraId="4CBE6FCD" w14:textId="77777777" w:rsidR="003533F0" w:rsidRPr="004A7593" w:rsidRDefault="003533F0" w:rsidP="00BF1273">
      <w:pPr>
        <w:shd w:val="clear" w:color="auto" w:fill="FFFFFF"/>
        <w:spacing w:after="0"/>
        <w:jc w:val="center"/>
        <w:rPr>
          <w:b/>
          <w:bCs/>
        </w:rPr>
      </w:pPr>
    </w:p>
    <w:p w14:paraId="4E075E79" w14:textId="22FB3431" w:rsidR="003510DF" w:rsidRPr="004A7593" w:rsidRDefault="003510DF" w:rsidP="00396614">
      <w:pPr>
        <w:shd w:val="clear" w:color="auto" w:fill="FFFFFF"/>
        <w:spacing w:after="0"/>
        <w:jc w:val="both"/>
      </w:pPr>
      <w:r w:rsidRPr="004A7593">
        <w:t xml:space="preserve">Në nenin 33 “Masa kufizuese” </w:t>
      </w:r>
      <w:r w:rsidR="00772F42" w:rsidRPr="004A7593">
        <w:t>bëhe</w:t>
      </w:r>
      <w:r w:rsidR="00772F42">
        <w:t>n</w:t>
      </w:r>
      <w:r w:rsidR="00772F42" w:rsidRPr="004A7593">
        <w:t xml:space="preserve"> ndryshim</w:t>
      </w:r>
      <w:r w:rsidR="00772F42">
        <w:t>et</w:t>
      </w:r>
      <w:r w:rsidR="00772F42" w:rsidRPr="004A7593">
        <w:t xml:space="preserve"> </w:t>
      </w:r>
      <w:r w:rsidR="00BC08BE" w:rsidRPr="004A7593">
        <w:t>si m</w:t>
      </w:r>
      <w:r w:rsidR="00A915EB">
        <w:t>ë</w:t>
      </w:r>
      <w:r w:rsidR="00BC08BE" w:rsidRPr="004A7593">
        <w:t xml:space="preserve"> posht</w:t>
      </w:r>
      <w:r w:rsidR="00A915EB">
        <w:t>ë</w:t>
      </w:r>
      <w:r w:rsidRPr="004A7593">
        <w:t>:</w:t>
      </w:r>
    </w:p>
    <w:p w14:paraId="5446AD63" w14:textId="29DF02BB" w:rsidR="00772F42" w:rsidRPr="00770948" w:rsidRDefault="00770948" w:rsidP="006B49C5">
      <w:pPr>
        <w:pStyle w:val="ListParagraph"/>
        <w:numPr>
          <w:ilvl w:val="0"/>
          <w:numId w:val="56"/>
        </w:numPr>
        <w:shd w:val="clear" w:color="auto" w:fill="FFFFFF"/>
        <w:jc w:val="both"/>
      </w:pPr>
      <w:r w:rsidRPr="00303DFE">
        <w:t xml:space="preserve">Në pikën 1, </w:t>
      </w:r>
      <w:r w:rsidRPr="007010CC">
        <w:t>togfjalëshi</w:t>
      </w:r>
      <w:r w:rsidRPr="004A7593">
        <w:t xml:space="preserve"> </w:t>
      </w:r>
      <w:r w:rsidR="00B1455C">
        <w:t xml:space="preserve"> </w:t>
      </w:r>
      <w:r w:rsidRPr="004A7593">
        <w:t>“</w:t>
      </w:r>
      <w:r w:rsidRPr="00085329">
        <w:t xml:space="preserve">bazohet në parimin e proporcionalitetit </w:t>
      </w:r>
      <w:r w:rsidRPr="00770948">
        <w:t>sipas parashikimit në dispozitat e këtij ligji</w:t>
      </w:r>
      <w:r w:rsidRPr="004A7593">
        <w:t>” ndryshohet me togfjalëshin “</w:t>
      </w:r>
      <w:bookmarkStart w:id="28" w:name="_Hlk199970560"/>
      <w:r w:rsidRPr="00085329">
        <w:t>bazohet në parimin e proporcionalitetit</w:t>
      </w:r>
      <w:r>
        <w:t>,</w:t>
      </w:r>
      <w:r w:rsidRPr="00085329">
        <w:t xml:space="preserve"> </w:t>
      </w:r>
      <w:bookmarkEnd w:id="28"/>
      <w:r w:rsidR="00FF7441">
        <w:t>ë</w:t>
      </w:r>
      <w:r w:rsidR="009E06DB">
        <w:t>sht</w:t>
      </w:r>
      <w:r w:rsidR="00FF7441">
        <w:t>ë</w:t>
      </w:r>
      <w:r w:rsidRPr="00770948">
        <w:t xml:space="preserve"> e arsyetuar dhe </w:t>
      </w:r>
      <w:r w:rsidR="003533F0">
        <w:t>përmban</w:t>
      </w:r>
      <w:r w:rsidRPr="00770948">
        <w:t xml:space="preserve"> bazën ligjore mbi të cilën mbështetet.”.</w:t>
      </w:r>
    </w:p>
    <w:p w14:paraId="64B2B1B6" w14:textId="325F4A8A" w:rsidR="00CA36BD" w:rsidRPr="004A7593" w:rsidRDefault="000B707E" w:rsidP="006B49C5">
      <w:pPr>
        <w:pStyle w:val="ListParagraph"/>
        <w:numPr>
          <w:ilvl w:val="0"/>
          <w:numId w:val="56"/>
        </w:numPr>
        <w:shd w:val="clear" w:color="auto" w:fill="FFFFFF"/>
        <w:jc w:val="both"/>
      </w:pPr>
      <w:r w:rsidRPr="004A7593">
        <w:t>Në pikën 3, togfjal</w:t>
      </w:r>
      <w:r w:rsidR="00CC5018" w:rsidRPr="004A7593">
        <w:t>ë</w:t>
      </w:r>
      <w:r w:rsidRPr="004A7593">
        <w:t>shi “</w:t>
      </w:r>
      <w:r w:rsidR="0013579C" w:rsidRPr="00303DFE">
        <w:rPr>
          <w:rFonts w:eastAsiaTheme="minorHAnsi"/>
        </w:rPr>
        <w:t>të dëgjohet jo më vonë se 8 ditë</w:t>
      </w:r>
      <w:r w:rsidRPr="004A7593">
        <w:t xml:space="preserve">” </w:t>
      </w:r>
      <w:r w:rsidR="00EF2FE4" w:rsidRPr="004A7593">
        <w:t>ndryshohet</w:t>
      </w:r>
      <w:r w:rsidRPr="004A7593">
        <w:t xml:space="preserve"> me togfjal</w:t>
      </w:r>
      <w:r w:rsidR="00CC5018" w:rsidRPr="004A7593">
        <w:t>ë</w:t>
      </w:r>
      <w:r w:rsidRPr="004A7593">
        <w:t>shin “</w:t>
      </w:r>
      <w:r w:rsidR="00CC5018" w:rsidRPr="004A7593">
        <w:t>të dëgjohet jo më pak se 10 ditë</w:t>
      </w:r>
      <w:r w:rsidR="00CC5018" w:rsidRPr="00303DFE">
        <w:rPr>
          <w:i/>
          <w:iCs/>
        </w:rPr>
        <w:t xml:space="preserve"> </w:t>
      </w:r>
      <w:r w:rsidR="00CC5018" w:rsidRPr="004A7593">
        <w:t>nga data e njoftimit të procesverbalit</w:t>
      </w:r>
      <w:r w:rsidRPr="004A7593">
        <w:t>”.</w:t>
      </w:r>
    </w:p>
    <w:p w14:paraId="5B41167E" w14:textId="77777777" w:rsidR="003510DF" w:rsidRPr="004A7593" w:rsidRDefault="003510DF" w:rsidP="00BF1273">
      <w:pPr>
        <w:pStyle w:val="ListParagraph"/>
        <w:shd w:val="clear" w:color="auto" w:fill="FFFFFF"/>
        <w:spacing w:after="0"/>
        <w:jc w:val="both"/>
      </w:pPr>
    </w:p>
    <w:p w14:paraId="3AF468FC" w14:textId="18995965" w:rsidR="00CC5018" w:rsidRDefault="00CC5018" w:rsidP="00BF1273">
      <w:pPr>
        <w:spacing w:after="0"/>
        <w:jc w:val="center"/>
        <w:rPr>
          <w:b/>
        </w:rPr>
      </w:pPr>
      <w:r w:rsidRPr="004A7593">
        <w:rPr>
          <w:b/>
        </w:rPr>
        <w:t xml:space="preserve">Neni </w:t>
      </w:r>
      <w:r w:rsidR="00AF56E3">
        <w:rPr>
          <w:b/>
        </w:rPr>
        <w:t>1</w:t>
      </w:r>
      <w:r w:rsidR="008478B6">
        <w:rPr>
          <w:b/>
        </w:rPr>
        <w:t>8</w:t>
      </w:r>
    </w:p>
    <w:p w14:paraId="1F3B9B44" w14:textId="77777777" w:rsidR="003533F0" w:rsidRPr="004A7593" w:rsidRDefault="003533F0" w:rsidP="00BF1273">
      <w:pPr>
        <w:spacing w:after="0"/>
        <w:jc w:val="center"/>
        <w:rPr>
          <w:b/>
        </w:rPr>
      </w:pPr>
    </w:p>
    <w:p w14:paraId="4D6C6144" w14:textId="0394B374" w:rsidR="00CC5018" w:rsidRPr="004A7593" w:rsidRDefault="00CC5018" w:rsidP="00BF1273">
      <w:pPr>
        <w:shd w:val="clear" w:color="auto" w:fill="FFFFFF"/>
      </w:pPr>
      <w:r w:rsidRPr="004A7593">
        <w:t>Pas nenit 33</w:t>
      </w:r>
      <w:r w:rsidR="00F00D7B" w:rsidRPr="004A7593">
        <w:t>,</w:t>
      </w:r>
      <w:r w:rsidRPr="004A7593">
        <w:t xml:space="preserve"> shtohen nenet  33/1</w:t>
      </w:r>
      <w:r w:rsidR="00B42468" w:rsidRPr="004A7593">
        <w:t xml:space="preserve"> dhe</w:t>
      </w:r>
      <w:r w:rsidR="00F00ACC" w:rsidRPr="004A7593">
        <w:t xml:space="preserve"> </w:t>
      </w:r>
      <w:r w:rsidRPr="004A7593">
        <w:t>33/2</w:t>
      </w:r>
      <w:r w:rsidR="00F00ACC" w:rsidRPr="004A7593">
        <w:t xml:space="preserve"> </w:t>
      </w:r>
      <w:r w:rsidRPr="004A7593">
        <w:t>me përmbajtje</w:t>
      </w:r>
      <w:r w:rsidR="00F00D7B" w:rsidRPr="004A7593">
        <w:t xml:space="preserve"> si vijon</w:t>
      </w:r>
      <w:r w:rsidRPr="004A7593">
        <w:t>:</w:t>
      </w:r>
    </w:p>
    <w:p w14:paraId="0EA815C0" w14:textId="77777777" w:rsidR="00F00D7B" w:rsidRPr="004A7593" w:rsidRDefault="00CC5018" w:rsidP="00F00D7B">
      <w:pPr>
        <w:spacing w:after="0"/>
        <w:jc w:val="center"/>
        <w:rPr>
          <w:b/>
          <w:bCs/>
          <w:lang w:val="it-IT"/>
        </w:rPr>
      </w:pPr>
      <w:r w:rsidRPr="004A7593">
        <w:rPr>
          <w:b/>
          <w:bCs/>
        </w:rPr>
        <w:t>“</w:t>
      </w:r>
      <w:bookmarkStart w:id="29" w:name="_Hlk192347654"/>
      <w:bookmarkStart w:id="30" w:name="_Hlk192953984"/>
      <w:bookmarkStart w:id="31" w:name="_Hlk190875783"/>
      <w:r w:rsidR="00F00D7B" w:rsidRPr="004A7593">
        <w:rPr>
          <w:b/>
          <w:bCs/>
          <w:lang w:val="it-IT"/>
        </w:rPr>
        <w:t>Neni 33/1</w:t>
      </w:r>
    </w:p>
    <w:p w14:paraId="6157186D" w14:textId="77777777" w:rsidR="00F00D7B" w:rsidRPr="004A7593" w:rsidRDefault="00F00D7B" w:rsidP="00F00D7B">
      <w:pPr>
        <w:spacing w:after="0"/>
        <w:jc w:val="center"/>
        <w:rPr>
          <w:lang w:val="it-IT"/>
        </w:rPr>
      </w:pPr>
      <w:r w:rsidRPr="004A7593">
        <w:rPr>
          <w:b/>
          <w:bCs/>
          <w:lang w:val="it-IT"/>
        </w:rPr>
        <w:t>Aktivitete për promovimin e përputhshmërisë</w:t>
      </w:r>
    </w:p>
    <w:p w14:paraId="6550F7D8" w14:textId="77777777" w:rsidR="00F00D7B" w:rsidRPr="004A7593" w:rsidRDefault="00F00D7B" w:rsidP="00F00D7B">
      <w:pPr>
        <w:shd w:val="clear" w:color="auto" w:fill="FFFFFF"/>
        <w:tabs>
          <w:tab w:val="left" w:pos="1042"/>
        </w:tabs>
        <w:spacing w:after="0"/>
        <w:jc w:val="both"/>
        <w:rPr>
          <w:lang w:val="it-IT"/>
        </w:rPr>
      </w:pPr>
    </w:p>
    <w:bookmarkEnd w:id="29"/>
    <w:p w14:paraId="6E410909" w14:textId="77777777" w:rsidR="00F00D7B" w:rsidRPr="004A7593" w:rsidRDefault="00F00D7B" w:rsidP="006B49C5">
      <w:pPr>
        <w:pStyle w:val="ListParagraph"/>
        <w:numPr>
          <w:ilvl w:val="0"/>
          <w:numId w:val="53"/>
        </w:numPr>
        <w:shd w:val="clear" w:color="auto" w:fill="FFFFFF"/>
        <w:tabs>
          <w:tab w:val="left" w:pos="1042"/>
        </w:tabs>
        <w:spacing w:after="0"/>
        <w:jc w:val="both"/>
        <w:rPr>
          <w:lang w:val="it-IT"/>
        </w:rPr>
      </w:pPr>
      <w:r w:rsidRPr="004A7593">
        <w:rPr>
          <w:lang w:val="it-IT"/>
        </w:rPr>
        <w:t xml:space="preserve">Strukturat përgjegjëse marrin pjesë në aktivitete të përbashkëta me institucione publike ose organizata që përfaqësojnë operatorët ekonomikë apo përdoruesit e fundit, me qëllim: </w:t>
      </w:r>
    </w:p>
    <w:p w14:paraId="500489DE" w14:textId="77777777" w:rsidR="00F00D7B" w:rsidRPr="004A7593" w:rsidRDefault="00F00D7B" w:rsidP="006B49C5">
      <w:pPr>
        <w:pStyle w:val="ListParagraph"/>
        <w:numPr>
          <w:ilvl w:val="0"/>
          <w:numId w:val="40"/>
        </w:numPr>
        <w:shd w:val="clear" w:color="auto" w:fill="FFFFFF"/>
        <w:tabs>
          <w:tab w:val="left" w:pos="1042"/>
        </w:tabs>
        <w:spacing w:after="0"/>
        <w:ind w:left="1800"/>
        <w:jc w:val="both"/>
      </w:pPr>
      <w:r w:rsidRPr="004A7593">
        <w:t>promovimin e përputhshmërisë me kërkesat ligjore;</w:t>
      </w:r>
    </w:p>
    <w:p w14:paraId="5929DD31" w14:textId="77777777" w:rsidR="00F00D7B" w:rsidRPr="004A7593" w:rsidRDefault="00F00D7B" w:rsidP="006B49C5">
      <w:pPr>
        <w:pStyle w:val="ListParagraph"/>
        <w:numPr>
          <w:ilvl w:val="0"/>
          <w:numId w:val="40"/>
        </w:numPr>
        <w:shd w:val="clear" w:color="auto" w:fill="FFFFFF"/>
        <w:tabs>
          <w:tab w:val="left" w:pos="1042"/>
        </w:tabs>
        <w:spacing w:after="0"/>
        <w:ind w:left="1800"/>
        <w:jc w:val="both"/>
      </w:pPr>
      <w:r w:rsidRPr="004A7593">
        <w:t>identifikimin e produkteve në treg që nuk përputhen me rregullat teknike të zbatueshme;</w:t>
      </w:r>
    </w:p>
    <w:p w14:paraId="36178EF2" w14:textId="77777777" w:rsidR="00F00D7B" w:rsidRPr="004A7593" w:rsidRDefault="00F00D7B" w:rsidP="006B49C5">
      <w:pPr>
        <w:pStyle w:val="ListParagraph"/>
        <w:numPr>
          <w:ilvl w:val="0"/>
          <w:numId w:val="40"/>
        </w:numPr>
        <w:shd w:val="clear" w:color="auto" w:fill="FFFFFF"/>
        <w:tabs>
          <w:tab w:val="left" w:pos="1042"/>
        </w:tabs>
        <w:spacing w:after="0"/>
        <w:ind w:left="1800"/>
        <w:jc w:val="both"/>
      </w:pPr>
      <w:r w:rsidRPr="004A7593">
        <w:t>rritjen e ndërgjegjësimit mbi standardet e sigurisë dhe rreziqet e mundshme;</w:t>
      </w:r>
    </w:p>
    <w:p w14:paraId="40D3B434" w14:textId="77777777" w:rsidR="00F00D7B" w:rsidRPr="004A7593" w:rsidRDefault="00F00D7B" w:rsidP="00F00D7B">
      <w:pPr>
        <w:pStyle w:val="ListParagraph"/>
        <w:shd w:val="clear" w:color="auto" w:fill="FFFFFF"/>
        <w:tabs>
          <w:tab w:val="left" w:pos="1042"/>
        </w:tabs>
        <w:spacing w:after="0"/>
        <w:ind w:left="1440"/>
        <w:jc w:val="both"/>
      </w:pPr>
      <w:r w:rsidRPr="004A7593">
        <w:t xml:space="preserve">ç)  hartimin e udhëzimeve për zbatimin e kërkesave ligjore për grupe specifike </w:t>
      </w:r>
    </w:p>
    <w:p w14:paraId="14B50403" w14:textId="77777777" w:rsidR="00F00D7B" w:rsidRPr="004A7593" w:rsidRDefault="00F00D7B" w:rsidP="00F00D7B">
      <w:pPr>
        <w:pStyle w:val="ListParagraph"/>
        <w:shd w:val="clear" w:color="auto" w:fill="FFFFFF"/>
        <w:tabs>
          <w:tab w:val="left" w:pos="1042"/>
        </w:tabs>
        <w:spacing w:after="0"/>
        <w:ind w:left="1762"/>
        <w:jc w:val="both"/>
      </w:pPr>
      <w:r w:rsidRPr="004A7593">
        <w:t>produktesh, veçanërisht për ato që shpesh paraqesin rrezik serioz, përfshirë produktet që ofrohen për shitje në largësi.</w:t>
      </w:r>
    </w:p>
    <w:p w14:paraId="7F67A7C0" w14:textId="77777777" w:rsidR="00F00D7B" w:rsidRPr="004A7593" w:rsidRDefault="00F00D7B" w:rsidP="006B49C5">
      <w:pPr>
        <w:pStyle w:val="ListParagraph"/>
        <w:numPr>
          <w:ilvl w:val="0"/>
          <w:numId w:val="53"/>
        </w:numPr>
        <w:shd w:val="clear" w:color="auto" w:fill="FFFFFF"/>
        <w:tabs>
          <w:tab w:val="left" w:pos="1042"/>
        </w:tabs>
        <w:spacing w:after="0"/>
        <w:jc w:val="both"/>
      </w:pPr>
      <w:r w:rsidRPr="004A7593">
        <w:t>Aktivitetet e përbashkëta nuk duhet të krijojnë konkurrencë të pandershme mes operatorëve ekonomikë dhe nuk duhet të ndikojnë në objektivitetin, pavarësinë dhe paanësinë e strukturave përgjegjëse.</w:t>
      </w:r>
    </w:p>
    <w:p w14:paraId="469B6796" w14:textId="77777777" w:rsidR="00F00D7B" w:rsidRPr="004A7593" w:rsidRDefault="00F00D7B" w:rsidP="006B49C5">
      <w:pPr>
        <w:pStyle w:val="ListParagraph"/>
        <w:numPr>
          <w:ilvl w:val="0"/>
          <w:numId w:val="53"/>
        </w:numPr>
        <w:shd w:val="clear" w:color="auto" w:fill="FFFFFF"/>
        <w:tabs>
          <w:tab w:val="left" w:pos="1042"/>
        </w:tabs>
        <w:spacing w:after="0"/>
        <w:jc w:val="both"/>
      </w:pPr>
      <w:r w:rsidRPr="004A7593">
        <w:t>Strukturat përgjegjëse mund të përdorin informacionet e siguruara gjatë aktiviteteve të përbashkëta si pjesë të hetimeve për mospërputhshmëri të produkteve në treg.</w:t>
      </w:r>
    </w:p>
    <w:p w14:paraId="52E1C2A1" w14:textId="77777777" w:rsidR="00F00D7B" w:rsidRPr="004A7593" w:rsidRDefault="00F00D7B" w:rsidP="006B49C5">
      <w:pPr>
        <w:pStyle w:val="ListParagraph"/>
        <w:numPr>
          <w:ilvl w:val="0"/>
          <w:numId w:val="53"/>
        </w:numPr>
        <w:shd w:val="clear" w:color="auto" w:fill="FFFFFF"/>
        <w:tabs>
          <w:tab w:val="left" w:pos="1042"/>
        </w:tabs>
        <w:spacing w:after="0"/>
        <w:jc w:val="both"/>
      </w:pPr>
      <w:r w:rsidRPr="004A7593">
        <w:t>Informacioni për aktivitetet e përbashkëta dhe pjesëmarrësit e përmendur në pikën 1 të këtij neni, publikohen në sistemin komunikimit dhe shkëmbimit të informacionit.</w:t>
      </w:r>
    </w:p>
    <w:bookmarkEnd w:id="30"/>
    <w:p w14:paraId="39F46BDC" w14:textId="77777777" w:rsidR="00F00D7B" w:rsidRPr="004A7593" w:rsidRDefault="00F00D7B" w:rsidP="00F00D7B">
      <w:pPr>
        <w:pStyle w:val="ListParagraph"/>
        <w:spacing w:after="0"/>
        <w:jc w:val="both"/>
      </w:pPr>
    </w:p>
    <w:p w14:paraId="70DABACC" w14:textId="77777777" w:rsidR="00F00D7B" w:rsidRPr="004A7593" w:rsidRDefault="00F00D7B" w:rsidP="00F00D7B">
      <w:pPr>
        <w:spacing w:after="0"/>
        <w:jc w:val="center"/>
        <w:rPr>
          <w:b/>
          <w:bCs/>
        </w:rPr>
      </w:pPr>
      <w:bookmarkStart w:id="32" w:name="_Hlk182498659"/>
      <w:r w:rsidRPr="004A7593">
        <w:rPr>
          <w:b/>
          <w:bCs/>
        </w:rPr>
        <w:t>Neni 33/2</w:t>
      </w:r>
      <w:r w:rsidRPr="004A7593">
        <w:br/>
      </w:r>
      <w:r w:rsidRPr="004A7593">
        <w:rPr>
          <w:b/>
          <w:bCs/>
        </w:rPr>
        <w:t>Shpenzimet e procedurës</w:t>
      </w:r>
    </w:p>
    <w:p w14:paraId="123D292F" w14:textId="77777777" w:rsidR="00F00D7B" w:rsidRPr="004A7593" w:rsidRDefault="00F00D7B" w:rsidP="00F00D7B">
      <w:pPr>
        <w:spacing w:after="0"/>
        <w:jc w:val="center"/>
      </w:pPr>
    </w:p>
    <w:p w14:paraId="4F61BA54" w14:textId="77777777" w:rsidR="00F00D7B" w:rsidRPr="004A7593" w:rsidRDefault="00F00D7B" w:rsidP="006B49C5">
      <w:pPr>
        <w:numPr>
          <w:ilvl w:val="0"/>
          <w:numId w:val="28"/>
        </w:numPr>
        <w:spacing w:after="0"/>
        <w:jc w:val="both"/>
      </w:pPr>
      <w:bookmarkStart w:id="33" w:name="_Hlk192954639"/>
      <w:bookmarkEnd w:id="32"/>
      <w:r w:rsidRPr="004A7593">
        <w:t>Kur konstatohet se produkti nuk është në përputhje me kërkesat e legjislacionit në fuqi, shpenzimet për marrjen, transportin, ekzaminimin apo analizën e mostrave dhe çdo shpenzim tjetër i lidhur me këtë proces, mbulohen nga operatori ekonomik përgjegjës.</w:t>
      </w:r>
    </w:p>
    <w:p w14:paraId="73360294" w14:textId="77777777" w:rsidR="00F00D7B" w:rsidRPr="004A7593" w:rsidRDefault="00F00D7B" w:rsidP="006B49C5">
      <w:pPr>
        <w:numPr>
          <w:ilvl w:val="0"/>
          <w:numId w:val="28"/>
        </w:numPr>
        <w:spacing w:after="0"/>
        <w:jc w:val="both"/>
      </w:pPr>
      <w:r w:rsidRPr="004A7593">
        <w:t>Nëse masat korrigjuese të zbatuara nga operatori ekonomik janë të pamjaftueshme dhe produkti vazhdon të mos jetë në përputhje me kërkesat e legjislacionit në fuqi, struktura përgjegjëse merr masat e nevojshme dhe shpenzimet për zbatimin e tyre mbulohen nga operatori ekonomik përgjegjës.</w:t>
      </w:r>
    </w:p>
    <w:p w14:paraId="7A0DCE57" w14:textId="77777777" w:rsidR="00F00D7B" w:rsidRPr="004A7593" w:rsidRDefault="00F00D7B" w:rsidP="006B49C5">
      <w:pPr>
        <w:numPr>
          <w:ilvl w:val="0"/>
          <w:numId w:val="28"/>
        </w:numPr>
        <w:spacing w:after="0"/>
        <w:jc w:val="both"/>
      </w:pPr>
      <w:r w:rsidRPr="004A7593">
        <w:t>Kur produkti rezulton në përputhje me legjislacionin në fuqi, shpenzimet e parashikuara në pikën 1 mbulohen nga struktura përgjegjëse.</w:t>
      </w:r>
    </w:p>
    <w:p w14:paraId="7EB1D311" w14:textId="3AF5E1FF" w:rsidR="00F00D7B" w:rsidRPr="004A7593" w:rsidRDefault="00F00D7B" w:rsidP="006B49C5">
      <w:pPr>
        <w:numPr>
          <w:ilvl w:val="0"/>
          <w:numId w:val="28"/>
        </w:numPr>
        <w:spacing w:after="0"/>
        <w:jc w:val="both"/>
      </w:pPr>
      <w:r w:rsidRPr="004A7593">
        <w:t>Shpenzimet sipas pikës 1 të këtij neni parapaguhen nga struktura përgjegjëse dhe, nëse verifikohet mospërputhshmëria e produktit, ato mbulohen nga operatori ekonomik. Shuma e shpenzimeve pasqyrohet në vendimin përfundimtar të inspektimit.</w:t>
      </w:r>
      <w:r w:rsidR="00AF56E3">
        <w:t xml:space="preserve">”. </w:t>
      </w:r>
      <w:r w:rsidRPr="004A7593">
        <w:t xml:space="preserve"> </w:t>
      </w:r>
    </w:p>
    <w:bookmarkEnd w:id="33"/>
    <w:p w14:paraId="06FB2FEF" w14:textId="77777777" w:rsidR="00F00D7B" w:rsidRPr="004A7593" w:rsidRDefault="00F00D7B" w:rsidP="00F00D7B">
      <w:pPr>
        <w:spacing w:after="0"/>
        <w:jc w:val="both"/>
      </w:pPr>
    </w:p>
    <w:p w14:paraId="31D3D38B" w14:textId="0203A9A4" w:rsidR="00B42468" w:rsidRDefault="00B42468" w:rsidP="00B42468">
      <w:pPr>
        <w:spacing w:after="0"/>
        <w:jc w:val="center"/>
        <w:rPr>
          <w:b/>
        </w:rPr>
      </w:pPr>
      <w:r w:rsidRPr="004A7593">
        <w:rPr>
          <w:b/>
        </w:rPr>
        <w:t xml:space="preserve">Neni </w:t>
      </w:r>
      <w:r w:rsidR="008478B6">
        <w:rPr>
          <w:b/>
        </w:rPr>
        <w:t>19</w:t>
      </w:r>
    </w:p>
    <w:p w14:paraId="1BFFFC51" w14:textId="77777777" w:rsidR="00943A3A" w:rsidRPr="004A7593" w:rsidRDefault="00943A3A" w:rsidP="00B42468">
      <w:pPr>
        <w:spacing w:after="0"/>
        <w:jc w:val="center"/>
        <w:rPr>
          <w:b/>
        </w:rPr>
      </w:pPr>
    </w:p>
    <w:p w14:paraId="26675064" w14:textId="097DDCDC" w:rsidR="00B42468" w:rsidRPr="004A7593" w:rsidRDefault="00B42468" w:rsidP="00B42468">
      <w:pPr>
        <w:shd w:val="clear" w:color="auto" w:fill="FFFFFF"/>
        <w:spacing w:after="0"/>
      </w:pPr>
      <w:r w:rsidRPr="004A7593">
        <w:t>Pas nenit 33/2, shtohet Kreu VII/</w:t>
      </w:r>
      <w:r w:rsidR="00750432">
        <w:t>I</w:t>
      </w:r>
      <w:r w:rsidRPr="004A7593">
        <w:t xml:space="preserve"> “KONTROLLI I PRODUKTEVE QË HYJNË NË TREGUN SHQIPTAR” dhe neni 33/3 me përmbajtje si vijon:</w:t>
      </w:r>
    </w:p>
    <w:p w14:paraId="6D6AA7EE" w14:textId="77777777" w:rsidR="00F00D7B" w:rsidRPr="004A7593" w:rsidRDefault="00F00D7B" w:rsidP="00F00D7B">
      <w:pPr>
        <w:spacing w:after="0"/>
        <w:jc w:val="both"/>
        <w:rPr>
          <w:sz w:val="28"/>
          <w:szCs w:val="28"/>
        </w:rPr>
      </w:pPr>
    </w:p>
    <w:p w14:paraId="2FB959EF" w14:textId="056DFED7" w:rsidR="00F00D7B" w:rsidRPr="004A4D83" w:rsidRDefault="00B42468" w:rsidP="00F00D7B">
      <w:pPr>
        <w:shd w:val="clear" w:color="auto" w:fill="FFFFFF"/>
        <w:spacing w:after="0"/>
        <w:jc w:val="center"/>
      </w:pPr>
      <w:bookmarkStart w:id="34" w:name="_Hlk192347764"/>
      <w:r w:rsidRPr="004A7593">
        <w:t>“</w:t>
      </w:r>
      <w:r w:rsidR="00F00D7B" w:rsidRPr="004A4D83">
        <w:t>KREU VII/1</w:t>
      </w:r>
    </w:p>
    <w:p w14:paraId="74BC050E" w14:textId="77777777" w:rsidR="00F00D7B" w:rsidRPr="004A4D83" w:rsidRDefault="00F00D7B" w:rsidP="00F00D7B">
      <w:pPr>
        <w:shd w:val="clear" w:color="auto" w:fill="FFFFFF"/>
        <w:spacing w:after="0"/>
        <w:jc w:val="center"/>
      </w:pPr>
      <w:r w:rsidRPr="004A4D83">
        <w:t>KONTROLLI I PRODUKTEVE QË HYJNË NË TREGUN SHQIPTAR</w:t>
      </w:r>
    </w:p>
    <w:p w14:paraId="6C1AE51E" w14:textId="77777777" w:rsidR="00F00D7B" w:rsidRPr="004A4D83" w:rsidRDefault="00F00D7B" w:rsidP="00F00D7B">
      <w:pPr>
        <w:shd w:val="clear" w:color="auto" w:fill="FFFFFF"/>
        <w:spacing w:after="0"/>
        <w:jc w:val="center"/>
      </w:pPr>
    </w:p>
    <w:p w14:paraId="5ED493A0" w14:textId="77777777" w:rsidR="00F00D7B" w:rsidRPr="004A7593" w:rsidRDefault="00F00D7B" w:rsidP="00F00D7B">
      <w:pPr>
        <w:shd w:val="clear" w:color="auto" w:fill="FFFFFF"/>
        <w:spacing w:after="0"/>
        <w:jc w:val="center"/>
        <w:rPr>
          <w:b/>
          <w:bCs/>
        </w:rPr>
      </w:pPr>
      <w:r w:rsidRPr="004A7593">
        <w:rPr>
          <w:b/>
          <w:bCs/>
        </w:rPr>
        <w:t>Neni 33/3</w:t>
      </w:r>
    </w:p>
    <w:p w14:paraId="1C305857" w14:textId="77777777" w:rsidR="00F00D7B" w:rsidRPr="004A7593" w:rsidRDefault="00F00D7B" w:rsidP="00F00D7B">
      <w:pPr>
        <w:shd w:val="clear" w:color="auto" w:fill="FFFFFF"/>
        <w:spacing w:after="0"/>
        <w:jc w:val="center"/>
        <w:rPr>
          <w:b/>
          <w:bCs/>
        </w:rPr>
      </w:pPr>
      <w:r w:rsidRPr="004A7593">
        <w:rPr>
          <w:b/>
          <w:bCs/>
        </w:rPr>
        <w:t>Detyrimet e autoriteteve doganore</w:t>
      </w:r>
    </w:p>
    <w:bookmarkEnd w:id="34"/>
    <w:p w14:paraId="05B9B4B6" w14:textId="77777777" w:rsidR="00F00D7B" w:rsidRPr="004A7593" w:rsidRDefault="00F00D7B" w:rsidP="00F00D7B">
      <w:pPr>
        <w:shd w:val="clear" w:color="auto" w:fill="FFFFFF"/>
        <w:tabs>
          <w:tab w:val="left" w:pos="1042"/>
        </w:tabs>
        <w:spacing w:after="0"/>
        <w:jc w:val="both"/>
      </w:pPr>
    </w:p>
    <w:p w14:paraId="405658F3" w14:textId="77777777" w:rsidR="00F00D7B" w:rsidRPr="004A7593" w:rsidRDefault="00F00D7B" w:rsidP="003B2564">
      <w:pPr>
        <w:numPr>
          <w:ilvl w:val="0"/>
          <w:numId w:val="16"/>
        </w:numPr>
        <w:shd w:val="clear" w:color="auto" w:fill="FFFFFF"/>
        <w:spacing w:after="0"/>
        <w:jc w:val="both"/>
      </w:pPr>
      <w:r w:rsidRPr="004A7593">
        <w:t>Autoritetet doganore kryejnë kontrolle mbi karakteristikat e produkteve gjatë procedurës së çlirimit të mallrave për qarkullim të lirë, bazuar në analizën e rrezikut sipas legjislacionit doganor dhe, kur është e nevojshme, në bazë të vlerësimit të rrezikut të kryer në përputhje me këtë ligj.</w:t>
      </w:r>
    </w:p>
    <w:p w14:paraId="4B9F29E9" w14:textId="77777777" w:rsidR="00F00D7B" w:rsidRPr="004A7593" w:rsidRDefault="00F00D7B" w:rsidP="003B2564">
      <w:pPr>
        <w:numPr>
          <w:ilvl w:val="0"/>
          <w:numId w:val="16"/>
        </w:numPr>
        <w:shd w:val="clear" w:color="auto" w:fill="FFFFFF"/>
        <w:spacing w:after="0"/>
        <w:jc w:val="both"/>
      </w:pPr>
      <w:r w:rsidRPr="004A7593">
        <w:t xml:space="preserve">Gjatë procedurës së kontrollit, autoritetet doganore bashkëpunojnë me strukturat përgjegjëse, përfshirë shkëmbimin e informacionit mbi kontrollin e produkteve dhe analizat e vlerësimit të rrezikut. </w:t>
      </w:r>
    </w:p>
    <w:p w14:paraId="34179BFF" w14:textId="77777777" w:rsidR="00F00D7B" w:rsidRPr="004A7593" w:rsidRDefault="00F00D7B" w:rsidP="003B2564">
      <w:pPr>
        <w:numPr>
          <w:ilvl w:val="0"/>
          <w:numId w:val="16"/>
        </w:numPr>
        <w:shd w:val="clear" w:color="auto" w:fill="FFFFFF"/>
        <w:spacing w:after="0"/>
        <w:jc w:val="both"/>
      </w:pPr>
      <w:r w:rsidRPr="004A7593">
        <w:t>Kur konstatohet një nivel i lartë rreziku për mospërputhshmëri të produkteve, strukturat përgjegjëse informojnë autoritetet doganore për kategoritë e produkteve me rrezik të lartë dhe/ose për identitetin e operatorëve ekonomikë përkatës.</w:t>
      </w:r>
    </w:p>
    <w:p w14:paraId="0295822D" w14:textId="19F1E765" w:rsidR="00CC5018" w:rsidRPr="004A7593" w:rsidRDefault="00F00D7B" w:rsidP="003B2564">
      <w:pPr>
        <w:numPr>
          <w:ilvl w:val="0"/>
          <w:numId w:val="16"/>
        </w:numPr>
        <w:shd w:val="clear" w:color="auto" w:fill="FFFFFF"/>
        <w:spacing w:after="0"/>
        <w:jc w:val="both"/>
      </w:pPr>
      <w:r w:rsidRPr="004A7593">
        <w:t>Kur produktet ndodhen në magazinim të përkohshëm ose nën një regjim doganor tjetër nga "çlirimi për qarkullim të lirë", dhe autoritetet doganore shqiptare, si pika e parë e hyrjes, kanë arsye të bazuara për të dyshuar se produktet nuk janë në përputhje me legjislacionin e zbatueshëm ose paraqesin rrezik për shëndetin dhe sigurinë, ato përcjellin informacionin përkatës te autoritetet doganore përgjegjëse të destinacionit për veprime të mëtejshme.</w:t>
      </w:r>
      <w:r w:rsidR="00CC5018" w:rsidRPr="004A7593">
        <w:t xml:space="preserve">”. </w:t>
      </w:r>
    </w:p>
    <w:bookmarkEnd w:id="31"/>
    <w:p w14:paraId="68276CB5" w14:textId="77777777" w:rsidR="00CC5018" w:rsidRPr="004A7593" w:rsidRDefault="00CC5018" w:rsidP="00BF1273">
      <w:pPr>
        <w:shd w:val="clear" w:color="auto" w:fill="FFFFFF"/>
        <w:spacing w:after="0"/>
      </w:pPr>
    </w:p>
    <w:p w14:paraId="40D4FEC4" w14:textId="61A2B16B" w:rsidR="004A17D8" w:rsidRDefault="004A17D8" w:rsidP="00BF1273">
      <w:pPr>
        <w:shd w:val="clear" w:color="auto" w:fill="FFFFFF"/>
        <w:spacing w:after="0"/>
        <w:jc w:val="center"/>
        <w:rPr>
          <w:b/>
          <w:bCs/>
        </w:rPr>
      </w:pPr>
      <w:r w:rsidRPr="004A7593">
        <w:rPr>
          <w:b/>
          <w:bCs/>
        </w:rPr>
        <w:t xml:space="preserve">Neni </w:t>
      </w:r>
      <w:r w:rsidR="00F90683" w:rsidRPr="004A7593">
        <w:rPr>
          <w:b/>
          <w:bCs/>
        </w:rPr>
        <w:t>2</w:t>
      </w:r>
      <w:r w:rsidR="008478B6">
        <w:rPr>
          <w:b/>
          <w:bCs/>
        </w:rPr>
        <w:t>0</w:t>
      </w:r>
    </w:p>
    <w:p w14:paraId="3713F67B" w14:textId="77777777" w:rsidR="00943A3A" w:rsidRPr="004A7593" w:rsidRDefault="00943A3A" w:rsidP="00BF1273">
      <w:pPr>
        <w:shd w:val="clear" w:color="auto" w:fill="FFFFFF"/>
        <w:spacing w:after="0"/>
        <w:jc w:val="center"/>
        <w:rPr>
          <w:b/>
          <w:bCs/>
        </w:rPr>
      </w:pPr>
    </w:p>
    <w:p w14:paraId="608D1027" w14:textId="19FC18F3" w:rsidR="00303DFE" w:rsidRPr="000B3C43" w:rsidRDefault="004A17D8" w:rsidP="00BF1273">
      <w:pPr>
        <w:shd w:val="clear" w:color="auto" w:fill="FFFFFF"/>
        <w:spacing w:after="0"/>
        <w:jc w:val="both"/>
      </w:pPr>
      <w:r w:rsidRPr="000B3C43">
        <w:t xml:space="preserve">Në nenin 34, bëhen </w:t>
      </w:r>
      <w:r w:rsidR="00303DFE">
        <w:t xml:space="preserve">shtesat dhe </w:t>
      </w:r>
      <w:r w:rsidRPr="000B3C43">
        <w:t xml:space="preserve">ndryshimet </w:t>
      </w:r>
      <w:r w:rsidR="006566F8" w:rsidRPr="000B3C43">
        <w:t>si m</w:t>
      </w:r>
      <w:r w:rsidR="00A915EB">
        <w:t>ë</w:t>
      </w:r>
      <w:r w:rsidR="006566F8" w:rsidRPr="000B3C43">
        <w:t xml:space="preserve"> posht</w:t>
      </w:r>
      <w:r w:rsidR="00A915EB">
        <w:t>ë</w:t>
      </w:r>
      <w:r w:rsidRPr="000B3C43">
        <w:t xml:space="preserve">: </w:t>
      </w:r>
    </w:p>
    <w:p w14:paraId="43F10C39" w14:textId="33469B2A" w:rsidR="00303DFE" w:rsidRPr="000B3C43" w:rsidRDefault="004A17D8" w:rsidP="006B49C5">
      <w:pPr>
        <w:pStyle w:val="ListParagraph"/>
        <w:numPr>
          <w:ilvl w:val="0"/>
          <w:numId w:val="59"/>
        </w:numPr>
      </w:pPr>
      <w:r w:rsidRPr="000B3C43">
        <w:t>Titulli i nenit 34 “Kontrolli i produkteve q</w:t>
      </w:r>
      <w:r w:rsidR="00C56087" w:rsidRPr="000B3C43">
        <w:t>ë</w:t>
      </w:r>
      <w:r w:rsidRPr="000B3C43">
        <w:t xml:space="preserve"> hyjn</w:t>
      </w:r>
      <w:r w:rsidR="00C56087" w:rsidRPr="000B3C43">
        <w:t>ë</w:t>
      </w:r>
      <w:r w:rsidRPr="000B3C43">
        <w:t xml:space="preserve"> n</w:t>
      </w:r>
      <w:r w:rsidR="00C56087" w:rsidRPr="000B3C43">
        <w:t>ë</w:t>
      </w:r>
      <w:r w:rsidRPr="000B3C43">
        <w:t xml:space="preserve"> territorin shqiptar” </w:t>
      </w:r>
      <w:r w:rsidR="006566F8" w:rsidRPr="000B3C43">
        <w:t xml:space="preserve">ndryshohet </w:t>
      </w:r>
      <w:r w:rsidR="00EF2FE4" w:rsidRPr="000B3C43">
        <w:t>me titullin</w:t>
      </w:r>
      <w:r w:rsidRPr="000B3C43">
        <w:t xml:space="preserve"> “Pezullimi i çlirimit për qarkullim të lirë”. </w:t>
      </w:r>
    </w:p>
    <w:p w14:paraId="00D2228E" w14:textId="1D16458C" w:rsidR="007E4E79" w:rsidRPr="000B3C43" w:rsidRDefault="00EF2FE4" w:rsidP="006B49C5">
      <w:pPr>
        <w:pStyle w:val="ListParagraph"/>
        <w:numPr>
          <w:ilvl w:val="0"/>
          <w:numId w:val="59"/>
        </w:numPr>
        <w:shd w:val="clear" w:color="auto" w:fill="FFFFFF"/>
        <w:jc w:val="both"/>
      </w:pPr>
      <w:r w:rsidRPr="000B3C43">
        <w:t>N</w:t>
      </w:r>
      <w:r w:rsidR="00A915EB">
        <w:t>ë</w:t>
      </w:r>
      <w:r w:rsidRPr="000B3C43">
        <w:t xml:space="preserve"> pik</w:t>
      </w:r>
      <w:r w:rsidR="00A915EB">
        <w:t>ë</w:t>
      </w:r>
      <w:r w:rsidRPr="000B3C43">
        <w:t>n 1, togfjal</w:t>
      </w:r>
      <w:r w:rsidR="00A915EB">
        <w:t>ë</w:t>
      </w:r>
      <w:r w:rsidRPr="000B3C43">
        <w:t>shi “</w:t>
      </w:r>
      <w:r w:rsidRPr="007010CC">
        <w:rPr>
          <w:rFonts w:eastAsiaTheme="minorHAnsi"/>
        </w:rPr>
        <w:t>pezullojnë zhdoganimin e produktit për të qarkulluar lirisht’ ndryshohet me togfj</w:t>
      </w:r>
      <w:r w:rsidRPr="00FF7441">
        <w:rPr>
          <w:rFonts w:eastAsiaTheme="minorHAnsi"/>
        </w:rPr>
        <w:t>al</w:t>
      </w:r>
      <w:r w:rsidR="00A915EB" w:rsidRPr="00FF7441">
        <w:rPr>
          <w:rFonts w:eastAsiaTheme="minorHAnsi"/>
        </w:rPr>
        <w:t>ë</w:t>
      </w:r>
      <w:r w:rsidRPr="000D6645">
        <w:rPr>
          <w:rFonts w:eastAsiaTheme="minorHAnsi"/>
        </w:rPr>
        <w:t xml:space="preserve">shin </w:t>
      </w:r>
      <w:r w:rsidR="007E4E79" w:rsidRPr="000D6645">
        <w:rPr>
          <w:rFonts w:eastAsiaTheme="minorHAnsi"/>
        </w:rPr>
        <w:t>“</w:t>
      </w:r>
      <w:r w:rsidR="007E4E79" w:rsidRPr="000B3C43">
        <w:t xml:space="preserve">pezullojnë procedurën për çlirimin e produktit për qarkullim të lirë”. </w:t>
      </w:r>
    </w:p>
    <w:p w14:paraId="4540A74B" w14:textId="1E2AF8AE" w:rsidR="00C77551" w:rsidRDefault="00C77551" w:rsidP="006B49C5">
      <w:pPr>
        <w:pStyle w:val="ListParagraph"/>
        <w:numPr>
          <w:ilvl w:val="0"/>
          <w:numId w:val="59"/>
        </w:numPr>
        <w:spacing w:after="0"/>
        <w:jc w:val="both"/>
      </w:pPr>
      <w:r>
        <w:t>S</w:t>
      </w:r>
      <w:r w:rsidR="007612E6" w:rsidRPr="000B3C43">
        <w:t>hkronj</w:t>
      </w:r>
      <w:r>
        <w:t>a</w:t>
      </w:r>
      <w:r w:rsidR="007612E6" w:rsidRPr="000B3C43">
        <w:t xml:space="preserve"> “b” </w:t>
      </w:r>
      <w:r w:rsidR="0058108A">
        <w:t>e pik</w:t>
      </w:r>
      <w:r w:rsidR="00AC4939">
        <w:t>ë</w:t>
      </w:r>
      <w:r w:rsidR="0058108A">
        <w:t xml:space="preserve">s 1 </w:t>
      </w:r>
      <w:r>
        <w:t>ndryshohet si m</w:t>
      </w:r>
      <w:r w:rsidR="00AC4939">
        <w:t>ë</w:t>
      </w:r>
      <w:r>
        <w:t xml:space="preserve"> posht</w:t>
      </w:r>
      <w:r w:rsidR="00AC4939">
        <w:t>ë</w:t>
      </w:r>
      <w:r>
        <w:t xml:space="preserve">: </w:t>
      </w:r>
    </w:p>
    <w:p w14:paraId="23371FAD" w14:textId="33A95F2D" w:rsidR="007612E6" w:rsidRPr="00C77551" w:rsidRDefault="00C77551" w:rsidP="00396614">
      <w:pPr>
        <w:pStyle w:val="ListParagraph"/>
        <w:spacing w:after="0"/>
        <w:ind w:left="1440"/>
        <w:jc w:val="both"/>
      </w:pPr>
      <w:r w:rsidRPr="00C77551">
        <w:t>“b) markimi CE i konformitetit, ose çdo markim tjetër i kërkuar sipas legjislacionit në fuqi, është vendosur në mënyrë të rreme, të falsifikuar ose mashtruese, në kundërshtim me kërkesat e legjislacionit të zbatueshëm</w:t>
      </w:r>
      <w:r w:rsidR="007612E6" w:rsidRPr="00C77551">
        <w:t xml:space="preserve">;”. </w:t>
      </w:r>
    </w:p>
    <w:p w14:paraId="113619D4" w14:textId="77777777" w:rsidR="000B3C43" w:rsidRDefault="00F050EF" w:rsidP="006B49C5">
      <w:pPr>
        <w:pStyle w:val="ListParagraph"/>
        <w:numPr>
          <w:ilvl w:val="0"/>
          <w:numId w:val="59"/>
        </w:numPr>
        <w:spacing w:after="0"/>
        <w:jc w:val="both"/>
      </w:pPr>
      <w:r w:rsidRPr="000B3C43">
        <w:lastRenderedPageBreak/>
        <w:t xml:space="preserve">Në shkronjën “c” të pikës 1, togfjalëshi “ose nuk është markuar në përputhje me këtë legjislacion apo atë të harmonizuar evropian” </w:t>
      </w:r>
      <w:r w:rsidR="00EF2FE4" w:rsidRPr="000B3C43">
        <w:t>ndryshohet</w:t>
      </w:r>
      <w:r w:rsidRPr="000B3C43">
        <w:t xml:space="preserve"> me togfjal</w:t>
      </w:r>
      <w:r w:rsidR="00C56087" w:rsidRPr="000B3C43">
        <w:t>ë</w:t>
      </w:r>
      <w:r w:rsidRPr="000B3C43">
        <w:t xml:space="preserve">shin “ose ekziston një dyshim i arsyeshëm për vërtetësinë, saktësinë ose plotësinë e </w:t>
      </w:r>
      <w:r w:rsidR="00752430" w:rsidRPr="000B3C43">
        <w:t>tij</w:t>
      </w:r>
      <w:r w:rsidRPr="000B3C43">
        <w:t xml:space="preserve">”. </w:t>
      </w:r>
    </w:p>
    <w:p w14:paraId="10625F3B" w14:textId="64A94183" w:rsidR="00F050EF" w:rsidRPr="000B3C43" w:rsidRDefault="004A17D8" w:rsidP="006B49C5">
      <w:pPr>
        <w:pStyle w:val="ListParagraph"/>
        <w:numPr>
          <w:ilvl w:val="0"/>
          <w:numId w:val="59"/>
        </w:numPr>
        <w:spacing w:after="0"/>
        <w:jc w:val="both"/>
      </w:pPr>
      <w:r w:rsidRPr="000B3C43">
        <w:t>Pas shkr</w:t>
      </w:r>
      <w:r w:rsidR="00F050EF" w:rsidRPr="000B3C43">
        <w:t>o</w:t>
      </w:r>
      <w:r w:rsidRPr="000B3C43">
        <w:t>nj</w:t>
      </w:r>
      <w:r w:rsidR="00C56087" w:rsidRPr="000B3C43">
        <w:t>ë</w:t>
      </w:r>
      <w:r w:rsidRPr="000B3C43">
        <w:t xml:space="preserve">s “c” të pikës 1, </w:t>
      </w:r>
      <w:r w:rsidR="00F050EF" w:rsidRPr="000B3C43">
        <w:t>shtohet shkronja “</w:t>
      </w:r>
      <w:r w:rsidR="000B3C43">
        <w:t>c/1</w:t>
      </w:r>
      <w:r w:rsidR="00F050EF" w:rsidRPr="000B3C43">
        <w:t>”</w:t>
      </w:r>
      <w:r w:rsidR="00752430" w:rsidRPr="000B3C43">
        <w:t xml:space="preserve"> dhe “</w:t>
      </w:r>
      <w:r w:rsidR="000B3C43">
        <w:t>c/2</w:t>
      </w:r>
      <w:r w:rsidR="00752430" w:rsidRPr="000B3C43">
        <w:t>”</w:t>
      </w:r>
      <w:r w:rsidR="00F050EF" w:rsidRPr="000B3C43">
        <w:t>, me këtë përmbajtje:</w:t>
      </w:r>
    </w:p>
    <w:p w14:paraId="7D098B4F" w14:textId="11884A52" w:rsidR="000B3C43" w:rsidRPr="000B3C43" w:rsidRDefault="007010CC" w:rsidP="00396614">
      <w:pPr>
        <w:pStyle w:val="ListParagraph"/>
        <w:widowControl w:val="0"/>
        <w:shd w:val="clear" w:color="auto" w:fill="FFFFFF"/>
        <w:tabs>
          <w:tab w:val="left" w:pos="990"/>
        </w:tabs>
        <w:autoSpaceDE w:val="0"/>
        <w:autoSpaceDN w:val="0"/>
        <w:adjustRightInd w:val="0"/>
        <w:ind w:left="1440"/>
        <w:jc w:val="both"/>
        <w:rPr>
          <w:spacing w:val="-2"/>
        </w:rPr>
      </w:pPr>
      <w:r>
        <w:t>“</w:t>
      </w:r>
      <w:r w:rsidR="000B3C43" w:rsidRPr="000B3C43">
        <w:t>c/1 ) produkti nuk është markuar ose etiketuar në përputhje me legjislacion përkatës të zbatueshëm;</w:t>
      </w:r>
    </w:p>
    <w:p w14:paraId="379C67A7" w14:textId="552EC185" w:rsidR="003C30C3" w:rsidRDefault="000B3C43" w:rsidP="00396614">
      <w:pPr>
        <w:pStyle w:val="ListParagraph"/>
        <w:widowControl w:val="0"/>
        <w:shd w:val="clear" w:color="auto" w:fill="FFFFFF"/>
        <w:tabs>
          <w:tab w:val="left" w:pos="990"/>
        </w:tabs>
        <w:autoSpaceDE w:val="0"/>
        <w:autoSpaceDN w:val="0"/>
        <w:adjustRightInd w:val="0"/>
        <w:ind w:left="1440"/>
        <w:jc w:val="both"/>
      </w:pPr>
      <w:r w:rsidRPr="000B3C43">
        <w:rPr>
          <w:spacing w:val="-2"/>
        </w:rPr>
        <w:t xml:space="preserve">c/2) </w:t>
      </w:r>
      <w:bookmarkStart w:id="35" w:name="_Hlk190947868"/>
      <w:r w:rsidRPr="000B3C43">
        <w:t>emri, emri tregtar ose marka tregtare e regjistruar dhe të dhënat e kontaktit të operatorit ekonomik, përfshirë adresën e selisë, nuk janë të vendosura ose nuk mund të identifikohen në përputhje me nenin 15/1, pika 3, shkronja d) e këtij ligji;</w:t>
      </w:r>
      <w:r w:rsidR="007010CC">
        <w:t xml:space="preserve">”. </w:t>
      </w:r>
      <w:r w:rsidRPr="000B3C43">
        <w:t xml:space="preserve"> </w:t>
      </w:r>
      <w:bookmarkEnd w:id="35"/>
    </w:p>
    <w:p w14:paraId="28845A13" w14:textId="00E27EC1" w:rsidR="003C30C3" w:rsidRPr="0022088F" w:rsidRDefault="000B3C43" w:rsidP="006B49C5">
      <w:pPr>
        <w:pStyle w:val="ListParagraph"/>
        <w:widowControl w:val="0"/>
        <w:numPr>
          <w:ilvl w:val="0"/>
          <w:numId w:val="59"/>
        </w:numPr>
        <w:shd w:val="clear" w:color="auto" w:fill="FFFFFF"/>
        <w:tabs>
          <w:tab w:val="left" w:pos="990"/>
        </w:tabs>
        <w:autoSpaceDE w:val="0"/>
        <w:autoSpaceDN w:val="0"/>
        <w:adjustRightInd w:val="0"/>
        <w:jc w:val="both"/>
      </w:pPr>
      <w:r w:rsidRPr="0022088F">
        <w:t>Në shkronjën “ç” të pikës 1, togfjalëshi “</w:t>
      </w:r>
      <w:r w:rsidR="003C30C3" w:rsidRPr="007010CC">
        <w:rPr>
          <w:rFonts w:eastAsiaTheme="minorHAnsi"/>
        </w:rPr>
        <w:t>për pezullimin e zhdoganimit</w:t>
      </w:r>
      <w:r w:rsidRPr="0022088F">
        <w:t>” ndryshohet me togfjalëshin “</w:t>
      </w:r>
      <w:r w:rsidR="003C30C3" w:rsidRPr="0022088F">
        <w:t>për pezullimin e procedurës për çlirimin për qarkullim të lirë</w:t>
      </w:r>
      <w:r w:rsidRPr="0022088F">
        <w:t xml:space="preserve">”. </w:t>
      </w:r>
    </w:p>
    <w:p w14:paraId="0562B9CA" w14:textId="1CC28678" w:rsidR="007010CC" w:rsidRPr="0022088F" w:rsidRDefault="00457AF1" w:rsidP="006B49C5">
      <w:pPr>
        <w:pStyle w:val="ListParagraph"/>
        <w:widowControl w:val="0"/>
        <w:numPr>
          <w:ilvl w:val="0"/>
          <w:numId w:val="59"/>
        </w:numPr>
        <w:shd w:val="clear" w:color="auto" w:fill="FFFFFF"/>
        <w:tabs>
          <w:tab w:val="left" w:pos="990"/>
        </w:tabs>
        <w:autoSpaceDE w:val="0"/>
        <w:autoSpaceDN w:val="0"/>
        <w:adjustRightInd w:val="0"/>
        <w:spacing w:after="0"/>
        <w:jc w:val="both"/>
      </w:pPr>
      <w:r w:rsidRPr="000B3C43">
        <w:t>Pikat 2</w:t>
      </w:r>
      <w:r>
        <w:t xml:space="preserve"> dhe </w:t>
      </w:r>
      <w:r w:rsidRPr="000B3C43">
        <w:t>3</w:t>
      </w:r>
      <w:r>
        <w:t xml:space="preserve"> ndryshohen </w:t>
      </w:r>
      <w:r w:rsidR="00535A80" w:rsidRPr="0022088F">
        <w:t>me përmbajtje</w:t>
      </w:r>
      <w:r>
        <w:t xml:space="preserve"> si m</w:t>
      </w:r>
      <w:r w:rsidR="00FF7441">
        <w:t>ë</w:t>
      </w:r>
      <w:r>
        <w:t xml:space="preserve"> posht</w:t>
      </w:r>
      <w:r w:rsidR="00FF7441">
        <w:t>ë</w:t>
      </w:r>
      <w:r w:rsidR="00535A80" w:rsidRPr="0022088F">
        <w:t xml:space="preserve">: </w:t>
      </w:r>
    </w:p>
    <w:p w14:paraId="6EEC8C27" w14:textId="3D22197C" w:rsidR="007010CC" w:rsidRPr="00396614" w:rsidRDefault="007010CC" w:rsidP="00396614">
      <w:pPr>
        <w:shd w:val="clear" w:color="auto" w:fill="FFFFFF"/>
        <w:tabs>
          <w:tab w:val="left" w:pos="990"/>
        </w:tabs>
        <w:spacing w:after="0"/>
        <w:ind w:left="720"/>
        <w:jc w:val="both"/>
      </w:pPr>
      <w:r>
        <w:t>“</w:t>
      </w:r>
      <w:bookmarkStart w:id="36" w:name="_Hlk198913207"/>
      <w:r w:rsidRPr="00396614">
        <w:t>2. Kur ka dyshime të arsyeshme se një produkt nuk është në përputhje me rregullat teknike të zbatueshme ose paraqet rrezik serioz, struktura përgjegjëse i kërkon autoritetit doganor të pezullojë procedurën për çlirimin e produktit për qarkullim të lirë.</w:t>
      </w:r>
    </w:p>
    <w:p w14:paraId="03C9B8DF" w14:textId="5AE141FE" w:rsidR="007010CC" w:rsidRPr="0071080C" w:rsidRDefault="007010CC" w:rsidP="00396614">
      <w:pPr>
        <w:shd w:val="clear" w:color="auto" w:fill="FFFFFF"/>
        <w:tabs>
          <w:tab w:val="left" w:pos="990"/>
        </w:tabs>
        <w:spacing w:after="0"/>
        <w:ind w:left="720"/>
        <w:jc w:val="both"/>
      </w:pPr>
      <w:bookmarkStart w:id="37" w:name="_Hlk198913558"/>
      <w:r w:rsidRPr="00396614">
        <w:t>3. Njoftimet dhe kërkesat sipas pikës 1 shkronja ç) dhe pik</w:t>
      </w:r>
      <w:r w:rsidR="00FF7441">
        <w:t>ë</w:t>
      </w:r>
      <w:r w:rsidRPr="00396614">
        <w:t>s 1/1 të këtij neni mund të paraqiten përmes sistemit të komunikimit dhe shkëmbimit të informacionit.</w:t>
      </w:r>
      <w:r>
        <w:t xml:space="preserve">”. </w:t>
      </w:r>
    </w:p>
    <w:bookmarkEnd w:id="36"/>
    <w:bookmarkEnd w:id="37"/>
    <w:p w14:paraId="42204EC2" w14:textId="7D7805C9" w:rsidR="003C30C3" w:rsidRPr="000B3C43" w:rsidRDefault="003C30C3" w:rsidP="006B49C5">
      <w:pPr>
        <w:pStyle w:val="ListParagraph"/>
        <w:numPr>
          <w:ilvl w:val="0"/>
          <w:numId w:val="59"/>
        </w:numPr>
      </w:pPr>
      <w:r w:rsidRPr="000B3C43">
        <w:t xml:space="preserve">Pikat 4, 5, 6 dhe 7 shfuqizohen. </w:t>
      </w:r>
    </w:p>
    <w:p w14:paraId="457C628B" w14:textId="77777777" w:rsidR="000757AA" w:rsidRPr="004A7593" w:rsidRDefault="000757AA" w:rsidP="00BF1273">
      <w:pPr>
        <w:pStyle w:val="ListParagraph"/>
        <w:shd w:val="clear" w:color="auto" w:fill="FFFFFF"/>
        <w:spacing w:after="0"/>
        <w:jc w:val="both"/>
      </w:pPr>
    </w:p>
    <w:p w14:paraId="176F9EDD" w14:textId="5BA37945" w:rsidR="005A6AF8" w:rsidRDefault="005A6AF8" w:rsidP="00BF1273">
      <w:pPr>
        <w:spacing w:after="0"/>
        <w:jc w:val="center"/>
        <w:rPr>
          <w:b/>
        </w:rPr>
      </w:pPr>
      <w:r w:rsidRPr="004A7593">
        <w:rPr>
          <w:b/>
        </w:rPr>
        <w:t xml:space="preserve">Neni </w:t>
      </w:r>
      <w:r w:rsidR="00F90683">
        <w:rPr>
          <w:b/>
        </w:rPr>
        <w:t>2</w:t>
      </w:r>
      <w:r w:rsidR="00613461">
        <w:rPr>
          <w:b/>
        </w:rPr>
        <w:t>1</w:t>
      </w:r>
    </w:p>
    <w:p w14:paraId="210D5D91" w14:textId="77777777" w:rsidR="00943A3A" w:rsidRPr="004A7593" w:rsidRDefault="00943A3A" w:rsidP="00BF1273">
      <w:pPr>
        <w:spacing w:after="0"/>
        <w:jc w:val="center"/>
        <w:rPr>
          <w:b/>
        </w:rPr>
      </w:pPr>
    </w:p>
    <w:p w14:paraId="302E2F98" w14:textId="5D3045A6" w:rsidR="005A6AF8" w:rsidRPr="004A7593" w:rsidRDefault="005A6AF8" w:rsidP="00BF1273">
      <w:pPr>
        <w:shd w:val="clear" w:color="auto" w:fill="FFFFFF"/>
      </w:pPr>
      <w:r w:rsidRPr="004A7593">
        <w:t>Pas nenit 34</w:t>
      </w:r>
      <w:r w:rsidR="00852560" w:rsidRPr="004A7593">
        <w:t>,</w:t>
      </w:r>
      <w:r w:rsidRPr="004A7593">
        <w:t xml:space="preserve"> shtohen nenet  34/1</w:t>
      </w:r>
      <w:r w:rsidR="004B1B50">
        <w:t xml:space="preserve"> dhe </w:t>
      </w:r>
      <w:r w:rsidRPr="004A7593">
        <w:t>34/2</w:t>
      </w:r>
      <w:r w:rsidR="004B1B50">
        <w:t xml:space="preserve"> </w:t>
      </w:r>
      <w:r w:rsidRPr="004A7593">
        <w:t>me përmbajtje</w:t>
      </w:r>
      <w:r w:rsidR="004B1B50">
        <w:t xml:space="preserve"> si vijon</w:t>
      </w:r>
      <w:r w:rsidRPr="004A7593">
        <w:t>:</w:t>
      </w:r>
    </w:p>
    <w:p w14:paraId="7E00033B" w14:textId="77777777" w:rsidR="00625964" w:rsidRPr="00625964" w:rsidRDefault="00E50A73" w:rsidP="00750432">
      <w:pPr>
        <w:shd w:val="clear" w:color="auto" w:fill="FFFFFF"/>
        <w:spacing w:after="0"/>
        <w:jc w:val="center"/>
        <w:rPr>
          <w:b/>
          <w:bCs/>
        </w:rPr>
      </w:pPr>
      <w:bookmarkStart w:id="38" w:name="_Hlk190951278"/>
      <w:bookmarkStart w:id="39" w:name="_Hlk190966422"/>
      <w:r w:rsidRPr="00625964">
        <w:rPr>
          <w:b/>
          <w:bCs/>
        </w:rPr>
        <w:t>“</w:t>
      </w:r>
      <w:r w:rsidR="00625964" w:rsidRPr="00625964">
        <w:rPr>
          <w:b/>
          <w:bCs/>
        </w:rPr>
        <w:t>Neni 34/1</w:t>
      </w:r>
    </w:p>
    <w:p w14:paraId="6188F514" w14:textId="08DA8D8B" w:rsidR="00625964" w:rsidRDefault="00625964" w:rsidP="00750432">
      <w:pPr>
        <w:shd w:val="clear" w:color="auto" w:fill="FFFFFF"/>
        <w:spacing w:after="0"/>
        <w:jc w:val="center"/>
        <w:rPr>
          <w:b/>
          <w:bCs/>
        </w:rPr>
      </w:pPr>
      <w:r w:rsidRPr="00625964">
        <w:rPr>
          <w:b/>
          <w:bCs/>
        </w:rPr>
        <w:t>Çlirimi për qarkullim të lirë</w:t>
      </w:r>
    </w:p>
    <w:p w14:paraId="4374D3C7" w14:textId="73ED61AA" w:rsidR="003E7D68" w:rsidRDefault="003E7D68" w:rsidP="00750432">
      <w:pPr>
        <w:shd w:val="clear" w:color="auto" w:fill="FFFFFF"/>
        <w:spacing w:after="0"/>
        <w:jc w:val="center"/>
        <w:rPr>
          <w:b/>
          <w:bCs/>
        </w:rPr>
      </w:pPr>
    </w:p>
    <w:p w14:paraId="5E2EE9D7" w14:textId="77777777" w:rsidR="00625964" w:rsidRPr="00625964" w:rsidRDefault="00625964" w:rsidP="006B49C5">
      <w:pPr>
        <w:pStyle w:val="ListParagraph"/>
        <w:widowControl w:val="0"/>
        <w:numPr>
          <w:ilvl w:val="0"/>
          <w:numId w:val="30"/>
        </w:numPr>
        <w:spacing w:after="0"/>
        <w:ind w:right="2"/>
        <w:jc w:val="both"/>
      </w:pPr>
      <w:r w:rsidRPr="00625964">
        <w:t xml:space="preserve">Kur çlirimi i një produkti për qarkullim të lirë është pezulluar në përputhje me nenin 34 të këtij ligji, produkti mund të çlirohet për qarkullim të lirë nëse përmbush kërkesat e legjislacionit doganor dhe kur plotësohet një nga kushtet e mëposhtme: </w:t>
      </w:r>
    </w:p>
    <w:p w14:paraId="48CDB452" w14:textId="77777777" w:rsidR="00625964" w:rsidRPr="00625964" w:rsidRDefault="00625964" w:rsidP="006B49C5">
      <w:pPr>
        <w:pStyle w:val="ListParagraph"/>
        <w:widowControl w:val="0"/>
        <w:numPr>
          <w:ilvl w:val="0"/>
          <w:numId w:val="29"/>
        </w:numPr>
        <w:spacing w:after="0"/>
        <w:ind w:right="2"/>
        <w:jc w:val="both"/>
      </w:pPr>
      <w:r w:rsidRPr="00625964">
        <w:t>brenda katër ditëve pune nga pezullimi, struktura përgjegjëse nuk ka kërkuar nga autoriteti doganor vazhdimin e pezullimit; ose</w:t>
      </w:r>
    </w:p>
    <w:p w14:paraId="168B981D" w14:textId="77777777" w:rsidR="00625964" w:rsidRPr="00625964" w:rsidRDefault="00625964" w:rsidP="006B49C5">
      <w:pPr>
        <w:pStyle w:val="ListParagraph"/>
        <w:widowControl w:val="0"/>
        <w:numPr>
          <w:ilvl w:val="0"/>
          <w:numId w:val="29"/>
        </w:numPr>
        <w:spacing w:after="0"/>
        <w:ind w:right="2"/>
        <w:jc w:val="both"/>
      </w:pPr>
      <w:r w:rsidRPr="00625964">
        <w:t>struktura përgjegjëse informon autoritetin doganor se është dakord me çlirimin për qarkullim të lirë të produktit.</w:t>
      </w:r>
    </w:p>
    <w:p w14:paraId="045760B6" w14:textId="77777777" w:rsidR="00625964" w:rsidRPr="00625964" w:rsidRDefault="00625964" w:rsidP="006B49C5">
      <w:pPr>
        <w:pStyle w:val="ListParagraph"/>
        <w:widowControl w:val="0"/>
        <w:numPr>
          <w:ilvl w:val="0"/>
          <w:numId w:val="30"/>
        </w:numPr>
        <w:spacing w:after="0"/>
        <w:ind w:right="2"/>
        <w:jc w:val="both"/>
      </w:pPr>
      <w:r w:rsidRPr="00625964">
        <w:t xml:space="preserve">Çlirimi i produktit për qarkullim të lirë nuk përbën dëshmi të përputhshmërisë së tij me rregullat teknike të zbatueshme. </w:t>
      </w:r>
    </w:p>
    <w:p w14:paraId="2725E73B" w14:textId="77777777" w:rsidR="00625964" w:rsidRPr="00625964" w:rsidRDefault="00625964" w:rsidP="00750432">
      <w:pPr>
        <w:widowControl w:val="0"/>
        <w:spacing w:after="0"/>
        <w:ind w:right="2"/>
        <w:jc w:val="both"/>
      </w:pPr>
    </w:p>
    <w:p w14:paraId="7424965A" w14:textId="77777777" w:rsidR="00625964" w:rsidRPr="00625964" w:rsidRDefault="00625964" w:rsidP="00750432">
      <w:pPr>
        <w:shd w:val="clear" w:color="auto" w:fill="FFFFFF"/>
        <w:spacing w:after="0"/>
        <w:jc w:val="center"/>
        <w:rPr>
          <w:b/>
          <w:bCs/>
        </w:rPr>
      </w:pPr>
      <w:r w:rsidRPr="00625964">
        <w:rPr>
          <w:b/>
          <w:bCs/>
        </w:rPr>
        <w:t>Neni 34/2</w:t>
      </w:r>
    </w:p>
    <w:p w14:paraId="3AA8E552" w14:textId="1B8861E2" w:rsidR="00625964" w:rsidRPr="00625964" w:rsidRDefault="00625964" w:rsidP="00750432">
      <w:pPr>
        <w:widowControl w:val="0"/>
        <w:spacing w:after="0"/>
        <w:ind w:right="2"/>
        <w:jc w:val="center"/>
        <w:rPr>
          <w:b/>
          <w:bCs/>
        </w:rPr>
      </w:pPr>
      <w:r w:rsidRPr="00625964">
        <w:rPr>
          <w:b/>
          <w:bCs/>
        </w:rPr>
        <w:t>Ndalimi i çlirimit të produktit për qarkullim të lirë</w:t>
      </w:r>
    </w:p>
    <w:p w14:paraId="7C72408B" w14:textId="77777777" w:rsidR="00625964" w:rsidRPr="00625964" w:rsidRDefault="00625964" w:rsidP="006B49C5">
      <w:pPr>
        <w:pStyle w:val="ListParagraph"/>
        <w:widowControl w:val="0"/>
        <w:numPr>
          <w:ilvl w:val="0"/>
          <w:numId w:val="31"/>
        </w:numPr>
        <w:spacing w:after="0"/>
        <w:ind w:right="2"/>
        <w:jc w:val="both"/>
      </w:pPr>
      <w:r w:rsidRPr="00625964">
        <w:t>Kur struktura përgjegjëse konstaton se një produkt në proces</w:t>
      </w:r>
      <w:r w:rsidRPr="00625964">
        <w:rPr>
          <w:b/>
          <w:bCs/>
        </w:rPr>
        <w:t xml:space="preserve"> </w:t>
      </w:r>
      <w:r w:rsidRPr="00625964">
        <w:t xml:space="preserve">çlirimi për qarkullim të lirë paraqet rrezik serioz, ajo ndalon vendosjen e produktit në treg dhe i dorëzon autoritetit doganor, pa vonesë, vendimin për ndalimin, së bashku me kërkesën për të shënuar në </w:t>
      </w:r>
      <w:r w:rsidRPr="00625964">
        <w:lastRenderedPageBreak/>
        <w:t>sistemin elektronik doganor dhe, kur është e përshtatshme, në faturën shoqëruese dhe dokumentet e tjera shoqëruese të produktit, shënimin e mëposhtëm:</w:t>
      </w:r>
    </w:p>
    <w:p w14:paraId="462318D2" w14:textId="77777777" w:rsidR="00625964" w:rsidRPr="00625964" w:rsidRDefault="00625964" w:rsidP="00750432">
      <w:pPr>
        <w:shd w:val="clear" w:color="auto" w:fill="FFFFFF"/>
        <w:spacing w:after="0"/>
        <w:ind w:left="720"/>
        <w:jc w:val="both"/>
        <w:rPr>
          <w:i/>
          <w:iCs/>
          <w:spacing w:val="-1"/>
          <w:vertAlign w:val="superscript"/>
        </w:rPr>
      </w:pPr>
      <w:r w:rsidRPr="00625964">
        <w:rPr>
          <w:i/>
          <w:iCs/>
        </w:rPr>
        <w:t>"Produkt i rrezikshëm - Nuk autorizohet çlirimi për qarkullim të lirë në Republikën e Shqipërisë – Ligji Nr.10 489, datë 15.12.2011 “P</w:t>
      </w:r>
      <w:r w:rsidRPr="00625964">
        <w:rPr>
          <w:i/>
          <w:iCs/>
          <w:spacing w:val="-1"/>
        </w:rPr>
        <w:t>ër tregtimin dhe mbikëqyrjen e tregut të produkteve joushqimore</w:t>
      </w:r>
      <w:r w:rsidRPr="00625964">
        <w:rPr>
          <w:i/>
          <w:iCs/>
          <w:spacing w:val="-1"/>
          <w:vertAlign w:val="superscript"/>
        </w:rPr>
        <w:t>”</w:t>
      </w:r>
    </w:p>
    <w:p w14:paraId="4B7C01BC" w14:textId="77777777" w:rsidR="00625964" w:rsidRPr="00625964" w:rsidRDefault="00625964" w:rsidP="006B49C5">
      <w:pPr>
        <w:pStyle w:val="ListParagraph"/>
        <w:widowControl w:val="0"/>
        <w:numPr>
          <w:ilvl w:val="0"/>
          <w:numId w:val="32"/>
        </w:numPr>
        <w:spacing w:after="0"/>
        <w:ind w:right="2"/>
        <w:jc w:val="both"/>
      </w:pPr>
      <w:r w:rsidRPr="00625964">
        <w:t>Kur struktura përgjegjëse konstaton se një produkt në proces</w:t>
      </w:r>
      <w:r w:rsidRPr="00625964">
        <w:rPr>
          <w:b/>
          <w:bCs/>
        </w:rPr>
        <w:t xml:space="preserve"> </w:t>
      </w:r>
      <w:r w:rsidRPr="00625964">
        <w:t>çlirimi për qarkullim të lirë nuk mund të vendoset në treg për shkak të mos-përputhshmërisë me kërkesat ligjore përkatëse, ajo ndalon vendosjen e tij në treg dhe, pa vonesë, i dorëzon autoritetit doganor vendimin për ndalimin, së bashku me kërkesën për të shënuar në sistemin elektronik doganor dhe, kur është e përshtatshme, në faturën shoqëruese dhe dokumentet e tjera shoqëruese, shënimin e mëposhtëm:</w:t>
      </w:r>
    </w:p>
    <w:p w14:paraId="6F5B7424" w14:textId="77777777" w:rsidR="00625964" w:rsidRPr="00625964" w:rsidRDefault="00625964" w:rsidP="00750432">
      <w:pPr>
        <w:widowControl w:val="0"/>
        <w:spacing w:after="0"/>
        <w:ind w:left="720" w:right="2"/>
        <w:jc w:val="both"/>
        <w:rPr>
          <w:i/>
          <w:iCs/>
        </w:rPr>
      </w:pPr>
      <w:r w:rsidRPr="00625964">
        <w:rPr>
          <w:i/>
          <w:iCs/>
        </w:rPr>
        <w:t>"Produkti nuk është në përputhje- Nuk autorizohet çlirimi për qarkullim të lirë në Republikën e Shqipërisë - Ligji Nr.10 489, datë 15.12.2011 “P</w:t>
      </w:r>
      <w:r w:rsidRPr="00625964">
        <w:rPr>
          <w:i/>
          <w:iCs/>
          <w:spacing w:val="-1"/>
        </w:rPr>
        <w:t>ër tregtimin dhe mbikëqyrjen e tregut të produkteve joushqimore</w:t>
      </w:r>
      <w:r w:rsidRPr="00625964">
        <w:rPr>
          <w:i/>
          <w:iCs/>
          <w:spacing w:val="-1"/>
          <w:vertAlign w:val="superscript"/>
        </w:rPr>
        <w:t>”</w:t>
      </w:r>
    </w:p>
    <w:p w14:paraId="22838A08" w14:textId="77777777" w:rsidR="00625964" w:rsidRPr="00625964" w:rsidRDefault="00625964" w:rsidP="006B49C5">
      <w:pPr>
        <w:pStyle w:val="ListParagraph"/>
        <w:widowControl w:val="0"/>
        <w:numPr>
          <w:ilvl w:val="0"/>
          <w:numId w:val="30"/>
        </w:numPr>
        <w:spacing w:after="0"/>
        <w:ind w:right="2"/>
        <w:jc w:val="both"/>
        <w:rPr>
          <w:i/>
          <w:iCs/>
        </w:rPr>
      </w:pPr>
      <w:r w:rsidRPr="00625964">
        <w:t>Struktura përgjegjëse regjistron, pa vonesë, informacionet e përcaktuara në pikat 1 dhe 2 të këtij neni në sistemin e komunikimit dhe shkëmbimit të informacionit.</w:t>
      </w:r>
    </w:p>
    <w:p w14:paraId="2B531F9D" w14:textId="77777777" w:rsidR="00625964" w:rsidRPr="00625964" w:rsidRDefault="00625964" w:rsidP="006B49C5">
      <w:pPr>
        <w:pStyle w:val="ListParagraph"/>
        <w:widowControl w:val="0"/>
        <w:numPr>
          <w:ilvl w:val="0"/>
          <w:numId w:val="30"/>
        </w:numPr>
        <w:spacing w:after="0"/>
        <w:ind w:right="2"/>
        <w:jc w:val="both"/>
        <w:rPr>
          <w:i/>
          <w:iCs/>
        </w:rPr>
      </w:pPr>
      <w:r w:rsidRPr="00625964">
        <w:t>Kur produkti i përmendur në pikat 1 dhe 2 të këtij neni deklarohet më pas për një procedurë doganore të ndryshme nga çlirimi për qarkullim të lirë dhe struktura përgjegjëse nuk ka kundërshtime, informacionet e përcaktuara në pikat 1 dhe 2 të këtij neni përfshihen në dokumentet e përdorura për atë procedurë.</w:t>
      </w:r>
    </w:p>
    <w:p w14:paraId="2EF0812F" w14:textId="530E9C0A" w:rsidR="00625964" w:rsidRPr="00061A61" w:rsidRDefault="00625964" w:rsidP="006B49C5">
      <w:pPr>
        <w:pStyle w:val="ListParagraph"/>
        <w:widowControl w:val="0"/>
        <w:numPr>
          <w:ilvl w:val="0"/>
          <w:numId w:val="30"/>
        </w:numPr>
        <w:ind w:right="2"/>
        <w:jc w:val="both"/>
        <w:rPr>
          <w:i/>
          <w:iCs/>
          <w:color w:val="FF0000"/>
        </w:rPr>
      </w:pPr>
      <w:r w:rsidRPr="00625964">
        <w:t xml:space="preserve">Struktura përgjegjëse mund të urdhërojë shkatërrimin ose bërjen jofunksional të produktit që paraqet rrezik serioz për përdoruesit e fundit, nëse kjo masë është e nevojshme dhe në përputhje me parimin e proporcionalitetit. </w:t>
      </w:r>
      <w:r w:rsidR="00061A61" w:rsidRPr="00061A61">
        <w:t>Për këtë masë njoftohet Autoriteti Kombëtar i Notifikimit në OBT, në përputhje me legjislacionin në fuqi për standardizimin.</w:t>
      </w:r>
    </w:p>
    <w:p w14:paraId="5B98B5EC" w14:textId="77777777" w:rsidR="00625964" w:rsidRPr="00625964" w:rsidRDefault="00625964" w:rsidP="006B49C5">
      <w:pPr>
        <w:pStyle w:val="ListParagraph"/>
        <w:widowControl w:val="0"/>
        <w:numPr>
          <w:ilvl w:val="0"/>
          <w:numId w:val="30"/>
        </w:numPr>
        <w:spacing w:after="0"/>
        <w:ind w:right="2"/>
        <w:jc w:val="both"/>
        <w:rPr>
          <w:i/>
          <w:iCs/>
        </w:rPr>
      </w:pPr>
      <w:r w:rsidRPr="00625964">
        <w:t>Vendimi sipas pikës 5 të këtij neni i dorëzohet autoritetit doganor, i cili zbaton procedurën në përputhje me legjislacionin doganor.</w:t>
      </w:r>
    </w:p>
    <w:p w14:paraId="0C881460" w14:textId="69E89238" w:rsidR="00625964" w:rsidRPr="00625964" w:rsidRDefault="00625964" w:rsidP="006B49C5">
      <w:pPr>
        <w:pStyle w:val="ListParagraph"/>
        <w:widowControl w:val="0"/>
        <w:numPr>
          <w:ilvl w:val="0"/>
          <w:numId w:val="30"/>
        </w:numPr>
        <w:spacing w:after="0"/>
        <w:ind w:right="2"/>
        <w:jc w:val="both"/>
        <w:rPr>
          <w:i/>
          <w:iCs/>
        </w:rPr>
      </w:pPr>
      <w:r w:rsidRPr="00625964">
        <w:t>Shpenzimet për shkatërrimin ose bërjen jofunksional të produktit sipas pikës 5 të këtij neni mbulohen nga operatori ekonomik që ka deklaruar produktin për çlirim për qarkullim të lirë.</w:t>
      </w:r>
      <w:r w:rsidR="00750432">
        <w:t xml:space="preserve">”. </w:t>
      </w:r>
    </w:p>
    <w:p w14:paraId="5B826118" w14:textId="53452B5B" w:rsidR="00625964" w:rsidRDefault="00625964" w:rsidP="00625964">
      <w:pPr>
        <w:pStyle w:val="ListParagraph"/>
        <w:widowControl w:val="0"/>
        <w:ind w:right="2"/>
        <w:jc w:val="both"/>
        <w:rPr>
          <w:i/>
          <w:iCs/>
          <w:color w:val="FF0000"/>
        </w:rPr>
      </w:pPr>
    </w:p>
    <w:p w14:paraId="2F371FDC" w14:textId="7B9A594E" w:rsidR="00750432" w:rsidRDefault="00750432" w:rsidP="00750432">
      <w:pPr>
        <w:spacing w:after="0"/>
        <w:jc w:val="center"/>
        <w:rPr>
          <w:b/>
        </w:rPr>
      </w:pPr>
      <w:r w:rsidRPr="004A7593">
        <w:rPr>
          <w:b/>
        </w:rPr>
        <w:t xml:space="preserve">Neni </w:t>
      </w:r>
      <w:r w:rsidR="00F90683">
        <w:rPr>
          <w:b/>
        </w:rPr>
        <w:t>2</w:t>
      </w:r>
      <w:r w:rsidR="00FF3AB5">
        <w:rPr>
          <w:b/>
        </w:rPr>
        <w:t>2</w:t>
      </w:r>
    </w:p>
    <w:p w14:paraId="470CC4F8" w14:textId="77777777" w:rsidR="00943A3A" w:rsidRPr="004A7593" w:rsidRDefault="00943A3A" w:rsidP="00750432">
      <w:pPr>
        <w:spacing w:after="0"/>
        <w:jc w:val="center"/>
        <w:rPr>
          <w:b/>
        </w:rPr>
      </w:pPr>
    </w:p>
    <w:p w14:paraId="70CDFEA8" w14:textId="658C0D56" w:rsidR="00750432" w:rsidRPr="00750432" w:rsidRDefault="00750432" w:rsidP="00396614">
      <w:pPr>
        <w:shd w:val="clear" w:color="auto" w:fill="FFFFFF"/>
        <w:jc w:val="both"/>
      </w:pPr>
      <w:r w:rsidRPr="00750432">
        <w:t>Pas nenit 34/2, shtohet Kreu VII/II “SHKËMBIMI I INFORMACIONIT” me përmbajtje si vijon:</w:t>
      </w:r>
    </w:p>
    <w:p w14:paraId="73A10768" w14:textId="33D3B4BB" w:rsidR="005A6AF8" w:rsidRPr="004A7593" w:rsidRDefault="005A6AF8" w:rsidP="00625964">
      <w:pPr>
        <w:shd w:val="clear" w:color="auto" w:fill="FFFFFF"/>
        <w:spacing w:after="0"/>
        <w:jc w:val="center"/>
        <w:rPr>
          <w:i/>
          <w:iCs/>
        </w:rPr>
      </w:pPr>
    </w:p>
    <w:bookmarkEnd w:id="38"/>
    <w:bookmarkEnd w:id="39"/>
    <w:p w14:paraId="3B6DF79A" w14:textId="6BA10165" w:rsidR="00F8757F" w:rsidRPr="00396614" w:rsidRDefault="00F355C4" w:rsidP="00F8757F">
      <w:pPr>
        <w:shd w:val="clear" w:color="auto" w:fill="FFFFFF"/>
        <w:spacing w:after="0"/>
        <w:jc w:val="center"/>
      </w:pPr>
      <w:r w:rsidRPr="00396614">
        <w:t>“</w:t>
      </w:r>
      <w:r w:rsidR="00F8757F" w:rsidRPr="00396614">
        <w:t>KREU VII/II</w:t>
      </w:r>
    </w:p>
    <w:p w14:paraId="04C09C80" w14:textId="78A9DBA3" w:rsidR="00F8757F" w:rsidRPr="00F8757F" w:rsidRDefault="00F8757F" w:rsidP="00F8757F">
      <w:pPr>
        <w:shd w:val="clear" w:color="auto" w:fill="FFFFFF"/>
        <w:spacing w:after="0"/>
        <w:jc w:val="center"/>
        <w:rPr>
          <w:lang w:val="it-IT"/>
        </w:rPr>
      </w:pPr>
      <w:bookmarkStart w:id="40" w:name="_Hlk198913921"/>
      <w:r w:rsidRPr="00F8757F">
        <w:rPr>
          <w:lang w:val="it-IT"/>
        </w:rPr>
        <w:t>SHKËMBIMI I INFORMACIONIT</w:t>
      </w:r>
      <w:r w:rsidR="00F355C4">
        <w:rPr>
          <w:lang w:val="it-IT"/>
        </w:rPr>
        <w:t>”</w:t>
      </w:r>
    </w:p>
    <w:bookmarkEnd w:id="40"/>
    <w:p w14:paraId="6C408DE6" w14:textId="77777777" w:rsidR="00F8757F" w:rsidRPr="00F8757F" w:rsidRDefault="00F8757F" w:rsidP="00F8757F">
      <w:pPr>
        <w:shd w:val="clear" w:color="auto" w:fill="FFFFFF"/>
        <w:spacing w:after="0"/>
        <w:jc w:val="center"/>
        <w:rPr>
          <w:lang w:val="it-IT"/>
        </w:rPr>
      </w:pPr>
    </w:p>
    <w:p w14:paraId="0390A1A0" w14:textId="77777777" w:rsidR="00F8757F" w:rsidRPr="00F8757F" w:rsidRDefault="00F8757F" w:rsidP="00F8757F">
      <w:pPr>
        <w:spacing w:after="0"/>
        <w:jc w:val="center"/>
        <w:rPr>
          <w:b/>
          <w:bCs/>
          <w:lang w:val="it-IT"/>
        </w:rPr>
      </w:pPr>
      <w:r w:rsidRPr="00F8757F">
        <w:rPr>
          <w:b/>
          <w:bCs/>
          <w:lang w:val="it-IT"/>
        </w:rPr>
        <w:t>Neni 34/3</w:t>
      </w:r>
    </w:p>
    <w:p w14:paraId="5E952E58" w14:textId="6CADF0E9" w:rsidR="00F8757F" w:rsidRDefault="00F8757F" w:rsidP="00F8757F">
      <w:pPr>
        <w:spacing w:after="0"/>
        <w:jc w:val="center"/>
        <w:rPr>
          <w:b/>
          <w:bCs/>
          <w:lang w:val="it-IT"/>
        </w:rPr>
      </w:pPr>
      <w:r w:rsidRPr="00F8757F">
        <w:rPr>
          <w:b/>
          <w:bCs/>
          <w:lang w:val="it-IT"/>
        </w:rPr>
        <w:t>Pika e Kontaktit për Produktet</w:t>
      </w:r>
    </w:p>
    <w:p w14:paraId="68000138" w14:textId="77777777" w:rsidR="003E7D68" w:rsidRPr="00F8757F" w:rsidRDefault="003E7D68" w:rsidP="00F8757F">
      <w:pPr>
        <w:spacing w:after="0"/>
        <w:jc w:val="center"/>
        <w:rPr>
          <w:lang w:val="it-IT"/>
        </w:rPr>
      </w:pPr>
    </w:p>
    <w:p w14:paraId="1C1FE127" w14:textId="77777777" w:rsidR="00F8757F" w:rsidRPr="00F8757F" w:rsidRDefault="00F8757F" w:rsidP="006B49C5">
      <w:pPr>
        <w:pStyle w:val="ListParagraph"/>
        <w:numPr>
          <w:ilvl w:val="0"/>
          <w:numId w:val="54"/>
        </w:numPr>
        <w:spacing w:after="0"/>
        <w:jc w:val="both"/>
      </w:pPr>
      <w:r w:rsidRPr="00F8757F">
        <w:t xml:space="preserve">Ministria krijon </w:t>
      </w:r>
      <w:bookmarkStart w:id="41" w:name="_Hlk182770165"/>
      <w:r w:rsidRPr="00F8757F">
        <w:t xml:space="preserve">Pikën e Kontaktit për Produktet </w:t>
      </w:r>
      <w:bookmarkEnd w:id="41"/>
      <w:r w:rsidRPr="00F8757F">
        <w:t>dhe publikon në faqen zyrtare të internetit informacion të plotë dhe të përditësuar mbi:</w:t>
      </w:r>
    </w:p>
    <w:p w14:paraId="0E0D6053" w14:textId="77777777" w:rsidR="00F8757F" w:rsidRPr="00F8757F" w:rsidRDefault="00F8757F" w:rsidP="006B49C5">
      <w:pPr>
        <w:numPr>
          <w:ilvl w:val="0"/>
          <w:numId w:val="17"/>
        </w:numPr>
        <w:spacing w:after="0"/>
        <w:ind w:left="1440"/>
        <w:jc w:val="both"/>
      </w:pPr>
      <w:r w:rsidRPr="00F8757F">
        <w:t>legjislacionin në fuqi për produktet dhe nismat për projektakte;</w:t>
      </w:r>
    </w:p>
    <w:p w14:paraId="32350ABF" w14:textId="77777777" w:rsidR="00F8757F" w:rsidRPr="00F8757F" w:rsidRDefault="00F8757F" w:rsidP="006B49C5">
      <w:pPr>
        <w:numPr>
          <w:ilvl w:val="0"/>
          <w:numId w:val="17"/>
        </w:numPr>
        <w:spacing w:after="0"/>
        <w:ind w:left="1440"/>
        <w:jc w:val="both"/>
      </w:pPr>
      <w:r w:rsidRPr="00F8757F">
        <w:t xml:space="preserve">kërkesat teknike që duhet të përmbushin produktet për t’u vendosur në tregun shqiptar apo për t’u bërë të disponueshme në treg; </w:t>
      </w:r>
    </w:p>
    <w:p w14:paraId="37EA1CE0" w14:textId="77777777" w:rsidR="00F8757F" w:rsidRPr="00F8757F" w:rsidRDefault="00F8757F" w:rsidP="006B49C5">
      <w:pPr>
        <w:numPr>
          <w:ilvl w:val="0"/>
          <w:numId w:val="17"/>
        </w:numPr>
        <w:spacing w:after="0"/>
        <w:ind w:left="1440"/>
        <w:jc w:val="both"/>
        <w:rPr>
          <w:lang w:val="it-IT"/>
        </w:rPr>
      </w:pPr>
      <w:r w:rsidRPr="00F8757F">
        <w:rPr>
          <w:lang w:val="it-IT"/>
        </w:rPr>
        <w:t>procedurat e vlerësimit të konformitetit të produkteve;</w:t>
      </w:r>
    </w:p>
    <w:p w14:paraId="2B628EE6" w14:textId="77777777" w:rsidR="00F8757F" w:rsidRPr="00F8757F" w:rsidRDefault="00F8757F" w:rsidP="00F8757F">
      <w:pPr>
        <w:spacing w:after="0"/>
        <w:ind w:left="720" w:firstLine="360"/>
        <w:jc w:val="both"/>
        <w:rPr>
          <w:lang w:val="it-IT"/>
        </w:rPr>
      </w:pPr>
      <w:r w:rsidRPr="00F8757F">
        <w:rPr>
          <w:lang w:val="it-IT"/>
        </w:rPr>
        <w:t>ç)   të drejtat e konsumatorëve dhe të drejtat e detyrimet e operatorëve ekonomikë;</w:t>
      </w:r>
    </w:p>
    <w:p w14:paraId="7F10D901" w14:textId="77777777" w:rsidR="00F8757F" w:rsidRPr="00F8757F" w:rsidRDefault="00F8757F" w:rsidP="006B49C5">
      <w:pPr>
        <w:numPr>
          <w:ilvl w:val="0"/>
          <w:numId w:val="17"/>
        </w:numPr>
        <w:spacing w:after="0"/>
        <w:ind w:left="1440"/>
        <w:jc w:val="both"/>
        <w:rPr>
          <w:lang w:val="it-IT"/>
        </w:rPr>
      </w:pPr>
      <w:r w:rsidRPr="00F8757F">
        <w:rPr>
          <w:lang w:val="it-IT"/>
        </w:rPr>
        <w:t xml:space="preserve">anëtarësimin e Shqipërisë në sisteme ndërkombëtare dhe rajonale të vlerësimit </w:t>
      </w:r>
    </w:p>
    <w:p w14:paraId="4461F832" w14:textId="77777777" w:rsidR="00F8757F" w:rsidRPr="00F8757F" w:rsidRDefault="00F8757F" w:rsidP="00F8757F">
      <w:pPr>
        <w:spacing w:after="0"/>
        <w:ind w:left="1440"/>
        <w:jc w:val="both"/>
        <w:rPr>
          <w:lang w:val="it-IT"/>
        </w:rPr>
      </w:pPr>
      <w:r w:rsidRPr="00F8757F">
        <w:rPr>
          <w:lang w:val="it-IT"/>
        </w:rPr>
        <w:t>të konformitetit ose në marrëveshje ndërkombëtare që lidhen me mbikëqyrjen e tregut dhe sigurinë e produkteve;</w:t>
      </w:r>
    </w:p>
    <w:p w14:paraId="7D7B6150" w14:textId="77777777" w:rsidR="00F8757F" w:rsidRPr="00F8757F" w:rsidRDefault="00F8757F" w:rsidP="00F8757F">
      <w:pPr>
        <w:spacing w:after="0"/>
        <w:ind w:left="720"/>
        <w:jc w:val="both"/>
        <w:rPr>
          <w:lang w:val="it-IT"/>
        </w:rPr>
      </w:pPr>
      <w:r w:rsidRPr="00F8757F">
        <w:rPr>
          <w:lang w:val="it-IT"/>
        </w:rPr>
        <w:t xml:space="preserve">    dh)  parimin e njohjes së ndërsjelltë dhe rregullat për zbatimin e tij për produktet </w:t>
      </w:r>
    </w:p>
    <w:p w14:paraId="01514163" w14:textId="77777777" w:rsidR="00F8757F" w:rsidRPr="00F8757F" w:rsidRDefault="00F8757F" w:rsidP="00F8757F">
      <w:pPr>
        <w:spacing w:after="0"/>
        <w:ind w:left="1440"/>
        <w:jc w:val="both"/>
        <w:rPr>
          <w:lang w:val="it-IT"/>
        </w:rPr>
      </w:pPr>
      <w:r w:rsidRPr="00F8757F">
        <w:rPr>
          <w:lang w:val="it-IT"/>
        </w:rPr>
        <w:t>që tregtohen në Republikën e Shqipërisë, përfshirë informacion mbi procedurën për njohjen e ndërsjelltë;</w:t>
      </w:r>
    </w:p>
    <w:p w14:paraId="2546283E" w14:textId="77777777" w:rsidR="00F8757F" w:rsidRPr="00F8757F" w:rsidRDefault="00F8757F" w:rsidP="00F8757F">
      <w:pPr>
        <w:spacing w:after="0"/>
        <w:ind w:left="1080"/>
        <w:jc w:val="both"/>
        <w:rPr>
          <w:lang w:val="it-IT"/>
        </w:rPr>
      </w:pPr>
      <w:r w:rsidRPr="00F8757F">
        <w:rPr>
          <w:lang w:val="it-IT"/>
        </w:rPr>
        <w:t xml:space="preserve">e)  strukturat përgjegjëse dhe të dhënat e kontaktit të tyre, përfshirë institucionet </w:t>
      </w:r>
    </w:p>
    <w:p w14:paraId="0F828BA0" w14:textId="77777777" w:rsidR="00F8757F" w:rsidRPr="00F8757F" w:rsidRDefault="00F8757F" w:rsidP="00F8757F">
      <w:pPr>
        <w:spacing w:after="0"/>
        <w:ind w:left="1080" w:firstLine="360"/>
        <w:jc w:val="both"/>
        <w:rPr>
          <w:lang w:val="it-IT"/>
        </w:rPr>
      </w:pPr>
      <w:r w:rsidRPr="00F8757F">
        <w:rPr>
          <w:lang w:val="it-IT"/>
        </w:rPr>
        <w:t>përgjegjëse për mbikëqyrjen e zbatimit të kuadrit ligjor për produktet;</w:t>
      </w:r>
    </w:p>
    <w:p w14:paraId="1E33217A" w14:textId="77777777" w:rsidR="00F8757F" w:rsidRPr="00F8757F" w:rsidRDefault="00F8757F" w:rsidP="00F8757F">
      <w:pPr>
        <w:spacing w:after="0"/>
        <w:ind w:left="360" w:firstLine="720"/>
        <w:jc w:val="both"/>
        <w:rPr>
          <w:lang w:val="it-IT"/>
        </w:rPr>
      </w:pPr>
      <w:r w:rsidRPr="00F8757F">
        <w:rPr>
          <w:lang w:val="it-IT"/>
        </w:rPr>
        <w:t xml:space="preserve">ë) mjetet dhe procedurat ligjore për zgjidhjen e mosmarrëveshjeve mes strukturës </w:t>
      </w:r>
    </w:p>
    <w:p w14:paraId="2A9804D3" w14:textId="77777777" w:rsidR="00F8757F" w:rsidRPr="00F8757F" w:rsidRDefault="00F8757F" w:rsidP="00F8757F">
      <w:pPr>
        <w:spacing w:after="0"/>
        <w:ind w:left="720" w:firstLine="360"/>
        <w:jc w:val="both"/>
        <w:rPr>
          <w:lang w:val="it-IT"/>
        </w:rPr>
      </w:pPr>
      <w:r w:rsidRPr="00F8757F">
        <w:rPr>
          <w:lang w:val="it-IT"/>
        </w:rPr>
        <w:t xml:space="preserve">    përgjegjëse dhe operatorit ekonomik. </w:t>
      </w:r>
    </w:p>
    <w:p w14:paraId="24FDD707" w14:textId="77777777" w:rsidR="00F8757F" w:rsidRPr="00F8757F" w:rsidRDefault="00F8757F" w:rsidP="006B49C5">
      <w:pPr>
        <w:numPr>
          <w:ilvl w:val="0"/>
          <w:numId w:val="54"/>
        </w:numPr>
        <w:spacing w:after="0"/>
        <w:jc w:val="both"/>
        <w:rPr>
          <w:lang w:val="it-IT"/>
        </w:rPr>
      </w:pPr>
      <w:r w:rsidRPr="00F8757F">
        <w:rPr>
          <w:lang w:val="it-IT"/>
        </w:rPr>
        <w:t xml:space="preserve">Pika e Kontaktit për Produktet, me kërkesë të një operatori ekonomik ose të një strukture përgjegjëse të një shteti tjetër, ofron informacionin e kërkuar, siguron versione elektronike të akteve ligjore dhe nënligjore që zbatohen për produkte të caktuara, ose siguron akses në këto akte përmes internetit, si dhe informon nëse produkte të caktuara kërkojnë miratim paraprak sipas ligjit. </w:t>
      </w:r>
    </w:p>
    <w:p w14:paraId="392EE47F" w14:textId="77777777" w:rsidR="00F8757F" w:rsidRPr="00F8757F" w:rsidRDefault="00F8757F" w:rsidP="006B49C5">
      <w:pPr>
        <w:numPr>
          <w:ilvl w:val="0"/>
          <w:numId w:val="54"/>
        </w:numPr>
        <w:spacing w:after="0"/>
        <w:jc w:val="both"/>
        <w:rPr>
          <w:lang w:val="it-IT"/>
        </w:rPr>
      </w:pPr>
      <w:r w:rsidRPr="00F8757F">
        <w:rPr>
          <w:lang w:val="it-IT"/>
        </w:rPr>
        <w:t>Informacioni i kërkuar sipas pikës 2 të këtij neni ofrohet pa pagesë, brenda 15 ditëve nga marrja e kërkesës.</w:t>
      </w:r>
    </w:p>
    <w:p w14:paraId="52D78801" w14:textId="77777777" w:rsidR="00F8757F" w:rsidRPr="00F8757F" w:rsidRDefault="00F8757F" w:rsidP="00F8757F">
      <w:pPr>
        <w:spacing w:after="0"/>
        <w:ind w:left="450"/>
        <w:jc w:val="both"/>
        <w:rPr>
          <w:lang w:val="it-IT"/>
        </w:rPr>
      </w:pPr>
    </w:p>
    <w:p w14:paraId="31897C49" w14:textId="77777777" w:rsidR="00F8757F" w:rsidRPr="00F8757F" w:rsidRDefault="00F8757F" w:rsidP="00F8757F">
      <w:pPr>
        <w:spacing w:after="0"/>
        <w:jc w:val="center"/>
        <w:rPr>
          <w:b/>
          <w:bCs/>
          <w:lang w:val="it-IT"/>
        </w:rPr>
      </w:pPr>
      <w:r w:rsidRPr="00F8757F">
        <w:rPr>
          <w:b/>
          <w:bCs/>
          <w:lang w:val="it-IT"/>
        </w:rPr>
        <w:t>Neni 34/4</w:t>
      </w:r>
    </w:p>
    <w:p w14:paraId="0271C1E8" w14:textId="633BB4CE" w:rsidR="00F8757F" w:rsidRDefault="00F8757F" w:rsidP="00F8757F">
      <w:pPr>
        <w:spacing w:after="0"/>
        <w:jc w:val="center"/>
        <w:rPr>
          <w:b/>
          <w:bCs/>
          <w:lang w:val="it-IT"/>
        </w:rPr>
      </w:pPr>
      <w:bookmarkStart w:id="42" w:name="_Hlk182770260"/>
      <w:r w:rsidRPr="00F8757F">
        <w:rPr>
          <w:b/>
          <w:bCs/>
          <w:lang w:val="it-IT"/>
        </w:rPr>
        <w:t>Sistemi i komunikimit dhe shkëmbimit të informacionit</w:t>
      </w:r>
    </w:p>
    <w:p w14:paraId="04943F85" w14:textId="77777777" w:rsidR="003E7D68" w:rsidRPr="00F8757F" w:rsidRDefault="003E7D68" w:rsidP="00F8757F">
      <w:pPr>
        <w:spacing w:after="0"/>
        <w:jc w:val="center"/>
        <w:rPr>
          <w:b/>
          <w:bCs/>
          <w:lang w:val="it-IT"/>
        </w:rPr>
      </w:pPr>
    </w:p>
    <w:bookmarkEnd w:id="42"/>
    <w:p w14:paraId="61289C66" w14:textId="77777777" w:rsidR="00F8757F" w:rsidRPr="00F8757F" w:rsidRDefault="00F8757F" w:rsidP="006B49C5">
      <w:pPr>
        <w:pStyle w:val="ListParagraph"/>
        <w:numPr>
          <w:ilvl w:val="0"/>
          <w:numId w:val="33"/>
        </w:numPr>
        <w:spacing w:after="0"/>
        <w:jc w:val="both"/>
      </w:pPr>
      <w:r w:rsidRPr="00F8757F">
        <w:t>Ministria krijon, administron dhe mirëmban sistemin e komunikimit dhe shkëmbimit të informacionit për mbikëqyrjen e produkteve në treg, në përputhje me legjislacionin në fuqi.</w:t>
      </w:r>
    </w:p>
    <w:p w14:paraId="6E04DAF5" w14:textId="77777777" w:rsidR="00F8757F" w:rsidRPr="00F8757F" w:rsidRDefault="00F8757F" w:rsidP="006B49C5">
      <w:pPr>
        <w:pStyle w:val="ListParagraph"/>
        <w:numPr>
          <w:ilvl w:val="0"/>
          <w:numId w:val="33"/>
        </w:numPr>
        <w:spacing w:after="0"/>
        <w:jc w:val="both"/>
      </w:pPr>
      <w:r w:rsidRPr="00F8757F">
        <w:t>Sistemi i komunikimit dhe shkëmbimit të informacionit mundëson mbledhjen, përpunimin, shkëmbimin dhe ruajtjen e informacionit në një formë të strukturuar, për qëllime të mbikëqyrjes së tregut, zbatimit të legjislacionit sektorial për produktet, raportimit dhe koordinimit ndërinstitucional, si dhe ndërvepron me sisteme të tjera.</w:t>
      </w:r>
    </w:p>
    <w:p w14:paraId="4B50DB0B" w14:textId="77777777" w:rsidR="00F8757F" w:rsidRPr="00F8757F" w:rsidRDefault="00F8757F" w:rsidP="006B49C5">
      <w:pPr>
        <w:pStyle w:val="ListParagraph"/>
        <w:numPr>
          <w:ilvl w:val="0"/>
          <w:numId w:val="33"/>
        </w:numPr>
        <w:spacing w:after="0"/>
        <w:jc w:val="both"/>
      </w:pPr>
      <w:r w:rsidRPr="00F8757F">
        <w:t>Në këtë sistem, zyra ndërlidhëse regjistron informacionin mbi:</w:t>
      </w:r>
    </w:p>
    <w:p w14:paraId="77F02084" w14:textId="77777777" w:rsidR="00F8757F" w:rsidRPr="00F8757F" w:rsidRDefault="00F8757F" w:rsidP="006B49C5">
      <w:pPr>
        <w:numPr>
          <w:ilvl w:val="0"/>
          <w:numId w:val="18"/>
        </w:numPr>
        <w:spacing w:after="0"/>
        <w:jc w:val="both"/>
      </w:pPr>
      <w:r w:rsidRPr="00F8757F">
        <w:t xml:space="preserve">strukturat përgjegjëse për mbikëqyrjen e tregut dhe përgjegjësitë e tyre sipas këtij ligji dhe legjislacionit në fuqi;  </w:t>
      </w:r>
    </w:p>
    <w:p w14:paraId="521C5AE4" w14:textId="77777777" w:rsidR="00F8757F" w:rsidRPr="00F8757F" w:rsidRDefault="00F8757F" w:rsidP="006B49C5">
      <w:pPr>
        <w:numPr>
          <w:ilvl w:val="0"/>
          <w:numId w:val="18"/>
        </w:numPr>
        <w:spacing w:after="0"/>
        <w:jc w:val="both"/>
      </w:pPr>
      <w:r w:rsidRPr="00F8757F">
        <w:t xml:space="preserve">strukturat përgjegjëse për kontrollin e produkteve që hyjnë në tregun shqiptar dhe përgjegjësitë e tyre sipas legjislacionit në fuqi;  </w:t>
      </w:r>
    </w:p>
    <w:p w14:paraId="24D7CF3F" w14:textId="77777777" w:rsidR="00F8757F" w:rsidRPr="00F8757F" w:rsidRDefault="00F8757F" w:rsidP="006B49C5">
      <w:pPr>
        <w:numPr>
          <w:ilvl w:val="0"/>
          <w:numId w:val="18"/>
        </w:numPr>
        <w:spacing w:after="0"/>
        <w:jc w:val="both"/>
      </w:pPr>
      <w:r w:rsidRPr="00F8757F">
        <w:lastRenderedPageBreak/>
        <w:t>Strategjinë e Mbikëqyrjes së Tregut dhe planin e veprimit të saj, përfshirë ndryshimet dhe përmirësimet e tyre;</w:t>
      </w:r>
    </w:p>
    <w:p w14:paraId="06366561" w14:textId="77777777" w:rsidR="00F8757F" w:rsidRPr="00F8757F" w:rsidRDefault="00F8757F" w:rsidP="006B49C5">
      <w:pPr>
        <w:pStyle w:val="ListParagraph"/>
        <w:numPr>
          <w:ilvl w:val="0"/>
          <w:numId w:val="33"/>
        </w:numPr>
        <w:spacing w:after="0"/>
        <w:jc w:val="both"/>
      </w:pPr>
      <w:r w:rsidRPr="00F8757F">
        <w:t>Strukturat përgjegjëse regjistrojnë në sistem informacionin mbi produktet e bëra të disponueshme në treg, për të cilat është kryer kontroll i detajuar i përputhshmërisë, pa cenuar dispozitat e nenit 34/5 të këtij ligji për shkëmbimin e shpejtë të informacionit mbi produktet e rrezikshme. Në sistem regjistrohen gjithashtu të dhëna mbi produktet që hyjnë në tregun shqiptar dhe për të cilat është pezulluar përkohësisht procedura e çlirimit për qarkullim të lirë, duke përfshirë informacionin mbi:</w:t>
      </w:r>
    </w:p>
    <w:p w14:paraId="6FDBE445" w14:textId="77777777" w:rsidR="00F8757F" w:rsidRPr="00F8757F" w:rsidRDefault="00F8757F" w:rsidP="006B49C5">
      <w:pPr>
        <w:numPr>
          <w:ilvl w:val="0"/>
          <w:numId w:val="19"/>
        </w:numPr>
        <w:spacing w:after="0"/>
        <w:jc w:val="both"/>
      </w:pPr>
      <w:r w:rsidRPr="00F8757F">
        <w:t>masat e marra sipas nenit 30 të këtij ligji;</w:t>
      </w:r>
    </w:p>
    <w:p w14:paraId="61D12772" w14:textId="77777777" w:rsidR="00F8757F" w:rsidRPr="00F8757F" w:rsidRDefault="00F8757F" w:rsidP="006B49C5">
      <w:pPr>
        <w:numPr>
          <w:ilvl w:val="0"/>
          <w:numId w:val="19"/>
        </w:numPr>
        <w:spacing w:after="0"/>
        <w:jc w:val="both"/>
        <w:rPr>
          <w:lang w:val="it-IT"/>
        </w:rPr>
      </w:pPr>
      <w:r w:rsidRPr="00F8757F">
        <w:rPr>
          <w:lang w:val="it-IT"/>
        </w:rPr>
        <w:t>raportet e testimeve të kryera;</w:t>
      </w:r>
    </w:p>
    <w:p w14:paraId="2FE32E56" w14:textId="77777777" w:rsidR="00F8757F" w:rsidRPr="00F8757F" w:rsidRDefault="00F8757F" w:rsidP="006B49C5">
      <w:pPr>
        <w:numPr>
          <w:ilvl w:val="0"/>
          <w:numId w:val="19"/>
        </w:numPr>
        <w:spacing w:after="0"/>
        <w:jc w:val="both"/>
        <w:rPr>
          <w:lang w:val="it-IT"/>
        </w:rPr>
      </w:pPr>
      <w:r w:rsidRPr="00F8757F">
        <w:rPr>
          <w:lang w:val="it-IT"/>
        </w:rPr>
        <w:t>masat korrigjuese të zbatuara nga operatorët ekonomikë;</w:t>
      </w:r>
    </w:p>
    <w:p w14:paraId="39755EA0" w14:textId="77777777" w:rsidR="00F8757F" w:rsidRPr="00F8757F" w:rsidRDefault="00F8757F" w:rsidP="00F8757F">
      <w:pPr>
        <w:spacing w:after="0"/>
        <w:ind w:left="720"/>
        <w:jc w:val="both"/>
        <w:rPr>
          <w:lang w:val="it-IT"/>
        </w:rPr>
      </w:pPr>
      <w:r w:rsidRPr="00F8757F">
        <w:rPr>
          <w:lang w:val="it-IT"/>
        </w:rPr>
        <w:t>ç)  raportet mbi dëmet e shkaktuara nga produkti;</w:t>
      </w:r>
    </w:p>
    <w:p w14:paraId="66BC019B" w14:textId="77777777" w:rsidR="00F8757F" w:rsidRPr="00F8757F" w:rsidRDefault="00F8757F" w:rsidP="006B49C5">
      <w:pPr>
        <w:numPr>
          <w:ilvl w:val="0"/>
          <w:numId w:val="19"/>
        </w:numPr>
        <w:spacing w:after="0"/>
        <w:jc w:val="both"/>
        <w:rPr>
          <w:lang w:val="it-IT"/>
        </w:rPr>
      </w:pPr>
      <w:r w:rsidRPr="00F8757F">
        <w:rPr>
          <w:lang w:val="it-IT"/>
        </w:rPr>
        <w:t>ankesat e paraqitura nga një shtet anëtar i Bashkimit Evropian në përputhje me legjislacionin e harmonizuar evropian të zbatueshëm për atë produkt, si dhe veprimet e marra mbi këto ankesa;</w:t>
      </w:r>
    </w:p>
    <w:p w14:paraId="55967D36" w14:textId="77777777" w:rsidR="00F8757F" w:rsidRPr="00F8757F" w:rsidRDefault="00F8757F" w:rsidP="00F8757F">
      <w:pPr>
        <w:spacing w:after="0"/>
        <w:ind w:left="720"/>
        <w:jc w:val="both"/>
        <w:rPr>
          <w:lang w:val="it-IT"/>
        </w:rPr>
      </w:pPr>
      <w:r w:rsidRPr="00F8757F">
        <w:rPr>
          <w:lang w:val="it-IT"/>
        </w:rPr>
        <w:t xml:space="preserve">dh) mospërmbushjen nga prodhuesi të detyrimit të përcaktuar në nenin 11, pika 2, shkronja ç) e këtij ligji; </w:t>
      </w:r>
    </w:p>
    <w:p w14:paraId="094E5BA9" w14:textId="77777777" w:rsidR="00F8757F" w:rsidRPr="00F8757F" w:rsidRDefault="00F8757F" w:rsidP="006B49C5">
      <w:pPr>
        <w:numPr>
          <w:ilvl w:val="0"/>
          <w:numId w:val="19"/>
        </w:numPr>
        <w:spacing w:after="0"/>
        <w:jc w:val="both"/>
        <w:rPr>
          <w:lang w:val="it-IT"/>
        </w:rPr>
      </w:pPr>
      <w:r w:rsidRPr="00F8757F">
        <w:rPr>
          <w:lang w:val="it-IT"/>
        </w:rPr>
        <w:t xml:space="preserve">mospërmbushjen nga përfaqësuesi i autorizuar të detyrimit të përcaktuar në nenin 11, pika 2, shkronja d) e këtij ligji; </w:t>
      </w:r>
    </w:p>
    <w:p w14:paraId="1E1F0A1C" w14:textId="77777777" w:rsidR="00F8757F" w:rsidRPr="00F8757F" w:rsidRDefault="00F8757F" w:rsidP="006B49C5">
      <w:pPr>
        <w:pStyle w:val="ListParagraph"/>
        <w:numPr>
          <w:ilvl w:val="0"/>
          <w:numId w:val="33"/>
        </w:numPr>
        <w:spacing w:after="0"/>
        <w:jc w:val="both"/>
      </w:pPr>
      <w:r w:rsidRPr="00F8757F">
        <w:t>Kur e vlerësojnë të nevojshme, strukturat përgjegjëse mund të regjistrojnë në sistemin e komunikimit dhe shkëmbimit të informacionit të dhëna shtesë që lidhen me kontrollet e kryera prej tyre dhe rezultatet e testimeve të kryera prej tyre ose me kërkesën e tyre.</w:t>
      </w:r>
    </w:p>
    <w:p w14:paraId="27D391FD" w14:textId="77777777" w:rsidR="00F8757F" w:rsidRPr="00F8757F" w:rsidRDefault="00F8757F" w:rsidP="006B49C5">
      <w:pPr>
        <w:pStyle w:val="ListParagraph"/>
        <w:numPr>
          <w:ilvl w:val="0"/>
          <w:numId w:val="33"/>
        </w:numPr>
        <w:spacing w:after="0"/>
        <w:jc w:val="both"/>
      </w:pPr>
      <w:r w:rsidRPr="00F8757F">
        <w:t xml:space="preserve">Kur është e nevojshme për minimizimin e rrezikut, autoritetet doganore i përcjellin strukturës përgjegjëse të dhëna mbi produktet e vendosura në regjimin doganor të "çlirimit për qarkullim të lirë", të cilat regjistrohen në sistemin e komunikimit dhe shkëmbimit të informacionit. </w:t>
      </w:r>
    </w:p>
    <w:p w14:paraId="7A946B20" w14:textId="77777777" w:rsidR="00F8757F" w:rsidRPr="00F8757F" w:rsidRDefault="00F8757F" w:rsidP="006B49C5">
      <w:pPr>
        <w:pStyle w:val="ListParagraph"/>
        <w:numPr>
          <w:ilvl w:val="0"/>
          <w:numId w:val="33"/>
        </w:numPr>
        <w:spacing w:after="0"/>
        <w:jc w:val="both"/>
      </w:pPr>
      <w:r w:rsidRPr="00F8757F">
        <w:t xml:space="preserve">Aksesi në sistem i sigurohet Ministrisë, strukturës përgjegjëse, zyrës së vetme ndërlidhëse dhe autoriteteve doganore. </w:t>
      </w:r>
    </w:p>
    <w:p w14:paraId="2ADEB11F" w14:textId="77777777" w:rsidR="00F8757F" w:rsidRPr="00F8757F" w:rsidRDefault="00F8757F" w:rsidP="006B49C5">
      <w:pPr>
        <w:pStyle w:val="ListParagraph"/>
        <w:numPr>
          <w:ilvl w:val="0"/>
          <w:numId w:val="33"/>
        </w:numPr>
        <w:spacing w:after="0"/>
        <w:jc w:val="both"/>
      </w:pPr>
      <w:r w:rsidRPr="00F8757F">
        <w:t xml:space="preserve">Ministria zhvillon dhe mirëmban sistemin e komunikimit dhe shkëmbimit të informacionit, duke synuar integrimin e tij në sistemin </w:t>
      </w:r>
      <w:r w:rsidRPr="00F8757F">
        <w:rPr>
          <w:rStyle w:val="Strong"/>
          <w:b w:val="0"/>
          <w:bCs w:val="0"/>
        </w:rPr>
        <w:t>ICSMS</w:t>
      </w:r>
      <w:r w:rsidRPr="00F8757F">
        <w:t xml:space="preserve"> të Bashkimit Evropian, kur të krijohen kushtet për akses në atë sistem.</w:t>
      </w:r>
    </w:p>
    <w:p w14:paraId="3C3DCDE6" w14:textId="77777777" w:rsidR="00F8757F" w:rsidRPr="00F8757F" w:rsidRDefault="00F8757F" w:rsidP="006B49C5">
      <w:pPr>
        <w:pStyle w:val="ListParagraph"/>
        <w:numPr>
          <w:ilvl w:val="0"/>
          <w:numId w:val="33"/>
        </w:numPr>
        <w:spacing w:after="0"/>
        <w:jc w:val="both"/>
      </w:pPr>
      <w:r w:rsidRPr="00F8757F">
        <w:t>Ministria krijon, administron dhe mirëmban ndërfaqen publike të sistemit të komunikimit dhe shkëmbimit të informacionit, përmes së cilës ofrohet informacion i përditësuar dhe i qartë për përdoruesit e fundit mbi aktivitetet e mbikëqyrjes së tregut.</w:t>
      </w:r>
    </w:p>
    <w:p w14:paraId="2A10D004" w14:textId="43A8B7B6" w:rsidR="00F8757F" w:rsidRDefault="00F8757F" w:rsidP="006B49C5">
      <w:pPr>
        <w:pStyle w:val="ListParagraph"/>
        <w:numPr>
          <w:ilvl w:val="0"/>
          <w:numId w:val="33"/>
        </w:numPr>
        <w:spacing w:after="0"/>
        <w:jc w:val="both"/>
      </w:pPr>
      <w:r w:rsidRPr="00F8757F">
        <w:t xml:space="preserve">Rregullat e hollësishme për funksionimin e sistemit të komunikimit dhe shkëmbimit të informacionit, përmbajtjen, kategoritë dhe formatin e informacionit që regjistrohet, procedurat për regjistrimin, ruajtjen, shkëmbimin dhe sigurinë e të dhënave, afatet për përditësimin e tyre, përdorimin e ndërfaqes publike, mënyrën e koordinimit ndërinstitucional, ndërveprimin me sistemet e tjera shtetërore, detyrimet e institucioneve </w:t>
      </w:r>
      <w:r w:rsidRPr="00F8757F">
        <w:lastRenderedPageBreak/>
        <w:t>pjesëmarrëse, si dhe aspektet teknike për integrimin e ardhshëm në sistemin ICSMS të Bashkimit Evropian, përcaktohen me vendim të Këshillit të Ministrave.</w:t>
      </w:r>
    </w:p>
    <w:p w14:paraId="3A9C999C" w14:textId="77777777" w:rsidR="00F8757F" w:rsidRPr="00AC4939" w:rsidRDefault="00F8757F" w:rsidP="00F8757F">
      <w:pPr>
        <w:pStyle w:val="ListParagraph"/>
        <w:spacing w:after="0"/>
        <w:jc w:val="both"/>
      </w:pPr>
    </w:p>
    <w:p w14:paraId="6DA05BDD" w14:textId="77777777" w:rsidR="00AC4939" w:rsidRPr="00AC4939" w:rsidRDefault="00AC4939" w:rsidP="0047410D">
      <w:pPr>
        <w:spacing w:after="0"/>
        <w:jc w:val="center"/>
        <w:rPr>
          <w:b/>
          <w:bCs/>
        </w:rPr>
      </w:pPr>
      <w:r w:rsidRPr="00AC4939">
        <w:rPr>
          <w:b/>
          <w:bCs/>
        </w:rPr>
        <w:t>Neni 34/5</w:t>
      </w:r>
    </w:p>
    <w:p w14:paraId="3BF12F36" w14:textId="23108585" w:rsidR="00AC4939" w:rsidRDefault="00AC4939" w:rsidP="0047410D">
      <w:pPr>
        <w:spacing w:after="0"/>
        <w:ind w:left="720"/>
        <w:jc w:val="center"/>
        <w:rPr>
          <w:b/>
          <w:bCs/>
        </w:rPr>
      </w:pPr>
      <w:r w:rsidRPr="00AC4939">
        <w:rPr>
          <w:b/>
          <w:bCs/>
        </w:rPr>
        <w:t>Shkëmbimi i informacionit për produktet e rrezikshme</w:t>
      </w:r>
    </w:p>
    <w:p w14:paraId="4BDF14A9" w14:textId="77777777" w:rsidR="003E7D68" w:rsidRPr="00AC4939" w:rsidRDefault="003E7D68" w:rsidP="0047410D">
      <w:pPr>
        <w:spacing w:after="0"/>
        <w:ind w:left="720"/>
        <w:jc w:val="center"/>
        <w:rPr>
          <w:b/>
          <w:bCs/>
        </w:rPr>
      </w:pPr>
    </w:p>
    <w:p w14:paraId="2EAD0342" w14:textId="77777777" w:rsidR="00AC4939" w:rsidRPr="00AC4939" w:rsidRDefault="00AC4939" w:rsidP="006B49C5">
      <w:pPr>
        <w:numPr>
          <w:ilvl w:val="0"/>
          <w:numId w:val="20"/>
        </w:numPr>
        <w:spacing w:after="0"/>
        <w:jc w:val="both"/>
      </w:pPr>
      <w:r w:rsidRPr="00AC4939">
        <w:t>Strukturat përgjegjëse dhe autoritetet doganore shkëmbejnë informacion mbi produktet e rrezikshme në përputhje me dispozitat e legjislacionit për sigurinë e përgjithshme të produkteve joushqimore.</w:t>
      </w:r>
    </w:p>
    <w:p w14:paraId="3E62D03F" w14:textId="77777777" w:rsidR="00AC4939" w:rsidRPr="00AC4939" w:rsidRDefault="00AC4939" w:rsidP="006B49C5">
      <w:pPr>
        <w:numPr>
          <w:ilvl w:val="0"/>
          <w:numId w:val="20"/>
        </w:numPr>
        <w:spacing w:after="0"/>
        <w:jc w:val="both"/>
      </w:pPr>
      <w:r w:rsidRPr="00AC4939">
        <w:t>Zyra e vetme ndërlidhëse mbledh dhe përpunon informacionin e siguruar nga institucionet e përmendura në pikën 1 të këtij neni dhe koordinon shkëmbimin e informacionit ndërmjet tyre, si dhe me autoritetet homologe të vendeve të tjera, në përputhje me marrëveshjet ndërkombëtare të ratifikuara nga Republika e Shqipërisë.</w:t>
      </w:r>
    </w:p>
    <w:p w14:paraId="6FDBCF7C" w14:textId="7D00E024" w:rsidR="00AC4939" w:rsidRPr="00AC4939" w:rsidRDefault="00AC4939" w:rsidP="006B49C5">
      <w:pPr>
        <w:numPr>
          <w:ilvl w:val="0"/>
          <w:numId w:val="20"/>
        </w:numPr>
        <w:spacing w:after="0"/>
        <w:jc w:val="both"/>
      </w:pPr>
      <w:r w:rsidRPr="00AC4939">
        <w:t>Informacioni i shkëmbyer për produktet e rrezikshme përfshin, sipas rastit, të dhënat për identifikimin e produktit, origjinën dhe zinxhirin e furnizimit, natyrën dhe shkallën e rrezikut, masat administrative të marra nga strukturat përgjegjëse ose autoritetet doganore, si dhe çdo masë vullnetare të ndërmarrë nga operatorët ekonomikë.</w:t>
      </w:r>
      <w:r>
        <w:t xml:space="preserve">”. </w:t>
      </w:r>
    </w:p>
    <w:p w14:paraId="0F251A7F" w14:textId="77777777" w:rsidR="00F8757F" w:rsidRPr="00F8757F" w:rsidRDefault="00F8757F" w:rsidP="00F8757F">
      <w:pPr>
        <w:jc w:val="both"/>
      </w:pPr>
    </w:p>
    <w:p w14:paraId="4CDD06BC" w14:textId="01A30D8A" w:rsidR="00F8757F" w:rsidRDefault="00F8757F" w:rsidP="00F8757F">
      <w:pPr>
        <w:spacing w:after="0"/>
        <w:jc w:val="center"/>
        <w:rPr>
          <w:b/>
        </w:rPr>
      </w:pPr>
      <w:r w:rsidRPr="004A7593">
        <w:rPr>
          <w:b/>
        </w:rPr>
        <w:t xml:space="preserve">Neni </w:t>
      </w:r>
      <w:r w:rsidR="00737734">
        <w:rPr>
          <w:b/>
        </w:rPr>
        <w:t>2</w:t>
      </w:r>
      <w:r w:rsidR="00FF3AB5">
        <w:rPr>
          <w:b/>
        </w:rPr>
        <w:t>3</w:t>
      </w:r>
    </w:p>
    <w:p w14:paraId="772EB522" w14:textId="77777777" w:rsidR="00943A3A" w:rsidRPr="004A7593" w:rsidRDefault="00943A3A" w:rsidP="00F8757F">
      <w:pPr>
        <w:spacing w:after="0"/>
        <w:jc w:val="center"/>
        <w:rPr>
          <w:b/>
        </w:rPr>
      </w:pPr>
    </w:p>
    <w:p w14:paraId="56583F13" w14:textId="7D81BABF" w:rsidR="00F8757F" w:rsidRDefault="00F8757F" w:rsidP="00F8757F">
      <w:pPr>
        <w:shd w:val="clear" w:color="auto" w:fill="FFFFFF"/>
      </w:pPr>
      <w:r w:rsidRPr="00750432">
        <w:t>Pas nenit 34/</w:t>
      </w:r>
      <w:r>
        <w:t>5</w:t>
      </w:r>
      <w:r w:rsidRPr="00750432">
        <w:t xml:space="preserve">, </w:t>
      </w:r>
      <w:r>
        <w:t>n</w:t>
      </w:r>
      <w:r w:rsidR="00A915EB">
        <w:t>ë</w:t>
      </w:r>
      <w:r w:rsidRPr="00750432">
        <w:t xml:space="preserve"> Kreu</w:t>
      </w:r>
      <w:r>
        <w:t>n</w:t>
      </w:r>
      <w:r w:rsidRPr="00750432">
        <w:t xml:space="preserve"> VII</w:t>
      </w:r>
      <w:r>
        <w:t>I</w:t>
      </w:r>
      <w:r w:rsidRPr="00750432">
        <w:t xml:space="preserve"> “</w:t>
      </w:r>
      <w:r w:rsidRPr="009211C3">
        <w:rPr>
          <w:spacing w:val="-1"/>
        </w:rPr>
        <w:t>KUNDËRVAJTJET ADMINISTRATIVE</w:t>
      </w:r>
      <w:r w:rsidRPr="00750432">
        <w:t xml:space="preserve">” </w:t>
      </w:r>
      <w:r>
        <w:t xml:space="preserve">, shtohet neni 34/6 </w:t>
      </w:r>
      <w:r w:rsidRPr="00750432">
        <w:t>me përmbajtje si vijon:</w:t>
      </w:r>
    </w:p>
    <w:p w14:paraId="150336C7" w14:textId="14BCD85F" w:rsidR="00F8757F" w:rsidRPr="00F8757F" w:rsidRDefault="00061A61" w:rsidP="00F8757F">
      <w:pPr>
        <w:shd w:val="clear" w:color="auto" w:fill="FFFFFF"/>
        <w:spacing w:after="0"/>
        <w:jc w:val="center"/>
        <w:rPr>
          <w:b/>
          <w:bCs/>
        </w:rPr>
      </w:pPr>
      <w:r>
        <w:rPr>
          <w:b/>
          <w:bCs/>
        </w:rPr>
        <w:t>“</w:t>
      </w:r>
      <w:r w:rsidR="00F8757F" w:rsidRPr="00F8757F">
        <w:rPr>
          <w:b/>
          <w:bCs/>
        </w:rPr>
        <w:t>Neni 34/6</w:t>
      </w:r>
    </w:p>
    <w:p w14:paraId="37593168" w14:textId="73452D36" w:rsidR="00F8757F" w:rsidRDefault="00F8757F" w:rsidP="00F8757F">
      <w:pPr>
        <w:shd w:val="clear" w:color="auto" w:fill="FFFFFF"/>
        <w:spacing w:after="0"/>
        <w:jc w:val="center"/>
        <w:rPr>
          <w:b/>
          <w:bCs/>
        </w:rPr>
      </w:pPr>
      <w:r w:rsidRPr="00F8757F">
        <w:rPr>
          <w:b/>
          <w:bCs/>
        </w:rPr>
        <w:t>Paralajmërimi</w:t>
      </w:r>
    </w:p>
    <w:p w14:paraId="3FE47637" w14:textId="77777777" w:rsidR="003E7D68" w:rsidRPr="00F8757F" w:rsidRDefault="003E7D68" w:rsidP="00F8757F">
      <w:pPr>
        <w:shd w:val="clear" w:color="auto" w:fill="FFFFFF"/>
        <w:spacing w:after="0"/>
        <w:jc w:val="center"/>
        <w:rPr>
          <w:b/>
          <w:bCs/>
        </w:rPr>
      </w:pPr>
    </w:p>
    <w:p w14:paraId="73C936B3" w14:textId="77777777" w:rsidR="00F8757F" w:rsidRPr="00F8757F" w:rsidRDefault="00F8757F" w:rsidP="006B49C5">
      <w:pPr>
        <w:pStyle w:val="ListParagraph"/>
        <w:numPr>
          <w:ilvl w:val="0"/>
          <w:numId w:val="55"/>
        </w:numPr>
        <w:shd w:val="clear" w:color="auto" w:fill="FFFFFF"/>
        <w:spacing w:after="0"/>
        <w:jc w:val="both"/>
      </w:pPr>
      <w:r w:rsidRPr="00F8757F">
        <w:t>Paralajmërimi vendoset nga struktura përgjegjëse si dënim administrativ kryesor në inspektimin e parë, kur shkeljet e dispozitave të këtij ligji nga operatorët ekonomikë vlerësohen si të lehta, nuk paraqesin rrezik serioz dhe mund të korrigjohen pa pasoja të drejtpërdrejta për sigurinë e produktit apo shëndetin e përdoruesve të fundit, në përputhje me parashikimet e këtij ligji dhe legjislacionit për inspektimin në Republikën e Shqipërisë.</w:t>
      </w:r>
    </w:p>
    <w:p w14:paraId="09445BA7" w14:textId="77777777" w:rsidR="00F8757F" w:rsidRPr="00F8757F" w:rsidRDefault="00F8757F" w:rsidP="006B49C5">
      <w:pPr>
        <w:pStyle w:val="ListParagraph"/>
        <w:numPr>
          <w:ilvl w:val="0"/>
          <w:numId w:val="55"/>
        </w:numPr>
        <w:spacing w:before="100" w:beforeAutospacing="1" w:after="100" w:afterAutospacing="1"/>
        <w:jc w:val="both"/>
        <w:rPr>
          <w:rFonts w:eastAsia="Times New Roman"/>
        </w:rPr>
      </w:pPr>
      <w:r w:rsidRPr="00F8757F">
        <w:rPr>
          <w:rFonts w:eastAsia="Times New Roman"/>
        </w:rPr>
        <w:t xml:space="preserve">Masa me paralajmërim shoqërohet me urdhërimin për marrjen e masave korrigjuese dhe për eliminimin e pasojave të shkeljes, brenda një afati të arsyeshëm të përcaktuar nga struktura përgjegjëse. Vendimi përfshin këshillimin me shkrim të operatorit ekonomik për mënyrën e korrigjimit të shkeljeve, që pasqyrohet në procesverbalin e inspektimit. </w:t>
      </w:r>
    </w:p>
    <w:p w14:paraId="1E7CDB6E" w14:textId="5B5F2F9C" w:rsidR="00F8757F" w:rsidRPr="00F8757F" w:rsidRDefault="00F8757F" w:rsidP="006B49C5">
      <w:pPr>
        <w:pStyle w:val="ListParagraph"/>
        <w:numPr>
          <w:ilvl w:val="0"/>
          <w:numId w:val="55"/>
        </w:numPr>
        <w:spacing w:before="100" w:beforeAutospacing="1" w:after="100" w:afterAutospacing="1"/>
        <w:jc w:val="both"/>
        <w:rPr>
          <w:rFonts w:eastAsia="Times New Roman"/>
        </w:rPr>
      </w:pPr>
      <w:r w:rsidRPr="00F8757F">
        <w:rPr>
          <w:rFonts w:eastAsia="Times New Roman"/>
        </w:rPr>
        <w:t>Nëse operatori ekonomik nuk zbaton masat e urdhëruara brenda afatit të caktuar, kjo përbën kundërvajtje administrative dhe dënohet me gjobë nga 30 000 (tridhjetë mijë) lekë deri në 50 000 (pesëdhjetë mijë) lekë, në përputhje me parashikimet e legjislacionit për inspektimin në Republikën e Shqipërisë.</w:t>
      </w:r>
      <w:r w:rsidR="00061A61">
        <w:rPr>
          <w:rFonts w:eastAsia="Times New Roman"/>
        </w:rPr>
        <w:t xml:space="preserve">”. </w:t>
      </w:r>
      <w:r w:rsidRPr="00F8757F">
        <w:rPr>
          <w:rFonts w:eastAsia="Times New Roman"/>
        </w:rPr>
        <w:t xml:space="preserve"> </w:t>
      </w:r>
    </w:p>
    <w:p w14:paraId="5D75DF18" w14:textId="77777777" w:rsidR="00E50A73" w:rsidRPr="004A7593" w:rsidRDefault="00E50A73" w:rsidP="00BF1273">
      <w:pPr>
        <w:shd w:val="clear" w:color="auto" w:fill="FFFFFF"/>
        <w:spacing w:after="0"/>
        <w:jc w:val="center"/>
        <w:rPr>
          <w:b/>
          <w:bCs/>
        </w:rPr>
      </w:pPr>
    </w:p>
    <w:p w14:paraId="0B06950D" w14:textId="47D29E23" w:rsidR="00E50A73" w:rsidRDefault="00E50A73" w:rsidP="00BF1273">
      <w:pPr>
        <w:shd w:val="clear" w:color="auto" w:fill="FFFFFF"/>
        <w:spacing w:after="0"/>
        <w:jc w:val="center"/>
        <w:rPr>
          <w:b/>
          <w:bCs/>
        </w:rPr>
      </w:pPr>
      <w:r w:rsidRPr="004A7593">
        <w:rPr>
          <w:b/>
          <w:bCs/>
        </w:rPr>
        <w:t>Nen</w:t>
      </w:r>
      <w:r w:rsidR="0095214E" w:rsidRPr="004A7593">
        <w:rPr>
          <w:b/>
          <w:bCs/>
        </w:rPr>
        <w:t>i</w:t>
      </w:r>
      <w:r w:rsidRPr="004A7593">
        <w:rPr>
          <w:b/>
          <w:bCs/>
        </w:rPr>
        <w:t xml:space="preserve"> </w:t>
      </w:r>
      <w:r w:rsidR="00737734">
        <w:rPr>
          <w:b/>
          <w:bCs/>
        </w:rPr>
        <w:t>2</w:t>
      </w:r>
      <w:r w:rsidR="00FF3AB5">
        <w:rPr>
          <w:b/>
          <w:bCs/>
        </w:rPr>
        <w:t>4</w:t>
      </w:r>
    </w:p>
    <w:p w14:paraId="2FDE979E" w14:textId="77777777" w:rsidR="00943A3A" w:rsidRPr="004A7593" w:rsidRDefault="00943A3A" w:rsidP="00BF1273">
      <w:pPr>
        <w:shd w:val="clear" w:color="auto" w:fill="FFFFFF"/>
        <w:spacing w:after="0"/>
        <w:jc w:val="center"/>
        <w:rPr>
          <w:b/>
          <w:bCs/>
        </w:rPr>
      </w:pPr>
    </w:p>
    <w:p w14:paraId="01F21566" w14:textId="1D460335" w:rsidR="0095214E" w:rsidRPr="004A7593" w:rsidRDefault="0095214E" w:rsidP="00BF1273">
      <w:pPr>
        <w:shd w:val="clear" w:color="auto" w:fill="FFFFFF"/>
        <w:spacing w:after="0"/>
        <w:jc w:val="both"/>
      </w:pPr>
      <w:r w:rsidRPr="004A7593">
        <w:t>Në nenin 35, bëhen</w:t>
      </w:r>
      <w:r w:rsidR="00F8757F">
        <w:t xml:space="preserve"> </w:t>
      </w:r>
      <w:r w:rsidRPr="004A7593">
        <w:t xml:space="preserve">ndryshimet </w:t>
      </w:r>
      <w:r w:rsidR="00F8757F">
        <w:t>si m</w:t>
      </w:r>
      <w:r w:rsidR="00A915EB">
        <w:t>ë</w:t>
      </w:r>
      <w:r w:rsidR="00F8757F">
        <w:t xml:space="preserve"> posht</w:t>
      </w:r>
      <w:r w:rsidR="00A915EB">
        <w:t>ë</w:t>
      </w:r>
      <w:r w:rsidRPr="004A7593">
        <w:t xml:space="preserve">: </w:t>
      </w:r>
    </w:p>
    <w:p w14:paraId="6AAC129F" w14:textId="78F22E13" w:rsidR="0095214E" w:rsidRPr="004A7593" w:rsidRDefault="0095214E" w:rsidP="006B49C5">
      <w:pPr>
        <w:pStyle w:val="ListParagraph"/>
        <w:numPr>
          <w:ilvl w:val="0"/>
          <w:numId w:val="21"/>
        </w:numPr>
        <w:shd w:val="clear" w:color="auto" w:fill="FFFFFF"/>
        <w:spacing w:after="0"/>
        <w:jc w:val="both"/>
      </w:pPr>
      <w:r w:rsidRPr="004A7593">
        <w:t>Në pik</w:t>
      </w:r>
      <w:r w:rsidR="00C56087" w:rsidRPr="004A7593">
        <w:t>ë</w:t>
      </w:r>
      <w:r w:rsidRPr="004A7593">
        <w:t xml:space="preserve">n </w:t>
      </w:r>
      <w:r w:rsidR="00C56087" w:rsidRPr="004A7593">
        <w:t>2, togfjalëshi “</w:t>
      </w:r>
      <w:bookmarkStart w:id="43" w:name="_Hlk190966628"/>
      <w:r w:rsidR="00C56087" w:rsidRPr="004A7593">
        <w:t>në nenin 29 pika 3</w:t>
      </w:r>
      <w:bookmarkEnd w:id="43"/>
      <w:r w:rsidR="00C56087" w:rsidRPr="004A7593">
        <w:t xml:space="preserve">” </w:t>
      </w:r>
      <w:r w:rsidR="0014321D">
        <w:t>ndryshohet</w:t>
      </w:r>
      <w:r w:rsidR="00C56087" w:rsidRPr="004A7593">
        <w:t xml:space="preserve"> me togfjalëshin “në nenin 29 pika 5”. </w:t>
      </w:r>
    </w:p>
    <w:p w14:paraId="2F26F386" w14:textId="61A5766D" w:rsidR="00E50A73" w:rsidRPr="00A000AE" w:rsidRDefault="00E50A73" w:rsidP="006B49C5">
      <w:pPr>
        <w:pStyle w:val="ListParagraph"/>
        <w:numPr>
          <w:ilvl w:val="0"/>
          <w:numId w:val="21"/>
        </w:numPr>
        <w:shd w:val="clear" w:color="auto" w:fill="FFFFFF"/>
        <w:spacing w:after="0"/>
        <w:jc w:val="both"/>
      </w:pPr>
      <w:r w:rsidRPr="004A7593">
        <w:t>Në pik</w:t>
      </w:r>
      <w:r w:rsidR="00C56087" w:rsidRPr="004A7593">
        <w:t>ë</w:t>
      </w:r>
      <w:r w:rsidR="0095214E" w:rsidRPr="004A7593">
        <w:t>n</w:t>
      </w:r>
      <w:r w:rsidRPr="004A7593">
        <w:t xml:space="preserve"> 3, togfjalëshi “sipas nenit 30 pika 1 shkronja “c” dhe pika 7/b, me gjobë” </w:t>
      </w:r>
      <w:r w:rsidR="0014321D" w:rsidRPr="00A000AE">
        <w:t>ndryshohet</w:t>
      </w:r>
      <w:r w:rsidRPr="00A000AE">
        <w:t xml:space="preserve"> me togfjal</w:t>
      </w:r>
      <w:r w:rsidR="00C56087" w:rsidRPr="00A000AE">
        <w:t>ë</w:t>
      </w:r>
      <w:r w:rsidRPr="00A000AE">
        <w:t>shin</w:t>
      </w:r>
      <w:r w:rsidR="0014321D" w:rsidRPr="00A000AE">
        <w:t xml:space="preserve"> </w:t>
      </w:r>
      <w:r w:rsidRPr="00A000AE">
        <w:t xml:space="preserve">“brenda afatit, </w:t>
      </w:r>
      <w:bookmarkStart w:id="44" w:name="_Hlk182765823"/>
      <w:r w:rsidRPr="00A000AE">
        <w:t>sipas nenit 29/1 pika 2 dhe nenit 30 pika 1</w:t>
      </w:r>
      <w:r w:rsidR="0014321D" w:rsidRPr="00A000AE">
        <w:t>,2 dhe 4,</w:t>
      </w:r>
      <w:bookmarkEnd w:id="44"/>
      <w:r w:rsidRPr="00A000AE">
        <w:t xml:space="preserve"> me gjobë në vlerën nga 30 000 lekë deri në 50 000 lekë, dhe në rast të moszbatimit të përsëritur</w:t>
      </w:r>
      <w:r w:rsidR="0014321D" w:rsidRPr="00A000AE">
        <w:t>,</w:t>
      </w:r>
      <w:r w:rsidRPr="00A000AE">
        <w:t xml:space="preserve">”. </w:t>
      </w:r>
    </w:p>
    <w:p w14:paraId="547DE75C" w14:textId="2419C5B3" w:rsidR="0014321D" w:rsidRPr="00A000AE" w:rsidRDefault="0014321D" w:rsidP="006B49C5">
      <w:pPr>
        <w:pStyle w:val="ListParagraph"/>
        <w:numPr>
          <w:ilvl w:val="0"/>
          <w:numId w:val="21"/>
        </w:numPr>
        <w:shd w:val="clear" w:color="auto" w:fill="FFFFFF"/>
        <w:spacing w:after="0"/>
        <w:jc w:val="both"/>
      </w:pPr>
      <w:r w:rsidRPr="00A000AE">
        <w:t>Në pikën 3, togfjalëshi “në nenin 5 pika 2  shkronjat “a” dhe “b” dhe pika 4 shkronja “a””</w:t>
      </w:r>
      <w:r w:rsidR="00A000AE" w:rsidRPr="00A000AE">
        <w:t xml:space="preserve"> ndryshohet me togfjalëshin</w:t>
      </w:r>
      <w:r w:rsidRPr="00A000AE">
        <w:t xml:space="preserve"> “</w:t>
      </w:r>
      <w:r w:rsidR="00A000AE" w:rsidRPr="00A000AE">
        <w:t>në nenin 5 pika 5</w:t>
      </w:r>
      <w:r w:rsidRPr="00A000AE">
        <w:t xml:space="preserve">”. </w:t>
      </w:r>
    </w:p>
    <w:p w14:paraId="38E2913D" w14:textId="77777777" w:rsidR="0014321D" w:rsidRPr="004A7593" w:rsidRDefault="0014321D" w:rsidP="00A000AE">
      <w:pPr>
        <w:pStyle w:val="ListParagraph"/>
        <w:shd w:val="clear" w:color="auto" w:fill="FFFFFF"/>
        <w:spacing w:after="0"/>
        <w:jc w:val="both"/>
      </w:pPr>
    </w:p>
    <w:p w14:paraId="7A6BD48D" w14:textId="5FE1135F" w:rsidR="00CE41FC" w:rsidRPr="004A7593" w:rsidRDefault="00CE41FC" w:rsidP="00BF1273">
      <w:pPr>
        <w:shd w:val="clear" w:color="auto" w:fill="FFFFFF"/>
        <w:spacing w:after="0"/>
        <w:jc w:val="both"/>
      </w:pPr>
    </w:p>
    <w:p w14:paraId="10848C48" w14:textId="66097697" w:rsidR="005855A8" w:rsidRPr="004A7593" w:rsidRDefault="005855A8" w:rsidP="00BF1273">
      <w:pPr>
        <w:pStyle w:val="Default"/>
        <w:spacing w:line="276" w:lineRule="auto"/>
        <w:jc w:val="center"/>
        <w:rPr>
          <w:color w:val="auto"/>
          <w:lang w:val="sq-AL"/>
        </w:rPr>
      </w:pPr>
      <w:bookmarkStart w:id="45" w:name="_Hlk190967504"/>
      <w:bookmarkStart w:id="46" w:name="_Hlk182768991"/>
      <w:r w:rsidRPr="004A7593">
        <w:rPr>
          <w:b/>
          <w:bCs/>
          <w:color w:val="auto"/>
          <w:lang w:val="sq-AL"/>
        </w:rPr>
        <w:t xml:space="preserve">Neni </w:t>
      </w:r>
      <w:r w:rsidR="00737734">
        <w:rPr>
          <w:b/>
          <w:bCs/>
          <w:color w:val="auto"/>
          <w:lang w:val="sq-AL"/>
        </w:rPr>
        <w:t>2</w:t>
      </w:r>
      <w:r w:rsidR="00FF3AB5">
        <w:rPr>
          <w:b/>
          <w:bCs/>
          <w:color w:val="auto"/>
          <w:lang w:val="sq-AL"/>
        </w:rPr>
        <w:t>5</w:t>
      </w:r>
    </w:p>
    <w:p w14:paraId="36253379" w14:textId="3A97F0BA" w:rsidR="005855A8" w:rsidRDefault="005855A8" w:rsidP="00BF1273">
      <w:pPr>
        <w:pStyle w:val="Default"/>
        <w:spacing w:line="276" w:lineRule="auto"/>
        <w:jc w:val="center"/>
        <w:rPr>
          <w:b/>
          <w:bCs/>
          <w:color w:val="auto"/>
          <w:lang w:val="sq-AL"/>
        </w:rPr>
      </w:pPr>
      <w:r w:rsidRPr="004A7593">
        <w:rPr>
          <w:b/>
          <w:bCs/>
          <w:color w:val="auto"/>
          <w:lang w:val="sq-AL"/>
        </w:rPr>
        <w:t>Dispozita kalimtare</w:t>
      </w:r>
    </w:p>
    <w:p w14:paraId="71FAD3C1" w14:textId="77777777" w:rsidR="003E7D68" w:rsidRPr="004A7593" w:rsidRDefault="003E7D68" w:rsidP="00BF1273">
      <w:pPr>
        <w:pStyle w:val="Default"/>
        <w:spacing w:line="276" w:lineRule="auto"/>
        <w:jc w:val="center"/>
        <w:rPr>
          <w:color w:val="auto"/>
          <w:lang w:val="sq-AL"/>
        </w:rPr>
      </w:pPr>
    </w:p>
    <w:bookmarkEnd w:id="45"/>
    <w:p w14:paraId="79505D88" w14:textId="37876FE8" w:rsidR="00A915EB" w:rsidRPr="00A915EB" w:rsidRDefault="00A915EB" w:rsidP="006B49C5">
      <w:pPr>
        <w:numPr>
          <w:ilvl w:val="0"/>
          <w:numId w:val="22"/>
        </w:numPr>
        <w:spacing w:after="0"/>
        <w:jc w:val="both"/>
        <w:rPr>
          <w:bCs/>
        </w:rPr>
      </w:pPr>
      <w:r w:rsidRPr="00A915EB">
        <w:rPr>
          <w:bCs/>
        </w:rPr>
        <w:t xml:space="preserve">Ministria </w:t>
      </w:r>
      <w:r w:rsidRPr="00A915EB">
        <w:t xml:space="preserve">krijon dhe </w:t>
      </w:r>
      <w:r w:rsidR="007D75EB">
        <w:rPr>
          <w:bCs/>
        </w:rPr>
        <w:t>v</w:t>
      </w:r>
      <w:r w:rsidR="00FF7441">
        <w:rPr>
          <w:bCs/>
        </w:rPr>
        <w:t>ë</w:t>
      </w:r>
      <w:r w:rsidR="007D75EB">
        <w:rPr>
          <w:bCs/>
        </w:rPr>
        <w:t xml:space="preserve"> n</w:t>
      </w:r>
      <w:r w:rsidR="00FF7441">
        <w:rPr>
          <w:bCs/>
        </w:rPr>
        <w:t>ë</w:t>
      </w:r>
      <w:r w:rsidR="007D75EB">
        <w:rPr>
          <w:bCs/>
        </w:rPr>
        <w:t xml:space="preserve"> funksion </w:t>
      </w:r>
      <w:r w:rsidRPr="00A915EB">
        <w:rPr>
          <w:bCs/>
        </w:rPr>
        <w:t xml:space="preserve">Zyrën e Vetme Ndërlidhëse, në përputhje me parashikimet e  nenit 28/2 të këtij ligji, brenda 12 muajve nga hyrja në fuqi e tij. </w:t>
      </w:r>
    </w:p>
    <w:p w14:paraId="1B211F4C" w14:textId="77777777" w:rsidR="00A915EB" w:rsidRPr="00A915EB" w:rsidRDefault="00A915EB" w:rsidP="006B49C5">
      <w:pPr>
        <w:numPr>
          <w:ilvl w:val="0"/>
          <w:numId w:val="22"/>
        </w:numPr>
        <w:spacing w:after="0"/>
        <w:jc w:val="both"/>
        <w:rPr>
          <w:bCs/>
        </w:rPr>
      </w:pPr>
      <w:r w:rsidRPr="00A915EB">
        <w:rPr>
          <w:bCs/>
        </w:rPr>
        <w:t>Ministria krijon Pikën e Kontaktit për Produktet,</w:t>
      </w:r>
      <w:r w:rsidRPr="00A915EB">
        <w:t xml:space="preserve"> në përputhje me parashikimet e nenit 34/3 të këtij ligji, </w:t>
      </w:r>
      <w:r w:rsidRPr="00A915EB">
        <w:rPr>
          <w:bCs/>
        </w:rPr>
        <w:t xml:space="preserve">brenda 12 muajve nga hyrja në fuqi e tij. </w:t>
      </w:r>
    </w:p>
    <w:p w14:paraId="60BA67DF" w14:textId="61DCE0C9" w:rsidR="00A915EB" w:rsidRPr="00A915EB" w:rsidRDefault="00A915EB" w:rsidP="006B49C5">
      <w:pPr>
        <w:numPr>
          <w:ilvl w:val="0"/>
          <w:numId w:val="22"/>
        </w:numPr>
        <w:spacing w:after="0"/>
        <w:jc w:val="both"/>
        <w:rPr>
          <w:bCs/>
        </w:rPr>
      </w:pPr>
      <w:r w:rsidRPr="00A915EB">
        <w:rPr>
          <w:bCs/>
        </w:rPr>
        <w:t xml:space="preserve">Sistemi i komunikimit dhe shkëmbimit të informacionit, i parashikuar në nenin 34/4 të këtij ligji, </w:t>
      </w:r>
      <w:r w:rsidRPr="00A915EB">
        <w:t xml:space="preserve">krijohet dhe vihet në funksion </w:t>
      </w:r>
      <w:r w:rsidRPr="00A915EB">
        <w:rPr>
          <w:bCs/>
        </w:rPr>
        <w:t xml:space="preserve">brenda </w:t>
      </w:r>
      <w:r w:rsidR="00941EA7">
        <w:rPr>
          <w:bCs/>
        </w:rPr>
        <w:t>36</w:t>
      </w:r>
      <w:r w:rsidR="00941EA7" w:rsidRPr="00A915EB">
        <w:rPr>
          <w:bCs/>
        </w:rPr>
        <w:t xml:space="preserve"> </w:t>
      </w:r>
      <w:r w:rsidRPr="00A915EB">
        <w:rPr>
          <w:bCs/>
        </w:rPr>
        <w:t xml:space="preserve">muajve nga hyrja në fuqi e tij. </w:t>
      </w:r>
    </w:p>
    <w:p w14:paraId="6A2FB7DE" w14:textId="77777777" w:rsidR="00A915EB" w:rsidRPr="00A915EB" w:rsidRDefault="00A915EB" w:rsidP="006B49C5">
      <w:pPr>
        <w:numPr>
          <w:ilvl w:val="0"/>
          <w:numId w:val="22"/>
        </w:numPr>
        <w:spacing w:after="0" w:line="240" w:lineRule="auto"/>
        <w:jc w:val="both"/>
        <w:rPr>
          <w:bCs/>
        </w:rPr>
      </w:pPr>
      <w:r w:rsidRPr="00A915EB">
        <w:rPr>
          <w:bCs/>
        </w:rPr>
        <w:t>Procedurat e mbikëqyrjes së tregut të nisura përpara hyrjes në fuqi të këtij ligji do të vijojnë të realizohen sipas parashikimeve të ligjit në fuqi në momentin e fillimit/nisjes së tyre.</w:t>
      </w:r>
    </w:p>
    <w:p w14:paraId="43ADA208" w14:textId="77777777" w:rsidR="00A915EB" w:rsidRPr="00A915EB" w:rsidRDefault="00A915EB" w:rsidP="006B49C5">
      <w:pPr>
        <w:numPr>
          <w:ilvl w:val="0"/>
          <w:numId w:val="22"/>
        </w:numPr>
        <w:spacing w:after="0" w:line="240" w:lineRule="auto"/>
        <w:jc w:val="both"/>
        <w:rPr>
          <w:bCs/>
        </w:rPr>
      </w:pPr>
      <w:r w:rsidRPr="00A915EB">
        <w:rPr>
          <w:bCs/>
        </w:rPr>
        <w:t xml:space="preserve">Aktet nënligjore të miratuara përpara hyrjes në fuqi të këtij ligji, që nuk bien në kundërshtim me këtë ligj, do të zbatohen deri në miratimin e akteve nënligjore në zbatim të këtij ligji. </w:t>
      </w:r>
    </w:p>
    <w:p w14:paraId="6CA0621F" w14:textId="44D91CED" w:rsidR="00390BF5" w:rsidRDefault="00390BF5" w:rsidP="00BF1273">
      <w:pPr>
        <w:spacing w:after="0"/>
        <w:jc w:val="center"/>
        <w:rPr>
          <w:b/>
        </w:rPr>
      </w:pPr>
    </w:p>
    <w:p w14:paraId="68B4E1F5" w14:textId="631E8A3D" w:rsidR="005855A8" w:rsidRPr="004A7593" w:rsidRDefault="005855A8" w:rsidP="00BF1273">
      <w:pPr>
        <w:spacing w:after="0"/>
        <w:jc w:val="center"/>
        <w:rPr>
          <w:b/>
        </w:rPr>
      </w:pPr>
      <w:bookmarkStart w:id="47" w:name="_Hlk190968614"/>
      <w:r w:rsidRPr="004A7593">
        <w:rPr>
          <w:b/>
        </w:rPr>
        <w:t xml:space="preserve">Neni </w:t>
      </w:r>
      <w:r w:rsidR="00737734">
        <w:rPr>
          <w:b/>
        </w:rPr>
        <w:t>2</w:t>
      </w:r>
      <w:r w:rsidR="00FF3AB5">
        <w:rPr>
          <w:b/>
        </w:rPr>
        <w:t>6</w:t>
      </w:r>
    </w:p>
    <w:p w14:paraId="7C4A889B" w14:textId="4C95185D" w:rsidR="005855A8" w:rsidRDefault="005855A8" w:rsidP="00BF1273">
      <w:pPr>
        <w:spacing w:after="0"/>
        <w:jc w:val="center"/>
        <w:rPr>
          <w:b/>
          <w:bCs/>
        </w:rPr>
      </w:pPr>
      <w:r w:rsidRPr="004A7593">
        <w:rPr>
          <w:b/>
          <w:bCs/>
        </w:rPr>
        <w:t>Nxjerrja e akteve nënligjore</w:t>
      </w:r>
    </w:p>
    <w:p w14:paraId="0ED47A0F" w14:textId="77777777" w:rsidR="007E1769" w:rsidRPr="004A7593" w:rsidRDefault="007E1769" w:rsidP="00BF1273">
      <w:pPr>
        <w:spacing w:after="0"/>
        <w:jc w:val="center"/>
        <w:rPr>
          <w:bCs/>
        </w:rPr>
      </w:pPr>
    </w:p>
    <w:bookmarkEnd w:id="47"/>
    <w:p w14:paraId="56C04392" w14:textId="77777777" w:rsidR="00A915EB" w:rsidRPr="00A915EB" w:rsidRDefault="00A915EB" w:rsidP="006B49C5">
      <w:pPr>
        <w:numPr>
          <w:ilvl w:val="0"/>
          <w:numId w:val="23"/>
        </w:numPr>
        <w:spacing w:after="0"/>
        <w:jc w:val="both"/>
      </w:pPr>
      <w:r w:rsidRPr="00A915EB">
        <w:rPr>
          <w:rStyle w:val="Strong"/>
          <w:b w:val="0"/>
          <w:bCs w:val="0"/>
        </w:rPr>
        <w:t>Ngarkohet Këshilli i Ministrave</w:t>
      </w:r>
      <w:r w:rsidRPr="00A915EB">
        <w:t xml:space="preserve"> që, brenda </w:t>
      </w:r>
      <w:r w:rsidRPr="00A915EB">
        <w:rPr>
          <w:rStyle w:val="Strong"/>
          <w:b w:val="0"/>
          <w:bCs w:val="0"/>
        </w:rPr>
        <w:t>24 muajve</w:t>
      </w:r>
      <w:r w:rsidRPr="00A915EB">
        <w:t xml:space="preserve"> nga hyrja në fuqi e këtij ligji, të miratojë aktet nënligjore në zbatim të nenit 2 </w:t>
      </w:r>
      <w:r w:rsidRPr="00A915EB">
        <w:rPr>
          <w:rStyle w:val="Strong"/>
          <w:b w:val="0"/>
          <w:bCs w:val="0"/>
        </w:rPr>
        <w:t xml:space="preserve">pika 1/1, </w:t>
      </w:r>
      <w:r w:rsidRPr="00A915EB">
        <w:t xml:space="preserve">nenit 15/1 </w:t>
      </w:r>
      <w:r w:rsidRPr="00A915EB">
        <w:rPr>
          <w:rStyle w:val="Strong"/>
          <w:b w:val="0"/>
          <w:bCs w:val="0"/>
        </w:rPr>
        <w:t>pika 4, nenit 28/1 pika 1 dhe nenit 34/4 pika 10 të këtij ligji</w:t>
      </w:r>
      <w:r w:rsidRPr="00A915EB">
        <w:t>.</w:t>
      </w:r>
    </w:p>
    <w:p w14:paraId="28ED1DCB" w14:textId="77777777" w:rsidR="00A915EB" w:rsidRPr="00A915EB" w:rsidRDefault="00A915EB" w:rsidP="006B49C5">
      <w:pPr>
        <w:numPr>
          <w:ilvl w:val="0"/>
          <w:numId w:val="23"/>
        </w:numPr>
        <w:spacing w:after="0"/>
        <w:jc w:val="both"/>
      </w:pPr>
      <w:r w:rsidRPr="00A915EB">
        <w:rPr>
          <w:rStyle w:val="Strong"/>
          <w:b w:val="0"/>
          <w:bCs w:val="0"/>
        </w:rPr>
        <w:t>Ngarkohet Këshilli i Ministrave</w:t>
      </w:r>
      <w:r w:rsidRPr="00A915EB">
        <w:t xml:space="preserve"> që, brenda </w:t>
      </w:r>
      <w:r w:rsidRPr="00A915EB">
        <w:rPr>
          <w:rStyle w:val="Strong"/>
          <w:b w:val="0"/>
          <w:bCs w:val="0"/>
        </w:rPr>
        <w:t>3 muajve</w:t>
      </w:r>
      <w:r w:rsidRPr="00A915EB">
        <w:t xml:space="preserve"> nga hyrja në fuqi e këtij ligji, të miratojë aktin nënligjor në zbatim të nenit 30 pika </w:t>
      </w:r>
      <w:r w:rsidRPr="00A915EB">
        <w:rPr>
          <w:rStyle w:val="Strong"/>
          <w:b w:val="0"/>
          <w:bCs w:val="0"/>
        </w:rPr>
        <w:t>7, të këtij ligji</w:t>
      </w:r>
      <w:r w:rsidRPr="00A915EB">
        <w:t>.</w:t>
      </w:r>
    </w:p>
    <w:p w14:paraId="2B9CC1D9" w14:textId="6FD0DA51" w:rsidR="00A915EB" w:rsidRPr="00A915EB" w:rsidRDefault="00A915EB" w:rsidP="006B49C5">
      <w:pPr>
        <w:numPr>
          <w:ilvl w:val="0"/>
          <w:numId w:val="23"/>
        </w:numPr>
        <w:spacing w:after="0"/>
        <w:jc w:val="both"/>
      </w:pPr>
      <w:r w:rsidRPr="00A915EB">
        <w:rPr>
          <w:rStyle w:val="Strong"/>
          <w:b w:val="0"/>
          <w:bCs w:val="0"/>
        </w:rPr>
        <w:t>Ngarkohet Ministri</w:t>
      </w:r>
      <w:r w:rsidRPr="00A915EB">
        <w:t xml:space="preserve"> që, brenda </w:t>
      </w:r>
      <w:r w:rsidRPr="00A915EB">
        <w:rPr>
          <w:rStyle w:val="Strong"/>
          <w:b w:val="0"/>
          <w:bCs w:val="0"/>
        </w:rPr>
        <w:t>6 muajve</w:t>
      </w:r>
      <w:r w:rsidRPr="00A915EB">
        <w:t xml:space="preserve"> nga hyrja në fuqi e këtij ligji, të miratojë udhëzim</w:t>
      </w:r>
      <w:r w:rsidR="004A4D83">
        <w:t>in</w:t>
      </w:r>
      <w:r w:rsidRPr="00A915EB">
        <w:t xml:space="preserve"> në zbatim të nenit 28/3 </w:t>
      </w:r>
      <w:r w:rsidRPr="00A915EB">
        <w:rPr>
          <w:rStyle w:val="Strong"/>
          <w:b w:val="0"/>
          <w:bCs w:val="0"/>
        </w:rPr>
        <w:t xml:space="preserve">pika 8 </w:t>
      </w:r>
      <w:r w:rsidRPr="00A915EB">
        <w:t>të</w:t>
      </w:r>
      <w:r w:rsidRPr="00A915EB">
        <w:rPr>
          <w:rStyle w:val="Strong"/>
          <w:b w:val="0"/>
          <w:bCs w:val="0"/>
        </w:rPr>
        <w:t xml:space="preserve"> këtij ligji</w:t>
      </w:r>
      <w:r w:rsidRPr="00A915EB">
        <w:t>.</w:t>
      </w:r>
    </w:p>
    <w:p w14:paraId="42D6EAF1" w14:textId="77777777" w:rsidR="005855A8" w:rsidRPr="004A7593" w:rsidRDefault="005855A8" w:rsidP="00BF1273">
      <w:pPr>
        <w:pStyle w:val="Default"/>
        <w:spacing w:line="276" w:lineRule="auto"/>
        <w:rPr>
          <w:color w:val="auto"/>
          <w:lang w:val="sq-AL"/>
        </w:rPr>
      </w:pPr>
    </w:p>
    <w:p w14:paraId="7F8DCA0A" w14:textId="77777777" w:rsidR="00942CD4" w:rsidRDefault="00942CD4" w:rsidP="00A915EB">
      <w:pPr>
        <w:pStyle w:val="Default"/>
        <w:spacing w:line="276" w:lineRule="auto"/>
        <w:jc w:val="center"/>
        <w:rPr>
          <w:b/>
          <w:bCs/>
          <w:color w:val="auto"/>
          <w:lang w:val="sq-AL"/>
        </w:rPr>
      </w:pPr>
    </w:p>
    <w:p w14:paraId="0F8584A3" w14:textId="2C9F8A6A" w:rsidR="00A915EB" w:rsidRPr="00A915EB" w:rsidRDefault="00A915EB" w:rsidP="00A915EB">
      <w:pPr>
        <w:pStyle w:val="Default"/>
        <w:spacing w:line="276" w:lineRule="auto"/>
        <w:jc w:val="center"/>
        <w:rPr>
          <w:color w:val="auto"/>
          <w:lang w:val="sq-AL"/>
        </w:rPr>
      </w:pPr>
      <w:commentRangeStart w:id="48"/>
      <w:r w:rsidRPr="00A915EB">
        <w:rPr>
          <w:b/>
          <w:bCs/>
          <w:color w:val="auto"/>
          <w:lang w:val="sq-AL"/>
        </w:rPr>
        <w:lastRenderedPageBreak/>
        <w:t xml:space="preserve">Neni </w:t>
      </w:r>
      <w:r w:rsidR="0045730D">
        <w:rPr>
          <w:b/>
          <w:bCs/>
          <w:color w:val="auto"/>
          <w:lang w:val="sq-AL"/>
        </w:rPr>
        <w:t>2</w:t>
      </w:r>
      <w:r w:rsidR="00FF3AB5">
        <w:rPr>
          <w:b/>
          <w:bCs/>
          <w:color w:val="auto"/>
          <w:lang w:val="sq-AL"/>
        </w:rPr>
        <w:t>7</w:t>
      </w:r>
    </w:p>
    <w:p w14:paraId="103E1FDC" w14:textId="22848A0E" w:rsidR="00A915EB" w:rsidRDefault="00A915EB" w:rsidP="00A915EB">
      <w:pPr>
        <w:pStyle w:val="Default"/>
        <w:spacing w:line="276" w:lineRule="auto"/>
        <w:jc w:val="center"/>
        <w:rPr>
          <w:b/>
          <w:bCs/>
          <w:color w:val="auto"/>
          <w:lang w:val="sq-AL"/>
        </w:rPr>
      </w:pPr>
      <w:r w:rsidRPr="00A915EB">
        <w:rPr>
          <w:b/>
          <w:bCs/>
          <w:color w:val="auto"/>
          <w:lang w:val="sq-AL"/>
        </w:rPr>
        <w:t>Shfuqizime</w:t>
      </w:r>
    </w:p>
    <w:p w14:paraId="51B11094" w14:textId="77777777" w:rsidR="007E1769" w:rsidRPr="00A915EB" w:rsidRDefault="007E1769" w:rsidP="00A915EB">
      <w:pPr>
        <w:pStyle w:val="Default"/>
        <w:spacing w:line="276" w:lineRule="auto"/>
        <w:jc w:val="center"/>
        <w:rPr>
          <w:b/>
          <w:bCs/>
          <w:color w:val="auto"/>
          <w:lang w:val="sq-AL"/>
        </w:rPr>
      </w:pPr>
    </w:p>
    <w:p w14:paraId="3A58F435" w14:textId="77777777" w:rsidR="00A915EB" w:rsidRPr="00A915EB" w:rsidRDefault="00A915EB" w:rsidP="00A915EB">
      <w:pPr>
        <w:pStyle w:val="Default"/>
        <w:spacing w:line="276" w:lineRule="auto"/>
        <w:jc w:val="both"/>
        <w:rPr>
          <w:color w:val="auto"/>
          <w:lang w:val="sq-AL"/>
        </w:rPr>
      </w:pPr>
      <w:r w:rsidRPr="00737734">
        <w:rPr>
          <w:color w:val="auto"/>
          <w:lang w:val="sq-AL"/>
        </w:rPr>
        <w:t>Ky ligj shfuqizohet në datën e anëtarësimit të Republikës së Shqipërisë në Bashkimin Evropian, kur rregulloret e Bashkimit Evropian të përafruara me këtë ligj, fillojnë të zbatohen drejtpërdrejt në Republikën e Shqipërisë.</w:t>
      </w:r>
      <w:commentRangeEnd w:id="48"/>
      <w:r w:rsidR="00715A4C">
        <w:rPr>
          <w:rStyle w:val="CommentReference"/>
          <w:rFonts w:eastAsia="Calibri"/>
          <w:color w:val="auto"/>
          <w:lang w:val="sq-AL"/>
        </w:rPr>
        <w:commentReference w:id="48"/>
      </w:r>
    </w:p>
    <w:p w14:paraId="019D56B5" w14:textId="77777777" w:rsidR="00A915EB" w:rsidRPr="00A915EB" w:rsidRDefault="00A915EB" w:rsidP="00A915EB">
      <w:pPr>
        <w:pStyle w:val="Default"/>
        <w:spacing w:line="276" w:lineRule="auto"/>
        <w:rPr>
          <w:color w:val="auto"/>
          <w:sz w:val="28"/>
          <w:szCs w:val="28"/>
          <w:lang w:val="sq-AL"/>
        </w:rPr>
      </w:pPr>
    </w:p>
    <w:p w14:paraId="0C141774" w14:textId="1A15A0CA" w:rsidR="00A915EB" w:rsidRPr="00A915EB" w:rsidRDefault="00A915EB" w:rsidP="00A915EB">
      <w:pPr>
        <w:pStyle w:val="Default"/>
        <w:spacing w:line="276" w:lineRule="auto"/>
        <w:jc w:val="center"/>
        <w:rPr>
          <w:color w:val="auto"/>
          <w:lang w:val="sq-AL"/>
        </w:rPr>
      </w:pPr>
      <w:r w:rsidRPr="00A915EB">
        <w:rPr>
          <w:b/>
          <w:bCs/>
          <w:color w:val="auto"/>
          <w:lang w:val="sq-AL"/>
        </w:rPr>
        <w:t xml:space="preserve">Neni </w:t>
      </w:r>
      <w:r w:rsidR="0045730D">
        <w:rPr>
          <w:b/>
          <w:bCs/>
          <w:color w:val="auto"/>
          <w:lang w:val="sq-AL"/>
        </w:rPr>
        <w:t>2</w:t>
      </w:r>
      <w:r w:rsidR="00FF3AB5">
        <w:rPr>
          <w:b/>
          <w:bCs/>
          <w:color w:val="auto"/>
          <w:lang w:val="sq-AL"/>
        </w:rPr>
        <w:t>8</w:t>
      </w:r>
    </w:p>
    <w:p w14:paraId="79D46B5F" w14:textId="77777777" w:rsidR="00A915EB" w:rsidRPr="00A915EB" w:rsidRDefault="00A915EB" w:rsidP="00A915EB">
      <w:pPr>
        <w:pStyle w:val="Default"/>
        <w:spacing w:line="276" w:lineRule="auto"/>
        <w:jc w:val="center"/>
        <w:rPr>
          <w:color w:val="auto"/>
          <w:lang w:val="sq-AL"/>
        </w:rPr>
      </w:pPr>
      <w:r w:rsidRPr="00A915EB">
        <w:rPr>
          <w:b/>
          <w:bCs/>
          <w:color w:val="auto"/>
          <w:lang w:val="sq-AL"/>
        </w:rPr>
        <w:t>Hyrja në fuqi</w:t>
      </w:r>
    </w:p>
    <w:p w14:paraId="6528039F" w14:textId="77777777" w:rsidR="00A915EB" w:rsidRPr="00A915EB" w:rsidRDefault="00A915EB" w:rsidP="00A915EB">
      <w:pPr>
        <w:shd w:val="clear" w:color="auto" w:fill="FFFFFF"/>
      </w:pPr>
    </w:p>
    <w:p w14:paraId="4B1FE6C5" w14:textId="77777777" w:rsidR="00A915EB" w:rsidRPr="00A915EB" w:rsidRDefault="00A915EB" w:rsidP="00A915EB">
      <w:pPr>
        <w:shd w:val="clear" w:color="auto" w:fill="FFFFFF"/>
      </w:pPr>
      <w:r w:rsidRPr="00A915EB">
        <w:t>1. Ky ligj hyn në fuqi 15 ditë pas botimit në “Fletoren zyrtare”.</w:t>
      </w:r>
    </w:p>
    <w:p w14:paraId="21E4DEA6" w14:textId="77777777" w:rsidR="00A915EB" w:rsidRPr="00A915EB" w:rsidRDefault="00A915EB" w:rsidP="00A915EB">
      <w:pPr>
        <w:shd w:val="clear" w:color="auto" w:fill="FFFFFF"/>
      </w:pPr>
      <w:r w:rsidRPr="00A915EB">
        <w:rPr>
          <w:bCs/>
        </w:rPr>
        <w:t xml:space="preserve">2. </w:t>
      </w:r>
      <w:r w:rsidRPr="00A915EB">
        <w:t xml:space="preserve">Përjashtimisht, neni 15/1  hyn në fuqi në datën e miratimit të vendimit të Këshillit të Ministrave për përcaktimin e grupit të produkteve që i nënshtrohet zbatimit të këtij neni. </w:t>
      </w:r>
    </w:p>
    <w:p w14:paraId="643E39EE" w14:textId="77777777" w:rsidR="00A915EB" w:rsidRPr="000659C6" w:rsidRDefault="00A915EB" w:rsidP="00A915EB">
      <w:pPr>
        <w:shd w:val="clear" w:color="auto" w:fill="FFFFFF"/>
        <w:rPr>
          <w:color w:val="C00000"/>
        </w:rPr>
      </w:pPr>
    </w:p>
    <w:bookmarkEnd w:id="46"/>
    <w:p w14:paraId="58B103DE" w14:textId="77777777" w:rsidR="005855A8" w:rsidRPr="004A7593" w:rsidRDefault="005855A8" w:rsidP="00BF1273">
      <w:pPr>
        <w:shd w:val="clear" w:color="auto" w:fill="FFFFFF"/>
        <w:spacing w:after="0"/>
        <w:jc w:val="both"/>
      </w:pPr>
    </w:p>
    <w:sectPr w:rsidR="005855A8" w:rsidRPr="004A7593">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8" w:author="Qendra ALTRI" w:date="2025-07-08T14:43:00Z" w:initials="QA">
    <w:p w14:paraId="2B30E3DE" w14:textId="6ECB0EE7" w:rsidR="005842AF" w:rsidRPr="00CF0FFE" w:rsidRDefault="00715A4C" w:rsidP="005842AF">
      <w:pPr>
        <w:spacing w:before="100" w:beforeAutospacing="1" w:after="100" w:afterAutospacing="1" w:line="240" w:lineRule="auto"/>
        <w:rPr>
          <w:rFonts w:eastAsia="Times New Roman"/>
          <w:lang w:val="en-US"/>
        </w:rPr>
      </w:pPr>
      <w:r>
        <w:rPr>
          <w:rStyle w:val="CommentReference"/>
        </w:rPr>
        <w:annotationRef/>
      </w:r>
    </w:p>
    <w:p w14:paraId="504A19C4" w14:textId="590057DC" w:rsidR="005842AF" w:rsidRPr="005842AF" w:rsidRDefault="005842AF" w:rsidP="005B44B2">
      <w:pPr>
        <w:spacing w:before="100" w:beforeAutospacing="1" w:after="100" w:afterAutospacing="1" w:line="240" w:lineRule="auto"/>
        <w:jc w:val="both"/>
        <w:rPr>
          <w:rFonts w:eastAsia="Times New Roman"/>
          <w:lang w:val="en-US"/>
        </w:rPr>
      </w:pPr>
      <w:r w:rsidRPr="005842AF">
        <w:rPr>
          <w:rFonts w:eastAsia="Times New Roman"/>
          <w:lang w:val="en-US"/>
        </w:rPr>
        <w:t>Ky parashikim është përfshirë si rrjedhojë e diskutimeve ndërmjet MEKI dhe Ministrisë së Drejtësisë, dhe parashikon shfuqizimin e plotë të ligjit aktual, duke qenë se ai përafron dy Rregullore të Bashkimit Evropian:</w:t>
      </w:r>
    </w:p>
    <w:p w14:paraId="45CB50D1" w14:textId="560E9B93" w:rsidR="005842AF" w:rsidRPr="005842AF" w:rsidRDefault="005842AF" w:rsidP="006B49C5">
      <w:pPr>
        <w:pStyle w:val="ListParagraph"/>
        <w:numPr>
          <w:ilvl w:val="0"/>
          <w:numId w:val="60"/>
        </w:numPr>
        <w:spacing w:before="100" w:beforeAutospacing="1" w:after="100" w:afterAutospacing="1" w:line="240" w:lineRule="auto"/>
        <w:jc w:val="both"/>
        <w:rPr>
          <w:rFonts w:eastAsia="Times New Roman"/>
          <w:lang w:val="en-US"/>
        </w:rPr>
      </w:pPr>
      <w:r w:rsidRPr="005842AF">
        <w:rPr>
          <w:rFonts w:eastAsia="Times New Roman"/>
          <w:lang w:val="en-US"/>
        </w:rPr>
        <w:t xml:space="preserve">Rregulloren (BE) 2019/1020 të Parlamentit Evropian dhe të Këshillit, datë 20 qershor 2019, </w:t>
      </w:r>
    </w:p>
    <w:p w14:paraId="23E828E3" w14:textId="24F17678" w:rsidR="005842AF" w:rsidRPr="005842AF" w:rsidRDefault="005842AF" w:rsidP="006B49C5">
      <w:pPr>
        <w:pStyle w:val="ListParagraph"/>
        <w:numPr>
          <w:ilvl w:val="0"/>
          <w:numId w:val="60"/>
        </w:numPr>
        <w:spacing w:before="100" w:beforeAutospacing="1" w:after="100" w:afterAutospacing="1" w:line="240" w:lineRule="auto"/>
        <w:jc w:val="both"/>
        <w:rPr>
          <w:rFonts w:eastAsia="Times New Roman"/>
          <w:lang w:val="en-US"/>
        </w:rPr>
      </w:pPr>
      <w:r w:rsidRPr="005842AF">
        <w:rPr>
          <w:rFonts w:eastAsia="Times New Roman"/>
          <w:lang w:val="en-US"/>
        </w:rPr>
        <w:t>Rregulloren (KE) nr. 765/2008 të Parlamentit Evropian dhe të Këshillit, datë 9 korrik 2008, “Për vendosjen e kërkesave për akreditimin dhe mbikëqyrjen e tregut, lidhur me tregtimin e produkteve”.</w:t>
      </w:r>
    </w:p>
    <w:p w14:paraId="1C754078" w14:textId="77777777" w:rsidR="005842AF" w:rsidRPr="005842AF" w:rsidRDefault="005842AF" w:rsidP="005B44B2">
      <w:pPr>
        <w:spacing w:before="100" w:beforeAutospacing="1" w:after="100" w:afterAutospacing="1" w:line="240" w:lineRule="auto"/>
        <w:jc w:val="both"/>
        <w:rPr>
          <w:rFonts w:eastAsia="Times New Roman"/>
          <w:lang w:val="en-US"/>
        </w:rPr>
      </w:pPr>
    </w:p>
    <w:p w14:paraId="5936F151" w14:textId="77777777" w:rsidR="005842AF" w:rsidRPr="005842AF" w:rsidRDefault="005842AF" w:rsidP="005B44B2">
      <w:pPr>
        <w:spacing w:before="100" w:beforeAutospacing="1" w:after="100" w:afterAutospacing="1" w:line="240" w:lineRule="auto"/>
        <w:jc w:val="both"/>
        <w:rPr>
          <w:rFonts w:eastAsia="Times New Roman"/>
          <w:lang w:val="en-US"/>
        </w:rPr>
      </w:pPr>
      <w:r w:rsidRPr="005842AF">
        <w:rPr>
          <w:rFonts w:eastAsia="Times New Roman"/>
          <w:lang w:val="en-US"/>
        </w:rPr>
        <w:t>Pjesa që lidhet me mbikëqyrjen e tregut e Rregullores 765/2008 është shfuqizuar nga Rregullorja (BE) 2019/1020, ndërsa parashikimet mbi akreditimin mbeten në fuqi.</w:t>
      </w:r>
    </w:p>
    <w:p w14:paraId="2BD49355" w14:textId="77777777" w:rsidR="005842AF" w:rsidRPr="005842AF" w:rsidRDefault="005842AF" w:rsidP="005B44B2">
      <w:pPr>
        <w:spacing w:before="100" w:beforeAutospacing="1" w:after="100" w:afterAutospacing="1" w:line="240" w:lineRule="auto"/>
        <w:jc w:val="both"/>
        <w:rPr>
          <w:rFonts w:eastAsia="Times New Roman"/>
          <w:lang w:val="en-US"/>
        </w:rPr>
      </w:pPr>
    </w:p>
    <w:p w14:paraId="1524F4BB" w14:textId="77777777" w:rsidR="005842AF" w:rsidRPr="005842AF" w:rsidRDefault="005842AF" w:rsidP="005B44B2">
      <w:pPr>
        <w:spacing w:before="100" w:beforeAutospacing="1" w:after="100" w:afterAutospacing="1" w:line="240" w:lineRule="auto"/>
        <w:jc w:val="both"/>
        <w:rPr>
          <w:rFonts w:eastAsia="Times New Roman"/>
          <w:lang w:val="en-US"/>
        </w:rPr>
      </w:pPr>
      <w:r w:rsidRPr="005842AF">
        <w:rPr>
          <w:rFonts w:eastAsia="Times New Roman"/>
          <w:lang w:val="en-US"/>
        </w:rPr>
        <w:t xml:space="preserve">Dispozitat e ligjit aktual rregullojnë mbikëqyrjen e tregut për produktet joushqimore dhe akreditimin, duke përafruar përkatësisht dispozitat e dy Rregulloreve të sipërpërmendura. Për këtë arsye, është propozuar shfuqizimi i plotë i ligjit. Megjithatë, neni 41 i Rregullores (BE) 2019/1020 parashikon se sanksionet për shkeljet janë përgjegjësi e Shteteve Anëtare, të cilat duhet të sigurojnë zbatimin efektiv të saj. Nëse do të merret në konsideratë mbajtja në fuqi vetëm e nenit 35 të ligjit aktual (i cili trajton kundërvajtjet administrative), ky nen do të duhet të riformulohet, pasi aktualisht i referohet shkeljeve të dispozitave të tjera të ligjit, të cilat parashikohet të shfuqizohen në momentin e anëtarësimit. </w:t>
      </w:r>
    </w:p>
    <w:p w14:paraId="45CD5D09" w14:textId="77777777" w:rsidR="005842AF" w:rsidRPr="005842AF" w:rsidRDefault="005842AF" w:rsidP="005B44B2">
      <w:pPr>
        <w:spacing w:before="100" w:beforeAutospacing="1" w:after="100" w:afterAutospacing="1" w:line="240" w:lineRule="auto"/>
        <w:jc w:val="both"/>
        <w:rPr>
          <w:rFonts w:eastAsia="Times New Roman"/>
          <w:lang w:val="en-US"/>
        </w:rPr>
      </w:pPr>
    </w:p>
    <w:p w14:paraId="6EAF8B8A" w14:textId="7276F776" w:rsidR="005842AF" w:rsidRPr="00CF0FFE" w:rsidRDefault="005842AF" w:rsidP="005B44B2">
      <w:pPr>
        <w:spacing w:before="100" w:beforeAutospacing="1" w:after="100" w:afterAutospacing="1" w:line="240" w:lineRule="auto"/>
        <w:jc w:val="both"/>
        <w:rPr>
          <w:rFonts w:eastAsia="Times New Roman"/>
          <w:lang w:val="en-US"/>
        </w:rPr>
      </w:pPr>
      <w:r w:rsidRPr="005842AF">
        <w:rPr>
          <w:rFonts w:eastAsia="Times New Roman"/>
          <w:lang w:val="en-US"/>
        </w:rPr>
        <w:t xml:space="preserve">Lidhur me këtë dispozitë lutemi edhe mendimin e Ministrisë së Drejtësisë se si duhet të veprojmë duke marrë në konsideratë sa më sipër.  </w:t>
      </w:r>
    </w:p>
    <w:p w14:paraId="1736F593" w14:textId="5F8923D1" w:rsidR="00505296" w:rsidRDefault="00505296" w:rsidP="005842AF">
      <w:pPr>
        <w:pStyle w:val="CommentText"/>
        <w:jc w:val="both"/>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36F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C17AD21" w16cex:dateUtc="2025-07-08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36F593" w16cid:durableId="2C17AD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6F6B1" w14:textId="77777777" w:rsidR="00E26127" w:rsidRDefault="00E26127" w:rsidP="00F050EF">
      <w:pPr>
        <w:spacing w:after="0" w:line="240" w:lineRule="auto"/>
      </w:pPr>
      <w:r>
        <w:separator/>
      </w:r>
    </w:p>
  </w:endnote>
  <w:endnote w:type="continuationSeparator" w:id="0">
    <w:p w14:paraId="63978FB0" w14:textId="77777777" w:rsidR="00E26127" w:rsidRDefault="00E26127" w:rsidP="00F0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783648"/>
      <w:docPartObj>
        <w:docPartGallery w:val="Page Numbers (Bottom of Page)"/>
        <w:docPartUnique/>
      </w:docPartObj>
    </w:sdtPr>
    <w:sdtEndPr>
      <w:rPr>
        <w:noProof/>
      </w:rPr>
    </w:sdtEndPr>
    <w:sdtContent>
      <w:p w14:paraId="54CB635F" w14:textId="136CF6D1" w:rsidR="00F050EF" w:rsidRDefault="00F050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136E35" w14:textId="77777777" w:rsidR="00F050EF" w:rsidRDefault="00F0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07E1A" w14:textId="77777777" w:rsidR="00E26127" w:rsidRDefault="00E26127" w:rsidP="00F050EF">
      <w:pPr>
        <w:spacing w:after="0" w:line="240" w:lineRule="auto"/>
      </w:pPr>
      <w:r>
        <w:separator/>
      </w:r>
    </w:p>
  </w:footnote>
  <w:footnote w:type="continuationSeparator" w:id="0">
    <w:p w14:paraId="67E82605" w14:textId="77777777" w:rsidR="00E26127" w:rsidRDefault="00E26127" w:rsidP="00F050EF">
      <w:pPr>
        <w:spacing w:after="0" w:line="240" w:lineRule="auto"/>
      </w:pPr>
      <w:r>
        <w:continuationSeparator/>
      </w:r>
    </w:p>
  </w:footnote>
  <w:footnote w:id="1">
    <w:p w14:paraId="52DA5661" w14:textId="692E2424" w:rsidR="009B5859" w:rsidRPr="0080336C" w:rsidRDefault="008321D5" w:rsidP="009B5859">
      <w:pPr>
        <w:jc w:val="both"/>
        <w:rPr>
          <w:i/>
          <w:iCs/>
          <w:color w:val="C00000"/>
          <w:lang w:val="it-IT"/>
        </w:rPr>
      </w:pPr>
      <w:r w:rsidRPr="008321D5">
        <w:rPr>
          <w:rStyle w:val="FootnoteReference"/>
        </w:rPr>
        <w:footnoteRef/>
      </w:r>
      <w:r w:rsidRPr="008321D5">
        <w:t xml:space="preserve"> </w:t>
      </w:r>
      <w:r w:rsidRPr="008321D5">
        <w:rPr>
          <w:i/>
          <w:iCs/>
          <w:spacing w:val="-1"/>
          <w:lang w:val="it-IT"/>
        </w:rPr>
        <w:t>Ky ligj</w:t>
      </w:r>
      <w:r>
        <w:rPr>
          <w:i/>
          <w:iCs/>
          <w:spacing w:val="-1"/>
          <w:lang w:val="it-IT"/>
        </w:rPr>
        <w:t xml:space="preserve"> </w:t>
      </w:r>
      <w:r w:rsidR="000F30B1">
        <w:rPr>
          <w:i/>
          <w:iCs/>
          <w:spacing w:val="-1"/>
          <w:lang w:val="it-IT"/>
        </w:rPr>
        <w:t>ë</w:t>
      </w:r>
      <w:r w:rsidR="009B5859" w:rsidRPr="009B5859">
        <w:rPr>
          <w:i/>
          <w:iCs/>
          <w:spacing w:val="-1"/>
          <w:lang w:val="it-IT"/>
        </w:rPr>
        <w:t>shtë përafruar pjesërisht me Rregulloren (BE) 2019/1020 e Parlamentit Evropian dhe e Këshillit, datë 20 qershor 2019, “Për mbikëqyrjen e tregut dhe përputhshmërinë e produkteve dhe ndryshimin e Direktivës 2004/42/ke dhe Rregulloreve (KE) nr. 765/2008 dhe (BE) nr. 305/2011, Numri CELEX 32019R1020, Fletorja Zyrtare e Bashkimit Evropian, Seria L, Nr. 169, datë 25.6.2019, faqe 1 – 44.</w:t>
      </w:r>
      <w:r w:rsidR="009B5859" w:rsidRPr="0080336C">
        <w:rPr>
          <w:i/>
          <w:iCs/>
          <w:color w:val="C00000"/>
          <w:spacing w:val="-1"/>
        </w:rPr>
        <w:t xml:space="preserve"> </w:t>
      </w:r>
    </w:p>
    <w:p w14:paraId="133DF605" w14:textId="1D3096AA" w:rsidR="008321D5" w:rsidRPr="008321D5" w:rsidRDefault="008321D5">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C4A67"/>
    <w:multiLevelType w:val="hybridMultilevel"/>
    <w:tmpl w:val="AFE8E5FE"/>
    <w:lvl w:ilvl="0" w:tplc="0809000F">
      <w:start w:val="1"/>
      <w:numFmt w:val="decimal"/>
      <w:lvlText w:val="%1."/>
      <w:lvlJc w:val="left"/>
      <w:pPr>
        <w:ind w:left="7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CA83EF5"/>
    <w:multiLevelType w:val="hybridMultilevel"/>
    <w:tmpl w:val="94E2451C"/>
    <w:lvl w:ilvl="0" w:tplc="08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34AE4"/>
    <w:multiLevelType w:val="hybridMultilevel"/>
    <w:tmpl w:val="E12A9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783A13"/>
    <w:multiLevelType w:val="hybridMultilevel"/>
    <w:tmpl w:val="D15A0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E2F80"/>
    <w:multiLevelType w:val="hybridMultilevel"/>
    <w:tmpl w:val="7B5E5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323C1"/>
    <w:multiLevelType w:val="hybridMultilevel"/>
    <w:tmpl w:val="13DE769E"/>
    <w:lvl w:ilvl="0" w:tplc="E8300046">
      <w:start w:val="1"/>
      <w:numFmt w:val="lowerLetter"/>
      <w:lvlText w:val="%1)"/>
      <w:lvlJc w:val="left"/>
      <w:pPr>
        <w:ind w:left="720" w:hanging="360"/>
      </w:pPr>
      <w:rPr>
        <w:b w:val="0"/>
        <w:bCs w:val="0"/>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C1BBB"/>
    <w:multiLevelType w:val="hybridMultilevel"/>
    <w:tmpl w:val="7F36D2BE"/>
    <w:lvl w:ilvl="0" w:tplc="69CAD196">
      <w:start w:val="1"/>
      <w:numFmt w:val="decimal"/>
      <w:lvlText w:val="%1."/>
      <w:lvlJc w:val="left"/>
      <w:pPr>
        <w:ind w:left="720" w:hanging="360"/>
      </w:pPr>
      <w:rPr>
        <w:rFonts w:ascii="Times New Roman" w:eastAsia="Calibr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773B2"/>
    <w:multiLevelType w:val="hybridMultilevel"/>
    <w:tmpl w:val="6796408C"/>
    <w:lvl w:ilvl="0" w:tplc="BDAE6A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6421"/>
    <w:multiLevelType w:val="hybridMultilevel"/>
    <w:tmpl w:val="262EFEBC"/>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AE50CA"/>
    <w:multiLevelType w:val="hybridMultilevel"/>
    <w:tmpl w:val="25B01F6E"/>
    <w:lvl w:ilvl="0" w:tplc="52D8B632">
      <w:start w:val="5"/>
      <w:numFmt w:val="lowerLetter"/>
      <w:lvlText w:val="%1)"/>
      <w:lvlJc w:val="left"/>
      <w:pPr>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AE32E2D"/>
    <w:multiLevelType w:val="hybridMultilevel"/>
    <w:tmpl w:val="3EA23DF2"/>
    <w:lvl w:ilvl="0" w:tplc="08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9F4F6C"/>
    <w:multiLevelType w:val="hybridMultilevel"/>
    <w:tmpl w:val="AAB43692"/>
    <w:lvl w:ilvl="0" w:tplc="00FC0F3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650BB"/>
    <w:multiLevelType w:val="multilevel"/>
    <w:tmpl w:val="69FE977A"/>
    <w:styleLink w:val="CurrentList1"/>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5634B3"/>
    <w:multiLevelType w:val="hybridMultilevel"/>
    <w:tmpl w:val="D28CBEDC"/>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BC3C8C"/>
    <w:multiLevelType w:val="hybridMultilevel"/>
    <w:tmpl w:val="6332FA9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D5871"/>
    <w:multiLevelType w:val="hybridMultilevel"/>
    <w:tmpl w:val="0F38593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8F6A4D"/>
    <w:multiLevelType w:val="hybridMultilevel"/>
    <w:tmpl w:val="57A0E8DA"/>
    <w:lvl w:ilvl="0" w:tplc="A6BC156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714FD"/>
    <w:multiLevelType w:val="multilevel"/>
    <w:tmpl w:val="70F872FA"/>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284D4FBD"/>
    <w:multiLevelType w:val="hybridMultilevel"/>
    <w:tmpl w:val="B1A45D1A"/>
    <w:lvl w:ilvl="0" w:tplc="C0B220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5616B"/>
    <w:multiLevelType w:val="hybridMultilevel"/>
    <w:tmpl w:val="35C88346"/>
    <w:lvl w:ilvl="0" w:tplc="374233DE">
      <w:start w:val="8"/>
      <w:numFmt w:val="lowerLetter"/>
      <w:lvlText w:val="%1)"/>
      <w:lvlJc w:val="left"/>
      <w:pPr>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310E1E7E"/>
    <w:multiLevelType w:val="hybridMultilevel"/>
    <w:tmpl w:val="96EC74EC"/>
    <w:lvl w:ilvl="0" w:tplc="26FCD622">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92761"/>
    <w:multiLevelType w:val="hybridMultilevel"/>
    <w:tmpl w:val="F928F896"/>
    <w:lvl w:ilvl="0" w:tplc="08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FA2970"/>
    <w:multiLevelType w:val="hybridMultilevel"/>
    <w:tmpl w:val="FA646A08"/>
    <w:lvl w:ilvl="0" w:tplc="534CECA4">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8B35E6"/>
    <w:multiLevelType w:val="multilevel"/>
    <w:tmpl w:val="C6BEDA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82233E"/>
    <w:multiLevelType w:val="hybridMultilevel"/>
    <w:tmpl w:val="5BAA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64752"/>
    <w:multiLevelType w:val="hybridMultilevel"/>
    <w:tmpl w:val="96129AD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F036A"/>
    <w:multiLevelType w:val="hybridMultilevel"/>
    <w:tmpl w:val="4086DADA"/>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070AAF"/>
    <w:multiLevelType w:val="hybridMultilevel"/>
    <w:tmpl w:val="ACC2152A"/>
    <w:lvl w:ilvl="0" w:tplc="54E2D83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136F5"/>
    <w:multiLevelType w:val="multilevel"/>
    <w:tmpl w:val="28AA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0B09CF"/>
    <w:multiLevelType w:val="hybridMultilevel"/>
    <w:tmpl w:val="C85296B0"/>
    <w:lvl w:ilvl="0" w:tplc="850CA090">
      <w:start w:val="1"/>
      <w:numFmt w:val="decimal"/>
      <w:lvlText w:val="%1."/>
      <w:lvlJc w:val="left"/>
      <w:pPr>
        <w:ind w:left="1060" w:hanging="360"/>
      </w:pPr>
      <w:rPr>
        <w:b w:val="0"/>
        <w:bCs/>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0" w15:restartNumberingAfterBreak="0">
    <w:nsid w:val="44D9013A"/>
    <w:multiLevelType w:val="hybridMultilevel"/>
    <w:tmpl w:val="71B8003A"/>
    <w:lvl w:ilvl="0" w:tplc="2086FC4C">
      <w:start w:val="4"/>
      <w:numFmt w:val="lowerLetter"/>
      <w:lvlText w:val="%1)"/>
      <w:lvlJc w:val="left"/>
      <w:pPr>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44ED7D82"/>
    <w:multiLevelType w:val="hybridMultilevel"/>
    <w:tmpl w:val="59D46C3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05796E"/>
    <w:multiLevelType w:val="hybridMultilevel"/>
    <w:tmpl w:val="B9BCF938"/>
    <w:lvl w:ilvl="0" w:tplc="356A84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7F00F7"/>
    <w:multiLevelType w:val="hybridMultilevel"/>
    <w:tmpl w:val="B140603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B357AC"/>
    <w:multiLevelType w:val="multilevel"/>
    <w:tmpl w:val="BECE719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E437BA"/>
    <w:multiLevelType w:val="hybridMultilevel"/>
    <w:tmpl w:val="18200262"/>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F726B7"/>
    <w:multiLevelType w:val="hybridMultilevel"/>
    <w:tmpl w:val="62A26EAA"/>
    <w:lvl w:ilvl="0" w:tplc="0809000F">
      <w:start w:val="1"/>
      <w:numFmt w:val="decimal"/>
      <w:lvlText w:val="%1."/>
      <w:lvlJc w:val="left"/>
      <w:pPr>
        <w:ind w:left="720" w:hanging="360"/>
      </w:pPr>
    </w:lvl>
    <w:lvl w:ilvl="1" w:tplc="B68000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1C520F"/>
    <w:multiLevelType w:val="hybridMultilevel"/>
    <w:tmpl w:val="8C3078E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AA6DE2"/>
    <w:multiLevelType w:val="hybridMultilevel"/>
    <w:tmpl w:val="A5CC05C8"/>
    <w:lvl w:ilvl="0" w:tplc="61C40434">
      <w:start w:val="2"/>
      <w:numFmt w:val="decimal"/>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BE3405"/>
    <w:multiLevelType w:val="hybridMultilevel"/>
    <w:tmpl w:val="B5B802CC"/>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440CB8"/>
    <w:multiLevelType w:val="hybridMultilevel"/>
    <w:tmpl w:val="46C693E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1F4F3B"/>
    <w:multiLevelType w:val="hybridMultilevel"/>
    <w:tmpl w:val="EE04B63A"/>
    <w:lvl w:ilvl="0" w:tplc="08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150134"/>
    <w:multiLevelType w:val="hybridMultilevel"/>
    <w:tmpl w:val="B94E647A"/>
    <w:lvl w:ilvl="0" w:tplc="68E6B4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BB546B"/>
    <w:multiLevelType w:val="hybridMultilevel"/>
    <w:tmpl w:val="BEC04EB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6B34DA"/>
    <w:multiLevelType w:val="hybridMultilevel"/>
    <w:tmpl w:val="47D0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954BC"/>
    <w:multiLevelType w:val="hybridMultilevel"/>
    <w:tmpl w:val="E042F5F6"/>
    <w:lvl w:ilvl="0" w:tplc="08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62DD159F"/>
    <w:multiLevelType w:val="hybridMultilevel"/>
    <w:tmpl w:val="78E4543C"/>
    <w:lvl w:ilvl="0" w:tplc="AEFEED0E">
      <w:start w:val="6"/>
      <w:numFmt w:val="lowerLetter"/>
      <w:lvlText w:val="%1)"/>
      <w:lvlJc w:val="left"/>
      <w:pPr>
        <w:ind w:left="72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7" w15:restartNumberingAfterBreak="0">
    <w:nsid w:val="64887444"/>
    <w:multiLevelType w:val="hybridMultilevel"/>
    <w:tmpl w:val="491AD36E"/>
    <w:lvl w:ilvl="0" w:tplc="FFFFFFF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4EA1E64"/>
    <w:multiLevelType w:val="hybridMultilevel"/>
    <w:tmpl w:val="1BE0D118"/>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9D7C30"/>
    <w:multiLevelType w:val="hybridMultilevel"/>
    <w:tmpl w:val="13E47530"/>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78F2D7D"/>
    <w:multiLevelType w:val="hybridMultilevel"/>
    <w:tmpl w:val="80F23D1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D37168"/>
    <w:multiLevelType w:val="hybridMultilevel"/>
    <w:tmpl w:val="C0C279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C9271BA"/>
    <w:multiLevelType w:val="hybridMultilevel"/>
    <w:tmpl w:val="CA54B71E"/>
    <w:lvl w:ilvl="0" w:tplc="73666D0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505E8F"/>
    <w:multiLevelType w:val="hybridMultilevel"/>
    <w:tmpl w:val="03902430"/>
    <w:lvl w:ilvl="0" w:tplc="8DB01B9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854CE8"/>
    <w:multiLevelType w:val="hybridMultilevel"/>
    <w:tmpl w:val="4558BA88"/>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E3A00D3"/>
    <w:multiLevelType w:val="hybridMultilevel"/>
    <w:tmpl w:val="10642FBC"/>
    <w:lvl w:ilvl="0" w:tplc="A2FC19E2">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6549AB"/>
    <w:multiLevelType w:val="hybridMultilevel"/>
    <w:tmpl w:val="CE9CC626"/>
    <w:lvl w:ilvl="0" w:tplc="08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4F3719F"/>
    <w:multiLevelType w:val="hybridMultilevel"/>
    <w:tmpl w:val="4336D7EA"/>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5B26F18"/>
    <w:multiLevelType w:val="hybridMultilevel"/>
    <w:tmpl w:val="7594444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12241F"/>
    <w:multiLevelType w:val="hybridMultilevel"/>
    <w:tmpl w:val="5BAA0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6311921">
    <w:abstractNumId w:val="44"/>
  </w:num>
  <w:num w:numId="2" w16cid:durableId="2074499857">
    <w:abstractNumId w:val="2"/>
  </w:num>
  <w:num w:numId="3" w16cid:durableId="564221134">
    <w:abstractNumId w:val="5"/>
  </w:num>
  <w:num w:numId="4" w16cid:durableId="174079603">
    <w:abstractNumId w:val="31"/>
  </w:num>
  <w:num w:numId="5" w16cid:durableId="770782193">
    <w:abstractNumId w:val="7"/>
  </w:num>
  <w:num w:numId="6" w16cid:durableId="430197813">
    <w:abstractNumId w:val="16"/>
  </w:num>
  <w:num w:numId="7" w16cid:durableId="353070616">
    <w:abstractNumId w:val="12"/>
  </w:num>
  <w:num w:numId="8" w16cid:durableId="1700858422">
    <w:abstractNumId w:val="24"/>
  </w:num>
  <w:num w:numId="9" w16cid:durableId="821700810">
    <w:abstractNumId w:val="53"/>
  </w:num>
  <w:num w:numId="10" w16cid:durableId="1729062027">
    <w:abstractNumId w:val="49"/>
  </w:num>
  <w:num w:numId="11" w16cid:durableId="1186098155">
    <w:abstractNumId w:val="3"/>
  </w:num>
  <w:num w:numId="12" w16cid:durableId="1332753784">
    <w:abstractNumId w:val="22"/>
  </w:num>
  <w:num w:numId="13" w16cid:durableId="355811653">
    <w:abstractNumId w:val="34"/>
  </w:num>
  <w:num w:numId="14" w16cid:durableId="221522287">
    <w:abstractNumId w:val="45"/>
  </w:num>
  <w:num w:numId="15" w16cid:durableId="195315587">
    <w:abstractNumId w:val="17"/>
  </w:num>
  <w:num w:numId="16" w16cid:durableId="1171484403">
    <w:abstractNumId w:val="14"/>
  </w:num>
  <w:num w:numId="17" w16cid:durableId="454953150">
    <w:abstractNumId w:val="1"/>
  </w:num>
  <w:num w:numId="18" w16cid:durableId="1866626771">
    <w:abstractNumId w:val="54"/>
  </w:num>
  <w:num w:numId="19" w16cid:durableId="50807780">
    <w:abstractNumId w:val="39"/>
  </w:num>
  <w:num w:numId="20" w16cid:durableId="428548104">
    <w:abstractNumId w:val="51"/>
  </w:num>
  <w:num w:numId="21" w16cid:durableId="1248658809">
    <w:abstractNumId w:val="59"/>
  </w:num>
  <w:num w:numId="22" w16cid:durableId="622156470">
    <w:abstractNumId w:val="43"/>
  </w:num>
  <w:num w:numId="23" w16cid:durableId="1158839249">
    <w:abstractNumId w:val="29"/>
  </w:num>
  <w:num w:numId="24" w16cid:durableId="932588628">
    <w:abstractNumId w:val="27"/>
  </w:num>
  <w:num w:numId="25" w16cid:durableId="1143234073">
    <w:abstractNumId w:val="55"/>
  </w:num>
  <w:num w:numId="26" w16cid:durableId="1908150706">
    <w:abstractNumId w:val="52"/>
  </w:num>
  <w:num w:numId="27" w16cid:durableId="259409296">
    <w:abstractNumId w:val="21"/>
  </w:num>
  <w:num w:numId="28" w16cid:durableId="1450971545">
    <w:abstractNumId w:val="28"/>
  </w:num>
  <w:num w:numId="29" w16cid:durableId="1065645831">
    <w:abstractNumId w:val="57"/>
  </w:num>
  <w:num w:numId="30" w16cid:durableId="1215846413">
    <w:abstractNumId w:val="20"/>
  </w:num>
  <w:num w:numId="31" w16cid:durableId="574317692">
    <w:abstractNumId w:val="4"/>
  </w:num>
  <w:num w:numId="32" w16cid:durableId="596408386">
    <w:abstractNumId w:val="18"/>
  </w:num>
  <w:num w:numId="33" w16cid:durableId="796875842">
    <w:abstractNumId w:val="15"/>
  </w:num>
  <w:num w:numId="34" w16cid:durableId="230623844">
    <w:abstractNumId w:val="36"/>
  </w:num>
  <w:num w:numId="35" w16cid:durableId="182020253">
    <w:abstractNumId w:val="32"/>
  </w:num>
  <w:num w:numId="36" w16cid:durableId="423040051">
    <w:abstractNumId w:val="35"/>
  </w:num>
  <w:num w:numId="37" w16cid:durableId="1285697981">
    <w:abstractNumId w:val="56"/>
  </w:num>
  <w:num w:numId="38" w16cid:durableId="959843113">
    <w:abstractNumId w:val="10"/>
  </w:num>
  <w:num w:numId="39" w16cid:durableId="894201711">
    <w:abstractNumId w:val="26"/>
  </w:num>
  <w:num w:numId="40" w16cid:durableId="1887794183">
    <w:abstractNumId w:val="13"/>
  </w:num>
  <w:num w:numId="41" w16cid:durableId="344286619">
    <w:abstractNumId w:val="0"/>
  </w:num>
  <w:num w:numId="42" w16cid:durableId="1975987121">
    <w:abstractNumId w:val="8"/>
  </w:num>
  <w:num w:numId="43" w16cid:durableId="1661274698">
    <w:abstractNumId w:val="23"/>
  </w:num>
  <w:num w:numId="44" w16cid:durableId="1802114244">
    <w:abstractNumId w:val="58"/>
  </w:num>
  <w:num w:numId="45" w16cid:durableId="886339160">
    <w:abstractNumId w:val="42"/>
  </w:num>
  <w:num w:numId="46" w16cid:durableId="163591496">
    <w:abstractNumId w:val="46"/>
  </w:num>
  <w:num w:numId="47" w16cid:durableId="1073701806">
    <w:abstractNumId w:val="30"/>
  </w:num>
  <w:num w:numId="48" w16cid:durableId="137460844">
    <w:abstractNumId w:val="9"/>
  </w:num>
  <w:num w:numId="49" w16cid:durableId="2019574033">
    <w:abstractNumId w:val="19"/>
  </w:num>
  <w:num w:numId="50" w16cid:durableId="1942450343">
    <w:abstractNumId w:val="40"/>
  </w:num>
  <w:num w:numId="51" w16cid:durableId="134178609">
    <w:abstractNumId w:val="38"/>
  </w:num>
  <w:num w:numId="52" w16cid:durableId="732703719">
    <w:abstractNumId w:val="6"/>
  </w:num>
  <w:num w:numId="53" w16cid:durableId="1853179763">
    <w:abstractNumId w:val="41"/>
  </w:num>
  <w:num w:numId="54" w16cid:durableId="1452091147">
    <w:abstractNumId w:val="25"/>
  </w:num>
  <w:num w:numId="55" w16cid:durableId="1388989044">
    <w:abstractNumId w:val="37"/>
  </w:num>
  <w:num w:numId="56" w16cid:durableId="977959033">
    <w:abstractNumId w:val="11"/>
  </w:num>
  <w:num w:numId="57" w16cid:durableId="857423644">
    <w:abstractNumId w:val="33"/>
  </w:num>
  <w:num w:numId="58" w16cid:durableId="567151173">
    <w:abstractNumId w:val="47"/>
  </w:num>
  <w:num w:numId="59" w16cid:durableId="903754670">
    <w:abstractNumId w:val="48"/>
  </w:num>
  <w:num w:numId="60" w16cid:durableId="1772162299">
    <w:abstractNumId w:val="50"/>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endra ALTRI">
    <w15:presenceInfo w15:providerId="Windows Live" w15:userId="e30c8a0996b5f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CA"/>
    <w:rsid w:val="00002A6D"/>
    <w:rsid w:val="000033E2"/>
    <w:rsid w:val="00003460"/>
    <w:rsid w:val="00005439"/>
    <w:rsid w:val="0000549C"/>
    <w:rsid w:val="00005802"/>
    <w:rsid w:val="00006064"/>
    <w:rsid w:val="00006368"/>
    <w:rsid w:val="000123CD"/>
    <w:rsid w:val="00016457"/>
    <w:rsid w:val="0001758C"/>
    <w:rsid w:val="00021057"/>
    <w:rsid w:val="00025EC4"/>
    <w:rsid w:val="00026D8F"/>
    <w:rsid w:val="00044986"/>
    <w:rsid w:val="00045E12"/>
    <w:rsid w:val="000502E3"/>
    <w:rsid w:val="00055E71"/>
    <w:rsid w:val="0006178F"/>
    <w:rsid w:val="0006191B"/>
    <w:rsid w:val="00061A61"/>
    <w:rsid w:val="00061F83"/>
    <w:rsid w:val="000625DD"/>
    <w:rsid w:val="00066A8E"/>
    <w:rsid w:val="0007196B"/>
    <w:rsid w:val="00073066"/>
    <w:rsid w:val="00073A13"/>
    <w:rsid w:val="00074CF9"/>
    <w:rsid w:val="000757AA"/>
    <w:rsid w:val="00096AB0"/>
    <w:rsid w:val="000A6E3E"/>
    <w:rsid w:val="000B005E"/>
    <w:rsid w:val="000B3C43"/>
    <w:rsid w:val="000B707E"/>
    <w:rsid w:val="000C06BF"/>
    <w:rsid w:val="000D0D59"/>
    <w:rsid w:val="000D2A15"/>
    <w:rsid w:val="000D6645"/>
    <w:rsid w:val="000E1B3D"/>
    <w:rsid w:val="000E1C1B"/>
    <w:rsid w:val="000E31A9"/>
    <w:rsid w:val="000F097F"/>
    <w:rsid w:val="000F30B1"/>
    <w:rsid w:val="001156FA"/>
    <w:rsid w:val="00117E64"/>
    <w:rsid w:val="00120363"/>
    <w:rsid w:val="00120A54"/>
    <w:rsid w:val="001245F0"/>
    <w:rsid w:val="001308B3"/>
    <w:rsid w:val="001318A4"/>
    <w:rsid w:val="001343AF"/>
    <w:rsid w:val="0013579C"/>
    <w:rsid w:val="001364F7"/>
    <w:rsid w:val="0014321D"/>
    <w:rsid w:val="00144046"/>
    <w:rsid w:val="001461BD"/>
    <w:rsid w:val="001534A8"/>
    <w:rsid w:val="00157245"/>
    <w:rsid w:val="001658DF"/>
    <w:rsid w:val="0016741E"/>
    <w:rsid w:val="00173B13"/>
    <w:rsid w:val="001823DB"/>
    <w:rsid w:val="0019208D"/>
    <w:rsid w:val="00196D6D"/>
    <w:rsid w:val="001A17A4"/>
    <w:rsid w:val="001A4689"/>
    <w:rsid w:val="001B0009"/>
    <w:rsid w:val="001B7918"/>
    <w:rsid w:val="001C170D"/>
    <w:rsid w:val="001D31F3"/>
    <w:rsid w:val="001D62BD"/>
    <w:rsid w:val="001F0929"/>
    <w:rsid w:val="001F2B9F"/>
    <w:rsid w:val="001F509C"/>
    <w:rsid w:val="001F7F0C"/>
    <w:rsid w:val="00210EA4"/>
    <w:rsid w:val="00213C59"/>
    <w:rsid w:val="0021509A"/>
    <w:rsid w:val="00215F98"/>
    <w:rsid w:val="002174B0"/>
    <w:rsid w:val="0022088F"/>
    <w:rsid w:val="00223F96"/>
    <w:rsid w:val="00224E36"/>
    <w:rsid w:val="002322E4"/>
    <w:rsid w:val="00234F16"/>
    <w:rsid w:val="002350B2"/>
    <w:rsid w:val="00236AB5"/>
    <w:rsid w:val="00244E94"/>
    <w:rsid w:val="00245F14"/>
    <w:rsid w:val="0025316A"/>
    <w:rsid w:val="0026779F"/>
    <w:rsid w:val="00271519"/>
    <w:rsid w:val="00271B70"/>
    <w:rsid w:val="00284336"/>
    <w:rsid w:val="002875D6"/>
    <w:rsid w:val="00290102"/>
    <w:rsid w:val="00294AA2"/>
    <w:rsid w:val="0029587F"/>
    <w:rsid w:val="00297F13"/>
    <w:rsid w:val="002A5AE7"/>
    <w:rsid w:val="002B0AF0"/>
    <w:rsid w:val="002B74EC"/>
    <w:rsid w:val="002B7D4A"/>
    <w:rsid w:val="002C4304"/>
    <w:rsid w:val="002C64DA"/>
    <w:rsid w:val="002E0995"/>
    <w:rsid w:val="002E1817"/>
    <w:rsid w:val="002E25B9"/>
    <w:rsid w:val="002F0845"/>
    <w:rsid w:val="002F7F33"/>
    <w:rsid w:val="00303DFE"/>
    <w:rsid w:val="003146D8"/>
    <w:rsid w:val="00320928"/>
    <w:rsid w:val="00322761"/>
    <w:rsid w:val="00343B28"/>
    <w:rsid w:val="003441BD"/>
    <w:rsid w:val="003446CC"/>
    <w:rsid w:val="003510DF"/>
    <w:rsid w:val="003533F0"/>
    <w:rsid w:val="00372AA7"/>
    <w:rsid w:val="00376F0A"/>
    <w:rsid w:val="00377552"/>
    <w:rsid w:val="00390BF5"/>
    <w:rsid w:val="00395AC6"/>
    <w:rsid w:val="00396614"/>
    <w:rsid w:val="0039710D"/>
    <w:rsid w:val="003A1636"/>
    <w:rsid w:val="003A71BE"/>
    <w:rsid w:val="003A74BE"/>
    <w:rsid w:val="003B1D8D"/>
    <w:rsid w:val="003B2564"/>
    <w:rsid w:val="003B696F"/>
    <w:rsid w:val="003C01C4"/>
    <w:rsid w:val="003C30C3"/>
    <w:rsid w:val="003C3658"/>
    <w:rsid w:val="003C4B74"/>
    <w:rsid w:val="003C5D68"/>
    <w:rsid w:val="003C70F1"/>
    <w:rsid w:val="003D0572"/>
    <w:rsid w:val="003D1A0F"/>
    <w:rsid w:val="003D2AA1"/>
    <w:rsid w:val="003D2B10"/>
    <w:rsid w:val="003D53E2"/>
    <w:rsid w:val="003E2366"/>
    <w:rsid w:val="003E7D68"/>
    <w:rsid w:val="003F37B4"/>
    <w:rsid w:val="003F4B8A"/>
    <w:rsid w:val="003F697E"/>
    <w:rsid w:val="003F724E"/>
    <w:rsid w:val="003F732B"/>
    <w:rsid w:val="00406077"/>
    <w:rsid w:val="00415D78"/>
    <w:rsid w:val="00416F04"/>
    <w:rsid w:val="00425087"/>
    <w:rsid w:val="00433A51"/>
    <w:rsid w:val="0043712F"/>
    <w:rsid w:val="00440F64"/>
    <w:rsid w:val="0044580D"/>
    <w:rsid w:val="0045730D"/>
    <w:rsid w:val="004575CE"/>
    <w:rsid w:val="0045784C"/>
    <w:rsid w:val="00457AF1"/>
    <w:rsid w:val="00457DCA"/>
    <w:rsid w:val="0046042A"/>
    <w:rsid w:val="00460C6C"/>
    <w:rsid w:val="0046129B"/>
    <w:rsid w:val="00462596"/>
    <w:rsid w:val="00470549"/>
    <w:rsid w:val="0047410D"/>
    <w:rsid w:val="00477026"/>
    <w:rsid w:val="00486AAA"/>
    <w:rsid w:val="00486BC8"/>
    <w:rsid w:val="00490962"/>
    <w:rsid w:val="00490ECD"/>
    <w:rsid w:val="0049490A"/>
    <w:rsid w:val="004A0469"/>
    <w:rsid w:val="004A17D8"/>
    <w:rsid w:val="004A4D83"/>
    <w:rsid w:val="004A7593"/>
    <w:rsid w:val="004B04DC"/>
    <w:rsid w:val="004B1B50"/>
    <w:rsid w:val="004C0AC6"/>
    <w:rsid w:val="004C48DD"/>
    <w:rsid w:val="004D1114"/>
    <w:rsid w:val="004D5919"/>
    <w:rsid w:val="004D5E9D"/>
    <w:rsid w:val="004E2265"/>
    <w:rsid w:val="004E7657"/>
    <w:rsid w:val="004F1B31"/>
    <w:rsid w:val="00500DB7"/>
    <w:rsid w:val="00503F7C"/>
    <w:rsid w:val="00505296"/>
    <w:rsid w:val="00514C19"/>
    <w:rsid w:val="005200EE"/>
    <w:rsid w:val="0052475B"/>
    <w:rsid w:val="00524E1D"/>
    <w:rsid w:val="0052524A"/>
    <w:rsid w:val="0053199F"/>
    <w:rsid w:val="00535A80"/>
    <w:rsid w:val="005421A0"/>
    <w:rsid w:val="00547D75"/>
    <w:rsid w:val="00552622"/>
    <w:rsid w:val="00564821"/>
    <w:rsid w:val="00565357"/>
    <w:rsid w:val="0056790B"/>
    <w:rsid w:val="0058108A"/>
    <w:rsid w:val="005827E8"/>
    <w:rsid w:val="005842AF"/>
    <w:rsid w:val="00584678"/>
    <w:rsid w:val="005855A8"/>
    <w:rsid w:val="0058623B"/>
    <w:rsid w:val="00590528"/>
    <w:rsid w:val="00590A0E"/>
    <w:rsid w:val="0059680F"/>
    <w:rsid w:val="005A5D88"/>
    <w:rsid w:val="005A6054"/>
    <w:rsid w:val="005A6394"/>
    <w:rsid w:val="005A6AF8"/>
    <w:rsid w:val="005B0A30"/>
    <w:rsid w:val="005B1245"/>
    <w:rsid w:val="005B44B2"/>
    <w:rsid w:val="005C2943"/>
    <w:rsid w:val="005C38A0"/>
    <w:rsid w:val="005D12D5"/>
    <w:rsid w:val="005D3B60"/>
    <w:rsid w:val="005D4117"/>
    <w:rsid w:val="005D77BA"/>
    <w:rsid w:val="005F657B"/>
    <w:rsid w:val="006109E9"/>
    <w:rsid w:val="00612BED"/>
    <w:rsid w:val="00613461"/>
    <w:rsid w:val="0062121C"/>
    <w:rsid w:val="00625964"/>
    <w:rsid w:val="0063114E"/>
    <w:rsid w:val="00637B13"/>
    <w:rsid w:val="00640A64"/>
    <w:rsid w:val="006420CD"/>
    <w:rsid w:val="00644E51"/>
    <w:rsid w:val="00645546"/>
    <w:rsid w:val="00646459"/>
    <w:rsid w:val="0065084C"/>
    <w:rsid w:val="006523EE"/>
    <w:rsid w:val="00653944"/>
    <w:rsid w:val="006566F8"/>
    <w:rsid w:val="006578D1"/>
    <w:rsid w:val="0066176A"/>
    <w:rsid w:val="00665626"/>
    <w:rsid w:val="0067156E"/>
    <w:rsid w:val="006724FD"/>
    <w:rsid w:val="006775CB"/>
    <w:rsid w:val="00680091"/>
    <w:rsid w:val="00686D62"/>
    <w:rsid w:val="00694B3E"/>
    <w:rsid w:val="00695736"/>
    <w:rsid w:val="00697952"/>
    <w:rsid w:val="006A1FA5"/>
    <w:rsid w:val="006A6A86"/>
    <w:rsid w:val="006A7184"/>
    <w:rsid w:val="006B0272"/>
    <w:rsid w:val="006B23AB"/>
    <w:rsid w:val="006B49C5"/>
    <w:rsid w:val="006C1B01"/>
    <w:rsid w:val="006C24BB"/>
    <w:rsid w:val="006D37A3"/>
    <w:rsid w:val="006D4E29"/>
    <w:rsid w:val="006E0373"/>
    <w:rsid w:val="006E1FBD"/>
    <w:rsid w:val="006E7ECB"/>
    <w:rsid w:val="006F1FA9"/>
    <w:rsid w:val="006F4115"/>
    <w:rsid w:val="006F7AEE"/>
    <w:rsid w:val="007010CC"/>
    <w:rsid w:val="00702373"/>
    <w:rsid w:val="00707149"/>
    <w:rsid w:val="00707586"/>
    <w:rsid w:val="0071080C"/>
    <w:rsid w:val="00711B44"/>
    <w:rsid w:val="00715A4C"/>
    <w:rsid w:val="00720F50"/>
    <w:rsid w:val="00735AE1"/>
    <w:rsid w:val="00737734"/>
    <w:rsid w:val="007377AC"/>
    <w:rsid w:val="007416E8"/>
    <w:rsid w:val="007424FE"/>
    <w:rsid w:val="00744E57"/>
    <w:rsid w:val="00750432"/>
    <w:rsid w:val="007508BC"/>
    <w:rsid w:val="00752430"/>
    <w:rsid w:val="007552A4"/>
    <w:rsid w:val="007612E6"/>
    <w:rsid w:val="00762378"/>
    <w:rsid w:val="00766B6E"/>
    <w:rsid w:val="0076739F"/>
    <w:rsid w:val="00770804"/>
    <w:rsid w:val="00770948"/>
    <w:rsid w:val="00771500"/>
    <w:rsid w:val="00772F42"/>
    <w:rsid w:val="00777431"/>
    <w:rsid w:val="0078361A"/>
    <w:rsid w:val="007926CB"/>
    <w:rsid w:val="00795D9E"/>
    <w:rsid w:val="007A5DE0"/>
    <w:rsid w:val="007B546F"/>
    <w:rsid w:val="007C47EF"/>
    <w:rsid w:val="007C722F"/>
    <w:rsid w:val="007D75EB"/>
    <w:rsid w:val="007E0F6C"/>
    <w:rsid w:val="007E1769"/>
    <w:rsid w:val="007E4E79"/>
    <w:rsid w:val="007E660A"/>
    <w:rsid w:val="007F5D0C"/>
    <w:rsid w:val="008042B7"/>
    <w:rsid w:val="00804B05"/>
    <w:rsid w:val="0081229B"/>
    <w:rsid w:val="00813A4E"/>
    <w:rsid w:val="008149FC"/>
    <w:rsid w:val="0082151A"/>
    <w:rsid w:val="008269A4"/>
    <w:rsid w:val="008275C2"/>
    <w:rsid w:val="0082789E"/>
    <w:rsid w:val="008321D5"/>
    <w:rsid w:val="008353EF"/>
    <w:rsid w:val="00837BE2"/>
    <w:rsid w:val="00840D95"/>
    <w:rsid w:val="0084198B"/>
    <w:rsid w:val="008454DD"/>
    <w:rsid w:val="00845723"/>
    <w:rsid w:val="008478B6"/>
    <w:rsid w:val="008522D4"/>
    <w:rsid w:val="00852560"/>
    <w:rsid w:val="00852B88"/>
    <w:rsid w:val="00854CDA"/>
    <w:rsid w:val="00861B1A"/>
    <w:rsid w:val="00866A16"/>
    <w:rsid w:val="00874AD8"/>
    <w:rsid w:val="008812A2"/>
    <w:rsid w:val="00882C5D"/>
    <w:rsid w:val="00883960"/>
    <w:rsid w:val="0089086B"/>
    <w:rsid w:val="008A1088"/>
    <w:rsid w:val="008A4E92"/>
    <w:rsid w:val="008A75E7"/>
    <w:rsid w:val="008B2DC1"/>
    <w:rsid w:val="008B4986"/>
    <w:rsid w:val="008C4A8D"/>
    <w:rsid w:val="008D0E3B"/>
    <w:rsid w:val="008D41EC"/>
    <w:rsid w:val="008D7261"/>
    <w:rsid w:val="008D7E2F"/>
    <w:rsid w:val="008E00B1"/>
    <w:rsid w:val="008E0877"/>
    <w:rsid w:val="008E106D"/>
    <w:rsid w:val="008E1CC7"/>
    <w:rsid w:val="008E333C"/>
    <w:rsid w:val="008E78FE"/>
    <w:rsid w:val="008F27F4"/>
    <w:rsid w:val="008F47A0"/>
    <w:rsid w:val="008F4AE0"/>
    <w:rsid w:val="009019F8"/>
    <w:rsid w:val="00901E74"/>
    <w:rsid w:val="00906E66"/>
    <w:rsid w:val="00910E34"/>
    <w:rsid w:val="0091508B"/>
    <w:rsid w:val="009170A3"/>
    <w:rsid w:val="00921EBB"/>
    <w:rsid w:val="00922288"/>
    <w:rsid w:val="0093040B"/>
    <w:rsid w:val="00932ADA"/>
    <w:rsid w:val="009370F6"/>
    <w:rsid w:val="00937F00"/>
    <w:rsid w:val="00940450"/>
    <w:rsid w:val="00941EA7"/>
    <w:rsid w:val="00942A8B"/>
    <w:rsid w:val="00942CD4"/>
    <w:rsid w:val="00943A3A"/>
    <w:rsid w:val="0095214E"/>
    <w:rsid w:val="009533A6"/>
    <w:rsid w:val="00954E53"/>
    <w:rsid w:val="00955DFA"/>
    <w:rsid w:val="00956DFF"/>
    <w:rsid w:val="00961307"/>
    <w:rsid w:val="00962200"/>
    <w:rsid w:val="00971B17"/>
    <w:rsid w:val="00972186"/>
    <w:rsid w:val="00972459"/>
    <w:rsid w:val="00973CB6"/>
    <w:rsid w:val="00975440"/>
    <w:rsid w:val="00975ED7"/>
    <w:rsid w:val="009769B5"/>
    <w:rsid w:val="0097783A"/>
    <w:rsid w:val="00982981"/>
    <w:rsid w:val="0098503C"/>
    <w:rsid w:val="009858B6"/>
    <w:rsid w:val="0098655A"/>
    <w:rsid w:val="00990DAA"/>
    <w:rsid w:val="009923FB"/>
    <w:rsid w:val="00996AB7"/>
    <w:rsid w:val="009A1189"/>
    <w:rsid w:val="009B5859"/>
    <w:rsid w:val="009C181B"/>
    <w:rsid w:val="009C1B57"/>
    <w:rsid w:val="009D2C8F"/>
    <w:rsid w:val="009D2CCC"/>
    <w:rsid w:val="009D37F5"/>
    <w:rsid w:val="009D6E31"/>
    <w:rsid w:val="009D7025"/>
    <w:rsid w:val="009D74BE"/>
    <w:rsid w:val="009D7870"/>
    <w:rsid w:val="009D7FDE"/>
    <w:rsid w:val="009E06DB"/>
    <w:rsid w:val="009E39E5"/>
    <w:rsid w:val="009E7189"/>
    <w:rsid w:val="009F2ECA"/>
    <w:rsid w:val="009F40A2"/>
    <w:rsid w:val="00A000AE"/>
    <w:rsid w:val="00A06A70"/>
    <w:rsid w:val="00A21347"/>
    <w:rsid w:val="00A26902"/>
    <w:rsid w:val="00A338F9"/>
    <w:rsid w:val="00A42125"/>
    <w:rsid w:val="00A4456C"/>
    <w:rsid w:val="00A51E13"/>
    <w:rsid w:val="00A52FDF"/>
    <w:rsid w:val="00A60B26"/>
    <w:rsid w:val="00A60EC3"/>
    <w:rsid w:val="00A61220"/>
    <w:rsid w:val="00A61421"/>
    <w:rsid w:val="00A63C71"/>
    <w:rsid w:val="00A66B17"/>
    <w:rsid w:val="00A70980"/>
    <w:rsid w:val="00A73E4F"/>
    <w:rsid w:val="00A8218D"/>
    <w:rsid w:val="00A83709"/>
    <w:rsid w:val="00A8515E"/>
    <w:rsid w:val="00A85536"/>
    <w:rsid w:val="00A861E4"/>
    <w:rsid w:val="00A86505"/>
    <w:rsid w:val="00A915EB"/>
    <w:rsid w:val="00A9771E"/>
    <w:rsid w:val="00AC486C"/>
    <w:rsid w:val="00AC4939"/>
    <w:rsid w:val="00AC7562"/>
    <w:rsid w:val="00AD26DB"/>
    <w:rsid w:val="00AD3EF3"/>
    <w:rsid w:val="00AD55B6"/>
    <w:rsid w:val="00AD6A0E"/>
    <w:rsid w:val="00AD6ACC"/>
    <w:rsid w:val="00AF1DC7"/>
    <w:rsid w:val="00AF2E64"/>
    <w:rsid w:val="00AF531F"/>
    <w:rsid w:val="00AF56E3"/>
    <w:rsid w:val="00B004E7"/>
    <w:rsid w:val="00B03FFF"/>
    <w:rsid w:val="00B04997"/>
    <w:rsid w:val="00B1307C"/>
    <w:rsid w:val="00B1455C"/>
    <w:rsid w:val="00B31B37"/>
    <w:rsid w:val="00B32416"/>
    <w:rsid w:val="00B405E5"/>
    <w:rsid w:val="00B411B8"/>
    <w:rsid w:val="00B41C05"/>
    <w:rsid w:val="00B42468"/>
    <w:rsid w:val="00B43341"/>
    <w:rsid w:val="00B50DAE"/>
    <w:rsid w:val="00B5287B"/>
    <w:rsid w:val="00B61AE6"/>
    <w:rsid w:val="00B6253E"/>
    <w:rsid w:val="00B73405"/>
    <w:rsid w:val="00B758E9"/>
    <w:rsid w:val="00B84DDD"/>
    <w:rsid w:val="00B8555E"/>
    <w:rsid w:val="00B87073"/>
    <w:rsid w:val="00B923C4"/>
    <w:rsid w:val="00B92632"/>
    <w:rsid w:val="00B93852"/>
    <w:rsid w:val="00BA085E"/>
    <w:rsid w:val="00BA4DC1"/>
    <w:rsid w:val="00BA7D05"/>
    <w:rsid w:val="00BB01AD"/>
    <w:rsid w:val="00BB3B6C"/>
    <w:rsid w:val="00BB69AE"/>
    <w:rsid w:val="00BC08BE"/>
    <w:rsid w:val="00BC76C7"/>
    <w:rsid w:val="00BD3267"/>
    <w:rsid w:val="00BD4069"/>
    <w:rsid w:val="00BD723A"/>
    <w:rsid w:val="00BF1273"/>
    <w:rsid w:val="00BF2DC9"/>
    <w:rsid w:val="00BF3271"/>
    <w:rsid w:val="00C02AF6"/>
    <w:rsid w:val="00C0378D"/>
    <w:rsid w:val="00C04750"/>
    <w:rsid w:val="00C2541D"/>
    <w:rsid w:val="00C25FFF"/>
    <w:rsid w:val="00C31CDD"/>
    <w:rsid w:val="00C40613"/>
    <w:rsid w:val="00C4181E"/>
    <w:rsid w:val="00C41A2C"/>
    <w:rsid w:val="00C43041"/>
    <w:rsid w:val="00C4410E"/>
    <w:rsid w:val="00C469B2"/>
    <w:rsid w:val="00C542FD"/>
    <w:rsid w:val="00C56087"/>
    <w:rsid w:val="00C64CD7"/>
    <w:rsid w:val="00C726F3"/>
    <w:rsid w:val="00C77551"/>
    <w:rsid w:val="00C77BE7"/>
    <w:rsid w:val="00C83EEF"/>
    <w:rsid w:val="00C854B6"/>
    <w:rsid w:val="00C916DC"/>
    <w:rsid w:val="00C9784E"/>
    <w:rsid w:val="00CA36BD"/>
    <w:rsid w:val="00CA7262"/>
    <w:rsid w:val="00CB1488"/>
    <w:rsid w:val="00CB1520"/>
    <w:rsid w:val="00CB548E"/>
    <w:rsid w:val="00CB7F42"/>
    <w:rsid w:val="00CC208B"/>
    <w:rsid w:val="00CC2FFF"/>
    <w:rsid w:val="00CC5018"/>
    <w:rsid w:val="00CC53A4"/>
    <w:rsid w:val="00CC7FC8"/>
    <w:rsid w:val="00CD03D3"/>
    <w:rsid w:val="00CD1DA4"/>
    <w:rsid w:val="00CD5A2F"/>
    <w:rsid w:val="00CD7C95"/>
    <w:rsid w:val="00CE41FC"/>
    <w:rsid w:val="00CE5F0E"/>
    <w:rsid w:val="00CE629B"/>
    <w:rsid w:val="00CF01EE"/>
    <w:rsid w:val="00CF5CB5"/>
    <w:rsid w:val="00CF61F5"/>
    <w:rsid w:val="00CF73C3"/>
    <w:rsid w:val="00D01AAE"/>
    <w:rsid w:val="00D057DD"/>
    <w:rsid w:val="00D11C73"/>
    <w:rsid w:val="00D14F71"/>
    <w:rsid w:val="00D27D9C"/>
    <w:rsid w:val="00D44595"/>
    <w:rsid w:val="00D44DBB"/>
    <w:rsid w:val="00D47331"/>
    <w:rsid w:val="00D5234B"/>
    <w:rsid w:val="00D53180"/>
    <w:rsid w:val="00D53801"/>
    <w:rsid w:val="00D53F91"/>
    <w:rsid w:val="00D55ADA"/>
    <w:rsid w:val="00D61EE6"/>
    <w:rsid w:val="00D65835"/>
    <w:rsid w:val="00D76AEF"/>
    <w:rsid w:val="00D80712"/>
    <w:rsid w:val="00D8600B"/>
    <w:rsid w:val="00D915E3"/>
    <w:rsid w:val="00D94DC4"/>
    <w:rsid w:val="00D95F12"/>
    <w:rsid w:val="00DA2B28"/>
    <w:rsid w:val="00DA619D"/>
    <w:rsid w:val="00DA6363"/>
    <w:rsid w:val="00DA6EC4"/>
    <w:rsid w:val="00DC0DEC"/>
    <w:rsid w:val="00DC24CF"/>
    <w:rsid w:val="00DC4BC5"/>
    <w:rsid w:val="00DC6585"/>
    <w:rsid w:val="00DC6BA2"/>
    <w:rsid w:val="00DD4396"/>
    <w:rsid w:val="00DD5025"/>
    <w:rsid w:val="00DD79CD"/>
    <w:rsid w:val="00DE51BA"/>
    <w:rsid w:val="00DE694F"/>
    <w:rsid w:val="00DF6C56"/>
    <w:rsid w:val="00E01D7C"/>
    <w:rsid w:val="00E01DA7"/>
    <w:rsid w:val="00E0292F"/>
    <w:rsid w:val="00E03CB8"/>
    <w:rsid w:val="00E1168F"/>
    <w:rsid w:val="00E11EA3"/>
    <w:rsid w:val="00E1621E"/>
    <w:rsid w:val="00E26127"/>
    <w:rsid w:val="00E3121F"/>
    <w:rsid w:val="00E35D29"/>
    <w:rsid w:val="00E37164"/>
    <w:rsid w:val="00E405FA"/>
    <w:rsid w:val="00E45537"/>
    <w:rsid w:val="00E46849"/>
    <w:rsid w:val="00E50A73"/>
    <w:rsid w:val="00E50E3A"/>
    <w:rsid w:val="00E5411E"/>
    <w:rsid w:val="00E5799B"/>
    <w:rsid w:val="00E61B7C"/>
    <w:rsid w:val="00E75938"/>
    <w:rsid w:val="00E819FF"/>
    <w:rsid w:val="00E829BB"/>
    <w:rsid w:val="00E90B3D"/>
    <w:rsid w:val="00E95B88"/>
    <w:rsid w:val="00EA4BE7"/>
    <w:rsid w:val="00EA6795"/>
    <w:rsid w:val="00EB172B"/>
    <w:rsid w:val="00EB1D3A"/>
    <w:rsid w:val="00EB2DE5"/>
    <w:rsid w:val="00EB3E0C"/>
    <w:rsid w:val="00ED195B"/>
    <w:rsid w:val="00ED264B"/>
    <w:rsid w:val="00ED628E"/>
    <w:rsid w:val="00EE0304"/>
    <w:rsid w:val="00EE38B6"/>
    <w:rsid w:val="00EE5CCC"/>
    <w:rsid w:val="00EE654F"/>
    <w:rsid w:val="00EF2FE4"/>
    <w:rsid w:val="00EF5079"/>
    <w:rsid w:val="00EF5B6B"/>
    <w:rsid w:val="00EF74A0"/>
    <w:rsid w:val="00F00ACC"/>
    <w:rsid w:val="00F00D7B"/>
    <w:rsid w:val="00F050E6"/>
    <w:rsid w:val="00F050EF"/>
    <w:rsid w:val="00F14718"/>
    <w:rsid w:val="00F17A5F"/>
    <w:rsid w:val="00F20EF2"/>
    <w:rsid w:val="00F25265"/>
    <w:rsid w:val="00F2547C"/>
    <w:rsid w:val="00F355C4"/>
    <w:rsid w:val="00F41E6E"/>
    <w:rsid w:val="00F425F5"/>
    <w:rsid w:val="00F42976"/>
    <w:rsid w:val="00F44F4C"/>
    <w:rsid w:val="00F46C58"/>
    <w:rsid w:val="00F47060"/>
    <w:rsid w:val="00F47123"/>
    <w:rsid w:val="00F5177B"/>
    <w:rsid w:val="00F557B0"/>
    <w:rsid w:val="00F5587B"/>
    <w:rsid w:val="00F574BD"/>
    <w:rsid w:val="00F61B3E"/>
    <w:rsid w:val="00F62491"/>
    <w:rsid w:val="00F6520D"/>
    <w:rsid w:val="00F6763B"/>
    <w:rsid w:val="00F73A0E"/>
    <w:rsid w:val="00F81DDA"/>
    <w:rsid w:val="00F8757F"/>
    <w:rsid w:val="00F90683"/>
    <w:rsid w:val="00F936DC"/>
    <w:rsid w:val="00F961DC"/>
    <w:rsid w:val="00F96503"/>
    <w:rsid w:val="00FA3AAD"/>
    <w:rsid w:val="00FA52F2"/>
    <w:rsid w:val="00FA5A99"/>
    <w:rsid w:val="00FA7CA7"/>
    <w:rsid w:val="00FB3F47"/>
    <w:rsid w:val="00FB6819"/>
    <w:rsid w:val="00FB6AA8"/>
    <w:rsid w:val="00FC1821"/>
    <w:rsid w:val="00FC2F64"/>
    <w:rsid w:val="00FC4B1C"/>
    <w:rsid w:val="00FD091F"/>
    <w:rsid w:val="00FD0B4F"/>
    <w:rsid w:val="00FD196E"/>
    <w:rsid w:val="00FD2369"/>
    <w:rsid w:val="00FD781B"/>
    <w:rsid w:val="00FF3AB5"/>
    <w:rsid w:val="00FF48DA"/>
    <w:rsid w:val="00FF4DD4"/>
    <w:rsid w:val="00FF5858"/>
    <w:rsid w:val="00FF7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5C80"/>
  <w15:docId w15:val="{0D138069-F91D-49EA-AE70-A3C9FF04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DCA"/>
    <w:pPr>
      <w:spacing w:after="200" w:line="276" w:lineRule="auto"/>
    </w:pPr>
    <w:rPr>
      <w:rFonts w:ascii="Times New Roman" w:eastAsia="Calibri" w:hAnsi="Times New Roman" w:cs="Times New Roman"/>
      <w:sz w:val="24"/>
      <w:szCs w:val="24"/>
      <w:lang w:val="sq-AL"/>
    </w:rPr>
  </w:style>
  <w:style w:type="paragraph" w:styleId="Heading3">
    <w:name w:val="heading 3"/>
    <w:basedOn w:val="Normal"/>
    <w:next w:val="Normal"/>
    <w:link w:val="Heading3Char"/>
    <w:uiPriority w:val="9"/>
    <w:semiHidden/>
    <w:unhideWhenUsed/>
    <w:qFormat/>
    <w:rsid w:val="001A17A4"/>
    <w:pPr>
      <w:keepNext/>
      <w:spacing w:before="240" w:after="60" w:line="240" w:lineRule="auto"/>
      <w:outlineLvl w:val="2"/>
    </w:pPr>
    <w:rPr>
      <w:rFonts w:ascii="Calibri Light" w:eastAsia="Times New Roman"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457DCA"/>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basedOn w:val="DefaultParagraphFont"/>
    <w:link w:val="Normal0"/>
    <w:rsid w:val="00457DCA"/>
    <w:rPr>
      <w:rFonts w:ascii="Arial" w:eastAsia="Times New Roman" w:hAnsi="Arial" w:cs="Arial"/>
      <w:sz w:val="24"/>
      <w:szCs w:val="24"/>
    </w:rPr>
  </w:style>
  <w:style w:type="paragraph" w:styleId="NoSpacing">
    <w:name w:val="No Spacing"/>
    <w:uiPriority w:val="1"/>
    <w:qFormat/>
    <w:rsid w:val="00457DCA"/>
    <w:pPr>
      <w:spacing w:after="0" w:line="240" w:lineRule="auto"/>
    </w:pPr>
    <w:rPr>
      <w:rFonts w:ascii="Calibri" w:eastAsia="Calibri" w:hAnsi="Calibri" w:cs="Times New Roman"/>
    </w:rPr>
  </w:style>
  <w:style w:type="paragraph" w:customStyle="1" w:styleId="Default">
    <w:name w:val="Default"/>
    <w:rsid w:val="008454D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List Paragraph2,Normal 1,List Paragraph 1,Akapit z listą BS,List Paragraph (numbered (a)),Bullets,WB Para,List Paragraph Char Char Char,Use Case List Paragraph,Lapis Bulleted List,Dot pt,List Paragraph1,F5 List Paragraph,Indicator Text"/>
    <w:basedOn w:val="Normal"/>
    <w:link w:val="ListParagraphChar"/>
    <w:uiPriority w:val="34"/>
    <w:qFormat/>
    <w:rsid w:val="008454DD"/>
    <w:pPr>
      <w:ind w:left="720"/>
      <w:contextualSpacing/>
    </w:pPr>
  </w:style>
  <w:style w:type="character" w:styleId="Strong">
    <w:name w:val="Strong"/>
    <w:uiPriority w:val="22"/>
    <w:qFormat/>
    <w:rsid w:val="003E2366"/>
    <w:rPr>
      <w:b/>
      <w:bCs/>
    </w:rPr>
  </w:style>
  <w:style w:type="character" w:customStyle="1" w:styleId="ListParagraphChar">
    <w:name w:val="List Paragraph Char"/>
    <w:aliases w:val="List Paragraph2 Char,Normal 1 Char,List Paragraph 1 Char,Akapit z listą BS Char,List Paragraph (numbered (a)) Char,Bullets Char,WB Para Char,List Paragraph Char Char Char Char,Use Case List Paragraph Char,Lapis Bulleted List Char"/>
    <w:link w:val="ListParagraph"/>
    <w:uiPriority w:val="34"/>
    <w:qFormat/>
    <w:locked/>
    <w:rsid w:val="00CE5F0E"/>
    <w:rPr>
      <w:rFonts w:ascii="Times New Roman" w:eastAsia="Calibri" w:hAnsi="Times New Roman" w:cs="Times New Roman"/>
      <w:sz w:val="24"/>
      <w:szCs w:val="24"/>
      <w:lang w:val="sq-AL"/>
    </w:rPr>
  </w:style>
  <w:style w:type="paragraph" w:styleId="NormalWeb">
    <w:name w:val="Normal (Web)"/>
    <w:basedOn w:val="Normal"/>
    <w:uiPriority w:val="99"/>
    <w:unhideWhenUsed/>
    <w:rsid w:val="00CE5F0E"/>
    <w:pPr>
      <w:spacing w:before="100" w:beforeAutospacing="1" w:after="100" w:afterAutospacing="1" w:line="240" w:lineRule="auto"/>
    </w:pPr>
    <w:rPr>
      <w:rFonts w:eastAsia="Times New Roman"/>
      <w:lang w:val="en-US"/>
    </w:rPr>
  </w:style>
  <w:style w:type="numbering" w:customStyle="1" w:styleId="CurrentList1">
    <w:name w:val="Current List1"/>
    <w:uiPriority w:val="99"/>
    <w:rsid w:val="0001758C"/>
    <w:pPr>
      <w:numPr>
        <w:numId w:val="7"/>
      </w:numPr>
    </w:pPr>
  </w:style>
  <w:style w:type="paragraph" w:styleId="Header">
    <w:name w:val="header"/>
    <w:basedOn w:val="Normal"/>
    <w:link w:val="HeaderChar"/>
    <w:uiPriority w:val="99"/>
    <w:unhideWhenUsed/>
    <w:rsid w:val="00F05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EF"/>
    <w:rPr>
      <w:rFonts w:ascii="Times New Roman" w:eastAsia="Calibri" w:hAnsi="Times New Roman" w:cs="Times New Roman"/>
      <w:sz w:val="24"/>
      <w:szCs w:val="24"/>
      <w:lang w:val="sq-AL"/>
    </w:rPr>
  </w:style>
  <w:style w:type="paragraph" w:styleId="Footer">
    <w:name w:val="footer"/>
    <w:basedOn w:val="Normal"/>
    <w:link w:val="FooterChar"/>
    <w:uiPriority w:val="99"/>
    <w:unhideWhenUsed/>
    <w:rsid w:val="00F05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EF"/>
    <w:rPr>
      <w:rFonts w:ascii="Times New Roman" w:eastAsia="Calibri" w:hAnsi="Times New Roman" w:cs="Times New Roman"/>
      <w:sz w:val="24"/>
      <w:szCs w:val="24"/>
      <w:lang w:val="sq-AL"/>
    </w:rPr>
  </w:style>
  <w:style w:type="paragraph" w:styleId="FootnoteText">
    <w:name w:val="footnote text"/>
    <w:basedOn w:val="Normal"/>
    <w:link w:val="FootnoteTextChar"/>
    <w:uiPriority w:val="99"/>
    <w:semiHidden/>
    <w:unhideWhenUsed/>
    <w:rsid w:val="008321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21D5"/>
    <w:rPr>
      <w:rFonts w:ascii="Times New Roman" w:eastAsia="Calibri" w:hAnsi="Times New Roman" w:cs="Times New Roman"/>
      <w:sz w:val="20"/>
      <w:szCs w:val="20"/>
      <w:lang w:val="sq-AL"/>
    </w:rPr>
  </w:style>
  <w:style w:type="character" w:styleId="FootnoteReference">
    <w:name w:val="footnote reference"/>
    <w:basedOn w:val="DefaultParagraphFont"/>
    <w:uiPriority w:val="99"/>
    <w:semiHidden/>
    <w:unhideWhenUsed/>
    <w:rsid w:val="008321D5"/>
    <w:rPr>
      <w:vertAlign w:val="superscript"/>
    </w:rPr>
  </w:style>
  <w:style w:type="character" w:styleId="CommentReference">
    <w:name w:val="annotation reference"/>
    <w:basedOn w:val="DefaultParagraphFont"/>
    <w:uiPriority w:val="99"/>
    <w:semiHidden/>
    <w:unhideWhenUsed/>
    <w:rsid w:val="00EF74A0"/>
    <w:rPr>
      <w:sz w:val="16"/>
      <w:szCs w:val="16"/>
    </w:rPr>
  </w:style>
  <w:style w:type="paragraph" w:styleId="CommentText">
    <w:name w:val="annotation text"/>
    <w:basedOn w:val="Normal"/>
    <w:link w:val="CommentTextChar"/>
    <w:uiPriority w:val="99"/>
    <w:unhideWhenUsed/>
    <w:rsid w:val="00EF74A0"/>
    <w:pPr>
      <w:spacing w:line="240" w:lineRule="auto"/>
    </w:pPr>
    <w:rPr>
      <w:sz w:val="20"/>
      <w:szCs w:val="20"/>
    </w:rPr>
  </w:style>
  <w:style w:type="character" w:customStyle="1" w:styleId="CommentTextChar">
    <w:name w:val="Comment Text Char"/>
    <w:basedOn w:val="DefaultParagraphFont"/>
    <w:link w:val="CommentText"/>
    <w:uiPriority w:val="99"/>
    <w:rsid w:val="00EF74A0"/>
    <w:rPr>
      <w:rFonts w:ascii="Times New Roman" w:eastAsia="Calibri"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EF74A0"/>
    <w:rPr>
      <w:b/>
      <w:bCs/>
    </w:rPr>
  </w:style>
  <w:style w:type="character" w:customStyle="1" w:styleId="CommentSubjectChar">
    <w:name w:val="Comment Subject Char"/>
    <w:basedOn w:val="CommentTextChar"/>
    <w:link w:val="CommentSubject"/>
    <w:uiPriority w:val="99"/>
    <w:semiHidden/>
    <w:rsid w:val="00EF74A0"/>
    <w:rPr>
      <w:rFonts w:ascii="Times New Roman" w:eastAsia="Calibri" w:hAnsi="Times New Roman" w:cs="Times New Roman"/>
      <w:b/>
      <w:bCs/>
      <w:sz w:val="20"/>
      <w:szCs w:val="20"/>
      <w:lang w:val="sq-AL"/>
    </w:rPr>
  </w:style>
  <w:style w:type="character" w:customStyle="1" w:styleId="overflow-hidden">
    <w:name w:val="overflow-hidden"/>
    <w:basedOn w:val="DefaultParagraphFont"/>
    <w:rsid w:val="00377552"/>
  </w:style>
  <w:style w:type="character" w:customStyle="1" w:styleId="Heading3Char">
    <w:name w:val="Heading 3 Char"/>
    <w:basedOn w:val="DefaultParagraphFont"/>
    <w:link w:val="Heading3"/>
    <w:uiPriority w:val="9"/>
    <w:semiHidden/>
    <w:rsid w:val="001A17A4"/>
    <w:rPr>
      <w:rFonts w:ascii="Calibri Light" w:eastAsia="Times New Roman" w:hAnsi="Calibri Light" w:cs="Times New Roman"/>
      <w:b/>
      <w:bCs/>
      <w:sz w:val="26"/>
      <w:szCs w:val="26"/>
    </w:rPr>
  </w:style>
  <w:style w:type="paragraph" w:styleId="Revision">
    <w:name w:val="Revision"/>
    <w:hidden/>
    <w:uiPriority w:val="99"/>
    <w:semiHidden/>
    <w:rsid w:val="008269A4"/>
    <w:pPr>
      <w:spacing w:after="0" w:line="240" w:lineRule="auto"/>
    </w:pPr>
    <w:rPr>
      <w:rFonts w:ascii="Times New Roman" w:eastAsia="Calibri"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636790">
      <w:bodyDiv w:val="1"/>
      <w:marLeft w:val="0"/>
      <w:marRight w:val="0"/>
      <w:marTop w:val="0"/>
      <w:marBottom w:val="0"/>
      <w:divBdr>
        <w:top w:val="none" w:sz="0" w:space="0" w:color="auto"/>
        <w:left w:val="none" w:sz="0" w:space="0" w:color="auto"/>
        <w:bottom w:val="none" w:sz="0" w:space="0" w:color="auto"/>
        <w:right w:val="none" w:sz="0" w:space="0" w:color="auto"/>
      </w:divBdr>
    </w:div>
    <w:div w:id="540477580">
      <w:bodyDiv w:val="1"/>
      <w:marLeft w:val="0"/>
      <w:marRight w:val="0"/>
      <w:marTop w:val="0"/>
      <w:marBottom w:val="0"/>
      <w:divBdr>
        <w:top w:val="none" w:sz="0" w:space="0" w:color="auto"/>
        <w:left w:val="none" w:sz="0" w:space="0" w:color="auto"/>
        <w:bottom w:val="none" w:sz="0" w:space="0" w:color="auto"/>
        <w:right w:val="none" w:sz="0" w:space="0" w:color="auto"/>
      </w:divBdr>
      <w:divsChild>
        <w:div w:id="797576846">
          <w:marLeft w:val="0"/>
          <w:marRight w:val="0"/>
          <w:marTop w:val="0"/>
          <w:marBottom w:val="0"/>
          <w:divBdr>
            <w:top w:val="none" w:sz="0" w:space="0" w:color="auto"/>
            <w:left w:val="none" w:sz="0" w:space="0" w:color="auto"/>
            <w:bottom w:val="none" w:sz="0" w:space="0" w:color="auto"/>
            <w:right w:val="none" w:sz="0" w:space="0" w:color="auto"/>
          </w:divBdr>
          <w:divsChild>
            <w:div w:id="616176857">
              <w:marLeft w:val="0"/>
              <w:marRight w:val="0"/>
              <w:marTop w:val="0"/>
              <w:marBottom w:val="0"/>
              <w:divBdr>
                <w:top w:val="none" w:sz="0" w:space="0" w:color="auto"/>
                <w:left w:val="none" w:sz="0" w:space="0" w:color="auto"/>
                <w:bottom w:val="none" w:sz="0" w:space="0" w:color="auto"/>
                <w:right w:val="none" w:sz="0" w:space="0" w:color="auto"/>
              </w:divBdr>
              <w:divsChild>
                <w:div w:id="726689777">
                  <w:marLeft w:val="0"/>
                  <w:marRight w:val="0"/>
                  <w:marTop w:val="0"/>
                  <w:marBottom w:val="0"/>
                  <w:divBdr>
                    <w:top w:val="none" w:sz="0" w:space="0" w:color="auto"/>
                    <w:left w:val="none" w:sz="0" w:space="0" w:color="auto"/>
                    <w:bottom w:val="none" w:sz="0" w:space="0" w:color="auto"/>
                    <w:right w:val="none" w:sz="0" w:space="0" w:color="auto"/>
                  </w:divBdr>
                  <w:divsChild>
                    <w:div w:id="3103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948119">
          <w:marLeft w:val="0"/>
          <w:marRight w:val="0"/>
          <w:marTop w:val="0"/>
          <w:marBottom w:val="0"/>
          <w:divBdr>
            <w:top w:val="none" w:sz="0" w:space="0" w:color="auto"/>
            <w:left w:val="none" w:sz="0" w:space="0" w:color="auto"/>
            <w:bottom w:val="none" w:sz="0" w:space="0" w:color="auto"/>
            <w:right w:val="none" w:sz="0" w:space="0" w:color="auto"/>
          </w:divBdr>
          <w:divsChild>
            <w:div w:id="1866601725">
              <w:marLeft w:val="0"/>
              <w:marRight w:val="0"/>
              <w:marTop w:val="0"/>
              <w:marBottom w:val="0"/>
              <w:divBdr>
                <w:top w:val="none" w:sz="0" w:space="0" w:color="auto"/>
                <w:left w:val="none" w:sz="0" w:space="0" w:color="auto"/>
                <w:bottom w:val="none" w:sz="0" w:space="0" w:color="auto"/>
                <w:right w:val="none" w:sz="0" w:space="0" w:color="auto"/>
              </w:divBdr>
              <w:divsChild>
                <w:div w:id="890724735">
                  <w:marLeft w:val="0"/>
                  <w:marRight w:val="0"/>
                  <w:marTop w:val="0"/>
                  <w:marBottom w:val="0"/>
                  <w:divBdr>
                    <w:top w:val="none" w:sz="0" w:space="0" w:color="auto"/>
                    <w:left w:val="none" w:sz="0" w:space="0" w:color="auto"/>
                    <w:bottom w:val="none" w:sz="0" w:space="0" w:color="auto"/>
                    <w:right w:val="none" w:sz="0" w:space="0" w:color="auto"/>
                  </w:divBdr>
                  <w:divsChild>
                    <w:div w:id="15693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01181">
      <w:bodyDiv w:val="1"/>
      <w:marLeft w:val="0"/>
      <w:marRight w:val="0"/>
      <w:marTop w:val="0"/>
      <w:marBottom w:val="0"/>
      <w:divBdr>
        <w:top w:val="none" w:sz="0" w:space="0" w:color="auto"/>
        <w:left w:val="none" w:sz="0" w:space="0" w:color="auto"/>
        <w:bottom w:val="none" w:sz="0" w:space="0" w:color="auto"/>
        <w:right w:val="none" w:sz="0" w:space="0" w:color="auto"/>
      </w:divBdr>
    </w:div>
    <w:div w:id="1567952955">
      <w:bodyDiv w:val="1"/>
      <w:marLeft w:val="0"/>
      <w:marRight w:val="0"/>
      <w:marTop w:val="0"/>
      <w:marBottom w:val="0"/>
      <w:divBdr>
        <w:top w:val="none" w:sz="0" w:space="0" w:color="auto"/>
        <w:left w:val="none" w:sz="0" w:space="0" w:color="auto"/>
        <w:bottom w:val="none" w:sz="0" w:space="0" w:color="auto"/>
        <w:right w:val="none" w:sz="0" w:space="0" w:color="auto"/>
      </w:divBdr>
      <w:divsChild>
        <w:div w:id="1206261818">
          <w:marLeft w:val="0"/>
          <w:marRight w:val="0"/>
          <w:marTop w:val="0"/>
          <w:marBottom w:val="0"/>
          <w:divBdr>
            <w:top w:val="none" w:sz="0" w:space="0" w:color="auto"/>
            <w:left w:val="none" w:sz="0" w:space="0" w:color="auto"/>
            <w:bottom w:val="none" w:sz="0" w:space="0" w:color="auto"/>
            <w:right w:val="none" w:sz="0" w:space="0" w:color="auto"/>
          </w:divBdr>
        </w:div>
        <w:div w:id="1963225144">
          <w:marLeft w:val="0"/>
          <w:marRight w:val="0"/>
          <w:marTop w:val="0"/>
          <w:marBottom w:val="0"/>
          <w:divBdr>
            <w:top w:val="none" w:sz="0" w:space="0" w:color="auto"/>
            <w:left w:val="none" w:sz="0" w:space="0" w:color="auto"/>
            <w:bottom w:val="none" w:sz="0" w:space="0" w:color="auto"/>
            <w:right w:val="none" w:sz="0" w:space="0" w:color="auto"/>
          </w:divBdr>
        </w:div>
        <w:div w:id="968972148">
          <w:marLeft w:val="0"/>
          <w:marRight w:val="0"/>
          <w:marTop w:val="0"/>
          <w:marBottom w:val="0"/>
          <w:divBdr>
            <w:top w:val="none" w:sz="0" w:space="0" w:color="auto"/>
            <w:left w:val="none" w:sz="0" w:space="0" w:color="auto"/>
            <w:bottom w:val="none" w:sz="0" w:space="0" w:color="auto"/>
            <w:right w:val="none" w:sz="0" w:space="0" w:color="auto"/>
          </w:divBdr>
        </w:div>
        <w:div w:id="757096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a78a1d78802c727d338d65cce3eb9245">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2271082c15a1b86b8d74ca941ee0645e"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7B2FEF-1ECB-4475-8D1B-60F80E996DAC}">
  <ds:schemaRefs>
    <ds:schemaRef ds:uri="http://schemas.openxmlformats.org/officeDocument/2006/bibliography"/>
  </ds:schemaRefs>
</ds:datastoreItem>
</file>

<file path=customXml/itemProps2.xml><?xml version="1.0" encoding="utf-8"?>
<ds:datastoreItem xmlns:ds="http://schemas.openxmlformats.org/officeDocument/2006/customXml" ds:itemID="{84B6A1B7-EFF0-49F8-A404-FD90CDFAB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10450-69C5-4288-A554-3926B3DDC41E}">
  <ds:schemaRefs>
    <ds:schemaRef ds:uri="http://schemas.microsoft.com/sharepoint/v3/contenttype/forms"/>
  </ds:schemaRefs>
</ds:datastoreItem>
</file>

<file path=customXml/itemProps4.xml><?xml version="1.0" encoding="utf-8"?>
<ds:datastoreItem xmlns:ds="http://schemas.openxmlformats.org/officeDocument/2006/customXml" ds:itemID="{1F748813-7C36-451D-9286-25EF90832D63}">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8302</Words>
  <Characters>47324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Qendra ALTRI</dc:creator>
  <cp:keywords/>
  <dc:description/>
  <cp:lastModifiedBy>Drejtoria Juridike</cp:lastModifiedBy>
  <cp:revision>2</cp:revision>
  <dcterms:created xsi:type="dcterms:W3CDTF">2025-07-29T07:48:00Z</dcterms:created>
  <dcterms:modified xsi:type="dcterms:W3CDTF">2025-07-29T07:48:00Z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