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D1F" w14:textId="0265852A" w:rsidR="008675CA" w:rsidRPr="00C633C5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C633C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C633C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6372D3DD" w14:textId="6268BFFD" w:rsidR="008675CA" w:rsidRPr="00C633C5" w:rsidRDefault="009C2E02" w:rsidP="00BF2355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845CB3" w:rsidRPr="00C633C5">
        <w:rPr>
          <w:rFonts w:ascii="Times New Roman" w:hAnsi="Times New Roman"/>
          <w:b/>
          <w:sz w:val="24"/>
          <w:szCs w:val="24"/>
          <w:lang w:val="sq-AL"/>
        </w:rPr>
        <w:t>projekt</w:t>
      </w:r>
      <w:r w:rsidR="001A19A9">
        <w:rPr>
          <w:rFonts w:ascii="Times New Roman" w:hAnsi="Times New Roman"/>
          <w:b/>
          <w:sz w:val="24"/>
          <w:szCs w:val="24"/>
          <w:lang w:val="sq-AL"/>
        </w:rPr>
        <w:t xml:space="preserve">vendimin </w:t>
      </w:r>
      <w:r w:rsidRPr="00C633C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1A19A9" w:rsidRPr="001A19A9">
        <w:rPr>
          <w:rFonts w:ascii="Times New Roman" w:hAnsi="Times New Roman"/>
          <w:b/>
          <w:sz w:val="24"/>
          <w:szCs w:val="24"/>
          <w:lang w:val="sq-AL"/>
        </w:rPr>
        <w:t>“Për miratimin e Planit të Veprimit të arsimit digjital 2025-2030 duke përfshirë standardet për arritjen e kompetencës digjitale”</w:t>
      </w:r>
    </w:p>
    <w:p w14:paraId="364F00E7" w14:textId="77777777" w:rsidR="009C2E02" w:rsidRPr="00C633C5" w:rsidRDefault="009C2E02" w:rsidP="00BF2355">
      <w:pPr>
        <w:pStyle w:val="Body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3BF55563" w14:textId="77777777" w:rsidTr="00957E1F">
        <w:tc>
          <w:tcPr>
            <w:tcW w:w="9212" w:type="dxa"/>
          </w:tcPr>
          <w:p w14:paraId="107036DC" w14:textId="752DF2F0" w:rsidR="001E4573" w:rsidRPr="00C633C5" w:rsidRDefault="00B87EE9" w:rsidP="00BF2355">
            <w:pPr>
              <w:pStyle w:val="BodyText"/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845CB3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Arsimit dhe Sportit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në kuadër të procesit të konsultimit </w:t>
            </w:r>
            <w:r w:rsidR="00A05359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të projekt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="00A05359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A19A9" w:rsidRPr="001A19A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“Për miratimin e Planit të Veprimit të arsimit digjital 2025-2030 duke përfshirë standardet për arritjen e kompetencës digjitale”</w:t>
            </w:r>
            <w:r w:rsidR="001A19A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C633C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0A95A18B" w14:textId="77777777" w:rsidTr="00957E1F">
        <w:tc>
          <w:tcPr>
            <w:tcW w:w="9212" w:type="dxa"/>
          </w:tcPr>
          <w:p w14:paraId="5863E002" w14:textId="2F8C16CF" w:rsidR="001E4573" w:rsidRPr="00C633C5" w:rsidRDefault="00B0093C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05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8797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08797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0FF81B91" w14:textId="77777777" w:rsidTr="00957E1F">
        <w:tc>
          <w:tcPr>
            <w:tcW w:w="9212" w:type="dxa"/>
          </w:tcPr>
          <w:p w14:paraId="725A5EEA" w14:textId="5193FBD2" w:rsidR="008675CA" w:rsidRPr="00C633C5" w:rsidRDefault="00B0093C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do të përcillen nga institucionet e interesuara me anë të regjistrit elektronik në adresën </w:t>
            </w:r>
            <w:hyperlink r:id="rId5" w:history="1">
              <w:r w:rsidR="00BF2355" w:rsidRPr="00C633C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A74D62" w:rsidRPr="00C633C5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C633C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12B24D1C" w14:textId="77777777" w:rsidTr="00957E1F">
        <w:tc>
          <w:tcPr>
            <w:tcW w:w="9212" w:type="dxa"/>
          </w:tcPr>
          <w:p w14:paraId="3637B89E" w14:textId="1383CC32" w:rsidR="00B0093C" w:rsidRPr="00C633C5" w:rsidRDefault="00845CB3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Nadire Pilavi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, Koordinator për konsultimin publik në Ministri</w:t>
            </w:r>
            <w:r w:rsidR="00B0093C" w:rsidRPr="00C633C5">
              <w:rPr>
                <w:rStyle w:val="Hyperlink"/>
              </w:rPr>
              <w:t xml:space="preserve">: </w:t>
            </w:r>
            <w:hyperlink r:id="rId6" w:history="1">
              <w:r w:rsidRPr="00C633C5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nadire.pilavi@arsimi.gov.al</w:t>
              </w:r>
            </w:hyperlink>
          </w:p>
        </w:tc>
      </w:tr>
    </w:tbl>
    <w:p w14:paraId="5D44D821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7239AD1E" w14:textId="77777777" w:rsidTr="00957E1F">
        <w:tc>
          <w:tcPr>
            <w:tcW w:w="9212" w:type="dxa"/>
          </w:tcPr>
          <w:p w14:paraId="225A0334" w14:textId="28C7843E" w:rsidR="00AD4479" w:rsidRPr="00C633C5" w:rsidRDefault="00AD4479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05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gusht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5017327A" w14:textId="77777777" w:rsidTr="00957E1F">
        <w:tc>
          <w:tcPr>
            <w:tcW w:w="9212" w:type="dxa"/>
          </w:tcPr>
          <w:p w14:paraId="4AACFA64" w14:textId="5CEADA3D" w:rsidR="00154162" w:rsidRDefault="00096E9E" w:rsidP="00096E9E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Projekt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vendimi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416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ka për qëllim </w:t>
            </w:r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përcaktojë vizionin e edukimit digjital mbështetur mbi vlerësimin e prioriteteve kombëtare, vlerësimin e gjendjes aktuale dhe vlerësimin e praktikave më të mira globale. Ky vizion u mbështet në disa </w:t>
            </w:r>
            <w:proofErr w:type="spellStart"/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>dokumenta</w:t>
            </w:r>
            <w:proofErr w:type="spellEnd"/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strategjikë si Strategjia Kombëtare e Arsimit dhe Agjenda Digjitale e Shqipërisë dhe në hartimin e këtij dokumenti u angazhuan të gjithë aktorët e lidhur me edukimin digjital, ku qasja në këtë dokument vlerësoi inovacionin, </w:t>
            </w:r>
            <w:proofErr w:type="spellStart"/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>gjithëpërfshirjen</w:t>
            </w:r>
            <w:proofErr w:type="spellEnd"/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iniciativat me vizion të qartë, angazhimin global, fokusin në cilësi dhe integrimin digjital në shoqëri. Ky vizion synon një shoqëri të fuqizuar në </w:t>
            </w:r>
            <w:proofErr w:type="spellStart"/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>apektin</w:t>
            </w:r>
            <w:proofErr w:type="spellEnd"/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digjital, drejt angazhimit të transformimit digjital në edukim deri në vitin 2030 përmes infrastrukturës së përmirësuar, teknologjive </w:t>
            </w:r>
            <w:proofErr w:type="spellStart"/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>inovative</w:t>
            </w:r>
            <w:proofErr w:type="spellEnd"/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>kurrikulave</w:t>
            </w:r>
            <w:proofErr w:type="spellEnd"/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digjitale gjithëpërfshirëse, duke siguruar që çdo nxënës të jetë i përgatitur për sfidat dhe mundësitë e një bote digjitale.</w:t>
            </w:r>
          </w:p>
          <w:p w14:paraId="416313C1" w14:textId="77777777" w:rsidR="001A19A9" w:rsidRDefault="001A19A9" w:rsidP="00096E9E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E49249" w14:textId="77777777" w:rsidR="001A19A9" w:rsidRPr="001A19A9" w:rsidRDefault="001A19A9" w:rsidP="001A19A9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Përmes këtij plani paraqitet përmbushja e kritereve të anëtarësimit në BE në fushën e </w:t>
            </w:r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arsimit, duke përfshirë:</w:t>
            </w:r>
          </w:p>
          <w:p w14:paraId="59CCBD34" w14:textId="0BDE64C0" w:rsidR="001A19A9" w:rsidRPr="001A19A9" w:rsidRDefault="001A19A9" w:rsidP="001A19A9">
            <w:pPr>
              <w:pStyle w:val="ListParagraph"/>
              <w:widowControl w:val="0"/>
              <w:numPr>
                <w:ilvl w:val="0"/>
                <w:numId w:val="89"/>
              </w:numPr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Promovimin e përfshirjes sociale dhe digjitalizimit në arsim, në përputhje me Prioritetin Strategjik 1 të Rezolutës;</w:t>
            </w:r>
          </w:p>
          <w:p w14:paraId="1E83670F" w14:textId="6DCBE054" w:rsidR="001A19A9" w:rsidRPr="001A19A9" w:rsidRDefault="001A19A9" w:rsidP="001A19A9">
            <w:pPr>
              <w:pStyle w:val="ListParagraph"/>
              <w:widowControl w:val="0"/>
              <w:numPr>
                <w:ilvl w:val="0"/>
                <w:numId w:val="89"/>
              </w:numPr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Rritjen e kapaciteteve profesionale të stafit arsimor dhe integrimin e teknologjisë në zhvillimin e karrierës, në përputhje me Prioritetin Strategjik 3;</w:t>
            </w:r>
          </w:p>
          <w:p w14:paraId="321564E5" w14:textId="4169FAC4" w:rsidR="001A19A9" w:rsidRPr="001A19A9" w:rsidRDefault="001A19A9" w:rsidP="001A19A9">
            <w:pPr>
              <w:pStyle w:val="ListParagraph"/>
              <w:widowControl w:val="0"/>
              <w:numPr>
                <w:ilvl w:val="0"/>
                <w:numId w:val="89"/>
              </w:numPr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Modernizimin e infrastrukturës digjitale të institucioneve të arsimit të lartë dhe zgjerimin e bashkëpunimit ndërkombëtar, në përputhje me Prioritetin Strategjik 4;</w:t>
            </w:r>
          </w:p>
          <w:p w14:paraId="7590D3B8" w14:textId="23BEC738" w:rsidR="002F0D44" w:rsidRPr="001A19A9" w:rsidRDefault="001A19A9" w:rsidP="001A19A9">
            <w:pPr>
              <w:pStyle w:val="ListParagraph"/>
              <w:widowControl w:val="0"/>
              <w:numPr>
                <w:ilvl w:val="0"/>
                <w:numId w:val="89"/>
              </w:numPr>
              <w:autoSpaceDE w:val="0"/>
              <w:autoSpaceDN w:val="0"/>
              <w:spacing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Zbatimin e politikave për një zhvillim të qëndrueshëm dhe të gjelbër në arsim, në linjë me Prioritetin Strategjik 5 të Rezolutës për 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tranzicionin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digjital.</w:t>
            </w:r>
          </w:p>
        </w:tc>
      </w:tr>
    </w:tbl>
    <w:p w14:paraId="671DF514" w14:textId="2DED9CB9" w:rsidR="00E54C97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59FC2C08" w14:textId="77777777" w:rsidTr="00957E1F">
        <w:tc>
          <w:tcPr>
            <w:tcW w:w="9212" w:type="dxa"/>
          </w:tcPr>
          <w:p w14:paraId="1DC9CE10" w14:textId="77777777" w:rsidR="001A19A9" w:rsidRDefault="001A19A9" w:rsidP="001A19A9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D5DBB6A" w14:textId="53D497A1" w:rsidR="001A19A9" w:rsidRDefault="001A19A9" w:rsidP="001A19A9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Plani i veprimit përfshin zgjerimin e iniciativës së 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SMARTlab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-eve në të gjitha shkollat e arsimit bazë e të mesëm, iniciativë tashmë e përfshirë edhe në Planin e Rritjes dhe e 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buxhetuar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mbështetjen e Bankës Botërore dhe CEB-it. Plani i Veprimit merr në konsideratë zhvillimin e 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standadteve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monitorimit të arsimit digjital, finalizimin e treguesve që lidhen me procesin e digjitalizimit në arsim dhe krijimin e mekanizmave monitoruese që do të ndjekin këta tregues.</w:t>
            </w:r>
          </w:p>
          <w:p w14:paraId="1DA35F20" w14:textId="77777777" w:rsidR="001A19A9" w:rsidRPr="001A19A9" w:rsidRDefault="001A19A9" w:rsidP="001A19A9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FEB7BE0" w14:textId="77777777" w:rsidR="001A19A9" w:rsidRDefault="001A19A9" w:rsidP="001A19A9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Po ashtu, do të realizohet blerja e 5,500 kompjuterëve portativë (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laptopë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), si pjesë e mbështetjes së qeverisë shqiptare për digjitalizimin e arsimit dhe rritjen e aksesit në teknologji për nxënësit dhe mësuesit në shkollat publike. Kjo ndërhyrje është pjesë e Programit 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Operacional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Shumëvjeçar "Ekonomia dhe Shoqëria Digjitale 2024–2027", e financuar nga IPA III, dhe synon përmirësimin e kushteve të 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nxënit, fuqizimin e përdorimit të platformave digjitale arsimore dhe mbylljen e hendekut digjital midis zonave urbane dhe rurale. </w:t>
            </w:r>
          </w:p>
          <w:p w14:paraId="50F2BFF9" w14:textId="77777777" w:rsidR="001A19A9" w:rsidRPr="001A19A9" w:rsidRDefault="001A19A9" w:rsidP="001A19A9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7FC1AF1" w14:textId="77777777" w:rsidR="001A19A9" w:rsidRDefault="001A19A9" w:rsidP="001A19A9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Vazhdimi i zgjerimit të lidhjes me brez të gjerë (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broadband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) dhe 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Wi-Fi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shpejtësi të lartë në të gjitha institucionet e arsimit parauniversitar dhe të lartë është një nga masat e planifikuara në këtë plan veprimi.</w:t>
            </w:r>
          </w:p>
          <w:p w14:paraId="361FA329" w14:textId="77777777" w:rsidR="001A19A9" w:rsidRPr="001A19A9" w:rsidRDefault="001A19A9" w:rsidP="001A19A9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8814F86" w14:textId="77777777" w:rsidR="002D3F25" w:rsidRDefault="001A19A9" w:rsidP="001A19A9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Kjo masë synon të vazhdojë zgjerimin e lidhjes me brez të gjerë në shkolla dhe universitete për të mundësuar adaptimin dhe integrimin pa probleme të arsimit dhe mësimit digjital. Laboratorët Inteligjent (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Smart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Labs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) po sjellin lidhjen 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Wi-Fi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shkolla duke përmirësuar kështu </w:t>
            </w:r>
            <w:proofErr w:type="spellStart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>aksesin</w:t>
            </w:r>
            <w:proofErr w:type="spellEnd"/>
            <w:r w:rsidRP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internetit në të gjithë vendin.</w:t>
            </w:r>
          </w:p>
          <w:p w14:paraId="7A7AF454" w14:textId="4DA28869" w:rsidR="001A19A9" w:rsidRPr="00C633C5" w:rsidRDefault="001A19A9" w:rsidP="001A19A9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6F85D1AB" w14:textId="77777777" w:rsidTr="00FE3A8D">
        <w:tc>
          <w:tcPr>
            <w:tcW w:w="9056" w:type="dxa"/>
          </w:tcPr>
          <w:p w14:paraId="514F5971" w14:textId="41126402" w:rsidR="001A19A9" w:rsidRDefault="008D2705" w:rsidP="00154162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proofErr w:type="spellStart"/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proofErr w:type="spellEnd"/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 e tij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? Si i vlerësoni përcaktimet në projekt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, mbi</w:t>
            </w:r>
            <w:r w:rsidR="00D8327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plain</w:t>
            </w:r>
            <w:proofErr w:type="spellEnd"/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veprimit të </w:t>
            </w:r>
            <w:r w:rsidR="001A19A9" w:rsidRPr="001A19A9">
              <w:rPr>
                <w:rFonts w:ascii="Times New Roman" w:hAnsi="Times New Roman"/>
                <w:sz w:val="24"/>
                <w:szCs w:val="24"/>
                <w:lang w:val="sq-AL"/>
              </w:rPr>
              <w:t>Arsimit Digjital 2025-2030 duke përfshirë standardet për arritjen e kompetencës digjitale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7993880D" w:rsidR="00E4497D" w:rsidRPr="00BF2355" w:rsidRDefault="00E4497D" w:rsidP="001A19A9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D943006" w14:textId="12C72020" w:rsidR="00334CD0" w:rsidRPr="00BF235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BF235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22160B"/>
    <w:multiLevelType w:val="hybridMultilevel"/>
    <w:tmpl w:val="B0C4EE86"/>
    <w:lvl w:ilvl="0" w:tplc="041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7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8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9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1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2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3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4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7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6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84027">
    <w:abstractNumId w:val="79"/>
  </w:num>
  <w:num w:numId="2" w16cid:durableId="458643892">
    <w:abstractNumId w:val="59"/>
  </w:num>
  <w:num w:numId="3" w16cid:durableId="2070109899">
    <w:abstractNumId w:val="82"/>
  </w:num>
  <w:num w:numId="4" w16cid:durableId="1678921846">
    <w:abstractNumId w:val="67"/>
  </w:num>
  <w:num w:numId="5" w16cid:durableId="1883177265">
    <w:abstractNumId w:val="44"/>
  </w:num>
  <w:num w:numId="6" w16cid:durableId="35157979">
    <w:abstractNumId w:val="8"/>
  </w:num>
  <w:num w:numId="7" w16cid:durableId="288631640">
    <w:abstractNumId w:val="5"/>
  </w:num>
  <w:num w:numId="8" w16cid:durableId="1781334364">
    <w:abstractNumId w:val="13"/>
  </w:num>
  <w:num w:numId="9" w16cid:durableId="1865483619">
    <w:abstractNumId w:val="73"/>
  </w:num>
  <w:num w:numId="10" w16cid:durableId="882904568">
    <w:abstractNumId w:val="52"/>
  </w:num>
  <w:num w:numId="11" w16cid:durableId="350765340">
    <w:abstractNumId w:val="83"/>
  </w:num>
  <w:num w:numId="12" w16cid:durableId="1009216069">
    <w:abstractNumId w:val="75"/>
  </w:num>
  <w:num w:numId="13" w16cid:durableId="1894272474">
    <w:abstractNumId w:val="6"/>
  </w:num>
  <w:num w:numId="14" w16cid:durableId="875973618">
    <w:abstractNumId w:val="71"/>
  </w:num>
  <w:num w:numId="15" w16cid:durableId="167525628">
    <w:abstractNumId w:val="72"/>
  </w:num>
  <w:num w:numId="16" w16cid:durableId="1317876496">
    <w:abstractNumId w:val="19"/>
  </w:num>
  <w:num w:numId="17" w16cid:durableId="1465153541">
    <w:abstractNumId w:val="26"/>
  </w:num>
  <w:num w:numId="18" w16cid:durableId="1663894563">
    <w:abstractNumId w:val="31"/>
  </w:num>
  <w:num w:numId="19" w16cid:durableId="1369839636">
    <w:abstractNumId w:val="2"/>
  </w:num>
  <w:num w:numId="20" w16cid:durableId="169685795">
    <w:abstractNumId w:val="16"/>
  </w:num>
  <w:num w:numId="21" w16cid:durableId="622809815">
    <w:abstractNumId w:val="32"/>
  </w:num>
  <w:num w:numId="22" w16cid:durableId="324403698">
    <w:abstractNumId w:val="76"/>
  </w:num>
  <w:num w:numId="23" w16cid:durableId="110756815">
    <w:abstractNumId w:val="43"/>
  </w:num>
  <w:num w:numId="24" w16cid:durableId="518391974">
    <w:abstractNumId w:val="25"/>
  </w:num>
  <w:num w:numId="25" w16cid:durableId="1076242570">
    <w:abstractNumId w:val="21"/>
  </w:num>
  <w:num w:numId="26" w16cid:durableId="200216360">
    <w:abstractNumId w:val="45"/>
  </w:num>
  <w:num w:numId="27" w16cid:durableId="818424772">
    <w:abstractNumId w:val="11"/>
  </w:num>
  <w:num w:numId="28" w16cid:durableId="22825770">
    <w:abstractNumId w:val="39"/>
  </w:num>
  <w:num w:numId="29" w16cid:durableId="417211803">
    <w:abstractNumId w:val="15"/>
  </w:num>
  <w:num w:numId="30" w16cid:durableId="1122847702">
    <w:abstractNumId w:val="64"/>
  </w:num>
  <w:num w:numId="31" w16cid:durableId="1792358078">
    <w:abstractNumId w:val="70"/>
  </w:num>
  <w:num w:numId="32" w16cid:durableId="189687287">
    <w:abstractNumId w:val="35"/>
  </w:num>
  <w:num w:numId="33" w16cid:durableId="1137449770">
    <w:abstractNumId w:val="69"/>
  </w:num>
  <w:num w:numId="34" w16cid:durableId="1215386054">
    <w:abstractNumId w:val="3"/>
  </w:num>
  <w:num w:numId="35" w16cid:durableId="538670770">
    <w:abstractNumId w:val="12"/>
  </w:num>
  <w:num w:numId="36" w16cid:durableId="2015112486">
    <w:abstractNumId w:val="37"/>
  </w:num>
  <w:num w:numId="37" w16cid:durableId="503471518">
    <w:abstractNumId w:val="23"/>
  </w:num>
  <w:num w:numId="38" w16cid:durableId="1302148767">
    <w:abstractNumId w:val="17"/>
  </w:num>
  <w:num w:numId="39" w16cid:durableId="1535926654">
    <w:abstractNumId w:val="49"/>
  </w:num>
  <w:num w:numId="40" w16cid:durableId="1989551937">
    <w:abstractNumId w:val="29"/>
  </w:num>
  <w:num w:numId="41" w16cid:durableId="1811746695">
    <w:abstractNumId w:val="34"/>
  </w:num>
  <w:num w:numId="42" w16cid:durableId="592906707">
    <w:abstractNumId w:val="55"/>
  </w:num>
  <w:num w:numId="43" w16cid:durableId="266352301">
    <w:abstractNumId w:val="84"/>
  </w:num>
  <w:num w:numId="44" w16cid:durableId="251545337">
    <w:abstractNumId w:val="61"/>
  </w:num>
  <w:num w:numId="45" w16cid:durableId="258487053">
    <w:abstractNumId w:val="63"/>
  </w:num>
  <w:num w:numId="46" w16cid:durableId="602421420">
    <w:abstractNumId w:val="88"/>
  </w:num>
  <w:num w:numId="47" w16cid:durableId="1895582103">
    <w:abstractNumId w:val="81"/>
  </w:num>
  <w:num w:numId="48" w16cid:durableId="1249390381">
    <w:abstractNumId w:val="10"/>
  </w:num>
  <w:num w:numId="49" w16cid:durableId="903443330">
    <w:abstractNumId w:val="18"/>
  </w:num>
  <w:num w:numId="50" w16cid:durableId="940526419">
    <w:abstractNumId w:val="48"/>
  </w:num>
  <w:num w:numId="51" w16cid:durableId="1279145970">
    <w:abstractNumId w:val="65"/>
  </w:num>
  <w:num w:numId="52" w16cid:durableId="870528895">
    <w:abstractNumId w:val="86"/>
  </w:num>
  <w:num w:numId="53" w16cid:durableId="7685654">
    <w:abstractNumId w:val="58"/>
  </w:num>
  <w:num w:numId="54" w16cid:durableId="1846165615">
    <w:abstractNumId w:val="51"/>
  </w:num>
  <w:num w:numId="55" w16cid:durableId="577254726">
    <w:abstractNumId w:val="53"/>
  </w:num>
  <w:num w:numId="56" w16cid:durableId="245461385">
    <w:abstractNumId w:val="74"/>
  </w:num>
  <w:num w:numId="57" w16cid:durableId="615870045">
    <w:abstractNumId w:val="56"/>
  </w:num>
  <w:num w:numId="58" w16cid:durableId="741175916">
    <w:abstractNumId w:val="77"/>
  </w:num>
  <w:num w:numId="59" w16cid:durableId="1533029521">
    <w:abstractNumId w:val="7"/>
  </w:num>
  <w:num w:numId="60" w16cid:durableId="1231767004">
    <w:abstractNumId w:val="87"/>
  </w:num>
  <w:num w:numId="61" w16cid:durableId="1501696963">
    <w:abstractNumId w:val="41"/>
  </w:num>
  <w:num w:numId="62" w16cid:durableId="94835634">
    <w:abstractNumId w:val="46"/>
  </w:num>
  <w:num w:numId="63" w16cid:durableId="1860851058">
    <w:abstractNumId w:val="78"/>
  </w:num>
  <w:num w:numId="64" w16cid:durableId="691102870">
    <w:abstractNumId w:val="54"/>
  </w:num>
  <w:num w:numId="65" w16cid:durableId="117724517">
    <w:abstractNumId w:val="62"/>
  </w:num>
  <w:num w:numId="66" w16cid:durableId="4552976">
    <w:abstractNumId w:val="22"/>
  </w:num>
  <w:num w:numId="67" w16cid:durableId="18513266">
    <w:abstractNumId w:val="50"/>
  </w:num>
  <w:num w:numId="68" w16cid:durableId="268897674">
    <w:abstractNumId w:val="0"/>
  </w:num>
  <w:num w:numId="69" w16cid:durableId="1503811114">
    <w:abstractNumId w:val="14"/>
  </w:num>
  <w:num w:numId="70" w16cid:durableId="1421877628">
    <w:abstractNumId w:val="1"/>
  </w:num>
  <w:num w:numId="71" w16cid:durableId="1051882339">
    <w:abstractNumId w:val="60"/>
  </w:num>
  <w:num w:numId="72" w16cid:durableId="634062138">
    <w:abstractNumId w:val="9"/>
  </w:num>
  <w:num w:numId="73" w16cid:durableId="542325044">
    <w:abstractNumId w:val="30"/>
  </w:num>
  <w:num w:numId="74" w16cid:durableId="1608737421">
    <w:abstractNumId w:val="38"/>
  </w:num>
  <w:num w:numId="75" w16cid:durableId="2063601505">
    <w:abstractNumId w:val="80"/>
  </w:num>
  <w:num w:numId="76" w16cid:durableId="2144035060">
    <w:abstractNumId w:val="68"/>
  </w:num>
  <w:num w:numId="77" w16cid:durableId="815611599">
    <w:abstractNumId w:val="28"/>
  </w:num>
  <w:num w:numId="78" w16cid:durableId="793058164">
    <w:abstractNumId w:val="20"/>
  </w:num>
  <w:num w:numId="79" w16cid:durableId="1895315905">
    <w:abstractNumId w:val="85"/>
  </w:num>
  <w:num w:numId="80" w16cid:durableId="688724722">
    <w:abstractNumId w:val="27"/>
  </w:num>
  <w:num w:numId="81" w16cid:durableId="907303562">
    <w:abstractNumId w:val="57"/>
  </w:num>
  <w:num w:numId="82" w16cid:durableId="1293516272">
    <w:abstractNumId w:val="36"/>
  </w:num>
  <w:num w:numId="83" w16cid:durableId="528226815">
    <w:abstractNumId w:val="40"/>
  </w:num>
  <w:num w:numId="84" w16cid:durableId="19399866">
    <w:abstractNumId w:val="4"/>
  </w:num>
  <w:num w:numId="85" w16cid:durableId="1668434463">
    <w:abstractNumId w:val="24"/>
  </w:num>
  <w:num w:numId="86" w16cid:durableId="610237316">
    <w:abstractNumId w:val="47"/>
  </w:num>
  <w:num w:numId="87" w16cid:durableId="1382510228">
    <w:abstractNumId w:val="42"/>
  </w:num>
  <w:num w:numId="88" w16cid:durableId="1765147661">
    <w:abstractNumId w:val="33"/>
  </w:num>
  <w:num w:numId="89" w16cid:durableId="1619339648">
    <w:abstractNumId w:val="6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20D9C"/>
    <w:rsid w:val="00044810"/>
    <w:rsid w:val="00061969"/>
    <w:rsid w:val="0007347E"/>
    <w:rsid w:val="00087972"/>
    <w:rsid w:val="00092682"/>
    <w:rsid w:val="00096E9E"/>
    <w:rsid w:val="000E284B"/>
    <w:rsid w:val="00103C86"/>
    <w:rsid w:val="001077A7"/>
    <w:rsid w:val="00144A90"/>
    <w:rsid w:val="00154162"/>
    <w:rsid w:val="00185354"/>
    <w:rsid w:val="00193583"/>
    <w:rsid w:val="001A19A9"/>
    <w:rsid w:val="001A7984"/>
    <w:rsid w:val="001E2EA3"/>
    <w:rsid w:val="001E4573"/>
    <w:rsid w:val="00206A93"/>
    <w:rsid w:val="002310D5"/>
    <w:rsid w:val="0023335B"/>
    <w:rsid w:val="002477BC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F4071"/>
    <w:rsid w:val="004046E2"/>
    <w:rsid w:val="00453FEB"/>
    <w:rsid w:val="00454C25"/>
    <w:rsid w:val="004617E8"/>
    <w:rsid w:val="00463C25"/>
    <w:rsid w:val="004A34AE"/>
    <w:rsid w:val="004A562E"/>
    <w:rsid w:val="004C5AE2"/>
    <w:rsid w:val="00515A22"/>
    <w:rsid w:val="00561566"/>
    <w:rsid w:val="00574E6C"/>
    <w:rsid w:val="005D67CE"/>
    <w:rsid w:val="00645549"/>
    <w:rsid w:val="00687435"/>
    <w:rsid w:val="006F041B"/>
    <w:rsid w:val="0070191D"/>
    <w:rsid w:val="00720851"/>
    <w:rsid w:val="00731B03"/>
    <w:rsid w:val="007765B7"/>
    <w:rsid w:val="00785430"/>
    <w:rsid w:val="007B4AD9"/>
    <w:rsid w:val="007F3499"/>
    <w:rsid w:val="00805C10"/>
    <w:rsid w:val="008130DA"/>
    <w:rsid w:val="00826133"/>
    <w:rsid w:val="00845CB3"/>
    <w:rsid w:val="008675CA"/>
    <w:rsid w:val="008C4FD5"/>
    <w:rsid w:val="008D2705"/>
    <w:rsid w:val="00930D14"/>
    <w:rsid w:val="009318AF"/>
    <w:rsid w:val="00957E1F"/>
    <w:rsid w:val="00986DE2"/>
    <w:rsid w:val="00991965"/>
    <w:rsid w:val="009C2E02"/>
    <w:rsid w:val="009C5F77"/>
    <w:rsid w:val="009D2EF1"/>
    <w:rsid w:val="009F0195"/>
    <w:rsid w:val="009F0CCD"/>
    <w:rsid w:val="00A05359"/>
    <w:rsid w:val="00A07789"/>
    <w:rsid w:val="00A73EFE"/>
    <w:rsid w:val="00A74D62"/>
    <w:rsid w:val="00A86E98"/>
    <w:rsid w:val="00A9244E"/>
    <w:rsid w:val="00AC4D67"/>
    <w:rsid w:val="00AD4479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D2CC2"/>
    <w:rsid w:val="00BF2355"/>
    <w:rsid w:val="00C216BA"/>
    <w:rsid w:val="00C633C5"/>
    <w:rsid w:val="00C64006"/>
    <w:rsid w:val="00CB062B"/>
    <w:rsid w:val="00CC3D10"/>
    <w:rsid w:val="00CC56CF"/>
    <w:rsid w:val="00D051C6"/>
    <w:rsid w:val="00D06CBA"/>
    <w:rsid w:val="00D11EF8"/>
    <w:rsid w:val="00D14CB7"/>
    <w:rsid w:val="00D3153E"/>
    <w:rsid w:val="00D61801"/>
    <w:rsid w:val="00D8327C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516DD"/>
    <w:rsid w:val="00F84ECB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styleId="UnresolvedMention">
    <w:name w:val="Unresolved Mention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re.pilavi@arsimi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Nadire Pilavi</cp:lastModifiedBy>
  <cp:revision>10</cp:revision>
  <cp:lastPrinted>2024-03-26T12:02:00Z</cp:lastPrinted>
  <dcterms:created xsi:type="dcterms:W3CDTF">2024-03-26T11:59:00Z</dcterms:created>
  <dcterms:modified xsi:type="dcterms:W3CDTF">2025-08-04T11:50:00Z</dcterms:modified>
</cp:coreProperties>
</file>