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29A92" w14:textId="77777777" w:rsidR="00E250C3" w:rsidRDefault="00E250C3" w:rsidP="00E250C3">
      <w:pPr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bidi="en-GB"/>
        </w:rPr>
      </w:pPr>
    </w:p>
    <w:p w14:paraId="64B79F46" w14:textId="77777777" w:rsidR="002C68EC" w:rsidRDefault="0044587B" w:rsidP="00E250C3">
      <w:pPr>
        <w:contextualSpacing/>
        <w:jc w:val="center"/>
        <w:rPr>
          <w:rFonts w:ascii="Times New Roman" w:hAnsi="Times New Roman"/>
          <w:b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  <w:lang w:bidi="en-GB"/>
        </w:rPr>
        <w:t>Raport individual për rezultatin e konsultimit publik për</w:t>
      </w:r>
      <w:r w:rsidRPr="00E250C3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4F476A" w:rsidRPr="00E250C3">
        <w:rPr>
          <w:rFonts w:ascii="Times New Roman" w:hAnsi="Times New Roman"/>
          <w:b/>
          <w:iCs/>
          <w:sz w:val="26"/>
          <w:szCs w:val="26"/>
        </w:rPr>
        <w:t>p</w:t>
      </w:r>
      <w:r w:rsidRPr="00E250C3">
        <w:rPr>
          <w:rFonts w:ascii="Times New Roman" w:hAnsi="Times New Roman"/>
          <w:b/>
          <w:iCs/>
          <w:sz w:val="26"/>
          <w:szCs w:val="26"/>
        </w:rPr>
        <w:t>rojekt</w:t>
      </w:r>
      <w:r w:rsidR="000817AC" w:rsidRPr="00E250C3">
        <w:rPr>
          <w:rFonts w:ascii="Times New Roman" w:hAnsi="Times New Roman"/>
          <w:b/>
          <w:iCs/>
          <w:sz w:val="26"/>
          <w:szCs w:val="26"/>
        </w:rPr>
        <w:t>vendimin</w:t>
      </w:r>
      <w:r w:rsidR="008037EB" w:rsidRPr="00E250C3"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14:paraId="7C25372A" w14:textId="7366358A" w:rsidR="005B6D2B" w:rsidRPr="00E250C3" w:rsidRDefault="00AF0696" w:rsidP="00E250C3">
      <w:pPr>
        <w:contextualSpacing/>
        <w:jc w:val="center"/>
        <w:rPr>
          <w:rFonts w:ascii="Times New Roman" w:hAnsi="Times New Roman"/>
          <w:b/>
          <w:iCs/>
          <w:sz w:val="26"/>
          <w:szCs w:val="26"/>
        </w:rPr>
      </w:pPr>
      <w:r w:rsidRPr="00E250C3">
        <w:rPr>
          <w:rFonts w:ascii="Times New Roman" w:hAnsi="Times New Roman"/>
          <w:b/>
          <w:iCs/>
          <w:sz w:val="26"/>
          <w:szCs w:val="26"/>
        </w:rPr>
        <w:t>“Për miratimin e Planit të Veprimit të Agjendës Digjitale për Arsimin 2025-2030 duke përfshirë standardet për arritjen e kompetencës digjitale</w:t>
      </w:r>
      <w:r w:rsidR="008D1854" w:rsidRPr="00E250C3">
        <w:rPr>
          <w:rFonts w:ascii="Times New Roman" w:hAnsi="Times New Roman"/>
          <w:b/>
          <w:iCs/>
          <w:sz w:val="26"/>
          <w:szCs w:val="26"/>
        </w:rPr>
        <w:t>”</w:t>
      </w:r>
    </w:p>
    <w:p w14:paraId="0B7C4EE4" w14:textId="77777777" w:rsidR="008D1854" w:rsidRPr="00E250C3" w:rsidRDefault="008D1854" w:rsidP="00E250C3">
      <w:pPr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49A2F3C9" w14:textId="4DC2335A" w:rsidR="0044587B" w:rsidRPr="00E250C3" w:rsidRDefault="005B6D2B" w:rsidP="00E250C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</w:rPr>
        <w:t xml:space="preserve">Titulli i </w:t>
      </w:r>
      <w:r w:rsidR="0044587B" w:rsidRPr="00E250C3">
        <w:rPr>
          <w:rFonts w:ascii="Times New Roman" w:hAnsi="Times New Roman"/>
          <w:b/>
          <w:bCs/>
          <w:iCs/>
          <w:sz w:val="26"/>
          <w:szCs w:val="26"/>
        </w:rPr>
        <w:t>projekt</w:t>
      </w:r>
      <w:r w:rsidR="000817AC" w:rsidRPr="00E250C3">
        <w:rPr>
          <w:rFonts w:ascii="Times New Roman" w:hAnsi="Times New Roman"/>
          <w:b/>
          <w:bCs/>
          <w:iCs/>
          <w:sz w:val="26"/>
          <w:szCs w:val="26"/>
        </w:rPr>
        <w:t>vendimit</w:t>
      </w:r>
    </w:p>
    <w:p w14:paraId="0B6F51C5" w14:textId="10DB7E18" w:rsidR="00A121AB" w:rsidRPr="00E250C3" w:rsidRDefault="0044587B" w:rsidP="00E250C3">
      <w:pPr>
        <w:pStyle w:val="Default"/>
        <w:ind w:left="360"/>
        <w:contextualSpacing/>
        <w:rPr>
          <w:iCs/>
          <w:sz w:val="26"/>
          <w:szCs w:val="26"/>
        </w:rPr>
      </w:pPr>
      <w:r w:rsidRPr="00E250C3">
        <w:rPr>
          <w:iCs/>
          <w:sz w:val="26"/>
          <w:szCs w:val="26"/>
        </w:rPr>
        <w:t>Projekt</w:t>
      </w:r>
      <w:r w:rsidR="00AE2F8F" w:rsidRPr="00E250C3">
        <w:rPr>
          <w:iCs/>
          <w:sz w:val="26"/>
          <w:szCs w:val="26"/>
        </w:rPr>
        <w:t>vendim</w:t>
      </w:r>
      <w:r w:rsidRPr="00E250C3">
        <w:rPr>
          <w:iCs/>
          <w:sz w:val="26"/>
          <w:szCs w:val="26"/>
        </w:rPr>
        <w:t xml:space="preserve"> </w:t>
      </w:r>
      <w:r w:rsidR="00AE2F8F" w:rsidRPr="00E250C3">
        <w:rPr>
          <w:iCs/>
          <w:sz w:val="26"/>
          <w:szCs w:val="26"/>
        </w:rPr>
        <w:t>“Për miratimin e Planit të Veprimit të Agjendës Digjitale për Arsimin 2025-2030 duke përfshirë standardet për arritjen e kompetencës digjitale</w:t>
      </w:r>
      <w:r w:rsidR="008D1854" w:rsidRPr="00E250C3">
        <w:rPr>
          <w:iCs/>
          <w:sz w:val="26"/>
          <w:szCs w:val="26"/>
        </w:rPr>
        <w:t>”.</w:t>
      </w:r>
    </w:p>
    <w:p w14:paraId="48A0ADAF" w14:textId="77777777" w:rsidR="00756925" w:rsidRPr="00E250C3" w:rsidRDefault="00756925" w:rsidP="00E250C3">
      <w:pPr>
        <w:pStyle w:val="Default"/>
        <w:ind w:left="360"/>
        <w:contextualSpacing/>
        <w:rPr>
          <w:iCs/>
          <w:sz w:val="26"/>
          <w:szCs w:val="26"/>
        </w:rPr>
      </w:pPr>
    </w:p>
    <w:p w14:paraId="2C63EF5D" w14:textId="7C1F376B" w:rsidR="00A455AC" w:rsidRPr="00E64E84" w:rsidRDefault="005B6D2B" w:rsidP="00E250C3">
      <w:pPr>
        <w:pStyle w:val="ListParagraph"/>
        <w:numPr>
          <w:ilvl w:val="0"/>
          <w:numId w:val="1"/>
        </w:numPr>
        <w:ind w:left="360"/>
        <w:contextualSpacing/>
        <w:jc w:val="both"/>
        <w:rPr>
          <w:rFonts w:ascii="Times New Roman" w:hAnsi="Times New Roman"/>
          <w:b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</w:rPr>
        <w:t>Kohëzgjatja e konsultimeve</w:t>
      </w:r>
    </w:p>
    <w:p w14:paraId="2CDD3753" w14:textId="62AE1EFB" w:rsidR="00E64E84" w:rsidRPr="00E64E84" w:rsidRDefault="00E64E84" w:rsidP="00E250C3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E64E84">
        <w:rPr>
          <w:rFonts w:ascii="Times New Roman" w:hAnsi="Times New Roman"/>
          <w:i/>
          <w:iCs/>
          <w:sz w:val="26"/>
          <w:szCs w:val="26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13349D" w14:textId="461D27C1" w:rsidR="008037EB" w:rsidRPr="00E64E84" w:rsidRDefault="008825EB" w:rsidP="00E250C3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E64E84">
        <w:rPr>
          <w:rFonts w:ascii="Times New Roman" w:hAnsi="Times New Roman"/>
          <w:i/>
          <w:iCs/>
          <w:sz w:val="26"/>
          <w:szCs w:val="26"/>
        </w:rPr>
        <w:t>Konsultimi në Regjistrin Elektronik të Njoftimeve dhe Konsultimeve Publike u realizua në përputhje me përcaktimet në nenin 15 të ligjit “Për Njoftimin dhe Konsultimin Publik”.</w:t>
      </w:r>
    </w:p>
    <w:p w14:paraId="685BB3C0" w14:textId="77777777" w:rsidR="00E250C3" w:rsidRPr="00E250C3" w:rsidRDefault="00E250C3" w:rsidP="00E250C3">
      <w:pPr>
        <w:ind w:left="360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0A4DD9B1" w14:textId="66001488" w:rsidR="008037EB" w:rsidRPr="00E250C3" w:rsidRDefault="008037EB" w:rsidP="00E250C3">
      <w:pPr>
        <w:ind w:left="360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>Dokumenti u publikua në RENJK në adresën “konsultimipublik.gov.al”,</w:t>
      </w:r>
      <w:r w:rsidR="002D2596" w:rsidRPr="00E250C3">
        <w:rPr>
          <w:rFonts w:ascii="Times New Roman" w:hAnsi="Times New Roman"/>
          <w:iCs/>
          <w:sz w:val="26"/>
          <w:szCs w:val="26"/>
        </w:rPr>
        <w:t xml:space="preserve"> </w:t>
      </w:r>
      <w:r w:rsidR="00B229C9" w:rsidRPr="00E250C3">
        <w:rPr>
          <w:rFonts w:ascii="Times New Roman" w:hAnsi="Times New Roman"/>
          <w:iCs/>
          <w:sz w:val="26"/>
          <w:szCs w:val="26"/>
        </w:rPr>
        <w:t xml:space="preserve">në datën </w:t>
      </w:r>
      <w:r w:rsidR="003D74ED" w:rsidRPr="00E250C3">
        <w:rPr>
          <w:rFonts w:ascii="Times New Roman" w:hAnsi="Times New Roman"/>
          <w:iCs/>
          <w:sz w:val="26"/>
          <w:szCs w:val="26"/>
        </w:rPr>
        <w:t>4</w:t>
      </w:r>
      <w:r w:rsidR="00B229C9" w:rsidRPr="00E250C3">
        <w:rPr>
          <w:rFonts w:ascii="Times New Roman" w:hAnsi="Times New Roman"/>
          <w:iCs/>
          <w:sz w:val="26"/>
          <w:szCs w:val="26"/>
        </w:rPr>
        <w:t>.</w:t>
      </w:r>
      <w:r w:rsidR="003D74ED" w:rsidRPr="00E250C3">
        <w:rPr>
          <w:rFonts w:ascii="Times New Roman" w:hAnsi="Times New Roman"/>
          <w:iCs/>
          <w:sz w:val="26"/>
          <w:szCs w:val="26"/>
        </w:rPr>
        <w:t>8</w:t>
      </w:r>
      <w:r w:rsidRPr="00E250C3">
        <w:rPr>
          <w:rFonts w:ascii="Times New Roman" w:hAnsi="Times New Roman"/>
          <w:iCs/>
          <w:sz w:val="26"/>
          <w:szCs w:val="26"/>
        </w:rPr>
        <w:t>.202</w:t>
      </w:r>
      <w:r w:rsidR="003D74ED" w:rsidRPr="00E250C3">
        <w:rPr>
          <w:rFonts w:ascii="Times New Roman" w:hAnsi="Times New Roman"/>
          <w:iCs/>
          <w:sz w:val="26"/>
          <w:szCs w:val="26"/>
        </w:rPr>
        <w:t>5</w:t>
      </w:r>
      <w:r w:rsidRPr="00E250C3">
        <w:rPr>
          <w:rFonts w:ascii="Times New Roman" w:hAnsi="Times New Roman"/>
          <w:iCs/>
          <w:sz w:val="26"/>
          <w:szCs w:val="26"/>
        </w:rPr>
        <w:t xml:space="preserve"> për marrjen e komenteve dhe rekomandimeve nga qytetarët dhe shoqëria civile,</w:t>
      </w:r>
      <w:r w:rsidR="00E250C3">
        <w:rPr>
          <w:rFonts w:ascii="Times New Roman" w:hAnsi="Times New Roman"/>
          <w:iCs/>
          <w:sz w:val="26"/>
          <w:szCs w:val="26"/>
        </w:rPr>
        <w:t xml:space="preserve"> </w:t>
      </w:r>
      <w:r w:rsidRPr="00E250C3">
        <w:rPr>
          <w:rFonts w:ascii="Times New Roman" w:hAnsi="Times New Roman"/>
          <w:iCs/>
          <w:sz w:val="26"/>
          <w:szCs w:val="26"/>
        </w:rPr>
        <w:t xml:space="preserve">deri në datën </w:t>
      </w:r>
      <w:r w:rsidR="003D74ED" w:rsidRPr="00E250C3">
        <w:rPr>
          <w:rFonts w:ascii="Times New Roman" w:hAnsi="Times New Roman"/>
          <w:iCs/>
          <w:sz w:val="26"/>
          <w:szCs w:val="26"/>
        </w:rPr>
        <w:t>1</w:t>
      </w:r>
      <w:r w:rsidR="00B229C9" w:rsidRPr="00E250C3">
        <w:rPr>
          <w:rFonts w:ascii="Times New Roman" w:hAnsi="Times New Roman"/>
          <w:iCs/>
          <w:sz w:val="26"/>
          <w:szCs w:val="26"/>
        </w:rPr>
        <w:t>.</w:t>
      </w:r>
      <w:r w:rsidR="003D74ED" w:rsidRPr="00E250C3">
        <w:rPr>
          <w:rFonts w:ascii="Times New Roman" w:hAnsi="Times New Roman"/>
          <w:iCs/>
          <w:sz w:val="26"/>
          <w:szCs w:val="26"/>
        </w:rPr>
        <w:t>9</w:t>
      </w:r>
      <w:r w:rsidRPr="00E250C3">
        <w:rPr>
          <w:rFonts w:ascii="Times New Roman" w:hAnsi="Times New Roman"/>
          <w:iCs/>
          <w:sz w:val="26"/>
          <w:szCs w:val="26"/>
        </w:rPr>
        <w:t>.202</w:t>
      </w:r>
      <w:r w:rsidR="003D74ED" w:rsidRPr="00E250C3">
        <w:rPr>
          <w:rFonts w:ascii="Times New Roman" w:hAnsi="Times New Roman"/>
          <w:iCs/>
          <w:sz w:val="26"/>
          <w:szCs w:val="26"/>
        </w:rPr>
        <w:t>5</w:t>
      </w:r>
      <w:r w:rsidRPr="00E250C3">
        <w:rPr>
          <w:rFonts w:ascii="Times New Roman" w:hAnsi="Times New Roman"/>
          <w:iCs/>
          <w:sz w:val="26"/>
          <w:szCs w:val="26"/>
        </w:rPr>
        <w:t>, duke respektuar afatin prej 20 ditë pune</w:t>
      </w:r>
      <w:r w:rsidR="008D1854" w:rsidRPr="00E250C3">
        <w:rPr>
          <w:rFonts w:ascii="Times New Roman" w:hAnsi="Times New Roman"/>
          <w:iCs/>
          <w:sz w:val="26"/>
          <w:szCs w:val="26"/>
        </w:rPr>
        <w:t>.</w:t>
      </w:r>
    </w:p>
    <w:p w14:paraId="01401A78" w14:textId="77777777" w:rsidR="00756925" w:rsidRPr="00E250C3" w:rsidRDefault="00756925" w:rsidP="00E250C3">
      <w:pPr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38F772BA" w14:textId="16C06B1B" w:rsidR="007144AA" w:rsidRPr="00E250C3" w:rsidRDefault="005B6D2B" w:rsidP="00E250C3">
      <w:pPr>
        <w:pStyle w:val="ListParagraph"/>
        <w:numPr>
          <w:ilvl w:val="0"/>
          <w:numId w:val="1"/>
        </w:numPr>
        <w:ind w:left="360"/>
        <w:contextualSpacing/>
        <w:jc w:val="both"/>
        <w:rPr>
          <w:rFonts w:ascii="Times New Roman" w:hAnsi="Times New Roman"/>
          <w:b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</w:rPr>
        <w:t>Metoda e konsultimit</w:t>
      </w:r>
    </w:p>
    <w:p w14:paraId="512CB1D9" w14:textId="77777777" w:rsidR="000C793C" w:rsidRPr="000C793C" w:rsidRDefault="000C793C" w:rsidP="000C793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0C793C">
        <w:rPr>
          <w:rFonts w:ascii="Times New Roman" w:hAnsi="Times New Roman"/>
          <w:i/>
          <w:iCs/>
          <w:sz w:val="26"/>
          <w:szCs w:val="26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AAFC4D9" w14:textId="77777777" w:rsidR="000C793C" w:rsidRPr="000C793C" w:rsidRDefault="000C793C" w:rsidP="000C793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0C793C">
        <w:rPr>
          <w:rFonts w:ascii="Times New Roman" w:hAnsi="Times New Roman"/>
          <w:i/>
          <w:iCs/>
          <w:sz w:val="26"/>
          <w:szCs w:val="26"/>
        </w:rPr>
        <w:t>Shpjegoni se si u shpërnda informacioni mbi konsultimet e hapura, si u ftuan palët e interesuara të kontribuojnë.</w:t>
      </w:r>
    </w:p>
    <w:p w14:paraId="2DB096EF" w14:textId="041F8BB5" w:rsidR="000C793C" w:rsidRPr="000C793C" w:rsidRDefault="000C793C" w:rsidP="000C793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0C793C">
        <w:rPr>
          <w:rFonts w:ascii="Times New Roman" w:hAnsi="Times New Roman"/>
          <w:i/>
          <w:iCs/>
          <w:sz w:val="26"/>
          <w:szCs w:val="26"/>
        </w:rPr>
        <w:t>Përfshini gjithashtu aktivitete nga konsultimet paraprake nëse janë organizuar të tilla).</w:t>
      </w:r>
    </w:p>
    <w:p w14:paraId="493F4E2F" w14:textId="77777777" w:rsidR="000C793C" w:rsidRDefault="000C793C" w:rsidP="000C793C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682C557D" w14:textId="5B53B61B" w:rsidR="000A7179" w:rsidRDefault="00B002CF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 xml:space="preserve">Metodat e konsultimit të përdorura për </w:t>
      </w:r>
      <w:r w:rsidR="00AE2F8F" w:rsidRPr="00E250C3">
        <w:rPr>
          <w:rFonts w:ascii="Times New Roman" w:hAnsi="Times New Roman"/>
          <w:iCs/>
          <w:sz w:val="26"/>
          <w:szCs w:val="26"/>
        </w:rPr>
        <w:t>p</w:t>
      </w:r>
      <w:r w:rsidRPr="00E250C3">
        <w:rPr>
          <w:rFonts w:ascii="Times New Roman" w:hAnsi="Times New Roman"/>
          <w:iCs/>
          <w:sz w:val="26"/>
          <w:szCs w:val="26"/>
        </w:rPr>
        <w:t>rojekt</w:t>
      </w:r>
      <w:r w:rsidR="00AE2F8F" w:rsidRPr="00E250C3">
        <w:rPr>
          <w:rFonts w:ascii="Times New Roman" w:hAnsi="Times New Roman"/>
          <w:iCs/>
          <w:sz w:val="26"/>
          <w:szCs w:val="26"/>
        </w:rPr>
        <w:t>vendim</w:t>
      </w:r>
      <w:r w:rsidR="008037EB" w:rsidRPr="00E250C3">
        <w:rPr>
          <w:rFonts w:ascii="Times New Roman" w:hAnsi="Times New Roman"/>
          <w:iCs/>
          <w:sz w:val="26"/>
          <w:szCs w:val="26"/>
        </w:rPr>
        <w:t xml:space="preserve"> </w:t>
      </w:r>
      <w:r w:rsidR="00AE2F8F" w:rsidRPr="00E250C3">
        <w:rPr>
          <w:rFonts w:ascii="Times New Roman" w:hAnsi="Times New Roman"/>
          <w:iCs/>
          <w:sz w:val="26"/>
          <w:szCs w:val="26"/>
        </w:rPr>
        <w:t>“Për miratimin e Planit të Veprimit të Agjendës Digjitale për Arsimin 2025-2030 duke përfshirë standardet për arritjen e kompetencës digjitale</w:t>
      </w:r>
      <w:r w:rsidR="00AB1F27" w:rsidRPr="00E250C3">
        <w:rPr>
          <w:rFonts w:ascii="Times New Roman" w:hAnsi="Times New Roman"/>
          <w:iCs/>
          <w:sz w:val="26"/>
          <w:szCs w:val="26"/>
        </w:rPr>
        <w:t>”</w:t>
      </w:r>
      <w:r w:rsidRPr="00E250C3">
        <w:rPr>
          <w:rFonts w:ascii="Times New Roman" w:hAnsi="Times New Roman"/>
          <w:iCs/>
          <w:sz w:val="26"/>
          <w:szCs w:val="26"/>
        </w:rPr>
        <w:t>, janë si më poshtë vijon:</w:t>
      </w:r>
    </w:p>
    <w:p w14:paraId="47963428" w14:textId="77777777" w:rsidR="00E250C3" w:rsidRPr="00E250C3" w:rsidRDefault="00E250C3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3C0E3636" w14:textId="627D1856" w:rsidR="008037EB" w:rsidRPr="00E250C3" w:rsidRDefault="00B002CF" w:rsidP="00E250C3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b/>
          <w:iCs/>
          <w:sz w:val="26"/>
          <w:szCs w:val="26"/>
        </w:rPr>
        <w:t>Publikimi në Regjistrin Elektronik për Njoftimet dhe Konsultimet Publike</w:t>
      </w:r>
      <w:r w:rsidRPr="00E250C3">
        <w:rPr>
          <w:rFonts w:ascii="Times New Roman" w:hAnsi="Times New Roman"/>
          <w:iCs/>
          <w:sz w:val="26"/>
          <w:szCs w:val="26"/>
        </w:rPr>
        <w:t xml:space="preserve"> në </w:t>
      </w:r>
      <w:proofErr w:type="spellStart"/>
      <w:r w:rsidRPr="00E250C3">
        <w:rPr>
          <w:rFonts w:ascii="Times New Roman" w:hAnsi="Times New Roman"/>
          <w:iCs/>
          <w:sz w:val="26"/>
          <w:szCs w:val="26"/>
        </w:rPr>
        <w:t>link</w:t>
      </w:r>
      <w:proofErr w:type="spellEnd"/>
      <w:r w:rsidR="008037EB" w:rsidRPr="00E250C3">
        <w:rPr>
          <w:rFonts w:ascii="Times New Roman" w:hAnsi="Times New Roman"/>
          <w:iCs/>
          <w:sz w:val="26"/>
          <w:szCs w:val="26"/>
        </w:rPr>
        <w:t>-</w:t>
      </w:r>
      <w:r w:rsidRPr="00E250C3">
        <w:rPr>
          <w:rFonts w:ascii="Times New Roman" w:hAnsi="Times New Roman"/>
          <w:iCs/>
          <w:sz w:val="26"/>
          <w:szCs w:val="26"/>
        </w:rPr>
        <w:t>un</w:t>
      </w:r>
      <w:r w:rsidR="00C65933" w:rsidRPr="00E250C3">
        <w:rPr>
          <w:rFonts w:ascii="Times New Roman" w:hAnsi="Times New Roman"/>
          <w:iCs/>
          <w:sz w:val="26"/>
          <w:szCs w:val="26"/>
        </w:rPr>
        <w:t>:</w:t>
      </w:r>
    </w:p>
    <w:p w14:paraId="24AC9293" w14:textId="02FDE92A" w:rsidR="001A7452" w:rsidRDefault="00751979" w:rsidP="00E250C3">
      <w:pPr>
        <w:pStyle w:val="ListParagraph"/>
        <w:ind w:left="1004" w:firstLine="0"/>
        <w:contextualSpacing/>
        <w:jc w:val="both"/>
        <w:rPr>
          <w:rFonts w:ascii="Times New Roman" w:hAnsi="Times New Roman"/>
          <w:iCs/>
          <w:sz w:val="26"/>
          <w:szCs w:val="26"/>
        </w:rPr>
      </w:pPr>
      <w:hyperlink r:id="rId8" w:history="1">
        <w:r w:rsidR="008825EB" w:rsidRPr="00E250C3">
          <w:rPr>
            <w:rStyle w:val="Hyperlink"/>
            <w:rFonts w:ascii="Times New Roman" w:hAnsi="Times New Roman"/>
            <w:iCs/>
            <w:sz w:val="26"/>
            <w:szCs w:val="26"/>
          </w:rPr>
          <w:t>https://konsultimipublik.gov.al/Konsultime/Detaje/856</w:t>
        </w:r>
      </w:hyperlink>
      <w:bookmarkStart w:id="0" w:name="_Hlk164081204"/>
    </w:p>
    <w:p w14:paraId="61E6B02B" w14:textId="77777777" w:rsidR="00E250C3" w:rsidRPr="00E250C3" w:rsidRDefault="00E250C3" w:rsidP="00E250C3">
      <w:pPr>
        <w:pStyle w:val="ListParagraph"/>
        <w:ind w:left="1004" w:firstLine="0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bookmarkEnd w:id="0"/>
    <w:p w14:paraId="571B1810" w14:textId="69D268F4" w:rsidR="00B229C9" w:rsidRDefault="001A7452" w:rsidP="00E250C3">
      <w:pPr>
        <w:pStyle w:val="ListParagraph"/>
        <w:numPr>
          <w:ilvl w:val="0"/>
          <w:numId w:val="8"/>
        </w:numPr>
        <w:contextualSpacing/>
        <w:jc w:val="both"/>
        <w:rPr>
          <w:rFonts w:ascii="Times New Roman" w:hAnsi="Times New Roman"/>
          <w:b/>
          <w:iCs/>
          <w:sz w:val="26"/>
          <w:szCs w:val="26"/>
        </w:rPr>
      </w:pPr>
      <w:r w:rsidRPr="00E250C3">
        <w:rPr>
          <w:rFonts w:ascii="Times New Roman" w:hAnsi="Times New Roman"/>
          <w:b/>
          <w:iCs/>
          <w:sz w:val="26"/>
          <w:szCs w:val="26"/>
        </w:rPr>
        <w:t>Nëpërmjet adresës postare:</w:t>
      </w:r>
    </w:p>
    <w:p w14:paraId="4CBB2AC5" w14:textId="77777777" w:rsidR="00E250C3" w:rsidRPr="00E250C3" w:rsidRDefault="00E250C3" w:rsidP="00E250C3">
      <w:pPr>
        <w:pStyle w:val="ListParagraph"/>
        <w:ind w:left="1004" w:firstLine="0"/>
        <w:contextualSpacing/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0777CB0F" w14:textId="068A6D3E" w:rsidR="008825EB" w:rsidRDefault="00B229C9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>Adresa: “Rruga e Durrësit”, n</w:t>
      </w:r>
      <w:r w:rsidR="0017005B" w:rsidRPr="00E250C3">
        <w:rPr>
          <w:rFonts w:ascii="Times New Roman" w:hAnsi="Times New Roman"/>
          <w:iCs/>
          <w:sz w:val="26"/>
          <w:szCs w:val="26"/>
        </w:rPr>
        <w:t>r. 23, AL 1001, Tiranë.  E-</w:t>
      </w:r>
      <w:proofErr w:type="spellStart"/>
      <w:r w:rsidR="0017005B" w:rsidRPr="00E250C3">
        <w:rPr>
          <w:rFonts w:ascii="Times New Roman" w:hAnsi="Times New Roman"/>
          <w:iCs/>
          <w:sz w:val="26"/>
          <w:szCs w:val="26"/>
        </w:rPr>
        <w:t>mail</w:t>
      </w:r>
      <w:proofErr w:type="spellEnd"/>
      <w:r w:rsidR="008825EB" w:rsidRPr="00E250C3">
        <w:rPr>
          <w:rFonts w:ascii="Times New Roman" w:hAnsi="Times New Roman"/>
          <w:iCs/>
          <w:sz w:val="26"/>
          <w:szCs w:val="26"/>
        </w:rPr>
        <w:t>-i i koordinatorit të konsultimit publik në MAS</w:t>
      </w:r>
      <w:r w:rsidR="0017005B" w:rsidRPr="00E250C3">
        <w:rPr>
          <w:rFonts w:ascii="Times New Roman" w:hAnsi="Times New Roman"/>
          <w:iCs/>
          <w:sz w:val="26"/>
          <w:szCs w:val="26"/>
        </w:rPr>
        <w:t xml:space="preserve">: </w:t>
      </w:r>
      <w:r w:rsidR="003D74ED" w:rsidRPr="00E250C3">
        <w:rPr>
          <w:rFonts w:ascii="Times New Roman" w:hAnsi="Times New Roman"/>
          <w:iCs/>
          <w:sz w:val="26"/>
          <w:szCs w:val="26"/>
        </w:rPr>
        <w:t>nadire.pilavi</w:t>
      </w:r>
      <w:r w:rsidR="0017005B" w:rsidRPr="00E250C3">
        <w:rPr>
          <w:rFonts w:ascii="Times New Roman" w:hAnsi="Times New Roman"/>
          <w:iCs/>
          <w:sz w:val="26"/>
          <w:szCs w:val="26"/>
        </w:rPr>
        <w:t>@arsimi.gov.al.</w:t>
      </w:r>
    </w:p>
    <w:p w14:paraId="115F0D35" w14:textId="77777777" w:rsidR="00566C22" w:rsidRPr="00E250C3" w:rsidRDefault="00566C22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4DF00211" w14:textId="260ACD6E" w:rsidR="0017005B" w:rsidRPr="00E250C3" w:rsidRDefault="001A7452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 xml:space="preserve">Çdo palë e interesuar pati mundësinë të dërgojë në formë shkresore, në adresë të Ministrisë së </w:t>
      </w:r>
      <w:r w:rsidR="0017005B" w:rsidRPr="00E250C3">
        <w:rPr>
          <w:rFonts w:ascii="Times New Roman" w:hAnsi="Times New Roman"/>
          <w:iCs/>
          <w:sz w:val="26"/>
          <w:szCs w:val="26"/>
        </w:rPr>
        <w:t>Arsimit dhe Sportit</w:t>
      </w:r>
      <w:r w:rsidRPr="00E250C3">
        <w:rPr>
          <w:rFonts w:ascii="Times New Roman" w:hAnsi="Times New Roman"/>
          <w:iCs/>
          <w:sz w:val="26"/>
          <w:szCs w:val="26"/>
        </w:rPr>
        <w:t xml:space="preserve"> të gjitha komentet/sugjerimet m</w:t>
      </w:r>
      <w:r w:rsidR="00B229C9" w:rsidRPr="00E250C3">
        <w:rPr>
          <w:rFonts w:ascii="Times New Roman" w:hAnsi="Times New Roman"/>
          <w:iCs/>
          <w:sz w:val="26"/>
          <w:szCs w:val="26"/>
        </w:rPr>
        <w:t>bi përmbajtjen e projekt</w:t>
      </w:r>
      <w:r w:rsidR="003D74ED" w:rsidRPr="00E250C3">
        <w:rPr>
          <w:rFonts w:ascii="Times New Roman" w:hAnsi="Times New Roman"/>
          <w:iCs/>
          <w:sz w:val="26"/>
          <w:szCs w:val="26"/>
        </w:rPr>
        <w:t>vendimit</w:t>
      </w:r>
      <w:r w:rsidR="00B229C9" w:rsidRPr="00E250C3">
        <w:rPr>
          <w:rFonts w:ascii="Times New Roman" w:hAnsi="Times New Roman"/>
          <w:iCs/>
          <w:sz w:val="26"/>
          <w:szCs w:val="26"/>
        </w:rPr>
        <w:t>.</w:t>
      </w:r>
    </w:p>
    <w:p w14:paraId="3002DCE5" w14:textId="77777777" w:rsidR="0017005B" w:rsidRPr="00E250C3" w:rsidRDefault="0017005B" w:rsidP="00E250C3">
      <w:pPr>
        <w:ind w:left="-142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62F11C8B" w14:textId="77777777" w:rsidR="005B6D2B" w:rsidRPr="00E250C3" w:rsidRDefault="005B6D2B" w:rsidP="00E250C3">
      <w:pPr>
        <w:pStyle w:val="ListParagraph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</w:rPr>
        <w:t>Palët e interesit të përfshira</w:t>
      </w:r>
    </w:p>
    <w:p w14:paraId="629CA6D1" w14:textId="77777777" w:rsidR="007228DC" w:rsidRPr="007228DC" w:rsidRDefault="007228DC" w:rsidP="007228D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7228DC">
        <w:rPr>
          <w:rFonts w:ascii="Times New Roman" w:hAnsi="Times New Roman"/>
          <w:i/>
          <w:iCs/>
          <w:sz w:val="26"/>
          <w:szCs w:val="26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EB89424" w14:textId="77777777" w:rsidR="007228DC" w:rsidRPr="007228DC" w:rsidRDefault="007228DC" w:rsidP="007228D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7228DC">
        <w:rPr>
          <w:rFonts w:ascii="Times New Roman" w:hAnsi="Times New Roman"/>
          <w:i/>
          <w:iCs/>
          <w:sz w:val="26"/>
          <w:szCs w:val="26"/>
        </w:rPr>
        <w:t>Përmendni gjithashtu numrin dhe strukturën e palëve të interesuara që morën pjesë në takime publike ose seanca të organeve këshilluese.</w:t>
      </w:r>
    </w:p>
    <w:p w14:paraId="049F7548" w14:textId="77777777" w:rsidR="007228DC" w:rsidRPr="007228DC" w:rsidRDefault="007228DC" w:rsidP="007228DC">
      <w:pPr>
        <w:ind w:left="284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7228DC">
        <w:rPr>
          <w:rFonts w:ascii="Times New Roman" w:hAnsi="Times New Roman"/>
          <w:i/>
          <w:iCs/>
          <w:sz w:val="26"/>
          <w:szCs w:val="26"/>
        </w:rPr>
        <w:t>Specifikoni palët e interesuara që morën pjesë në grupin e punës për hartimin e aktit.</w:t>
      </w:r>
    </w:p>
    <w:p w14:paraId="15989579" w14:textId="77777777" w:rsidR="007228DC" w:rsidRDefault="007228DC" w:rsidP="007228DC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003881CB" w14:textId="746303E0" w:rsidR="006B1E58" w:rsidRDefault="0017005B" w:rsidP="007228DC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>Projekt</w:t>
      </w:r>
      <w:r w:rsidR="00AE2F8F" w:rsidRPr="00E250C3">
        <w:rPr>
          <w:rFonts w:ascii="Times New Roman" w:hAnsi="Times New Roman"/>
          <w:iCs/>
          <w:sz w:val="26"/>
          <w:szCs w:val="26"/>
        </w:rPr>
        <w:t>vendim</w:t>
      </w:r>
      <w:r w:rsidR="00566C22">
        <w:rPr>
          <w:rFonts w:ascii="Times New Roman" w:hAnsi="Times New Roman"/>
          <w:iCs/>
          <w:sz w:val="26"/>
          <w:szCs w:val="26"/>
        </w:rPr>
        <w:t>i</w:t>
      </w:r>
      <w:r w:rsidRPr="00E250C3">
        <w:rPr>
          <w:rFonts w:ascii="Times New Roman" w:hAnsi="Times New Roman"/>
          <w:iCs/>
          <w:sz w:val="26"/>
          <w:szCs w:val="26"/>
        </w:rPr>
        <w:t xml:space="preserve"> </w:t>
      </w:r>
      <w:r w:rsidR="008707AC" w:rsidRPr="00E250C3">
        <w:rPr>
          <w:rFonts w:ascii="Times New Roman" w:hAnsi="Times New Roman"/>
          <w:iCs/>
          <w:sz w:val="26"/>
          <w:szCs w:val="26"/>
        </w:rPr>
        <w:t>“</w:t>
      </w:r>
      <w:r w:rsidR="00AE2F8F" w:rsidRPr="00E250C3">
        <w:rPr>
          <w:rFonts w:ascii="Times New Roman" w:hAnsi="Times New Roman"/>
          <w:iCs/>
          <w:sz w:val="26"/>
          <w:szCs w:val="26"/>
        </w:rPr>
        <w:t>Për miratimin e Planit të Veprimit të Agjendës Digjitale për Arsimin 2025-2030 duke përfshirë standardet për arritjen e kompetencës digjitale</w:t>
      </w:r>
      <w:r w:rsidR="00D840DE" w:rsidRPr="00E250C3">
        <w:rPr>
          <w:rFonts w:ascii="Times New Roman" w:hAnsi="Times New Roman"/>
          <w:iCs/>
          <w:sz w:val="26"/>
          <w:szCs w:val="26"/>
        </w:rPr>
        <w:t xml:space="preserve">”, </w:t>
      </w:r>
      <w:r w:rsidRPr="00E250C3">
        <w:rPr>
          <w:rFonts w:ascii="Times New Roman" w:hAnsi="Times New Roman"/>
          <w:iCs/>
          <w:sz w:val="26"/>
          <w:szCs w:val="26"/>
        </w:rPr>
        <w:t xml:space="preserve">u publikua për konsultim në RENJK, </w:t>
      </w:r>
      <w:r w:rsidR="006B1E58" w:rsidRPr="00E250C3">
        <w:rPr>
          <w:rFonts w:ascii="Times New Roman" w:hAnsi="Times New Roman"/>
          <w:iCs/>
          <w:sz w:val="26"/>
          <w:szCs w:val="26"/>
        </w:rPr>
        <w:t>duke pritur</w:t>
      </w:r>
      <w:r w:rsidR="00E250C3">
        <w:rPr>
          <w:rFonts w:ascii="Times New Roman" w:hAnsi="Times New Roman"/>
          <w:iCs/>
          <w:sz w:val="26"/>
          <w:szCs w:val="26"/>
        </w:rPr>
        <w:t xml:space="preserve"> sugjerime për projektvendimin.</w:t>
      </w:r>
    </w:p>
    <w:p w14:paraId="635ADDC8" w14:textId="77777777" w:rsidR="00E250C3" w:rsidRPr="00E250C3" w:rsidRDefault="00E250C3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6C230344" w14:textId="132D1A7B" w:rsidR="00EA12B4" w:rsidRDefault="0017005B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E250C3">
        <w:rPr>
          <w:rFonts w:ascii="Times New Roman" w:hAnsi="Times New Roman"/>
          <w:iCs/>
          <w:sz w:val="26"/>
          <w:szCs w:val="26"/>
        </w:rPr>
        <w:t>Projekt</w:t>
      </w:r>
      <w:r w:rsidR="006B1E58" w:rsidRPr="00E250C3">
        <w:rPr>
          <w:rFonts w:ascii="Times New Roman" w:hAnsi="Times New Roman"/>
          <w:iCs/>
          <w:sz w:val="26"/>
          <w:szCs w:val="26"/>
        </w:rPr>
        <w:t>vendimi</w:t>
      </w:r>
      <w:r w:rsidRPr="00E250C3">
        <w:rPr>
          <w:rFonts w:ascii="Times New Roman" w:hAnsi="Times New Roman"/>
          <w:iCs/>
          <w:sz w:val="26"/>
          <w:szCs w:val="26"/>
        </w:rPr>
        <w:t xml:space="preserve"> është </w:t>
      </w:r>
      <w:r w:rsidR="00D20AF4" w:rsidRPr="00E250C3">
        <w:rPr>
          <w:rFonts w:ascii="Times New Roman" w:hAnsi="Times New Roman"/>
          <w:iCs/>
          <w:sz w:val="26"/>
          <w:szCs w:val="26"/>
        </w:rPr>
        <w:t>planifikuar</w:t>
      </w:r>
      <w:r w:rsidRPr="00E250C3">
        <w:rPr>
          <w:rFonts w:ascii="Times New Roman" w:hAnsi="Times New Roman"/>
          <w:iCs/>
          <w:sz w:val="26"/>
          <w:szCs w:val="26"/>
        </w:rPr>
        <w:t xml:space="preserve"> në PPAP 202</w:t>
      </w:r>
      <w:r w:rsidR="006B1E58" w:rsidRPr="00E250C3">
        <w:rPr>
          <w:rFonts w:ascii="Times New Roman" w:hAnsi="Times New Roman"/>
          <w:iCs/>
          <w:sz w:val="26"/>
          <w:szCs w:val="26"/>
        </w:rPr>
        <w:t>5</w:t>
      </w:r>
      <w:r w:rsidRPr="00E250C3">
        <w:rPr>
          <w:rFonts w:ascii="Times New Roman" w:hAnsi="Times New Roman"/>
          <w:iCs/>
          <w:sz w:val="26"/>
          <w:szCs w:val="26"/>
        </w:rPr>
        <w:t xml:space="preserve"> dhe planin </w:t>
      </w:r>
      <w:r w:rsidR="00E250C3">
        <w:rPr>
          <w:rFonts w:ascii="Times New Roman" w:hAnsi="Times New Roman"/>
          <w:iCs/>
          <w:sz w:val="26"/>
          <w:szCs w:val="26"/>
        </w:rPr>
        <w:t>vjetor t</w:t>
      </w:r>
      <w:r w:rsidR="008741EA">
        <w:rPr>
          <w:rFonts w:ascii="Times New Roman" w:hAnsi="Times New Roman"/>
          <w:iCs/>
          <w:sz w:val="26"/>
          <w:szCs w:val="26"/>
        </w:rPr>
        <w:t>ë</w:t>
      </w:r>
      <w:r w:rsidR="00E250C3">
        <w:rPr>
          <w:rFonts w:ascii="Times New Roman" w:hAnsi="Times New Roman"/>
          <w:iCs/>
          <w:sz w:val="26"/>
          <w:szCs w:val="26"/>
        </w:rPr>
        <w:t xml:space="preserve"> </w:t>
      </w:r>
      <w:r w:rsidRPr="00E250C3">
        <w:rPr>
          <w:rFonts w:ascii="Times New Roman" w:hAnsi="Times New Roman"/>
          <w:iCs/>
          <w:sz w:val="26"/>
          <w:szCs w:val="26"/>
        </w:rPr>
        <w:t>konsultimit publik për vitin 202</w:t>
      </w:r>
      <w:r w:rsidR="006B1E58" w:rsidRPr="00E250C3">
        <w:rPr>
          <w:rFonts w:ascii="Times New Roman" w:hAnsi="Times New Roman"/>
          <w:iCs/>
          <w:sz w:val="26"/>
          <w:szCs w:val="26"/>
        </w:rPr>
        <w:t>5</w:t>
      </w:r>
      <w:r w:rsidRPr="00E250C3">
        <w:rPr>
          <w:rFonts w:ascii="Times New Roman" w:hAnsi="Times New Roman"/>
          <w:iCs/>
          <w:sz w:val="26"/>
          <w:szCs w:val="26"/>
        </w:rPr>
        <w:t>.</w:t>
      </w:r>
    </w:p>
    <w:p w14:paraId="03A0B6EC" w14:textId="77777777" w:rsidR="00E250C3" w:rsidRPr="00E250C3" w:rsidRDefault="00E250C3" w:rsidP="00E250C3">
      <w:pPr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572F9FB2" w14:textId="616C18E9" w:rsidR="00566C22" w:rsidRPr="00E250C3" w:rsidRDefault="00566C22" w:rsidP="00566C22">
      <w:pPr>
        <w:tabs>
          <w:tab w:val="left" w:pos="7552"/>
        </w:tabs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Numri i shikimeve në RENJKP për këtë projekt ishte 415, por p</w:t>
      </w:r>
      <w:r w:rsidRPr="00E250C3">
        <w:rPr>
          <w:rFonts w:ascii="Times New Roman" w:hAnsi="Times New Roman"/>
          <w:iCs/>
          <w:sz w:val="26"/>
          <w:szCs w:val="26"/>
        </w:rPr>
        <w:t xml:space="preserve">rocesi i konsultimit </w:t>
      </w:r>
      <w:r w:rsidRPr="00E250C3">
        <w:rPr>
          <w:rFonts w:ascii="Times New Roman" w:hAnsi="Times New Roman"/>
          <w:iCs/>
          <w:sz w:val="26"/>
          <w:szCs w:val="26"/>
          <w:u w:val="single"/>
        </w:rPr>
        <w:t>nuk është shoqëruar me komente</w:t>
      </w:r>
      <w:r w:rsidRPr="00E250C3">
        <w:rPr>
          <w:rFonts w:ascii="Times New Roman" w:hAnsi="Times New Roman"/>
          <w:iCs/>
          <w:sz w:val="26"/>
          <w:szCs w:val="26"/>
        </w:rPr>
        <w:t xml:space="preserve"> pas publikimit në Regjistrin Elektronik për Njoftimet dhe Konsultimet Publike, por janë përcjellë sugjerime në rrugë elektronike nëpërmjet adresës së </w:t>
      </w:r>
      <w:proofErr w:type="spellStart"/>
      <w:r w:rsidRPr="00E250C3">
        <w:rPr>
          <w:rFonts w:ascii="Times New Roman" w:hAnsi="Times New Roman"/>
          <w:iCs/>
          <w:sz w:val="26"/>
          <w:szCs w:val="26"/>
        </w:rPr>
        <w:t>email</w:t>
      </w:r>
      <w:proofErr w:type="spellEnd"/>
      <w:r w:rsidRPr="00E250C3">
        <w:rPr>
          <w:rFonts w:ascii="Times New Roman" w:hAnsi="Times New Roman"/>
          <w:iCs/>
          <w:sz w:val="26"/>
          <w:szCs w:val="26"/>
        </w:rPr>
        <w:t>-it të koordinatorit të konsultimit publik në Mi</w:t>
      </w:r>
      <w:r>
        <w:rPr>
          <w:rFonts w:ascii="Times New Roman" w:hAnsi="Times New Roman"/>
          <w:iCs/>
          <w:sz w:val="26"/>
          <w:szCs w:val="26"/>
        </w:rPr>
        <w:t>nistrinë e Arsimit dhe Sportit.</w:t>
      </w:r>
    </w:p>
    <w:p w14:paraId="7188A1AC" w14:textId="776C7F7A" w:rsidR="008825EB" w:rsidRPr="00E250C3" w:rsidRDefault="008825EB" w:rsidP="00E250C3">
      <w:pPr>
        <w:tabs>
          <w:tab w:val="left" w:pos="7552"/>
        </w:tabs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</w:p>
    <w:p w14:paraId="5EBF2990" w14:textId="77777777" w:rsidR="008825EB" w:rsidRPr="00E250C3" w:rsidRDefault="008825EB" w:rsidP="00E250C3">
      <w:pPr>
        <w:pStyle w:val="ListParagraph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E250C3">
        <w:rPr>
          <w:rFonts w:ascii="Times New Roman" w:hAnsi="Times New Roman"/>
          <w:b/>
          <w:bCs/>
          <w:iCs/>
          <w:sz w:val="26"/>
          <w:szCs w:val="26"/>
        </w:rPr>
        <w:t>Pasqyra e komenteve të pranuara me arsyetimin e komenteve të pranuara/ refuzuara</w:t>
      </w:r>
    </w:p>
    <w:p w14:paraId="1FCDAA95" w14:textId="77777777" w:rsidR="000E6D15" w:rsidRDefault="000E6D15" w:rsidP="00E250C3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FC4659D" w14:textId="77777777" w:rsidR="000E6D15" w:rsidRPr="000E6D15" w:rsidRDefault="000E6D15" w:rsidP="00882DAC">
      <w:pPr>
        <w:ind w:firstLine="284"/>
        <w:contextualSpacing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0E6D15">
        <w:rPr>
          <w:rFonts w:ascii="Times New Roman" w:hAnsi="Times New Roman"/>
          <w:i/>
          <w:color w:val="000000" w:themeColor="text1"/>
          <w:sz w:val="26"/>
          <w:szCs w:val="26"/>
        </w:rPr>
        <w:t>Gruponi komentet/ propozimit e pranuara sipas çështjes që ato ngritën;</w:t>
      </w:r>
    </w:p>
    <w:p w14:paraId="5C7B22CE" w14:textId="77777777" w:rsidR="000E6D15" w:rsidRPr="000E6D15" w:rsidRDefault="000E6D15" w:rsidP="00882DAC">
      <w:pPr>
        <w:ind w:firstLine="284"/>
        <w:contextualSpacing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0E6D15">
        <w:rPr>
          <w:rFonts w:ascii="Times New Roman" w:hAnsi="Times New Roman"/>
          <w:i/>
          <w:color w:val="000000" w:themeColor="text1"/>
          <w:sz w:val="26"/>
          <w:szCs w:val="26"/>
        </w:rPr>
        <w:t>Gruponi komente të ngjashme së bashku dhe renditni palët e interesuara që i ngritën ato;</w:t>
      </w:r>
    </w:p>
    <w:p w14:paraId="3015E75A" w14:textId="7AF332E4" w:rsidR="000E6D15" w:rsidRPr="000E6D15" w:rsidRDefault="000E6D15" w:rsidP="00882DAC">
      <w:pPr>
        <w:ind w:firstLine="284"/>
        <w:contextualSpacing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0E6D15">
        <w:rPr>
          <w:rFonts w:ascii="Times New Roman" w:hAnsi="Times New Roman"/>
          <w:i/>
          <w:color w:val="000000" w:themeColor="text1"/>
          <w:sz w:val="26"/>
          <w:szCs w:val="26"/>
        </w:rPr>
        <w:t>Shpjegoni cili ishte vendimi i marrë dhe sqaroni shkurtimisht arsyet për të.</w:t>
      </w:r>
    </w:p>
    <w:p w14:paraId="5EF450E8" w14:textId="77777777" w:rsidR="000E6D15" w:rsidRDefault="000E6D15" w:rsidP="00E250C3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6AA680E" w14:textId="2598843E" w:rsidR="007204C1" w:rsidRPr="007228DC" w:rsidRDefault="008825EB" w:rsidP="00E250C3">
      <w:pPr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228DC">
        <w:rPr>
          <w:rFonts w:ascii="Times New Roman" w:hAnsi="Times New Roman"/>
          <w:color w:val="000000" w:themeColor="text1"/>
          <w:sz w:val="26"/>
          <w:szCs w:val="26"/>
        </w:rPr>
        <w:t>Nga konsultimi publik i kryer në Regjistrin elektronik në zbatim të ligjit nr. 146/2014 “Për njoftimin dhe konsultimin publik” nuk ka pasur komente apo propozime të caktuara mbi përmbajtjen e projekt</w:t>
      </w:r>
      <w:r w:rsidR="00AE2F8F" w:rsidRPr="007228DC">
        <w:rPr>
          <w:rFonts w:ascii="Times New Roman" w:hAnsi="Times New Roman"/>
          <w:color w:val="000000" w:themeColor="text1"/>
          <w:sz w:val="26"/>
          <w:szCs w:val="26"/>
        </w:rPr>
        <w:t>vendim</w:t>
      </w:r>
      <w:r w:rsidRPr="007228DC">
        <w:rPr>
          <w:rFonts w:ascii="Times New Roman" w:hAnsi="Times New Roman"/>
          <w:color w:val="000000" w:themeColor="text1"/>
          <w:sz w:val="26"/>
          <w:szCs w:val="26"/>
        </w:rPr>
        <w:t xml:space="preserve">. Komentet janë përcjellë </w:t>
      </w:r>
      <w:r w:rsidR="00AF0696" w:rsidRPr="007228DC">
        <w:rPr>
          <w:rFonts w:ascii="Times New Roman" w:hAnsi="Times New Roman"/>
          <w:color w:val="000000" w:themeColor="text1"/>
          <w:sz w:val="26"/>
          <w:szCs w:val="26"/>
        </w:rPr>
        <w:t xml:space="preserve">nëpërmjet adresës elektronike të koordinatorit të konsultimit publik në MAS. </w:t>
      </w:r>
    </w:p>
    <w:p w14:paraId="3266CCC2" w14:textId="0BF89624" w:rsidR="008825EB" w:rsidRPr="007228DC" w:rsidRDefault="008825EB" w:rsidP="00E250C3">
      <w:pPr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55"/>
        <w:gridCol w:w="2693"/>
        <w:gridCol w:w="2167"/>
        <w:gridCol w:w="3362"/>
      </w:tblGrid>
      <w:tr w:rsidR="008825EB" w:rsidRPr="00E250C3" w14:paraId="2420FAE6" w14:textId="77777777" w:rsidTr="001529BE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8FE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Çështja e  adresuar</w:t>
            </w:r>
          </w:p>
          <w:p w14:paraId="5DC7BBEF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250C3">
              <w:rPr>
                <w:rFonts w:ascii="Times New Roman" w:hAnsi="Times New Roman"/>
                <w:i/>
                <w:sz w:val="26"/>
                <w:szCs w:val="26"/>
              </w:rPr>
              <w:t>psh</w:t>
            </w:r>
            <w:proofErr w:type="spellEnd"/>
            <w:r w:rsidRPr="00E250C3">
              <w:rPr>
                <w:rFonts w:ascii="Times New Roman" w:hAnsi="Times New Roman"/>
                <w:i/>
                <w:sz w:val="26"/>
                <w:szCs w:val="26"/>
              </w:rPr>
              <w:t>. përkufizimi i ri i…, kushtet për regjistrimin e…, rregullimi i…, etj.)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A7D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Komenti</w:t>
            </w:r>
          </w:p>
          <w:p w14:paraId="51107F02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250C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4227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Palët e interesuara </w:t>
            </w:r>
            <w:r w:rsidRPr="00E250C3">
              <w:rPr>
                <w:rFonts w:ascii="Times New Roman" w:hAnsi="Times New Roman"/>
                <w:i/>
                <w:iCs/>
                <w:sz w:val="26"/>
                <w:szCs w:val="26"/>
              </w:rPr>
              <w:t>(renditni të gjithë ata që adresuan çështjen në mënyrë të ngjashme)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7E26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Vendimi (I pranuar/I pranuar pjesërisht/I refuzuar)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698C" w14:textId="77777777" w:rsidR="008825EB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Justifikimi</w:t>
            </w:r>
          </w:p>
        </w:tc>
      </w:tr>
      <w:tr w:rsidR="008825EB" w:rsidRPr="00E250C3" w14:paraId="5980D80A" w14:textId="77777777" w:rsidTr="001529B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7A2" w14:textId="589D45E7" w:rsidR="008825EB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Mbështetja me infrastrukture digjitale e mësuesve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906" w14:textId="5BF37F03" w:rsidR="00645670" w:rsidRPr="00E250C3" w:rsidRDefault="008825EB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Gjatë</w:t>
            </w:r>
            <w:r w:rsidR="007204C1" w:rsidRPr="00E250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5670" w:rsidRPr="00E250C3">
              <w:rPr>
                <w:rFonts w:ascii="Times New Roman" w:hAnsi="Times New Roman"/>
                <w:sz w:val="26"/>
                <w:szCs w:val="26"/>
              </w:rPr>
              <w:t>konsultimeve tona me prindër, mësues dhe drejtues të shkollave të Tiranës kemi konstatuar një nevojë të madhe për mbështetjen e mësimdhënies dhe teksteve mësimore me mjete didaktike audio-vizuale për ta bërë më të qartë për nxënësin konceptin e shpjeguar.</w:t>
            </w:r>
          </w:p>
          <w:p w14:paraId="754BB743" w14:textId="77777777" w:rsidR="00645670" w:rsidRPr="00E250C3" w:rsidRDefault="00645670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Bazuar në formatin aktual të mësimdhënies, në shumë prej lëndëve, nxënësit do të përfitonin shumë nëse do të mbështeteshin me infrastrukture digjitale në klasa.</w:t>
            </w:r>
          </w:p>
          <w:p w14:paraId="74C28E9B" w14:textId="77777777" w:rsidR="00645670" w:rsidRPr="00E250C3" w:rsidRDefault="00645670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Për të realizuar këtë mësuesi duhet të ketë në dispozicion binomin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personal + Tabelë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6E5C784" w14:textId="77777777" w:rsidR="00645670" w:rsidRPr="00E250C3" w:rsidRDefault="00645670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>Nga analiza jonë, nëse mungon njëri nga elementët në klasë, elementi digjital bëhet jo-praktik dhe i pa-zbatueshëm.</w:t>
            </w:r>
          </w:p>
          <w:p w14:paraId="182412DC" w14:textId="45697526" w:rsidR="00645670" w:rsidRPr="00E250C3" w:rsidRDefault="00645670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Çdo mësues duhet të ketë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laptopin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e vetë personal që të ketë mundësi të përgatisë mësimin dhe </w:t>
            </w:r>
            <w:r w:rsidR="007204C1" w:rsidRPr="00E250C3">
              <w:rPr>
                <w:rFonts w:ascii="Times New Roman" w:hAnsi="Times New Roman"/>
                <w:sz w:val="26"/>
                <w:szCs w:val="26"/>
              </w:rPr>
              <w:t>mbështetjen</w:t>
            </w:r>
            <w:r w:rsidRPr="00E250C3">
              <w:rPr>
                <w:rFonts w:ascii="Times New Roman" w:hAnsi="Times New Roman"/>
                <w:sz w:val="26"/>
                <w:szCs w:val="26"/>
              </w:rPr>
              <w:t xml:space="preserve"> digjitale. Njëkohësisht tabelat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duhet të jenë të instaluara dhe të gatshme për tu përdorur në çast në çdo klasë.</w:t>
            </w:r>
          </w:p>
          <w:p w14:paraId="6BFF1B8F" w14:textId="77777777" w:rsidR="008825EB" w:rsidRPr="00E250C3" w:rsidRDefault="00645670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Në shkollat ku mësuesit kanë pasur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akses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në një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dhe video-projektor të lëvizshëm kemi vënë re se përdorimi i video-projektorëve është jo-praktik dhe me kalimin e kohës çon në mos përdorimin e tyre.</w:t>
            </w:r>
          </w:p>
          <w:p w14:paraId="5CAA0895" w14:textId="77777777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Investimi në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mësuesit dhe tabela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në klasa duhet të bëhet i njëkohshëm. Investimet në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pa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board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apo ekran në klasa do të sillnin amortizimin e </w:t>
            </w: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>investimit me një përdorim minimal të tij.</w:t>
            </w:r>
          </w:p>
          <w:p w14:paraId="02182AF4" w14:textId="3F74878C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Këshilli i prindërve të Tiranës ka shqyrtuar me interes projektvendimin e propozuar nga Ministria e Arsimit dhe Sportit.</w:t>
            </w:r>
          </w:p>
          <w:p w14:paraId="7434788D" w14:textId="77777777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Për të rritur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impaktin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e këtij plani veprimi dhe për të përshpejtuar rritjen e cilësisë në arsim ne rekomandojmë si më poshtë:</w:t>
            </w:r>
          </w:p>
          <w:p w14:paraId="08AF393A" w14:textId="7480D31C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-Pajisjen e të gjithë mësuesve të shkollave 9-vjecare dhe të mesme me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duke filluar nga viti 2026.</w:t>
            </w:r>
          </w:p>
          <w:p w14:paraId="52A495D6" w14:textId="0D2FBD6E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-Pajisjen në të njëjtën kohë të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të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gjitha klasave të shkollave 9-vjecare dhe të mesme me Tabela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smartboard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>) duke filluar nga viti 2026. (Në planin e propozuar nga MAS ky investim është parashikuar për 2029/2030)</w:t>
            </w:r>
          </w:p>
          <w:p w14:paraId="34B8EB80" w14:textId="6684D7FE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-Pajisjen e 200 shkollave 9 vjeçare dhe të mesme, me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</w:t>
            </w: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mësuesit dhe tabelë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</w:t>
            </w:r>
            <w:proofErr w:type="spellEnd"/>
            <w:r w:rsidR="00566C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250C3">
              <w:rPr>
                <w:rFonts w:ascii="Times New Roman" w:hAnsi="Times New Roman"/>
                <w:sz w:val="26"/>
                <w:szCs w:val="26"/>
              </w:rPr>
              <w:t>aktive (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smartboard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) për klasat, brenda vitit 2026. Në këto shkolla furnizimi me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mësuesit dhe tabelë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klasat të bëhet në të njëjtën kohë për të rritur </w:t>
            </w:r>
            <w:proofErr w:type="spellStart"/>
            <w:r w:rsidR="00566C22">
              <w:rPr>
                <w:rFonts w:ascii="Times New Roman" w:hAnsi="Times New Roman"/>
                <w:sz w:val="26"/>
                <w:szCs w:val="26"/>
              </w:rPr>
              <w:t>im</w:t>
            </w:r>
            <w:r w:rsidR="00566C22" w:rsidRPr="00E250C3">
              <w:rPr>
                <w:rFonts w:ascii="Times New Roman" w:hAnsi="Times New Roman"/>
                <w:sz w:val="26"/>
                <w:szCs w:val="26"/>
              </w:rPr>
              <w:t>paktin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në mësimdhënie dhe përdorimin 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aseteve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>. Këto shkolla do të shërbejnë si shkolla pilot dhe do të ndihmojnë në projektimin dhe ndërtimin e suksesshëm të sistemeve dhe të platformave kombëtare digjitale.</w:t>
            </w:r>
          </w:p>
          <w:p w14:paraId="3C055FAB" w14:textId="352F6910" w:rsidR="007204C1" w:rsidRPr="00E250C3" w:rsidRDefault="007204C1" w:rsidP="00E250C3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Këshilli i Prindërve Tiranë është i gatshëm të bashkëpunojë me Ministrinë e Arsimit dhe Sportit për zbatimin e këtyre rekomandimeve.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757" w14:textId="255A209A" w:rsidR="008825EB" w:rsidRPr="00E250C3" w:rsidRDefault="007204C1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Këshilli i Prindërve Tiranë </w:t>
            </w:r>
          </w:p>
          <w:p w14:paraId="25A4A4BE" w14:textId="77777777" w:rsidR="008825EB" w:rsidRPr="00E250C3" w:rsidRDefault="008825EB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850C239" w14:textId="77777777" w:rsidR="008825EB" w:rsidRPr="00E250C3" w:rsidRDefault="008825EB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D37DD33" w14:textId="77777777" w:rsidR="008825EB" w:rsidRPr="00E250C3" w:rsidRDefault="008825EB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32DB4DC" w14:textId="77777777" w:rsidR="008825EB" w:rsidRPr="00E250C3" w:rsidRDefault="008825EB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2C3" w14:textId="35B35EA4" w:rsidR="008825EB" w:rsidRPr="00E250C3" w:rsidRDefault="008825EB" w:rsidP="00E250C3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Pranuar</w:t>
            </w:r>
            <w:r w:rsidR="001529BE" w:rsidRPr="00E250C3">
              <w:rPr>
                <w:rFonts w:ascii="Times New Roman" w:hAnsi="Times New Roman"/>
                <w:sz w:val="26"/>
                <w:szCs w:val="26"/>
              </w:rPr>
              <w:t xml:space="preserve"> pjesërisht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570" w14:textId="77777777" w:rsidR="001529BE" w:rsidRPr="00E250C3" w:rsidRDefault="001529BE" w:rsidP="00E250C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>Shkollat 9-vjeçare dhe të arsimit të mesëm të lartë po pajisen me infrastrukturën e nevojshme digjitale.</w:t>
            </w:r>
          </w:p>
          <w:p w14:paraId="74011EF5" w14:textId="6089B30C" w:rsidR="001529BE" w:rsidRPr="00E250C3" w:rsidRDefault="001529BE" w:rsidP="00E250C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1. Aktualisht janë 312 shkolla 9-vjeçare, të cilat janë të pajisura me 324 laboratorë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smartlabs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) dhe 30 shkolla të arsimit të mesëm të lartë që kanë laboratorë të inteligjencës artificiale. </w:t>
            </w:r>
          </w:p>
          <w:p w14:paraId="6A0DA2D3" w14:textId="7385070D" w:rsidR="001529BE" w:rsidRPr="00E250C3" w:rsidRDefault="001529BE" w:rsidP="00E250C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2. Mbështetur në ligjin nr. 121/2024 “Për ratifikimin e Marrëveshjes kuadër të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huasë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ndërmjet Republikës së Shqipërisë dhe Bankës për Zhvillim të Këshillit të Evropës për financimin e </w:t>
            </w: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>projektit “L</w:t>
            </w:r>
            <w:r w:rsidR="00CB581A">
              <w:rPr>
                <w:rFonts w:ascii="Times New Roman" w:hAnsi="Times New Roman"/>
                <w:sz w:val="26"/>
                <w:szCs w:val="26"/>
              </w:rPr>
              <w:t>aboratorët inteligjentë (</w:t>
            </w:r>
            <w:proofErr w:type="spellStart"/>
            <w:r w:rsidR="00CB581A">
              <w:rPr>
                <w:rFonts w:ascii="Times New Roman" w:hAnsi="Times New Roman"/>
                <w:sz w:val="26"/>
                <w:szCs w:val="26"/>
              </w:rPr>
              <w:t>Smart</w:t>
            </w:r>
            <w:proofErr w:type="spellEnd"/>
            <w:r w:rsidR="00CB58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Labs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) – digjitalizimi i sistemit arsimor shqiptar” gjatë vitit të ardhshëm do të ndërtohen 654 laboratorë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në 616 shkolla 9-vjeçare dhe të arsimit të mesëm të lartë. Në specifikimet teknike të laboratorëve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smart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janë përcaktuar përveç të tjerave edhe 3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laptopë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mësuesit e shkollave dhe 1 për drejtorin e shkollës.</w:t>
            </w:r>
          </w:p>
          <w:p w14:paraId="282C6261" w14:textId="46ACC0FC" w:rsidR="001529BE" w:rsidRPr="00E250C3" w:rsidRDefault="001529BE" w:rsidP="00E250C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t xml:space="preserve">3. Në vijim, në zbatim të Vendimit të Miratimit nga Komisioni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Europian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Programin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Operacional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“Ekonomia dhe Shoqëria Digjitale 2024-2027”, 5500 mësues të arsimit të mesëm të lartë do të pajisen me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laptopë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5AC2E81" w14:textId="364C6097" w:rsidR="008825EB" w:rsidRPr="00E250C3" w:rsidRDefault="001529BE" w:rsidP="00E250C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50C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Gjithashtu në kontratën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grant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IPA 3, të Komisionit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Europian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me objekt: “Përmirësimin e aftësive jetësore përmes integrimit të tyre në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kurrikulat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e arsimit të mesëm dhe përfshirjen e këshillimit të karrierës në sistemin shkollor” do të pajisen me infrastrukturë teknologjike (5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laptopë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për shkollë, 1 tabelë </w:t>
            </w:r>
            <w:proofErr w:type="spellStart"/>
            <w:r w:rsidRPr="00E250C3">
              <w:rPr>
                <w:rFonts w:ascii="Times New Roman" w:hAnsi="Times New Roman"/>
                <w:sz w:val="26"/>
                <w:szCs w:val="26"/>
              </w:rPr>
              <w:t>interaktive</w:t>
            </w:r>
            <w:proofErr w:type="spellEnd"/>
            <w:r w:rsidRPr="00E250C3">
              <w:rPr>
                <w:rFonts w:ascii="Times New Roman" w:hAnsi="Times New Roman"/>
                <w:sz w:val="26"/>
                <w:szCs w:val="26"/>
              </w:rPr>
              <w:t xml:space="preserve"> dhe 1 </w:t>
            </w:r>
            <w:r w:rsidR="00566C22" w:rsidRPr="00E250C3">
              <w:rPr>
                <w:rFonts w:ascii="Times New Roman" w:hAnsi="Times New Roman"/>
                <w:sz w:val="26"/>
                <w:szCs w:val="26"/>
              </w:rPr>
              <w:t>video projektor</w:t>
            </w:r>
            <w:r w:rsidRPr="00E250C3">
              <w:rPr>
                <w:rFonts w:ascii="Times New Roman" w:hAnsi="Times New Roman"/>
                <w:sz w:val="26"/>
                <w:szCs w:val="26"/>
              </w:rPr>
              <w:t>) edhe 30 shkolla të arsimit të mesëm të lartë.</w:t>
            </w:r>
          </w:p>
        </w:tc>
      </w:tr>
    </w:tbl>
    <w:p w14:paraId="10A32B41" w14:textId="77777777" w:rsidR="008825EB" w:rsidRPr="00E250C3" w:rsidRDefault="008825EB" w:rsidP="00E250C3">
      <w:pPr>
        <w:tabs>
          <w:tab w:val="left" w:pos="7552"/>
        </w:tabs>
        <w:ind w:left="284"/>
        <w:contextualSpacing/>
        <w:jc w:val="both"/>
        <w:rPr>
          <w:rFonts w:ascii="Times New Roman" w:hAnsi="Times New Roman"/>
          <w:iCs/>
          <w:sz w:val="26"/>
          <w:szCs w:val="26"/>
        </w:rPr>
      </w:pPr>
      <w:bookmarkStart w:id="1" w:name="_GoBack"/>
      <w:bookmarkEnd w:id="1"/>
    </w:p>
    <w:sectPr w:rsidR="008825EB" w:rsidRPr="00E250C3" w:rsidSect="007204C1">
      <w:footerReference w:type="default" r:id="rId9"/>
      <w:pgSz w:w="16840" w:h="11900" w:orient="landscape"/>
      <w:pgMar w:top="1417" w:right="851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7D111" w14:textId="77777777" w:rsidR="00751979" w:rsidRDefault="00751979" w:rsidP="00756925">
      <w:r>
        <w:separator/>
      </w:r>
    </w:p>
  </w:endnote>
  <w:endnote w:type="continuationSeparator" w:id="0">
    <w:p w14:paraId="2CC5B031" w14:textId="77777777" w:rsidR="00751979" w:rsidRDefault="00751979" w:rsidP="0075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5165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777A0374" w14:textId="3C029017" w:rsidR="00E250C3" w:rsidRPr="00E250C3" w:rsidRDefault="00E250C3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6B0E12">
              <w:rPr>
                <w:rFonts w:ascii="Times New Roman" w:hAnsi="Times New Roman"/>
                <w:b/>
                <w:bCs/>
                <w:noProof/>
                <w:sz w:val="20"/>
              </w:rPr>
              <w:t>5</w:t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E250C3">
              <w:rPr>
                <w:rFonts w:ascii="Times New Roman" w:hAnsi="Times New Roman"/>
                <w:sz w:val="20"/>
              </w:rPr>
              <w:t xml:space="preserve"> nga </w:t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6B0E12">
              <w:rPr>
                <w:rFonts w:ascii="Times New Roman" w:hAnsi="Times New Roman"/>
                <w:b/>
                <w:bCs/>
                <w:noProof/>
                <w:sz w:val="20"/>
              </w:rPr>
              <w:t>6</w:t>
            </w:r>
            <w:r w:rsidRPr="00E250C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5E76664" w14:textId="77777777" w:rsidR="00E250C3" w:rsidRDefault="00E25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D5C53" w14:textId="77777777" w:rsidR="00751979" w:rsidRDefault="00751979" w:rsidP="00756925">
      <w:r>
        <w:separator/>
      </w:r>
    </w:p>
  </w:footnote>
  <w:footnote w:type="continuationSeparator" w:id="0">
    <w:p w14:paraId="083BFE2A" w14:textId="77777777" w:rsidR="00751979" w:rsidRDefault="00751979" w:rsidP="00756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F739E"/>
    <w:multiLevelType w:val="hybridMultilevel"/>
    <w:tmpl w:val="A6F6B848"/>
    <w:lvl w:ilvl="0" w:tplc="F288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8A7"/>
    <w:multiLevelType w:val="hybridMultilevel"/>
    <w:tmpl w:val="C076F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01156"/>
    <w:multiLevelType w:val="hybridMultilevel"/>
    <w:tmpl w:val="4EE2BE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50E3F"/>
    <w:rsid w:val="00064DDD"/>
    <w:rsid w:val="000817AC"/>
    <w:rsid w:val="000A7179"/>
    <w:rsid w:val="000C793C"/>
    <w:rsid w:val="000D0EF5"/>
    <w:rsid w:val="000E6D15"/>
    <w:rsid w:val="000F6BC6"/>
    <w:rsid w:val="00123815"/>
    <w:rsid w:val="00143437"/>
    <w:rsid w:val="001529BE"/>
    <w:rsid w:val="0017005B"/>
    <w:rsid w:val="001757C9"/>
    <w:rsid w:val="001846B1"/>
    <w:rsid w:val="00196392"/>
    <w:rsid w:val="001A7452"/>
    <w:rsid w:val="00210F54"/>
    <w:rsid w:val="002252C3"/>
    <w:rsid w:val="00260E60"/>
    <w:rsid w:val="002B161B"/>
    <w:rsid w:val="002C68EC"/>
    <w:rsid w:val="002D2596"/>
    <w:rsid w:val="002F26E2"/>
    <w:rsid w:val="002F27F0"/>
    <w:rsid w:val="002F5B67"/>
    <w:rsid w:val="00332DB4"/>
    <w:rsid w:val="00390829"/>
    <w:rsid w:val="00397F43"/>
    <w:rsid w:val="003D74ED"/>
    <w:rsid w:val="003F7742"/>
    <w:rsid w:val="00415C20"/>
    <w:rsid w:val="00435429"/>
    <w:rsid w:val="0044587B"/>
    <w:rsid w:val="00445CC3"/>
    <w:rsid w:val="00450EB3"/>
    <w:rsid w:val="00462BF5"/>
    <w:rsid w:val="004C711D"/>
    <w:rsid w:val="004F476A"/>
    <w:rsid w:val="00512F11"/>
    <w:rsid w:val="00566C22"/>
    <w:rsid w:val="005B1920"/>
    <w:rsid w:val="005B6D2B"/>
    <w:rsid w:val="005D23F8"/>
    <w:rsid w:val="00645670"/>
    <w:rsid w:val="00656BB0"/>
    <w:rsid w:val="006B0E12"/>
    <w:rsid w:val="006B1E58"/>
    <w:rsid w:val="006C3575"/>
    <w:rsid w:val="006F3BE5"/>
    <w:rsid w:val="007144AA"/>
    <w:rsid w:val="007204C1"/>
    <w:rsid w:val="007228DC"/>
    <w:rsid w:val="00741C60"/>
    <w:rsid w:val="00751979"/>
    <w:rsid w:val="00756925"/>
    <w:rsid w:val="00765F3C"/>
    <w:rsid w:val="007755F2"/>
    <w:rsid w:val="007C450A"/>
    <w:rsid w:val="008006A7"/>
    <w:rsid w:val="008037EB"/>
    <w:rsid w:val="00840F38"/>
    <w:rsid w:val="008707AC"/>
    <w:rsid w:val="008741EA"/>
    <w:rsid w:val="008825EB"/>
    <w:rsid w:val="00882DAC"/>
    <w:rsid w:val="008D1854"/>
    <w:rsid w:val="008F3E6F"/>
    <w:rsid w:val="008F44B1"/>
    <w:rsid w:val="0091093C"/>
    <w:rsid w:val="00963283"/>
    <w:rsid w:val="00965584"/>
    <w:rsid w:val="009B696C"/>
    <w:rsid w:val="009C0A82"/>
    <w:rsid w:val="009E5A6A"/>
    <w:rsid w:val="00A06DA1"/>
    <w:rsid w:val="00A121AB"/>
    <w:rsid w:val="00A3438A"/>
    <w:rsid w:val="00A455AC"/>
    <w:rsid w:val="00AB1F27"/>
    <w:rsid w:val="00AE2F8F"/>
    <w:rsid w:val="00AF0696"/>
    <w:rsid w:val="00B002CF"/>
    <w:rsid w:val="00B229C9"/>
    <w:rsid w:val="00B33196"/>
    <w:rsid w:val="00B85997"/>
    <w:rsid w:val="00B93FE6"/>
    <w:rsid w:val="00BA396D"/>
    <w:rsid w:val="00BC46BC"/>
    <w:rsid w:val="00C20DD3"/>
    <w:rsid w:val="00C31F33"/>
    <w:rsid w:val="00C65933"/>
    <w:rsid w:val="00C724B4"/>
    <w:rsid w:val="00C86733"/>
    <w:rsid w:val="00CB581A"/>
    <w:rsid w:val="00CC00E4"/>
    <w:rsid w:val="00D20AF4"/>
    <w:rsid w:val="00D840DE"/>
    <w:rsid w:val="00DD5D4E"/>
    <w:rsid w:val="00E05C85"/>
    <w:rsid w:val="00E250C3"/>
    <w:rsid w:val="00E60450"/>
    <w:rsid w:val="00E64E84"/>
    <w:rsid w:val="00E901E1"/>
    <w:rsid w:val="00EA0719"/>
    <w:rsid w:val="00EA12B4"/>
    <w:rsid w:val="00EA3579"/>
    <w:rsid w:val="00EC38F3"/>
    <w:rsid w:val="00ED1E5E"/>
    <w:rsid w:val="00ED600A"/>
    <w:rsid w:val="00EF0386"/>
    <w:rsid w:val="00F034DB"/>
    <w:rsid w:val="00F03EFF"/>
    <w:rsid w:val="00F1187B"/>
    <w:rsid w:val="00F12B92"/>
    <w:rsid w:val="00F202C8"/>
    <w:rsid w:val="00F5093B"/>
    <w:rsid w:val="00F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81B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92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customStyle="1" w:styleId="Default">
    <w:name w:val="Default"/>
    <w:rsid w:val="0075692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q-AL"/>
    </w:rPr>
  </w:style>
  <w:style w:type="paragraph" w:styleId="Caption">
    <w:name w:val="caption"/>
    <w:basedOn w:val="Normal"/>
    <w:next w:val="Normal"/>
    <w:uiPriority w:val="35"/>
    <w:unhideWhenUsed/>
    <w:qFormat/>
    <w:rsid w:val="0075692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9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925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5692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745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5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5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0C3"/>
    <w:rPr>
      <w:rFonts w:ascii="Arial" w:eastAsia="Times New Roman" w:hAnsi="Arial" w:cs="Times New Roman"/>
      <w:sz w:val="22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25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0C3"/>
    <w:rPr>
      <w:rFonts w:ascii="Arial" w:eastAsia="Times New Roman" w:hAnsi="Arial" w:cs="Times New Roman"/>
      <w:sz w:val="22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imipublik.gov.al/Konsultime/Detaje/8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25DB-F773-450A-A466-29381F5890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31</cp:revision>
  <cp:lastPrinted>2024-04-15T12:08:00Z</cp:lastPrinted>
  <dcterms:created xsi:type="dcterms:W3CDTF">2025-09-24T13:43:00Z</dcterms:created>
  <dcterms:modified xsi:type="dcterms:W3CDTF">2025-09-25T13:00:00Z</dcterms:modified>
</cp:coreProperties>
</file>