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331272" w14:paraId="1B7E1C9C" w14:textId="77777777" w:rsidTr="30EE1AA0">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21645BC" w14:textId="77777777" w:rsidR="000D5974" w:rsidRPr="000D5974" w:rsidRDefault="000D5974" w:rsidP="00B17990">
            <w:pPr>
              <w:spacing w:line="276" w:lineRule="auto"/>
              <w:rPr>
                <w:b/>
                <w:szCs w:val="24"/>
                <w:lang w:val="sq-AL"/>
              </w:rPr>
            </w:pPr>
            <w:bookmarkStart w:id="0" w:name="_Hlk506916825"/>
            <w:bookmarkEnd w:id="0"/>
            <w:r w:rsidRPr="000D5974">
              <w:rPr>
                <w:b/>
                <w:szCs w:val="24"/>
                <w:lang w:val="sq-AL"/>
              </w:rPr>
              <w:t>RAPORTI I VLERËSIMIT TË NDIKIMIT</w:t>
            </w:r>
          </w:p>
        </w:tc>
      </w:tr>
      <w:tr w:rsidR="00C84F64" w:rsidRPr="00331272" w14:paraId="6F51B135" w14:textId="77777777" w:rsidTr="30EE1AA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01C41F2" w14:textId="77777777"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1AC05F" w14:textId="3AC3B2B7" w:rsidR="00852318" w:rsidRPr="007509DC" w:rsidRDefault="00CA40EE" w:rsidP="00852318">
            <w:pPr>
              <w:jc w:val="center"/>
              <w:rPr>
                <w:b/>
                <w:color w:val="000000"/>
                <w:szCs w:val="24"/>
                <w:lang w:val="sq-AL"/>
              </w:rPr>
            </w:pPr>
            <w:r w:rsidRPr="00325A1F">
              <w:rPr>
                <w:szCs w:val="24"/>
                <w:lang w:val="sq-AL"/>
              </w:rPr>
              <w:t>Projekt</w:t>
            </w:r>
            <w:r w:rsidR="002005F1">
              <w:rPr>
                <w:rStyle w:val="IASOIChar"/>
                <w:rFonts w:ascii="Times New Roman" w:hAnsi="Times New Roman"/>
                <w:b w:val="0"/>
                <w:sz w:val="24"/>
                <w:szCs w:val="24"/>
              </w:rPr>
              <w:fldChar w:fldCharType="begin">
                <w:ffData>
                  <w:name w:val=""/>
                  <w:enabled/>
                  <w:calcOnExit w:val="0"/>
                  <w:ddList>
                    <w:listEntry w:val="ligj"/>
                    <w:listEntry w:val="akt/ligj/vendim"/>
                    <w:listEntry w:val="akt"/>
                    <w:listEntry w:val="vendim"/>
                  </w:ddList>
                </w:ffData>
              </w:fldChar>
            </w:r>
            <w:r w:rsidR="001155AF" w:rsidRPr="007509DC">
              <w:rPr>
                <w:rStyle w:val="IASOIChar"/>
                <w:rFonts w:ascii="Times New Roman" w:hAnsi="Times New Roman"/>
                <w:b w:val="0"/>
                <w:sz w:val="24"/>
                <w:szCs w:val="24"/>
                <w:lang w:val="sq-AL"/>
              </w:rPr>
              <w:instrText xml:space="preserve"> FORMDROPDOWN </w:instrText>
            </w:r>
            <w:r w:rsidR="002005F1">
              <w:rPr>
                <w:rStyle w:val="IASOIChar"/>
                <w:rFonts w:ascii="Times New Roman" w:hAnsi="Times New Roman"/>
                <w:b w:val="0"/>
                <w:sz w:val="24"/>
                <w:szCs w:val="24"/>
              </w:rPr>
            </w:r>
            <w:r w:rsidR="002005F1">
              <w:rPr>
                <w:rStyle w:val="IASOIChar"/>
                <w:rFonts w:ascii="Times New Roman" w:hAnsi="Times New Roman"/>
                <w:b w:val="0"/>
                <w:sz w:val="24"/>
                <w:szCs w:val="24"/>
              </w:rPr>
              <w:fldChar w:fldCharType="separate"/>
            </w:r>
            <w:r w:rsidR="002005F1">
              <w:rPr>
                <w:rStyle w:val="IASOIChar"/>
                <w:rFonts w:ascii="Times New Roman" w:hAnsi="Times New Roman"/>
                <w:b w:val="0"/>
                <w:sz w:val="24"/>
                <w:szCs w:val="24"/>
              </w:rPr>
              <w:fldChar w:fldCharType="end"/>
            </w:r>
            <w:r w:rsidR="002A33A0" w:rsidRPr="00325A1F">
              <w:rPr>
                <w:szCs w:val="24"/>
                <w:lang w:val="sq-AL"/>
              </w:rPr>
              <w:t xml:space="preserve"> </w:t>
            </w:r>
            <w:r w:rsidR="001D2A5A">
              <w:rPr>
                <w:szCs w:val="24"/>
                <w:lang w:val="sq-AL"/>
              </w:rPr>
              <w:t>“P</w:t>
            </w:r>
            <w:r w:rsidR="004E2DD2">
              <w:rPr>
                <w:szCs w:val="24"/>
                <w:lang w:val="sq-AL"/>
              </w:rPr>
              <w:t>ë</w:t>
            </w:r>
            <w:r w:rsidR="001D2A5A">
              <w:rPr>
                <w:szCs w:val="24"/>
                <w:lang w:val="sq-AL"/>
              </w:rPr>
              <w:t xml:space="preserve">r disa </w:t>
            </w:r>
            <w:r w:rsidR="00EC569D">
              <w:rPr>
                <w:szCs w:val="24"/>
                <w:lang w:val="sq-AL"/>
              </w:rPr>
              <w:t xml:space="preserve">shtesa dhe </w:t>
            </w:r>
            <w:r w:rsidR="001D2A5A">
              <w:rPr>
                <w:szCs w:val="24"/>
                <w:lang w:val="sq-AL"/>
              </w:rPr>
              <w:t>ndryshime n</w:t>
            </w:r>
            <w:r w:rsidR="004E2DD2">
              <w:rPr>
                <w:szCs w:val="24"/>
                <w:lang w:val="sq-AL"/>
              </w:rPr>
              <w:t>ë</w:t>
            </w:r>
            <w:r w:rsidR="001D2A5A">
              <w:rPr>
                <w:szCs w:val="24"/>
                <w:lang w:val="sq-AL"/>
              </w:rPr>
              <w:t xml:space="preserve"> ligjin nr. 9901, dat</w:t>
            </w:r>
            <w:r w:rsidR="004E2DD2">
              <w:rPr>
                <w:szCs w:val="24"/>
                <w:lang w:val="sq-AL"/>
              </w:rPr>
              <w:t>ë</w:t>
            </w:r>
            <w:r w:rsidR="001D2A5A">
              <w:rPr>
                <w:szCs w:val="24"/>
                <w:lang w:val="sq-AL"/>
              </w:rPr>
              <w:t xml:space="preserve"> </w:t>
            </w:r>
            <w:r w:rsidR="007509DC">
              <w:rPr>
                <w:szCs w:val="24"/>
                <w:lang w:val="sq-AL"/>
              </w:rPr>
              <w:t>14.04.2008 “P</w:t>
            </w:r>
            <w:r w:rsidR="004E2DD2">
              <w:rPr>
                <w:szCs w:val="24"/>
                <w:lang w:val="sq-AL"/>
              </w:rPr>
              <w:t>ë</w:t>
            </w:r>
            <w:r w:rsidR="007509DC">
              <w:rPr>
                <w:szCs w:val="24"/>
                <w:lang w:val="sq-AL"/>
              </w:rPr>
              <w:t>r tregtar</w:t>
            </w:r>
            <w:r w:rsidR="004E2DD2">
              <w:rPr>
                <w:szCs w:val="24"/>
                <w:lang w:val="sq-AL"/>
              </w:rPr>
              <w:t>ë</w:t>
            </w:r>
            <w:r w:rsidR="007509DC">
              <w:rPr>
                <w:szCs w:val="24"/>
                <w:lang w:val="sq-AL"/>
              </w:rPr>
              <w:t>t dhe shoq</w:t>
            </w:r>
            <w:r w:rsidR="004E2DD2">
              <w:rPr>
                <w:szCs w:val="24"/>
                <w:lang w:val="sq-AL"/>
              </w:rPr>
              <w:t>ë</w:t>
            </w:r>
            <w:r w:rsidR="007509DC">
              <w:rPr>
                <w:szCs w:val="24"/>
                <w:lang w:val="sq-AL"/>
              </w:rPr>
              <w:t>rit</w:t>
            </w:r>
            <w:r w:rsidR="004E2DD2">
              <w:rPr>
                <w:szCs w:val="24"/>
                <w:lang w:val="sq-AL"/>
              </w:rPr>
              <w:t>ë</w:t>
            </w:r>
            <w:r w:rsidR="007509DC">
              <w:rPr>
                <w:szCs w:val="24"/>
                <w:lang w:val="sq-AL"/>
              </w:rPr>
              <w:t xml:space="preserve"> tregtare”, i ndryshuar</w:t>
            </w:r>
          </w:p>
          <w:p w14:paraId="0852E617" w14:textId="77777777" w:rsidR="00CA40EE" w:rsidRPr="00325A1F" w:rsidRDefault="00CA40EE" w:rsidP="00B17990">
            <w:pPr>
              <w:spacing w:line="276" w:lineRule="auto"/>
              <w:rPr>
                <w:b/>
                <w:szCs w:val="24"/>
                <w:lang w:val="sq-AL"/>
              </w:rPr>
            </w:pPr>
          </w:p>
        </w:tc>
      </w:tr>
      <w:tr w:rsidR="00C84F64" w:rsidRPr="00331272" w14:paraId="18670F89" w14:textId="77777777" w:rsidTr="30EE1AA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C082894" w14:textId="77777777" w:rsidR="00CA40EE" w:rsidRPr="00325A1F" w:rsidRDefault="00CA40EE" w:rsidP="007B6556">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098603" w14:textId="7DDF547E" w:rsidR="00CA40EE" w:rsidRPr="00325A1F" w:rsidRDefault="00444DC8" w:rsidP="00444DC8">
            <w:pPr>
              <w:spacing w:line="276" w:lineRule="auto"/>
              <w:rPr>
                <w:szCs w:val="24"/>
                <w:lang w:val="sq-AL"/>
              </w:rPr>
            </w:pPr>
            <w:r>
              <w:rPr>
                <w:szCs w:val="24"/>
                <w:lang w:val="sq-AL"/>
              </w:rPr>
              <w:t xml:space="preserve">Ministria </w:t>
            </w:r>
            <w:r w:rsidR="002A66D3" w:rsidRPr="00325A1F">
              <w:rPr>
                <w:szCs w:val="24"/>
                <w:lang w:val="sq-AL"/>
              </w:rPr>
              <w:t xml:space="preserve"> </w:t>
            </w:r>
            <w:r w:rsidR="00852318">
              <w:rPr>
                <w:szCs w:val="24"/>
                <w:lang w:val="sq-AL"/>
              </w:rPr>
              <w:t>e Ekonomis</w:t>
            </w:r>
            <w:r w:rsidR="0071541B">
              <w:rPr>
                <w:szCs w:val="24"/>
                <w:lang w:val="sq-AL"/>
              </w:rPr>
              <w:t>ë</w:t>
            </w:r>
            <w:r w:rsidR="00122471">
              <w:rPr>
                <w:szCs w:val="24"/>
                <w:lang w:val="sq-AL"/>
              </w:rPr>
              <w:t xml:space="preserve"> dhe Inovacionit</w:t>
            </w:r>
            <w:r w:rsidR="003A44E3">
              <w:rPr>
                <w:szCs w:val="24"/>
                <w:lang w:val="sq-AL"/>
              </w:rPr>
              <w:t xml:space="preserve"> </w:t>
            </w:r>
            <w:r w:rsidR="002005F1">
              <w:rPr>
                <w:rStyle w:val="IASOIChar"/>
                <w:rFonts w:ascii="Times New Roman" w:hAnsi="Times New Roman"/>
                <w:b w:val="0"/>
                <w:sz w:val="24"/>
                <w:szCs w:val="24"/>
              </w:rPr>
              <w:fldChar w:fldCharType="begin">
                <w:ffData>
                  <w:name w:val="MInistria"/>
                  <w:enabled/>
                  <w:calcOnExit w:val="0"/>
                  <w:ddList>
                    <w:listEntry w:val="..."/>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brojtje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1" w:name="MInistria"/>
            <w:r w:rsidRPr="00DE53BA">
              <w:rPr>
                <w:rStyle w:val="IASOIChar"/>
                <w:rFonts w:ascii="Times New Roman" w:hAnsi="Times New Roman"/>
                <w:b w:val="0"/>
                <w:sz w:val="24"/>
                <w:szCs w:val="24"/>
                <w:lang w:val="it-IT"/>
              </w:rPr>
              <w:instrText xml:space="preserve"> FORMDROPDOWN </w:instrText>
            </w:r>
            <w:r w:rsidR="002005F1">
              <w:rPr>
                <w:rStyle w:val="IASOIChar"/>
                <w:rFonts w:ascii="Times New Roman" w:hAnsi="Times New Roman"/>
                <w:b w:val="0"/>
                <w:sz w:val="24"/>
                <w:szCs w:val="24"/>
              </w:rPr>
            </w:r>
            <w:r w:rsidR="002005F1">
              <w:rPr>
                <w:rStyle w:val="IASOIChar"/>
                <w:rFonts w:ascii="Times New Roman" w:hAnsi="Times New Roman"/>
                <w:b w:val="0"/>
                <w:sz w:val="24"/>
                <w:szCs w:val="24"/>
              </w:rPr>
              <w:fldChar w:fldCharType="separate"/>
            </w:r>
            <w:r w:rsidR="002005F1">
              <w:rPr>
                <w:rStyle w:val="IASOIChar"/>
                <w:rFonts w:ascii="Times New Roman" w:hAnsi="Times New Roman"/>
                <w:b w:val="0"/>
                <w:sz w:val="24"/>
                <w:szCs w:val="24"/>
              </w:rPr>
              <w:fldChar w:fldCharType="end"/>
            </w:r>
            <w:bookmarkEnd w:id="1"/>
            <w:r w:rsidR="00CA40EE" w:rsidRPr="00325A1F">
              <w:rPr>
                <w:szCs w:val="24"/>
                <w:lang w:val="sq-AL"/>
              </w:rPr>
              <w:t xml:space="preserve"> </w:t>
            </w:r>
          </w:p>
        </w:tc>
      </w:tr>
      <w:tr w:rsidR="00C84F64" w:rsidRPr="00325A1F" w14:paraId="495E3A02" w14:textId="77777777" w:rsidTr="30EE1AA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4CBCA91" w14:textId="77777777" w:rsidR="00CA40EE" w:rsidRPr="00325A1F" w:rsidRDefault="00CA40EE" w:rsidP="007B6556">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2707AC" w14:textId="6976CB17" w:rsidR="00CA40EE" w:rsidRPr="00325A1F" w:rsidRDefault="00331272"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Pr>
                    <w:rStyle w:val="BodyTextChar"/>
                    <w:rFonts w:ascii="Times New Roman" w:hAnsi="Times New Roman"/>
                    <w:sz w:val="24"/>
                    <w:szCs w:val="24"/>
                  </w:rPr>
                  <w:t>Finale</w:t>
                </w:r>
              </w:sdtContent>
            </w:sdt>
          </w:p>
        </w:tc>
      </w:tr>
      <w:tr w:rsidR="00C84F64" w:rsidRPr="00325A1F" w14:paraId="76B353F6" w14:textId="77777777" w:rsidTr="30EE1AA0">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EE4477A" w14:textId="77777777" w:rsidR="00CA40EE" w:rsidRPr="00325A1F" w:rsidRDefault="00CA40EE" w:rsidP="007B6556">
            <w:pPr>
              <w:spacing w:line="276" w:lineRule="auto"/>
              <w:rPr>
                <w:b/>
                <w:szCs w:val="24"/>
                <w:lang w:val="sq-AL"/>
              </w:rPr>
            </w:pPr>
            <w:r w:rsidRPr="00325A1F">
              <w:rPr>
                <w:b/>
                <w:szCs w:val="24"/>
                <w:lang w:val="sq-AL"/>
              </w:rPr>
              <w:t>BURIMI I PROPOZIMIT TË POLITIKËS</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96EA9C" w14:textId="63B9A1AE" w:rsidR="00CA40EE" w:rsidRPr="00325A1F" w:rsidRDefault="00775EA3" w:rsidP="007B6556">
            <w:pPr>
              <w:spacing w:line="276" w:lineRule="auto"/>
              <w:jc w:val="both"/>
              <w:rPr>
                <w:szCs w:val="24"/>
                <w:lang w:val="sq-AL"/>
              </w:rPr>
            </w:pPr>
            <w:r>
              <w:rPr>
                <w:rStyle w:val="IASOIChar"/>
                <w:rFonts w:ascii="Times New Roman" w:hAnsi="Times New Roman"/>
                <w:b w:val="0"/>
                <w:sz w:val="24"/>
                <w:szCs w:val="24"/>
              </w:rPr>
              <w:fldChar w:fldCharType="begin">
                <w:ffData>
                  <w:name w:val=""/>
                  <w:enabled/>
                  <w:calcOnExit w:val="0"/>
                  <w:ddList>
                    <w:listEntry w:val="Transpozim  i BE-së"/>
                    <w:listEntry w:val="I brendshëm"/>
                    <w:listEntry w:val="I brendshëm/transpozim i  BE-së/ndërkombëtar"/>
                    <w:listEntry w:val="Ndërkombëtar"/>
                  </w:ddList>
                </w:ffData>
              </w:fldChar>
            </w:r>
            <w:r>
              <w:rPr>
                <w:rStyle w:val="IASOIChar"/>
                <w:rFonts w:ascii="Times New Roman" w:hAnsi="Times New Roman"/>
                <w:b w:val="0"/>
                <w:sz w:val="24"/>
                <w:szCs w:val="24"/>
              </w:rPr>
              <w:instrText xml:space="preserve"> FORMDROPDOWN </w:instrText>
            </w:r>
            <w:r>
              <w:rPr>
                <w:rStyle w:val="IASOIChar"/>
                <w:rFonts w:ascii="Times New Roman" w:hAnsi="Times New Roman"/>
                <w:b w:val="0"/>
                <w:sz w:val="24"/>
                <w:szCs w:val="24"/>
              </w:rPr>
            </w:r>
            <w:r>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p>
        </w:tc>
      </w:tr>
      <w:tr w:rsidR="00C84F64" w:rsidRPr="00331272" w14:paraId="48CF2708" w14:textId="77777777" w:rsidTr="30EE1AA0">
        <w:trPr>
          <w:trHeight w:val="557"/>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A8F6C8" w14:textId="77777777" w:rsidR="00CA40EE" w:rsidRPr="006D0DA9" w:rsidRDefault="00CA40EE" w:rsidP="007B6556">
            <w:pPr>
              <w:spacing w:line="276" w:lineRule="auto"/>
              <w:rPr>
                <w:b/>
                <w:szCs w:val="24"/>
                <w:lang w:val="sq-AL"/>
              </w:rPr>
            </w:pPr>
            <w:r w:rsidRPr="006D0DA9">
              <w:rPr>
                <w:b/>
                <w:szCs w:val="24"/>
                <w:lang w:val="sq-AL"/>
              </w:rPr>
              <w:t xml:space="preserve">DIREKTIVË/RREGULLORE E BE-së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9C9385A" w14:textId="14E3A24C" w:rsidR="00525217" w:rsidRPr="006D0DA9" w:rsidRDefault="00525217" w:rsidP="00525217">
            <w:pPr>
              <w:pStyle w:val="ListParagraph"/>
              <w:numPr>
                <w:ilvl w:val="0"/>
                <w:numId w:val="34"/>
              </w:numPr>
              <w:spacing w:line="276" w:lineRule="auto"/>
              <w:rPr>
                <w:rFonts w:ascii="Times New Roman" w:hAnsi="Times New Roman"/>
                <w:bCs/>
                <w:sz w:val="24"/>
                <w:szCs w:val="24"/>
                <w:lang w:val="sq-AL"/>
              </w:rPr>
            </w:pPr>
            <w:r w:rsidRPr="006D0DA9">
              <w:rPr>
                <w:rFonts w:ascii="Times New Roman" w:hAnsi="Times New Roman"/>
                <w:b/>
                <w:sz w:val="24"/>
                <w:szCs w:val="24"/>
                <w:lang w:val="sq-AL"/>
              </w:rPr>
              <w:t>Direktiva (BE) 2017/1132</w:t>
            </w:r>
            <w:r w:rsidRPr="006D0DA9">
              <w:rPr>
                <w:rFonts w:ascii="Times New Roman" w:hAnsi="Times New Roman"/>
                <w:bCs/>
                <w:sz w:val="24"/>
                <w:szCs w:val="24"/>
                <w:lang w:val="sq-AL"/>
              </w:rPr>
              <w:t xml:space="preserve"> e Parlamentit Evropian dhe e Këshillit e 14 qershorit 2017 lidhur me disa aspekte të së drejtës së shoqërive tregtare (kodifikim), FZ L 169, 30.6.2017, f. 46–127, </w:t>
            </w:r>
            <w:r w:rsidR="005F23C8" w:rsidRPr="006D0DA9">
              <w:rPr>
                <w:rFonts w:ascii="Times New Roman" w:hAnsi="Times New Roman"/>
                <w:bCs/>
                <w:sz w:val="24"/>
                <w:szCs w:val="24"/>
                <w:lang w:val="sq-AL"/>
              </w:rPr>
              <w:t>ndryshuar</w:t>
            </w:r>
            <w:r w:rsidRPr="006D0DA9">
              <w:rPr>
                <w:rFonts w:ascii="Times New Roman" w:hAnsi="Times New Roman"/>
                <w:bCs/>
                <w:sz w:val="24"/>
                <w:szCs w:val="24"/>
                <w:lang w:val="sq-AL"/>
              </w:rPr>
              <w:t xml:space="preserve"> kryesisht</w:t>
            </w:r>
            <w:r w:rsidR="009B44D5" w:rsidRPr="006D0DA9">
              <w:rPr>
                <w:rFonts w:ascii="Times New Roman" w:hAnsi="Times New Roman"/>
                <w:bCs/>
                <w:sz w:val="24"/>
                <w:szCs w:val="24"/>
                <w:lang w:val="sq-AL"/>
              </w:rPr>
              <w:t xml:space="preserve"> nga </w:t>
            </w:r>
          </w:p>
          <w:p w14:paraId="17748279" w14:textId="3C85D5DB" w:rsidR="00584C71" w:rsidRPr="006D0DA9" w:rsidRDefault="00525217" w:rsidP="00525217">
            <w:pPr>
              <w:pStyle w:val="ListParagraph"/>
              <w:numPr>
                <w:ilvl w:val="0"/>
                <w:numId w:val="33"/>
              </w:numPr>
              <w:spacing w:line="276" w:lineRule="auto"/>
              <w:rPr>
                <w:rFonts w:ascii="Times New Roman" w:hAnsi="Times New Roman"/>
                <w:bCs/>
                <w:sz w:val="24"/>
                <w:szCs w:val="24"/>
                <w:lang w:val="sq-AL"/>
              </w:rPr>
            </w:pPr>
            <w:r w:rsidRPr="006D0DA9">
              <w:rPr>
                <w:rFonts w:ascii="Times New Roman" w:hAnsi="Times New Roman"/>
                <w:b/>
                <w:sz w:val="24"/>
                <w:szCs w:val="24"/>
                <w:lang w:val="sq-AL"/>
              </w:rPr>
              <w:t>Direktiva (BE) 2019/1151</w:t>
            </w:r>
            <w:r w:rsidRPr="006D0DA9">
              <w:rPr>
                <w:rFonts w:ascii="Times New Roman" w:hAnsi="Times New Roman"/>
                <w:bCs/>
                <w:sz w:val="24"/>
                <w:szCs w:val="24"/>
                <w:lang w:val="sq-AL"/>
              </w:rPr>
              <w:t xml:space="preserve"> e Parlamentit Evropian dhe e Këshillit e 20 qershorit 2019, që ndryshon </w:t>
            </w:r>
            <w:r w:rsidR="005F23C8" w:rsidRPr="006D0DA9">
              <w:rPr>
                <w:rFonts w:ascii="Times New Roman" w:hAnsi="Times New Roman"/>
                <w:bCs/>
                <w:sz w:val="24"/>
                <w:szCs w:val="24"/>
                <w:lang w:val="sq-AL"/>
              </w:rPr>
              <w:t>Direktivën</w:t>
            </w:r>
            <w:r w:rsidRPr="006D0DA9">
              <w:rPr>
                <w:rFonts w:ascii="Times New Roman" w:hAnsi="Times New Roman"/>
                <w:bCs/>
                <w:sz w:val="24"/>
                <w:szCs w:val="24"/>
                <w:lang w:val="sq-AL"/>
              </w:rPr>
              <w:t xml:space="preserve"> (BE) 2017/1132 sa i përket përdorimit të mjeteve dhe proceseve di</w:t>
            </w:r>
            <w:r w:rsidR="005F23C8">
              <w:rPr>
                <w:rFonts w:ascii="Times New Roman" w:hAnsi="Times New Roman"/>
                <w:bCs/>
                <w:sz w:val="24"/>
                <w:szCs w:val="24"/>
                <w:lang w:val="sq-AL"/>
              </w:rPr>
              <w:t>gj</w:t>
            </w:r>
            <w:r w:rsidRPr="006D0DA9">
              <w:rPr>
                <w:rFonts w:ascii="Times New Roman" w:hAnsi="Times New Roman"/>
                <w:bCs/>
                <w:sz w:val="24"/>
                <w:szCs w:val="24"/>
                <w:lang w:val="sq-AL"/>
              </w:rPr>
              <w:t>itale në të drejtën e shoqërive tregtare, PE/25/2019/REV/1, FZ L 186, 11.7.2019, f. 80–104</w:t>
            </w:r>
          </w:p>
          <w:p w14:paraId="08438AE8" w14:textId="02F3103D" w:rsidR="00525217" w:rsidRDefault="00525217" w:rsidP="00525217">
            <w:pPr>
              <w:pStyle w:val="ListParagraph"/>
              <w:numPr>
                <w:ilvl w:val="0"/>
                <w:numId w:val="33"/>
              </w:numPr>
              <w:spacing w:line="276" w:lineRule="auto"/>
              <w:rPr>
                <w:rFonts w:ascii="Times New Roman" w:hAnsi="Times New Roman"/>
                <w:bCs/>
                <w:sz w:val="24"/>
                <w:szCs w:val="24"/>
                <w:lang w:val="sq-AL"/>
              </w:rPr>
            </w:pPr>
            <w:r w:rsidRPr="006D0DA9">
              <w:rPr>
                <w:rFonts w:ascii="Times New Roman" w:hAnsi="Times New Roman"/>
                <w:b/>
                <w:sz w:val="24"/>
                <w:szCs w:val="24"/>
                <w:lang w:val="sq-AL"/>
              </w:rPr>
              <w:t>Direktiva (BE) 2019/2121</w:t>
            </w:r>
            <w:r w:rsidRPr="006D0DA9">
              <w:rPr>
                <w:rFonts w:ascii="Times New Roman" w:hAnsi="Times New Roman"/>
                <w:bCs/>
                <w:sz w:val="24"/>
                <w:szCs w:val="24"/>
                <w:lang w:val="sq-AL"/>
              </w:rPr>
              <w:t xml:space="preserve"> e Parlamentit Evropian dhe e Këshillit e 27 nëntorit 2019, që ndryshon </w:t>
            </w:r>
            <w:r w:rsidR="005F23C8" w:rsidRPr="006D0DA9">
              <w:rPr>
                <w:rFonts w:ascii="Times New Roman" w:hAnsi="Times New Roman"/>
                <w:bCs/>
                <w:sz w:val="24"/>
                <w:szCs w:val="24"/>
                <w:lang w:val="sq-AL"/>
              </w:rPr>
              <w:t>Direktivën</w:t>
            </w:r>
            <w:r w:rsidRPr="006D0DA9">
              <w:rPr>
                <w:rFonts w:ascii="Times New Roman" w:hAnsi="Times New Roman"/>
                <w:bCs/>
                <w:sz w:val="24"/>
                <w:szCs w:val="24"/>
                <w:lang w:val="sq-AL"/>
              </w:rPr>
              <w:t xml:space="preserve"> (BE) 2017/1132 sa i përket shndërrimeve, bashkimeve dhe ndarjeve ndërkufitare, PE/84/2019/REV/1, OJ L 321, 12.12.2019, f. 1–44</w:t>
            </w:r>
          </w:p>
          <w:p w14:paraId="391BF784" w14:textId="77777777" w:rsidR="00921C8E" w:rsidRPr="002C0036" w:rsidRDefault="00921C8E" w:rsidP="00921C8E">
            <w:pPr>
              <w:spacing w:line="276" w:lineRule="auto"/>
              <w:ind w:left="360"/>
              <w:jc w:val="both"/>
              <w:rPr>
                <w:bCs/>
                <w:szCs w:val="24"/>
                <w:lang w:val="sq-AL"/>
              </w:rPr>
            </w:pPr>
            <w:r>
              <w:rPr>
                <w:bCs/>
                <w:szCs w:val="24"/>
                <w:lang w:val="sq-AL"/>
              </w:rPr>
              <w:t xml:space="preserve">2. </w:t>
            </w:r>
            <w:r w:rsidRPr="002C0036">
              <w:rPr>
                <w:b/>
                <w:szCs w:val="24"/>
                <w:lang w:val="sq-AL"/>
              </w:rPr>
              <w:t xml:space="preserve"> Direktiva 2007/36/KE</w:t>
            </w:r>
            <w:r w:rsidRPr="002C0036">
              <w:rPr>
                <w:bCs/>
                <w:szCs w:val="24"/>
                <w:lang w:val="sq-AL"/>
              </w:rPr>
              <w:t xml:space="preserve"> e Parlamentit Evropian dhe e Këshillit e 11 korrikut 2007 mbi ushtrimin e disa të drejtave të aksionarëve në shoqëritë e listuara</w:t>
            </w:r>
          </w:p>
          <w:p w14:paraId="00F347BE" w14:textId="77777777" w:rsidR="00921C8E" w:rsidRPr="002C0036" w:rsidRDefault="00921C8E" w:rsidP="00921C8E">
            <w:pPr>
              <w:spacing w:line="276" w:lineRule="auto"/>
              <w:ind w:left="360"/>
              <w:jc w:val="both"/>
              <w:rPr>
                <w:bCs/>
                <w:szCs w:val="24"/>
                <w:lang w:val="sq-AL"/>
              </w:rPr>
            </w:pPr>
            <w:r w:rsidRPr="002C0036">
              <w:rPr>
                <w:bCs/>
                <w:szCs w:val="24"/>
                <w:lang w:val="sq-AL"/>
              </w:rPr>
              <w:t>(Gazeta Zyrtare L 184, 14.7.2007, f. 17), ndryshuar nga:</w:t>
            </w:r>
          </w:p>
          <w:p w14:paraId="1013EDC3" w14:textId="77777777" w:rsidR="00921C8E" w:rsidRPr="002C0036" w:rsidRDefault="00921C8E" w:rsidP="00921C8E">
            <w:pPr>
              <w:spacing w:line="276" w:lineRule="auto"/>
              <w:ind w:left="360"/>
              <w:rPr>
                <w:bCs/>
                <w:szCs w:val="24"/>
                <w:lang w:val="sq-AL"/>
              </w:rPr>
            </w:pPr>
          </w:p>
          <w:p w14:paraId="67950BFC" w14:textId="77777777" w:rsidR="00921C8E" w:rsidRPr="002C0036" w:rsidRDefault="00921C8E" w:rsidP="00921C8E">
            <w:pPr>
              <w:pStyle w:val="ListParagraph"/>
              <w:numPr>
                <w:ilvl w:val="0"/>
                <w:numId w:val="80"/>
              </w:numPr>
              <w:spacing w:line="276" w:lineRule="auto"/>
              <w:rPr>
                <w:rFonts w:ascii="Times New Roman" w:hAnsi="Times New Roman"/>
                <w:bCs/>
                <w:sz w:val="24"/>
                <w:szCs w:val="24"/>
                <w:lang w:val="sq-AL"/>
              </w:rPr>
            </w:pPr>
            <w:r w:rsidRPr="002C0036">
              <w:rPr>
                <w:rFonts w:ascii="Times New Roman" w:hAnsi="Times New Roman"/>
                <w:bCs/>
                <w:sz w:val="24"/>
                <w:szCs w:val="24"/>
                <w:lang w:val="sq-AL"/>
              </w:rPr>
              <w:t xml:space="preserve">Direktiva (BE) 2017/828 e Parlamentit Evropian dhe Këshillit e 17 majit 2017 për ndryshimin e Direktivës </w:t>
            </w:r>
            <w:r w:rsidRPr="002C0036">
              <w:rPr>
                <w:rFonts w:ascii="Times New Roman" w:hAnsi="Times New Roman"/>
                <w:bCs/>
                <w:sz w:val="24"/>
                <w:szCs w:val="24"/>
                <w:lang w:val="sq-AL"/>
              </w:rPr>
              <w:lastRenderedPageBreak/>
              <w:t>2007/36/KE sa i përket nxitjes së angazhimit afatgjatë të aksionarëve (Gazeta Zyrtare L 132, 20.5.2017, f. 1–25)</w:t>
            </w:r>
          </w:p>
          <w:p w14:paraId="3B3DB17F" w14:textId="0D480C3C" w:rsidR="00DF5C31" w:rsidRPr="00AD30CC" w:rsidRDefault="00DF5C31" w:rsidP="00C631BF">
            <w:pPr>
              <w:spacing w:line="276" w:lineRule="auto"/>
              <w:ind w:left="360"/>
              <w:rPr>
                <w:bCs/>
                <w:szCs w:val="24"/>
                <w:lang w:val="sq-AL"/>
              </w:rPr>
            </w:pPr>
          </w:p>
        </w:tc>
      </w:tr>
      <w:tr w:rsidR="00B5039C" w:rsidRPr="00331272" w14:paraId="316140FE" w14:textId="77777777" w:rsidTr="30EE1AA0">
        <w:trPr>
          <w:trHeight w:val="980"/>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E194C33" w14:textId="77777777" w:rsidR="00B5039C" w:rsidRPr="00325A1F" w:rsidRDefault="00B5039C" w:rsidP="00B5039C">
            <w:pPr>
              <w:spacing w:line="276" w:lineRule="auto"/>
              <w:rPr>
                <w:b/>
                <w:szCs w:val="24"/>
                <w:lang w:val="sq-AL"/>
              </w:rPr>
            </w:pPr>
            <w:r w:rsidRPr="00325A1F">
              <w:rPr>
                <w:b/>
                <w:szCs w:val="24"/>
                <w:lang w:val="sq-AL"/>
              </w:rPr>
              <w:lastRenderedPageBreak/>
              <w:t>PUBLIKIMET DHE STRATEGJITË E LIDHURA</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4EE3C1D" w14:textId="4261BEA5" w:rsidR="00B5039C" w:rsidRDefault="20DC2335" w:rsidP="00D756B5">
            <w:pPr>
              <w:spacing w:line="276" w:lineRule="auto"/>
              <w:jc w:val="both"/>
              <w:rPr>
                <w:rStyle w:val="IASOIChar"/>
                <w:rFonts w:ascii="Times New Roman" w:hAnsi="Times New Roman"/>
                <w:b w:val="0"/>
                <w:sz w:val="24"/>
                <w:szCs w:val="24"/>
                <w:lang w:val="sq-AL"/>
              </w:rPr>
            </w:pPr>
            <w:r w:rsidRPr="30EE1AA0">
              <w:rPr>
                <w:rStyle w:val="IASOIChar"/>
                <w:rFonts w:ascii="Times New Roman" w:hAnsi="Times New Roman"/>
                <w:b w:val="0"/>
                <w:sz w:val="24"/>
                <w:szCs w:val="24"/>
                <w:lang w:val="sq-AL"/>
              </w:rPr>
              <w:t xml:space="preserve">Plani Kombëtar për Integrimin Evropian </w:t>
            </w:r>
            <w:r w:rsidR="16BC788C" w:rsidRPr="30EE1AA0">
              <w:rPr>
                <w:rStyle w:val="IASOIChar"/>
                <w:rFonts w:ascii="Times New Roman" w:hAnsi="Times New Roman"/>
                <w:b w:val="0"/>
                <w:sz w:val="24"/>
                <w:szCs w:val="24"/>
                <w:lang w:val="sq-AL"/>
              </w:rPr>
              <w:t>(PKIE) 2025-2027</w:t>
            </w:r>
          </w:p>
          <w:p w14:paraId="4A7FE298" w14:textId="77777777" w:rsidR="009C7F34" w:rsidRDefault="009C7F34" w:rsidP="00D756B5">
            <w:pPr>
              <w:spacing w:line="276" w:lineRule="auto"/>
              <w:jc w:val="both"/>
              <w:rPr>
                <w:rStyle w:val="IASOIChar"/>
                <w:rFonts w:ascii="Times New Roman" w:hAnsi="Times New Roman"/>
                <w:b w:val="0"/>
                <w:sz w:val="24"/>
                <w:szCs w:val="24"/>
                <w:lang w:val="sq-AL"/>
              </w:rPr>
            </w:pPr>
          </w:p>
          <w:p w14:paraId="3EE089AB" w14:textId="77777777" w:rsidR="009C7F34" w:rsidRDefault="009C7F34" w:rsidP="00D756B5">
            <w:pPr>
              <w:spacing w:line="276" w:lineRule="auto"/>
              <w:jc w:val="both"/>
              <w:rPr>
                <w:rStyle w:val="IASOIChar"/>
                <w:rFonts w:ascii="Times New Roman" w:hAnsi="Times New Roman"/>
                <w:b w:val="0"/>
                <w:sz w:val="24"/>
                <w:szCs w:val="24"/>
                <w:lang w:val="sq-AL"/>
              </w:rPr>
            </w:pPr>
            <w:r w:rsidRPr="009C7F34">
              <w:rPr>
                <w:rStyle w:val="IASOIChar"/>
                <w:rFonts w:ascii="Times New Roman" w:hAnsi="Times New Roman"/>
                <w:b w:val="0"/>
                <w:sz w:val="24"/>
                <w:szCs w:val="24"/>
                <w:lang w:val="sq-AL"/>
              </w:rPr>
              <w:t>Raportit të Progresit 2024 të Komisionit Evropian, të publikuar më 30 tetor 2024</w:t>
            </w:r>
          </w:p>
          <w:p w14:paraId="08FE5281" w14:textId="77777777" w:rsidR="009C7F34" w:rsidRPr="009C7F34" w:rsidRDefault="009C7F34" w:rsidP="00D756B5">
            <w:pPr>
              <w:spacing w:line="276" w:lineRule="auto"/>
              <w:jc w:val="both"/>
              <w:rPr>
                <w:rStyle w:val="IASOIChar"/>
                <w:rFonts w:ascii="Times New Roman" w:hAnsi="Times New Roman"/>
                <w:b w:val="0"/>
                <w:sz w:val="24"/>
                <w:szCs w:val="24"/>
                <w:lang w:val="sq-AL"/>
              </w:rPr>
            </w:pPr>
          </w:p>
          <w:p w14:paraId="470E3418" w14:textId="77777777" w:rsidR="009C7F34" w:rsidRDefault="009C7F34" w:rsidP="00D756B5">
            <w:pPr>
              <w:spacing w:line="276" w:lineRule="auto"/>
              <w:jc w:val="both"/>
              <w:rPr>
                <w:rStyle w:val="IASOIChar"/>
                <w:rFonts w:ascii="Times New Roman" w:hAnsi="Times New Roman"/>
                <w:b w:val="0"/>
                <w:sz w:val="24"/>
                <w:szCs w:val="24"/>
                <w:lang w:val="sq-AL"/>
              </w:rPr>
            </w:pPr>
            <w:r w:rsidRPr="009C7F34">
              <w:rPr>
                <w:rStyle w:val="IASOIChar"/>
                <w:rFonts w:ascii="Times New Roman" w:hAnsi="Times New Roman"/>
                <w:b w:val="0"/>
                <w:sz w:val="24"/>
                <w:szCs w:val="24"/>
                <w:lang w:val="sq-AL"/>
              </w:rPr>
              <w:t>Marrëveshja e Stabilizim-Asociimit (MSA)</w:t>
            </w:r>
          </w:p>
          <w:p w14:paraId="042C1604" w14:textId="77777777" w:rsidR="009C7F34" w:rsidRPr="009C7F34" w:rsidRDefault="009C7F34" w:rsidP="00D756B5">
            <w:pPr>
              <w:spacing w:line="276" w:lineRule="auto"/>
              <w:jc w:val="both"/>
              <w:rPr>
                <w:rStyle w:val="IASOIChar"/>
                <w:rFonts w:ascii="Times New Roman" w:hAnsi="Times New Roman"/>
                <w:b w:val="0"/>
                <w:sz w:val="24"/>
                <w:szCs w:val="24"/>
                <w:lang w:val="sq-AL"/>
              </w:rPr>
            </w:pPr>
          </w:p>
          <w:p w14:paraId="06F167CC" w14:textId="77777777" w:rsidR="009C7F34" w:rsidRDefault="009C7F34" w:rsidP="00D756B5">
            <w:pPr>
              <w:spacing w:line="276" w:lineRule="auto"/>
              <w:jc w:val="both"/>
              <w:rPr>
                <w:rStyle w:val="IASOIChar"/>
                <w:rFonts w:ascii="Times New Roman" w:hAnsi="Times New Roman"/>
                <w:b w:val="0"/>
                <w:sz w:val="24"/>
                <w:szCs w:val="24"/>
                <w:lang w:val="sq-AL"/>
              </w:rPr>
            </w:pPr>
            <w:r w:rsidRPr="009C7F34">
              <w:rPr>
                <w:rStyle w:val="IASOIChar"/>
                <w:rFonts w:ascii="Times New Roman" w:hAnsi="Times New Roman"/>
                <w:b w:val="0"/>
                <w:sz w:val="24"/>
                <w:szCs w:val="24"/>
                <w:lang w:val="sq-AL"/>
              </w:rPr>
              <w:t>Strategjia Kombëtare për Zhvillim dhe Integrim (SKZHI) 2030</w:t>
            </w:r>
          </w:p>
          <w:p w14:paraId="7554A789" w14:textId="77777777" w:rsidR="009C7F34" w:rsidRPr="009C7F34" w:rsidRDefault="009C7F34" w:rsidP="00D756B5">
            <w:pPr>
              <w:spacing w:line="276" w:lineRule="auto"/>
              <w:jc w:val="both"/>
              <w:rPr>
                <w:rStyle w:val="IASOIChar"/>
                <w:rFonts w:ascii="Times New Roman" w:hAnsi="Times New Roman"/>
                <w:b w:val="0"/>
                <w:sz w:val="24"/>
                <w:szCs w:val="24"/>
                <w:lang w:val="sq-AL"/>
              </w:rPr>
            </w:pPr>
          </w:p>
          <w:p w14:paraId="76279FE0" w14:textId="77777777" w:rsidR="009C7F34" w:rsidRDefault="009C7F34" w:rsidP="00D756B5">
            <w:pPr>
              <w:spacing w:line="276" w:lineRule="auto"/>
              <w:jc w:val="both"/>
              <w:rPr>
                <w:rStyle w:val="IASOIChar"/>
                <w:rFonts w:ascii="Times New Roman" w:hAnsi="Times New Roman"/>
                <w:b w:val="0"/>
                <w:sz w:val="24"/>
                <w:szCs w:val="24"/>
                <w:lang w:val="sq-AL"/>
              </w:rPr>
            </w:pPr>
            <w:r w:rsidRPr="009C7F34">
              <w:rPr>
                <w:rStyle w:val="IASOIChar"/>
                <w:rFonts w:ascii="Times New Roman" w:hAnsi="Times New Roman"/>
                <w:b w:val="0"/>
                <w:sz w:val="24"/>
                <w:szCs w:val="24"/>
                <w:lang w:val="sq-AL"/>
              </w:rPr>
              <w:t>Strategjia Kombëtare e Zhvillimit të Sipërmarrjes Inovative 2025-2030</w:t>
            </w:r>
          </w:p>
          <w:p w14:paraId="48C38E15" w14:textId="77777777" w:rsidR="009C7F34" w:rsidRPr="009C7F34" w:rsidRDefault="009C7F34" w:rsidP="00D756B5">
            <w:pPr>
              <w:spacing w:line="276" w:lineRule="auto"/>
              <w:jc w:val="both"/>
              <w:rPr>
                <w:rStyle w:val="IASOIChar"/>
                <w:rFonts w:ascii="Times New Roman" w:hAnsi="Times New Roman"/>
                <w:b w:val="0"/>
                <w:sz w:val="24"/>
                <w:szCs w:val="24"/>
                <w:lang w:val="sq-AL"/>
              </w:rPr>
            </w:pPr>
          </w:p>
          <w:p w14:paraId="3B8D28C1" w14:textId="0E3DDD33" w:rsidR="00B5039C" w:rsidRPr="00325A1F" w:rsidRDefault="009C7F34" w:rsidP="009C7F34">
            <w:pPr>
              <w:spacing w:line="276" w:lineRule="auto"/>
              <w:jc w:val="both"/>
              <w:rPr>
                <w:szCs w:val="24"/>
                <w:lang w:val="sq-AL"/>
              </w:rPr>
            </w:pPr>
            <w:r w:rsidRPr="009C7F34">
              <w:rPr>
                <w:rStyle w:val="IASOIChar"/>
                <w:rFonts w:ascii="Times New Roman" w:hAnsi="Times New Roman"/>
                <w:b w:val="0"/>
                <w:sz w:val="24"/>
                <w:szCs w:val="24"/>
                <w:lang w:val="sq-AL"/>
              </w:rPr>
              <w:t>Strategjia për Zhvillimin e Biznesit dhe Investimeve (BIDS)</w:t>
            </w:r>
          </w:p>
        </w:tc>
      </w:tr>
      <w:tr w:rsidR="00B5039C" w:rsidRPr="00325A1F" w14:paraId="47842E49" w14:textId="77777777" w:rsidTr="30EE1AA0">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B0711AF" w14:textId="77777777" w:rsidR="00B5039C" w:rsidRPr="00325A1F" w:rsidRDefault="4C83B0A3" w:rsidP="30EE1AA0">
            <w:pPr>
              <w:spacing w:line="276" w:lineRule="auto"/>
              <w:rPr>
                <w:b/>
                <w:bCs/>
                <w:lang w:val="sq-AL"/>
              </w:rPr>
            </w:pPr>
            <w:r w:rsidRPr="30EE1AA0">
              <w:rPr>
                <w:b/>
                <w:bCs/>
                <w:lang w:val="sq-AL"/>
              </w:rPr>
              <w:t>DATA E KONSULTIMIT PUBLIK</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3E565E" w14:textId="69A3605B" w:rsidR="00B5039C" w:rsidRPr="00325A1F" w:rsidRDefault="00331272" w:rsidP="30EE1AA0">
            <w:pPr>
              <w:spacing w:line="276" w:lineRule="auto"/>
              <w:rPr>
                <w:lang w:val="sq-AL"/>
              </w:rPr>
            </w:pPr>
            <w:sdt>
              <w:sdtPr>
                <w:rPr>
                  <w:lang w:val="en-US"/>
                </w:rPr>
                <w:alias w:val="Data/Asnjë konsultim publik"/>
                <w:tag w:val="Data/Asnjë konsultim publik"/>
                <w:id w:val="2012326733"/>
                <w:placeholder>
                  <w:docPart w:val="38C4388889164EF79F2F36295DAF2652"/>
                </w:placeholder>
                <w:date w:fullDate="2025-08-11T00:00:00Z">
                  <w:dateFormat w:val="dd/MM/yyyy"/>
                  <w:lid w:val="en-US"/>
                  <w:storeMappedDataAs w:val="dateTime"/>
                  <w:calendar w:val="gregorian"/>
                </w:date>
              </w:sdtPr>
              <w:sdtEndPr/>
              <w:sdtContent>
                <w:r w:rsidR="00E31DDC">
                  <w:rPr>
                    <w:lang w:val="en-US"/>
                  </w:rPr>
                  <w:t>11/08/2025</w:t>
                </w:r>
              </w:sdtContent>
            </w:sdt>
            <w:r w:rsidR="00E31DDC">
              <w:rPr>
                <w:lang w:val="en-US"/>
              </w:rPr>
              <w:t xml:space="preserve"> </w:t>
            </w:r>
            <w:r>
              <w:rPr>
                <w:lang w:val="en-US"/>
              </w:rPr>
              <w:t>–</w:t>
            </w:r>
            <w:r w:rsidR="00E31DDC">
              <w:rPr>
                <w:lang w:val="en-US"/>
              </w:rPr>
              <w:t xml:space="preserve"> 8</w:t>
            </w:r>
            <w:r>
              <w:rPr>
                <w:lang w:val="en-US"/>
              </w:rPr>
              <w:t>/</w:t>
            </w:r>
            <w:r w:rsidR="00E31DDC">
              <w:rPr>
                <w:lang w:val="en-US"/>
              </w:rPr>
              <w:t>09</w:t>
            </w:r>
            <w:r>
              <w:rPr>
                <w:lang w:val="en-US"/>
              </w:rPr>
              <w:t>/</w:t>
            </w:r>
            <w:r w:rsidR="00E31DDC">
              <w:rPr>
                <w:lang w:val="en-US"/>
              </w:rPr>
              <w:t>2025</w:t>
            </w:r>
          </w:p>
        </w:tc>
      </w:tr>
      <w:tr w:rsidR="00B5039C" w:rsidRPr="00331272" w14:paraId="50680A5A" w14:textId="77777777" w:rsidTr="30EE1AA0">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4F09411" w14:textId="77777777" w:rsidR="00B5039C" w:rsidRPr="00325A1F" w:rsidRDefault="00B5039C" w:rsidP="00B5039C">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6D1916" w14:textId="173F7107" w:rsidR="00B5039C" w:rsidRPr="00325A1F" w:rsidRDefault="00331272" w:rsidP="00B5039C">
            <w:pPr>
              <w:spacing w:line="276" w:lineRule="auto"/>
              <w:jc w:val="both"/>
              <w:rPr>
                <w:szCs w:val="24"/>
                <w:lang w:val="sq-AL"/>
              </w:rPr>
            </w:pPr>
            <w:sdt>
              <w:sdtPr>
                <w:rPr>
                  <w:szCs w:val="24"/>
                  <w:lang w:val="en-US"/>
                </w:rPr>
                <w:alias w:val="përfundimi  vlerësimit të ndikimit/versioni i fundit i vlerësimi"/>
                <w:tag w:val="Data e përfundimit të vlerësimit të ndikimit/Data kur është përgatitur versioni i fundit të vlerësimit të ndikimit"/>
                <w:id w:val="339123984"/>
                <w:placeholder>
                  <w:docPart w:val="0D4FAF7B9A8E4D57B2B5C5E1F1170ACB"/>
                </w:placeholder>
                <w:date w:fullDate="2025-11-05T00:00:00Z">
                  <w:dateFormat w:val="dd/MM/yyyy"/>
                  <w:lid w:val="en-US"/>
                  <w:storeMappedDataAs w:val="dateTime"/>
                  <w:calendar w:val="gregorian"/>
                </w:date>
              </w:sdtPr>
              <w:sdtEndPr/>
              <w:sdtContent>
                <w:r>
                  <w:rPr>
                    <w:szCs w:val="24"/>
                    <w:lang w:val="en-US"/>
                  </w:rPr>
                  <w:t>05/11/2025</w:t>
                </w:r>
              </w:sdtContent>
            </w:sdt>
          </w:p>
        </w:tc>
      </w:tr>
      <w:tr w:rsidR="00B5039C" w:rsidRPr="00325A1F" w14:paraId="7061BFBA" w14:textId="77777777" w:rsidTr="30EE1AA0">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6202BA" w14:textId="77777777" w:rsidR="00B5039C" w:rsidRPr="00325A1F" w:rsidRDefault="00B5039C" w:rsidP="00B5039C">
            <w:pPr>
              <w:spacing w:line="276" w:lineRule="auto"/>
              <w:rPr>
                <w:b/>
                <w:szCs w:val="24"/>
                <w:lang w:val="sq-AL"/>
              </w:rPr>
            </w:pPr>
            <w:r w:rsidRPr="00325A1F">
              <w:rPr>
                <w:b/>
                <w:szCs w:val="24"/>
                <w:lang w:val="sq-AL"/>
              </w:rPr>
              <w:t xml:space="preserve">A E KA SHQYRTUAR KRYEMINISTRIA VLERËSIMIN E NDIKIMIT? </w:t>
            </w:r>
          </w:p>
          <w:p w14:paraId="450F5FDA" w14:textId="77777777" w:rsidR="00B5039C" w:rsidRPr="00325A1F" w:rsidRDefault="00B5039C" w:rsidP="00B5039C">
            <w:pPr>
              <w:spacing w:line="276" w:lineRule="auto"/>
              <w:rPr>
                <w:b/>
                <w:szCs w:val="24"/>
                <w:lang w:val="sq-AL"/>
              </w:rPr>
            </w:pPr>
            <w:r w:rsidRPr="00325A1F">
              <w:rPr>
                <w:b/>
                <w:szCs w:val="24"/>
                <w:lang w:val="sq-AL"/>
              </w:rPr>
              <w:t>NËSE PO, JEPNI DATËN E SHQYRTIMIT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9178B7" w14:textId="77777777" w:rsidR="0026327C" w:rsidRDefault="008563D8" w:rsidP="30EE1AA0">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Po,</w:t>
            </w:r>
          </w:p>
          <w:p w14:paraId="5CA42B20" w14:textId="530BA612" w:rsidR="00B5039C" w:rsidRPr="0026327C" w:rsidRDefault="0026327C" w:rsidP="30EE1AA0">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11.08.2025</w:t>
            </w:r>
            <w:r w:rsidR="00B5039C">
              <w:rPr>
                <w:rStyle w:val="IASOIChar"/>
                <w:rFonts w:ascii="Times New Roman" w:hAnsi="Times New Roman"/>
                <w:b w:val="0"/>
                <w:sz w:val="24"/>
                <w:szCs w:val="24"/>
              </w:rPr>
              <w:fldChar w:fldCharType="begin"/>
            </w:r>
            <w:bookmarkStart w:id="2" w:name="ShqyrtuarKM"/>
            <w:r w:rsidR="094CA85D" w:rsidRPr="00D756B5">
              <w:rPr>
                <w:rStyle w:val="IASOIChar"/>
                <w:rFonts w:ascii="Times New Roman" w:hAnsi="Times New Roman"/>
                <w:b w:val="0"/>
                <w:sz w:val="24"/>
                <w:szCs w:val="24"/>
                <w:lang w:val="it-IT"/>
              </w:rPr>
              <w:instrText>Po,</w:instrText>
            </w:r>
          </w:p>
          <w:p w14:paraId="79DD1691" w14:textId="77777777" w:rsidR="00B5039C" w:rsidRPr="00D756B5" w:rsidRDefault="00B5039C" w:rsidP="00B5039C">
            <w:pPr>
              <w:spacing w:line="276" w:lineRule="auto"/>
              <w:rPr>
                <w:rStyle w:val="IASOIChar"/>
                <w:rFonts w:ascii="Times New Roman" w:hAnsi="Times New Roman"/>
                <w:b w:val="0"/>
                <w:sz w:val="24"/>
                <w:szCs w:val="24"/>
                <w:lang w:val="it-IT"/>
              </w:rPr>
            </w:pPr>
            <w:r w:rsidRPr="00D756B5">
              <w:rPr>
                <w:rStyle w:val="IASOIChar"/>
                <w:rFonts w:ascii="Times New Roman" w:hAnsi="Times New Roman"/>
                <w:b w:val="0"/>
                <w:sz w:val="24"/>
                <w:szCs w:val="24"/>
                <w:lang w:val="it-IT"/>
              </w:rPr>
              <w:instrText xml:space="preserve"> FORMDROPDOWN </w:instrText>
            </w:r>
            <w:r>
              <w:rPr>
                <w:rStyle w:val="IASOIChar"/>
                <w:rFonts w:ascii="Times New Roman" w:hAnsi="Times New Roman"/>
                <w:b w:val="0"/>
                <w:sz w:val="24"/>
                <w:szCs w:val="24"/>
              </w:rPr>
              <w:fldChar w:fldCharType="end"/>
            </w:r>
            <w:bookmarkEnd w:id="2"/>
          </w:p>
          <w:p w14:paraId="7DD8FFC3" w14:textId="2A0B1EFD" w:rsidR="30EE1AA0" w:rsidRPr="00D756B5" w:rsidRDefault="30EE1AA0" w:rsidP="30EE1AA0">
            <w:pPr>
              <w:spacing w:line="276" w:lineRule="auto"/>
              <w:rPr>
                <w:rStyle w:val="IASOIChar"/>
                <w:rFonts w:ascii="Times New Roman" w:hAnsi="Times New Roman"/>
                <w:b w:val="0"/>
                <w:sz w:val="24"/>
                <w:szCs w:val="24"/>
                <w:lang w:val="it-IT"/>
              </w:rPr>
            </w:pPr>
          </w:p>
          <w:p w14:paraId="31B7B9DA" w14:textId="1180B21D" w:rsidR="00B5039C" w:rsidRPr="00325A1F" w:rsidRDefault="00331272" w:rsidP="00B5039C">
            <w:pPr>
              <w:tabs>
                <w:tab w:val="left" w:pos="795"/>
              </w:tabs>
              <w:spacing w:line="276" w:lineRule="auto"/>
              <w:jc w:val="both"/>
              <w:rPr>
                <w:szCs w:val="24"/>
                <w:lang w:val="sq-AL"/>
              </w:rPr>
            </w:pPr>
            <w:sdt>
              <w:sdtPr>
                <w:rPr>
                  <w:rFonts w:ascii="Arial" w:eastAsia="SimSun" w:hAnsi="Arial"/>
                  <w:b/>
                  <w:color w:val="000000"/>
                  <w:spacing w:val="-5"/>
                  <w:sz w:val="22"/>
                  <w:szCs w:val="24"/>
                  <w:lang w:val="en-US" w:eastAsia="zh-CN"/>
                </w:rPr>
                <w:alias w:val="Data e shqyrtimit nga Kryeministria"/>
                <w:tag w:val="Data e shqyrtimit nga Kryeministria"/>
                <w:id w:val="-1285451"/>
                <w:placeholder>
                  <w:docPart w:val="F0F12F16F9DC497B85B62E325CC72A54"/>
                </w:placeholder>
                <w:showingPlcHdr/>
                <w:date w:fullDate="2024-12-18T00:00:00Z">
                  <w:dateFormat w:val="dd/MM/yyyy"/>
                  <w:lid w:val="en-US"/>
                  <w:storeMappedDataAs w:val="dateTime"/>
                  <w:calendar w:val="gregorian"/>
                </w:date>
              </w:sdtPr>
              <w:sdtEndPr/>
              <w:sdtContent>
                <w:r w:rsidR="00B40F73" w:rsidRPr="003B5CBC">
                  <w:rPr>
                    <w:rStyle w:val="PlaceholderText"/>
                    <w:rFonts w:eastAsiaTheme="majorEastAsia"/>
                  </w:rPr>
                  <w:t>Data e shqyrtimit</w:t>
                </w:r>
              </w:sdtContent>
            </w:sdt>
          </w:p>
        </w:tc>
      </w:tr>
      <w:tr w:rsidR="00B5039C" w:rsidRPr="00525217" w14:paraId="1D857501" w14:textId="77777777" w:rsidTr="30EE1AA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05331C" w14:textId="77777777" w:rsidR="00B5039C" w:rsidRPr="00325A1F" w:rsidRDefault="00B5039C" w:rsidP="00B5039C">
            <w:pPr>
              <w:spacing w:line="276" w:lineRule="auto"/>
              <w:rPr>
                <w:b/>
                <w:szCs w:val="24"/>
                <w:lang w:val="sq-AL"/>
              </w:rPr>
            </w:pPr>
            <w:r w:rsidRPr="00325A1F">
              <w:rPr>
                <w:b/>
                <w:szCs w:val="24"/>
                <w:lang w:val="sq-AL"/>
              </w:rPr>
              <w:t>NUMRI I VLERËSIMIT TË NDIKIMIT</w:t>
            </w:r>
          </w:p>
        </w:tc>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86B2C7" w14:textId="4518108C" w:rsidR="00B5039C" w:rsidRPr="00325A1F" w:rsidRDefault="0026327C" w:rsidP="00B5039C">
            <w:pPr>
              <w:spacing w:line="276" w:lineRule="auto"/>
              <w:rPr>
                <w:szCs w:val="24"/>
                <w:lang w:val="sq-AL"/>
              </w:rPr>
            </w:pPr>
            <w:r>
              <w:rPr>
                <w:szCs w:val="24"/>
                <w:lang w:val="sq-AL"/>
              </w:rPr>
              <w:t>2025-MEKI-Nr.5</w:t>
            </w:r>
          </w:p>
        </w:tc>
      </w:tr>
      <w:tr w:rsidR="00B5039C" w:rsidRPr="00331272" w14:paraId="133E3AB0" w14:textId="77777777" w:rsidTr="30EE1AA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E672D1" w14:textId="77777777" w:rsidR="00B5039C" w:rsidRPr="00325A1F" w:rsidRDefault="00B5039C" w:rsidP="00B5039C">
            <w:pPr>
              <w:spacing w:line="276" w:lineRule="auto"/>
              <w:rPr>
                <w:b/>
                <w:szCs w:val="24"/>
                <w:lang w:val="sq-AL"/>
              </w:rPr>
            </w:pPr>
            <w:r w:rsidRPr="00325A1F">
              <w:rPr>
                <w:b/>
                <w:szCs w:val="24"/>
                <w:lang w:val="sq-AL"/>
              </w:rPr>
              <w:t xml:space="preserve">TE DHËNA KONTAKTI </w:t>
            </w:r>
          </w:p>
          <w:p w14:paraId="5ACF9264" w14:textId="77777777" w:rsidR="00B5039C" w:rsidRPr="00325A1F" w:rsidRDefault="00B5039C" w:rsidP="00B5039C">
            <w:pPr>
              <w:spacing w:line="276" w:lineRule="auto"/>
              <w:rPr>
                <w:b/>
                <w:szCs w:val="24"/>
                <w:lang w:val="sq-AL"/>
              </w:rPr>
            </w:pPr>
            <w:r w:rsidRPr="00325A1F">
              <w:rPr>
                <w:b/>
                <w:szCs w:val="24"/>
                <w:lang w:val="sq-AL"/>
              </w:rPr>
              <w:t>(EMRI, E-MAIL, NUMRI I TELEFONIT TË PERSONIT TË KONTAKTIT)</w:t>
            </w:r>
          </w:p>
        </w:tc>
        <w:sdt>
          <w:sdtPr>
            <w:rPr>
              <w:lang w:val="sq-AL"/>
            </w:rPr>
            <w:id w:val="1361013490"/>
            <w:placeholder>
              <w:docPart w:val="44A516C976744553A16103A31B359EBF"/>
            </w:placeholder>
          </w:sdtPr>
          <w:sdtEndPr/>
          <w:sdtContent>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7D4DDD7" w14:textId="77777777" w:rsidR="00E31DDC" w:rsidRDefault="4C83B0A3" w:rsidP="30EE1AA0">
                <w:pPr>
                  <w:spacing w:line="276" w:lineRule="auto"/>
                  <w:jc w:val="both"/>
                  <w:rPr>
                    <w:lang w:val="sq-AL"/>
                  </w:rPr>
                </w:pPr>
                <w:r w:rsidRPr="30EE1AA0">
                  <w:rPr>
                    <w:lang w:val="sq-AL"/>
                  </w:rPr>
                  <w:t xml:space="preserve"> </w:t>
                </w:r>
                <w:r w:rsidR="00E31DDC">
                  <w:rPr>
                    <w:lang w:val="sq-AL"/>
                  </w:rPr>
                  <w:t>Eralda Shtylla</w:t>
                </w:r>
              </w:p>
              <w:p w14:paraId="682FF7B1" w14:textId="68009C9B" w:rsidR="00B5039C" w:rsidRPr="00325A1F" w:rsidRDefault="00E31DDC" w:rsidP="30EE1AA0">
                <w:pPr>
                  <w:spacing w:line="276" w:lineRule="auto"/>
                  <w:jc w:val="both"/>
                  <w:rPr>
                    <w:lang w:val="sq-AL"/>
                  </w:rPr>
                </w:pPr>
                <w:r>
                  <w:rPr>
                    <w:lang w:val="sq-AL"/>
                  </w:rPr>
                  <w:t>Eralda.shtylla@meki.gov.al</w:t>
                </w:r>
              </w:p>
            </w:tc>
          </w:sdtContent>
        </w:sdt>
      </w:tr>
      <w:tr w:rsidR="00B5039C" w:rsidRPr="00331272" w14:paraId="1949941C" w14:textId="77777777" w:rsidTr="30EE1AA0">
        <w:trPr>
          <w:trHeight w:val="162"/>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E2F4E" w14:textId="77777777" w:rsidR="00B5039C" w:rsidRPr="00325A1F" w:rsidRDefault="00B5039C" w:rsidP="00B5039C">
            <w:pPr>
              <w:spacing w:line="276" w:lineRule="auto"/>
              <w:jc w:val="both"/>
              <w:rPr>
                <w:b/>
                <w:szCs w:val="24"/>
                <w:lang w:val="sq-AL"/>
              </w:rPr>
            </w:pPr>
          </w:p>
        </w:tc>
      </w:tr>
      <w:tr w:rsidR="00B5039C" w:rsidRPr="00331272" w14:paraId="0FF62170" w14:textId="77777777" w:rsidTr="30EE1AA0">
        <w:trPr>
          <w:trHeight w:val="353"/>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C3C8AB" w14:textId="77777777" w:rsidR="00B5039C" w:rsidRPr="00325A1F" w:rsidRDefault="4C83B0A3" w:rsidP="30EE1AA0">
            <w:pPr>
              <w:spacing w:line="276" w:lineRule="auto"/>
              <w:jc w:val="both"/>
              <w:rPr>
                <w:b/>
                <w:bCs/>
                <w:lang w:val="sq-AL"/>
              </w:rPr>
            </w:pPr>
            <w:r w:rsidRPr="30EE1AA0">
              <w:rPr>
                <w:b/>
                <w:bCs/>
                <w:lang w:val="sq-AL"/>
              </w:rPr>
              <w:t>PJESA 1: PËRMBLEDHJE EKZEKUTIVE (maksimumi 2 faqe)</w:t>
            </w:r>
          </w:p>
        </w:tc>
      </w:tr>
      <w:tr w:rsidR="00B5039C" w:rsidRPr="00331272" w14:paraId="12A16548" w14:textId="77777777" w:rsidTr="30EE1AA0">
        <w:trPr>
          <w:trHeight w:val="552"/>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8CF1" w14:textId="77777777" w:rsidR="00B5039C" w:rsidRPr="00325A1F" w:rsidRDefault="4C83B0A3" w:rsidP="30EE1AA0">
            <w:pPr>
              <w:spacing w:line="276" w:lineRule="auto"/>
              <w:jc w:val="both"/>
              <w:rPr>
                <w:b/>
                <w:bCs/>
                <w:lang w:val="sq-AL"/>
              </w:rPr>
            </w:pPr>
            <w:r w:rsidRPr="30EE1AA0">
              <w:rPr>
                <w:b/>
                <w:bCs/>
                <w:lang w:val="sq-AL"/>
              </w:rPr>
              <w:t>PËRKUFIZIMI I PROBLEMIT</w:t>
            </w:r>
          </w:p>
          <w:p w14:paraId="35C4EFCA" w14:textId="77777777" w:rsidR="00B5039C" w:rsidRPr="00112C42" w:rsidRDefault="00B5039C" w:rsidP="00B5039C">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3" w:name="PerkufizimProblemi"/>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3"/>
          </w:p>
          <w:p w14:paraId="56F58F19" w14:textId="77777777" w:rsidR="00B40F73" w:rsidRPr="00112C42" w:rsidRDefault="00B40F73" w:rsidP="00B5039C">
            <w:pPr>
              <w:spacing w:line="276" w:lineRule="auto"/>
              <w:jc w:val="both"/>
              <w:rPr>
                <w:i/>
                <w:szCs w:val="24"/>
                <w:lang w:val="sq-AL"/>
              </w:rPr>
            </w:pPr>
          </w:p>
          <w:p w14:paraId="25494881" w14:textId="3FF8EC01" w:rsidR="0026327C" w:rsidRDefault="00053C0A" w:rsidP="0026327C">
            <w:pPr>
              <w:spacing w:line="276" w:lineRule="auto"/>
              <w:jc w:val="both"/>
              <w:rPr>
                <w:iCs/>
                <w:szCs w:val="24"/>
                <w:lang w:val="sq-AL"/>
              </w:rPr>
            </w:pPr>
            <w:r w:rsidRPr="00053C0A">
              <w:rPr>
                <w:iCs/>
                <w:szCs w:val="24"/>
                <w:lang w:val="sq-AL"/>
              </w:rPr>
              <w:t xml:space="preserve">Procesi i harmonizimit </w:t>
            </w:r>
            <w:r w:rsidR="00B86994" w:rsidRPr="00D756B5">
              <w:rPr>
                <w:lang w:val="sq-AL"/>
              </w:rPr>
              <w:t xml:space="preserve"> </w:t>
            </w:r>
            <w:r w:rsidR="00B86994">
              <w:rPr>
                <w:iCs/>
                <w:szCs w:val="24"/>
                <w:lang w:val="sq-AL"/>
              </w:rPr>
              <w:t>të l</w:t>
            </w:r>
            <w:r w:rsidR="00B86994" w:rsidRPr="00B86994">
              <w:rPr>
                <w:iCs/>
                <w:szCs w:val="24"/>
                <w:lang w:val="sq-AL"/>
              </w:rPr>
              <w:t>igji</w:t>
            </w:r>
            <w:r w:rsidR="00B86994">
              <w:rPr>
                <w:iCs/>
                <w:szCs w:val="24"/>
                <w:lang w:val="sq-AL"/>
              </w:rPr>
              <w:t>t</w:t>
            </w:r>
            <w:r w:rsidR="00B86994" w:rsidRPr="00B86994">
              <w:rPr>
                <w:iCs/>
                <w:szCs w:val="24"/>
                <w:lang w:val="sq-AL"/>
              </w:rPr>
              <w:t xml:space="preserve"> nr. 9901/2008 për tregtarët dhe shoqëritë tregtare (“ligji për shoqëritë tregtare” ose “ligji 9901/2208”) </w:t>
            </w:r>
            <w:r w:rsidRPr="00053C0A">
              <w:rPr>
                <w:iCs/>
                <w:szCs w:val="24"/>
                <w:lang w:val="sq-AL"/>
              </w:rPr>
              <w:t xml:space="preserve">në Shqipëri me acquis-in e Bashkimit Evropian, nën Kapitullin 6, është një aspekt kyç i integrimit të Shqipërisë në BE. </w:t>
            </w:r>
            <w:r w:rsidR="00B86994" w:rsidRPr="00D756B5">
              <w:rPr>
                <w:lang w:val="sq-AL"/>
              </w:rPr>
              <w:t xml:space="preserve"> </w:t>
            </w:r>
            <w:r w:rsidR="00B86994" w:rsidRPr="00B86994">
              <w:rPr>
                <w:iCs/>
                <w:szCs w:val="24"/>
                <w:lang w:val="sq-AL"/>
              </w:rPr>
              <w:t xml:space="preserve">Problemet kryesore lidhen me mungesën e rregullave të qarta për regjistrimin dhe çregjistrimin digjital të degëve, kufizimet e pamjaftueshme mbi pastërtinë ligjore të administratorëve, si dhe mungesën e mekanizmave për kufizimin dhe kthimin e shpërndarjeve të paligjshme të fitimit. Po ashtu, nuk rregullohen në mënyrë të plotë zotërimi dhe përdorimi i aksioneve të veta, dhënia e tyre si garanci dhe ndalimi i ndihmës financiare për blerjen e tyre, duke krijuar hapësira për abuzime dhe pasiguri. </w:t>
            </w:r>
            <w:r w:rsidR="00C035DC">
              <w:rPr>
                <w:iCs/>
                <w:szCs w:val="24"/>
                <w:lang w:val="sq-AL"/>
              </w:rPr>
              <w:t xml:space="preserve"> Në vijim, me hapjen e negociatave për kapitujt specifik, dhe publikimin e EU Common Position – Cluster 2: Internal </w:t>
            </w:r>
            <w:r w:rsidR="00C035DC">
              <w:rPr>
                <w:iCs/>
                <w:szCs w:val="24"/>
                <w:lang w:val="sq-AL"/>
              </w:rPr>
              <w:lastRenderedPageBreak/>
              <w:t xml:space="preserve">Market, BE ka përcaktuar si piketa përmbyllëse (ndër të tjera) së Shqipëria </w:t>
            </w:r>
            <w:r w:rsidR="00C035DC" w:rsidRPr="00646858">
              <w:rPr>
                <w:iCs/>
                <w:szCs w:val="24"/>
                <w:lang w:val="sq-AL"/>
              </w:rPr>
              <w:t>duhet të përafojë legjislacionin e saj me dispozitat e përgjithshme të acquis së BE</w:t>
            </w:r>
            <w:r w:rsidR="00C035DC" w:rsidRPr="00646858">
              <w:rPr>
                <w:iCs/>
                <w:szCs w:val="24"/>
                <w:lang w:val="sq-AL"/>
              </w:rPr>
              <w:noBreakHyphen/>
              <w:t xml:space="preserve">së për të drejtën e shoqërive tregtare dhe për themelimin e funksionimin e shoqërive me përgjegjësi të kufizuar, bashkimeve dhe ndarjeve të brendshme si edhe </w:t>
            </w:r>
            <w:r w:rsidR="00C035DC">
              <w:rPr>
                <w:iCs/>
                <w:szCs w:val="24"/>
                <w:lang w:val="sq-AL"/>
              </w:rPr>
              <w:t>shnd</w:t>
            </w:r>
            <w:r w:rsidR="00C035DC" w:rsidRPr="00EB3BB4">
              <w:rPr>
                <w:iCs/>
                <w:szCs w:val="24"/>
                <w:lang w:val="sq-AL"/>
              </w:rPr>
              <w:t>ë</w:t>
            </w:r>
            <w:r w:rsidR="00C035DC">
              <w:rPr>
                <w:iCs/>
                <w:szCs w:val="24"/>
                <w:lang w:val="sq-AL"/>
              </w:rPr>
              <w:t>rrimeve</w:t>
            </w:r>
            <w:r w:rsidR="00C035DC" w:rsidRPr="00646858">
              <w:rPr>
                <w:iCs/>
                <w:szCs w:val="24"/>
                <w:lang w:val="sq-AL"/>
              </w:rPr>
              <w:t>, bashkimeve dhe ndarjeve ndërkufitare. Gjithashtu, Shqipëria duhet te këtë përafruar legjislacionin e saj me Direktivën për të Drejtat e Aksionarëve (e ndryshuar).</w:t>
            </w:r>
            <w:r w:rsidR="00C035DC">
              <w:rPr>
                <w:rStyle w:val="FootnoteReference"/>
                <w:iCs/>
                <w:szCs w:val="24"/>
                <w:lang w:val="sq-AL"/>
              </w:rPr>
              <w:footnoteReference w:id="2"/>
            </w:r>
          </w:p>
          <w:p w14:paraId="7BE225D0" w14:textId="77777777" w:rsidR="0026327C" w:rsidRDefault="0026327C" w:rsidP="0026327C">
            <w:pPr>
              <w:spacing w:line="276" w:lineRule="auto"/>
              <w:jc w:val="both"/>
              <w:rPr>
                <w:iCs/>
                <w:szCs w:val="24"/>
                <w:lang w:val="sq-AL"/>
              </w:rPr>
            </w:pPr>
          </w:p>
          <w:p w14:paraId="06B4B341" w14:textId="77777777" w:rsidR="0026327C" w:rsidRPr="00D756B5" w:rsidRDefault="0026327C" w:rsidP="0026327C">
            <w:pPr>
              <w:spacing w:after="160" w:line="278" w:lineRule="auto"/>
              <w:rPr>
                <w:b/>
                <w:bCs/>
                <w:lang w:val="sq-AL"/>
              </w:rPr>
            </w:pPr>
            <w:r w:rsidRPr="00D756B5">
              <w:rPr>
                <w:rFonts w:eastAsiaTheme="majorEastAsia"/>
                <w:b/>
                <w:bCs/>
                <w:lang w:val="sq-AL"/>
              </w:rPr>
              <w:t>Shkaku</w:t>
            </w:r>
            <w:r w:rsidRPr="00D756B5">
              <w:rPr>
                <w:b/>
                <w:bCs/>
                <w:lang w:val="sq-AL"/>
              </w:rPr>
              <w:t xml:space="preserve"> i problemit:</w:t>
            </w:r>
          </w:p>
          <w:p w14:paraId="5D4D6A4D" w14:textId="77777777" w:rsidR="0026327C" w:rsidRPr="00D756B5" w:rsidRDefault="0026327C" w:rsidP="0026327C">
            <w:pPr>
              <w:spacing w:after="160" w:line="278" w:lineRule="auto"/>
              <w:rPr>
                <w:lang w:val="sq-AL"/>
              </w:rPr>
            </w:pPr>
            <w:r w:rsidRPr="00D756B5">
              <w:rPr>
                <w:lang w:val="sq-AL"/>
              </w:rPr>
              <w:t xml:space="preserve">Ligji aktual shqiptar për shoqëritë tregtare </w:t>
            </w:r>
            <w:r w:rsidRPr="00D756B5">
              <w:rPr>
                <w:rFonts w:eastAsiaTheme="majorEastAsia"/>
                <w:lang w:val="sq-AL"/>
              </w:rPr>
              <w:t>nuk është plotësisht i përafruar me acquis të BE-së</w:t>
            </w:r>
            <w:r w:rsidRPr="00D756B5">
              <w:rPr>
                <w:lang w:val="sq-AL"/>
              </w:rPr>
              <w:t xml:space="preserve">, konkretisht me </w:t>
            </w:r>
            <w:r w:rsidRPr="00D756B5">
              <w:rPr>
                <w:rFonts w:eastAsiaTheme="majorEastAsia"/>
                <w:lang w:val="sq-AL"/>
              </w:rPr>
              <w:t>Direktivën (BE) 2017/1132</w:t>
            </w:r>
            <w:r w:rsidRPr="00D756B5">
              <w:rPr>
                <w:lang w:val="sq-AL"/>
              </w:rPr>
              <w:t xml:space="preserve">, të ndryshuar nga </w:t>
            </w:r>
            <w:r w:rsidRPr="00D756B5">
              <w:rPr>
                <w:rFonts w:eastAsiaTheme="majorEastAsia"/>
                <w:lang w:val="sq-AL"/>
              </w:rPr>
              <w:t>Direktivat (BE) 2019/1151</w:t>
            </w:r>
            <w:r w:rsidRPr="00D756B5">
              <w:rPr>
                <w:lang w:val="sq-AL"/>
              </w:rPr>
              <w:t xml:space="preserve"> dhe </w:t>
            </w:r>
            <w:r w:rsidRPr="00D756B5">
              <w:rPr>
                <w:rFonts w:eastAsiaTheme="majorEastAsia"/>
                <w:lang w:val="sq-AL"/>
              </w:rPr>
              <w:t>2019/2121</w:t>
            </w:r>
            <w:r w:rsidRPr="00D756B5">
              <w:rPr>
                <w:lang w:val="sq-AL"/>
              </w:rPr>
              <w:t>.</w:t>
            </w:r>
            <w:r w:rsidRPr="00D756B5">
              <w:rPr>
                <w:lang w:val="sq-AL"/>
              </w:rPr>
              <w:br/>
              <w:t>Mungesa e përafrimit ka krijuar boshllëqe ligjore dhe moskoherencë me standardet evropiane në fusha të rëndësishme si regjistrimi i degëve, transparenca e administratorëve, shpërndarja e fitimit, zotërimi i aksioneve, bashkimet dhe transformimet e shoqërive.</w:t>
            </w:r>
          </w:p>
          <w:p w14:paraId="7DF3F3D2" w14:textId="77777777" w:rsidR="0026327C" w:rsidRPr="00D756B5" w:rsidRDefault="0026327C" w:rsidP="0026327C">
            <w:pPr>
              <w:spacing w:after="160" w:line="278" w:lineRule="auto"/>
              <w:rPr>
                <w:lang w:val="sq-AL"/>
              </w:rPr>
            </w:pPr>
          </w:p>
          <w:p w14:paraId="12DDB60E" w14:textId="77777777" w:rsidR="0026327C" w:rsidRPr="005A65C7" w:rsidRDefault="0026327C" w:rsidP="0026327C">
            <w:pPr>
              <w:spacing w:after="160" w:line="278" w:lineRule="auto"/>
              <w:rPr>
                <w:b/>
                <w:bCs/>
              </w:rPr>
            </w:pPr>
            <w:proofErr w:type="spellStart"/>
            <w:r w:rsidRPr="005A65C7">
              <w:rPr>
                <w:rFonts w:eastAsiaTheme="majorEastAsia"/>
                <w:b/>
                <w:bCs/>
              </w:rPr>
              <w:t>Problemet</w:t>
            </w:r>
            <w:proofErr w:type="spellEnd"/>
            <w:r w:rsidRPr="005A65C7">
              <w:rPr>
                <w:rFonts w:eastAsiaTheme="majorEastAsia"/>
                <w:b/>
                <w:bCs/>
              </w:rPr>
              <w:t xml:space="preserve"> </w:t>
            </w:r>
            <w:proofErr w:type="spellStart"/>
            <w:r w:rsidRPr="005A65C7">
              <w:rPr>
                <w:rFonts w:eastAsiaTheme="majorEastAsia"/>
                <w:b/>
                <w:bCs/>
              </w:rPr>
              <w:t>kryesore</w:t>
            </w:r>
            <w:proofErr w:type="spellEnd"/>
            <w:r>
              <w:rPr>
                <w:b/>
                <w:bCs/>
              </w:rPr>
              <w:t>:</w:t>
            </w:r>
          </w:p>
          <w:p w14:paraId="5E9DE6D0" w14:textId="77777777" w:rsidR="0026327C" w:rsidRPr="005A65C7" w:rsidRDefault="0026327C" w:rsidP="0026327C">
            <w:pPr>
              <w:numPr>
                <w:ilvl w:val="0"/>
                <w:numId w:val="74"/>
              </w:numPr>
              <w:spacing w:after="160" w:line="278" w:lineRule="auto"/>
              <w:jc w:val="both"/>
            </w:pPr>
            <w:proofErr w:type="spellStart"/>
            <w:r w:rsidRPr="005A65C7">
              <w:rPr>
                <w:rFonts w:eastAsiaTheme="majorEastAsia"/>
              </w:rPr>
              <w:t>Regjistrimi</w:t>
            </w:r>
            <w:proofErr w:type="spellEnd"/>
            <w:r w:rsidRPr="005A65C7">
              <w:rPr>
                <w:rFonts w:eastAsiaTheme="majorEastAsia"/>
              </w:rPr>
              <w:t xml:space="preserve"> </w:t>
            </w:r>
            <w:proofErr w:type="spellStart"/>
            <w:r w:rsidRPr="005A65C7">
              <w:rPr>
                <w:rFonts w:eastAsiaTheme="majorEastAsia"/>
              </w:rPr>
              <w:t>dhe</w:t>
            </w:r>
            <w:proofErr w:type="spellEnd"/>
            <w:r w:rsidRPr="005A65C7">
              <w:rPr>
                <w:rFonts w:eastAsiaTheme="majorEastAsia"/>
              </w:rPr>
              <w:t xml:space="preserve"> </w:t>
            </w:r>
            <w:proofErr w:type="spellStart"/>
            <w:r w:rsidRPr="005A65C7">
              <w:rPr>
                <w:rFonts w:eastAsiaTheme="majorEastAsia"/>
              </w:rPr>
              <w:t>çregjistrimi</w:t>
            </w:r>
            <w:proofErr w:type="spellEnd"/>
            <w:r w:rsidRPr="005A65C7">
              <w:rPr>
                <w:rFonts w:eastAsiaTheme="majorEastAsia"/>
              </w:rPr>
              <w:t xml:space="preserve"> </w:t>
            </w:r>
            <w:proofErr w:type="spellStart"/>
            <w:r w:rsidRPr="005A65C7">
              <w:rPr>
                <w:rFonts w:eastAsiaTheme="majorEastAsia"/>
              </w:rPr>
              <w:t>i</w:t>
            </w:r>
            <w:proofErr w:type="spellEnd"/>
            <w:r w:rsidRPr="005A65C7">
              <w:rPr>
                <w:rFonts w:eastAsiaTheme="majorEastAsia"/>
              </w:rPr>
              <w:t xml:space="preserve"> </w:t>
            </w:r>
            <w:proofErr w:type="spellStart"/>
            <w:r w:rsidRPr="005A65C7">
              <w:rPr>
                <w:rFonts w:eastAsiaTheme="majorEastAsia"/>
              </w:rPr>
              <w:t>degëve</w:t>
            </w:r>
            <w:proofErr w:type="spellEnd"/>
            <w:r w:rsidRPr="005A65C7">
              <w:t xml:space="preserve"> – </w:t>
            </w:r>
            <w:proofErr w:type="spellStart"/>
            <w:r w:rsidRPr="005A65C7">
              <w:t>mungon</w:t>
            </w:r>
            <w:proofErr w:type="spellEnd"/>
            <w:r w:rsidRPr="005A65C7">
              <w:t xml:space="preserve"> </w:t>
            </w:r>
            <w:proofErr w:type="spellStart"/>
            <w:r w:rsidRPr="005A65C7">
              <w:t>rregullimi</w:t>
            </w:r>
            <w:proofErr w:type="spellEnd"/>
            <w:r w:rsidRPr="005A65C7">
              <w:t xml:space="preserve"> </w:t>
            </w:r>
            <w:proofErr w:type="spellStart"/>
            <w:r w:rsidRPr="005A65C7">
              <w:t>për</w:t>
            </w:r>
            <w:proofErr w:type="spellEnd"/>
            <w:r w:rsidRPr="005A65C7">
              <w:t xml:space="preserve"> </w:t>
            </w:r>
            <w:proofErr w:type="spellStart"/>
            <w:r w:rsidRPr="005A65C7">
              <w:t>regjistrim</w:t>
            </w:r>
            <w:proofErr w:type="spellEnd"/>
            <w:r w:rsidRPr="005A65C7">
              <w:t xml:space="preserve"> online </w:t>
            </w:r>
            <w:proofErr w:type="spellStart"/>
            <w:r w:rsidRPr="005A65C7">
              <w:t>dhe</w:t>
            </w:r>
            <w:proofErr w:type="spellEnd"/>
            <w:r w:rsidRPr="005A65C7">
              <w:t xml:space="preserve"> </w:t>
            </w:r>
            <w:proofErr w:type="spellStart"/>
            <w:r w:rsidRPr="005A65C7">
              <w:t>çregjistrim</w:t>
            </w:r>
            <w:proofErr w:type="spellEnd"/>
            <w:r w:rsidRPr="005A65C7">
              <w:t xml:space="preserve"> </w:t>
            </w:r>
            <w:proofErr w:type="spellStart"/>
            <w:r w:rsidRPr="005A65C7">
              <w:t>automatik</w:t>
            </w:r>
            <w:proofErr w:type="spellEnd"/>
            <w:r w:rsidRPr="005A65C7">
              <w:t xml:space="preserve"> </w:t>
            </w:r>
            <w:proofErr w:type="spellStart"/>
            <w:r w:rsidRPr="005A65C7">
              <w:t>kur</w:t>
            </w:r>
            <w:proofErr w:type="spellEnd"/>
            <w:r w:rsidRPr="005A65C7">
              <w:t xml:space="preserve"> </w:t>
            </w:r>
            <w:proofErr w:type="spellStart"/>
            <w:r w:rsidRPr="005A65C7">
              <w:t>mbyllet</w:t>
            </w:r>
            <w:proofErr w:type="spellEnd"/>
            <w:r w:rsidRPr="005A65C7">
              <w:t xml:space="preserve"> </w:t>
            </w:r>
            <w:proofErr w:type="spellStart"/>
            <w:r w:rsidRPr="005A65C7">
              <w:t>shoqëria</w:t>
            </w:r>
            <w:proofErr w:type="spellEnd"/>
            <w:r w:rsidRPr="005A65C7">
              <w:t xml:space="preserve"> </w:t>
            </w:r>
            <w:proofErr w:type="spellStart"/>
            <w:r w:rsidRPr="005A65C7">
              <w:t>mëmë</w:t>
            </w:r>
            <w:proofErr w:type="spellEnd"/>
            <w:r w:rsidRPr="005A65C7">
              <w:t>.</w:t>
            </w:r>
          </w:p>
          <w:p w14:paraId="6AACAE73" w14:textId="77777777" w:rsidR="0026327C" w:rsidRPr="005A65C7" w:rsidRDefault="0026327C" w:rsidP="0026327C">
            <w:pPr>
              <w:numPr>
                <w:ilvl w:val="0"/>
                <w:numId w:val="74"/>
              </w:numPr>
              <w:spacing w:after="160" w:line="278" w:lineRule="auto"/>
              <w:jc w:val="both"/>
            </w:pPr>
            <w:proofErr w:type="spellStart"/>
            <w:r w:rsidRPr="005A65C7">
              <w:rPr>
                <w:rFonts w:eastAsiaTheme="majorEastAsia"/>
              </w:rPr>
              <w:t>Pastërtia</w:t>
            </w:r>
            <w:proofErr w:type="spellEnd"/>
            <w:r w:rsidRPr="005A65C7">
              <w:rPr>
                <w:rFonts w:eastAsiaTheme="majorEastAsia"/>
              </w:rPr>
              <w:t xml:space="preserve"> </w:t>
            </w:r>
            <w:proofErr w:type="spellStart"/>
            <w:r w:rsidRPr="005A65C7">
              <w:rPr>
                <w:rFonts w:eastAsiaTheme="majorEastAsia"/>
              </w:rPr>
              <w:t>ligjore</w:t>
            </w:r>
            <w:proofErr w:type="spellEnd"/>
            <w:r w:rsidRPr="005A65C7">
              <w:rPr>
                <w:rFonts w:eastAsiaTheme="majorEastAsia"/>
              </w:rPr>
              <w:t xml:space="preserve"> e </w:t>
            </w:r>
            <w:proofErr w:type="spellStart"/>
            <w:r w:rsidRPr="005A65C7">
              <w:rPr>
                <w:rFonts w:eastAsiaTheme="majorEastAsia"/>
              </w:rPr>
              <w:t>administratorëve</w:t>
            </w:r>
            <w:proofErr w:type="spellEnd"/>
            <w:r w:rsidRPr="005A65C7">
              <w:t xml:space="preserve"> – </w:t>
            </w:r>
            <w:proofErr w:type="spellStart"/>
            <w:r w:rsidRPr="005A65C7">
              <w:t>nuk</w:t>
            </w:r>
            <w:proofErr w:type="spellEnd"/>
            <w:r w:rsidRPr="005A65C7">
              <w:t xml:space="preserve"> </w:t>
            </w:r>
            <w:proofErr w:type="spellStart"/>
            <w:r w:rsidRPr="005A65C7">
              <w:t>parashikohet</w:t>
            </w:r>
            <w:proofErr w:type="spellEnd"/>
            <w:r w:rsidRPr="005A65C7">
              <w:t xml:space="preserve"> </w:t>
            </w:r>
            <w:proofErr w:type="spellStart"/>
            <w:r w:rsidRPr="005A65C7">
              <w:t>ndalim</w:t>
            </w:r>
            <w:proofErr w:type="spellEnd"/>
            <w:r w:rsidRPr="005A65C7">
              <w:t xml:space="preserve"> </w:t>
            </w:r>
            <w:proofErr w:type="spellStart"/>
            <w:r w:rsidRPr="005A65C7">
              <w:t>për</w:t>
            </w:r>
            <w:proofErr w:type="spellEnd"/>
            <w:r w:rsidRPr="005A65C7">
              <w:t xml:space="preserve"> </w:t>
            </w:r>
            <w:proofErr w:type="spellStart"/>
            <w:r w:rsidRPr="005A65C7">
              <w:t>personat</w:t>
            </w:r>
            <w:proofErr w:type="spellEnd"/>
            <w:r w:rsidRPr="005A65C7">
              <w:t xml:space="preserve"> e </w:t>
            </w:r>
            <w:proofErr w:type="spellStart"/>
            <w:r w:rsidRPr="005A65C7">
              <w:t>dënuar</w:t>
            </w:r>
            <w:proofErr w:type="spellEnd"/>
            <w:r w:rsidRPr="005A65C7">
              <w:t xml:space="preserve"> </w:t>
            </w:r>
            <w:proofErr w:type="spellStart"/>
            <w:r w:rsidRPr="005A65C7">
              <w:t>jashtë</w:t>
            </w:r>
            <w:proofErr w:type="spellEnd"/>
            <w:r w:rsidRPr="005A65C7">
              <w:t xml:space="preserve"> </w:t>
            </w:r>
            <w:proofErr w:type="spellStart"/>
            <w:r w:rsidRPr="005A65C7">
              <w:t>vendit</w:t>
            </w:r>
            <w:proofErr w:type="spellEnd"/>
            <w:r w:rsidRPr="005A65C7">
              <w:t xml:space="preserve">; </w:t>
            </w:r>
            <w:proofErr w:type="spellStart"/>
            <w:r w:rsidRPr="005A65C7">
              <w:t>mungon</w:t>
            </w:r>
            <w:proofErr w:type="spellEnd"/>
            <w:r w:rsidRPr="005A65C7">
              <w:t xml:space="preserve"> </w:t>
            </w:r>
            <w:proofErr w:type="spellStart"/>
            <w:r w:rsidRPr="005A65C7">
              <w:t>regjistri</w:t>
            </w:r>
            <w:proofErr w:type="spellEnd"/>
            <w:r w:rsidRPr="005A65C7">
              <w:t xml:space="preserve"> </w:t>
            </w:r>
            <w:proofErr w:type="spellStart"/>
            <w:r w:rsidRPr="005A65C7">
              <w:t>dhe</w:t>
            </w:r>
            <w:proofErr w:type="spellEnd"/>
            <w:r w:rsidRPr="005A65C7">
              <w:t xml:space="preserve"> </w:t>
            </w:r>
            <w:proofErr w:type="spellStart"/>
            <w:r w:rsidRPr="005A65C7">
              <w:t>vetëdeklarimi</w:t>
            </w:r>
            <w:proofErr w:type="spellEnd"/>
            <w:r w:rsidRPr="005A65C7">
              <w:t xml:space="preserve"> </w:t>
            </w:r>
            <w:proofErr w:type="spellStart"/>
            <w:r w:rsidRPr="005A65C7">
              <w:t>i</w:t>
            </w:r>
            <w:proofErr w:type="spellEnd"/>
            <w:r w:rsidRPr="005A65C7">
              <w:t xml:space="preserve"> tyre.</w:t>
            </w:r>
          </w:p>
          <w:p w14:paraId="7DAD5966" w14:textId="77777777" w:rsidR="0026327C" w:rsidRPr="005A65C7" w:rsidRDefault="0026327C" w:rsidP="0026327C">
            <w:pPr>
              <w:numPr>
                <w:ilvl w:val="0"/>
                <w:numId w:val="74"/>
              </w:numPr>
              <w:spacing w:after="160" w:line="278" w:lineRule="auto"/>
              <w:jc w:val="both"/>
            </w:pPr>
            <w:proofErr w:type="spellStart"/>
            <w:r w:rsidRPr="005A65C7">
              <w:rPr>
                <w:rFonts w:eastAsiaTheme="majorEastAsia"/>
              </w:rPr>
              <w:t>Shpërndarja</w:t>
            </w:r>
            <w:proofErr w:type="spellEnd"/>
            <w:r w:rsidRPr="005A65C7">
              <w:rPr>
                <w:rFonts w:eastAsiaTheme="majorEastAsia"/>
              </w:rPr>
              <w:t xml:space="preserve"> e </w:t>
            </w:r>
            <w:proofErr w:type="spellStart"/>
            <w:r w:rsidRPr="005A65C7">
              <w:rPr>
                <w:rFonts w:eastAsiaTheme="majorEastAsia"/>
              </w:rPr>
              <w:t>fitimit</w:t>
            </w:r>
            <w:proofErr w:type="spellEnd"/>
            <w:r w:rsidRPr="005A65C7">
              <w:t xml:space="preserve"> – </w:t>
            </w:r>
            <w:proofErr w:type="spellStart"/>
            <w:r w:rsidRPr="005A65C7">
              <w:t>mungojnë</w:t>
            </w:r>
            <w:proofErr w:type="spellEnd"/>
            <w:r w:rsidRPr="005A65C7">
              <w:t xml:space="preserve"> </w:t>
            </w:r>
            <w:proofErr w:type="spellStart"/>
            <w:r w:rsidRPr="005A65C7">
              <w:t>kufizimet</w:t>
            </w:r>
            <w:proofErr w:type="spellEnd"/>
            <w:r w:rsidRPr="005A65C7">
              <w:t xml:space="preserve"> </w:t>
            </w:r>
            <w:proofErr w:type="spellStart"/>
            <w:r w:rsidRPr="005A65C7">
              <w:t>për</w:t>
            </w:r>
            <w:proofErr w:type="spellEnd"/>
            <w:r w:rsidRPr="005A65C7">
              <w:t xml:space="preserve"> </w:t>
            </w:r>
            <w:proofErr w:type="spellStart"/>
            <w:r w:rsidRPr="005A65C7">
              <w:t>shpërndarje</w:t>
            </w:r>
            <w:proofErr w:type="spellEnd"/>
            <w:r w:rsidRPr="005A65C7">
              <w:t xml:space="preserve"> </w:t>
            </w:r>
            <w:proofErr w:type="spellStart"/>
            <w:r w:rsidRPr="005A65C7">
              <w:t>kur</w:t>
            </w:r>
            <w:proofErr w:type="spellEnd"/>
            <w:r w:rsidRPr="005A65C7">
              <w:t xml:space="preserve"> </w:t>
            </w:r>
            <w:proofErr w:type="spellStart"/>
            <w:r w:rsidRPr="005A65C7">
              <w:t>pasuria</w:t>
            </w:r>
            <w:proofErr w:type="spellEnd"/>
            <w:r w:rsidRPr="005A65C7">
              <w:t xml:space="preserve"> </w:t>
            </w:r>
            <w:proofErr w:type="spellStart"/>
            <w:r w:rsidRPr="005A65C7">
              <w:t>neto</w:t>
            </w:r>
            <w:proofErr w:type="spellEnd"/>
            <w:r w:rsidRPr="005A65C7">
              <w:t xml:space="preserve"> </w:t>
            </w:r>
            <w:proofErr w:type="spellStart"/>
            <w:r w:rsidRPr="005A65C7">
              <w:t>bie</w:t>
            </w:r>
            <w:proofErr w:type="spellEnd"/>
            <w:r w:rsidRPr="005A65C7">
              <w:t xml:space="preserve"> </w:t>
            </w:r>
            <w:proofErr w:type="spellStart"/>
            <w:r w:rsidRPr="005A65C7">
              <w:t>nën</w:t>
            </w:r>
            <w:proofErr w:type="spellEnd"/>
            <w:r w:rsidRPr="005A65C7">
              <w:t xml:space="preserve"> </w:t>
            </w:r>
            <w:proofErr w:type="spellStart"/>
            <w:r w:rsidRPr="005A65C7">
              <w:t>kapitalin</w:t>
            </w:r>
            <w:proofErr w:type="spellEnd"/>
            <w:r w:rsidRPr="005A65C7">
              <w:t xml:space="preserve"> minimal </w:t>
            </w:r>
            <w:proofErr w:type="spellStart"/>
            <w:r w:rsidRPr="005A65C7">
              <w:t>dhe</w:t>
            </w:r>
            <w:proofErr w:type="spellEnd"/>
            <w:r w:rsidRPr="005A65C7">
              <w:t xml:space="preserve"> </w:t>
            </w:r>
            <w:proofErr w:type="spellStart"/>
            <w:r w:rsidRPr="005A65C7">
              <w:t>nuk</w:t>
            </w:r>
            <w:proofErr w:type="spellEnd"/>
            <w:r w:rsidRPr="005A65C7">
              <w:t xml:space="preserve"> </w:t>
            </w:r>
            <w:proofErr w:type="spellStart"/>
            <w:r w:rsidRPr="005A65C7">
              <w:t>ekziston</w:t>
            </w:r>
            <w:proofErr w:type="spellEnd"/>
            <w:r w:rsidRPr="005A65C7">
              <w:t xml:space="preserve"> </w:t>
            </w:r>
            <w:proofErr w:type="spellStart"/>
            <w:r w:rsidRPr="005A65C7">
              <w:t>mekanizëm</w:t>
            </w:r>
            <w:proofErr w:type="spellEnd"/>
            <w:r w:rsidRPr="005A65C7">
              <w:t xml:space="preserve"> </w:t>
            </w:r>
            <w:proofErr w:type="spellStart"/>
            <w:r w:rsidRPr="005A65C7">
              <w:t>për</w:t>
            </w:r>
            <w:proofErr w:type="spellEnd"/>
            <w:r w:rsidRPr="005A65C7">
              <w:t xml:space="preserve"> </w:t>
            </w:r>
            <w:proofErr w:type="spellStart"/>
            <w:r w:rsidRPr="005A65C7">
              <w:t>kthimin</w:t>
            </w:r>
            <w:proofErr w:type="spellEnd"/>
            <w:r w:rsidRPr="005A65C7">
              <w:t xml:space="preserve"> e </w:t>
            </w:r>
            <w:proofErr w:type="spellStart"/>
            <w:r w:rsidRPr="005A65C7">
              <w:t>fitimeve</w:t>
            </w:r>
            <w:proofErr w:type="spellEnd"/>
            <w:r w:rsidRPr="005A65C7">
              <w:t xml:space="preserve"> </w:t>
            </w:r>
            <w:proofErr w:type="spellStart"/>
            <w:r w:rsidRPr="005A65C7">
              <w:t>të</w:t>
            </w:r>
            <w:proofErr w:type="spellEnd"/>
            <w:r w:rsidRPr="005A65C7">
              <w:t xml:space="preserve"> </w:t>
            </w:r>
            <w:proofErr w:type="spellStart"/>
            <w:r w:rsidRPr="005A65C7">
              <w:t>paligjshme</w:t>
            </w:r>
            <w:proofErr w:type="spellEnd"/>
            <w:r w:rsidRPr="005A65C7">
              <w:t>.</w:t>
            </w:r>
          </w:p>
          <w:p w14:paraId="7E4BA645" w14:textId="77777777" w:rsidR="0026327C" w:rsidRPr="005A65C7" w:rsidRDefault="0026327C" w:rsidP="0026327C">
            <w:pPr>
              <w:numPr>
                <w:ilvl w:val="0"/>
                <w:numId w:val="74"/>
              </w:numPr>
              <w:spacing w:after="160" w:line="278" w:lineRule="auto"/>
              <w:jc w:val="both"/>
            </w:pPr>
            <w:proofErr w:type="spellStart"/>
            <w:r w:rsidRPr="005A65C7">
              <w:rPr>
                <w:rFonts w:eastAsiaTheme="majorEastAsia"/>
              </w:rPr>
              <w:t>Aksionet</w:t>
            </w:r>
            <w:proofErr w:type="spellEnd"/>
            <w:r w:rsidRPr="005A65C7">
              <w:rPr>
                <w:rFonts w:eastAsiaTheme="majorEastAsia"/>
              </w:rPr>
              <w:t xml:space="preserve"> e </w:t>
            </w:r>
            <w:proofErr w:type="spellStart"/>
            <w:r w:rsidRPr="005A65C7">
              <w:rPr>
                <w:rFonts w:eastAsiaTheme="majorEastAsia"/>
              </w:rPr>
              <w:t>veta</w:t>
            </w:r>
            <w:proofErr w:type="spellEnd"/>
            <w:r w:rsidRPr="005A65C7">
              <w:rPr>
                <w:rFonts w:eastAsiaTheme="majorEastAsia"/>
              </w:rPr>
              <w:t xml:space="preserve"> </w:t>
            </w:r>
            <w:proofErr w:type="spellStart"/>
            <w:r w:rsidRPr="005A65C7">
              <w:rPr>
                <w:rFonts w:eastAsiaTheme="majorEastAsia"/>
              </w:rPr>
              <w:t>dhe</w:t>
            </w:r>
            <w:proofErr w:type="spellEnd"/>
            <w:r w:rsidRPr="005A65C7">
              <w:rPr>
                <w:rFonts w:eastAsiaTheme="majorEastAsia"/>
              </w:rPr>
              <w:t xml:space="preserve"> </w:t>
            </w:r>
            <w:proofErr w:type="spellStart"/>
            <w:r w:rsidRPr="005A65C7">
              <w:rPr>
                <w:rFonts w:eastAsiaTheme="majorEastAsia"/>
              </w:rPr>
              <w:t>përdorimi</w:t>
            </w:r>
            <w:proofErr w:type="spellEnd"/>
            <w:r w:rsidRPr="005A65C7">
              <w:rPr>
                <w:rFonts w:eastAsiaTheme="majorEastAsia"/>
              </w:rPr>
              <w:t xml:space="preserve"> </w:t>
            </w:r>
            <w:proofErr w:type="spellStart"/>
            <w:r w:rsidRPr="005A65C7">
              <w:rPr>
                <w:rFonts w:eastAsiaTheme="majorEastAsia"/>
              </w:rPr>
              <w:t>si</w:t>
            </w:r>
            <w:proofErr w:type="spellEnd"/>
            <w:r w:rsidRPr="005A65C7">
              <w:rPr>
                <w:rFonts w:eastAsiaTheme="majorEastAsia"/>
              </w:rPr>
              <w:t xml:space="preserve"> </w:t>
            </w:r>
            <w:proofErr w:type="spellStart"/>
            <w:r w:rsidRPr="005A65C7">
              <w:rPr>
                <w:rFonts w:eastAsiaTheme="majorEastAsia"/>
              </w:rPr>
              <w:t>garanci</w:t>
            </w:r>
            <w:proofErr w:type="spellEnd"/>
            <w:r w:rsidRPr="005A65C7">
              <w:t xml:space="preserve"> – </w:t>
            </w:r>
            <w:proofErr w:type="spellStart"/>
            <w:r w:rsidRPr="005A65C7">
              <w:t>nuk</w:t>
            </w:r>
            <w:proofErr w:type="spellEnd"/>
            <w:r w:rsidRPr="005A65C7">
              <w:t xml:space="preserve"> ka </w:t>
            </w:r>
            <w:proofErr w:type="spellStart"/>
            <w:r w:rsidRPr="005A65C7">
              <w:t>rregulla</w:t>
            </w:r>
            <w:proofErr w:type="spellEnd"/>
            <w:r w:rsidRPr="005A65C7">
              <w:t xml:space="preserve"> </w:t>
            </w:r>
            <w:proofErr w:type="spellStart"/>
            <w:r w:rsidRPr="005A65C7">
              <w:t>për</w:t>
            </w:r>
            <w:proofErr w:type="spellEnd"/>
            <w:r w:rsidRPr="005A65C7">
              <w:t xml:space="preserve"> </w:t>
            </w:r>
            <w:proofErr w:type="spellStart"/>
            <w:r w:rsidRPr="005A65C7">
              <w:t>raportim</w:t>
            </w:r>
            <w:proofErr w:type="spellEnd"/>
            <w:r w:rsidRPr="005A65C7">
              <w:t xml:space="preserve">, </w:t>
            </w:r>
            <w:proofErr w:type="spellStart"/>
            <w:r w:rsidRPr="005A65C7">
              <w:t>kufizime</w:t>
            </w:r>
            <w:proofErr w:type="spellEnd"/>
            <w:r w:rsidRPr="005A65C7">
              <w:t xml:space="preserve"> </w:t>
            </w:r>
            <w:proofErr w:type="spellStart"/>
            <w:r w:rsidRPr="005A65C7">
              <w:t>për</w:t>
            </w:r>
            <w:proofErr w:type="spellEnd"/>
            <w:r w:rsidRPr="005A65C7">
              <w:t xml:space="preserve"> </w:t>
            </w:r>
            <w:proofErr w:type="spellStart"/>
            <w:r w:rsidRPr="005A65C7">
              <w:t>të</w:t>
            </w:r>
            <w:proofErr w:type="spellEnd"/>
            <w:r w:rsidRPr="005A65C7">
              <w:t xml:space="preserve"> </w:t>
            </w:r>
            <w:proofErr w:type="spellStart"/>
            <w:r w:rsidRPr="005A65C7">
              <w:t>drejtat</w:t>
            </w:r>
            <w:proofErr w:type="spellEnd"/>
            <w:r w:rsidRPr="005A65C7">
              <w:t xml:space="preserve"> </w:t>
            </w:r>
            <w:proofErr w:type="spellStart"/>
            <w:r w:rsidRPr="005A65C7">
              <w:t>që</w:t>
            </w:r>
            <w:proofErr w:type="spellEnd"/>
            <w:r w:rsidRPr="005A65C7">
              <w:t xml:space="preserve"> </w:t>
            </w:r>
            <w:proofErr w:type="spellStart"/>
            <w:r w:rsidRPr="005A65C7">
              <w:t>rrjedhin</w:t>
            </w:r>
            <w:proofErr w:type="spellEnd"/>
            <w:r w:rsidRPr="005A65C7">
              <w:t xml:space="preserve"> </w:t>
            </w:r>
            <w:proofErr w:type="spellStart"/>
            <w:r w:rsidRPr="005A65C7">
              <w:t>nga</w:t>
            </w:r>
            <w:proofErr w:type="spellEnd"/>
            <w:r w:rsidRPr="005A65C7">
              <w:t xml:space="preserve"> </w:t>
            </w:r>
            <w:proofErr w:type="spellStart"/>
            <w:r w:rsidRPr="005A65C7">
              <w:t>këto</w:t>
            </w:r>
            <w:proofErr w:type="spellEnd"/>
            <w:r w:rsidRPr="005A65C7">
              <w:t xml:space="preserve"> </w:t>
            </w:r>
            <w:proofErr w:type="spellStart"/>
            <w:r w:rsidRPr="005A65C7">
              <w:t>aksione</w:t>
            </w:r>
            <w:proofErr w:type="spellEnd"/>
            <w:r w:rsidRPr="005A65C7">
              <w:t xml:space="preserve"> apo </w:t>
            </w:r>
            <w:proofErr w:type="spellStart"/>
            <w:r w:rsidRPr="005A65C7">
              <w:t>ndalime</w:t>
            </w:r>
            <w:proofErr w:type="spellEnd"/>
            <w:r w:rsidRPr="005A65C7">
              <w:t xml:space="preserve"> </w:t>
            </w:r>
            <w:proofErr w:type="spellStart"/>
            <w:r w:rsidRPr="005A65C7">
              <w:t>për</w:t>
            </w:r>
            <w:proofErr w:type="spellEnd"/>
            <w:r w:rsidRPr="005A65C7">
              <w:t xml:space="preserve"> </w:t>
            </w:r>
            <w:proofErr w:type="spellStart"/>
            <w:r w:rsidRPr="005A65C7">
              <w:t>ndihmën</w:t>
            </w:r>
            <w:proofErr w:type="spellEnd"/>
            <w:r w:rsidRPr="005A65C7">
              <w:t xml:space="preserve"> </w:t>
            </w:r>
            <w:proofErr w:type="spellStart"/>
            <w:r w:rsidRPr="005A65C7">
              <w:t>financiare</w:t>
            </w:r>
            <w:proofErr w:type="spellEnd"/>
            <w:r w:rsidRPr="005A65C7">
              <w:t xml:space="preserve"> </w:t>
            </w:r>
            <w:proofErr w:type="spellStart"/>
            <w:r w:rsidRPr="005A65C7">
              <w:t>ndaj</w:t>
            </w:r>
            <w:proofErr w:type="spellEnd"/>
            <w:r w:rsidRPr="005A65C7">
              <w:t xml:space="preserve"> </w:t>
            </w:r>
            <w:proofErr w:type="spellStart"/>
            <w:r w:rsidRPr="005A65C7">
              <w:t>palëve</w:t>
            </w:r>
            <w:proofErr w:type="spellEnd"/>
            <w:r w:rsidRPr="005A65C7">
              <w:t xml:space="preserve"> </w:t>
            </w:r>
            <w:proofErr w:type="spellStart"/>
            <w:r w:rsidRPr="005A65C7">
              <w:t>të</w:t>
            </w:r>
            <w:proofErr w:type="spellEnd"/>
            <w:r w:rsidRPr="005A65C7">
              <w:t xml:space="preserve"> </w:t>
            </w:r>
            <w:proofErr w:type="spellStart"/>
            <w:r w:rsidRPr="005A65C7">
              <w:t>treta</w:t>
            </w:r>
            <w:proofErr w:type="spellEnd"/>
            <w:r w:rsidRPr="005A65C7">
              <w:t xml:space="preserve"> </w:t>
            </w:r>
            <w:proofErr w:type="spellStart"/>
            <w:r w:rsidRPr="005A65C7">
              <w:t>për</w:t>
            </w:r>
            <w:proofErr w:type="spellEnd"/>
            <w:r w:rsidRPr="005A65C7">
              <w:t xml:space="preserve"> </w:t>
            </w:r>
            <w:proofErr w:type="spellStart"/>
            <w:r w:rsidRPr="005A65C7">
              <w:t>blerjen</w:t>
            </w:r>
            <w:proofErr w:type="spellEnd"/>
            <w:r w:rsidRPr="005A65C7">
              <w:t xml:space="preserve"> e tyre.</w:t>
            </w:r>
          </w:p>
          <w:p w14:paraId="3736ADF6" w14:textId="77777777" w:rsidR="0026327C" w:rsidRPr="005A65C7" w:rsidRDefault="0026327C" w:rsidP="0026327C">
            <w:pPr>
              <w:numPr>
                <w:ilvl w:val="0"/>
                <w:numId w:val="74"/>
              </w:numPr>
              <w:spacing w:after="160" w:line="278" w:lineRule="auto"/>
              <w:jc w:val="both"/>
            </w:pPr>
            <w:proofErr w:type="spellStart"/>
            <w:r w:rsidRPr="005A65C7">
              <w:rPr>
                <w:rFonts w:eastAsiaTheme="majorEastAsia"/>
              </w:rPr>
              <w:t>Bashkimet</w:t>
            </w:r>
            <w:proofErr w:type="spellEnd"/>
            <w:r w:rsidRPr="005A65C7">
              <w:t xml:space="preserve"> – </w:t>
            </w:r>
            <w:proofErr w:type="spellStart"/>
            <w:r w:rsidRPr="005A65C7">
              <w:t>mungon</w:t>
            </w:r>
            <w:proofErr w:type="spellEnd"/>
            <w:r w:rsidRPr="005A65C7">
              <w:t xml:space="preserve"> </w:t>
            </w:r>
            <w:proofErr w:type="spellStart"/>
            <w:r w:rsidRPr="005A65C7">
              <w:t>dispozita</w:t>
            </w:r>
            <w:proofErr w:type="spellEnd"/>
            <w:r w:rsidRPr="005A65C7">
              <w:t xml:space="preserve"> </w:t>
            </w:r>
            <w:proofErr w:type="spellStart"/>
            <w:r w:rsidRPr="005A65C7">
              <w:t>për</w:t>
            </w:r>
            <w:proofErr w:type="spellEnd"/>
            <w:r w:rsidRPr="005A65C7">
              <w:t xml:space="preserve"> </w:t>
            </w:r>
            <w:proofErr w:type="spellStart"/>
            <w:r w:rsidRPr="005A65C7">
              <w:t>pavlefshmërinë</w:t>
            </w:r>
            <w:proofErr w:type="spellEnd"/>
            <w:r w:rsidRPr="005A65C7">
              <w:t xml:space="preserve"> e </w:t>
            </w:r>
            <w:proofErr w:type="spellStart"/>
            <w:r w:rsidRPr="005A65C7">
              <w:t>bashkimeve</w:t>
            </w:r>
            <w:proofErr w:type="spellEnd"/>
            <w:r w:rsidRPr="005A65C7">
              <w:t xml:space="preserve"> </w:t>
            </w:r>
            <w:proofErr w:type="spellStart"/>
            <w:r w:rsidRPr="005A65C7">
              <w:t>në</w:t>
            </w:r>
            <w:proofErr w:type="spellEnd"/>
            <w:r w:rsidRPr="005A65C7">
              <w:t xml:space="preserve"> </w:t>
            </w:r>
            <w:proofErr w:type="spellStart"/>
            <w:r w:rsidRPr="005A65C7">
              <w:t>rast</w:t>
            </w:r>
            <w:proofErr w:type="spellEnd"/>
            <w:r w:rsidRPr="005A65C7">
              <w:t xml:space="preserve"> </w:t>
            </w:r>
            <w:proofErr w:type="spellStart"/>
            <w:r w:rsidRPr="005A65C7">
              <w:t>shkeljesh</w:t>
            </w:r>
            <w:proofErr w:type="spellEnd"/>
            <w:r w:rsidRPr="005A65C7">
              <w:t xml:space="preserve"> </w:t>
            </w:r>
            <w:proofErr w:type="spellStart"/>
            <w:r w:rsidRPr="005A65C7">
              <w:t>ligjore</w:t>
            </w:r>
            <w:proofErr w:type="spellEnd"/>
            <w:r w:rsidRPr="005A65C7">
              <w:t>.</w:t>
            </w:r>
          </w:p>
          <w:p w14:paraId="47BC8AD0" w14:textId="77777777" w:rsidR="0026327C" w:rsidRPr="005A65C7" w:rsidRDefault="0026327C" w:rsidP="0026327C">
            <w:pPr>
              <w:numPr>
                <w:ilvl w:val="0"/>
                <w:numId w:val="74"/>
              </w:numPr>
              <w:spacing w:after="160" w:line="278" w:lineRule="auto"/>
              <w:jc w:val="both"/>
            </w:pPr>
            <w:proofErr w:type="spellStart"/>
            <w:r w:rsidRPr="005A65C7">
              <w:rPr>
                <w:rFonts w:eastAsiaTheme="majorEastAsia"/>
              </w:rPr>
              <w:t>Transformimet</w:t>
            </w:r>
            <w:proofErr w:type="spellEnd"/>
            <w:r w:rsidRPr="005A65C7">
              <w:rPr>
                <w:rFonts w:eastAsiaTheme="majorEastAsia"/>
              </w:rPr>
              <w:t xml:space="preserve"> e </w:t>
            </w:r>
            <w:proofErr w:type="spellStart"/>
            <w:r w:rsidRPr="005A65C7">
              <w:rPr>
                <w:rFonts w:eastAsiaTheme="majorEastAsia"/>
              </w:rPr>
              <w:t>shoqërive</w:t>
            </w:r>
            <w:proofErr w:type="spellEnd"/>
            <w:r w:rsidRPr="005A65C7">
              <w:t xml:space="preserve"> – </w:t>
            </w:r>
            <w:proofErr w:type="spellStart"/>
            <w:r w:rsidRPr="005A65C7">
              <w:t>mungojnë</w:t>
            </w:r>
            <w:proofErr w:type="spellEnd"/>
            <w:r w:rsidRPr="005A65C7">
              <w:t xml:space="preserve"> </w:t>
            </w:r>
            <w:proofErr w:type="spellStart"/>
            <w:r w:rsidRPr="005A65C7">
              <w:t>garanci</w:t>
            </w:r>
            <w:proofErr w:type="spellEnd"/>
            <w:r w:rsidRPr="005A65C7">
              <w:t xml:space="preserve"> </w:t>
            </w:r>
            <w:proofErr w:type="spellStart"/>
            <w:r w:rsidRPr="005A65C7">
              <w:t>për</w:t>
            </w:r>
            <w:proofErr w:type="spellEnd"/>
            <w:r w:rsidRPr="005A65C7">
              <w:t xml:space="preserve"> </w:t>
            </w:r>
            <w:proofErr w:type="spellStart"/>
            <w:r w:rsidRPr="005A65C7">
              <w:t>transparencën</w:t>
            </w:r>
            <w:proofErr w:type="spellEnd"/>
            <w:r w:rsidRPr="005A65C7">
              <w:t xml:space="preserve"> </w:t>
            </w:r>
            <w:proofErr w:type="spellStart"/>
            <w:r w:rsidRPr="005A65C7">
              <w:t>dhe</w:t>
            </w:r>
            <w:proofErr w:type="spellEnd"/>
            <w:r w:rsidRPr="005A65C7">
              <w:t xml:space="preserve"> </w:t>
            </w:r>
            <w:proofErr w:type="spellStart"/>
            <w:r w:rsidRPr="005A65C7">
              <w:t>mbrojtjen</w:t>
            </w:r>
            <w:proofErr w:type="spellEnd"/>
            <w:r w:rsidRPr="005A65C7">
              <w:t xml:space="preserve"> e </w:t>
            </w:r>
            <w:proofErr w:type="spellStart"/>
            <w:r w:rsidRPr="005A65C7">
              <w:t>investitorëve</w:t>
            </w:r>
            <w:proofErr w:type="spellEnd"/>
            <w:r w:rsidRPr="005A65C7">
              <w:t xml:space="preserve"> </w:t>
            </w:r>
            <w:proofErr w:type="spellStart"/>
            <w:r w:rsidRPr="005A65C7">
              <w:t>gjatë</w:t>
            </w:r>
            <w:proofErr w:type="spellEnd"/>
            <w:r w:rsidRPr="005A65C7">
              <w:t xml:space="preserve"> </w:t>
            </w:r>
            <w:proofErr w:type="spellStart"/>
            <w:r w:rsidRPr="005A65C7">
              <w:t>kalimit</w:t>
            </w:r>
            <w:proofErr w:type="spellEnd"/>
            <w:r w:rsidRPr="005A65C7">
              <w:t xml:space="preserve"> </w:t>
            </w:r>
            <w:proofErr w:type="spellStart"/>
            <w:r w:rsidRPr="005A65C7">
              <w:t>nga</w:t>
            </w:r>
            <w:proofErr w:type="spellEnd"/>
            <w:r w:rsidRPr="005A65C7">
              <w:t xml:space="preserve"> </w:t>
            </w:r>
            <w:proofErr w:type="spellStart"/>
            <w:r w:rsidRPr="005A65C7">
              <w:t>ofertë</w:t>
            </w:r>
            <w:proofErr w:type="spellEnd"/>
            <w:r w:rsidRPr="005A65C7">
              <w:t xml:space="preserve"> private </w:t>
            </w:r>
            <w:proofErr w:type="spellStart"/>
            <w:r w:rsidRPr="005A65C7">
              <w:t>në</w:t>
            </w:r>
            <w:proofErr w:type="spellEnd"/>
            <w:r w:rsidRPr="005A65C7">
              <w:t xml:space="preserve"> </w:t>
            </w:r>
            <w:proofErr w:type="spellStart"/>
            <w:r w:rsidRPr="005A65C7">
              <w:t>publike</w:t>
            </w:r>
            <w:proofErr w:type="spellEnd"/>
            <w:r w:rsidRPr="005A65C7">
              <w:t>.</w:t>
            </w:r>
          </w:p>
          <w:p w14:paraId="7C161F5B" w14:textId="726CC4D2" w:rsidR="0026327C" w:rsidRPr="005A65C7" w:rsidRDefault="0026327C" w:rsidP="00D756B5">
            <w:pPr>
              <w:numPr>
                <w:ilvl w:val="0"/>
                <w:numId w:val="74"/>
              </w:numPr>
              <w:spacing w:after="160" w:line="278" w:lineRule="auto"/>
              <w:jc w:val="both"/>
            </w:pPr>
            <w:proofErr w:type="spellStart"/>
            <w:r w:rsidRPr="005A65C7">
              <w:rPr>
                <w:rFonts w:eastAsiaTheme="majorEastAsia"/>
              </w:rPr>
              <w:t>Barazia</w:t>
            </w:r>
            <w:proofErr w:type="spellEnd"/>
            <w:r w:rsidRPr="005A65C7">
              <w:rPr>
                <w:rFonts w:eastAsiaTheme="majorEastAsia"/>
              </w:rPr>
              <w:t xml:space="preserve"> </w:t>
            </w:r>
            <w:proofErr w:type="spellStart"/>
            <w:r w:rsidRPr="005A65C7">
              <w:rPr>
                <w:rFonts w:eastAsiaTheme="majorEastAsia"/>
              </w:rPr>
              <w:t>gjinore</w:t>
            </w:r>
            <w:proofErr w:type="spellEnd"/>
            <w:r w:rsidRPr="005A65C7">
              <w:rPr>
                <w:rFonts w:eastAsiaTheme="majorEastAsia"/>
              </w:rPr>
              <w:t xml:space="preserve"> </w:t>
            </w:r>
            <w:proofErr w:type="spellStart"/>
            <w:r w:rsidRPr="005A65C7">
              <w:rPr>
                <w:rFonts w:eastAsiaTheme="majorEastAsia"/>
              </w:rPr>
              <w:t>dhe</w:t>
            </w:r>
            <w:proofErr w:type="spellEnd"/>
            <w:r w:rsidRPr="005A65C7">
              <w:rPr>
                <w:rFonts w:eastAsiaTheme="majorEastAsia"/>
              </w:rPr>
              <w:t xml:space="preserve"> </w:t>
            </w:r>
            <w:proofErr w:type="spellStart"/>
            <w:r w:rsidRPr="005A65C7">
              <w:rPr>
                <w:rFonts w:eastAsiaTheme="majorEastAsia"/>
              </w:rPr>
              <w:t>grupet</w:t>
            </w:r>
            <w:proofErr w:type="spellEnd"/>
            <w:r w:rsidRPr="005A65C7">
              <w:rPr>
                <w:rFonts w:eastAsiaTheme="majorEastAsia"/>
              </w:rPr>
              <w:t xml:space="preserve"> </w:t>
            </w:r>
            <w:proofErr w:type="spellStart"/>
            <w:r w:rsidRPr="005A65C7">
              <w:rPr>
                <w:rFonts w:eastAsiaTheme="majorEastAsia"/>
              </w:rPr>
              <w:t>vulnerabël</w:t>
            </w:r>
            <w:proofErr w:type="spellEnd"/>
            <w:r w:rsidRPr="005A65C7">
              <w:t xml:space="preserve"> – </w:t>
            </w:r>
            <w:proofErr w:type="spellStart"/>
            <w:r w:rsidRPr="005A65C7">
              <w:t>mungojnë</w:t>
            </w:r>
            <w:proofErr w:type="spellEnd"/>
            <w:r w:rsidRPr="005A65C7">
              <w:t xml:space="preserve"> masa </w:t>
            </w:r>
            <w:proofErr w:type="spellStart"/>
            <w:r w:rsidRPr="005A65C7">
              <w:t>për</w:t>
            </w:r>
            <w:proofErr w:type="spellEnd"/>
            <w:r w:rsidRPr="005A65C7">
              <w:t xml:space="preserve"> </w:t>
            </w:r>
            <w:proofErr w:type="spellStart"/>
            <w:r w:rsidRPr="005A65C7">
              <w:t>promovimin</w:t>
            </w:r>
            <w:proofErr w:type="spellEnd"/>
            <w:r w:rsidRPr="005A65C7">
              <w:t xml:space="preserve"> e </w:t>
            </w:r>
            <w:proofErr w:type="spellStart"/>
            <w:r w:rsidRPr="005A65C7">
              <w:t>barazisë</w:t>
            </w:r>
            <w:proofErr w:type="spellEnd"/>
            <w:r w:rsidRPr="005A65C7">
              <w:t xml:space="preserve"> </w:t>
            </w:r>
            <w:proofErr w:type="spellStart"/>
            <w:r w:rsidRPr="005A65C7">
              <w:t>dhe</w:t>
            </w:r>
            <w:proofErr w:type="spellEnd"/>
            <w:r w:rsidRPr="005A65C7">
              <w:t xml:space="preserve"> </w:t>
            </w:r>
            <w:proofErr w:type="spellStart"/>
            <w:r w:rsidRPr="005A65C7">
              <w:t>aksesit</w:t>
            </w:r>
            <w:proofErr w:type="spellEnd"/>
            <w:r w:rsidRPr="005A65C7">
              <w:t xml:space="preserve"> </w:t>
            </w:r>
            <w:proofErr w:type="spellStart"/>
            <w:r w:rsidRPr="005A65C7">
              <w:t>të</w:t>
            </w:r>
            <w:proofErr w:type="spellEnd"/>
            <w:r w:rsidRPr="005A65C7">
              <w:t xml:space="preserve"> </w:t>
            </w:r>
            <w:proofErr w:type="spellStart"/>
            <w:r w:rsidRPr="005A65C7">
              <w:t>barabartë</w:t>
            </w:r>
            <w:proofErr w:type="spellEnd"/>
            <w:r w:rsidRPr="005A65C7">
              <w:t xml:space="preserve"> </w:t>
            </w:r>
            <w:proofErr w:type="spellStart"/>
            <w:r w:rsidRPr="005A65C7">
              <w:t>në</w:t>
            </w:r>
            <w:proofErr w:type="spellEnd"/>
            <w:r w:rsidRPr="005A65C7">
              <w:t xml:space="preserve"> </w:t>
            </w:r>
            <w:proofErr w:type="spellStart"/>
            <w:r w:rsidRPr="005A65C7">
              <w:t>drejtim</w:t>
            </w:r>
            <w:proofErr w:type="spellEnd"/>
            <w:r w:rsidRPr="005A65C7">
              <w:t xml:space="preserve"> </w:t>
            </w:r>
            <w:proofErr w:type="spellStart"/>
            <w:r w:rsidRPr="005A65C7">
              <w:t>dhe</w:t>
            </w:r>
            <w:proofErr w:type="spellEnd"/>
            <w:r w:rsidRPr="005A65C7">
              <w:t xml:space="preserve"> </w:t>
            </w:r>
            <w:proofErr w:type="spellStart"/>
            <w:r w:rsidRPr="005A65C7">
              <w:t>informacion</w:t>
            </w:r>
            <w:proofErr w:type="spellEnd"/>
            <w:r w:rsidRPr="005A65C7">
              <w:t>.</w:t>
            </w:r>
          </w:p>
          <w:p w14:paraId="77BDE608" w14:textId="6FD537EC" w:rsidR="0026327C" w:rsidRPr="005A65C7" w:rsidRDefault="0026327C" w:rsidP="0026327C">
            <w:pPr>
              <w:spacing w:after="160" w:line="278" w:lineRule="auto"/>
              <w:rPr>
                <w:b/>
                <w:bCs/>
              </w:rPr>
            </w:pPr>
            <w:proofErr w:type="spellStart"/>
            <w:r w:rsidRPr="005A65C7">
              <w:rPr>
                <w:rFonts w:eastAsiaTheme="majorEastAsia"/>
                <w:b/>
                <w:bCs/>
              </w:rPr>
              <w:t>Pasojat</w:t>
            </w:r>
            <w:proofErr w:type="spellEnd"/>
            <w:r>
              <w:rPr>
                <w:rFonts w:eastAsiaTheme="majorEastAsia"/>
                <w:b/>
                <w:bCs/>
              </w:rPr>
              <w:t>:</w:t>
            </w:r>
          </w:p>
          <w:p w14:paraId="4B2ECA66" w14:textId="77777777" w:rsidR="0026327C" w:rsidRPr="005A65C7" w:rsidRDefault="0026327C" w:rsidP="0026327C">
            <w:pPr>
              <w:numPr>
                <w:ilvl w:val="0"/>
                <w:numId w:val="75"/>
              </w:numPr>
              <w:spacing w:after="160" w:line="278" w:lineRule="auto"/>
              <w:jc w:val="both"/>
              <w:rPr>
                <w:lang w:val="it-IT"/>
              </w:rPr>
            </w:pPr>
            <w:r w:rsidRPr="005A65C7">
              <w:rPr>
                <w:rFonts w:eastAsiaTheme="majorEastAsia"/>
                <w:lang w:val="it-IT"/>
              </w:rPr>
              <w:t>Pasiguri ligjore</w:t>
            </w:r>
            <w:r w:rsidRPr="005A65C7">
              <w:rPr>
                <w:lang w:val="it-IT"/>
              </w:rPr>
              <w:t xml:space="preserve"> për bizneset dhe investitorët.</w:t>
            </w:r>
          </w:p>
          <w:p w14:paraId="5D1790E1" w14:textId="77777777" w:rsidR="0026327C" w:rsidRPr="005A65C7" w:rsidRDefault="0026327C" w:rsidP="0026327C">
            <w:pPr>
              <w:numPr>
                <w:ilvl w:val="0"/>
                <w:numId w:val="75"/>
              </w:numPr>
              <w:spacing w:after="160" w:line="278" w:lineRule="auto"/>
              <w:jc w:val="both"/>
              <w:rPr>
                <w:lang w:val="it-IT"/>
              </w:rPr>
            </w:pPr>
            <w:r w:rsidRPr="005A65C7">
              <w:rPr>
                <w:rFonts w:eastAsiaTheme="majorEastAsia"/>
                <w:lang w:val="it-IT"/>
              </w:rPr>
              <w:t>Rritje e kostove dhe vonesave</w:t>
            </w:r>
            <w:r w:rsidRPr="005A65C7">
              <w:rPr>
                <w:lang w:val="it-IT"/>
              </w:rPr>
              <w:t xml:space="preserve"> për regjistrime apo mbyllje shoqërish.</w:t>
            </w:r>
          </w:p>
          <w:p w14:paraId="6C1E022B" w14:textId="77777777" w:rsidR="0026327C" w:rsidRPr="005A65C7" w:rsidRDefault="0026327C" w:rsidP="0026327C">
            <w:pPr>
              <w:numPr>
                <w:ilvl w:val="0"/>
                <w:numId w:val="75"/>
              </w:numPr>
              <w:spacing w:after="160" w:line="278" w:lineRule="auto"/>
              <w:jc w:val="both"/>
              <w:rPr>
                <w:lang w:val="it-IT"/>
              </w:rPr>
            </w:pPr>
            <w:r w:rsidRPr="005A65C7">
              <w:rPr>
                <w:rFonts w:eastAsiaTheme="majorEastAsia"/>
                <w:lang w:val="it-IT"/>
              </w:rPr>
              <w:t>Rrezik për abuzime financiare</w:t>
            </w:r>
            <w:r w:rsidRPr="005A65C7">
              <w:rPr>
                <w:lang w:val="it-IT"/>
              </w:rPr>
              <w:t xml:space="preserve"> dhe shpërndarje të paligjshme të fitimeve.</w:t>
            </w:r>
          </w:p>
          <w:p w14:paraId="5646242E" w14:textId="77777777" w:rsidR="0026327C" w:rsidRPr="005A65C7" w:rsidRDefault="0026327C" w:rsidP="0026327C">
            <w:pPr>
              <w:numPr>
                <w:ilvl w:val="0"/>
                <w:numId w:val="75"/>
              </w:numPr>
              <w:spacing w:after="160" w:line="278" w:lineRule="auto"/>
              <w:jc w:val="both"/>
              <w:rPr>
                <w:lang w:val="it-IT"/>
              </w:rPr>
            </w:pPr>
            <w:r w:rsidRPr="005A65C7">
              <w:rPr>
                <w:rFonts w:eastAsiaTheme="majorEastAsia"/>
                <w:lang w:val="it-IT"/>
              </w:rPr>
              <w:t>Dobësim i mbrojtjes së kreditorëve dhe investitorëve.</w:t>
            </w:r>
          </w:p>
          <w:p w14:paraId="5BE6DC97" w14:textId="77777777" w:rsidR="0026327C" w:rsidRPr="005A65C7" w:rsidRDefault="0026327C" w:rsidP="0026327C">
            <w:pPr>
              <w:numPr>
                <w:ilvl w:val="0"/>
                <w:numId w:val="75"/>
              </w:numPr>
              <w:spacing w:after="160" w:line="278" w:lineRule="auto"/>
              <w:jc w:val="both"/>
              <w:rPr>
                <w:lang w:val="it-IT"/>
              </w:rPr>
            </w:pPr>
            <w:r w:rsidRPr="005A65C7">
              <w:rPr>
                <w:rFonts w:eastAsiaTheme="majorEastAsia"/>
                <w:lang w:val="it-IT"/>
              </w:rPr>
              <w:t>Përceptim negativ</w:t>
            </w:r>
            <w:r w:rsidRPr="005A65C7">
              <w:rPr>
                <w:lang w:val="it-IT"/>
              </w:rPr>
              <w:t xml:space="preserve"> i klimës së biznesit dhe </w:t>
            </w:r>
            <w:r w:rsidRPr="005A65C7">
              <w:rPr>
                <w:rFonts w:eastAsiaTheme="majorEastAsia"/>
                <w:lang w:val="it-IT"/>
              </w:rPr>
              <w:t>ulje e konkurrueshmërisë.</w:t>
            </w:r>
          </w:p>
          <w:p w14:paraId="789063ED" w14:textId="78AD9E6C" w:rsidR="0026327C" w:rsidRPr="00D756B5" w:rsidRDefault="0026327C" w:rsidP="00D756B5">
            <w:pPr>
              <w:numPr>
                <w:ilvl w:val="0"/>
                <w:numId w:val="75"/>
              </w:numPr>
              <w:spacing w:after="160" w:line="278" w:lineRule="auto"/>
              <w:jc w:val="both"/>
              <w:rPr>
                <w:lang w:val="it-IT"/>
              </w:rPr>
            </w:pPr>
            <w:r w:rsidRPr="005A65C7">
              <w:rPr>
                <w:rFonts w:eastAsiaTheme="majorEastAsia"/>
                <w:lang w:val="it-IT"/>
              </w:rPr>
              <w:lastRenderedPageBreak/>
              <w:t>Vonesë në procesin e integrimit evropian</w:t>
            </w:r>
            <w:r w:rsidRPr="005A65C7">
              <w:rPr>
                <w:lang w:val="it-IT"/>
              </w:rPr>
              <w:t xml:space="preserve"> dhe rrezik për mosmbylljen në kohë të kapitujve të negociatave.</w:t>
            </w:r>
          </w:p>
          <w:p w14:paraId="56567B86" w14:textId="181AECAC" w:rsidR="0026327C" w:rsidRPr="005A65C7" w:rsidRDefault="0026327C" w:rsidP="0026327C">
            <w:pPr>
              <w:spacing w:after="160" w:line="278" w:lineRule="auto"/>
              <w:rPr>
                <w:b/>
                <w:bCs/>
              </w:rPr>
            </w:pPr>
            <w:proofErr w:type="spellStart"/>
            <w:r w:rsidRPr="005A65C7">
              <w:rPr>
                <w:rFonts w:eastAsiaTheme="majorEastAsia"/>
                <w:b/>
                <w:bCs/>
              </w:rPr>
              <w:t>Grupet</w:t>
            </w:r>
            <w:proofErr w:type="spellEnd"/>
            <w:r w:rsidRPr="005A65C7">
              <w:rPr>
                <w:rFonts w:eastAsiaTheme="majorEastAsia"/>
                <w:b/>
                <w:bCs/>
              </w:rPr>
              <w:t xml:space="preserve"> e </w:t>
            </w:r>
            <w:proofErr w:type="spellStart"/>
            <w:r w:rsidRPr="005A65C7">
              <w:rPr>
                <w:rFonts w:eastAsiaTheme="majorEastAsia"/>
                <w:b/>
                <w:bCs/>
              </w:rPr>
              <w:t>prekura</w:t>
            </w:r>
            <w:proofErr w:type="spellEnd"/>
            <w:r>
              <w:rPr>
                <w:rFonts w:eastAsiaTheme="majorEastAsia"/>
                <w:b/>
                <w:bCs/>
              </w:rPr>
              <w:t>:</w:t>
            </w:r>
          </w:p>
          <w:p w14:paraId="4ECDAA68" w14:textId="77777777" w:rsidR="0026327C" w:rsidRPr="005A65C7" w:rsidRDefault="0026327C" w:rsidP="0026327C">
            <w:pPr>
              <w:numPr>
                <w:ilvl w:val="0"/>
                <w:numId w:val="76"/>
              </w:numPr>
              <w:spacing w:after="160" w:line="278" w:lineRule="auto"/>
              <w:jc w:val="both"/>
              <w:rPr>
                <w:lang w:val="it-IT"/>
              </w:rPr>
            </w:pPr>
            <w:r w:rsidRPr="005A65C7">
              <w:rPr>
                <w:rFonts w:eastAsiaTheme="majorEastAsia"/>
                <w:b/>
                <w:bCs/>
                <w:lang w:val="it-IT"/>
              </w:rPr>
              <w:t>Bizneset vendase dhe të huaja</w:t>
            </w:r>
            <w:r w:rsidRPr="005A65C7">
              <w:rPr>
                <w:lang w:val="it-IT"/>
              </w:rPr>
              <w:t xml:space="preserve"> – përballen me pengesa administrative dhe pasiguri ligjore.</w:t>
            </w:r>
          </w:p>
          <w:p w14:paraId="430F32BF" w14:textId="77777777" w:rsidR="0026327C" w:rsidRPr="005A65C7" w:rsidRDefault="0026327C" w:rsidP="0026327C">
            <w:pPr>
              <w:numPr>
                <w:ilvl w:val="0"/>
                <w:numId w:val="76"/>
              </w:numPr>
              <w:spacing w:after="160" w:line="278" w:lineRule="auto"/>
              <w:jc w:val="both"/>
              <w:rPr>
                <w:lang w:val="it-IT"/>
              </w:rPr>
            </w:pPr>
            <w:r w:rsidRPr="005A65C7">
              <w:rPr>
                <w:rFonts w:eastAsiaTheme="majorEastAsia"/>
                <w:b/>
                <w:bCs/>
                <w:lang w:val="it-IT"/>
              </w:rPr>
              <w:t>Investitorët dhe kreditorët</w:t>
            </w:r>
            <w:r w:rsidRPr="005A65C7">
              <w:rPr>
                <w:lang w:val="it-IT"/>
              </w:rPr>
              <w:t xml:space="preserve"> – humbasin garancitë për mbrojtjen e interesave të tyre.</w:t>
            </w:r>
          </w:p>
          <w:p w14:paraId="391A907F" w14:textId="77777777" w:rsidR="0026327C" w:rsidRPr="005A65C7" w:rsidRDefault="0026327C" w:rsidP="0026327C">
            <w:pPr>
              <w:numPr>
                <w:ilvl w:val="0"/>
                <w:numId w:val="76"/>
              </w:numPr>
              <w:spacing w:after="160" w:line="278" w:lineRule="auto"/>
              <w:jc w:val="both"/>
              <w:rPr>
                <w:lang w:val="it-IT"/>
              </w:rPr>
            </w:pPr>
            <w:r w:rsidRPr="005A65C7">
              <w:rPr>
                <w:rFonts w:eastAsiaTheme="majorEastAsia"/>
                <w:b/>
                <w:bCs/>
                <w:lang w:val="it-IT"/>
              </w:rPr>
              <w:t>Punëmarrësit dhe qytetarët</w:t>
            </w:r>
            <w:r w:rsidRPr="005A65C7">
              <w:rPr>
                <w:lang w:val="it-IT"/>
              </w:rPr>
              <w:t xml:space="preserve"> – ndikohen nga pasiguria e tregut dhe mundësitë e kufizuara të investimeve.</w:t>
            </w:r>
          </w:p>
          <w:p w14:paraId="4B261A13" w14:textId="77777777" w:rsidR="0026327C" w:rsidRPr="005A65C7" w:rsidRDefault="0026327C" w:rsidP="0026327C">
            <w:pPr>
              <w:numPr>
                <w:ilvl w:val="0"/>
                <w:numId w:val="76"/>
              </w:numPr>
              <w:spacing w:after="160" w:line="278" w:lineRule="auto"/>
              <w:jc w:val="both"/>
              <w:rPr>
                <w:lang w:val="it-IT"/>
              </w:rPr>
            </w:pPr>
            <w:r w:rsidRPr="005A65C7">
              <w:rPr>
                <w:rFonts w:eastAsiaTheme="majorEastAsia"/>
                <w:b/>
                <w:bCs/>
                <w:lang w:val="it-IT"/>
              </w:rPr>
              <w:t>Qeveria dhe administrata publike</w:t>
            </w:r>
            <w:r w:rsidRPr="005A65C7">
              <w:rPr>
                <w:lang w:val="it-IT"/>
              </w:rPr>
              <w:t xml:space="preserve"> – përballen me vështirësi në zbatimin e acquis dhe në procesin e integrimit në BE.</w:t>
            </w:r>
          </w:p>
          <w:p w14:paraId="0FC31EC0" w14:textId="77777777" w:rsidR="0026327C" w:rsidRPr="005A65C7" w:rsidRDefault="0026327C" w:rsidP="0026327C">
            <w:pPr>
              <w:numPr>
                <w:ilvl w:val="0"/>
                <w:numId w:val="76"/>
              </w:numPr>
              <w:spacing w:after="160" w:line="278" w:lineRule="auto"/>
              <w:jc w:val="both"/>
              <w:rPr>
                <w:lang w:val="it-IT"/>
              </w:rPr>
            </w:pPr>
            <w:r w:rsidRPr="005A65C7">
              <w:rPr>
                <w:rFonts w:eastAsiaTheme="majorEastAsia"/>
                <w:b/>
                <w:bCs/>
                <w:lang w:val="it-IT"/>
              </w:rPr>
              <w:t>Grupet vulnerabël dhe gratë në pozicione drejtuese</w:t>
            </w:r>
            <w:r w:rsidRPr="005A65C7">
              <w:rPr>
                <w:lang w:val="it-IT"/>
              </w:rPr>
              <w:t xml:space="preserve"> – ndikohen nga mungesa e dispozitave për barazi dhe përfshirje.</w:t>
            </w:r>
          </w:p>
          <w:p w14:paraId="4E23D746" w14:textId="5E7DFB6A" w:rsidR="00053C0A" w:rsidRDefault="00952D12" w:rsidP="0026327C">
            <w:pPr>
              <w:spacing w:line="276" w:lineRule="auto"/>
              <w:jc w:val="both"/>
              <w:rPr>
                <w:iCs/>
                <w:szCs w:val="24"/>
                <w:lang w:val="sq-AL"/>
              </w:rPr>
            </w:pPr>
            <w:r w:rsidRPr="00952D12">
              <w:rPr>
                <w:iCs/>
                <w:szCs w:val="24"/>
                <w:lang w:val="sq-AL"/>
              </w:rPr>
              <w:t>.</w:t>
            </w:r>
            <w:r w:rsidR="00053C0A" w:rsidRPr="00053C0A">
              <w:rPr>
                <w:iCs/>
                <w:szCs w:val="24"/>
                <w:lang w:val="sq-AL"/>
              </w:rPr>
              <w:t xml:space="preserve">. </w:t>
            </w:r>
          </w:p>
          <w:p w14:paraId="130185A8" w14:textId="651994BE" w:rsidR="006833BE" w:rsidRPr="00053C0A" w:rsidRDefault="006833BE" w:rsidP="0026327C">
            <w:pPr>
              <w:spacing w:line="276" w:lineRule="auto"/>
              <w:jc w:val="both"/>
              <w:rPr>
                <w:iCs/>
                <w:szCs w:val="24"/>
                <w:lang w:val="sq-AL"/>
              </w:rPr>
            </w:pPr>
            <w:r w:rsidRPr="006833BE">
              <w:rPr>
                <w:iCs/>
                <w:szCs w:val="24"/>
                <w:lang w:val="sq-AL"/>
              </w:rPr>
              <w:t>Nga ana tjetër, nevojiten që të reflektohen dispozita të reja lidhur me të drejtat e aksionarëve (kryesisht për shoqëri që operojnë në tregje të rregulluara), dhe veçanërisht ushtrimin e këtyre të drejtave nëpërmjet palëve të treta.</w:t>
            </w:r>
          </w:p>
          <w:p w14:paraId="4CAFE2EC" w14:textId="167A9200" w:rsidR="00B5039C" w:rsidRPr="00053C0A" w:rsidRDefault="00B5039C" w:rsidP="00053C0A">
            <w:pPr>
              <w:spacing w:line="276" w:lineRule="auto"/>
              <w:jc w:val="both"/>
              <w:rPr>
                <w:iCs/>
                <w:szCs w:val="24"/>
                <w:lang w:val="sq-AL"/>
              </w:rPr>
            </w:pPr>
          </w:p>
        </w:tc>
      </w:tr>
      <w:tr w:rsidR="00B5039C" w:rsidRPr="00674D96" w14:paraId="52EDADDC" w14:textId="77777777" w:rsidTr="30EE1AA0">
        <w:trPr>
          <w:trHeight w:val="543"/>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7440F" w14:textId="77777777" w:rsidR="00B5039C" w:rsidRPr="00325A1F" w:rsidRDefault="4C83B0A3" w:rsidP="30EE1AA0">
            <w:pPr>
              <w:spacing w:line="276" w:lineRule="auto"/>
              <w:jc w:val="both"/>
              <w:rPr>
                <w:b/>
                <w:bCs/>
                <w:i/>
                <w:iCs/>
                <w:lang w:val="sq-AL"/>
              </w:rPr>
            </w:pPr>
            <w:r w:rsidRPr="30EE1AA0">
              <w:rPr>
                <w:b/>
                <w:bCs/>
                <w:lang w:val="sq-AL"/>
              </w:rPr>
              <w:lastRenderedPageBreak/>
              <w:t>OBJEKTIVAT</w:t>
            </w:r>
          </w:p>
          <w:p w14:paraId="15BAE98A" w14:textId="77777777" w:rsidR="00B5039C" w:rsidRPr="003C264A" w:rsidRDefault="00B5039C" w:rsidP="00B5039C">
            <w:pPr>
              <w:spacing w:line="276" w:lineRule="auto"/>
              <w:jc w:val="both"/>
              <w:rPr>
                <w:i/>
                <w:szCs w:val="24"/>
              </w:rPr>
            </w:pPr>
            <w:r w:rsidRPr="003C264A">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4" w:name="Objektivat"/>
            <w:r w:rsidRPr="003C264A">
              <w:rPr>
                <w:i/>
                <w:szCs w:val="24"/>
                <w:lang w:val="sq-AL"/>
              </w:rPr>
              <w:instrText xml:space="preserve"> FORMTEXT </w:instrText>
            </w:r>
            <w:r w:rsidRPr="003C264A">
              <w:rPr>
                <w:i/>
                <w:szCs w:val="24"/>
              </w:rPr>
            </w:r>
            <w:r w:rsidRPr="003C264A">
              <w:rPr>
                <w:i/>
                <w:szCs w:val="24"/>
              </w:rPr>
              <w:fldChar w:fldCharType="separate"/>
            </w:r>
            <w:r w:rsidRPr="003C264A">
              <w:rPr>
                <w:i/>
                <w:noProof/>
                <w:szCs w:val="24"/>
                <w:lang w:val="sq-AL"/>
              </w:rPr>
              <w:t xml:space="preserve">Cilat janë objektivat dhe rezultatet e synuara të propozimit? </w:t>
            </w:r>
            <w:r w:rsidRPr="003C264A">
              <w:rPr>
                <w:i/>
                <w:noProof/>
                <w:szCs w:val="24"/>
              </w:rPr>
              <w:t>(jo më shumë se 7  rreshta)</w:t>
            </w:r>
            <w:r w:rsidRPr="003C264A">
              <w:rPr>
                <w:i/>
                <w:szCs w:val="24"/>
              </w:rPr>
              <w:fldChar w:fldCharType="end"/>
            </w:r>
            <w:bookmarkEnd w:id="4"/>
          </w:p>
          <w:p w14:paraId="3E9E10CD" w14:textId="77777777" w:rsidR="00B5039C" w:rsidRPr="003C264A" w:rsidRDefault="00B5039C" w:rsidP="00B5039C">
            <w:pPr>
              <w:jc w:val="both"/>
              <w:rPr>
                <w:szCs w:val="24"/>
              </w:rPr>
            </w:pPr>
            <w:r w:rsidRPr="003C264A">
              <w:fldChar w:fldCharType="begin">
                <w:ffData>
                  <w:name w:val=""/>
                  <w:enabled/>
                  <w:calcOnExit w:val="0"/>
                  <w:textInput>
                    <w:maxLength w:val="546"/>
                  </w:textInput>
                </w:ffData>
              </w:fldChar>
            </w:r>
            <w:r w:rsidRPr="003C264A">
              <w:instrText xml:space="preserve"> FORMTEXT </w:instrText>
            </w:r>
            <w:r w:rsidRPr="003C264A">
              <w:fldChar w:fldCharType="separate"/>
            </w:r>
            <w:r w:rsidRPr="003C264A">
              <w:rPr>
                <w:noProof/>
              </w:rPr>
              <w:t> </w:t>
            </w:r>
            <w:r w:rsidRPr="003C264A">
              <w:rPr>
                <w:noProof/>
              </w:rPr>
              <w:t> </w:t>
            </w:r>
            <w:r w:rsidRPr="003C264A">
              <w:rPr>
                <w:noProof/>
              </w:rPr>
              <w:t> </w:t>
            </w:r>
            <w:r w:rsidRPr="003C264A">
              <w:rPr>
                <w:noProof/>
              </w:rPr>
              <w:t> </w:t>
            </w:r>
            <w:r w:rsidRPr="003C264A">
              <w:rPr>
                <w:noProof/>
              </w:rPr>
              <w:t> </w:t>
            </w:r>
            <w:r w:rsidRPr="003C264A">
              <w:fldChar w:fldCharType="end"/>
            </w:r>
          </w:p>
          <w:p w14:paraId="3623256E" w14:textId="77777777" w:rsidR="00674D96" w:rsidRPr="0004611C" w:rsidRDefault="00674D96" w:rsidP="00674D96">
            <w:pPr>
              <w:spacing w:after="160" w:line="259" w:lineRule="auto"/>
              <w:jc w:val="both"/>
              <w:rPr>
                <w:u w:val="single"/>
                <w:lang w:val="sq-AL"/>
              </w:rPr>
            </w:pPr>
            <w:r w:rsidRPr="0004611C">
              <w:rPr>
                <w:u w:val="single"/>
                <w:lang w:val="sq-AL"/>
              </w:rPr>
              <w:t>1. Përputhshmëria me Direktivën</w:t>
            </w:r>
          </w:p>
          <w:p w14:paraId="7D5FC765" w14:textId="339125A4" w:rsidR="00674D96" w:rsidRPr="00DA4257" w:rsidRDefault="00674D96" w:rsidP="00674D96">
            <w:pPr>
              <w:spacing w:after="160" w:line="259" w:lineRule="auto"/>
              <w:jc w:val="both"/>
              <w:rPr>
                <w:lang w:val="sq-AL"/>
              </w:rPr>
            </w:pPr>
            <w:r>
              <w:rPr>
                <w:lang w:val="sq-AL"/>
              </w:rPr>
              <w:t>Hartimi i ndryshimeve me qëllim</w:t>
            </w:r>
            <w:r w:rsidRPr="00DA4257">
              <w:rPr>
                <w:lang w:val="sq-AL"/>
              </w:rPr>
              <w:t xml:space="preserve"> përputhshmëri</w:t>
            </w:r>
            <w:r>
              <w:rPr>
                <w:lang w:val="sq-AL"/>
              </w:rPr>
              <w:t>n</w:t>
            </w:r>
            <w:r w:rsidRPr="00DA4257">
              <w:rPr>
                <w:lang w:val="sq-AL"/>
              </w:rPr>
              <w:t xml:space="preserve">ë </w:t>
            </w:r>
            <w:r w:rsidR="003228C3">
              <w:rPr>
                <w:lang w:val="sq-AL"/>
              </w:rPr>
              <w:t>e</w:t>
            </w:r>
            <w:r w:rsidRPr="00DA4257">
              <w:rPr>
                <w:lang w:val="sq-AL"/>
              </w:rPr>
              <w:t xml:space="preserve"> plotë të Ligjit nr. 9901/2008 me Direktivën (BE) 2017/1132 </w:t>
            </w:r>
            <w:r w:rsidR="003228C3" w:rsidRPr="00D756B5">
              <w:rPr>
                <w:lang w:val="sq-AL"/>
              </w:rPr>
              <w:t xml:space="preserve"> </w:t>
            </w:r>
            <w:r w:rsidR="003228C3" w:rsidRPr="003228C3">
              <w:rPr>
                <w:lang w:val="sq-AL"/>
              </w:rPr>
              <w:t xml:space="preserve">dhe Direktivën 2007/36/KE (e ndryshuar) </w:t>
            </w:r>
            <w:r w:rsidRPr="00DA4257">
              <w:rPr>
                <w:lang w:val="sq-AL"/>
              </w:rPr>
              <w:t>deri në dhjetor 2025</w:t>
            </w:r>
            <w:r>
              <w:rPr>
                <w:lang w:val="sq-AL"/>
              </w:rPr>
              <w:t xml:space="preserve"> </w:t>
            </w:r>
            <w:r w:rsidRPr="00DA4257">
              <w:rPr>
                <w:lang w:val="sq-AL"/>
              </w:rPr>
              <w:t>dhe duke raportuar progresin çdo gjashtë muaj tek Komisioni Evropian, me qëllim mbylljen e Kapitullit 6 deri në vitin 2027.</w:t>
            </w:r>
          </w:p>
          <w:p w14:paraId="5E71771C" w14:textId="77777777" w:rsidR="00674D96" w:rsidRPr="0004611C" w:rsidRDefault="00674D96" w:rsidP="00674D96">
            <w:pPr>
              <w:spacing w:after="160" w:line="259" w:lineRule="auto"/>
              <w:jc w:val="both"/>
              <w:rPr>
                <w:u w:val="single"/>
                <w:lang w:val="sq-AL"/>
              </w:rPr>
            </w:pPr>
            <w:r w:rsidRPr="0004611C">
              <w:rPr>
                <w:u w:val="single"/>
                <w:lang w:val="sq-AL"/>
              </w:rPr>
              <w:t>2. Transparenca dhe efikasiteti</w:t>
            </w:r>
          </w:p>
          <w:p w14:paraId="41F34C1B" w14:textId="77777777" w:rsidR="00674D96" w:rsidRPr="00DA4257" w:rsidRDefault="00674D96" w:rsidP="00674D96">
            <w:pPr>
              <w:spacing w:after="160" w:line="259" w:lineRule="auto"/>
              <w:jc w:val="both"/>
              <w:rPr>
                <w:lang w:val="sq-AL"/>
              </w:rPr>
            </w:pPr>
            <w:r w:rsidRPr="00DA4257">
              <w:rPr>
                <w:lang w:val="sq-AL"/>
              </w:rPr>
              <w:t>Rritja e transparencës dhe efikasitetit të shoqërive tregtare deri në fund të vitit 2026, përmes detyrimit për regjistrim online dhe publikim të të dhënave financiare, duke garantuar që të paktën 90% e shoqërive aksionare të raportojnë sipas standardeve të reja dhe duke ulur me 30% kohën mesatare të regjistrimit në QKB.</w:t>
            </w:r>
          </w:p>
          <w:p w14:paraId="2DBB86F8" w14:textId="77777777" w:rsidR="00674D96" w:rsidRPr="00F01320" w:rsidRDefault="00674D96" w:rsidP="00674D96">
            <w:pPr>
              <w:spacing w:after="160" w:line="259" w:lineRule="auto"/>
              <w:jc w:val="both"/>
              <w:rPr>
                <w:lang w:val="sq-AL"/>
              </w:rPr>
            </w:pPr>
            <w:r w:rsidRPr="00F01320">
              <w:rPr>
                <w:lang w:val="sq-AL"/>
              </w:rPr>
              <w:t>3. Qeverisja korporative dhe mbrojtja e aksionarëve</w:t>
            </w:r>
          </w:p>
          <w:p w14:paraId="0E35A5CC" w14:textId="77777777" w:rsidR="00674D96" w:rsidRPr="00DA4257" w:rsidRDefault="00674D96" w:rsidP="00674D96">
            <w:pPr>
              <w:spacing w:after="160" w:line="259" w:lineRule="auto"/>
              <w:jc w:val="both"/>
              <w:rPr>
                <w:lang w:val="sq-AL"/>
              </w:rPr>
            </w:pPr>
            <w:r w:rsidRPr="00DA4257">
              <w:rPr>
                <w:lang w:val="sq-AL"/>
              </w:rPr>
              <w:t>Forcimi i qeverisjes korporative deri në vitin 2026 përmes vendosjes së mekanizmave të verifikimit të pastërtisë ligjore, duke siguruar që 100% e administratorëve dhe anëtarëve të bordeve të dorëzojnë vetëdeklarime dhe të jenë të verifikuar nga autoritetet, si dhe duke monitoruar shpërndarjet e fitimit në të gjitha shoqëritë aksionare.</w:t>
            </w:r>
          </w:p>
          <w:p w14:paraId="3B264473" w14:textId="77777777" w:rsidR="00674D96" w:rsidRPr="0004611C" w:rsidRDefault="00674D96" w:rsidP="00674D96">
            <w:pPr>
              <w:spacing w:after="160" w:line="259" w:lineRule="auto"/>
              <w:jc w:val="both"/>
              <w:rPr>
                <w:u w:val="single"/>
                <w:lang w:val="sq-AL"/>
              </w:rPr>
            </w:pPr>
            <w:r w:rsidRPr="0004611C">
              <w:rPr>
                <w:u w:val="single"/>
                <w:lang w:val="sq-AL"/>
              </w:rPr>
              <w:t>4. Operacionet ndërkufitare dhe digjitalizimi</w:t>
            </w:r>
          </w:p>
          <w:p w14:paraId="461CB23D" w14:textId="77777777" w:rsidR="00674D96" w:rsidRPr="00DA4257" w:rsidRDefault="00674D96" w:rsidP="00674D96">
            <w:pPr>
              <w:spacing w:after="160" w:line="259" w:lineRule="auto"/>
              <w:jc w:val="both"/>
              <w:rPr>
                <w:lang w:val="sq-AL"/>
              </w:rPr>
            </w:pPr>
            <w:r w:rsidRPr="00DA4257">
              <w:rPr>
                <w:lang w:val="sq-AL"/>
              </w:rPr>
              <w:t>Lehtësimi i operacioneve ndërkufitare dhe integrimi i regjistrave të biznesit deri në fund të vitit 2027, përmes digjitalizimit dhe ndërveprueshmërisë me sistemin BRIS të BE-së, duke arritur funksionalitet të plotë në shkëmbimin e informacionit me të gjitha shtetet anëtare.</w:t>
            </w:r>
          </w:p>
          <w:p w14:paraId="55EEAC6B" w14:textId="77777777" w:rsidR="00674D96" w:rsidRPr="0004611C" w:rsidRDefault="00674D96" w:rsidP="00674D96">
            <w:pPr>
              <w:spacing w:after="160" w:line="259" w:lineRule="auto"/>
              <w:jc w:val="both"/>
              <w:rPr>
                <w:u w:val="single"/>
                <w:lang w:val="sq-AL"/>
              </w:rPr>
            </w:pPr>
            <w:r w:rsidRPr="0004611C">
              <w:rPr>
                <w:u w:val="single"/>
                <w:lang w:val="sq-AL"/>
              </w:rPr>
              <w:t>5. Siguria juridike dhe klima e biznesit</w:t>
            </w:r>
          </w:p>
          <w:p w14:paraId="4059720B" w14:textId="77777777" w:rsidR="00674D96" w:rsidRDefault="00674D96" w:rsidP="00674D96">
            <w:pPr>
              <w:spacing w:after="160" w:line="259" w:lineRule="auto"/>
              <w:jc w:val="both"/>
              <w:rPr>
                <w:lang w:val="sq-AL"/>
              </w:rPr>
            </w:pPr>
            <w:r w:rsidRPr="00DA4257">
              <w:rPr>
                <w:lang w:val="sq-AL"/>
              </w:rPr>
              <w:lastRenderedPageBreak/>
              <w:t>Krijimi i një kuadri ligjor të qëndrueshëm dhe të parashikueshëm deri në vitin 2027, i cili ul me të paktën 20% numrin e rasteve të mosmarrëveshjeve të biznesit të lidhura me boshllëqe ligjore dhe rrit me 15% investimet e huaja direkte në krahasim me nivelin e vitit 2023.</w:t>
            </w:r>
          </w:p>
          <w:p w14:paraId="09F33966" w14:textId="0F194590" w:rsidR="003178E7" w:rsidRPr="00B86994" w:rsidRDefault="00B86994" w:rsidP="00D756B5">
            <w:pPr>
              <w:pStyle w:val="ListParagraph"/>
              <w:numPr>
                <w:ilvl w:val="0"/>
                <w:numId w:val="63"/>
              </w:numPr>
              <w:pBdr>
                <w:bar w:val="nil"/>
              </w:pBdr>
              <w:spacing w:line="276" w:lineRule="auto"/>
              <w:ind w:left="510" w:right="20" w:hanging="450"/>
              <w:jc w:val="both"/>
              <w:rPr>
                <w:szCs w:val="24"/>
                <w:lang w:val="sq-AL"/>
              </w:rPr>
            </w:pPr>
            <w:r w:rsidRPr="00B86994">
              <w:rPr>
                <w:szCs w:val="24"/>
                <w:lang w:val="sq-AL"/>
              </w:rPr>
              <w:t>.</w:t>
            </w:r>
          </w:p>
        </w:tc>
      </w:tr>
      <w:tr w:rsidR="00B5039C" w:rsidRPr="00331272" w14:paraId="55591B23" w14:textId="77777777" w:rsidTr="30EE1AA0">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41403" w14:textId="77777777" w:rsidR="00B5039C" w:rsidRPr="009F434C" w:rsidRDefault="00B5039C" w:rsidP="00B5039C">
            <w:pPr>
              <w:spacing w:line="276" w:lineRule="auto"/>
              <w:jc w:val="both"/>
              <w:rPr>
                <w:b/>
                <w:szCs w:val="24"/>
                <w:lang w:val="sq-AL"/>
              </w:rPr>
            </w:pPr>
            <w:r w:rsidRPr="009F434C">
              <w:rPr>
                <w:b/>
                <w:szCs w:val="24"/>
                <w:lang w:val="sq-AL"/>
              </w:rPr>
              <w:lastRenderedPageBreak/>
              <w:t>OPSIONET E POLITIKAVE</w:t>
            </w:r>
          </w:p>
          <w:p w14:paraId="39009953" w14:textId="77777777" w:rsidR="00B5039C" w:rsidRPr="00D756B5" w:rsidRDefault="00B5039C" w:rsidP="00B5039C">
            <w:pPr>
              <w:spacing w:line="276" w:lineRule="auto"/>
              <w:jc w:val="both"/>
              <w:rPr>
                <w:i/>
                <w:szCs w:val="24"/>
                <w:lang w:val="sq-AL"/>
              </w:rPr>
            </w:pPr>
            <w:r w:rsidRPr="009F434C">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D756B5">
              <w:rPr>
                <w:i/>
                <w:szCs w:val="24"/>
                <w:lang w:val="sq-AL"/>
              </w:rPr>
              <w:instrText xml:space="preserve"> FORMTEXT </w:instrText>
            </w:r>
            <w:r w:rsidRPr="009F434C">
              <w:rPr>
                <w:i/>
                <w:szCs w:val="24"/>
              </w:rPr>
            </w:r>
            <w:r w:rsidRPr="009F434C">
              <w:rPr>
                <w:i/>
                <w:szCs w:val="24"/>
              </w:rPr>
              <w:fldChar w:fldCharType="separate"/>
            </w:r>
            <w:r w:rsidRPr="00D756B5">
              <w:rPr>
                <w:i/>
                <w:szCs w:val="24"/>
                <w:lang w:val="sq-AL"/>
              </w:rPr>
              <w:t xml:space="preserve">Cilat janë opsionet kryesore të politikave? Duhet të bëni krahasimin e avantazheve/përfitimeve kryesore dhe të dizavantazheve/kostove të opsioneve të mundshme.  </w:t>
            </w:r>
            <w:r w:rsidRPr="00D756B5">
              <w:rPr>
                <w:i/>
                <w:noProof/>
                <w:szCs w:val="24"/>
                <w:lang w:val="sq-AL"/>
              </w:rPr>
              <w:t>(jo më shumë se 7 rreshta)</w:t>
            </w:r>
            <w:r w:rsidRPr="009F434C">
              <w:rPr>
                <w:i/>
                <w:szCs w:val="24"/>
              </w:rPr>
              <w:fldChar w:fldCharType="end"/>
            </w:r>
          </w:p>
          <w:p w14:paraId="6706D4A6" w14:textId="77777777" w:rsidR="00B5039C" w:rsidRPr="00D756B5" w:rsidRDefault="00B5039C" w:rsidP="00B5039C">
            <w:pPr>
              <w:jc w:val="both"/>
              <w:rPr>
                <w:szCs w:val="24"/>
                <w:lang w:val="sq-AL"/>
              </w:rPr>
            </w:pPr>
          </w:p>
          <w:p w14:paraId="429FD40C" w14:textId="77777777" w:rsidR="00E204A0" w:rsidRPr="00E204A0" w:rsidRDefault="00E204A0" w:rsidP="00E204A0">
            <w:pPr>
              <w:jc w:val="both"/>
              <w:rPr>
                <w:szCs w:val="24"/>
                <w:lang w:val="sq-AL"/>
              </w:rPr>
            </w:pPr>
            <w:r w:rsidRPr="00E204A0">
              <w:rPr>
                <w:szCs w:val="24"/>
                <w:lang w:val="sq-AL"/>
              </w:rPr>
              <w:t>Opsionet e mëposhtme janë vlerësuar në funksion të arritjes së objektivave të politikave:</w:t>
            </w:r>
          </w:p>
          <w:p w14:paraId="08969D9D" w14:textId="77777777" w:rsidR="00E204A0" w:rsidRPr="00E204A0" w:rsidRDefault="00E204A0" w:rsidP="00E204A0">
            <w:pPr>
              <w:jc w:val="both"/>
              <w:rPr>
                <w:szCs w:val="24"/>
                <w:lang w:val="sq-AL"/>
              </w:rPr>
            </w:pPr>
          </w:p>
          <w:p w14:paraId="15294DEE" w14:textId="77777777" w:rsidR="00E204A0" w:rsidRPr="00E204A0" w:rsidRDefault="00E204A0" w:rsidP="00E204A0">
            <w:pPr>
              <w:jc w:val="both"/>
              <w:rPr>
                <w:szCs w:val="24"/>
                <w:lang w:val="sq-AL"/>
              </w:rPr>
            </w:pPr>
            <w:r w:rsidRPr="00E204A0">
              <w:rPr>
                <w:b/>
                <w:bCs/>
                <w:color w:val="000000"/>
                <w:szCs w:val="24"/>
                <w:lang w:val="sq-AL"/>
              </w:rPr>
              <w:t xml:space="preserve">Opsioni 0  (status quo)- </w:t>
            </w:r>
            <w:r w:rsidRPr="00E204A0">
              <w:rPr>
                <w:bCs/>
                <w:color w:val="000000"/>
                <w:szCs w:val="24"/>
                <w:lang w:val="sq-AL"/>
              </w:rPr>
              <w:t>nënkupton</w:t>
            </w:r>
            <w:r w:rsidRPr="00E204A0">
              <w:rPr>
                <w:b/>
                <w:bCs/>
                <w:color w:val="000000"/>
                <w:szCs w:val="24"/>
                <w:lang w:val="sq-AL"/>
              </w:rPr>
              <w:t xml:space="preserve"> </w:t>
            </w:r>
            <w:r w:rsidRPr="00E204A0">
              <w:rPr>
                <w:szCs w:val="24"/>
                <w:lang w:val="sq-AL"/>
              </w:rPr>
              <w:t>vijimin me kuadrin ligjor aktual. Ky nuk është një opsion i përshtatshëm për t’u zbatuar sepse</w:t>
            </w:r>
            <w:r w:rsidRPr="00E204A0">
              <w:rPr>
                <w:lang w:val="sq-AL"/>
              </w:rPr>
              <w:t xml:space="preserve"> </w:t>
            </w:r>
            <w:r w:rsidRPr="00E204A0">
              <w:rPr>
                <w:szCs w:val="24"/>
                <w:lang w:val="sq-AL"/>
              </w:rPr>
              <w:t xml:space="preserve">mbajtja e kuadrit ligjor aktual pa reforma të rëndësishme do të çonte në mos përputhshmëri të vazhdueshme me direktivat kyçe të BE-së. </w:t>
            </w:r>
          </w:p>
          <w:p w14:paraId="380AC488" w14:textId="77777777" w:rsidR="00E204A0" w:rsidRPr="00E204A0" w:rsidRDefault="00E204A0" w:rsidP="00E204A0">
            <w:pPr>
              <w:jc w:val="both"/>
              <w:rPr>
                <w:b/>
                <w:bCs/>
                <w:szCs w:val="24"/>
                <w:lang w:val="sq-AL"/>
              </w:rPr>
            </w:pPr>
          </w:p>
          <w:p w14:paraId="10227159" w14:textId="56007E5B" w:rsidR="00E204A0" w:rsidRPr="00E204A0" w:rsidRDefault="00E204A0" w:rsidP="00E204A0">
            <w:pPr>
              <w:jc w:val="both"/>
              <w:rPr>
                <w:szCs w:val="24"/>
                <w:lang w:val="sq-AL"/>
              </w:rPr>
            </w:pPr>
            <w:r w:rsidRPr="00E204A0">
              <w:rPr>
                <w:b/>
                <w:bCs/>
                <w:szCs w:val="24"/>
                <w:lang w:val="sq-AL"/>
              </w:rPr>
              <w:t xml:space="preserve">Opsioni 1 (Ndryshime në </w:t>
            </w:r>
            <w:r w:rsidR="0084032E" w:rsidRPr="00E204A0">
              <w:rPr>
                <w:b/>
                <w:bCs/>
                <w:szCs w:val="24"/>
                <w:lang w:val="sq-AL"/>
              </w:rPr>
              <w:t>l</w:t>
            </w:r>
            <w:r w:rsidR="0084032E">
              <w:rPr>
                <w:b/>
                <w:bCs/>
                <w:szCs w:val="24"/>
                <w:lang w:val="sq-AL"/>
              </w:rPr>
              <w:t>igjin</w:t>
            </w:r>
            <w:r w:rsidR="0084032E" w:rsidRPr="00E204A0">
              <w:rPr>
                <w:b/>
                <w:bCs/>
                <w:szCs w:val="24"/>
                <w:lang w:val="sq-AL"/>
              </w:rPr>
              <w:t xml:space="preserve"> </w:t>
            </w:r>
            <w:r w:rsidRPr="00E204A0">
              <w:rPr>
                <w:b/>
                <w:bCs/>
                <w:szCs w:val="24"/>
                <w:lang w:val="sq-AL"/>
              </w:rPr>
              <w:t xml:space="preserve">ekzistues) i preferuar </w:t>
            </w:r>
            <w:r w:rsidRPr="00E204A0">
              <w:rPr>
                <w:szCs w:val="24"/>
                <w:lang w:val="sq-AL"/>
              </w:rPr>
              <w:t xml:space="preserve">-nënkupton ndryshime në </w:t>
            </w:r>
            <w:r w:rsidR="00A57862">
              <w:rPr>
                <w:szCs w:val="24"/>
                <w:lang w:val="sq-AL"/>
              </w:rPr>
              <w:t>ligjin ekzistues p</w:t>
            </w:r>
            <w:r w:rsidR="005F23C8">
              <w:rPr>
                <w:szCs w:val="24"/>
                <w:lang w:val="sq-AL"/>
              </w:rPr>
              <w:t>ë</w:t>
            </w:r>
            <w:r w:rsidR="00A57862">
              <w:rPr>
                <w:szCs w:val="24"/>
                <w:lang w:val="sq-AL"/>
              </w:rPr>
              <w:t>r shoq</w:t>
            </w:r>
            <w:r w:rsidR="005F23C8">
              <w:rPr>
                <w:szCs w:val="24"/>
                <w:lang w:val="sq-AL"/>
              </w:rPr>
              <w:t>ë</w:t>
            </w:r>
            <w:r w:rsidR="00A57862">
              <w:rPr>
                <w:szCs w:val="24"/>
                <w:lang w:val="sq-AL"/>
              </w:rPr>
              <w:t>rit</w:t>
            </w:r>
            <w:r w:rsidR="005F23C8">
              <w:rPr>
                <w:szCs w:val="24"/>
                <w:lang w:val="sq-AL"/>
              </w:rPr>
              <w:t>ë</w:t>
            </w:r>
            <w:r w:rsidR="00A57862">
              <w:rPr>
                <w:szCs w:val="24"/>
                <w:lang w:val="sq-AL"/>
              </w:rPr>
              <w:t xml:space="preserve"> tregtare</w:t>
            </w:r>
            <w:r w:rsidRPr="00E204A0">
              <w:rPr>
                <w:szCs w:val="24"/>
                <w:lang w:val="sq-AL"/>
              </w:rPr>
              <w:t>.</w:t>
            </w:r>
            <w:r w:rsidRPr="00E204A0">
              <w:rPr>
                <w:lang w:val="sq-AL"/>
              </w:rPr>
              <w:t xml:space="preserve"> </w:t>
            </w:r>
            <w:r w:rsidRPr="00E204A0">
              <w:rPr>
                <w:szCs w:val="24"/>
                <w:lang w:val="sq-AL"/>
              </w:rPr>
              <w:t xml:space="preserve">Ky opsion fokusohet në një qasje </w:t>
            </w:r>
            <w:r w:rsidR="009E4390">
              <w:rPr>
                <w:szCs w:val="24"/>
                <w:lang w:val="sq-AL"/>
              </w:rPr>
              <w:t>konservatore</w:t>
            </w:r>
            <w:r w:rsidRPr="00E204A0">
              <w:rPr>
                <w:szCs w:val="24"/>
                <w:lang w:val="sq-AL"/>
              </w:rPr>
              <w:t xml:space="preserve"> për harmonizimin e </w:t>
            </w:r>
            <w:r w:rsidR="00C671CA">
              <w:rPr>
                <w:szCs w:val="24"/>
                <w:lang w:val="sq-AL"/>
              </w:rPr>
              <w:t>ligjit 9901/2008</w:t>
            </w:r>
            <w:r w:rsidRPr="00E204A0">
              <w:rPr>
                <w:szCs w:val="24"/>
                <w:lang w:val="sq-AL"/>
              </w:rPr>
              <w:t xml:space="preserve"> tregtare në Shqipëri me direktivat e BE-së. Ai përfshin adresimin </w:t>
            </w:r>
            <w:r w:rsidR="009E4390">
              <w:rPr>
                <w:szCs w:val="24"/>
                <w:lang w:val="sq-AL"/>
              </w:rPr>
              <w:t>e</w:t>
            </w:r>
            <w:r w:rsidRPr="00E204A0">
              <w:rPr>
                <w:szCs w:val="24"/>
                <w:lang w:val="sq-AL"/>
              </w:rPr>
              <w:t xml:space="preserve"> boshllëqeve të identifikuara në Përkufizimi</w:t>
            </w:r>
            <w:r w:rsidR="00CD5C0D">
              <w:rPr>
                <w:szCs w:val="24"/>
                <w:lang w:val="sq-AL"/>
              </w:rPr>
              <w:t>n</w:t>
            </w:r>
            <w:r w:rsidRPr="00E204A0">
              <w:rPr>
                <w:szCs w:val="24"/>
                <w:lang w:val="sq-AL"/>
              </w:rPr>
              <w:t xml:space="preserve"> </w:t>
            </w:r>
            <w:r w:rsidR="00CD5C0D">
              <w:rPr>
                <w:szCs w:val="24"/>
                <w:lang w:val="sq-AL"/>
              </w:rPr>
              <w:t>e</w:t>
            </w:r>
            <w:r w:rsidR="00CD5C0D" w:rsidRPr="00E204A0">
              <w:rPr>
                <w:szCs w:val="24"/>
                <w:lang w:val="sq-AL"/>
              </w:rPr>
              <w:t xml:space="preserve"> </w:t>
            </w:r>
            <w:r w:rsidRPr="00E204A0">
              <w:rPr>
                <w:szCs w:val="24"/>
                <w:lang w:val="sq-AL"/>
              </w:rPr>
              <w:t xml:space="preserve">Problemit, duke </w:t>
            </w:r>
            <w:r w:rsidR="009E4390">
              <w:rPr>
                <w:szCs w:val="24"/>
                <w:lang w:val="sq-AL"/>
              </w:rPr>
              <w:t xml:space="preserve">u bazuar mbi skeletin ekzistues ligjor, </w:t>
            </w:r>
            <w:r w:rsidRPr="00E204A0">
              <w:rPr>
                <w:szCs w:val="24"/>
                <w:lang w:val="sq-AL"/>
              </w:rPr>
              <w:t>ndërtuar njëkohësisht kapacitetin institucional të nevojshëm për të zbatuar këto reforma. Veprimet kyçe përfshijnë ndryshime të ligjit në mënyrë graduale, n</w:t>
            </w:r>
            <w:r w:rsidR="00707505">
              <w:rPr>
                <w:szCs w:val="24"/>
                <w:lang w:val="sq-AL"/>
              </w:rPr>
              <w:t>ë</w:t>
            </w:r>
            <w:r w:rsidRPr="00E204A0">
              <w:rPr>
                <w:szCs w:val="24"/>
                <w:lang w:val="sq-AL"/>
              </w:rPr>
              <w:t xml:space="preserve"> kuptimin q</w:t>
            </w:r>
            <w:r w:rsidR="00707505">
              <w:rPr>
                <w:szCs w:val="24"/>
                <w:lang w:val="sq-AL"/>
              </w:rPr>
              <w:t>ë</w:t>
            </w:r>
            <w:r w:rsidRPr="00E204A0">
              <w:rPr>
                <w:szCs w:val="24"/>
                <w:lang w:val="sq-AL"/>
              </w:rPr>
              <w:t xml:space="preserve"> t</w:t>
            </w:r>
            <w:r w:rsidR="00707505">
              <w:rPr>
                <w:szCs w:val="24"/>
                <w:lang w:val="sq-AL"/>
              </w:rPr>
              <w:t>ë</w:t>
            </w:r>
            <w:r w:rsidRPr="00E204A0">
              <w:rPr>
                <w:szCs w:val="24"/>
                <w:lang w:val="sq-AL"/>
              </w:rPr>
              <w:t xml:space="preserve"> identifikohen vet</w:t>
            </w:r>
            <w:r w:rsidR="00707505">
              <w:rPr>
                <w:szCs w:val="24"/>
                <w:lang w:val="sq-AL"/>
              </w:rPr>
              <w:t>ë</w:t>
            </w:r>
            <w:r w:rsidRPr="00E204A0">
              <w:rPr>
                <w:szCs w:val="24"/>
                <w:lang w:val="sq-AL"/>
              </w:rPr>
              <w:t>m ato nene t</w:t>
            </w:r>
            <w:r w:rsidR="00707505">
              <w:rPr>
                <w:szCs w:val="24"/>
                <w:lang w:val="sq-AL"/>
              </w:rPr>
              <w:t>ë</w:t>
            </w:r>
            <w:r w:rsidRPr="00E204A0">
              <w:rPr>
                <w:szCs w:val="24"/>
                <w:lang w:val="sq-AL"/>
              </w:rPr>
              <w:t xml:space="preserve"> </w:t>
            </w:r>
            <w:r w:rsidR="00855E36" w:rsidRPr="00E204A0">
              <w:rPr>
                <w:szCs w:val="24"/>
                <w:lang w:val="sq-AL"/>
              </w:rPr>
              <w:t>l</w:t>
            </w:r>
            <w:r w:rsidR="00855E36">
              <w:rPr>
                <w:szCs w:val="24"/>
                <w:lang w:val="sq-AL"/>
              </w:rPr>
              <w:t>igjit</w:t>
            </w:r>
            <w:r w:rsidR="00855E36" w:rsidRPr="00E204A0">
              <w:rPr>
                <w:szCs w:val="24"/>
                <w:lang w:val="sq-AL"/>
              </w:rPr>
              <w:t xml:space="preserve"> </w:t>
            </w:r>
            <w:r w:rsidRPr="00E204A0">
              <w:rPr>
                <w:szCs w:val="24"/>
                <w:lang w:val="sq-AL"/>
              </w:rPr>
              <w:t>q</w:t>
            </w:r>
            <w:r w:rsidR="00707505">
              <w:rPr>
                <w:szCs w:val="24"/>
                <w:lang w:val="sq-AL"/>
              </w:rPr>
              <w:t>ë</w:t>
            </w:r>
            <w:r w:rsidRPr="00E204A0">
              <w:rPr>
                <w:szCs w:val="24"/>
                <w:lang w:val="sq-AL"/>
              </w:rPr>
              <w:t xml:space="preserve"> nuk jan</w:t>
            </w:r>
            <w:r w:rsidR="00707505">
              <w:rPr>
                <w:szCs w:val="24"/>
                <w:lang w:val="sq-AL"/>
              </w:rPr>
              <w:t>ë</w:t>
            </w:r>
            <w:r w:rsidRPr="00E204A0">
              <w:rPr>
                <w:szCs w:val="24"/>
                <w:lang w:val="sq-AL"/>
              </w:rPr>
              <w:t xml:space="preserve"> t</w:t>
            </w:r>
            <w:r w:rsidR="00707505">
              <w:rPr>
                <w:szCs w:val="24"/>
                <w:lang w:val="sq-AL"/>
              </w:rPr>
              <w:t>ë</w:t>
            </w:r>
            <w:r w:rsidRPr="00E204A0">
              <w:rPr>
                <w:szCs w:val="24"/>
                <w:lang w:val="sq-AL"/>
              </w:rPr>
              <w:t xml:space="preserve"> p</w:t>
            </w:r>
            <w:r w:rsidR="00707505">
              <w:rPr>
                <w:szCs w:val="24"/>
                <w:lang w:val="sq-AL"/>
              </w:rPr>
              <w:t>ë</w:t>
            </w:r>
            <w:r w:rsidRPr="00E204A0">
              <w:rPr>
                <w:szCs w:val="24"/>
                <w:lang w:val="sq-AL"/>
              </w:rPr>
              <w:t>rafruara n</w:t>
            </w:r>
            <w:r w:rsidR="00707505">
              <w:rPr>
                <w:szCs w:val="24"/>
                <w:lang w:val="sq-AL"/>
              </w:rPr>
              <w:t>ë</w:t>
            </w:r>
            <w:r w:rsidRPr="00E204A0">
              <w:rPr>
                <w:szCs w:val="24"/>
                <w:lang w:val="sq-AL"/>
              </w:rPr>
              <w:t xml:space="preserve"> m</w:t>
            </w:r>
            <w:r w:rsidR="00707505">
              <w:rPr>
                <w:szCs w:val="24"/>
                <w:lang w:val="sq-AL"/>
              </w:rPr>
              <w:t>ë</w:t>
            </w:r>
            <w:r w:rsidRPr="00E204A0">
              <w:rPr>
                <w:szCs w:val="24"/>
                <w:lang w:val="sq-AL"/>
              </w:rPr>
              <w:t>nyr</w:t>
            </w:r>
            <w:r w:rsidR="00707505">
              <w:rPr>
                <w:szCs w:val="24"/>
                <w:lang w:val="sq-AL"/>
              </w:rPr>
              <w:t>ë</w:t>
            </w:r>
            <w:r w:rsidRPr="00E204A0">
              <w:rPr>
                <w:szCs w:val="24"/>
                <w:lang w:val="sq-AL"/>
              </w:rPr>
              <w:t xml:space="preserve"> q</w:t>
            </w:r>
            <w:r w:rsidR="00707505">
              <w:rPr>
                <w:szCs w:val="24"/>
                <w:lang w:val="sq-AL"/>
              </w:rPr>
              <w:t>ë</w:t>
            </w:r>
            <w:r w:rsidRPr="00E204A0">
              <w:rPr>
                <w:szCs w:val="24"/>
                <w:lang w:val="sq-AL"/>
              </w:rPr>
              <w:t xml:space="preserve"> t</w:t>
            </w:r>
            <w:r w:rsidR="00707505">
              <w:rPr>
                <w:szCs w:val="24"/>
                <w:lang w:val="sq-AL"/>
              </w:rPr>
              <w:t>ë</w:t>
            </w:r>
            <w:r w:rsidRPr="00E204A0">
              <w:rPr>
                <w:szCs w:val="24"/>
                <w:lang w:val="sq-AL"/>
              </w:rPr>
              <w:t xml:space="preserve"> garantohet </w:t>
            </w:r>
            <w:r w:rsidR="005F23C8" w:rsidRPr="00E204A0">
              <w:rPr>
                <w:szCs w:val="24"/>
                <w:lang w:val="sq-AL"/>
              </w:rPr>
              <w:t>p</w:t>
            </w:r>
            <w:r w:rsidR="005F23C8">
              <w:rPr>
                <w:szCs w:val="24"/>
                <w:lang w:val="sq-AL"/>
              </w:rPr>
              <w:t>ë</w:t>
            </w:r>
            <w:r w:rsidR="005F23C8" w:rsidRPr="00E204A0">
              <w:rPr>
                <w:szCs w:val="24"/>
                <w:lang w:val="sq-AL"/>
              </w:rPr>
              <w:t>rputhsh</w:t>
            </w:r>
            <w:r w:rsidR="005F23C8">
              <w:rPr>
                <w:szCs w:val="24"/>
                <w:lang w:val="sq-AL"/>
              </w:rPr>
              <w:t>m</w:t>
            </w:r>
            <w:r w:rsidR="005F23C8" w:rsidRPr="00E204A0">
              <w:rPr>
                <w:szCs w:val="24"/>
                <w:lang w:val="sq-AL"/>
              </w:rPr>
              <w:t>ëria</w:t>
            </w:r>
            <w:r w:rsidRPr="00E204A0">
              <w:rPr>
                <w:szCs w:val="24"/>
                <w:lang w:val="sq-AL"/>
              </w:rPr>
              <w:t xml:space="preserve"> ligjore me Direktivat e zbatueshme. </w:t>
            </w:r>
          </w:p>
          <w:p w14:paraId="146311F1" w14:textId="77777777" w:rsidR="00E204A0" w:rsidRPr="00E204A0" w:rsidRDefault="00E204A0" w:rsidP="00E204A0">
            <w:pPr>
              <w:jc w:val="both"/>
              <w:rPr>
                <w:b/>
                <w:bCs/>
                <w:szCs w:val="24"/>
                <w:lang w:val="sq-AL"/>
              </w:rPr>
            </w:pPr>
          </w:p>
          <w:p w14:paraId="7239BFA0" w14:textId="41C51550" w:rsidR="00B5039C" w:rsidRDefault="00E204A0" w:rsidP="00E204A0">
            <w:pPr>
              <w:pStyle w:val="CommentText"/>
              <w:jc w:val="both"/>
              <w:rPr>
                <w:sz w:val="24"/>
                <w:szCs w:val="24"/>
                <w:lang w:val="sq-AL"/>
              </w:rPr>
            </w:pPr>
            <w:r w:rsidRPr="00E204A0">
              <w:rPr>
                <w:b/>
                <w:bCs/>
                <w:sz w:val="24"/>
                <w:szCs w:val="24"/>
                <w:lang w:val="sq-AL"/>
              </w:rPr>
              <w:t xml:space="preserve">Opsioni 2 (Miratimi  i një ligji të ri): </w:t>
            </w:r>
            <w:r w:rsidRPr="00E204A0">
              <w:rPr>
                <w:sz w:val="24"/>
                <w:szCs w:val="24"/>
                <w:lang w:val="sq-AL"/>
              </w:rPr>
              <w:t xml:space="preserve">Miratimi i një ligji të ri të shoqërive tregtare ose Kodifikimi i tij si në nivel BE-je në Republikën e Shqipërisë është gjithashtu </w:t>
            </w:r>
            <w:r w:rsidR="00B924F2">
              <w:rPr>
                <w:sz w:val="24"/>
                <w:szCs w:val="24"/>
                <w:lang w:val="sq-AL"/>
              </w:rPr>
              <w:t>nj</w:t>
            </w:r>
            <w:r w:rsidR="005F23C8">
              <w:rPr>
                <w:sz w:val="24"/>
                <w:szCs w:val="24"/>
                <w:lang w:val="sq-AL"/>
              </w:rPr>
              <w:t>ë</w:t>
            </w:r>
            <w:r w:rsidR="00B924F2">
              <w:rPr>
                <w:sz w:val="24"/>
                <w:szCs w:val="24"/>
                <w:lang w:val="sq-AL"/>
              </w:rPr>
              <w:t xml:space="preserve"> opsion</w:t>
            </w:r>
            <w:r w:rsidRPr="00E204A0">
              <w:rPr>
                <w:sz w:val="24"/>
                <w:szCs w:val="24"/>
                <w:lang w:val="sq-AL"/>
              </w:rPr>
              <w:t xml:space="preserve"> për t’u zbatuar, por kërkon përpjekje masive në një mjedis ende shumë dinamik për të pasur një legjislacion tregtar të kodifikuar.</w:t>
            </w:r>
            <w:r w:rsidRPr="00E204A0">
              <w:rPr>
                <w:lang w:val="sq-AL"/>
              </w:rPr>
              <w:t xml:space="preserve"> </w:t>
            </w:r>
            <w:r w:rsidRPr="00E204A0">
              <w:rPr>
                <w:sz w:val="24"/>
                <w:szCs w:val="24"/>
                <w:lang w:val="sq-AL"/>
              </w:rPr>
              <w:t xml:space="preserve">Ky opsion mbështet një qasje më agresive, duke synuar transpozimin e shpejtë të plotë të të </w:t>
            </w:r>
            <w:r w:rsidR="00E33A19">
              <w:rPr>
                <w:sz w:val="24"/>
                <w:szCs w:val="24"/>
                <w:lang w:val="sq-AL"/>
              </w:rPr>
              <w:t>gjith</w:t>
            </w:r>
            <w:r w:rsidR="005F23C8">
              <w:rPr>
                <w:sz w:val="24"/>
                <w:szCs w:val="24"/>
                <w:lang w:val="sq-AL"/>
              </w:rPr>
              <w:t>ë</w:t>
            </w:r>
            <w:r w:rsidR="00E33A19">
              <w:rPr>
                <w:sz w:val="24"/>
                <w:szCs w:val="24"/>
                <w:lang w:val="sq-AL"/>
              </w:rPr>
              <w:t xml:space="preserve"> ligjeve </w:t>
            </w:r>
            <w:r w:rsidR="0065000B">
              <w:rPr>
                <w:sz w:val="24"/>
                <w:szCs w:val="24"/>
                <w:lang w:val="sq-AL"/>
              </w:rPr>
              <w:t>tregtare (ligjit p</w:t>
            </w:r>
            <w:r w:rsidR="005F23C8">
              <w:rPr>
                <w:sz w:val="24"/>
                <w:szCs w:val="24"/>
                <w:lang w:val="sq-AL"/>
              </w:rPr>
              <w:t>ë</w:t>
            </w:r>
            <w:r w:rsidR="0065000B">
              <w:rPr>
                <w:sz w:val="24"/>
                <w:szCs w:val="24"/>
                <w:lang w:val="sq-AL"/>
              </w:rPr>
              <w:t>r shoq</w:t>
            </w:r>
            <w:r w:rsidR="005F23C8">
              <w:rPr>
                <w:sz w:val="24"/>
                <w:szCs w:val="24"/>
                <w:lang w:val="sq-AL"/>
              </w:rPr>
              <w:t>ë</w:t>
            </w:r>
            <w:r w:rsidR="0065000B">
              <w:rPr>
                <w:sz w:val="24"/>
                <w:szCs w:val="24"/>
                <w:lang w:val="sq-AL"/>
              </w:rPr>
              <w:t>rit</w:t>
            </w:r>
            <w:r w:rsidR="005F23C8">
              <w:rPr>
                <w:sz w:val="24"/>
                <w:szCs w:val="24"/>
                <w:lang w:val="sq-AL"/>
              </w:rPr>
              <w:t>ë</w:t>
            </w:r>
            <w:r w:rsidR="0065000B">
              <w:rPr>
                <w:sz w:val="24"/>
                <w:szCs w:val="24"/>
                <w:lang w:val="sq-AL"/>
              </w:rPr>
              <w:t xml:space="preserve"> tregtare, bashkimet, ndarjet shnd</w:t>
            </w:r>
            <w:r w:rsidR="005F23C8">
              <w:rPr>
                <w:sz w:val="24"/>
                <w:szCs w:val="24"/>
                <w:lang w:val="sq-AL"/>
              </w:rPr>
              <w:t>ë</w:t>
            </w:r>
            <w:r w:rsidR="0065000B">
              <w:rPr>
                <w:sz w:val="24"/>
                <w:szCs w:val="24"/>
                <w:lang w:val="sq-AL"/>
              </w:rPr>
              <w:t>rrimet nd</w:t>
            </w:r>
            <w:r w:rsidR="005F23C8">
              <w:rPr>
                <w:sz w:val="24"/>
                <w:szCs w:val="24"/>
                <w:lang w:val="sq-AL"/>
              </w:rPr>
              <w:t>ë</w:t>
            </w:r>
            <w:r w:rsidR="0065000B">
              <w:rPr>
                <w:sz w:val="24"/>
                <w:szCs w:val="24"/>
                <w:lang w:val="sq-AL"/>
              </w:rPr>
              <w:t>rkufitare, regjistrimi i biznesit</w:t>
            </w:r>
            <w:r w:rsidR="0075313F">
              <w:rPr>
                <w:sz w:val="24"/>
                <w:szCs w:val="24"/>
                <w:lang w:val="sq-AL"/>
              </w:rPr>
              <w:t>, ligji p</w:t>
            </w:r>
            <w:r w:rsidR="005F23C8">
              <w:rPr>
                <w:sz w:val="24"/>
                <w:szCs w:val="24"/>
                <w:lang w:val="sq-AL"/>
              </w:rPr>
              <w:t>ë</w:t>
            </w:r>
            <w:r w:rsidR="0075313F">
              <w:rPr>
                <w:sz w:val="24"/>
                <w:szCs w:val="24"/>
                <w:lang w:val="sq-AL"/>
              </w:rPr>
              <w:t>r QKB-n</w:t>
            </w:r>
            <w:r w:rsidR="005F23C8">
              <w:rPr>
                <w:sz w:val="24"/>
                <w:szCs w:val="24"/>
                <w:lang w:val="sq-AL"/>
              </w:rPr>
              <w:t>ë</w:t>
            </w:r>
            <w:r w:rsidR="0075313F">
              <w:rPr>
                <w:sz w:val="24"/>
                <w:szCs w:val="24"/>
                <w:lang w:val="sq-AL"/>
              </w:rPr>
              <w:t>)</w:t>
            </w:r>
            <w:r w:rsidRPr="00E204A0">
              <w:rPr>
                <w:sz w:val="24"/>
                <w:szCs w:val="24"/>
                <w:lang w:val="sq-AL"/>
              </w:rPr>
              <w:t xml:space="preserve"> </w:t>
            </w:r>
            <w:r w:rsidR="0075313F">
              <w:rPr>
                <w:sz w:val="24"/>
                <w:szCs w:val="24"/>
                <w:lang w:val="sq-AL"/>
              </w:rPr>
              <w:t>n</w:t>
            </w:r>
            <w:r w:rsidR="005F23C8">
              <w:rPr>
                <w:sz w:val="24"/>
                <w:szCs w:val="24"/>
                <w:lang w:val="sq-AL"/>
              </w:rPr>
              <w:t>ë</w:t>
            </w:r>
            <w:r w:rsidR="0075313F">
              <w:rPr>
                <w:sz w:val="24"/>
                <w:szCs w:val="24"/>
                <w:lang w:val="sq-AL"/>
              </w:rPr>
              <w:t xml:space="preserve"> nj</w:t>
            </w:r>
            <w:r w:rsidR="005F23C8">
              <w:rPr>
                <w:sz w:val="24"/>
                <w:szCs w:val="24"/>
                <w:lang w:val="sq-AL"/>
              </w:rPr>
              <w:t>ë</w:t>
            </w:r>
            <w:r w:rsidR="0075313F">
              <w:rPr>
                <w:sz w:val="24"/>
                <w:szCs w:val="24"/>
                <w:lang w:val="sq-AL"/>
              </w:rPr>
              <w:t xml:space="preserve"> ligj unik dhe masiv</w:t>
            </w:r>
            <w:r w:rsidRPr="00E204A0">
              <w:rPr>
                <w:sz w:val="24"/>
                <w:szCs w:val="24"/>
                <w:lang w:val="sq-AL"/>
              </w:rPr>
              <w:t xml:space="preserve"> shoqërive </w:t>
            </w:r>
            <w:r w:rsidR="0075313F">
              <w:rPr>
                <w:sz w:val="24"/>
                <w:szCs w:val="24"/>
                <w:lang w:val="sq-AL"/>
              </w:rPr>
              <w:t>tregtare</w:t>
            </w:r>
            <w:r w:rsidRPr="00E204A0">
              <w:rPr>
                <w:sz w:val="24"/>
                <w:szCs w:val="24"/>
                <w:lang w:val="sq-AL"/>
              </w:rPr>
              <w:t xml:space="preserve">. Kjo qasje </w:t>
            </w:r>
            <w:r w:rsidR="00495031">
              <w:rPr>
                <w:sz w:val="24"/>
                <w:szCs w:val="24"/>
                <w:lang w:val="sq-AL"/>
              </w:rPr>
              <w:t>formalisht mund t</w:t>
            </w:r>
            <w:r w:rsidR="005F23C8">
              <w:rPr>
                <w:sz w:val="24"/>
                <w:szCs w:val="24"/>
                <w:lang w:val="sq-AL"/>
              </w:rPr>
              <w:t>ë</w:t>
            </w:r>
            <w:r w:rsidR="00495031">
              <w:rPr>
                <w:sz w:val="24"/>
                <w:szCs w:val="24"/>
                <w:lang w:val="sq-AL"/>
              </w:rPr>
              <w:t xml:space="preserve"> imitoj</w:t>
            </w:r>
            <w:r w:rsidR="005F23C8">
              <w:rPr>
                <w:sz w:val="24"/>
                <w:szCs w:val="24"/>
                <w:lang w:val="sq-AL"/>
              </w:rPr>
              <w:t>ë</w:t>
            </w:r>
            <w:r w:rsidRPr="00E204A0">
              <w:rPr>
                <w:sz w:val="24"/>
                <w:szCs w:val="24"/>
                <w:lang w:val="sq-AL"/>
              </w:rPr>
              <w:t xml:space="preserve"> direktiv</w:t>
            </w:r>
            <w:r w:rsidR="005F23C8">
              <w:rPr>
                <w:sz w:val="24"/>
                <w:szCs w:val="24"/>
                <w:lang w:val="sq-AL"/>
              </w:rPr>
              <w:t>ë</w:t>
            </w:r>
            <w:r w:rsidR="00495031">
              <w:rPr>
                <w:sz w:val="24"/>
                <w:szCs w:val="24"/>
                <w:lang w:val="sq-AL"/>
              </w:rPr>
              <w:t>n</w:t>
            </w:r>
            <w:r w:rsidRPr="00E204A0">
              <w:rPr>
                <w:sz w:val="24"/>
                <w:szCs w:val="24"/>
                <w:lang w:val="sq-AL"/>
              </w:rPr>
              <w:t xml:space="preserve"> e BE-së </w:t>
            </w:r>
            <w:r w:rsidR="00495031">
              <w:rPr>
                <w:sz w:val="24"/>
                <w:szCs w:val="24"/>
                <w:lang w:val="sq-AL"/>
              </w:rPr>
              <w:t xml:space="preserve">2017/1132 </w:t>
            </w:r>
            <w:r w:rsidRPr="00E204A0">
              <w:rPr>
                <w:sz w:val="24"/>
                <w:szCs w:val="24"/>
                <w:lang w:val="sq-AL"/>
              </w:rPr>
              <w:t xml:space="preserve">por </w:t>
            </w:r>
            <w:r w:rsidR="004577B3">
              <w:rPr>
                <w:sz w:val="24"/>
                <w:szCs w:val="24"/>
                <w:lang w:val="sq-AL"/>
              </w:rPr>
              <w:t>produkti do jet</w:t>
            </w:r>
            <w:r w:rsidR="005F23C8">
              <w:rPr>
                <w:sz w:val="24"/>
                <w:szCs w:val="24"/>
                <w:lang w:val="sq-AL"/>
              </w:rPr>
              <w:t>ë</w:t>
            </w:r>
            <w:r w:rsidR="004577B3">
              <w:rPr>
                <w:sz w:val="24"/>
                <w:szCs w:val="24"/>
                <w:lang w:val="sq-AL"/>
              </w:rPr>
              <w:t xml:space="preserve"> nj</w:t>
            </w:r>
            <w:r w:rsidR="005F23C8">
              <w:rPr>
                <w:sz w:val="24"/>
                <w:szCs w:val="24"/>
                <w:lang w:val="sq-AL"/>
              </w:rPr>
              <w:t>ë</w:t>
            </w:r>
            <w:r w:rsidR="004577B3">
              <w:rPr>
                <w:sz w:val="24"/>
                <w:szCs w:val="24"/>
                <w:lang w:val="sq-AL"/>
              </w:rPr>
              <w:t xml:space="preserve"> ligj q</w:t>
            </w:r>
            <w:r w:rsidR="005F23C8">
              <w:rPr>
                <w:sz w:val="24"/>
                <w:szCs w:val="24"/>
                <w:lang w:val="sq-AL"/>
              </w:rPr>
              <w:t>ë</w:t>
            </w:r>
            <w:r w:rsidR="004577B3">
              <w:rPr>
                <w:sz w:val="24"/>
                <w:szCs w:val="24"/>
                <w:lang w:val="sq-AL"/>
              </w:rPr>
              <w:t xml:space="preserve"> p</w:t>
            </w:r>
            <w:r w:rsidR="005F23C8">
              <w:rPr>
                <w:sz w:val="24"/>
                <w:szCs w:val="24"/>
                <w:lang w:val="sq-AL"/>
              </w:rPr>
              <w:t>ë</w:t>
            </w:r>
            <w:r w:rsidR="004577B3">
              <w:rPr>
                <w:sz w:val="24"/>
                <w:szCs w:val="24"/>
                <w:lang w:val="sq-AL"/>
              </w:rPr>
              <w:t>r nga natyre nuk do ti ngjaj</w:t>
            </w:r>
            <w:r w:rsidR="005F23C8">
              <w:rPr>
                <w:sz w:val="24"/>
                <w:szCs w:val="24"/>
                <w:lang w:val="sq-AL"/>
              </w:rPr>
              <w:t>ë</w:t>
            </w:r>
            <w:r w:rsidR="004577B3">
              <w:rPr>
                <w:sz w:val="24"/>
                <w:szCs w:val="24"/>
                <w:lang w:val="sq-AL"/>
              </w:rPr>
              <w:t xml:space="preserve"> asnj</w:t>
            </w:r>
            <w:r w:rsidR="005F23C8">
              <w:rPr>
                <w:sz w:val="24"/>
                <w:szCs w:val="24"/>
                <w:lang w:val="sq-AL"/>
              </w:rPr>
              <w:t>ë</w:t>
            </w:r>
            <w:r w:rsidR="004577B3">
              <w:rPr>
                <w:sz w:val="24"/>
                <w:szCs w:val="24"/>
                <w:lang w:val="sq-AL"/>
              </w:rPr>
              <w:t xml:space="preserve"> ligji tjet</w:t>
            </w:r>
            <w:r w:rsidR="005F23C8">
              <w:rPr>
                <w:sz w:val="24"/>
                <w:szCs w:val="24"/>
                <w:lang w:val="sq-AL"/>
              </w:rPr>
              <w:t>ë</w:t>
            </w:r>
            <w:r w:rsidR="004577B3">
              <w:rPr>
                <w:sz w:val="24"/>
                <w:szCs w:val="24"/>
                <w:lang w:val="sq-AL"/>
              </w:rPr>
              <w:t>r shqiptar p</w:t>
            </w:r>
            <w:r w:rsidR="005F23C8">
              <w:rPr>
                <w:sz w:val="24"/>
                <w:szCs w:val="24"/>
                <w:lang w:val="sq-AL"/>
              </w:rPr>
              <w:t>ë</w:t>
            </w:r>
            <w:r w:rsidR="004577B3">
              <w:rPr>
                <w:sz w:val="24"/>
                <w:szCs w:val="24"/>
                <w:lang w:val="sq-AL"/>
              </w:rPr>
              <w:t>r nga madh</w:t>
            </w:r>
            <w:r w:rsidR="005F23C8">
              <w:rPr>
                <w:sz w:val="24"/>
                <w:szCs w:val="24"/>
                <w:lang w:val="sq-AL"/>
              </w:rPr>
              <w:t>ë</w:t>
            </w:r>
            <w:r w:rsidR="004577B3">
              <w:rPr>
                <w:sz w:val="24"/>
                <w:szCs w:val="24"/>
                <w:lang w:val="sq-AL"/>
              </w:rPr>
              <w:t xml:space="preserve">sia </w:t>
            </w:r>
            <w:r w:rsidR="001822E4">
              <w:rPr>
                <w:sz w:val="24"/>
                <w:szCs w:val="24"/>
                <w:lang w:val="sq-AL"/>
              </w:rPr>
              <w:t>dhe do t</w:t>
            </w:r>
            <w:r w:rsidR="005F23C8">
              <w:rPr>
                <w:sz w:val="24"/>
                <w:szCs w:val="24"/>
                <w:lang w:val="sq-AL"/>
              </w:rPr>
              <w:t>ë</w:t>
            </w:r>
            <w:r w:rsidR="001822E4">
              <w:rPr>
                <w:sz w:val="24"/>
                <w:szCs w:val="24"/>
                <w:lang w:val="sq-AL"/>
              </w:rPr>
              <w:t xml:space="preserve"> b</w:t>
            </w:r>
            <w:r w:rsidR="005F23C8">
              <w:rPr>
                <w:sz w:val="24"/>
                <w:szCs w:val="24"/>
                <w:lang w:val="sq-AL"/>
              </w:rPr>
              <w:t>ë</w:t>
            </w:r>
            <w:r w:rsidR="001822E4">
              <w:rPr>
                <w:sz w:val="24"/>
                <w:szCs w:val="24"/>
                <w:lang w:val="sq-AL"/>
              </w:rPr>
              <w:t>j</w:t>
            </w:r>
            <w:r w:rsidR="005F23C8">
              <w:rPr>
                <w:sz w:val="24"/>
                <w:szCs w:val="24"/>
                <w:lang w:val="sq-AL"/>
              </w:rPr>
              <w:t>ë</w:t>
            </w:r>
            <w:r w:rsidR="001822E4">
              <w:rPr>
                <w:sz w:val="24"/>
                <w:szCs w:val="24"/>
                <w:lang w:val="sq-AL"/>
              </w:rPr>
              <w:t xml:space="preserve"> q</w:t>
            </w:r>
            <w:r w:rsidR="005F23C8">
              <w:rPr>
                <w:sz w:val="24"/>
                <w:szCs w:val="24"/>
                <w:lang w:val="sq-AL"/>
              </w:rPr>
              <w:t>ë</w:t>
            </w:r>
            <w:r w:rsidR="001822E4">
              <w:rPr>
                <w:sz w:val="24"/>
                <w:szCs w:val="24"/>
                <w:lang w:val="sq-AL"/>
              </w:rPr>
              <w:t xml:space="preserve"> </w:t>
            </w:r>
            <w:r w:rsidR="005F23C8">
              <w:rPr>
                <w:sz w:val="24"/>
                <w:szCs w:val="24"/>
                <w:lang w:val="sq-AL"/>
              </w:rPr>
              <w:t>përdoruesit</w:t>
            </w:r>
            <w:r w:rsidR="001822E4">
              <w:rPr>
                <w:sz w:val="24"/>
                <w:szCs w:val="24"/>
                <w:lang w:val="sq-AL"/>
              </w:rPr>
              <w:t xml:space="preserve"> </w:t>
            </w:r>
            <w:r w:rsidR="00A50961">
              <w:rPr>
                <w:sz w:val="24"/>
                <w:szCs w:val="24"/>
                <w:lang w:val="sq-AL"/>
              </w:rPr>
              <w:t>ta ken</w:t>
            </w:r>
            <w:r w:rsidR="005F23C8">
              <w:rPr>
                <w:sz w:val="24"/>
                <w:szCs w:val="24"/>
                <w:lang w:val="sq-AL"/>
              </w:rPr>
              <w:t>ë</w:t>
            </w:r>
            <w:r w:rsidR="00A50961">
              <w:rPr>
                <w:sz w:val="24"/>
                <w:szCs w:val="24"/>
                <w:lang w:val="sq-AL"/>
              </w:rPr>
              <w:t xml:space="preserve"> shum</w:t>
            </w:r>
            <w:r w:rsidR="005F23C8">
              <w:rPr>
                <w:sz w:val="24"/>
                <w:szCs w:val="24"/>
                <w:lang w:val="sq-AL"/>
              </w:rPr>
              <w:t>ë</w:t>
            </w:r>
            <w:r w:rsidR="00A50961">
              <w:rPr>
                <w:sz w:val="24"/>
                <w:szCs w:val="24"/>
                <w:lang w:val="sq-AL"/>
              </w:rPr>
              <w:t xml:space="preserve"> t</w:t>
            </w:r>
            <w:r w:rsidR="005F23C8">
              <w:rPr>
                <w:sz w:val="24"/>
                <w:szCs w:val="24"/>
                <w:lang w:val="sq-AL"/>
              </w:rPr>
              <w:t>ë</w:t>
            </w:r>
            <w:r w:rsidR="00A50961">
              <w:rPr>
                <w:sz w:val="24"/>
                <w:szCs w:val="24"/>
                <w:lang w:val="sq-AL"/>
              </w:rPr>
              <w:t xml:space="preserve"> v</w:t>
            </w:r>
            <w:r w:rsidR="005F23C8">
              <w:rPr>
                <w:sz w:val="24"/>
                <w:szCs w:val="24"/>
                <w:lang w:val="sq-AL"/>
              </w:rPr>
              <w:t>ë</w:t>
            </w:r>
            <w:r w:rsidR="00A50961">
              <w:rPr>
                <w:sz w:val="24"/>
                <w:szCs w:val="24"/>
                <w:lang w:val="sq-AL"/>
              </w:rPr>
              <w:t>shtira ta shqyrtojn</w:t>
            </w:r>
            <w:r w:rsidR="005F23C8">
              <w:rPr>
                <w:sz w:val="24"/>
                <w:szCs w:val="24"/>
                <w:lang w:val="sq-AL"/>
              </w:rPr>
              <w:t>ë</w:t>
            </w:r>
            <w:r w:rsidR="00284DCB">
              <w:rPr>
                <w:sz w:val="24"/>
                <w:szCs w:val="24"/>
                <w:lang w:val="sq-AL"/>
              </w:rPr>
              <w:t xml:space="preserve">. Ky ligj i kodifikuar </w:t>
            </w:r>
            <w:r w:rsidRPr="00E204A0">
              <w:rPr>
                <w:sz w:val="24"/>
                <w:szCs w:val="24"/>
                <w:lang w:val="sq-AL"/>
              </w:rPr>
              <w:t>mund të ngarkojë shumë institucionet shqiptare, duke kërkuar mbështetje serioze financiare dhe njerëzore</w:t>
            </w:r>
            <w:r w:rsidR="00C6514B">
              <w:rPr>
                <w:sz w:val="24"/>
                <w:szCs w:val="24"/>
                <w:lang w:val="sq-AL"/>
              </w:rPr>
              <w:t xml:space="preserve">. </w:t>
            </w:r>
          </w:p>
          <w:p w14:paraId="431B9E02" w14:textId="77777777" w:rsidR="00FA1A8E" w:rsidRPr="00FA1A8E" w:rsidRDefault="00FA1A8E" w:rsidP="00E204A0">
            <w:pPr>
              <w:pStyle w:val="CommentText"/>
              <w:jc w:val="both"/>
              <w:rPr>
                <w:b/>
                <w:bCs/>
                <w:sz w:val="24"/>
                <w:szCs w:val="24"/>
                <w:lang w:val="sq-AL"/>
              </w:rPr>
            </w:pPr>
          </w:p>
          <w:p w14:paraId="5639BD08" w14:textId="6B2C3562" w:rsidR="00FA1A8E" w:rsidRPr="00A168E4" w:rsidRDefault="00FA1A8E" w:rsidP="00FA1A8E">
            <w:pPr>
              <w:pStyle w:val="CommentText"/>
              <w:jc w:val="both"/>
              <w:rPr>
                <w:sz w:val="24"/>
                <w:szCs w:val="24"/>
                <w:lang w:val="sq-AL"/>
              </w:rPr>
            </w:pPr>
            <w:r w:rsidRPr="00A168E4">
              <w:rPr>
                <w:b/>
                <w:bCs/>
                <w:sz w:val="24"/>
                <w:szCs w:val="24"/>
                <w:lang w:val="sq-AL"/>
              </w:rPr>
              <w:t>Opsioni 3 (Jo rregullator):</w:t>
            </w:r>
            <w:r w:rsidRPr="00A168E4">
              <w:rPr>
                <w:sz w:val="24"/>
                <w:szCs w:val="24"/>
                <w:lang w:val="sq-AL"/>
              </w:rPr>
              <w:t xml:space="preserve"> Një opsion jo rregullator do të nënkuptonte lejimin e bizneseve dhe aktorëve të tjerë të funksiononin pa një kuadër të detajuar rregullator ose me ndërhyrje minimale nga shteti, duke lejuar vetë-rregullimin dhe pajtimin vullnetar me standardet e BE-së. Ky opsion do të </w:t>
            </w:r>
            <w:r w:rsidR="00284DCB">
              <w:rPr>
                <w:sz w:val="24"/>
                <w:szCs w:val="24"/>
                <w:lang w:val="sq-AL"/>
              </w:rPr>
              <w:t>b</w:t>
            </w:r>
            <w:r w:rsidR="005F23C8">
              <w:rPr>
                <w:sz w:val="24"/>
                <w:szCs w:val="24"/>
                <w:lang w:val="sq-AL"/>
              </w:rPr>
              <w:t>ë</w:t>
            </w:r>
            <w:r w:rsidR="00284DCB">
              <w:rPr>
                <w:sz w:val="24"/>
                <w:szCs w:val="24"/>
                <w:lang w:val="sq-AL"/>
              </w:rPr>
              <w:t>nte q</w:t>
            </w:r>
            <w:r w:rsidR="005F23C8">
              <w:rPr>
                <w:sz w:val="24"/>
                <w:szCs w:val="24"/>
                <w:lang w:val="sq-AL"/>
              </w:rPr>
              <w:t>ë</w:t>
            </w:r>
            <w:r w:rsidRPr="00A168E4">
              <w:rPr>
                <w:sz w:val="24"/>
                <w:szCs w:val="24"/>
                <w:lang w:val="sq-AL"/>
              </w:rPr>
              <w:t xml:space="preserve"> shoqëritë mund të operonin pa detyrime ligjore të plota për transparencë, mbrojtjen e të drejtave të aksionarëve</w:t>
            </w:r>
            <w:r w:rsidR="00681B7D">
              <w:rPr>
                <w:sz w:val="24"/>
                <w:szCs w:val="24"/>
                <w:lang w:val="sq-AL"/>
              </w:rPr>
              <w:t>, nd</w:t>
            </w:r>
            <w:r w:rsidR="005F23C8">
              <w:rPr>
                <w:sz w:val="24"/>
                <w:szCs w:val="24"/>
                <w:lang w:val="sq-AL"/>
              </w:rPr>
              <w:t>ë</w:t>
            </w:r>
            <w:r w:rsidR="00681B7D">
              <w:rPr>
                <w:sz w:val="24"/>
                <w:szCs w:val="24"/>
                <w:lang w:val="sq-AL"/>
              </w:rPr>
              <w:t>rlidhje, norma t</w:t>
            </w:r>
            <w:r w:rsidR="005F23C8">
              <w:rPr>
                <w:sz w:val="24"/>
                <w:szCs w:val="24"/>
                <w:lang w:val="sq-AL"/>
              </w:rPr>
              <w:t>ë</w:t>
            </w:r>
            <w:r w:rsidR="00681B7D">
              <w:rPr>
                <w:sz w:val="24"/>
                <w:szCs w:val="24"/>
                <w:lang w:val="sq-AL"/>
              </w:rPr>
              <w:t xml:space="preserve"> zbatueshme p</w:t>
            </w:r>
            <w:r w:rsidR="005F23C8">
              <w:rPr>
                <w:sz w:val="24"/>
                <w:szCs w:val="24"/>
                <w:lang w:val="sq-AL"/>
              </w:rPr>
              <w:t>ë</w:t>
            </w:r>
            <w:r w:rsidR="00681B7D">
              <w:rPr>
                <w:sz w:val="24"/>
                <w:szCs w:val="24"/>
                <w:lang w:val="sq-AL"/>
              </w:rPr>
              <w:t>r administrator</w:t>
            </w:r>
            <w:r w:rsidR="005F23C8">
              <w:rPr>
                <w:sz w:val="24"/>
                <w:szCs w:val="24"/>
                <w:lang w:val="sq-AL"/>
              </w:rPr>
              <w:t>ë</w:t>
            </w:r>
            <w:r w:rsidR="00681B7D">
              <w:rPr>
                <w:sz w:val="24"/>
                <w:szCs w:val="24"/>
                <w:lang w:val="sq-AL"/>
              </w:rPr>
              <w:t>t etj.</w:t>
            </w:r>
            <w:r w:rsidRPr="00A168E4">
              <w:rPr>
                <w:sz w:val="24"/>
                <w:szCs w:val="24"/>
                <w:lang w:val="sq-AL"/>
              </w:rPr>
              <w:t>, duke krijuar një mjedis më të lirë për bizneset.</w:t>
            </w:r>
          </w:p>
          <w:p w14:paraId="0015CB67" w14:textId="77777777" w:rsidR="00FA1A8E" w:rsidRPr="00A168E4" w:rsidRDefault="00FA1A8E" w:rsidP="00FA1A8E">
            <w:pPr>
              <w:pStyle w:val="CommentText"/>
              <w:jc w:val="both"/>
              <w:rPr>
                <w:sz w:val="24"/>
                <w:szCs w:val="24"/>
                <w:lang w:val="sq-AL"/>
              </w:rPr>
            </w:pPr>
          </w:p>
          <w:p w14:paraId="2411AE51" w14:textId="55F96FC8" w:rsidR="00FA1A8E" w:rsidRPr="00C6514B" w:rsidRDefault="00FA1A8E" w:rsidP="00FA1A8E">
            <w:pPr>
              <w:pStyle w:val="CommentText"/>
              <w:jc w:val="both"/>
              <w:rPr>
                <w:sz w:val="24"/>
                <w:szCs w:val="24"/>
                <w:lang w:val="sq-AL"/>
              </w:rPr>
            </w:pPr>
            <w:r w:rsidRPr="00A168E4">
              <w:rPr>
                <w:sz w:val="24"/>
                <w:szCs w:val="24"/>
                <w:lang w:val="sq-AL"/>
              </w:rPr>
              <w:t xml:space="preserve">Megjithatë, ky opsion </w:t>
            </w:r>
            <w:r w:rsidR="00DE7B41">
              <w:rPr>
                <w:sz w:val="24"/>
                <w:szCs w:val="24"/>
                <w:lang w:val="sq-AL"/>
              </w:rPr>
              <w:t xml:space="preserve">nuk </w:t>
            </w:r>
            <w:r w:rsidRPr="00A168E4">
              <w:rPr>
                <w:sz w:val="24"/>
                <w:szCs w:val="24"/>
                <w:lang w:val="sq-AL"/>
              </w:rPr>
              <w:t xml:space="preserve">është i papranueshëm për Shqipërinë, pasi vendi është i detyruar të harmonizojë legjislacionin e tij me kërkesat e BE-së për integrimin në tregun e brendshëm të BE-së. Mungesa e një kuadri të detajuar rregullator do të shkaktonte pasiguri ligjore, do të dëmtonte besimin e investitorëve dhe do të </w:t>
            </w:r>
            <w:r w:rsidR="004104D9">
              <w:rPr>
                <w:sz w:val="24"/>
                <w:szCs w:val="24"/>
                <w:lang w:val="sq-AL"/>
              </w:rPr>
              <w:t>dëmtonte</w:t>
            </w:r>
            <w:r w:rsidR="00B23FFF" w:rsidRPr="00A168E4">
              <w:rPr>
                <w:sz w:val="24"/>
                <w:szCs w:val="24"/>
                <w:lang w:val="sq-AL"/>
              </w:rPr>
              <w:t xml:space="preserve"> </w:t>
            </w:r>
            <w:r w:rsidRPr="00A168E4">
              <w:rPr>
                <w:sz w:val="24"/>
                <w:szCs w:val="24"/>
                <w:lang w:val="sq-AL"/>
              </w:rPr>
              <w:t>përpjekjet për të siguruar një mjedis të drejtë dhe transparent biznesi. Po ashtu, nuk do të ishte në përputhje me angazhimet e Shqipërisë për t’u anëtarësuar në BE dhe do të krijonte një ambient të pasigurt për zhvillimin e biznesit, duke penguar mundësitë për rritjen e investimeve të huaja dhe përmirësimin e konkurrencës.</w:t>
            </w:r>
          </w:p>
        </w:tc>
      </w:tr>
      <w:tr w:rsidR="00B5039C" w:rsidRPr="00331272" w14:paraId="58B832D4" w14:textId="77777777" w:rsidTr="30EE1AA0">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1D079" w14:textId="77777777" w:rsidR="00B5039C" w:rsidRPr="009F434C" w:rsidRDefault="00B5039C" w:rsidP="00B5039C">
            <w:pPr>
              <w:spacing w:line="276" w:lineRule="auto"/>
              <w:jc w:val="both"/>
              <w:rPr>
                <w:b/>
                <w:szCs w:val="24"/>
                <w:lang w:val="sq-AL"/>
              </w:rPr>
            </w:pPr>
            <w:r w:rsidRPr="009F434C">
              <w:rPr>
                <w:b/>
                <w:szCs w:val="24"/>
                <w:lang w:val="sq-AL"/>
              </w:rPr>
              <w:t>ANALIZA E NDIKIMEVE</w:t>
            </w:r>
          </w:p>
          <w:p w14:paraId="7C077AA2" w14:textId="77777777" w:rsidR="00B5039C" w:rsidRPr="00DE53BA" w:rsidRDefault="00B5039C" w:rsidP="00B5039C">
            <w:pPr>
              <w:spacing w:line="276" w:lineRule="auto"/>
              <w:jc w:val="both"/>
              <w:rPr>
                <w:i/>
                <w:szCs w:val="24"/>
                <w:lang w:val="it-IT"/>
              </w:rPr>
            </w:pPr>
            <w:r w:rsidRPr="009F434C">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DE53BA">
              <w:rPr>
                <w:i/>
                <w:szCs w:val="24"/>
                <w:lang w:val="it-IT"/>
              </w:rPr>
              <w:instrText xml:space="preserve"> FORMTEXT </w:instrText>
            </w:r>
            <w:r w:rsidRPr="009F434C">
              <w:rPr>
                <w:i/>
                <w:szCs w:val="24"/>
              </w:rPr>
            </w:r>
            <w:r w:rsidRPr="009F434C">
              <w:rPr>
                <w:i/>
                <w:szCs w:val="24"/>
              </w:rPr>
              <w:fldChar w:fldCharType="separate"/>
            </w:r>
            <w:r w:rsidRPr="00DE53BA">
              <w:rPr>
                <w:i/>
                <w:szCs w:val="24"/>
                <w:lang w:val="it-IT"/>
              </w:rPr>
              <w:t>Cilat janë ndikimet e opsionit të preferuar? Kjo duhet të përshkruajë ndikimet në mënyrë sasiore  (monetare) dhe cilësore (narrative) mbi buxhetin dhe grupet e tjera të prekura. (jo më shumë se 10 rreshta)</w:t>
            </w:r>
            <w:r w:rsidRPr="009F434C">
              <w:rPr>
                <w:i/>
                <w:szCs w:val="24"/>
              </w:rPr>
              <w:fldChar w:fldCharType="end"/>
            </w:r>
          </w:p>
          <w:p w14:paraId="45F8A066" w14:textId="77777777" w:rsidR="00B5039C" w:rsidRPr="00DE53BA" w:rsidRDefault="00B5039C" w:rsidP="00B5039C">
            <w:pPr>
              <w:jc w:val="both"/>
              <w:rPr>
                <w:i/>
                <w:szCs w:val="24"/>
                <w:lang w:val="it-IT"/>
              </w:rPr>
            </w:pPr>
          </w:p>
          <w:p w14:paraId="4DDEAC2C" w14:textId="60E0450D" w:rsidR="00EC064A" w:rsidRPr="00EC064A" w:rsidRDefault="00EC064A" w:rsidP="00EC064A">
            <w:pPr>
              <w:spacing w:line="276" w:lineRule="auto"/>
              <w:jc w:val="both"/>
              <w:rPr>
                <w:lang w:val="it-IT"/>
              </w:rPr>
            </w:pPr>
            <w:r w:rsidRPr="00EC064A">
              <w:rPr>
                <w:lang w:val="it-IT"/>
              </w:rPr>
              <w:t xml:space="preserve">Zbatimi i opsioneve të politikës që synojnë harmonizimin e </w:t>
            </w:r>
            <w:r w:rsidR="00855E36">
              <w:rPr>
                <w:lang w:val="it-IT"/>
              </w:rPr>
              <w:t>ligjit 9901/2008</w:t>
            </w:r>
            <w:r w:rsidRPr="00EC064A">
              <w:rPr>
                <w:lang w:val="it-IT"/>
              </w:rPr>
              <w:t xml:space="preserve"> në Shqipëri me acquis-in e BE-së nën Kapitullin 6 do të ketë ndikime të gjera ekonomike, sociale dhe institucionale. Këto ndryshime nuk do të prekin vetëm kuadrin ligjor dhe rregullator, por do të luajnë gjithashtu një rol kyç në përmirësimin e mjedisit të biznesit në Shqipëri, rritjen e tërheqjes për investimet e huaja (FDI) dhe përshpejtimin e integrimit të Shqipërisë në BE. Kjo pjesë do të vlerësojë ndikimet ekonomike, sociale dhe institucionale të pritura, duke marrë parasysh si efektet afatshkurtra ashtu edhe ato afatgjata, si dhe kostot dhe përfitimet e mundshme që lidhen me secilin opsion të politikës.</w:t>
            </w:r>
          </w:p>
          <w:p w14:paraId="727FEF05" w14:textId="77777777" w:rsidR="00EC064A" w:rsidRPr="00EC064A" w:rsidRDefault="00EC064A" w:rsidP="00EC064A">
            <w:pPr>
              <w:spacing w:line="276" w:lineRule="auto"/>
              <w:jc w:val="both"/>
              <w:rPr>
                <w:lang w:val="it-IT"/>
              </w:rPr>
            </w:pPr>
          </w:p>
          <w:p w14:paraId="7E84FECC" w14:textId="77777777" w:rsidR="008563D8" w:rsidRPr="00D756B5" w:rsidRDefault="008563D8" w:rsidP="008563D8">
            <w:pPr>
              <w:spacing w:line="276" w:lineRule="auto"/>
              <w:jc w:val="both"/>
              <w:rPr>
                <w:b/>
                <w:bCs/>
                <w:lang w:val="it-IT"/>
              </w:rPr>
            </w:pPr>
            <w:r w:rsidRPr="00D756B5">
              <w:rPr>
                <w:b/>
                <w:bCs/>
                <w:lang w:val="it-IT"/>
              </w:rPr>
              <w:t>1. Grupet e prekura</w:t>
            </w:r>
          </w:p>
          <w:p w14:paraId="4F2FDA8F" w14:textId="77777777" w:rsidR="008563D8" w:rsidRPr="00D756B5" w:rsidRDefault="008563D8" w:rsidP="008563D8">
            <w:pPr>
              <w:spacing w:line="276" w:lineRule="auto"/>
              <w:jc w:val="both"/>
              <w:rPr>
                <w:lang w:val="it-IT"/>
              </w:rPr>
            </w:pPr>
            <w:r w:rsidRPr="00D756B5">
              <w:rPr>
                <w:lang w:val="it-IT"/>
              </w:rPr>
              <w:t>Ndryshimet ndikojnë në një gamë të gjerë aktorësh:</w:t>
            </w:r>
          </w:p>
          <w:p w14:paraId="79E082ED" w14:textId="77777777" w:rsidR="008563D8" w:rsidRPr="00D756B5" w:rsidRDefault="008563D8" w:rsidP="008563D8">
            <w:pPr>
              <w:numPr>
                <w:ilvl w:val="0"/>
                <w:numId w:val="65"/>
              </w:numPr>
              <w:spacing w:line="276" w:lineRule="auto"/>
              <w:jc w:val="both"/>
              <w:rPr>
                <w:lang w:val="it-IT"/>
              </w:rPr>
            </w:pPr>
            <w:r w:rsidRPr="00D756B5">
              <w:rPr>
                <w:lang w:val="it-IT"/>
              </w:rPr>
              <w:t>Bizneset (veçanërisht të mëdha dhe të huaja)</w:t>
            </w:r>
          </w:p>
          <w:p w14:paraId="350BBC47" w14:textId="77777777" w:rsidR="008563D8" w:rsidRPr="00D756B5" w:rsidRDefault="008563D8" w:rsidP="008563D8">
            <w:pPr>
              <w:numPr>
                <w:ilvl w:val="0"/>
                <w:numId w:val="65"/>
              </w:numPr>
              <w:spacing w:line="276" w:lineRule="auto"/>
              <w:jc w:val="both"/>
              <w:rPr>
                <w:lang w:val="it-IT"/>
              </w:rPr>
            </w:pPr>
            <w:r w:rsidRPr="00D756B5">
              <w:rPr>
                <w:lang w:val="it-IT"/>
              </w:rPr>
              <w:t>Ndërmarrjet e vogla dhe të mesme (SMEs)</w:t>
            </w:r>
          </w:p>
          <w:p w14:paraId="1E42C524" w14:textId="77777777" w:rsidR="008563D8" w:rsidRPr="008563D8" w:rsidRDefault="008563D8" w:rsidP="008563D8">
            <w:pPr>
              <w:numPr>
                <w:ilvl w:val="0"/>
                <w:numId w:val="65"/>
              </w:numPr>
              <w:spacing w:line="276" w:lineRule="auto"/>
              <w:jc w:val="both"/>
              <w:rPr>
                <w:lang w:val="en-US"/>
              </w:rPr>
            </w:pPr>
            <w:proofErr w:type="spellStart"/>
            <w:r w:rsidRPr="008563D8">
              <w:rPr>
                <w:lang w:val="en-US"/>
              </w:rPr>
              <w:t>Institucionet</w:t>
            </w:r>
            <w:proofErr w:type="spellEnd"/>
            <w:r w:rsidRPr="008563D8">
              <w:rPr>
                <w:lang w:val="en-US"/>
              </w:rPr>
              <w:t xml:space="preserve"> </w:t>
            </w:r>
            <w:proofErr w:type="spellStart"/>
            <w:r w:rsidRPr="008563D8">
              <w:rPr>
                <w:lang w:val="en-US"/>
              </w:rPr>
              <w:t>shtetërore</w:t>
            </w:r>
            <w:proofErr w:type="spellEnd"/>
            <w:r w:rsidRPr="008563D8">
              <w:rPr>
                <w:lang w:val="en-US"/>
              </w:rPr>
              <w:t xml:space="preserve"> (QKB, </w:t>
            </w:r>
            <w:proofErr w:type="spellStart"/>
            <w:r w:rsidRPr="008563D8">
              <w:rPr>
                <w:lang w:val="en-US"/>
              </w:rPr>
              <w:t>gjykatat</w:t>
            </w:r>
            <w:proofErr w:type="spellEnd"/>
            <w:r w:rsidRPr="008563D8">
              <w:rPr>
                <w:lang w:val="en-US"/>
              </w:rPr>
              <w:t xml:space="preserve">, </w:t>
            </w:r>
            <w:proofErr w:type="spellStart"/>
            <w:r w:rsidRPr="008563D8">
              <w:rPr>
                <w:lang w:val="en-US"/>
              </w:rPr>
              <w:t>ministritë</w:t>
            </w:r>
            <w:proofErr w:type="spellEnd"/>
            <w:r w:rsidRPr="008563D8">
              <w:rPr>
                <w:lang w:val="en-US"/>
              </w:rPr>
              <w:t>)</w:t>
            </w:r>
          </w:p>
          <w:p w14:paraId="0291A549" w14:textId="77777777" w:rsidR="008563D8" w:rsidRPr="00D756B5" w:rsidRDefault="008563D8" w:rsidP="008563D8">
            <w:pPr>
              <w:numPr>
                <w:ilvl w:val="0"/>
                <w:numId w:val="65"/>
              </w:numPr>
              <w:spacing w:line="276" w:lineRule="auto"/>
              <w:jc w:val="both"/>
              <w:rPr>
                <w:lang w:val="it-IT"/>
              </w:rPr>
            </w:pPr>
            <w:r w:rsidRPr="00D756B5">
              <w:rPr>
                <w:lang w:val="it-IT"/>
              </w:rPr>
              <w:t>Shoqëria civile dhe sektori i mbikëqyrjes</w:t>
            </w:r>
          </w:p>
          <w:p w14:paraId="287EA5A2" w14:textId="77777777" w:rsidR="008563D8" w:rsidRPr="008563D8" w:rsidRDefault="008563D8" w:rsidP="008563D8">
            <w:pPr>
              <w:numPr>
                <w:ilvl w:val="0"/>
                <w:numId w:val="65"/>
              </w:numPr>
              <w:spacing w:line="276" w:lineRule="auto"/>
              <w:jc w:val="both"/>
              <w:rPr>
                <w:lang w:val="en-US"/>
              </w:rPr>
            </w:pPr>
            <w:proofErr w:type="spellStart"/>
            <w:r w:rsidRPr="008563D8">
              <w:rPr>
                <w:lang w:val="en-US"/>
              </w:rPr>
              <w:t>Investitorët</w:t>
            </w:r>
            <w:proofErr w:type="spellEnd"/>
            <w:r w:rsidRPr="008563D8">
              <w:rPr>
                <w:lang w:val="en-US"/>
              </w:rPr>
              <w:t xml:space="preserve"> </w:t>
            </w:r>
            <w:proofErr w:type="spellStart"/>
            <w:r w:rsidRPr="008563D8">
              <w:rPr>
                <w:lang w:val="en-US"/>
              </w:rPr>
              <w:t>vendas</w:t>
            </w:r>
            <w:proofErr w:type="spellEnd"/>
            <w:r w:rsidRPr="008563D8">
              <w:rPr>
                <w:lang w:val="en-US"/>
              </w:rPr>
              <w:t xml:space="preserve"> e </w:t>
            </w:r>
            <w:proofErr w:type="spellStart"/>
            <w:r w:rsidRPr="008563D8">
              <w:rPr>
                <w:lang w:val="en-US"/>
              </w:rPr>
              <w:t>të</w:t>
            </w:r>
            <w:proofErr w:type="spellEnd"/>
            <w:r w:rsidRPr="008563D8">
              <w:rPr>
                <w:lang w:val="en-US"/>
              </w:rPr>
              <w:t xml:space="preserve"> </w:t>
            </w:r>
            <w:proofErr w:type="spellStart"/>
            <w:r w:rsidRPr="008563D8">
              <w:rPr>
                <w:lang w:val="en-US"/>
              </w:rPr>
              <w:t>huaj</w:t>
            </w:r>
            <w:proofErr w:type="spellEnd"/>
          </w:p>
          <w:p w14:paraId="1DA4EF9A" w14:textId="77777777" w:rsidR="008563D8" w:rsidRPr="008563D8" w:rsidRDefault="008563D8" w:rsidP="008563D8">
            <w:pPr>
              <w:numPr>
                <w:ilvl w:val="0"/>
                <w:numId w:val="65"/>
              </w:numPr>
              <w:spacing w:line="276" w:lineRule="auto"/>
              <w:jc w:val="both"/>
              <w:rPr>
                <w:lang w:val="en-US"/>
              </w:rPr>
            </w:pPr>
            <w:proofErr w:type="spellStart"/>
            <w:r w:rsidRPr="008563D8">
              <w:rPr>
                <w:lang w:val="en-US"/>
              </w:rPr>
              <w:t>Profesionalët</w:t>
            </w:r>
            <w:proofErr w:type="spellEnd"/>
            <w:r w:rsidRPr="008563D8">
              <w:rPr>
                <w:lang w:val="en-US"/>
              </w:rPr>
              <w:t xml:space="preserve"> </w:t>
            </w:r>
            <w:proofErr w:type="spellStart"/>
            <w:r w:rsidRPr="008563D8">
              <w:rPr>
                <w:lang w:val="en-US"/>
              </w:rPr>
              <w:t>ligjorë</w:t>
            </w:r>
            <w:proofErr w:type="spellEnd"/>
            <w:r w:rsidRPr="008563D8">
              <w:rPr>
                <w:lang w:val="en-US"/>
              </w:rPr>
              <w:t xml:space="preserve">, </w:t>
            </w:r>
            <w:proofErr w:type="spellStart"/>
            <w:r w:rsidRPr="008563D8">
              <w:rPr>
                <w:lang w:val="en-US"/>
              </w:rPr>
              <w:t>noterët</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aksionarët</w:t>
            </w:r>
            <w:proofErr w:type="spellEnd"/>
            <w:r w:rsidRPr="008563D8">
              <w:rPr>
                <w:lang w:val="en-US"/>
              </w:rPr>
              <w:t xml:space="preserve"> (</w:t>
            </w:r>
            <w:proofErr w:type="spellStart"/>
            <w:r w:rsidRPr="008563D8">
              <w:rPr>
                <w:lang w:val="en-US"/>
              </w:rPr>
              <w:t>përfshirë</w:t>
            </w:r>
            <w:proofErr w:type="spellEnd"/>
            <w:r w:rsidRPr="008563D8">
              <w:rPr>
                <w:lang w:val="en-US"/>
              </w:rPr>
              <w:t xml:space="preserve"> </w:t>
            </w:r>
            <w:proofErr w:type="spellStart"/>
            <w:r w:rsidRPr="008563D8">
              <w:rPr>
                <w:lang w:val="en-US"/>
              </w:rPr>
              <w:t>ata</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pakicës</w:t>
            </w:r>
            <w:proofErr w:type="spellEnd"/>
            <w:r w:rsidRPr="008563D8">
              <w:rPr>
                <w:lang w:val="en-US"/>
              </w:rPr>
              <w:t>)</w:t>
            </w:r>
          </w:p>
          <w:p w14:paraId="5B88B6D1" w14:textId="77777777" w:rsidR="008563D8" w:rsidRPr="00D756B5" w:rsidRDefault="008563D8" w:rsidP="008563D8">
            <w:pPr>
              <w:spacing w:line="276" w:lineRule="auto"/>
              <w:jc w:val="both"/>
              <w:rPr>
                <w:lang w:val="en-US"/>
              </w:rPr>
            </w:pPr>
            <w:r w:rsidRPr="008563D8">
              <w:rPr>
                <w:b/>
                <w:bCs/>
                <w:lang w:val="en-US"/>
              </w:rPr>
              <w:t xml:space="preserve">2. </w:t>
            </w:r>
            <w:proofErr w:type="spellStart"/>
            <w:r w:rsidRPr="00D756B5">
              <w:rPr>
                <w:lang w:val="en-US"/>
              </w:rPr>
              <w:t>Qëllimi</w:t>
            </w:r>
            <w:proofErr w:type="spellEnd"/>
            <w:r w:rsidRPr="00D756B5">
              <w:rPr>
                <w:lang w:val="en-US"/>
              </w:rPr>
              <w:t xml:space="preserve"> </w:t>
            </w:r>
            <w:proofErr w:type="spellStart"/>
            <w:r w:rsidRPr="00D756B5">
              <w:rPr>
                <w:lang w:val="en-US"/>
              </w:rPr>
              <w:t>i</w:t>
            </w:r>
            <w:proofErr w:type="spellEnd"/>
            <w:r w:rsidRPr="00D756B5">
              <w:rPr>
                <w:lang w:val="en-US"/>
              </w:rPr>
              <w:t xml:space="preserve"> </w:t>
            </w:r>
            <w:proofErr w:type="spellStart"/>
            <w:r w:rsidRPr="00D756B5">
              <w:rPr>
                <w:lang w:val="en-US"/>
              </w:rPr>
              <w:t>ndërhyrjes</w:t>
            </w:r>
            <w:proofErr w:type="spellEnd"/>
          </w:p>
          <w:p w14:paraId="26DA61E5" w14:textId="77777777" w:rsidR="008563D8" w:rsidRPr="008563D8" w:rsidRDefault="008563D8" w:rsidP="008563D8">
            <w:pPr>
              <w:spacing w:line="276" w:lineRule="auto"/>
              <w:jc w:val="both"/>
              <w:rPr>
                <w:lang w:val="en-US"/>
              </w:rPr>
            </w:pPr>
            <w:proofErr w:type="spellStart"/>
            <w:r w:rsidRPr="008563D8">
              <w:rPr>
                <w:lang w:val="en-US"/>
              </w:rPr>
              <w:t>Ndryshimet</w:t>
            </w:r>
            <w:proofErr w:type="spellEnd"/>
            <w:r w:rsidRPr="008563D8">
              <w:rPr>
                <w:lang w:val="en-US"/>
              </w:rPr>
              <w:t xml:space="preserve"> </w:t>
            </w:r>
            <w:proofErr w:type="spellStart"/>
            <w:r w:rsidRPr="008563D8">
              <w:rPr>
                <w:lang w:val="en-US"/>
              </w:rPr>
              <w:t>synojnë</w:t>
            </w:r>
            <w:proofErr w:type="spellEnd"/>
            <w:r w:rsidRPr="008563D8">
              <w:rPr>
                <w:lang w:val="en-US"/>
              </w:rPr>
              <w:t>:</w:t>
            </w:r>
          </w:p>
          <w:p w14:paraId="22EA4C3C" w14:textId="77777777" w:rsidR="008563D8" w:rsidRPr="00D756B5" w:rsidRDefault="008563D8" w:rsidP="008563D8">
            <w:pPr>
              <w:numPr>
                <w:ilvl w:val="0"/>
                <w:numId w:val="66"/>
              </w:numPr>
              <w:spacing w:line="276" w:lineRule="auto"/>
              <w:jc w:val="both"/>
              <w:rPr>
                <w:lang w:val="it-IT"/>
              </w:rPr>
            </w:pPr>
            <w:r w:rsidRPr="00D756B5">
              <w:rPr>
                <w:lang w:val="it-IT"/>
              </w:rPr>
              <w:t>Përmirësimin e sigurisë juridike dhe qeverisjes korporative;</w:t>
            </w:r>
          </w:p>
          <w:p w14:paraId="117B5C90" w14:textId="77777777" w:rsidR="008563D8" w:rsidRPr="008563D8" w:rsidRDefault="008563D8" w:rsidP="008563D8">
            <w:pPr>
              <w:numPr>
                <w:ilvl w:val="0"/>
                <w:numId w:val="66"/>
              </w:numPr>
              <w:spacing w:line="276" w:lineRule="auto"/>
              <w:jc w:val="both"/>
              <w:rPr>
                <w:lang w:val="en-US"/>
              </w:rPr>
            </w:pPr>
            <w:proofErr w:type="spellStart"/>
            <w:r w:rsidRPr="008563D8">
              <w:rPr>
                <w:lang w:val="en-US"/>
              </w:rPr>
              <w:t>Rritjen</w:t>
            </w:r>
            <w:proofErr w:type="spellEnd"/>
            <w:r w:rsidRPr="008563D8">
              <w:rPr>
                <w:lang w:val="en-US"/>
              </w:rPr>
              <w:t xml:space="preserve"> e </w:t>
            </w:r>
            <w:proofErr w:type="spellStart"/>
            <w:r w:rsidRPr="008563D8">
              <w:rPr>
                <w:lang w:val="en-US"/>
              </w:rPr>
              <w:t>transparencës</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besimit</w:t>
            </w:r>
            <w:proofErr w:type="spellEnd"/>
            <w:r w:rsidRPr="008563D8">
              <w:rPr>
                <w:lang w:val="en-US"/>
              </w:rPr>
              <w:t xml:space="preserve"> </w:t>
            </w:r>
            <w:proofErr w:type="spellStart"/>
            <w:r w:rsidRPr="008563D8">
              <w:rPr>
                <w:lang w:val="en-US"/>
              </w:rPr>
              <w:t>në</w:t>
            </w:r>
            <w:proofErr w:type="spellEnd"/>
            <w:r w:rsidRPr="008563D8">
              <w:rPr>
                <w:lang w:val="en-US"/>
              </w:rPr>
              <w:t xml:space="preserve"> </w:t>
            </w:r>
            <w:proofErr w:type="spellStart"/>
            <w:r w:rsidRPr="008563D8">
              <w:rPr>
                <w:lang w:val="en-US"/>
              </w:rPr>
              <w:t>treg</w:t>
            </w:r>
            <w:proofErr w:type="spellEnd"/>
            <w:r w:rsidRPr="008563D8">
              <w:rPr>
                <w:lang w:val="en-US"/>
              </w:rPr>
              <w:t>;</w:t>
            </w:r>
          </w:p>
          <w:p w14:paraId="449AADB8" w14:textId="77777777" w:rsidR="008563D8" w:rsidRPr="008563D8" w:rsidRDefault="008563D8" w:rsidP="008563D8">
            <w:pPr>
              <w:numPr>
                <w:ilvl w:val="0"/>
                <w:numId w:val="66"/>
              </w:numPr>
              <w:spacing w:line="276" w:lineRule="auto"/>
              <w:jc w:val="both"/>
              <w:rPr>
                <w:lang w:val="en-US"/>
              </w:rPr>
            </w:pPr>
            <w:proofErr w:type="spellStart"/>
            <w:r w:rsidRPr="008563D8">
              <w:rPr>
                <w:lang w:val="en-US"/>
              </w:rPr>
              <w:t>Përafrimin</w:t>
            </w:r>
            <w:proofErr w:type="spellEnd"/>
            <w:r w:rsidRPr="008563D8">
              <w:rPr>
                <w:lang w:val="en-US"/>
              </w:rPr>
              <w:t xml:space="preserve"> me </w:t>
            </w:r>
            <w:r w:rsidRPr="00D756B5">
              <w:rPr>
                <w:lang w:val="en-US"/>
              </w:rPr>
              <w:t>acquis-in e BE-</w:t>
            </w:r>
            <w:proofErr w:type="spellStart"/>
            <w:r w:rsidRPr="00D756B5">
              <w:rPr>
                <w:lang w:val="en-US"/>
              </w:rPr>
              <w:t>së</w:t>
            </w:r>
            <w:proofErr w:type="spellEnd"/>
            <w:r w:rsidRPr="008563D8">
              <w:rPr>
                <w:lang w:val="en-US"/>
              </w:rPr>
              <w:t xml:space="preserve">, </w:t>
            </w:r>
            <w:proofErr w:type="spellStart"/>
            <w:r w:rsidRPr="008563D8">
              <w:rPr>
                <w:lang w:val="en-US"/>
              </w:rPr>
              <w:t>veçanërisht</w:t>
            </w:r>
            <w:proofErr w:type="spellEnd"/>
            <w:r w:rsidRPr="008563D8">
              <w:rPr>
                <w:lang w:val="en-US"/>
              </w:rPr>
              <w:t xml:space="preserve"> me </w:t>
            </w:r>
            <w:proofErr w:type="spellStart"/>
            <w:r w:rsidRPr="00D756B5">
              <w:rPr>
                <w:lang w:val="en-US"/>
              </w:rPr>
              <w:t>Kapitullin</w:t>
            </w:r>
            <w:proofErr w:type="spellEnd"/>
            <w:r w:rsidRPr="00D756B5">
              <w:rPr>
                <w:lang w:val="en-US"/>
              </w:rPr>
              <w:t xml:space="preserve"> 6 </w:t>
            </w:r>
            <w:proofErr w:type="spellStart"/>
            <w:r w:rsidRPr="00D756B5">
              <w:rPr>
                <w:lang w:val="en-US"/>
              </w:rPr>
              <w:t>të</w:t>
            </w:r>
            <w:proofErr w:type="spellEnd"/>
            <w:r w:rsidRPr="00D756B5">
              <w:rPr>
                <w:lang w:val="en-US"/>
              </w:rPr>
              <w:t xml:space="preserve"> </w:t>
            </w:r>
            <w:proofErr w:type="spellStart"/>
            <w:r w:rsidRPr="00D756B5">
              <w:rPr>
                <w:lang w:val="en-US"/>
              </w:rPr>
              <w:t>negociatave</w:t>
            </w:r>
            <w:proofErr w:type="spellEnd"/>
            <w:r w:rsidRPr="008563D8">
              <w:rPr>
                <w:lang w:val="en-US"/>
              </w:rPr>
              <w:t>.</w:t>
            </w:r>
          </w:p>
          <w:p w14:paraId="7D074887" w14:textId="77777777" w:rsidR="008563D8" w:rsidRPr="008563D8" w:rsidRDefault="008563D8" w:rsidP="008563D8">
            <w:pPr>
              <w:spacing w:line="276" w:lineRule="auto"/>
              <w:jc w:val="both"/>
              <w:rPr>
                <w:b/>
                <w:bCs/>
                <w:lang w:val="en-US"/>
              </w:rPr>
            </w:pPr>
            <w:r w:rsidRPr="008563D8">
              <w:rPr>
                <w:b/>
                <w:bCs/>
                <w:lang w:val="en-US"/>
              </w:rPr>
              <w:t xml:space="preserve">3. </w:t>
            </w:r>
            <w:proofErr w:type="spellStart"/>
            <w:r w:rsidRPr="008563D8">
              <w:rPr>
                <w:b/>
                <w:bCs/>
                <w:lang w:val="en-US"/>
              </w:rPr>
              <w:t>Ndikimet</w:t>
            </w:r>
            <w:proofErr w:type="spellEnd"/>
            <w:r w:rsidRPr="008563D8">
              <w:rPr>
                <w:b/>
                <w:bCs/>
                <w:lang w:val="en-US"/>
              </w:rPr>
              <w:t xml:space="preserve"> </w:t>
            </w:r>
            <w:proofErr w:type="spellStart"/>
            <w:r w:rsidRPr="008563D8">
              <w:rPr>
                <w:b/>
                <w:bCs/>
                <w:lang w:val="en-US"/>
              </w:rPr>
              <w:t>kryesore</w:t>
            </w:r>
            <w:proofErr w:type="spellEnd"/>
            <w:r w:rsidRPr="008563D8">
              <w:rPr>
                <w:b/>
                <w:bCs/>
                <w:lang w:val="en-US"/>
              </w:rPr>
              <w:t xml:space="preserve"> </w:t>
            </w:r>
            <w:proofErr w:type="spellStart"/>
            <w:r w:rsidRPr="008563D8">
              <w:rPr>
                <w:b/>
                <w:bCs/>
                <w:lang w:val="en-US"/>
              </w:rPr>
              <w:t>sipas</w:t>
            </w:r>
            <w:proofErr w:type="spellEnd"/>
            <w:r w:rsidRPr="008563D8">
              <w:rPr>
                <w:b/>
                <w:bCs/>
                <w:lang w:val="en-US"/>
              </w:rPr>
              <w:t xml:space="preserve"> </w:t>
            </w:r>
            <w:proofErr w:type="spellStart"/>
            <w:r w:rsidRPr="008563D8">
              <w:rPr>
                <w:b/>
                <w:bCs/>
                <w:lang w:val="en-US"/>
              </w:rPr>
              <w:t>grupeve</w:t>
            </w:r>
            <w:proofErr w:type="spellEnd"/>
          </w:p>
          <w:p w14:paraId="1B765756" w14:textId="77777777" w:rsidR="008563D8" w:rsidRPr="008563D8" w:rsidRDefault="008563D8" w:rsidP="008563D8">
            <w:pPr>
              <w:spacing w:line="276" w:lineRule="auto"/>
              <w:jc w:val="both"/>
              <w:rPr>
                <w:lang w:val="en-US"/>
              </w:rPr>
            </w:pPr>
            <w:proofErr w:type="spellStart"/>
            <w:r w:rsidRPr="008563D8">
              <w:rPr>
                <w:b/>
                <w:bCs/>
                <w:lang w:val="en-US"/>
              </w:rPr>
              <w:t>Për</w:t>
            </w:r>
            <w:proofErr w:type="spellEnd"/>
            <w:r w:rsidRPr="008563D8">
              <w:rPr>
                <w:b/>
                <w:bCs/>
                <w:lang w:val="en-US"/>
              </w:rPr>
              <w:t xml:space="preserve"> </w:t>
            </w:r>
            <w:proofErr w:type="spellStart"/>
            <w:r w:rsidRPr="008563D8">
              <w:rPr>
                <w:b/>
                <w:bCs/>
                <w:lang w:val="en-US"/>
              </w:rPr>
              <w:t>shoqëritë</w:t>
            </w:r>
            <w:proofErr w:type="spellEnd"/>
            <w:r w:rsidRPr="008563D8">
              <w:rPr>
                <w:b/>
                <w:bCs/>
                <w:lang w:val="en-US"/>
              </w:rPr>
              <w:t xml:space="preserve"> </w:t>
            </w:r>
            <w:proofErr w:type="spellStart"/>
            <w:r w:rsidRPr="008563D8">
              <w:rPr>
                <w:b/>
                <w:bCs/>
                <w:lang w:val="en-US"/>
              </w:rPr>
              <w:t>tregtare</w:t>
            </w:r>
            <w:proofErr w:type="spellEnd"/>
            <w:r w:rsidRPr="008563D8">
              <w:rPr>
                <w:b/>
                <w:bCs/>
                <w:lang w:val="en-US"/>
              </w:rPr>
              <w:t>:</w:t>
            </w:r>
          </w:p>
          <w:p w14:paraId="26012E20" w14:textId="77777777" w:rsidR="008563D8" w:rsidRPr="008563D8" w:rsidRDefault="008563D8" w:rsidP="008563D8">
            <w:pPr>
              <w:numPr>
                <w:ilvl w:val="0"/>
                <w:numId w:val="67"/>
              </w:numPr>
              <w:spacing w:line="276" w:lineRule="auto"/>
              <w:jc w:val="both"/>
              <w:rPr>
                <w:lang w:val="en-US"/>
              </w:rPr>
            </w:pPr>
            <w:proofErr w:type="spellStart"/>
            <w:r w:rsidRPr="008563D8">
              <w:rPr>
                <w:lang w:val="en-US"/>
              </w:rPr>
              <w:t>Kuadër</w:t>
            </w:r>
            <w:proofErr w:type="spellEnd"/>
            <w:r w:rsidRPr="008563D8">
              <w:rPr>
                <w:lang w:val="en-US"/>
              </w:rPr>
              <w:t xml:space="preserve"> </w:t>
            </w:r>
            <w:proofErr w:type="spellStart"/>
            <w:r w:rsidRPr="008563D8">
              <w:rPr>
                <w:lang w:val="en-US"/>
              </w:rPr>
              <w:t>më</w:t>
            </w:r>
            <w:proofErr w:type="spellEnd"/>
            <w:r w:rsidRPr="008563D8">
              <w:rPr>
                <w:lang w:val="en-US"/>
              </w:rPr>
              <w:t xml:space="preserve"> </w:t>
            </w:r>
            <w:proofErr w:type="spellStart"/>
            <w:r w:rsidRPr="008563D8">
              <w:rPr>
                <w:lang w:val="en-US"/>
              </w:rPr>
              <w:t>i</w:t>
            </w:r>
            <w:proofErr w:type="spellEnd"/>
            <w:r w:rsidRPr="008563D8">
              <w:rPr>
                <w:lang w:val="en-US"/>
              </w:rPr>
              <w:t xml:space="preserve"> </w:t>
            </w:r>
            <w:proofErr w:type="spellStart"/>
            <w:r w:rsidRPr="008563D8">
              <w:rPr>
                <w:lang w:val="en-US"/>
              </w:rPr>
              <w:t>qartë</w:t>
            </w:r>
            <w:proofErr w:type="spellEnd"/>
            <w:r w:rsidRPr="008563D8">
              <w:rPr>
                <w:lang w:val="en-US"/>
              </w:rPr>
              <w:t xml:space="preserve"> </w:t>
            </w:r>
            <w:proofErr w:type="spellStart"/>
            <w:r w:rsidRPr="008563D8">
              <w:rPr>
                <w:lang w:val="en-US"/>
              </w:rPr>
              <w:t>për</w:t>
            </w:r>
            <w:proofErr w:type="spellEnd"/>
            <w:r w:rsidRPr="008563D8">
              <w:rPr>
                <w:lang w:val="en-US"/>
              </w:rPr>
              <w:t xml:space="preserve"> </w:t>
            </w:r>
            <w:proofErr w:type="spellStart"/>
            <w:r w:rsidRPr="008563D8">
              <w:rPr>
                <w:lang w:val="en-US"/>
              </w:rPr>
              <w:t>shpërndarjen</w:t>
            </w:r>
            <w:proofErr w:type="spellEnd"/>
            <w:r w:rsidRPr="008563D8">
              <w:rPr>
                <w:lang w:val="en-US"/>
              </w:rPr>
              <w:t xml:space="preserve"> e </w:t>
            </w:r>
            <w:proofErr w:type="spellStart"/>
            <w:r w:rsidRPr="008563D8">
              <w:rPr>
                <w:lang w:val="en-US"/>
              </w:rPr>
              <w:t>fitimeve</w:t>
            </w:r>
            <w:proofErr w:type="spellEnd"/>
            <w:r w:rsidRPr="008563D8">
              <w:rPr>
                <w:lang w:val="en-US"/>
              </w:rPr>
              <w:t xml:space="preserve">, </w:t>
            </w:r>
            <w:proofErr w:type="spellStart"/>
            <w:r w:rsidRPr="008563D8">
              <w:rPr>
                <w:lang w:val="en-US"/>
              </w:rPr>
              <w:t>zotërimin</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përdorimin</w:t>
            </w:r>
            <w:proofErr w:type="spellEnd"/>
            <w:r w:rsidRPr="008563D8">
              <w:rPr>
                <w:lang w:val="en-US"/>
              </w:rPr>
              <w:t xml:space="preserve"> e </w:t>
            </w:r>
            <w:proofErr w:type="spellStart"/>
            <w:r w:rsidRPr="008563D8">
              <w:rPr>
                <w:lang w:val="en-US"/>
              </w:rPr>
              <w:t>aksioneve</w:t>
            </w:r>
            <w:proofErr w:type="spellEnd"/>
            <w:r w:rsidRPr="008563D8">
              <w:rPr>
                <w:lang w:val="en-US"/>
              </w:rPr>
              <w:t>.</w:t>
            </w:r>
          </w:p>
          <w:p w14:paraId="165337BA" w14:textId="77777777" w:rsidR="008563D8" w:rsidRPr="008563D8" w:rsidRDefault="008563D8" w:rsidP="008563D8">
            <w:pPr>
              <w:numPr>
                <w:ilvl w:val="0"/>
                <w:numId w:val="67"/>
              </w:numPr>
              <w:spacing w:line="276" w:lineRule="auto"/>
              <w:jc w:val="both"/>
              <w:rPr>
                <w:lang w:val="en-US"/>
              </w:rPr>
            </w:pPr>
            <w:proofErr w:type="spellStart"/>
            <w:r w:rsidRPr="008563D8">
              <w:rPr>
                <w:lang w:val="en-US"/>
              </w:rPr>
              <w:t>Raportim</w:t>
            </w:r>
            <w:proofErr w:type="spellEnd"/>
            <w:r w:rsidRPr="008563D8">
              <w:rPr>
                <w:lang w:val="en-US"/>
              </w:rPr>
              <w:t xml:space="preserve"> </w:t>
            </w:r>
            <w:proofErr w:type="spellStart"/>
            <w:r w:rsidRPr="008563D8">
              <w:rPr>
                <w:lang w:val="en-US"/>
              </w:rPr>
              <w:t>financiar</w:t>
            </w:r>
            <w:proofErr w:type="spellEnd"/>
            <w:r w:rsidRPr="008563D8">
              <w:rPr>
                <w:lang w:val="en-US"/>
              </w:rPr>
              <w:t xml:space="preserve"> </w:t>
            </w:r>
            <w:proofErr w:type="spellStart"/>
            <w:r w:rsidRPr="008563D8">
              <w:rPr>
                <w:lang w:val="en-US"/>
              </w:rPr>
              <w:t>më</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detajuar</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standarde</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reja</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qeverisjes</w:t>
            </w:r>
            <w:proofErr w:type="spellEnd"/>
            <w:r w:rsidRPr="008563D8">
              <w:rPr>
                <w:lang w:val="en-US"/>
              </w:rPr>
              <w:t xml:space="preserve"> </w:t>
            </w:r>
            <w:proofErr w:type="spellStart"/>
            <w:r w:rsidRPr="008563D8">
              <w:rPr>
                <w:lang w:val="en-US"/>
              </w:rPr>
              <w:t>korporative</w:t>
            </w:r>
            <w:proofErr w:type="spellEnd"/>
            <w:r w:rsidRPr="008563D8">
              <w:rPr>
                <w:lang w:val="en-US"/>
              </w:rPr>
              <w:t>.</w:t>
            </w:r>
          </w:p>
          <w:p w14:paraId="118D9398" w14:textId="77777777" w:rsidR="008563D8" w:rsidRPr="008563D8" w:rsidRDefault="008563D8" w:rsidP="008563D8">
            <w:pPr>
              <w:numPr>
                <w:ilvl w:val="0"/>
                <w:numId w:val="67"/>
              </w:numPr>
              <w:spacing w:line="276" w:lineRule="auto"/>
              <w:jc w:val="both"/>
              <w:rPr>
                <w:lang w:val="en-US"/>
              </w:rPr>
            </w:pPr>
            <w:proofErr w:type="spellStart"/>
            <w:r w:rsidRPr="008563D8">
              <w:rPr>
                <w:lang w:val="en-US"/>
              </w:rPr>
              <w:t>Kostot</w:t>
            </w:r>
            <w:proofErr w:type="spellEnd"/>
            <w:r w:rsidRPr="008563D8">
              <w:rPr>
                <w:lang w:val="en-US"/>
              </w:rPr>
              <w:t xml:space="preserve"> </w:t>
            </w:r>
            <w:proofErr w:type="spellStart"/>
            <w:r w:rsidRPr="008563D8">
              <w:rPr>
                <w:lang w:val="en-US"/>
              </w:rPr>
              <w:t>për</w:t>
            </w:r>
            <w:proofErr w:type="spellEnd"/>
            <w:r w:rsidRPr="008563D8">
              <w:rPr>
                <w:lang w:val="en-US"/>
              </w:rPr>
              <w:t xml:space="preserve"> </w:t>
            </w:r>
            <w:proofErr w:type="spellStart"/>
            <w:r w:rsidRPr="008563D8">
              <w:rPr>
                <w:lang w:val="en-US"/>
              </w:rPr>
              <w:t>përshtatje</w:t>
            </w:r>
            <w:proofErr w:type="spellEnd"/>
            <w:r w:rsidRPr="008563D8">
              <w:rPr>
                <w:lang w:val="en-US"/>
              </w:rPr>
              <w:t xml:space="preserve"> </w:t>
            </w:r>
            <w:proofErr w:type="spellStart"/>
            <w:r w:rsidRPr="008563D8">
              <w:rPr>
                <w:lang w:val="en-US"/>
              </w:rPr>
              <w:t>procedurash</w:t>
            </w:r>
            <w:proofErr w:type="spellEnd"/>
            <w:r w:rsidRPr="008563D8">
              <w:rPr>
                <w:lang w:val="en-US"/>
              </w:rPr>
              <w:t xml:space="preserve">, </w:t>
            </w:r>
            <w:proofErr w:type="spellStart"/>
            <w:r w:rsidRPr="008563D8">
              <w:rPr>
                <w:lang w:val="en-US"/>
              </w:rPr>
              <w:t>këshillim</w:t>
            </w:r>
            <w:proofErr w:type="spellEnd"/>
            <w:r w:rsidRPr="008563D8">
              <w:rPr>
                <w:lang w:val="en-US"/>
              </w:rPr>
              <w:t xml:space="preserve"> </w:t>
            </w:r>
            <w:proofErr w:type="spellStart"/>
            <w:r w:rsidRPr="008563D8">
              <w:rPr>
                <w:lang w:val="en-US"/>
              </w:rPr>
              <w:t>ligjor</w:t>
            </w:r>
            <w:proofErr w:type="spellEnd"/>
            <w:r w:rsidRPr="008563D8">
              <w:rPr>
                <w:lang w:val="en-US"/>
              </w:rPr>
              <w:t xml:space="preserve">, </w:t>
            </w:r>
            <w:proofErr w:type="spellStart"/>
            <w:r w:rsidRPr="008563D8">
              <w:rPr>
                <w:lang w:val="en-US"/>
              </w:rPr>
              <w:t>trajnime</w:t>
            </w:r>
            <w:proofErr w:type="spellEnd"/>
            <w:r w:rsidRPr="008563D8">
              <w:rPr>
                <w:lang w:val="en-US"/>
              </w:rPr>
              <w:t xml:space="preserve">, </w:t>
            </w:r>
            <w:proofErr w:type="spellStart"/>
            <w:r w:rsidRPr="008563D8">
              <w:rPr>
                <w:lang w:val="en-US"/>
              </w:rPr>
              <w:t>auditim</w:t>
            </w:r>
            <w:proofErr w:type="spellEnd"/>
            <w:r w:rsidRPr="008563D8">
              <w:rPr>
                <w:lang w:val="en-US"/>
              </w:rPr>
              <w:t xml:space="preserve"> </w:t>
            </w:r>
            <w:proofErr w:type="spellStart"/>
            <w:r w:rsidRPr="008563D8">
              <w:rPr>
                <w:lang w:val="en-US"/>
              </w:rPr>
              <w:t>dhe</w:t>
            </w:r>
            <w:proofErr w:type="spellEnd"/>
            <w:r w:rsidRPr="008563D8">
              <w:rPr>
                <w:lang w:val="en-US"/>
              </w:rPr>
              <w:t xml:space="preserve"> IT.</w:t>
            </w:r>
          </w:p>
          <w:p w14:paraId="7F63EA75" w14:textId="77777777" w:rsidR="008563D8" w:rsidRPr="008563D8" w:rsidRDefault="008563D8" w:rsidP="008563D8">
            <w:pPr>
              <w:spacing w:line="276" w:lineRule="auto"/>
              <w:jc w:val="both"/>
              <w:rPr>
                <w:lang w:val="en-US"/>
              </w:rPr>
            </w:pPr>
            <w:proofErr w:type="spellStart"/>
            <w:r w:rsidRPr="008563D8">
              <w:rPr>
                <w:b/>
                <w:bCs/>
                <w:lang w:val="en-US"/>
              </w:rPr>
              <w:t>Për</w:t>
            </w:r>
            <w:proofErr w:type="spellEnd"/>
            <w:r w:rsidRPr="008563D8">
              <w:rPr>
                <w:b/>
                <w:bCs/>
                <w:lang w:val="en-US"/>
              </w:rPr>
              <w:t xml:space="preserve"> </w:t>
            </w:r>
            <w:proofErr w:type="spellStart"/>
            <w:r w:rsidRPr="008563D8">
              <w:rPr>
                <w:b/>
                <w:bCs/>
                <w:lang w:val="en-US"/>
              </w:rPr>
              <w:t>aksionarët</w:t>
            </w:r>
            <w:proofErr w:type="spellEnd"/>
            <w:r w:rsidRPr="008563D8">
              <w:rPr>
                <w:b/>
                <w:bCs/>
                <w:lang w:val="en-US"/>
              </w:rPr>
              <w:t>:</w:t>
            </w:r>
          </w:p>
          <w:p w14:paraId="37268C35" w14:textId="77777777" w:rsidR="008563D8" w:rsidRPr="008563D8" w:rsidRDefault="008563D8" w:rsidP="008563D8">
            <w:pPr>
              <w:numPr>
                <w:ilvl w:val="0"/>
                <w:numId w:val="68"/>
              </w:numPr>
              <w:spacing w:line="276" w:lineRule="auto"/>
              <w:jc w:val="both"/>
              <w:rPr>
                <w:lang w:val="en-US"/>
              </w:rPr>
            </w:pPr>
            <w:proofErr w:type="spellStart"/>
            <w:r w:rsidRPr="008563D8">
              <w:rPr>
                <w:lang w:val="en-US"/>
              </w:rPr>
              <w:t>Mbrojtje</w:t>
            </w:r>
            <w:proofErr w:type="spellEnd"/>
            <w:r w:rsidRPr="008563D8">
              <w:rPr>
                <w:lang w:val="en-US"/>
              </w:rPr>
              <w:t xml:space="preserve"> </w:t>
            </w:r>
            <w:proofErr w:type="spellStart"/>
            <w:r w:rsidRPr="008563D8">
              <w:rPr>
                <w:lang w:val="en-US"/>
              </w:rPr>
              <w:t>më</w:t>
            </w:r>
            <w:proofErr w:type="spellEnd"/>
            <w:r w:rsidRPr="008563D8">
              <w:rPr>
                <w:lang w:val="en-US"/>
              </w:rPr>
              <w:t xml:space="preserve"> e </w:t>
            </w:r>
            <w:proofErr w:type="spellStart"/>
            <w:r w:rsidRPr="008563D8">
              <w:rPr>
                <w:lang w:val="en-US"/>
              </w:rPr>
              <w:t>fortë</w:t>
            </w:r>
            <w:proofErr w:type="spellEnd"/>
            <w:r w:rsidRPr="008563D8">
              <w:rPr>
                <w:lang w:val="en-US"/>
              </w:rPr>
              <w:t xml:space="preserve"> </w:t>
            </w:r>
            <w:proofErr w:type="spellStart"/>
            <w:r w:rsidRPr="008563D8">
              <w:rPr>
                <w:lang w:val="en-US"/>
              </w:rPr>
              <w:t>ligjore</w:t>
            </w:r>
            <w:proofErr w:type="spellEnd"/>
            <w:r w:rsidRPr="008563D8">
              <w:rPr>
                <w:lang w:val="en-US"/>
              </w:rPr>
              <w:t xml:space="preserve"> </w:t>
            </w:r>
            <w:proofErr w:type="spellStart"/>
            <w:r w:rsidRPr="008563D8">
              <w:rPr>
                <w:lang w:val="en-US"/>
              </w:rPr>
              <w:t>kundër</w:t>
            </w:r>
            <w:proofErr w:type="spellEnd"/>
            <w:r w:rsidRPr="008563D8">
              <w:rPr>
                <w:lang w:val="en-US"/>
              </w:rPr>
              <w:t xml:space="preserve"> </w:t>
            </w:r>
            <w:proofErr w:type="spellStart"/>
            <w:r w:rsidRPr="008563D8">
              <w:rPr>
                <w:lang w:val="en-US"/>
              </w:rPr>
              <w:t>shpërndarjeve</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paligjshme</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abuzimeve</w:t>
            </w:r>
            <w:proofErr w:type="spellEnd"/>
            <w:r w:rsidRPr="008563D8">
              <w:rPr>
                <w:lang w:val="en-US"/>
              </w:rPr>
              <w:t>.</w:t>
            </w:r>
          </w:p>
          <w:p w14:paraId="5CDD90EA" w14:textId="77777777" w:rsidR="008563D8" w:rsidRPr="008563D8" w:rsidRDefault="008563D8" w:rsidP="008563D8">
            <w:pPr>
              <w:numPr>
                <w:ilvl w:val="0"/>
                <w:numId w:val="68"/>
              </w:numPr>
              <w:spacing w:line="276" w:lineRule="auto"/>
              <w:jc w:val="both"/>
              <w:rPr>
                <w:lang w:val="en-US"/>
              </w:rPr>
            </w:pPr>
            <w:proofErr w:type="spellStart"/>
            <w:r w:rsidRPr="008563D8">
              <w:rPr>
                <w:lang w:val="en-US"/>
              </w:rPr>
              <w:t>Mekanizma</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rinj</w:t>
            </w:r>
            <w:proofErr w:type="spellEnd"/>
            <w:r w:rsidRPr="008563D8">
              <w:rPr>
                <w:lang w:val="en-US"/>
              </w:rPr>
              <w:t xml:space="preserve"> </w:t>
            </w:r>
            <w:proofErr w:type="spellStart"/>
            <w:r w:rsidRPr="008563D8">
              <w:rPr>
                <w:lang w:val="en-US"/>
              </w:rPr>
              <w:t>për</w:t>
            </w:r>
            <w:proofErr w:type="spellEnd"/>
            <w:r w:rsidRPr="008563D8">
              <w:rPr>
                <w:lang w:val="en-US"/>
              </w:rPr>
              <w:t xml:space="preserve"> </w:t>
            </w:r>
            <w:proofErr w:type="spellStart"/>
            <w:r w:rsidRPr="008563D8">
              <w:rPr>
                <w:lang w:val="en-US"/>
              </w:rPr>
              <w:t>garantimin</w:t>
            </w:r>
            <w:proofErr w:type="spellEnd"/>
            <w:r w:rsidRPr="008563D8">
              <w:rPr>
                <w:lang w:val="en-US"/>
              </w:rPr>
              <w:t xml:space="preserve"> e </w:t>
            </w:r>
            <w:proofErr w:type="spellStart"/>
            <w:r w:rsidRPr="008563D8">
              <w:rPr>
                <w:lang w:val="en-US"/>
              </w:rPr>
              <w:t>transparencës</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ndjekjen</w:t>
            </w:r>
            <w:proofErr w:type="spellEnd"/>
            <w:r w:rsidRPr="008563D8">
              <w:rPr>
                <w:lang w:val="en-US"/>
              </w:rPr>
              <w:t xml:space="preserve"> </w:t>
            </w:r>
            <w:proofErr w:type="spellStart"/>
            <w:r w:rsidRPr="008563D8">
              <w:rPr>
                <w:lang w:val="en-US"/>
              </w:rPr>
              <w:t>ligjore</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shkeljeve</w:t>
            </w:r>
            <w:proofErr w:type="spellEnd"/>
            <w:r w:rsidRPr="008563D8">
              <w:rPr>
                <w:lang w:val="en-US"/>
              </w:rPr>
              <w:t>.</w:t>
            </w:r>
          </w:p>
          <w:p w14:paraId="3B0D3BAC" w14:textId="77777777" w:rsidR="008563D8" w:rsidRPr="008563D8" w:rsidRDefault="008563D8" w:rsidP="008563D8">
            <w:pPr>
              <w:spacing w:line="276" w:lineRule="auto"/>
              <w:jc w:val="both"/>
              <w:rPr>
                <w:lang w:val="en-US"/>
              </w:rPr>
            </w:pPr>
            <w:proofErr w:type="spellStart"/>
            <w:r w:rsidRPr="008563D8">
              <w:rPr>
                <w:b/>
                <w:bCs/>
                <w:lang w:val="en-US"/>
              </w:rPr>
              <w:t>Për</w:t>
            </w:r>
            <w:proofErr w:type="spellEnd"/>
            <w:r w:rsidRPr="008563D8">
              <w:rPr>
                <w:b/>
                <w:bCs/>
                <w:lang w:val="en-US"/>
              </w:rPr>
              <w:t xml:space="preserve"> </w:t>
            </w:r>
            <w:proofErr w:type="spellStart"/>
            <w:r w:rsidRPr="008563D8">
              <w:rPr>
                <w:b/>
                <w:bCs/>
                <w:lang w:val="en-US"/>
              </w:rPr>
              <w:t>institucionet</w:t>
            </w:r>
            <w:proofErr w:type="spellEnd"/>
            <w:r w:rsidRPr="008563D8">
              <w:rPr>
                <w:b/>
                <w:bCs/>
                <w:lang w:val="en-US"/>
              </w:rPr>
              <w:t xml:space="preserve"> </w:t>
            </w:r>
            <w:proofErr w:type="spellStart"/>
            <w:r w:rsidRPr="008563D8">
              <w:rPr>
                <w:b/>
                <w:bCs/>
                <w:lang w:val="en-US"/>
              </w:rPr>
              <w:t>shtetërore</w:t>
            </w:r>
            <w:proofErr w:type="spellEnd"/>
            <w:r w:rsidRPr="008563D8">
              <w:rPr>
                <w:b/>
                <w:bCs/>
                <w:lang w:val="en-US"/>
              </w:rPr>
              <w:t>:</w:t>
            </w:r>
          </w:p>
          <w:p w14:paraId="05B70716" w14:textId="77777777" w:rsidR="008563D8" w:rsidRPr="008563D8" w:rsidRDefault="008563D8" w:rsidP="008563D8">
            <w:pPr>
              <w:numPr>
                <w:ilvl w:val="0"/>
                <w:numId w:val="69"/>
              </w:numPr>
              <w:spacing w:line="276" w:lineRule="auto"/>
              <w:jc w:val="both"/>
              <w:rPr>
                <w:lang w:val="en-US"/>
              </w:rPr>
            </w:pPr>
            <w:r w:rsidRPr="008563D8">
              <w:rPr>
                <w:lang w:val="en-US"/>
              </w:rPr>
              <w:t xml:space="preserve">QKB do </w:t>
            </w:r>
            <w:proofErr w:type="spellStart"/>
            <w:r w:rsidRPr="008563D8">
              <w:rPr>
                <w:lang w:val="en-US"/>
              </w:rPr>
              <w:t>të</w:t>
            </w:r>
            <w:proofErr w:type="spellEnd"/>
            <w:r w:rsidRPr="008563D8">
              <w:rPr>
                <w:lang w:val="en-US"/>
              </w:rPr>
              <w:t xml:space="preserve"> </w:t>
            </w:r>
            <w:proofErr w:type="spellStart"/>
            <w:r w:rsidRPr="008563D8">
              <w:rPr>
                <w:lang w:val="en-US"/>
              </w:rPr>
              <w:t>ngrejë</w:t>
            </w:r>
            <w:proofErr w:type="spellEnd"/>
            <w:r w:rsidRPr="008563D8">
              <w:rPr>
                <w:lang w:val="en-US"/>
              </w:rPr>
              <w:t xml:space="preserve"> </w:t>
            </w:r>
            <w:proofErr w:type="spellStart"/>
            <w:r w:rsidRPr="008563D8">
              <w:rPr>
                <w:lang w:val="en-US"/>
              </w:rPr>
              <w:t>regjistrin</w:t>
            </w:r>
            <w:proofErr w:type="spellEnd"/>
            <w:r w:rsidRPr="008563D8">
              <w:rPr>
                <w:lang w:val="en-US"/>
              </w:rPr>
              <w:t xml:space="preserve"> e </w:t>
            </w:r>
            <w:proofErr w:type="spellStart"/>
            <w:r w:rsidRPr="008563D8">
              <w:rPr>
                <w:lang w:val="en-US"/>
              </w:rPr>
              <w:t>personave</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ndaluar</w:t>
            </w:r>
            <w:proofErr w:type="spellEnd"/>
            <w:r w:rsidRPr="008563D8">
              <w:rPr>
                <w:lang w:val="en-US"/>
              </w:rPr>
              <w:t xml:space="preserve"> </w:t>
            </w:r>
            <w:proofErr w:type="spellStart"/>
            <w:r w:rsidRPr="008563D8">
              <w:rPr>
                <w:lang w:val="en-US"/>
              </w:rPr>
              <w:t>për</w:t>
            </w:r>
            <w:proofErr w:type="spellEnd"/>
            <w:r w:rsidRPr="008563D8">
              <w:rPr>
                <w:lang w:val="en-US"/>
              </w:rPr>
              <w:t xml:space="preserve"> </w:t>
            </w:r>
            <w:proofErr w:type="spellStart"/>
            <w:r w:rsidRPr="008563D8">
              <w:rPr>
                <w:lang w:val="en-US"/>
              </w:rPr>
              <w:t>funksione</w:t>
            </w:r>
            <w:proofErr w:type="spellEnd"/>
            <w:r w:rsidRPr="008563D8">
              <w:rPr>
                <w:lang w:val="en-US"/>
              </w:rPr>
              <w:t xml:space="preserve"> </w:t>
            </w:r>
            <w:proofErr w:type="spellStart"/>
            <w:r w:rsidRPr="008563D8">
              <w:rPr>
                <w:lang w:val="en-US"/>
              </w:rPr>
              <w:t>drejtuese</w:t>
            </w:r>
            <w:proofErr w:type="spellEnd"/>
            <w:r w:rsidRPr="008563D8">
              <w:rPr>
                <w:lang w:val="en-US"/>
              </w:rPr>
              <w:t xml:space="preserve"> </w:t>
            </w:r>
            <w:proofErr w:type="spellStart"/>
            <w:r w:rsidRPr="008563D8">
              <w:rPr>
                <w:lang w:val="en-US"/>
              </w:rPr>
              <w:t>dhe</w:t>
            </w:r>
            <w:proofErr w:type="spellEnd"/>
            <w:r w:rsidRPr="008563D8">
              <w:rPr>
                <w:lang w:val="en-US"/>
              </w:rPr>
              <w:t xml:space="preserve"> do </w:t>
            </w:r>
            <w:proofErr w:type="spellStart"/>
            <w:r w:rsidRPr="008563D8">
              <w:rPr>
                <w:lang w:val="en-US"/>
              </w:rPr>
              <w:t>përpunojë</w:t>
            </w:r>
            <w:proofErr w:type="spellEnd"/>
            <w:r w:rsidRPr="008563D8">
              <w:rPr>
                <w:lang w:val="en-US"/>
              </w:rPr>
              <w:t xml:space="preserve"> </w:t>
            </w:r>
            <w:proofErr w:type="spellStart"/>
            <w:r w:rsidRPr="008563D8">
              <w:rPr>
                <w:lang w:val="en-US"/>
              </w:rPr>
              <w:t>vetëdeklarimet</w:t>
            </w:r>
            <w:proofErr w:type="spellEnd"/>
            <w:r w:rsidRPr="008563D8">
              <w:rPr>
                <w:lang w:val="en-US"/>
              </w:rPr>
              <w:t>.</w:t>
            </w:r>
          </w:p>
          <w:p w14:paraId="5997830C" w14:textId="77777777" w:rsidR="008563D8" w:rsidRPr="008563D8" w:rsidRDefault="008563D8" w:rsidP="008563D8">
            <w:pPr>
              <w:numPr>
                <w:ilvl w:val="0"/>
                <w:numId w:val="69"/>
              </w:numPr>
              <w:spacing w:line="276" w:lineRule="auto"/>
              <w:jc w:val="both"/>
              <w:rPr>
                <w:lang w:val="en-US"/>
              </w:rPr>
            </w:pPr>
            <w:proofErr w:type="spellStart"/>
            <w:r w:rsidRPr="008563D8">
              <w:rPr>
                <w:lang w:val="en-US"/>
              </w:rPr>
              <w:t>Gjykatat</w:t>
            </w:r>
            <w:proofErr w:type="spellEnd"/>
            <w:r w:rsidRPr="008563D8">
              <w:rPr>
                <w:lang w:val="en-US"/>
              </w:rPr>
              <w:t xml:space="preserve"> do </w:t>
            </w:r>
            <w:proofErr w:type="spellStart"/>
            <w:r w:rsidRPr="008563D8">
              <w:rPr>
                <w:lang w:val="en-US"/>
              </w:rPr>
              <w:t>të</w:t>
            </w:r>
            <w:proofErr w:type="spellEnd"/>
            <w:r w:rsidRPr="008563D8">
              <w:rPr>
                <w:lang w:val="en-US"/>
              </w:rPr>
              <w:t xml:space="preserve"> </w:t>
            </w:r>
            <w:proofErr w:type="spellStart"/>
            <w:r w:rsidRPr="008563D8">
              <w:rPr>
                <w:lang w:val="en-US"/>
              </w:rPr>
              <w:t>trajtojnë</w:t>
            </w:r>
            <w:proofErr w:type="spellEnd"/>
            <w:r w:rsidRPr="008563D8">
              <w:rPr>
                <w:lang w:val="en-US"/>
              </w:rPr>
              <w:t xml:space="preserve"> </w:t>
            </w:r>
            <w:proofErr w:type="spellStart"/>
            <w:r w:rsidRPr="008563D8">
              <w:rPr>
                <w:lang w:val="en-US"/>
              </w:rPr>
              <w:t>kërkesat</w:t>
            </w:r>
            <w:proofErr w:type="spellEnd"/>
            <w:r w:rsidRPr="008563D8">
              <w:rPr>
                <w:lang w:val="en-US"/>
              </w:rPr>
              <w:t xml:space="preserve"> </w:t>
            </w:r>
            <w:proofErr w:type="spellStart"/>
            <w:r w:rsidRPr="008563D8">
              <w:rPr>
                <w:lang w:val="en-US"/>
              </w:rPr>
              <w:t>për</w:t>
            </w:r>
            <w:proofErr w:type="spellEnd"/>
            <w:r w:rsidRPr="008563D8">
              <w:rPr>
                <w:lang w:val="en-US"/>
              </w:rPr>
              <w:t xml:space="preserve"> </w:t>
            </w:r>
            <w:proofErr w:type="spellStart"/>
            <w:r w:rsidRPr="008563D8">
              <w:rPr>
                <w:lang w:val="en-US"/>
              </w:rPr>
              <w:t>pavlefshmërinë</w:t>
            </w:r>
            <w:proofErr w:type="spellEnd"/>
            <w:r w:rsidRPr="008563D8">
              <w:rPr>
                <w:lang w:val="en-US"/>
              </w:rPr>
              <w:t xml:space="preserve"> e </w:t>
            </w:r>
            <w:proofErr w:type="spellStart"/>
            <w:r w:rsidRPr="008563D8">
              <w:rPr>
                <w:lang w:val="en-US"/>
              </w:rPr>
              <w:t>bashkimeve</w:t>
            </w:r>
            <w:proofErr w:type="spellEnd"/>
            <w:r w:rsidRPr="008563D8">
              <w:rPr>
                <w:lang w:val="en-US"/>
              </w:rPr>
              <w:t>.</w:t>
            </w:r>
          </w:p>
          <w:p w14:paraId="248B5C12" w14:textId="77777777" w:rsidR="008563D8" w:rsidRPr="008563D8" w:rsidRDefault="008563D8" w:rsidP="008563D8">
            <w:pPr>
              <w:numPr>
                <w:ilvl w:val="0"/>
                <w:numId w:val="69"/>
              </w:numPr>
              <w:spacing w:line="276" w:lineRule="auto"/>
              <w:jc w:val="both"/>
              <w:rPr>
                <w:lang w:val="en-US"/>
              </w:rPr>
            </w:pPr>
            <w:r w:rsidRPr="008563D8">
              <w:rPr>
                <w:lang w:val="en-US"/>
              </w:rPr>
              <w:t xml:space="preserve">Kosto </w:t>
            </w:r>
            <w:proofErr w:type="spellStart"/>
            <w:r w:rsidRPr="008563D8">
              <w:rPr>
                <w:lang w:val="en-US"/>
              </w:rPr>
              <w:t>për</w:t>
            </w:r>
            <w:proofErr w:type="spellEnd"/>
            <w:r w:rsidRPr="008563D8">
              <w:rPr>
                <w:lang w:val="en-US"/>
              </w:rPr>
              <w:t xml:space="preserve"> </w:t>
            </w:r>
            <w:proofErr w:type="spellStart"/>
            <w:r w:rsidRPr="008563D8">
              <w:rPr>
                <w:lang w:val="en-US"/>
              </w:rPr>
              <w:t>zhvillimin</w:t>
            </w:r>
            <w:proofErr w:type="spellEnd"/>
            <w:r w:rsidRPr="008563D8">
              <w:rPr>
                <w:lang w:val="en-US"/>
              </w:rPr>
              <w:t xml:space="preserve"> e </w:t>
            </w:r>
            <w:proofErr w:type="spellStart"/>
            <w:r w:rsidRPr="008563D8">
              <w:rPr>
                <w:lang w:val="en-US"/>
              </w:rPr>
              <w:t>sistemeve</w:t>
            </w:r>
            <w:proofErr w:type="spellEnd"/>
            <w:r w:rsidRPr="008563D8">
              <w:rPr>
                <w:lang w:val="en-US"/>
              </w:rPr>
              <w:t xml:space="preserve"> IT, </w:t>
            </w:r>
            <w:proofErr w:type="spellStart"/>
            <w:r w:rsidRPr="008563D8">
              <w:rPr>
                <w:lang w:val="en-US"/>
              </w:rPr>
              <w:t>trajnime</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kapacitete</w:t>
            </w:r>
            <w:proofErr w:type="spellEnd"/>
            <w:r w:rsidRPr="008563D8">
              <w:rPr>
                <w:lang w:val="en-US"/>
              </w:rPr>
              <w:t xml:space="preserve"> </w:t>
            </w:r>
            <w:proofErr w:type="spellStart"/>
            <w:r w:rsidRPr="008563D8">
              <w:rPr>
                <w:lang w:val="en-US"/>
              </w:rPr>
              <w:t>shtesë</w:t>
            </w:r>
            <w:proofErr w:type="spellEnd"/>
            <w:r w:rsidRPr="008563D8">
              <w:rPr>
                <w:lang w:val="en-US"/>
              </w:rPr>
              <w:t xml:space="preserve"> administrative.</w:t>
            </w:r>
          </w:p>
          <w:p w14:paraId="1157E9EC" w14:textId="77777777" w:rsidR="008563D8" w:rsidRPr="00D756B5" w:rsidRDefault="008563D8" w:rsidP="008563D8">
            <w:pPr>
              <w:numPr>
                <w:ilvl w:val="0"/>
                <w:numId w:val="69"/>
              </w:numPr>
              <w:spacing w:line="276" w:lineRule="auto"/>
              <w:jc w:val="both"/>
              <w:rPr>
                <w:lang w:val="it-IT"/>
              </w:rPr>
            </w:pPr>
            <w:r w:rsidRPr="00D756B5">
              <w:rPr>
                <w:lang w:val="it-IT"/>
              </w:rPr>
              <w:t xml:space="preserve">Kosto totale e vlerësuar: </w:t>
            </w:r>
            <w:r w:rsidRPr="00D756B5">
              <w:rPr>
                <w:b/>
                <w:bCs/>
                <w:lang w:val="it-IT"/>
              </w:rPr>
              <w:t>rreth 20 milionë lekë për tre vitet e para</w:t>
            </w:r>
            <w:r w:rsidRPr="00D756B5">
              <w:rPr>
                <w:lang w:val="it-IT"/>
              </w:rPr>
              <w:t>.</w:t>
            </w:r>
          </w:p>
          <w:p w14:paraId="74B5ABDE" w14:textId="77777777" w:rsidR="008563D8" w:rsidRPr="008563D8" w:rsidRDefault="008563D8" w:rsidP="008563D8">
            <w:pPr>
              <w:spacing w:line="276" w:lineRule="auto"/>
              <w:jc w:val="both"/>
              <w:rPr>
                <w:b/>
                <w:bCs/>
                <w:lang w:val="en-US"/>
              </w:rPr>
            </w:pPr>
            <w:r w:rsidRPr="008563D8">
              <w:rPr>
                <w:b/>
                <w:bCs/>
                <w:lang w:val="en-US"/>
              </w:rPr>
              <w:t xml:space="preserve">4. </w:t>
            </w:r>
            <w:proofErr w:type="spellStart"/>
            <w:r w:rsidRPr="008563D8">
              <w:rPr>
                <w:b/>
                <w:bCs/>
                <w:lang w:val="en-US"/>
              </w:rPr>
              <w:t>Ndikimi</w:t>
            </w:r>
            <w:proofErr w:type="spellEnd"/>
            <w:r w:rsidRPr="008563D8">
              <w:rPr>
                <w:b/>
                <w:bCs/>
                <w:lang w:val="en-US"/>
              </w:rPr>
              <w:t xml:space="preserve"> </w:t>
            </w:r>
            <w:proofErr w:type="spellStart"/>
            <w:r w:rsidRPr="008563D8">
              <w:rPr>
                <w:b/>
                <w:bCs/>
                <w:lang w:val="en-US"/>
              </w:rPr>
              <w:t>ekonomik</w:t>
            </w:r>
            <w:proofErr w:type="spellEnd"/>
          </w:p>
          <w:p w14:paraId="788F5922" w14:textId="77777777" w:rsidR="008563D8" w:rsidRPr="008563D8" w:rsidRDefault="008563D8" w:rsidP="008563D8">
            <w:pPr>
              <w:numPr>
                <w:ilvl w:val="0"/>
                <w:numId w:val="70"/>
              </w:numPr>
              <w:spacing w:line="276" w:lineRule="auto"/>
              <w:jc w:val="both"/>
              <w:rPr>
                <w:lang w:val="en-US"/>
              </w:rPr>
            </w:pPr>
            <w:proofErr w:type="spellStart"/>
            <w:r w:rsidRPr="008563D8">
              <w:rPr>
                <w:b/>
                <w:bCs/>
                <w:lang w:val="en-US"/>
              </w:rPr>
              <w:t>Pozitiv</w:t>
            </w:r>
            <w:proofErr w:type="spellEnd"/>
            <w:r w:rsidRPr="008563D8">
              <w:rPr>
                <w:b/>
                <w:bCs/>
                <w:lang w:val="en-US"/>
              </w:rPr>
              <w:t xml:space="preserve"> </w:t>
            </w:r>
            <w:proofErr w:type="spellStart"/>
            <w:r w:rsidRPr="008563D8">
              <w:rPr>
                <w:b/>
                <w:bCs/>
                <w:lang w:val="en-US"/>
              </w:rPr>
              <w:t>afatmesëm</w:t>
            </w:r>
            <w:proofErr w:type="spellEnd"/>
            <w:r w:rsidRPr="008563D8">
              <w:rPr>
                <w:b/>
                <w:bCs/>
                <w:lang w:val="en-US"/>
              </w:rPr>
              <w:t xml:space="preserve"> </w:t>
            </w:r>
            <w:proofErr w:type="spellStart"/>
            <w:r w:rsidRPr="008563D8">
              <w:rPr>
                <w:b/>
                <w:bCs/>
                <w:lang w:val="en-US"/>
              </w:rPr>
              <w:t>dhe</w:t>
            </w:r>
            <w:proofErr w:type="spellEnd"/>
            <w:r w:rsidRPr="008563D8">
              <w:rPr>
                <w:b/>
                <w:bCs/>
                <w:lang w:val="en-US"/>
              </w:rPr>
              <w:t xml:space="preserve"> </w:t>
            </w:r>
            <w:proofErr w:type="spellStart"/>
            <w:r w:rsidRPr="008563D8">
              <w:rPr>
                <w:b/>
                <w:bCs/>
                <w:lang w:val="en-US"/>
              </w:rPr>
              <w:t>afatgjatë</w:t>
            </w:r>
            <w:proofErr w:type="spellEnd"/>
            <w:r w:rsidRPr="008563D8">
              <w:rPr>
                <w:b/>
                <w:bCs/>
                <w:lang w:val="en-US"/>
              </w:rPr>
              <w:t>:</w:t>
            </w:r>
            <w:r w:rsidRPr="008563D8">
              <w:rPr>
                <w:lang w:val="en-US"/>
              </w:rPr>
              <w:t xml:space="preserve"> </w:t>
            </w:r>
            <w:proofErr w:type="spellStart"/>
            <w:r w:rsidRPr="008563D8">
              <w:rPr>
                <w:lang w:val="en-US"/>
              </w:rPr>
              <w:t>përmirësim</w:t>
            </w:r>
            <w:proofErr w:type="spellEnd"/>
            <w:r w:rsidRPr="008563D8">
              <w:rPr>
                <w:lang w:val="en-US"/>
              </w:rPr>
              <w:t xml:space="preserve"> </w:t>
            </w:r>
            <w:proofErr w:type="spellStart"/>
            <w:r w:rsidRPr="008563D8">
              <w:rPr>
                <w:lang w:val="en-US"/>
              </w:rPr>
              <w:t>i</w:t>
            </w:r>
            <w:proofErr w:type="spellEnd"/>
            <w:r w:rsidRPr="008563D8">
              <w:rPr>
                <w:lang w:val="en-US"/>
              </w:rPr>
              <w:t xml:space="preserve"> </w:t>
            </w:r>
            <w:proofErr w:type="spellStart"/>
            <w:r w:rsidRPr="008563D8">
              <w:rPr>
                <w:lang w:val="en-US"/>
              </w:rPr>
              <w:t>klimës</w:t>
            </w:r>
            <w:proofErr w:type="spellEnd"/>
            <w:r w:rsidRPr="008563D8">
              <w:rPr>
                <w:lang w:val="en-US"/>
              </w:rPr>
              <w:t xml:space="preserve"> </w:t>
            </w:r>
            <w:proofErr w:type="spellStart"/>
            <w:r w:rsidRPr="008563D8">
              <w:rPr>
                <w:lang w:val="en-US"/>
              </w:rPr>
              <w:t>së</w:t>
            </w:r>
            <w:proofErr w:type="spellEnd"/>
            <w:r w:rsidRPr="008563D8">
              <w:rPr>
                <w:lang w:val="en-US"/>
              </w:rPr>
              <w:t xml:space="preserve"> </w:t>
            </w:r>
            <w:proofErr w:type="spellStart"/>
            <w:r w:rsidRPr="008563D8">
              <w:rPr>
                <w:lang w:val="en-US"/>
              </w:rPr>
              <w:t>investimeve</w:t>
            </w:r>
            <w:proofErr w:type="spellEnd"/>
            <w:r w:rsidRPr="008563D8">
              <w:rPr>
                <w:lang w:val="en-US"/>
              </w:rPr>
              <w:t xml:space="preserve">, </w:t>
            </w:r>
            <w:proofErr w:type="spellStart"/>
            <w:r w:rsidRPr="008563D8">
              <w:rPr>
                <w:lang w:val="en-US"/>
              </w:rPr>
              <w:t>rritje</w:t>
            </w:r>
            <w:proofErr w:type="spellEnd"/>
            <w:r w:rsidRPr="008563D8">
              <w:rPr>
                <w:lang w:val="en-US"/>
              </w:rPr>
              <w:t xml:space="preserve"> e FDI-</w:t>
            </w:r>
            <w:proofErr w:type="spellStart"/>
            <w:r w:rsidRPr="008563D8">
              <w:rPr>
                <w:lang w:val="en-US"/>
              </w:rPr>
              <w:t>ve</w:t>
            </w:r>
            <w:proofErr w:type="spellEnd"/>
            <w:r w:rsidRPr="008563D8">
              <w:rPr>
                <w:lang w:val="en-US"/>
              </w:rPr>
              <w:t xml:space="preserve">, </w:t>
            </w:r>
            <w:proofErr w:type="spellStart"/>
            <w:r w:rsidRPr="008563D8">
              <w:rPr>
                <w:lang w:val="en-US"/>
              </w:rPr>
              <w:t>konkurrueshmëri</w:t>
            </w:r>
            <w:proofErr w:type="spellEnd"/>
            <w:r w:rsidRPr="008563D8">
              <w:rPr>
                <w:lang w:val="en-US"/>
              </w:rPr>
              <w:t xml:space="preserve"> </w:t>
            </w:r>
            <w:proofErr w:type="spellStart"/>
            <w:r w:rsidRPr="008563D8">
              <w:rPr>
                <w:lang w:val="en-US"/>
              </w:rPr>
              <w:t>më</w:t>
            </w:r>
            <w:proofErr w:type="spellEnd"/>
            <w:r w:rsidRPr="008563D8">
              <w:rPr>
                <w:lang w:val="en-US"/>
              </w:rPr>
              <w:t xml:space="preserve"> e </w:t>
            </w:r>
            <w:proofErr w:type="spellStart"/>
            <w:r w:rsidRPr="008563D8">
              <w:rPr>
                <w:lang w:val="en-US"/>
              </w:rPr>
              <w:t>madhe</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lehtësi</w:t>
            </w:r>
            <w:proofErr w:type="spellEnd"/>
            <w:r w:rsidRPr="008563D8">
              <w:rPr>
                <w:lang w:val="en-US"/>
              </w:rPr>
              <w:t xml:space="preserve"> </w:t>
            </w:r>
            <w:proofErr w:type="spellStart"/>
            <w:r w:rsidRPr="008563D8">
              <w:rPr>
                <w:lang w:val="en-US"/>
              </w:rPr>
              <w:t>në</w:t>
            </w:r>
            <w:proofErr w:type="spellEnd"/>
            <w:r w:rsidRPr="008563D8">
              <w:rPr>
                <w:lang w:val="en-US"/>
              </w:rPr>
              <w:t xml:space="preserve"> </w:t>
            </w:r>
            <w:proofErr w:type="spellStart"/>
            <w:r w:rsidRPr="008563D8">
              <w:rPr>
                <w:lang w:val="en-US"/>
              </w:rPr>
              <w:t>tregjet</w:t>
            </w:r>
            <w:proofErr w:type="spellEnd"/>
            <w:r w:rsidRPr="008563D8">
              <w:rPr>
                <w:lang w:val="en-US"/>
              </w:rPr>
              <w:t xml:space="preserve"> e BE-</w:t>
            </w:r>
            <w:proofErr w:type="spellStart"/>
            <w:r w:rsidRPr="008563D8">
              <w:rPr>
                <w:lang w:val="en-US"/>
              </w:rPr>
              <w:t>së</w:t>
            </w:r>
            <w:proofErr w:type="spellEnd"/>
            <w:r w:rsidRPr="008563D8">
              <w:rPr>
                <w:lang w:val="en-US"/>
              </w:rPr>
              <w:t>.</w:t>
            </w:r>
          </w:p>
          <w:p w14:paraId="2E5B665D" w14:textId="77777777" w:rsidR="008563D8" w:rsidRPr="008563D8" w:rsidRDefault="008563D8" w:rsidP="008563D8">
            <w:pPr>
              <w:numPr>
                <w:ilvl w:val="0"/>
                <w:numId w:val="70"/>
              </w:numPr>
              <w:spacing w:line="276" w:lineRule="auto"/>
              <w:jc w:val="both"/>
              <w:rPr>
                <w:lang w:val="en-US"/>
              </w:rPr>
            </w:pPr>
            <w:proofErr w:type="spellStart"/>
            <w:r w:rsidRPr="008563D8">
              <w:rPr>
                <w:b/>
                <w:bCs/>
                <w:lang w:val="en-US"/>
              </w:rPr>
              <w:t>Përfitime</w:t>
            </w:r>
            <w:proofErr w:type="spellEnd"/>
            <w:r w:rsidRPr="008563D8">
              <w:rPr>
                <w:b/>
                <w:bCs/>
                <w:lang w:val="en-US"/>
              </w:rPr>
              <w:t xml:space="preserve"> </w:t>
            </w:r>
            <w:proofErr w:type="spellStart"/>
            <w:r w:rsidRPr="008563D8">
              <w:rPr>
                <w:b/>
                <w:bCs/>
                <w:lang w:val="en-US"/>
              </w:rPr>
              <w:t>monetare</w:t>
            </w:r>
            <w:proofErr w:type="spellEnd"/>
            <w:r w:rsidRPr="008563D8">
              <w:rPr>
                <w:b/>
                <w:bCs/>
                <w:lang w:val="en-US"/>
              </w:rPr>
              <w:t xml:space="preserve"> </w:t>
            </w:r>
            <w:proofErr w:type="spellStart"/>
            <w:r w:rsidRPr="008563D8">
              <w:rPr>
                <w:b/>
                <w:bCs/>
                <w:lang w:val="en-US"/>
              </w:rPr>
              <w:t>të</w:t>
            </w:r>
            <w:proofErr w:type="spellEnd"/>
            <w:r w:rsidRPr="008563D8">
              <w:rPr>
                <w:b/>
                <w:bCs/>
                <w:lang w:val="en-US"/>
              </w:rPr>
              <w:t xml:space="preserve"> </w:t>
            </w:r>
            <w:proofErr w:type="spellStart"/>
            <w:r w:rsidRPr="008563D8">
              <w:rPr>
                <w:b/>
                <w:bCs/>
                <w:lang w:val="en-US"/>
              </w:rPr>
              <w:t>pritshme</w:t>
            </w:r>
            <w:proofErr w:type="spellEnd"/>
            <w:r w:rsidRPr="008563D8">
              <w:rPr>
                <w:b/>
                <w:bCs/>
                <w:lang w:val="en-US"/>
              </w:rPr>
              <w:t>:</w:t>
            </w:r>
          </w:p>
          <w:p w14:paraId="0372BEC1" w14:textId="77777777" w:rsidR="008563D8" w:rsidRPr="00D756B5" w:rsidRDefault="008563D8" w:rsidP="008563D8">
            <w:pPr>
              <w:numPr>
                <w:ilvl w:val="1"/>
                <w:numId w:val="70"/>
              </w:numPr>
              <w:spacing w:line="276" w:lineRule="auto"/>
              <w:jc w:val="both"/>
              <w:rPr>
                <w:lang w:val="it-IT"/>
              </w:rPr>
            </w:pPr>
            <w:r w:rsidRPr="00D756B5">
              <w:rPr>
                <w:lang w:val="it-IT"/>
              </w:rPr>
              <w:t>Rritje e FDI-ve me 2–5% të PBB-së (≈ 47–50 milionë euro).</w:t>
            </w:r>
          </w:p>
          <w:p w14:paraId="640C91BB" w14:textId="77777777" w:rsidR="008563D8" w:rsidRPr="00D756B5" w:rsidRDefault="008563D8" w:rsidP="008563D8">
            <w:pPr>
              <w:numPr>
                <w:ilvl w:val="1"/>
                <w:numId w:val="70"/>
              </w:numPr>
              <w:spacing w:line="276" w:lineRule="auto"/>
              <w:jc w:val="both"/>
              <w:rPr>
                <w:lang w:val="it-IT"/>
              </w:rPr>
            </w:pPr>
            <w:r w:rsidRPr="00D756B5">
              <w:rPr>
                <w:lang w:val="it-IT"/>
              </w:rPr>
              <w:t>Efekte pozitive të përgjithshme ekonomike deri në 108 milionë euro në rast të harmonizimit të plotë me BE-në.</w:t>
            </w:r>
          </w:p>
          <w:p w14:paraId="513FA5CC" w14:textId="77777777" w:rsidR="008563D8" w:rsidRPr="00D756B5" w:rsidRDefault="008563D8" w:rsidP="008563D8">
            <w:pPr>
              <w:numPr>
                <w:ilvl w:val="0"/>
                <w:numId w:val="70"/>
              </w:numPr>
              <w:spacing w:line="276" w:lineRule="auto"/>
              <w:jc w:val="both"/>
              <w:rPr>
                <w:lang w:val="it-IT"/>
              </w:rPr>
            </w:pPr>
            <w:r w:rsidRPr="00D756B5">
              <w:rPr>
                <w:b/>
                <w:bCs/>
                <w:lang w:val="it-IT"/>
              </w:rPr>
              <w:t>Kosto afatshkurtra:</w:t>
            </w:r>
            <w:r w:rsidRPr="00D756B5">
              <w:rPr>
                <w:lang w:val="it-IT"/>
              </w:rPr>
              <w:t xml:space="preserve"> përshtatje e sistemeve ligjore dhe administrative, trajnime, dhe konsulencë për bizneset.</w:t>
            </w:r>
          </w:p>
          <w:p w14:paraId="11C86E69" w14:textId="77777777" w:rsidR="008563D8" w:rsidRPr="008563D8" w:rsidRDefault="008563D8" w:rsidP="008563D8">
            <w:pPr>
              <w:spacing w:line="276" w:lineRule="auto"/>
              <w:jc w:val="both"/>
              <w:rPr>
                <w:b/>
                <w:bCs/>
                <w:lang w:val="en-US"/>
              </w:rPr>
            </w:pPr>
            <w:r w:rsidRPr="008563D8">
              <w:rPr>
                <w:b/>
                <w:bCs/>
                <w:lang w:val="en-US"/>
              </w:rPr>
              <w:t xml:space="preserve">5. </w:t>
            </w:r>
            <w:proofErr w:type="spellStart"/>
            <w:r w:rsidRPr="008563D8">
              <w:rPr>
                <w:b/>
                <w:bCs/>
                <w:lang w:val="en-US"/>
              </w:rPr>
              <w:t>Ndikimi</w:t>
            </w:r>
            <w:proofErr w:type="spellEnd"/>
            <w:r w:rsidRPr="008563D8">
              <w:rPr>
                <w:b/>
                <w:bCs/>
                <w:lang w:val="en-US"/>
              </w:rPr>
              <w:t xml:space="preserve"> social</w:t>
            </w:r>
          </w:p>
          <w:p w14:paraId="514069D1" w14:textId="77777777" w:rsidR="008563D8" w:rsidRPr="00D756B5" w:rsidRDefault="008563D8" w:rsidP="008563D8">
            <w:pPr>
              <w:numPr>
                <w:ilvl w:val="0"/>
                <w:numId w:val="71"/>
              </w:numPr>
              <w:spacing w:line="276" w:lineRule="auto"/>
              <w:jc w:val="both"/>
              <w:rPr>
                <w:lang w:val="it-IT"/>
              </w:rPr>
            </w:pPr>
            <w:r w:rsidRPr="00D756B5">
              <w:rPr>
                <w:lang w:val="it-IT"/>
              </w:rPr>
              <w:lastRenderedPageBreak/>
              <w:t xml:space="preserve">Promovon </w:t>
            </w:r>
            <w:r w:rsidRPr="00D756B5">
              <w:rPr>
                <w:b/>
                <w:bCs/>
                <w:lang w:val="it-IT"/>
              </w:rPr>
              <w:t>barazinë gjinore</w:t>
            </w:r>
            <w:r w:rsidRPr="00D756B5">
              <w:rPr>
                <w:lang w:val="it-IT"/>
              </w:rPr>
              <w:t xml:space="preserve"> (në përputhje me Direktivën 2022/2381) me objektivin e 40% grave në bordet e kompanive të listuara.</w:t>
            </w:r>
          </w:p>
          <w:p w14:paraId="2F284F31" w14:textId="77777777" w:rsidR="008563D8" w:rsidRPr="00D756B5" w:rsidRDefault="008563D8" w:rsidP="008563D8">
            <w:pPr>
              <w:numPr>
                <w:ilvl w:val="0"/>
                <w:numId w:val="71"/>
              </w:numPr>
              <w:spacing w:line="276" w:lineRule="auto"/>
              <w:jc w:val="both"/>
              <w:rPr>
                <w:lang w:val="it-IT"/>
              </w:rPr>
            </w:pPr>
            <w:r w:rsidRPr="00D756B5">
              <w:rPr>
                <w:lang w:val="it-IT"/>
              </w:rPr>
              <w:t xml:space="preserve">Fuqizon </w:t>
            </w:r>
            <w:r w:rsidRPr="00D756B5">
              <w:rPr>
                <w:b/>
                <w:bCs/>
                <w:lang w:val="it-IT"/>
              </w:rPr>
              <w:t>aksionarët e pakicës</w:t>
            </w:r>
            <w:r w:rsidRPr="00D756B5">
              <w:rPr>
                <w:lang w:val="it-IT"/>
              </w:rPr>
              <w:t xml:space="preserve"> dhe rrit </w:t>
            </w:r>
            <w:r w:rsidRPr="00D756B5">
              <w:rPr>
                <w:b/>
                <w:bCs/>
                <w:lang w:val="it-IT"/>
              </w:rPr>
              <w:t>përgjegjshmërinë korporative</w:t>
            </w:r>
            <w:r w:rsidRPr="00D756B5">
              <w:rPr>
                <w:lang w:val="it-IT"/>
              </w:rPr>
              <w:t>.</w:t>
            </w:r>
          </w:p>
          <w:p w14:paraId="3872E397" w14:textId="77777777" w:rsidR="008563D8" w:rsidRPr="00D756B5" w:rsidRDefault="008563D8" w:rsidP="008563D8">
            <w:pPr>
              <w:numPr>
                <w:ilvl w:val="0"/>
                <w:numId w:val="71"/>
              </w:numPr>
              <w:spacing w:line="276" w:lineRule="auto"/>
              <w:jc w:val="both"/>
              <w:rPr>
                <w:lang w:val="it-IT"/>
              </w:rPr>
            </w:pPr>
            <w:r w:rsidRPr="00D756B5">
              <w:rPr>
                <w:lang w:val="it-IT"/>
              </w:rPr>
              <w:t>SME-të përballen me vështirësi fillestare për përputhshmëri, por mund të mbështeten nga programe trajnimi dhe asistencë teknike.</w:t>
            </w:r>
          </w:p>
          <w:p w14:paraId="2A91FB10" w14:textId="77777777" w:rsidR="008563D8" w:rsidRPr="008563D8" w:rsidRDefault="008563D8" w:rsidP="008563D8">
            <w:pPr>
              <w:spacing w:line="276" w:lineRule="auto"/>
              <w:jc w:val="both"/>
              <w:rPr>
                <w:b/>
                <w:bCs/>
                <w:lang w:val="en-US"/>
              </w:rPr>
            </w:pPr>
            <w:r w:rsidRPr="008563D8">
              <w:rPr>
                <w:b/>
                <w:bCs/>
                <w:lang w:val="en-US"/>
              </w:rPr>
              <w:t xml:space="preserve">6. </w:t>
            </w:r>
            <w:proofErr w:type="spellStart"/>
            <w:r w:rsidRPr="008563D8">
              <w:rPr>
                <w:b/>
                <w:bCs/>
                <w:lang w:val="en-US"/>
              </w:rPr>
              <w:t>Ndikimi</w:t>
            </w:r>
            <w:proofErr w:type="spellEnd"/>
            <w:r w:rsidRPr="008563D8">
              <w:rPr>
                <w:b/>
                <w:bCs/>
                <w:lang w:val="en-US"/>
              </w:rPr>
              <w:t xml:space="preserve"> </w:t>
            </w:r>
            <w:proofErr w:type="spellStart"/>
            <w:r w:rsidRPr="008563D8">
              <w:rPr>
                <w:b/>
                <w:bCs/>
                <w:lang w:val="en-US"/>
              </w:rPr>
              <w:t>institucional</w:t>
            </w:r>
            <w:proofErr w:type="spellEnd"/>
          </w:p>
          <w:p w14:paraId="3D595B2C" w14:textId="77777777" w:rsidR="008563D8" w:rsidRPr="00D756B5" w:rsidRDefault="008563D8" w:rsidP="008563D8">
            <w:pPr>
              <w:numPr>
                <w:ilvl w:val="0"/>
                <w:numId w:val="72"/>
              </w:numPr>
              <w:spacing w:line="276" w:lineRule="auto"/>
              <w:jc w:val="both"/>
              <w:rPr>
                <w:lang w:val="it-IT"/>
              </w:rPr>
            </w:pPr>
            <w:r w:rsidRPr="00D756B5">
              <w:rPr>
                <w:lang w:val="it-IT"/>
              </w:rPr>
              <w:t>Forcon kapacitetet e institucioneve si QKB, Ministria e Ekonomisë, AMF dhe Autoriteti i Konkurrencës.</w:t>
            </w:r>
          </w:p>
          <w:p w14:paraId="280B6FF7" w14:textId="77777777" w:rsidR="008563D8" w:rsidRPr="00D756B5" w:rsidRDefault="008563D8" w:rsidP="008563D8">
            <w:pPr>
              <w:numPr>
                <w:ilvl w:val="0"/>
                <w:numId w:val="72"/>
              </w:numPr>
              <w:spacing w:line="276" w:lineRule="auto"/>
              <w:jc w:val="both"/>
              <w:rPr>
                <w:lang w:val="it-IT"/>
              </w:rPr>
            </w:pPr>
            <w:r w:rsidRPr="00D756B5">
              <w:rPr>
                <w:lang w:val="it-IT"/>
              </w:rPr>
              <w:t>Përmirëson koordinimin ndërinstitucional, redukton paqartësitë burokratike dhe rrit sigurinë ligjore për bizneset.</w:t>
            </w:r>
          </w:p>
          <w:p w14:paraId="59D32D6C" w14:textId="77777777" w:rsidR="008563D8" w:rsidRPr="008563D8" w:rsidRDefault="008563D8" w:rsidP="008563D8">
            <w:pPr>
              <w:numPr>
                <w:ilvl w:val="0"/>
                <w:numId w:val="72"/>
              </w:numPr>
              <w:spacing w:line="276" w:lineRule="auto"/>
              <w:jc w:val="both"/>
              <w:rPr>
                <w:lang w:val="en-US"/>
              </w:rPr>
            </w:pPr>
            <w:proofErr w:type="spellStart"/>
            <w:r w:rsidRPr="008563D8">
              <w:rPr>
                <w:lang w:val="en-US"/>
              </w:rPr>
              <w:t>Ndihmon</w:t>
            </w:r>
            <w:proofErr w:type="spellEnd"/>
            <w:r w:rsidRPr="008563D8">
              <w:rPr>
                <w:lang w:val="en-US"/>
              </w:rPr>
              <w:t xml:space="preserve"> </w:t>
            </w:r>
            <w:proofErr w:type="spellStart"/>
            <w:r w:rsidRPr="008563D8">
              <w:rPr>
                <w:lang w:val="en-US"/>
              </w:rPr>
              <w:t>Shqipërinë</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afrohet</w:t>
            </w:r>
            <w:proofErr w:type="spellEnd"/>
            <w:r w:rsidRPr="008563D8">
              <w:rPr>
                <w:lang w:val="en-US"/>
              </w:rPr>
              <w:t xml:space="preserve"> me </w:t>
            </w:r>
            <w:proofErr w:type="spellStart"/>
            <w:r w:rsidRPr="008563D8">
              <w:rPr>
                <w:lang w:val="en-US"/>
              </w:rPr>
              <w:t>standardet</w:t>
            </w:r>
            <w:proofErr w:type="spellEnd"/>
            <w:r w:rsidRPr="008563D8">
              <w:rPr>
                <w:lang w:val="en-US"/>
              </w:rPr>
              <w:t xml:space="preserve"> e BE-</w:t>
            </w:r>
            <w:proofErr w:type="spellStart"/>
            <w:r w:rsidRPr="008563D8">
              <w:rPr>
                <w:lang w:val="en-US"/>
              </w:rPr>
              <w:t>së</w:t>
            </w:r>
            <w:proofErr w:type="spellEnd"/>
            <w:r w:rsidRPr="008563D8">
              <w:rPr>
                <w:lang w:val="en-US"/>
              </w:rPr>
              <w:t xml:space="preserve"> </w:t>
            </w:r>
            <w:proofErr w:type="spellStart"/>
            <w:r w:rsidRPr="008563D8">
              <w:rPr>
                <w:lang w:val="en-US"/>
              </w:rPr>
              <w:t>në</w:t>
            </w:r>
            <w:proofErr w:type="spellEnd"/>
            <w:r w:rsidRPr="008563D8">
              <w:rPr>
                <w:lang w:val="en-US"/>
              </w:rPr>
              <w:t xml:space="preserve"> </w:t>
            </w:r>
            <w:proofErr w:type="spellStart"/>
            <w:r w:rsidRPr="008563D8">
              <w:rPr>
                <w:lang w:val="en-US"/>
              </w:rPr>
              <w:t>drejtim</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qeverisjes</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transparencës</w:t>
            </w:r>
            <w:proofErr w:type="spellEnd"/>
            <w:r w:rsidRPr="008563D8">
              <w:rPr>
                <w:lang w:val="en-US"/>
              </w:rPr>
              <w:t xml:space="preserve"> </w:t>
            </w:r>
            <w:proofErr w:type="spellStart"/>
            <w:r w:rsidRPr="008563D8">
              <w:rPr>
                <w:lang w:val="en-US"/>
              </w:rPr>
              <w:t>korporative</w:t>
            </w:r>
            <w:proofErr w:type="spellEnd"/>
            <w:r w:rsidRPr="008563D8">
              <w:rPr>
                <w:lang w:val="en-US"/>
              </w:rPr>
              <w:t>.</w:t>
            </w:r>
          </w:p>
          <w:p w14:paraId="15826825" w14:textId="77777777" w:rsidR="008563D8" w:rsidRPr="008563D8" w:rsidRDefault="008563D8" w:rsidP="008563D8">
            <w:pPr>
              <w:spacing w:line="276" w:lineRule="auto"/>
              <w:jc w:val="both"/>
              <w:rPr>
                <w:b/>
                <w:bCs/>
                <w:lang w:val="en-US"/>
              </w:rPr>
            </w:pPr>
            <w:r w:rsidRPr="008563D8">
              <w:rPr>
                <w:b/>
                <w:bCs/>
                <w:lang w:val="en-US"/>
              </w:rPr>
              <w:t xml:space="preserve">7. </w:t>
            </w:r>
            <w:proofErr w:type="spellStart"/>
            <w:r w:rsidRPr="008563D8">
              <w:rPr>
                <w:b/>
                <w:bCs/>
                <w:lang w:val="en-US"/>
              </w:rPr>
              <w:t>Ndikimet</w:t>
            </w:r>
            <w:proofErr w:type="spellEnd"/>
            <w:r w:rsidRPr="008563D8">
              <w:rPr>
                <w:b/>
                <w:bCs/>
                <w:lang w:val="en-US"/>
              </w:rPr>
              <w:t xml:space="preserve"> jo </w:t>
            </w:r>
            <w:proofErr w:type="spellStart"/>
            <w:r w:rsidRPr="008563D8">
              <w:rPr>
                <w:b/>
                <w:bCs/>
                <w:lang w:val="en-US"/>
              </w:rPr>
              <w:t>të</w:t>
            </w:r>
            <w:proofErr w:type="spellEnd"/>
            <w:r w:rsidRPr="008563D8">
              <w:rPr>
                <w:b/>
                <w:bCs/>
                <w:lang w:val="en-US"/>
              </w:rPr>
              <w:t xml:space="preserve"> </w:t>
            </w:r>
            <w:proofErr w:type="spellStart"/>
            <w:r w:rsidRPr="008563D8">
              <w:rPr>
                <w:b/>
                <w:bCs/>
                <w:lang w:val="en-US"/>
              </w:rPr>
              <w:t>drejtpërdrejta</w:t>
            </w:r>
            <w:proofErr w:type="spellEnd"/>
          </w:p>
          <w:p w14:paraId="46E21A19" w14:textId="77777777" w:rsidR="008563D8" w:rsidRPr="008563D8" w:rsidRDefault="008563D8" w:rsidP="008563D8">
            <w:pPr>
              <w:numPr>
                <w:ilvl w:val="0"/>
                <w:numId w:val="73"/>
              </w:numPr>
              <w:spacing w:line="276" w:lineRule="auto"/>
              <w:jc w:val="both"/>
              <w:rPr>
                <w:lang w:val="en-US"/>
              </w:rPr>
            </w:pPr>
            <w:proofErr w:type="spellStart"/>
            <w:r w:rsidRPr="008563D8">
              <w:rPr>
                <w:lang w:val="en-US"/>
              </w:rPr>
              <w:t>Rrit</w:t>
            </w:r>
            <w:proofErr w:type="spellEnd"/>
            <w:r w:rsidRPr="008563D8">
              <w:rPr>
                <w:lang w:val="en-US"/>
              </w:rPr>
              <w:t xml:space="preserve"> </w:t>
            </w:r>
            <w:proofErr w:type="spellStart"/>
            <w:r w:rsidRPr="008563D8">
              <w:rPr>
                <w:lang w:val="en-US"/>
              </w:rPr>
              <w:t>besimin</w:t>
            </w:r>
            <w:proofErr w:type="spellEnd"/>
            <w:r w:rsidRPr="008563D8">
              <w:rPr>
                <w:lang w:val="en-US"/>
              </w:rPr>
              <w:t xml:space="preserve"> e </w:t>
            </w:r>
            <w:proofErr w:type="spellStart"/>
            <w:r w:rsidRPr="008563D8">
              <w:rPr>
                <w:lang w:val="en-US"/>
              </w:rPr>
              <w:t>investitorëve</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huaj</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përmirëson</w:t>
            </w:r>
            <w:proofErr w:type="spellEnd"/>
            <w:r w:rsidRPr="008563D8">
              <w:rPr>
                <w:lang w:val="en-US"/>
              </w:rPr>
              <w:t xml:space="preserve"> </w:t>
            </w:r>
            <w:proofErr w:type="spellStart"/>
            <w:r w:rsidRPr="008563D8">
              <w:rPr>
                <w:lang w:val="en-US"/>
              </w:rPr>
              <w:t>imazhin</w:t>
            </w:r>
            <w:proofErr w:type="spellEnd"/>
            <w:r w:rsidRPr="008563D8">
              <w:rPr>
                <w:lang w:val="en-US"/>
              </w:rPr>
              <w:t xml:space="preserve"> e </w:t>
            </w:r>
            <w:proofErr w:type="spellStart"/>
            <w:r w:rsidRPr="008563D8">
              <w:rPr>
                <w:lang w:val="en-US"/>
              </w:rPr>
              <w:t>Shqipërisë</w:t>
            </w:r>
            <w:proofErr w:type="spellEnd"/>
            <w:r w:rsidRPr="008563D8">
              <w:rPr>
                <w:lang w:val="en-US"/>
              </w:rPr>
              <w:t xml:space="preserve"> </w:t>
            </w:r>
            <w:proofErr w:type="spellStart"/>
            <w:r w:rsidRPr="008563D8">
              <w:rPr>
                <w:lang w:val="en-US"/>
              </w:rPr>
              <w:t>si</w:t>
            </w:r>
            <w:proofErr w:type="spellEnd"/>
            <w:r w:rsidRPr="008563D8">
              <w:rPr>
                <w:lang w:val="en-US"/>
              </w:rPr>
              <w:t xml:space="preserve"> vend me </w:t>
            </w:r>
            <w:proofErr w:type="spellStart"/>
            <w:r w:rsidRPr="008563D8">
              <w:rPr>
                <w:lang w:val="en-US"/>
              </w:rPr>
              <w:t>mjedis</w:t>
            </w:r>
            <w:proofErr w:type="spellEnd"/>
            <w:r w:rsidRPr="008563D8">
              <w:rPr>
                <w:lang w:val="en-US"/>
              </w:rPr>
              <w:t xml:space="preserve"> </w:t>
            </w:r>
            <w:proofErr w:type="spellStart"/>
            <w:r w:rsidRPr="008563D8">
              <w:rPr>
                <w:lang w:val="en-US"/>
              </w:rPr>
              <w:t>ligjor</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qëndrueshëm</w:t>
            </w:r>
            <w:proofErr w:type="spellEnd"/>
            <w:r w:rsidRPr="008563D8">
              <w:rPr>
                <w:lang w:val="en-US"/>
              </w:rPr>
              <w:t>.</w:t>
            </w:r>
          </w:p>
          <w:p w14:paraId="6B1015EF" w14:textId="77777777" w:rsidR="008563D8" w:rsidRPr="008563D8" w:rsidRDefault="008563D8" w:rsidP="008563D8">
            <w:pPr>
              <w:numPr>
                <w:ilvl w:val="0"/>
                <w:numId w:val="73"/>
              </w:numPr>
              <w:spacing w:line="276" w:lineRule="auto"/>
              <w:jc w:val="both"/>
              <w:rPr>
                <w:lang w:val="en-US"/>
              </w:rPr>
            </w:pPr>
            <w:proofErr w:type="spellStart"/>
            <w:r w:rsidRPr="008563D8">
              <w:rPr>
                <w:lang w:val="en-US"/>
              </w:rPr>
              <w:t>Nxit</w:t>
            </w:r>
            <w:proofErr w:type="spellEnd"/>
            <w:r w:rsidRPr="008563D8">
              <w:rPr>
                <w:lang w:val="en-US"/>
              </w:rPr>
              <w:t xml:space="preserve"> </w:t>
            </w:r>
            <w:proofErr w:type="spellStart"/>
            <w:r w:rsidRPr="008563D8">
              <w:rPr>
                <w:lang w:val="en-US"/>
              </w:rPr>
              <w:t>zhvillimin</w:t>
            </w:r>
            <w:proofErr w:type="spellEnd"/>
            <w:r w:rsidRPr="008563D8">
              <w:rPr>
                <w:lang w:val="en-US"/>
              </w:rPr>
              <w:t xml:space="preserve"> e </w:t>
            </w:r>
            <w:proofErr w:type="spellStart"/>
            <w:r w:rsidRPr="008563D8">
              <w:rPr>
                <w:lang w:val="en-US"/>
              </w:rPr>
              <w:t>tregut</w:t>
            </w:r>
            <w:proofErr w:type="spellEnd"/>
            <w:r w:rsidRPr="008563D8">
              <w:rPr>
                <w:lang w:val="en-US"/>
              </w:rPr>
              <w:t xml:space="preserve"> </w:t>
            </w:r>
            <w:proofErr w:type="spellStart"/>
            <w:r w:rsidRPr="008563D8">
              <w:rPr>
                <w:lang w:val="en-US"/>
              </w:rPr>
              <w:t>të</w:t>
            </w:r>
            <w:proofErr w:type="spellEnd"/>
            <w:r w:rsidRPr="008563D8">
              <w:rPr>
                <w:lang w:val="en-US"/>
              </w:rPr>
              <w:t xml:space="preserve"> </w:t>
            </w:r>
            <w:proofErr w:type="spellStart"/>
            <w:r w:rsidRPr="008563D8">
              <w:rPr>
                <w:lang w:val="en-US"/>
              </w:rPr>
              <w:t>kapitalit</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aksesin</w:t>
            </w:r>
            <w:proofErr w:type="spellEnd"/>
            <w:r w:rsidRPr="008563D8">
              <w:rPr>
                <w:lang w:val="en-US"/>
              </w:rPr>
              <w:t xml:space="preserve"> </w:t>
            </w:r>
            <w:proofErr w:type="spellStart"/>
            <w:r w:rsidRPr="008563D8">
              <w:rPr>
                <w:lang w:val="en-US"/>
              </w:rPr>
              <w:t>në</w:t>
            </w:r>
            <w:proofErr w:type="spellEnd"/>
            <w:r w:rsidRPr="008563D8">
              <w:rPr>
                <w:lang w:val="en-US"/>
              </w:rPr>
              <w:t xml:space="preserve"> </w:t>
            </w:r>
            <w:proofErr w:type="spellStart"/>
            <w:r w:rsidRPr="008563D8">
              <w:rPr>
                <w:lang w:val="en-US"/>
              </w:rPr>
              <w:t>financim</w:t>
            </w:r>
            <w:proofErr w:type="spellEnd"/>
            <w:r w:rsidRPr="008563D8">
              <w:rPr>
                <w:lang w:val="en-US"/>
              </w:rPr>
              <w:t>.</w:t>
            </w:r>
          </w:p>
          <w:p w14:paraId="63265E65" w14:textId="77777777" w:rsidR="008563D8" w:rsidRPr="008563D8" w:rsidRDefault="008563D8" w:rsidP="008563D8">
            <w:pPr>
              <w:numPr>
                <w:ilvl w:val="0"/>
                <w:numId w:val="73"/>
              </w:numPr>
              <w:spacing w:line="276" w:lineRule="auto"/>
              <w:jc w:val="both"/>
              <w:rPr>
                <w:lang w:val="en-US"/>
              </w:rPr>
            </w:pPr>
            <w:proofErr w:type="spellStart"/>
            <w:r w:rsidRPr="008563D8">
              <w:rPr>
                <w:lang w:val="en-US"/>
              </w:rPr>
              <w:t>Rrit</w:t>
            </w:r>
            <w:proofErr w:type="spellEnd"/>
            <w:r w:rsidRPr="008563D8">
              <w:rPr>
                <w:lang w:val="en-US"/>
              </w:rPr>
              <w:t xml:space="preserve"> </w:t>
            </w:r>
            <w:proofErr w:type="spellStart"/>
            <w:r w:rsidRPr="008563D8">
              <w:rPr>
                <w:lang w:val="en-US"/>
              </w:rPr>
              <w:t>konkurrencën</w:t>
            </w:r>
            <w:proofErr w:type="spellEnd"/>
            <w:r w:rsidRPr="008563D8">
              <w:rPr>
                <w:lang w:val="en-US"/>
              </w:rPr>
              <w:t xml:space="preserve"> e </w:t>
            </w:r>
            <w:proofErr w:type="spellStart"/>
            <w:r w:rsidRPr="008563D8">
              <w:rPr>
                <w:lang w:val="en-US"/>
              </w:rPr>
              <w:t>tregjeve</w:t>
            </w:r>
            <w:proofErr w:type="spellEnd"/>
            <w:r w:rsidRPr="008563D8">
              <w:rPr>
                <w:lang w:val="en-US"/>
              </w:rPr>
              <w:t xml:space="preserve"> </w:t>
            </w:r>
            <w:proofErr w:type="spellStart"/>
            <w:r w:rsidRPr="008563D8">
              <w:rPr>
                <w:lang w:val="en-US"/>
              </w:rPr>
              <w:t>dhe</w:t>
            </w:r>
            <w:proofErr w:type="spellEnd"/>
            <w:r w:rsidRPr="008563D8">
              <w:rPr>
                <w:lang w:val="en-US"/>
              </w:rPr>
              <w:t xml:space="preserve"> </w:t>
            </w:r>
            <w:proofErr w:type="spellStart"/>
            <w:r w:rsidRPr="008563D8">
              <w:rPr>
                <w:lang w:val="en-US"/>
              </w:rPr>
              <w:t>integrimin</w:t>
            </w:r>
            <w:proofErr w:type="spellEnd"/>
            <w:r w:rsidRPr="008563D8">
              <w:rPr>
                <w:lang w:val="en-US"/>
              </w:rPr>
              <w:t xml:space="preserve"> </w:t>
            </w:r>
            <w:proofErr w:type="spellStart"/>
            <w:r w:rsidRPr="008563D8">
              <w:rPr>
                <w:lang w:val="en-US"/>
              </w:rPr>
              <w:t>ekonomik</w:t>
            </w:r>
            <w:proofErr w:type="spellEnd"/>
            <w:r w:rsidRPr="008563D8">
              <w:rPr>
                <w:lang w:val="en-US"/>
              </w:rPr>
              <w:t xml:space="preserve"> me BE-</w:t>
            </w:r>
            <w:proofErr w:type="spellStart"/>
            <w:r w:rsidRPr="008563D8">
              <w:rPr>
                <w:lang w:val="en-US"/>
              </w:rPr>
              <w:t>në</w:t>
            </w:r>
            <w:proofErr w:type="spellEnd"/>
            <w:r w:rsidRPr="008563D8">
              <w:rPr>
                <w:lang w:val="en-US"/>
              </w:rPr>
              <w:t>.</w:t>
            </w:r>
          </w:p>
          <w:p w14:paraId="22DECF02" w14:textId="300001FD" w:rsidR="00B5039C" w:rsidRPr="00C631BF" w:rsidRDefault="005B11C4" w:rsidP="00EC064A">
            <w:pPr>
              <w:spacing w:line="276" w:lineRule="auto"/>
              <w:jc w:val="both"/>
              <w:rPr>
                <w:lang w:val="sq-AL"/>
              </w:rPr>
            </w:pPr>
            <w:r w:rsidRPr="00F4182D">
              <w:rPr>
                <w:lang w:val="sq-AL"/>
              </w:rPr>
              <w:t xml:space="preserve">Nga ana tjetër, lidhur me ndërhyrjet ligjore me qëllim përafrimin </w:t>
            </w:r>
            <w:r w:rsidRPr="00646858">
              <w:rPr>
                <w:szCs w:val="24"/>
                <w:lang w:val="sq-AL"/>
              </w:rPr>
              <w:t xml:space="preserve">Direktivës </w:t>
            </w:r>
            <w:r w:rsidRPr="007B264B">
              <w:rPr>
                <w:b/>
                <w:szCs w:val="24"/>
                <w:lang w:val="sq-AL"/>
              </w:rPr>
              <w:t>2007</w:t>
            </w:r>
            <w:r w:rsidRPr="002C0036">
              <w:rPr>
                <w:b/>
                <w:szCs w:val="24"/>
                <w:lang w:val="sq-AL"/>
              </w:rPr>
              <w:t>/36/KE</w:t>
            </w:r>
            <w:r>
              <w:rPr>
                <w:b/>
                <w:szCs w:val="24"/>
                <w:lang w:val="sq-AL"/>
              </w:rPr>
              <w:t xml:space="preserve"> (e ndryshuar), </w:t>
            </w:r>
            <w:r>
              <w:rPr>
                <w:bCs/>
                <w:szCs w:val="24"/>
                <w:lang w:val="sq-AL"/>
              </w:rPr>
              <w:t xml:space="preserve">nuk priten ndikime të menjëhershme pasi këto ndryshime kryesisht prekin shoqëritë që do të operojnë në tregje të rregulluara/shoqëri të listuara, dhe Shqipëria ende nuk ka të tilla. Në këndvështrim afatgjatë, përmirësimi i kuadrit rregullator me atë të BE, prezumohet që do të inkurarjojë listimin e shoqërive duke forcuar tregjet e rregullara, në përputhje edhe me </w:t>
            </w:r>
            <w:r w:rsidRPr="00646858">
              <w:rPr>
                <w:lang w:val="sq-AL"/>
              </w:rPr>
              <w:t xml:space="preserve"> </w:t>
            </w:r>
            <w:bookmarkStart w:id="5" w:name="_Hlk204591882"/>
            <w:r w:rsidRPr="00646858">
              <w:rPr>
                <w:lang w:val="sq-AL"/>
              </w:rPr>
              <w:t>Dokumentin Politik  “Për Krijimin e një Mjedisi Mundësues për Zhvillimin e Tregjeve të Kapitalit në Shqipëri, 2023–2027”</w:t>
            </w:r>
            <w:r>
              <w:rPr>
                <w:rStyle w:val="FootnoteReference"/>
              </w:rPr>
              <w:footnoteReference w:id="3"/>
            </w:r>
            <w:r w:rsidRPr="00646858">
              <w:rPr>
                <w:lang w:val="sq-AL"/>
              </w:rPr>
              <w:t>.</w:t>
            </w:r>
            <w:bookmarkEnd w:id="5"/>
          </w:p>
        </w:tc>
      </w:tr>
      <w:tr w:rsidR="00B5039C" w:rsidRPr="00325A1F" w14:paraId="7A75FF64" w14:textId="77777777" w:rsidTr="30EE1AA0">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2C436" w14:textId="77777777" w:rsidR="00B5039C" w:rsidRPr="00325A1F" w:rsidRDefault="00B5039C" w:rsidP="00B5039C">
            <w:pPr>
              <w:spacing w:line="276" w:lineRule="auto"/>
              <w:jc w:val="both"/>
              <w:rPr>
                <w:b/>
                <w:szCs w:val="24"/>
                <w:lang w:val="sq-AL"/>
              </w:rPr>
            </w:pPr>
            <w:bookmarkStart w:id="6" w:name="_Hlk185584349"/>
            <w:r w:rsidRPr="00325A1F">
              <w:rPr>
                <w:b/>
                <w:szCs w:val="24"/>
                <w:lang w:val="sq-AL"/>
              </w:rPr>
              <w:lastRenderedPageBreak/>
              <w:t xml:space="preserve">ARSYETIMI I OPSIONIT TË PREFERUAR </w:t>
            </w:r>
          </w:p>
          <w:p w14:paraId="5E513CF7" w14:textId="7990220D" w:rsidR="003B699E" w:rsidRPr="00112C42" w:rsidRDefault="00B5039C" w:rsidP="00B5039C">
            <w:pPr>
              <w:spacing w:line="276" w:lineRule="auto"/>
              <w:jc w:val="both"/>
              <w:rPr>
                <w:i/>
                <w:szCs w:val="24"/>
                <w:lang w:val="sq-AL"/>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DE53BA">
              <w:rPr>
                <w:i/>
                <w:szCs w:val="24"/>
                <w:lang w:val="sq-AL"/>
              </w:rPr>
              <w:instrText xml:space="preserve"> FORMTEXT </w:instrText>
            </w:r>
            <w:r>
              <w:rPr>
                <w:i/>
                <w:szCs w:val="24"/>
              </w:rPr>
            </w:r>
            <w:r>
              <w:rPr>
                <w:i/>
                <w:szCs w:val="24"/>
              </w:rPr>
              <w:fldChar w:fldCharType="separate"/>
            </w:r>
            <w:r w:rsidRPr="00DE53BA">
              <w:rPr>
                <w:i/>
                <w:noProof/>
                <w:szCs w:val="24"/>
                <w:lang w:val="sq-AL"/>
              </w:rPr>
              <w:t xml:space="preserve">Shpjegoni arsyet për zgjedhjen e opsionit të preferuar. Ju lutemi jepni nëse është e mundur koston dhe përfitimin me vlerë të përcaktuar monetare. </w:t>
            </w:r>
            <w:r w:rsidRPr="00112C42">
              <w:rPr>
                <w:i/>
                <w:noProof/>
                <w:szCs w:val="24"/>
                <w:lang w:val="sq-AL"/>
              </w:rPr>
              <w:t>(jo më shumë se 7 rreshta)</w:t>
            </w:r>
            <w:r>
              <w:rPr>
                <w:i/>
                <w:szCs w:val="24"/>
              </w:rPr>
              <w:fldChar w:fldCharType="end"/>
            </w:r>
            <w:r w:rsidR="003B699E" w:rsidRPr="00112C42">
              <w:rPr>
                <w:i/>
                <w:szCs w:val="24"/>
                <w:lang w:val="sq-AL"/>
              </w:rPr>
              <w:t xml:space="preserve">. </w:t>
            </w:r>
          </w:p>
          <w:p w14:paraId="0D254A9B" w14:textId="77777777" w:rsidR="00B5039C" w:rsidRDefault="00B5039C" w:rsidP="00B5039C">
            <w:pPr>
              <w:rPr>
                <w:b/>
                <w:bCs/>
                <w:szCs w:val="24"/>
                <w:lang w:val="sq-AL"/>
              </w:rPr>
            </w:pPr>
          </w:p>
          <w:p w14:paraId="6AABD34E" w14:textId="205F51E1" w:rsidR="00B5039C" w:rsidRDefault="00B5039C" w:rsidP="00ED5603">
            <w:pPr>
              <w:jc w:val="both"/>
              <w:rPr>
                <w:szCs w:val="24"/>
                <w:lang w:val="sq-AL"/>
              </w:rPr>
            </w:pPr>
            <w:bookmarkStart w:id="7" w:name="_Hlk185584202"/>
            <w:r w:rsidRPr="009F434C">
              <w:rPr>
                <w:b/>
                <w:bCs/>
                <w:szCs w:val="24"/>
                <w:lang w:val="sq-AL"/>
              </w:rPr>
              <w:t xml:space="preserve">Opsioni i preferuar është Opsioni </w:t>
            </w:r>
            <w:r w:rsidR="004D4E18">
              <w:rPr>
                <w:b/>
                <w:bCs/>
                <w:szCs w:val="24"/>
                <w:lang w:val="sq-AL"/>
              </w:rPr>
              <w:t>1</w:t>
            </w:r>
            <w:r w:rsidRPr="009F434C">
              <w:rPr>
                <w:b/>
                <w:bCs/>
                <w:szCs w:val="24"/>
                <w:lang w:val="sq-AL"/>
              </w:rPr>
              <w:t xml:space="preserve">- </w:t>
            </w:r>
            <w:r w:rsidR="00A16C06" w:rsidRPr="00623FDD">
              <w:rPr>
                <w:lang w:val="sq-AL"/>
              </w:rPr>
              <w:t xml:space="preserve"> </w:t>
            </w:r>
            <w:r w:rsidR="00A16C06" w:rsidRPr="00A16C06">
              <w:rPr>
                <w:b/>
                <w:bCs/>
                <w:szCs w:val="24"/>
                <w:u w:val="single"/>
                <w:lang w:val="sq-AL"/>
              </w:rPr>
              <w:t xml:space="preserve">Ndryshime në </w:t>
            </w:r>
            <w:r w:rsidR="00E04B60" w:rsidRPr="00A16C06">
              <w:rPr>
                <w:b/>
                <w:bCs/>
                <w:szCs w:val="24"/>
                <w:u w:val="single"/>
                <w:lang w:val="sq-AL"/>
              </w:rPr>
              <w:t>l</w:t>
            </w:r>
            <w:r w:rsidR="00E04B60">
              <w:rPr>
                <w:b/>
                <w:bCs/>
                <w:szCs w:val="24"/>
                <w:u w:val="single"/>
                <w:lang w:val="sq-AL"/>
              </w:rPr>
              <w:t>igji</w:t>
            </w:r>
            <w:r w:rsidR="00E04B60" w:rsidRPr="00A16C06">
              <w:rPr>
                <w:b/>
                <w:bCs/>
                <w:szCs w:val="24"/>
                <w:u w:val="single"/>
                <w:lang w:val="sq-AL"/>
              </w:rPr>
              <w:t xml:space="preserve">n </w:t>
            </w:r>
            <w:r w:rsidR="00A16C06" w:rsidRPr="00A16C06">
              <w:rPr>
                <w:b/>
                <w:bCs/>
                <w:szCs w:val="24"/>
                <w:u w:val="single"/>
                <w:lang w:val="sq-AL"/>
              </w:rPr>
              <w:t xml:space="preserve">ekzistues </w:t>
            </w:r>
            <w:r w:rsidRPr="009F434C">
              <w:rPr>
                <w:szCs w:val="24"/>
                <w:lang w:val="sq-AL"/>
              </w:rPr>
              <w:t xml:space="preserve">. </w:t>
            </w:r>
          </w:p>
          <w:p w14:paraId="5CD63D9D" w14:textId="77777777" w:rsidR="00B5039C" w:rsidRPr="009F434C" w:rsidRDefault="00B5039C" w:rsidP="00ED5603">
            <w:pPr>
              <w:jc w:val="both"/>
              <w:rPr>
                <w:szCs w:val="24"/>
                <w:lang w:val="sq-AL"/>
              </w:rPr>
            </w:pPr>
          </w:p>
          <w:bookmarkEnd w:id="7"/>
          <w:p w14:paraId="289AA4D3" w14:textId="77777777" w:rsidR="00ED5603" w:rsidRPr="00ED5603" w:rsidRDefault="00ED5603" w:rsidP="00ED5603">
            <w:pPr>
              <w:jc w:val="both"/>
              <w:rPr>
                <w:szCs w:val="24"/>
                <w:lang w:val="sq-AL"/>
              </w:rPr>
            </w:pPr>
            <w:r w:rsidRPr="00ED5603">
              <w:rPr>
                <w:szCs w:val="24"/>
                <w:lang w:val="sq-AL"/>
              </w:rPr>
              <w:t xml:space="preserve">Ky opsion është i përshtatshëm për t’u zbatuar për arsye se: </w:t>
            </w:r>
          </w:p>
          <w:p w14:paraId="4FB20B5E" w14:textId="77777777" w:rsidR="00ED5603" w:rsidRPr="00ED5603" w:rsidRDefault="00ED5603" w:rsidP="00ED5603">
            <w:pPr>
              <w:jc w:val="both"/>
              <w:rPr>
                <w:szCs w:val="24"/>
                <w:lang w:val="sq-AL"/>
              </w:rPr>
            </w:pPr>
          </w:p>
          <w:p w14:paraId="1D64A177" w14:textId="77777777" w:rsidR="008563D8" w:rsidRPr="00D756B5" w:rsidRDefault="008563D8" w:rsidP="008563D8">
            <w:pPr>
              <w:jc w:val="both"/>
              <w:rPr>
                <w:szCs w:val="24"/>
                <w:lang w:val="sq-AL"/>
              </w:rPr>
            </w:pPr>
            <w:r w:rsidRPr="00D756B5">
              <w:rPr>
                <w:szCs w:val="24"/>
                <w:lang w:val="sq-AL"/>
              </w:rPr>
              <w:t>Opsioni për ndryshimin e ligjit ekzistues është vlerësuar si më i përshtatshmi për përafrimin e legjislacionit shqiptar me kërkesat e Bashkimit Evropian, në veçanti me Direktivën (BE) 2017/1132 dhe Direktivën (BE) 2019/2121. Ky opsion ofron një qasje graduale, të kontrollueshme dhe të zbatueshme, duke u mbështetur mbi një kuadër ligjor tashmë të konsoliduar dhe të njohur nga institucionet publike, bizneset dhe profesionistët e fushës. Ndërhyrjet e propozuara synojnë adresimin e boshllëqeve specifike të identifikuara në analizën e krahasimit me acquis-in e BE-së, pa ndryshuar strukturën themelore të ligjit aktual.</w:t>
            </w:r>
          </w:p>
          <w:p w14:paraId="14AC0B7F" w14:textId="77777777" w:rsidR="008563D8" w:rsidRPr="00D756B5" w:rsidRDefault="008563D8" w:rsidP="008563D8">
            <w:pPr>
              <w:jc w:val="both"/>
              <w:rPr>
                <w:szCs w:val="24"/>
                <w:lang w:val="sq-AL"/>
              </w:rPr>
            </w:pPr>
          </w:p>
          <w:p w14:paraId="389322EE" w14:textId="2564520A" w:rsidR="008563D8" w:rsidRPr="00D756B5" w:rsidRDefault="008563D8" w:rsidP="008563D8">
            <w:pPr>
              <w:jc w:val="both"/>
              <w:rPr>
                <w:szCs w:val="24"/>
                <w:lang w:val="sq-AL"/>
              </w:rPr>
            </w:pPr>
            <w:r w:rsidRPr="00D756B5">
              <w:rPr>
                <w:szCs w:val="24"/>
                <w:lang w:val="sq-AL"/>
              </w:rPr>
              <w:t>Ndërhyrja rregullatore është e domosdoshme, pasi zgjidhja e problemit kërkon miratimin e ligjeve dhe rregulloreve të reja që sigurojnë harmonizimin e plotë me standardet evropiane, në përputhje me detyrimet që rrjedhin nga neni 70 i Marrëveshjes së Stabilizim-Asociimit. Kjo qasje përfaqëson jo vetëm një detyrim ligjor, por edhe një angazhim politik të Shqipërisë në procesin e negociatave për anëtarësim, duke kontribuar në mbylljen e Kapitullit 6 dhe në avancimin e procesit të integrimit evropian.</w:t>
            </w:r>
          </w:p>
          <w:p w14:paraId="5AD5D8C7" w14:textId="77777777" w:rsidR="008563D8" w:rsidRPr="00D756B5" w:rsidRDefault="008563D8" w:rsidP="008563D8">
            <w:pPr>
              <w:jc w:val="both"/>
              <w:rPr>
                <w:szCs w:val="24"/>
                <w:lang w:val="sq-AL"/>
              </w:rPr>
            </w:pPr>
          </w:p>
          <w:p w14:paraId="7FAFCFFC" w14:textId="7CAB8337" w:rsidR="008563D8" w:rsidRPr="00D756B5" w:rsidRDefault="008563D8" w:rsidP="008563D8">
            <w:pPr>
              <w:jc w:val="both"/>
              <w:rPr>
                <w:szCs w:val="24"/>
                <w:lang w:val="sq-AL"/>
              </w:rPr>
            </w:pPr>
            <w:r w:rsidRPr="00D756B5">
              <w:rPr>
                <w:szCs w:val="24"/>
                <w:lang w:val="sq-AL"/>
              </w:rPr>
              <w:lastRenderedPageBreak/>
              <w:t>Zbatimi i këtij opsioni është më realist dhe institucionalisht më i përballueshëm, pasi mundëson përfshirjen e dispozitave të reja në ligjin ekzistues, si rregullat për vetëdeklarimin e administratorëve, përdorimin e fitimit apo kufizimet mbi aksionet e veta, pa krijuar pasiguri ligjore apo mbingarkesë administrative për subjektet zbatuese. Kjo qasje ruan kohezionin institucional dhe shmang kostot që do të sillte zëvendësimi i një ligji tashmë të konsoliduar me një instrument të ri juridik.</w:t>
            </w:r>
          </w:p>
          <w:p w14:paraId="1A45298F" w14:textId="77777777" w:rsidR="008563D8" w:rsidRPr="00D756B5" w:rsidRDefault="008563D8" w:rsidP="008563D8">
            <w:pPr>
              <w:jc w:val="both"/>
              <w:rPr>
                <w:szCs w:val="24"/>
                <w:lang w:val="sq-AL"/>
              </w:rPr>
            </w:pPr>
          </w:p>
          <w:p w14:paraId="16CAFA59" w14:textId="0F786EF3" w:rsidR="008563D8" w:rsidRPr="00D756B5" w:rsidRDefault="008563D8" w:rsidP="008563D8">
            <w:pPr>
              <w:jc w:val="both"/>
              <w:rPr>
                <w:szCs w:val="24"/>
                <w:lang w:val="sq-AL"/>
              </w:rPr>
            </w:pPr>
            <w:r w:rsidRPr="00D756B5">
              <w:rPr>
                <w:szCs w:val="24"/>
                <w:lang w:val="sq-AL"/>
              </w:rPr>
              <w:t>Nga ana financiare dhe operative, ky opsion është më i përballueshëm për institucionet përgjegjëse si Qendra Kombëtare e Biznesit dhe Ministria e Ekonomisë, pasi zbatimi i dispozitave të reja mund të bëhet duke përdorur infrastrukturën ekzistuese dhe përmes përditësimeve të sistemeve digjitale, pa pasur nevojë për krijimin e strukturave të reja. Kjo qasje, përveç efikasitetit institucional, siguron edhe fleksibilitet për integrimin e mëvonshëm të direktivave të tjera të BE-së që lidhen me qeverisjen e shoqërive, si ato për raportimin e qëndrueshmërisë apo reformat në të drejtën e falimentimit.</w:t>
            </w:r>
          </w:p>
          <w:p w14:paraId="74098086" w14:textId="77777777" w:rsidR="008563D8" w:rsidRPr="00D756B5" w:rsidRDefault="008563D8" w:rsidP="008563D8">
            <w:pPr>
              <w:jc w:val="both"/>
              <w:rPr>
                <w:szCs w:val="24"/>
                <w:lang w:val="sq-AL"/>
              </w:rPr>
            </w:pPr>
          </w:p>
          <w:p w14:paraId="03F2EF4B" w14:textId="4B14B250" w:rsidR="008563D8" w:rsidRPr="00D756B5" w:rsidRDefault="008563D8" w:rsidP="008563D8">
            <w:pPr>
              <w:jc w:val="both"/>
              <w:rPr>
                <w:szCs w:val="24"/>
                <w:lang w:val="sq-AL"/>
              </w:rPr>
            </w:pPr>
            <w:r w:rsidRPr="00D756B5">
              <w:rPr>
                <w:szCs w:val="24"/>
                <w:lang w:val="sq-AL"/>
              </w:rPr>
              <w:t xml:space="preserve">Në aspektin buxhetor, kostot e implementimit të këtij opsioni janë të menaxhueshme dhe lidhen kryesisht me trajnimin e stafit, përmirësimin e infrastrukturës digjitale dhe përshtatjen e dokumentacionit ekzistues. </w:t>
            </w:r>
          </w:p>
          <w:p w14:paraId="72D5FB46" w14:textId="77777777" w:rsidR="008563D8" w:rsidRPr="00D756B5" w:rsidRDefault="008563D8" w:rsidP="008563D8">
            <w:pPr>
              <w:jc w:val="both"/>
              <w:rPr>
                <w:szCs w:val="24"/>
                <w:lang w:val="sq-AL"/>
              </w:rPr>
            </w:pPr>
          </w:p>
          <w:p w14:paraId="19D2C440" w14:textId="02D2FA38" w:rsidR="008563D8" w:rsidRPr="00D756B5" w:rsidRDefault="008563D8" w:rsidP="008563D8">
            <w:pPr>
              <w:jc w:val="both"/>
              <w:rPr>
                <w:szCs w:val="24"/>
                <w:lang w:val="sq-AL"/>
              </w:rPr>
            </w:pPr>
            <w:r w:rsidRPr="00D756B5">
              <w:rPr>
                <w:szCs w:val="24"/>
                <w:lang w:val="sq-AL"/>
              </w:rPr>
              <w:t>Ky opsion shihet si më i përshtatshmi për kushtet aktuale të Shqipërisë, pasi ndërton mbi një kuadër ligjor të qëndrueshëm, garanton përputhshmëri me kërkesat e BE-së, minimizon kostot e adaptimit dhe siguron një proces të qëndrueshëm e të kontrolluar të harmonizimit ligjor.</w:t>
            </w:r>
          </w:p>
          <w:p w14:paraId="5A1ECA1C" w14:textId="6738D567" w:rsidR="00B5039C" w:rsidRPr="00E10F9F" w:rsidRDefault="00B5039C" w:rsidP="00B5039C">
            <w:pPr>
              <w:spacing w:line="276" w:lineRule="auto"/>
              <w:jc w:val="both"/>
              <w:rPr>
                <w:b/>
                <w:bCs/>
                <w:szCs w:val="24"/>
                <w:lang w:val="sq-AL"/>
              </w:rPr>
            </w:pPr>
            <w:r w:rsidRPr="2F6D019E">
              <w:rPr>
                <w:b/>
                <w:bCs/>
                <w:szCs w:val="24"/>
                <w:lang w:val="sq-AL"/>
              </w:rPr>
              <w:t>Nga analiz</w:t>
            </w:r>
            <w:r>
              <w:rPr>
                <w:b/>
                <w:bCs/>
                <w:szCs w:val="24"/>
                <w:lang w:val="sq-AL"/>
              </w:rPr>
              <w:t xml:space="preserve">a </w:t>
            </w:r>
            <w:r w:rsidR="008563D8">
              <w:rPr>
                <w:b/>
                <w:bCs/>
                <w:szCs w:val="24"/>
                <w:lang w:val="sq-AL"/>
              </w:rPr>
              <w:t xml:space="preserve">me shumw kritere </w:t>
            </w:r>
            <w:r>
              <w:rPr>
                <w:b/>
                <w:bCs/>
                <w:szCs w:val="24"/>
                <w:lang w:val="sq-AL"/>
              </w:rPr>
              <w:t xml:space="preserve">e kryer, </w:t>
            </w:r>
            <w:r w:rsidRPr="2F6D019E">
              <w:rPr>
                <w:b/>
                <w:bCs/>
                <w:szCs w:val="24"/>
                <w:lang w:val="sq-AL"/>
              </w:rPr>
              <w:t xml:space="preserve">si dhe duke vlerësuar secilin opsion, rezulton se opsioni </w:t>
            </w:r>
            <w:r w:rsidR="002B56C0">
              <w:rPr>
                <w:b/>
                <w:bCs/>
                <w:szCs w:val="24"/>
                <w:lang w:val="sq-AL"/>
              </w:rPr>
              <w:t>1</w:t>
            </w:r>
            <w:r w:rsidRPr="2F6D019E">
              <w:rPr>
                <w:b/>
                <w:bCs/>
                <w:szCs w:val="24"/>
                <w:lang w:val="sq-AL"/>
              </w:rPr>
              <w:t xml:space="preserve"> ka </w:t>
            </w:r>
            <w:r w:rsidR="002B56C0">
              <w:rPr>
                <w:b/>
                <w:bCs/>
                <w:szCs w:val="24"/>
                <w:lang w:val="sq-AL"/>
              </w:rPr>
              <w:t>prioritet</w:t>
            </w:r>
            <w:r w:rsidRPr="00E10F9F">
              <w:rPr>
                <w:b/>
                <w:bCs/>
                <w:szCs w:val="24"/>
                <w:lang w:val="sq-AL"/>
              </w:rPr>
              <w:t xml:space="preserve"> krahasuar me opsionet e tjera. </w:t>
            </w:r>
          </w:p>
          <w:p w14:paraId="6A3C6744" w14:textId="5C8CA2CA" w:rsidR="00B5039C" w:rsidRDefault="00B5039C" w:rsidP="00B5039C">
            <w:pPr>
              <w:spacing w:line="276" w:lineRule="auto"/>
              <w:jc w:val="both"/>
              <w:rPr>
                <w:b/>
                <w:bCs/>
                <w:szCs w:val="24"/>
                <w:lang w:val="sq-AL"/>
              </w:rPr>
            </w:pPr>
            <w:r w:rsidRPr="00E10F9F">
              <w:rPr>
                <w:b/>
                <w:bCs/>
                <w:szCs w:val="24"/>
                <w:lang w:val="sq-AL"/>
              </w:rPr>
              <w:t>Si rezultat, vlerësojmë se opsioni më i përshtatshëm do të</w:t>
            </w:r>
            <w:r w:rsidRPr="2F6D019E">
              <w:rPr>
                <w:b/>
                <w:bCs/>
                <w:szCs w:val="24"/>
                <w:lang w:val="sq-AL"/>
              </w:rPr>
              <w:t xml:space="preserve"> jetë opsioni </w:t>
            </w:r>
            <w:r w:rsidR="004A0E80">
              <w:rPr>
                <w:b/>
                <w:bCs/>
                <w:szCs w:val="24"/>
                <w:lang w:val="sq-AL"/>
              </w:rPr>
              <w:t>1</w:t>
            </w:r>
            <w:r w:rsidRPr="2F6D019E">
              <w:rPr>
                <w:b/>
                <w:bCs/>
                <w:szCs w:val="24"/>
                <w:lang w:val="sq-AL"/>
              </w:rPr>
              <w:t>, i harti</w:t>
            </w:r>
            <w:r>
              <w:rPr>
                <w:b/>
                <w:bCs/>
                <w:szCs w:val="24"/>
                <w:lang w:val="sq-AL"/>
              </w:rPr>
              <w:t xml:space="preserve">mit të </w:t>
            </w:r>
            <w:r w:rsidR="004A0E80">
              <w:rPr>
                <w:b/>
                <w:bCs/>
                <w:szCs w:val="24"/>
                <w:lang w:val="sq-AL"/>
              </w:rPr>
              <w:t>ndryshimeve dhe/ose përshtatjeve ligjore të ligjeve ekzistuese</w:t>
            </w:r>
            <w:r w:rsidRPr="2F6D019E">
              <w:rPr>
                <w:b/>
                <w:bCs/>
                <w:szCs w:val="24"/>
                <w:lang w:val="sq-AL"/>
              </w:rPr>
              <w:t>.</w:t>
            </w:r>
          </w:p>
          <w:p w14:paraId="3D22D13D" w14:textId="77777777" w:rsidR="00B5039C" w:rsidRPr="00DE53BA" w:rsidRDefault="00B5039C" w:rsidP="00B5039C">
            <w:pPr>
              <w:spacing w:line="276" w:lineRule="auto"/>
              <w:jc w:val="both"/>
              <w:rPr>
                <w:i/>
                <w:szCs w:val="24"/>
                <w:lang w:val="sq-AL"/>
              </w:rPr>
            </w:pPr>
          </w:p>
          <w:p w14:paraId="7BC1F26A" w14:textId="60C8207A" w:rsidR="00B5039C" w:rsidRPr="00325A1F" w:rsidRDefault="00B5039C" w:rsidP="00B5039C">
            <w:pPr>
              <w:spacing w:line="276" w:lineRule="auto"/>
              <w:jc w:val="both"/>
              <w:rPr>
                <w:b/>
                <w:szCs w:val="24"/>
                <w:lang w:val="sq-AL"/>
              </w:rPr>
            </w:pPr>
            <w:r w:rsidRPr="00325A1F">
              <w:rPr>
                <w:b/>
                <w:szCs w:val="24"/>
                <w:lang w:val="sq-AL"/>
              </w:rPr>
              <w:t>Kostoja e përllogaritur në total e opsionit të preferuar mbi buxhetin e shtetit gjatë periudhës 3-vjeçare menjëherë pas miratimit të ligjit (kostoja në total në lek, çmimet aktuale, në terma nominalë)</w:t>
            </w:r>
            <w:r w:rsidR="00F9076B">
              <w:rPr>
                <w:b/>
                <w:szCs w:val="24"/>
                <w:lang w:val="sq-AL"/>
              </w:rPr>
              <w:t xml:space="preserve"> </w:t>
            </w:r>
            <w:r w:rsidR="00F9076B" w:rsidRPr="00F9076B">
              <w:rPr>
                <w:b/>
                <w:szCs w:val="24"/>
                <w:lang w:val="sq-AL"/>
              </w:rPr>
              <w:t xml:space="preserve">është e vështirë të llogaritet me besueshmëri. Do të jetë e nevojshme të ndryshohet </w:t>
            </w:r>
            <w:r w:rsidR="004F6862">
              <w:rPr>
                <w:b/>
                <w:szCs w:val="24"/>
                <w:lang w:val="sq-AL"/>
              </w:rPr>
              <w:t>ligji</w:t>
            </w:r>
            <w:r w:rsidR="004F6862" w:rsidRPr="00F9076B">
              <w:rPr>
                <w:b/>
                <w:szCs w:val="24"/>
                <w:lang w:val="sq-AL"/>
              </w:rPr>
              <w:t xml:space="preserve"> </w:t>
            </w:r>
            <w:r w:rsidR="00F9076B" w:rsidRPr="00F9076B">
              <w:rPr>
                <w:b/>
                <w:szCs w:val="24"/>
                <w:lang w:val="sq-AL"/>
              </w:rPr>
              <w:t>gjë që përkthehet në kosto për ekspertët, kosto për trajnime si dhe kosto për ndërgjegjësimin e grupeve të prekura siç janë bizneset. Në fazën fillestare është e vështirë të maten kostot me besueshmëri por mund të vlerësohet se ato nuk arrijnë më shumë se 20 milionë lekë në tre vitet e para, vlerë që nuk është e rëndësishme krahasimisht me përfitimet e pritshme</w:t>
            </w:r>
            <w:r w:rsidRPr="00325A1F">
              <w:rPr>
                <w:b/>
                <w:szCs w:val="24"/>
                <w:lang w:val="sq-AL"/>
              </w:rPr>
              <w:t>:</w:t>
            </w:r>
          </w:p>
          <w:tbl>
            <w:tblPr>
              <w:tblStyle w:val="TableGrid"/>
              <w:tblW w:w="0" w:type="auto"/>
              <w:tblLayout w:type="fixed"/>
              <w:tblLook w:val="04A0" w:firstRow="1" w:lastRow="0" w:firstColumn="1" w:lastColumn="0" w:noHBand="0" w:noVBand="1"/>
            </w:tblPr>
            <w:tblGrid>
              <w:gridCol w:w="2928"/>
              <w:gridCol w:w="2928"/>
              <w:gridCol w:w="2929"/>
            </w:tblGrid>
            <w:tr w:rsidR="00B5039C" w:rsidRPr="00325A1F" w14:paraId="0DABDD1F" w14:textId="77777777" w:rsidTr="006B4B0D">
              <w:tc>
                <w:tcPr>
                  <w:tcW w:w="2928" w:type="dxa"/>
                  <w:shd w:val="clear" w:color="auto" w:fill="D9D9D9" w:themeFill="background1" w:themeFillShade="D9"/>
                </w:tcPr>
                <w:p w14:paraId="5A7DC3DE" w14:textId="77777777" w:rsidR="00B5039C" w:rsidRPr="00325A1F" w:rsidRDefault="00B5039C" w:rsidP="00331272">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viti1"/>
                        <w:enabled/>
                        <w:calcOnExit w:val="0"/>
                        <w:textInput>
                          <w:type w:val="number"/>
                          <w:default w:val="1"/>
                          <w:maxLength w:val="4"/>
                        </w:textInput>
                      </w:ffData>
                    </w:fldChar>
                  </w:r>
                  <w:bookmarkStart w:id="8" w:name="viti1"/>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1</w:t>
                  </w:r>
                  <w:r w:rsidRPr="00325A1F">
                    <w:rPr>
                      <w:b/>
                      <w:szCs w:val="24"/>
                      <w:u w:val="single"/>
                    </w:rPr>
                    <w:fldChar w:fldCharType="end"/>
                  </w:r>
                  <w:bookmarkEnd w:id="8"/>
                </w:p>
              </w:tc>
              <w:tc>
                <w:tcPr>
                  <w:tcW w:w="2928" w:type="dxa"/>
                  <w:shd w:val="clear" w:color="auto" w:fill="D9D9D9" w:themeFill="background1" w:themeFillShade="D9"/>
                </w:tcPr>
                <w:p w14:paraId="25D00320" w14:textId="77777777" w:rsidR="00B5039C" w:rsidRPr="00325A1F" w:rsidRDefault="00B5039C" w:rsidP="00331272">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
                        <w:enabled/>
                        <w:calcOnExit w:val="0"/>
                        <w:textInput>
                          <w:type w:val="number"/>
                          <w:default w:val="2"/>
                          <w:maxLength w:val="4"/>
                        </w:textInput>
                      </w:ffData>
                    </w:fldChar>
                  </w:r>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2</w:t>
                  </w:r>
                  <w:r w:rsidRPr="00325A1F">
                    <w:rPr>
                      <w:b/>
                      <w:szCs w:val="24"/>
                      <w:u w:val="single"/>
                    </w:rPr>
                    <w:fldChar w:fldCharType="end"/>
                  </w:r>
                </w:p>
              </w:tc>
              <w:tc>
                <w:tcPr>
                  <w:tcW w:w="2929" w:type="dxa"/>
                  <w:shd w:val="clear" w:color="auto" w:fill="D9D9D9" w:themeFill="background1" w:themeFillShade="D9"/>
                </w:tcPr>
                <w:p w14:paraId="3814B68C" w14:textId="77777777" w:rsidR="00B5039C" w:rsidRPr="00325A1F" w:rsidRDefault="00B5039C" w:rsidP="00331272">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
                        <w:enabled/>
                        <w:calcOnExit w:val="0"/>
                        <w:textInput>
                          <w:type w:val="number"/>
                          <w:default w:val="3"/>
                          <w:maxLength w:val="4"/>
                        </w:textInput>
                      </w:ffData>
                    </w:fldChar>
                  </w:r>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3</w:t>
                  </w:r>
                  <w:r w:rsidRPr="00325A1F">
                    <w:rPr>
                      <w:b/>
                      <w:szCs w:val="24"/>
                      <w:u w:val="single"/>
                    </w:rPr>
                    <w:fldChar w:fldCharType="end"/>
                  </w:r>
                </w:p>
              </w:tc>
            </w:tr>
            <w:tr w:rsidR="00B5039C" w:rsidRPr="00325A1F" w14:paraId="7B492D8F" w14:textId="77777777" w:rsidTr="00027038">
              <w:trPr>
                <w:trHeight w:val="350"/>
              </w:trPr>
              <w:tc>
                <w:tcPr>
                  <w:tcW w:w="2928" w:type="dxa"/>
                </w:tcPr>
                <w:p w14:paraId="154EB3F3" w14:textId="2FF406E9" w:rsidR="00B5039C" w:rsidRPr="00325A1F" w:rsidRDefault="00B661CE" w:rsidP="00331272">
                  <w:pPr>
                    <w:framePr w:hSpace="187" w:wrap="around" w:vAnchor="page" w:hAnchor="margin" w:y="1758"/>
                    <w:tabs>
                      <w:tab w:val="center" w:pos="1356"/>
                      <w:tab w:val="right" w:pos="2712"/>
                    </w:tabs>
                    <w:spacing w:line="276" w:lineRule="auto"/>
                    <w:suppressOverlap/>
                    <w:jc w:val="center"/>
                    <w:rPr>
                      <w:b/>
                      <w:szCs w:val="24"/>
                      <w:lang w:val="sq-AL"/>
                    </w:rPr>
                  </w:pPr>
                  <w:r>
                    <w:rPr>
                      <w:color w:val="808080" w:themeColor="background1" w:themeShade="80"/>
                      <w:szCs w:val="24"/>
                    </w:rPr>
                    <w:t>20,000,000</w:t>
                  </w:r>
                </w:p>
              </w:tc>
              <w:tc>
                <w:tcPr>
                  <w:tcW w:w="2928" w:type="dxa"/>
                </w:tcPr>
                <w:p w14:paraId="075A21E9" w14:textId="00D739D4" w:rsidR="00B5039C" w:rsidRPr="00325A1F" w:rsidRDefault="00B661CE" w:rsidP="00331272">
                  <w:pPr>
                    <w:framePr w:hSpace="187" w:wrap="around" w:vAnchor="page" w:hAnchor="margin" w:y="1758"/>
                    <w:tabs>
                      <w:tab w:val="left" w:pos="600"/>
                      <w:tab w:val="right" w:pos="2712"/>
                    </w:tabs>
                    <w:spacing w:line="276" w:lineRule="auto"/>
                    <w:suppressOverlap/>
                    <w:jc w:val="center"/>
                    <w:rPr>
                      <w:b/>
                      <w:szCs w:val="24"/>
                      <w:lang w:val="sq-AL"/>
                    </w:rPr>
                  </w:pPr>
                  <w:r>
                    <w:rPr>
                      <w:color w:val="808080" w:themeColor="background1" w:themeShade="80"/>
                      <w:szCs w:val="24"/>
                    </w:rPr>
                    <w:t>20,000,0000</w:t>
                  </w:r>
                </w:p>
              </w:tc>
              <w:tc>
                <w:tcPr>
                  <w:tcW w:w="2929" w:type="dxa"/>
                </w:tcPr>
                <w:p w14:paraId="27D396B4" w14:textId="11B54939" w:rsidR="00B5039C" w:rsidRPr="00325A1F" w:rsidRDefault="00B5039C" w:rsidP="00331272">
                  <w:pPr>
                    <w:framePr w:hSpace="187" w:wrap="around" w:vAnchor="page" w:hAnchor="margin" w:y="1758"/>
                    <w:tabs>
                      <w:tab w:val="center" w:pos="1356"/>
                      <w:tab w:val="right" w:pos="2713"/>
                    </w:tabs>
                    <w:spacing w:line="276" w:lineRule="auto"/>
                    <w:suppressOverlap/>
                    <w:rPr>
                      <w:b/>
                      <w:szCs w:val="24"/>
                      <w:lang w:val="sq-AL"/>
                    </w:rPr>
                  </w:pPr>
                  <w:r>
                    <w:rPr>
                      <w:szCs w:val="24"/>
                    </w:rPr>
                    <w:tab/>
                  </w:r>
                  <w:r w:rsidR="00B661CE">
                    <w:rPr>
                      <w:color w:val="808080" w:themeColor="background1" w:themeShade="80"/>
                      <w:szCs w:val="24"/>
                    </w:rPr>
                    <w:t>20,000,000</w:t>
                  </w:r>
                  <w:r>
                    <w:rPr>
                      <w:szCs w:val="24"/>
                    </w:rPr>
                    <w:tab/>
                  </w:r>
                </w:p>
              </w:tc>
            </w:tr>
          </w:tbl>
          <w:p w14:paraId="4165D3AA" w14:textId="77777777" w:rsidR="00B5039C" w:rsidRPr="00325A1F" w:rsidRDefault="00B5039C" w:rsidP="00B5039C">
            <w:pPr>
              <w:spacing w:line="276" w:lineRule="auto"/>
              <w:jc w:val="both"/>
              <w:rPr>
                <w:b/>
                <w:szCs w:val="24"/>
                <w:lang w:val="sq-AL"/>
              </w:rPr>
            </w:pPr>
          </w:p>
        </w:tc>
      </w:tr>
      <w:bookmarkEnd w:id="6"/>
      <w:tr w:rsidR="00B5039C" w:rsidRPr="00331272" w14:paraId="0EDC2002" w14:textId="77777777" w:rsidTr="30EE1AA0">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388FB" w14:textId="77777777" w:rsidR="00B5039C" w:rsidRPr="004F22B6" w:rsidRDefault="00B5039C" w:rsidP="00B5039C">
            <w:pPr>
              <w:spacing w:line="276" w:lineRule="auto"/>
              <w:jc w:val="both"/>
              <w:rPr>
                <w:b/>
                <w:szCs w:val="24"/>
                <w:lang w:val="sq-AL"/>
              </w:rPr>
            </w:pPr>
            <w:r w:rsidRPr="004F22B6">
              <w:rPr>
                <w:b/>
                <w:szCs w:val="24"/>
                <w:lang w:val="sq-AL"/>
              </w:rPr>
              <w:lastRenderedPageBreak/>
              <w:t>KONSULTIMI</w:t>
            </w:r>
          </w:p>
          <w:p w14:paraId="60937268" w14:textId="563D60D2" w:rsidR="000C0F74" w:rsidRPr="004F22B6" w:rsidRDefault="000C0F74" w:rsidP="004F22B6">
            <w:pPr>
              <w:spacing w:line="276" w:lineRule="auto"/>
              <w:jc w:val="both"/>
              <w:rPr>
                <w:color w:val="000000" w:themeColor="text1"/>
                <w:szCs w:val="24"/>
                <w:lang w:val="sq-AL"/>
              </w:rPr>
            </w:pPr>
            <w:r w:rsidRPr="004F22B6">
              <w:rPr>
                <w:color w:val="000000" w:themeColor="text1"/>
                <w:szCs w:val="24"/>
                <w:lang w:val="sq-AL"/>
              </w:rPr>
              <w:t>Projektligji është i përgatitur nga Ministria e Ekonomisë, dhe Inovacionit në kuadër të përafrimit me Kapitullin 6 të Legjislacionit për Shoqëritë Tregtare. Ai synon të rregullojë funksionimin e grupimeve ekonomike me interes evropian dhe të sigurojë përputhshmërinë me standardet ligjore dhe ekonomike të Bashkimit Evropian.</w:t>
            </w:r>
          </w:p>
          <w:p w14:paraId="1398F26D" w14:textId="77777777" w:rsidR="000C0F74" w:rsidRPr="004F22B6" w:rsidRDefault="000C0F74" w:rsidP="004F22B6">
            <w:pPr>
              <w:spacing w:line="276" w:lineRule="auto"/>
              <w:jc w:val="both"/>
              <w:rPr>
                <w:color w:val="000000" w:themeColor="text1"/>
                <w:szCs w:val="24"/>
                <w:lang w:val="sq-AL"/>
              </w:rPr>
            </w:pPr>
            <w:r w:rsidRPr="004F22B6">
              <w:rPr>
                <w:color w:val="000000" w:themeColor="text1"/>
                <w:szCs w:val="24"/>
                <w:lang w:val="sq-AL"/>
              </w:rPr>
              <w:t>Konsultimi Institucional:</w:t>
            </w:r>
          </w:p>
          <w:p w14:paraId="6D98EFA0" w14:textId="77777777" w:rsidR="000C0F74" w:rsidRPr="004F22B6" w:rsidRDefault="000C0F74" w:rsidP="004F22B6">
            <w:pPr>
              <w:spacing w:line="276" w:lineRule="auto"/>
              <w:jc w:val="both"/>
              <w:rPr>
                <w:color w:val="000000" w:themeColor="text1"/>
                <w:szCs w:val="24"/>
                <w:lang w:val="sq-AL"/>
              </w:rPr>
            </w:pPr>
            <w:r w:rsidRPr="004F22B6">
              <w:rPr>
                <w:color w:val="000000" w:themeColor="text1"/>
                <w:szCs w:val="24"/>
                <w:lang w:val="sq-AL"/>
              </w:rPr>
              <w:t xml:space="preserve">Më datë 05.08.2025, projektligji u dërgua për vlerësim dhe mendim në institucionet dhe organet kompetente shtetërore, duke përfshirë: Ministrinë e Drejtësisë, Ministrinë e Financave, Ministrinë e Turizmit dhe Mjedisit, Ministrinë e Bujqësisë dhe Zhvillimit Rural, Ministrinë për Europën dhe Punët e Jashtme, Ministrinë e Infrastrukturës dhe Energjisë, Ministrinë e Brendshme, Ministrinë e Mbrojtjes, Ministrinë e Shëndetësisë dhe Mbrojtjes Sociale, Ministrinë e Arsimit dhe Sportit, Ministrin e Shtetit dhe Kryenegociatorin, Ministrin e Shtetit për Marrëdhëniet me Parlamentin, Ministrin e Shtetit për Pushtetin Vendor, Agjencinë Kombëtare të Shoqërisë së Informacionit, </w:t>
            </w:r>
            <w:r w:rsidRPr="004F22B6">
              <w:rPr>
                <w:color w:val="000000" w:themeColor="text1"/>
                <w:szCs w:val="24"/>
                <w:lang w:val="sq-AL"/>
              </w:rPr>
              <w:lastRenderedPageBreak/>
              <w:t>Autoritetin e Mbikëqyrjes Financiare, Qendrën Kombëtare të Biznesit dhe Bashkimin e Dhomave të Tregtisë dhe Industrisë. Dokumenti u shoqërua me relacion, tabela përputhshmërie dhe analizë të ndikimit (RIA).</w:t>
            </w:r>
          </w:p>
          <w:p w14:paraId="1F2DB787" w14:textId="77777777" w:rsidR="000C0F74" w:rsidRPr="004F22B6" w:rsidRDefault="000C0F74" w:rsidP="004F22B6">
            <w:pPr>
              <w:spacing w:line="276" w:lineRule="auto"/>
              <w:jc w:val="both"/>
              <w:rPr>
                <w:color w:val="000000" w:themeColor="text1"/>
                <w:szCs w:val="24"/>
                <w:lang w:val="sq-AL"/>
              </w:rPr>
            </w:pPr>
            <w:r w:rsidRPr="004F22B6">
              <w:rPr>
                <w:color w:val="000000" w:themeColor="text1"/>
                <w:szCs w:val="24"/>
                <w:lang w:val="sq-AL"/>
              </w:rPr>
              <w:t>Konsultimi Publik:</w:t>
            </w:r>
          </w:p>
          <w:p w14:paraId="37E666D2" w14:textId="41E90362" w:rsidR="000C0F74" w:rsidRPr="004F22B6" w:rsidRDefault="000C0F74" w:rsidP="004F22B6">
            <w:pPr>
              <w:spacing w:line="276" w:lineRule="auto"/>
              <w:jc w:val="both"/>
              <w:rPr>
                <w:color w:val="000000" w:themeColor="text1"/>
                <w:szCs w:val="24"/>
                <w:lang w:val="sq-AL"/>
              </w:rPr>
            </w:pPr>
            <w:r w:rsidRPr="004F22B6">
              <w:rPr>
                <w:color w:val="000000" w:themeColor="text1"/>
                <w:szCs w:val="24"/>
                <w:lang w:val="sq-AL"/>
              </w:rPr>
              <w:t>Më date 11.08.2025, projektligji u publikua për konsultim publik në regjistrin përkatës për një periudhë 30-ditore. Gjatë kësaj periudhe, janë paraqitur</w:t>
            </w:r>
            <w:r w:rsidR="000E0733" w:rsidRPr="004F22B6">
              <w:rPr>
                <w:color w:val="000000" w:themeColor="text1"/>
                <w:szCs w:val="24"/>
                <w:lang w:val="sq-AL"/>
              </w:rPr>
              <w:t xml:space="preserve"> disa komente si posht</w:t>
            </w:r>
            <w:r w:rsidR="004F22B6">
              <w:rPr>
                <w:color w:val="000000" w:themeColor="text1"/>
                <w:szCs w:val="24"/>
                <w:lang w:val="sq-AL"/>
              </w:rPr>
              <w:t>ë</w:t>
            </w:r>
            <w:r w:rsidR="000E0733" w:rsidRPr="004F22B6">
              <w:rPr>
                <w:color w:val="000000" w:themeColor="text1"/>
                <w:szCs w:val="24"/>
                <w:lang w:val="sq-AL"/>
              </w:rPr>
              <w:t xml:space="preserve"> vijon: </w:t>
            </w:r>
          </w:p>
          <w:p w14:paraId="3C3E1812" w14:textId="77777777" w:rsidR="000E0733" w:rsidRPr="004F22B6" w:rsidRDefault="000E0733" w:rsidP="004F22B6">
            <w:pPr>
              <w:spacing w:line="276" w:lineRule="auto"/>
              <w:jc w:val="both"/>
              <w:rPr>
                <w:color w:val="000000" w:themeColor="text1"/>
                <w:szCs w:val="24"/>
                <w:lang w:val="sq-AL"/>
              </w:rPr>
            </w:pPr>
          </w:p>
          <w:p w14:paraId="3580D420" w14:textId="352E4487" w:rsidR="000E0733" w:rsidRPr="004F22B6" w:rsidRDefault="000E0733" w:rsidP="004F22B6">
            <w:pPr>
              <w:pStyle w:val="ListParagraph"/>
              <w:numPr>
                <w:ilvl w:val="0"/>
                <w:numId w:val="81"/>
              </w:numPr>
              <w:spacing w:line="276" w:lineRule="auto"/>
              <w:jc w:val="both"/>
              <w:rPr>
                <w:rFonts w:ascii="Times New Roman" w:hAnsi="Times New Roman"/>
                <w:color w:val="000000" w:themeColor="text1"/>
                <w:sz w:val="24"/>
                <w:szCs w:val="24"/>
                <w:lang w:val="pt-BR"/>
              </w:rPr>
            </w:pPr>
            <w:r w:rsidRPr="004F22B6">
              <w:rPr>
                <w:rFonts w:ascii="Times New Roman" w:hAnsi="Times New Roman"/>
                <w:b/>
                <w:bCs/>
                <w:color w:val="000000" w:themeColor="text1"/>
                <w:sz w:val="24"/>
                <w:szCs w:val="24"/>
                <w:lang w:val="pt-BR"/>
              </w:rPr>
              <w:t xml:space="preserve">Neni 2 i ligjit ekzistues </w:t>
            </w:r>
            <w:r w:rsidRPr="004F22B6">
              <w:rPr>
                <w:rFonts w:ascii="Times New Roman" w:hAnsi="Times New Roman"/>
                <w:color w:val="000000" w:themeColor="text1"/>
                <w:sz w:val="24"/>
                <w:szCs w:val="24"/>
                <w:lang w:val="pt-BR"/>
              </w:rPr>
              <w:t xml:space="preserve"> duhet te qartesohet qe te gjithe personat fizik tregtar dhe individet e lidhur me ta nuk kane personalitet te ndare. Individet pergjigjen personalisht per detyrimet e personit fizik tregtar. Kjo vlen per te gjithe PF tregtare, dhe jo vetem per nje grup te caktuar veprimtarie.</w:t>
            </w:r>
          </w:p>
          <w:p w14:paraId="4B07CEA7" w14:textId="4D10E00F" w:rsidR="000E0733" w:rsidRPr="004F22B6" w:rsidRDefault="000E0733" w:rsidP="004F22B6">
            <w:pPr>
              <w:spacing w:line="276" w:lineRule="auto"/>
              <w:jc w:val="both"/>
              <w:rPr>
                <w:color w:val="000000" w:themeColor="text1"/>
                <w:szCs w:val="24"/>
                <w:lang w:val="pt-BR"/>
              </w:rPr>
            </w:pPr>
            <w:r w:rsidRPr="004F22B6">
              <w:rPr>
                <w:color w:val="000000" w:themeColor="text1"/>
                <w:szCs w:val="24"/>
                <w:lang w:val="pt-BR"/>
              </w:rPr>
              <w:t xml:space="preserve"> </w:t>
            </w:r>
            <w:r w:rsidRPr="004F22B6">
              <w:rPr>
                <w:b/>
                <w:color w:val="000000" w:themeColor="text1"/>
                <w:szCs w:val="24"/>
                <w:lang w:val="pt-BR"/>
              </w:rPr>
              <w:t>Koment:</w:t>
            </w:r>
            <w:r w:rsidRPr="004F22B6">
              <w:rPr>
                <w:color w:val="000000" w:themeColor="text1"/>
                <w:szCs w:val="24"/>
                <w:lang w:val="pt-BR"/>
              </w:rPr>
              <w:t xml:space="preserve"> Nuk eshte pjese e procesit te perafrimit keshtu qe nuk kemi mandat per ta adresuar</w:t>
            </w:r>
          </w:p>
          <w:p w14:paraId="18F3980C" w14:textId="77777777" w:rsidR="000E0733" w:rsidRPr="004F22B6" w:rsidRDefault="000E0733" w:rsidP="004F22B6">
            <w:pPr>
              <w:spacing w:line="276" w:lineRule="auto"/>
              <w:jc w:val="both"/>
              <w:rPr>
                <w:color w:val="000000" w:themeColor="text1"/>
                <w:szCs w:val="24"/>
                <w:lang w:val="pt-BR"/>
              </w:rPr>
            </w:pPr>
            <w:r w:rsidRPr="004F22B6">
              <w:rPr>
                <w:b/>
                <w:bCs/>
                <w:color w:val="000000" w:themeColor="text1"/>
                <w:szCs w:val="24"/>
                <w:lang w:val="pt-BR"/>
              </w:rPr>
              <w:t xml:space="preserve">Neni 5/1 </w:t>
            </w:r>
            <w:r w:rsidRPr="004F22B6">
              <w:rPr>
                <w:color w:val="000000" w:themeColor="text1"/>
                <w:szCs w:val="24"/>
                <w:lang w:val="pt-BR"/>
              </w:rPr>
              <w:t xml:space="preserve"> Regjistrimi ne distance do te mundesohet dhe per llojet e tjera te subjekteve tregtare. </w:t>
            </w:r>
          </w:p>
          <w:p w14:paraId="541CC1BA" w14:textId="77777777" w:rsidR="000E0733" w:rsidRPr="004F22B6" w:rsidRDefault="000E0733" w:rsidP="004F22B6">
            <w:pPr>
              <w:spacing w:line="276" w:lineRule="auto"/>
              <w:jc w:val="both"/>
              <w:rPr>
                <w:color w:val="000000" w:themeColor="text1"/>
                <w:szCs w:val="24"/>
                <w:lang w:val="pt-BR"/>
              </w:rPr>
            </w:pPr>
          </w:p>
          <w:p w14:paraId="6E40CD57" w14:textId="77777777" w:rsidR="000E0733" w:rsidRPr="004F22B6" w:rsidRDefault="000E0733" w:rsidP="004F22B6">
            <w:pPr>
              <w:pStyle w:val="ListParagraph"/>
              <w:numPr>
                <w:ilvl w:val="0"/>
                <w:numId w:val="81"/>
              </w:numPr>
              <w:spacing w:line="276" w:lineRule="auto"/>
              <w:jc w:val="both"/>
              <w:rPr>
                <w:rFonts w:ascii="Times New Roman" w:hAnsi="Times New Roman"/>
                <w:b/>
                <w:bCs/>
                <w:i/>
                <w:iCs/>
                <w:color w:val="000000" w:themeColor="text1"/>
                <w:sz w:val="24"/>
                <w:szCs w:val="24"/>
                <w:lang w:val="pt-BR"/>
              </w:rPr>
            </w:pPr>
            <w:r w:rsidRPr="004F22B6">
              <w:rPr>
                <w:rFonts w:ascii="Times New Roman" w:hAnsi="Times New Roman"/>
                <w:color w:val="000000" w:themeColor="text1"/>
                <w:sz w:val="24"/>
                <w:szCs w:val="24"/>
                <w:lang w:val="pt-BR"/>
              </w:rPr>
              <w:t xml:space="preserve">Per te mos pasur perseritje te percaktimeve te ketij ligji me ligje te tjera (psh me ligin per regjistrimin e biznesit), mendojme qe vetem te behet </w:t>
            </w:r>
            <w:r w:rsidRPr="004F22B6">
              <w:rPr>
                <w:rFonts w:ascii="Times New Roman" w:hAnsi="Times New Roman"/>
                <w:b/>
                <w:bCs/>
                <w:i/>
                <w:iCs/>
                <w:color w:val="000000" w:themeColor="text1"/>
                <w:sz w:val="24"/>
                <w:szCs w:val="24"/>
                <w:lang w:val="pt-BR"/>
              </w:rPr>
              <w:t xml:space="preserve">riformulim i pikes 5 si me poshte: </w:t>
            </w:r>
          </w:p>
          <w:p w14:paraId="47127B77" w14:textId="1E58D883" w:rsidR="000E0733" w:rsidRPr="004F22B6" w:rsidRDefault="000E0733" w:rsidP="004F22B6">
            <w:pPr>
              <w:spacing w:line="276" w:lineRule="auto"/>
              <w:ind w:left="600"/>
              <w:jc w:val="both"/>
              <w:rPr>
                <w:i/>
                <w:iCs/>
                <w:color w:val="000000" w:themeColor="text1"/>
                <w:szCs w:val="24"/>
                <w:lang w:val="pt-BR"/>
              </w:rPr>
            </w:pPr>
            <w:r w:rsidRPr="004F22B6">
              <w:rPr>
                <w:i/>
                <w:iCs/>
                <w:color w:val="000000" w:themeColor="text1"/>
                <w:szCs w:val="24"/>
                <w:lang w:val="pt-BR"/>
              </w:rPr>
              <w:t>5. Degët dhe zyrat e përfaqësimit të shoqërive të huaja regjistrohen sipas kërkesave të                   legjislacionit të zbatueshëm për regjistrimin e biznesit</w:t>
            </w:r>
          </w:p>
          <w:p w14:paraId="5176DFA6" w14:textId="6AF40DED" w:rsidR="000E0733" w:rsidRPr="004F22B6" w:rsidRDefault="000E0733" w:rsidP="004F22B6">
            <w:pPr>
              <w:spacing w:line="276" w:lineRule="auto"/>
              <w:ind w:left="600"/>
              <w:jc w:val="both"/>
              <w:rPr>
                <w:color w:val="000000" w:themeColor="text1"/>
                <w:szCs w:val="24"/>
                <w:lang w:val="pt-BR"/>
              </w:rPr>
            </w:pPr>
            <w:r w:rsidRPr="004F22B6">
              <w:rPr>
                <w:color w:val="000000" w:themeColor="text1"/>
                <w:szCs w:val="24"/>
                <w:lang w:val="pt-BR"/>
              </w:rPr>
              <w:t>Koment:</w:t>
            </w:r>
            <w:r w:rsidRPr="004F22B6">
              <w:rPr>
                <w:rFonts w:eastAsiaTheme="minorHAnsi"/>
                <w:szCs w:val="24"/>
                <w:lang w:val="pt-BR" w:eastAsia="en-US"/>
              </w:rPr>
              <w:t xml:space="preserve"> </w:t>
            </w:r>
            <w:r w:rsidRPr="004F22B6">
              <w:rPr>
                <w:color w:val="000000" w:themeColor="text1"/>
                <w:szCs w:val="24"/>
                <w:lang w:val="pt-BR"/>
              </w:rPr>
              <w:t>Eshte ndjekur gjuha e direktives</w:t>
            </w:r>
          </w:p>
          <w:p w14:paraId="43445211" w14:textId="77777777" w:rsidR="000E0733" w:rsidRPr="004F22B6" w:rsidRDefault="000E0733" w:rsidP="004F22B6">
            <w:pPr>
              <w:pStyle w:val="ListParagraph"/>
              <w:numPr>
                <w:ilvl w:val="0"/>
                <w:numId w:val="81"/>
              </w:numPr>
              <w:spacing w:line="276" w:lineRule="auto"/>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Neni 3 pika 1/1 (i) ...jane denuar</w:t>
            </w:r>
          </w:p>
          <w:p w14:paraId="602ECFED" w14:textId="77777777" w:rsidR="000E0733" w:rsidRPr="004F22B6" w:rsidRDefault="000E0733" w:rsidP="004F22B6">
            <w:pPr>
              <w:pStyle w:val="ListParagraph"/>
              <w:spacing w:line="276" w:lineRule="auto"/>
              <w:ind w:left="720" w:firstLine="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Sugjerojme qe te sqarohet se behet fjale per personat qe janë dënuar me vendim te formes se prere Rrjedhimisht edhe pika ½ duhet te modifikohet per te dale e qarte qe behet fjale per vendime penale te formes se prere.</w:t>
            </w:r>
          </w:p>
          <w:p w14:paraId="68B70DE9" w14:textId="77777777" w:rsidR="000E0733" w:rsidRPr="004F22B6" w:rsidRDefault="000E0733" w:rsidP="004F22B6">
            <w:pPr>
              <w:pStyle w:val="ListParagraph"/>
              <w:spacing w:line="276" w:lineRule="auto"/>
              <w:ind w:left="720" w:firstLine="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 xml:space="preserve">(b)...pa vonese </w:t>
            </w:r>
          </w:p>
          <w:p w14:paraId="547D512B" w14:textId="77777777" w:rsidR="000E0733" w:rsidRPr="004F22B6" w:rsidRDefault="000E0733" w:rsidP="004F22B6">
            <w:pPr>
              <w:pStyle w:val="ListParagraph"/>
              <w:spacing w:line="276" w:lineRule="auto"/>
              <w:ind w:left="720" w:firstLine="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Mund te caktohet nje afat ne dite, muaj,etj dhe te mos lihet percaktim I pergjithshem.</w:t>
            </w:r>
          </w:p>
          <w:p w14:paraId="09842E8F" w14:textId="121C4D19" w:rsidR="000E0733" w:rsidRPr="004F22B6" w:rsidRDefault="000E0733" w:rsidP="004F22B6">
            <w:pPr>
              <w:pStyle w:val="ListParagraph"/>
              <w:spacing w:line="276" w:lineRule="auto"/>
              <w:ind w:left="720" w:firstLine="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(c) Duhet te perfshihet dhe pika 1 e ketij neni, e cila trajton rastet e denimit brenda vendit.</w:t>
            </w:r>
          </w:p>
          <w:p w14:paraId="1FCB20FA" w14:textId="77777777" w:rsidR="000E0733" w:rsidRPr="004F22B6" w:rsidRDefault="000E0733" w:rsidP="004F22B6">
            <w:pPr>
              <w:spacing w:line="276" w:lineRule="auto"/>
              <w:jc w:val="both"/>
              <w:rPr>
                <w:b/>
                <w:color w:val="000000" w:themeColor="text1"/>
                <w:szCs w:val="24"/>
                <w:lang w:val="pt-BR"/>
              </w:rPr>
            </w:pPr>
            <w:r w:rsidRPr="004F22B6">
              <w:rPr>
                <w:b/>
                <w:color w:val="000000" w:themeColor="text1"/>
                <w:szCs w:val="24"/>
                <w:lang w:val="pt-BR"/>
              </w:rPr>
              <w:t>Koment:</w:t>
            </w:r>
          </w:p>
          <w:p w14:paraId="5BB4A64C" w14:textId="5DD06BF9" w:rsidR="000E0733" w:rsidRPr="004F22B6" w:rsidRDefault="000E0733" w:rsidP="004F22B6">
            <w:pPr>
              <w:spacing w:line="276" w:lineRule="auto"/>
              <w:jc w:val="both"/>
              <w:rPr>
                <w:color w:val="000000" w:themeColor="text1"/>
                <w:szCs w:val="24"/>
                <w:lang w:val="pt-BR"/>
              </w:rPr>
            </w:pPr>
            <w:r w:rsidRPr="004F22B6">
              <w:rPr>
                <w:color w:val="000000" w:themeColor="text1"/>
                <w:szCs w:val="24"/>
                <w:lang w:val="pt-BR"/>
              </w:rPr>
              <w:t>a)</w:t>
            </w:r>
            <w:r w:rsidRPr="004F22B6">
              <w:rPr>
                <w:color w:val="000000" w:themeColor="text1"/>
                <w:szCs w:val="24"/>
                <w:lang w:val="pt-BR"/>
              </w:rPr>
              <w:tab/>
              <w:t>Neni 13/3 ka pikerisht kete togfjalesh:  Neni 13/3</w:t>
            </w:r>
          </w:p>
          <w:p w14:paraId="3C5CAA2B" w14:textId="77777777"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Kushtet për skualifikimin e anëtarëve të këshillit dhe administratorëve</w:t>
            </w:r>
          </w:p>
          <w:p w14:paraId="74048856" w14:textId="104DE17B"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Personat, që janë dënuar me vendim të formës së prerë për kryerjen e veprave penale, kundër pasurisë dhe në sferën ekonomike të parashikuara.</w:t>
            </w:r>
          </w:p>
          <w:p w14:paraId="6CEF3FFA" w14:textId="77777777"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b)</w:t>
            </w:r>
            <w:r w:rsidRPr="004F22B6">
              <w:rPr>
                <w:rFonts w:ascii="Times New Roman" w:hAnsi="Times New Roman"/>
                <w:color w:val="000000" w:themeColor="text1"/>
                <w:sz w:val="24"/>
                <w:szCs w:val="24"/>
                <w:lang w:val="pt-BR"/>
              </w:rPr>
              <w:tab/>
              <w:t>Dakord. Vendosur 3 dite</w:t>
            </w:r>
          </w:p>
          <w:p w14:paraId="246869EE" w14:textId="007DC2CB"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c)</w:t>
            </w:r>
            <w:r w:rsidRPr="004F22B6">
              <w:rPr>
                <w:rFonts w:ascii="Times New Roman" w:hAnsi="Times New Roman"/>
                <w:color w:val="000000" w:themeColor="text1"/>
                <w:sz w:val="24"/>
                <w:szCs w:val="24"/>
                <w:lang w:val="pt-BR"/>
              </w:rPr>
              <w:tab/>
              <w:t>Besojme qe formulimi eshte I qarte dhe mbulon veprat ne cdo vend</w:t>
            </w:r>
          </w:p>
          <w:p w14:paraId="54B48974" w14:textId="4ECB1A41" w:rsidR="000E0733" w:rsidRPr="004F22B6" w:rsidRDefault="000E0733" w:rsidP="004F22B6">
            <w:pPr>
              <w:pStyle w:val="ListParagraph"/>
              <w:numPr>
                <w:ilvl w:val="0"/>
                <w:numId w:val="81"/>
              </w:numPr>
              <w:spacing w:line="276" w:lineRule="auto"/>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 xml:space="preserve">     </w:t>
            </w:r>
          </w:p>
          <w:p w14:paraId="3F21CB11" w14:textId="056099F6"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 xml:space="preserve">1/2 a … emërimin e një personi si administrator apo anëtar të organit drejtues ose mbikëqyrës </w:t>
            </w:r>
            <w:r w:rsidRPr="004F22B6">
              <w:rPr>
                <w:rFonts w:ascii="Times New Roman" w:hAnsi="Times New Roman"/>
                <w:color w:val="000000" w:themeColor="text1"/>
                <w:sz w:val="24"/>
                <w:szCs w:val="24"/>
                <w:lang w:val="pt-BR"/>
              </w:rPr>
              <w:t>  Duhet te specifikohet edhe per rastet e ri-emerimit te nje personi ne keto organe drejtuese dhe/ose mbikqyrese te nje shoqerie tregtare.</w:t>
            </w:r>
          </w:p>
          <w:p w14:paraId="0E780E2B" w14:textId="77777777"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1/2 c …. për më shumë kohë sesa të dhënat që ruhen për formimin e një shoqërie, regjistrimin e një dege ose depozitimin e akteve të tjera statutore. Pas përfundimit të periudhës së lejuar të ruajtjes, të dhënat personale duhet të fshihen pa vonesë dhe pa procedurë shtesë.”</w:t>
            </w:r>
          </w:p>
          <w:p w14:paraId="7E428344" w14:textId="003E9097"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lastRenderedPageBreak/>
              <w:t>-Duhet te caktohet nje afat konkret per ruajtjen e te dhenave te kesaj natyre nga QKB. Nuk duhe te lihet percaktim I pergjithshem.</w:t>
            </w:r>
          </w:p>
          <w:p w14:paraId="58B2B9AB" w14:textId="77777777"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 xml:space="preserve">Neni 136/1 ….dhe ne kushet tregu </w:t>
            </w:r>
          </w:p>
          <w:p w14:paraId="4DA212AD" w14:textId="2257C68D"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Duhet te qartesohet qe bankat mund te japin kredi per nje shoqeri tregtare e cila kerkon te bleje aksionet e veta.</w:t>
            </w:r>
          </w:p>
          <w:p w14:paraId="41A45333" w14:textId="137629DD"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 xml:space="preserve">Nderkohe per termin "kushte tregu" duhet te kete me shume shpjegime qe te sqarohet cfare nenkupton. </w:t>
            </w:r>
          </w:p>
          <w:p w14:paraId="581895EE" w14:textId="77777777"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Ne lidhje me raportin qe pergatitet per Asamblene e pergjithshme te shoqerise, duhet te sqarohet se kush e pergatit ate: administratori apo keshilli mbikqyres (nqs jane shoqeri me dy nivele administrimi). Gjithashtu duhet te sqarohet nese raporti dergohet ne asamble vetem per t'u informuar apo eshte kusht i domosdoshem dhenia e miratimit te asamblese per raportin.</w:t>
            </w:r>
          </w:p>
          <w:p w14:paraId="54D45B53" w14:textId="77777777" w:rsidR="000E0733" w:rsidRPr="004F22B6" w:rsidRDefault="000E0733" w:rsidP="004F22B6">
            <w:pPr>
              <w:pStyle w:val="ListParagraph"/>
              <w:spacing w:line="276" w:lineRule="auto"/>
              <w:ind w:left="720"/>
              <w:jc w:val="both"/>
              <w:rPr>
                <w:rFonts w:ascii="Times New Roman" w:hAnsi="Times New Roman"/>
                <w:b/>
                <w:color w:val="000000" w:themeColor="text1"/>
                <w:sz w:val="24"/>
                <w:szCs w:val="24"/>
                <w:lang w:val="pt-BR"/>
              </w:rPr>
            </w:pPr>
            <w:r w:rsidRPr="004F22B6">
              <w:rPr>
                <w:rFonts w:ascii="Times New Roman" w:hAnsi="Times New Roman"/>
                <w:b/>
                <w:color w:val="000000" w:themeColor="text1"/>
                <w:sz w:val="24"/>
                <w:szCs w:val="24"/>
                <w:lang w:val="pt-BR"/>
              </w:rPr>
              <w:t xml:space="preserve">Koment: </w:t>
            </w:r>
          </w:p>
          <w:p w14:paraId="3D73E35B" w14:textId="790F2391"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1/2 a Ligji nuk kufizohet vetem tek emerimi por formulimi qartesisht perfshin edhe riemerimet, sepse togfjaleshi I caktuar eshte: Nuk mund të jenë përfaqësues ligjorë të një shoqërie tregtare</w:t>
            </w:r>
          </w:p>
          <w:p w14:paraId="21E5E9B6" w14:textId="77777777"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1/2 b) dakord</w:t>
            </w:r>
          </w:p>
          <w:p w14:paraId="423CB376" w14:textId="71C068E0"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Shtuar sipas sugjerimeve</w:t>
            </w:r>
          </w:p>
          <w:p w14:paraId="7D843E86" w14:textId="74FF7D14" w:rsidR="000E0733" w:rsidRPr="004F22B6" w:rsidRDefault="000E0733" w:rsidP="004F22B6">
            <w:pPr>
              <w:pStyle w:val="ListParagraph"/>
              <w:numPr>
                <w:ilvl w:val="0"/>
                <w:numId w:val="81"/>
              </w:numPr>
              <w:spacing w:line="276" w:lineRule="auto"/>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 xml:space="preserve">     </w:t>
            </w:r>
          </w:p>
          <w:p w14:paraId="086E5C42" w14:textId="056B5094"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b/>
                <w:color w:val="000000" w:themeColor="text1"/>
                <w:sz w:val="24"/>
                <w:szCs w:val="24"/>
                <w:lang w:val="pt-BR"/>
              </w:rPr>
              <w:t>Neni 11</w:t>
            </w:r>
            <w:r w:rsidRPr="004F22B6">
              <w:rPr>
                <w:rFonts w:ascii="Times New Roman" w:hAnsi="Times New Roman"/>
                <w:color w:val="000000" w:themeColor="text1"/>
                <w:sz w:val="24"/>
                <w:szCs w:val="24"/>
                <w:lang w:val="pt-BR"/>
              </w:rPr>
              <w:t xml:space="preserve"> Tek dispozitat kalimtare te ligjit duhet te shtohet nje percaktim qe lidhet me bankat. Duhet te percaktohet qe Bankat zbatojne Ligjin “per Bankat ne Republiken e Shqiperise” per rregullat per perberjen, emerimin dhe kompetencat e Keshillit Mbikqyres dhe jo KREU III, ADMINISTRATORËT DHE KËSHILLI MBIKËQYRËS,SISTEMI ME DY NIVELE”</w:t>
            </w:r>
          </w:p>
          <w:p w14:paraId="00FEED59" w14:textId="449AEC5A"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b/>
                <w:color w:val="000000" w:themeColor="text1"/>
                <w:sz w:val="24"/>
                <w:szCs w:val="24"/>
                <w:lang w:val="pt-BR"/>
              </w:rPr>
              <w:t xml:space="preserve">Koment: </w:t>
            </w:r>
            <w:proofErr w:type="spellStart"/>
            <w:r w:rsidRPr="004F22B6">
              <w:rPr>
                <w:rFonts w:ascii="Times New Roman" w:hAnsi="Times New Roman"/>
                <w:color w:val="000000" w:themeColor="text1"/>
                <w:sz w:val="24"/>
                <w:szCs w:val="24"/>
                <w:lang w:val="en-US"/>
              </w:rPr>
              <w:t>Bankat</w:t>
            </w:r>
            <w:proofErr w:type="spellEnd"/>
            <w:r w:rsidRPr="004F22B6">
              <w:rPr>
                <w:rFonts w:ascii="Times New Roman" w:hAnsi="Times New Roman"/>
                <w:color w:val="000000" w:themeColor="text1"/>
                <w:sz w:val="24"/>
                <w:szCs w:val="24"/>
                <w:lang w:val="en-US"/>
              </w:rPr>
              <w:t xml:space="preserve"> I </w:t>
            </w:r>
            <w:proofErr w:type="spellStart"/>
            <w:r w:rsidRPr="004F22B6">
              <w:rPr>
                <w:rFonts w:ascii="Times New Roman" w:hAnsi="Times New Roman"/>
                <w:color w:val="000000" w:themeColor="text1"/>
                <w:sz w:val="24"/>
                <w:szCs w:val="24"/>
                <w:lang w:val="en-US"/>
              </w:rPr>
              <w:t>zbatojne</w:t>
            </w:r>
            <w:proofErr w:type="spellEnd"/>
            <w:r w:rsidRPr="004F22B6">
              <w:rPr>
                <w:rFonts w:ascii="Times New Roman" w:hAnsi="Times New Roman"/>
                <w:color w:val="000000" w:themeColor="text1"/>
                <w:sz w:val="24"/>
                <w:szCs w:val="24"/>
                <w:lang w:val="en-US"/>
              </w:rPr>
              <w:t xml:space="preserve"> </w:t>
            </w:r>
            <w:proofErr w:type="spellStart"/>
            <w:r w:rsidRPr="004F22B6">
              <w:rPr>
                <w:rFonts w:ascii="Times New Roman" w:hAnsi="Times New Roman"/>
                <w:color w:val="000000" w:themeColor="text1"/>
                <w:sz w:val="24"/>
                <w:szCs w:val="24"/>
                <w:lang w:val="en-US"/>
              </w:rPr>
              <w:t>te</w:t>
            </w:r>
            <w:proofErr w:type="spellEnd"/>
            <w:r w:rsidRPr="004F22B6">
              <w:rPr>
                <w:rFonts w:ascii="Times New Roman" w:hAnsi="Times New Roman"/>
                <w:color w:val="000000" w:themeColor="text1"/>
                <w:sz w:val="24"/>
                <w:szCs w:val="24"/>
                <w:lang w:val="en-US"/>
              </w:rPr>
              <w:t xml:space="preserve"> </w:t>
            </w:r>
            <w:proofErr w:type="spellStart"/>
            <w:r w:rsidRPr="004F22B6">
              <w:rPr>
                <w:rFonts w:ascii="Times New Roman" w:hAnsi="Times New Roman"/>
                <w:color w:val="000000" w:themeColor="text1"/>
                <w:sz w:val="24"/>
                <w:szCs w:val="24"/>
                <w:lang w:val="en-US"/>
              </w:rPr>
              <w:t>dy</w:t>
            </w:r>
            <w:proofErr w:type="spellEnd"/>
            <w:r w:rsidRPr="004F22B6">
              <w:rPr>
                <w:rFonts w:ascii="Times New Roman" w:hAnsi="Times New Roman"/>
                <w:color w:val="000000" w:themeColor="text1"/>
                <w:sz w:val="24"/>
                <w:szCs w:val="24"/>
                <w:lang w:val="en-US"/>
              </w:rPr>
              <w:t xml:space="preserve"> </w:t>
            </w:r>
            <w:proofErr w:type="spellStart"/>
            <w:r w:rsidRPr="004F22B6">
              <w:rPr>
                <w:rFonts w:ascii="Times New Roman" w:hAnsi="Times New Roman"/>
                <w:color w:val="000000" w:themeColor="text1"/>
                <w:sz w:val="24"/>
                <w:szCs w:val="24"/>
                <w:lang w:val="en-US"/>
              </w:rPr>
              <w:t>ligjet</w:t>
            </w:r>
            <w:proofErr w:type="spellEnd"/>
            <w:r w:rsidRPr="004F22B6">
              <w:rPr>
                <w:rFonts w:ascii="Times New Roman" w:hAnsi="Times New Roman"/>
                <w:color w:val="000000" w:themeColor="text1"/>
                <w:sz w:val="24"/>
                <w:szCs w:val="24"/>
                <w:lang w:val="en-US"/>
              </w:rPr>
              <w:t xml:space="preserve">. </w:t>
            </w:r>
            <w:proofErr w:type="spellStart"/>
            <w:r w:rsidRPr="004F22B6">
              <w:rPr>
                <w:rFonts w:ascii="Times New Roman" w:hAnsi="Times New Roman"/>
                <w:color w:val="000000" w:themeColor="text1"/>
                <w:sz w:val="24"/>
                <w:szCs w:val="24"/>
                <w:lang w:val="en-US"/>
              </w:rPr>
              <w:t>Njera</w:t>
            </w:r>
            <w:proofErr w:type="spellEnd"/>
            <w:r w:rsidRPr="004F22B6">
              <w:rPr>
                <w:rFonts w:ascii="Times New Roman" w:hAnsi="Times New Roman"/>
                <w:color w:val="000000" w:themeColor="text1"/>
                <w:sz w:val="24"/>
                <w:szCs w:val="24"/>
                <w:lang w:val="en-US"/>
              </w:rPr>
              <w:t xml:space="preserve"> </w:t>
            </w:r>
            <w:proofErr w:type="spellStart"/>
            <w:r w:rsidRPr="004F22B6">
              <w:rPr>
                <w:rFonts w:ascii="Times New Roman" w:hAnsi="Times New Roman"/>
                <w:color w:val="000000" w:themeColor="text1"/>
                <w:sz w:val="24"/>
                <w:szCs w:val="24"/>
                <w:lang w:val="en-US"/>
              </w:rPr>
              <w:t>nuk</w:t>
            </w:r>
            <w:proofErr w:type="spellEnd"/>
            <w:r w:rsidRPr="004F22B6">
              <w:rPr>
                <w:rFonts w:ascii="Times New Roman" w:hAnsi="Times New Roman"/>
                <w:color w:val="000000" w:themeColor="text1"/>
                <w:sz w:val="24"/>
                <w:szCs w:val="24"/>
                <w:lang w:val="en-US"/>
              </w:rPr>
              <w:t xml:space="preserve"> </w:t>
            </w:r>
            <w:proofErr w:type="spellStart"/>
            <w:r w:rsidRPr="004F22B6">
              <w:rPr>
                <w:rFonts w:ascii="Times New Roman" w:hAnsi="Times New Roman"/>
                <w:color w:val="000000" w:themeColor="text1"/>
                <w:sz w:val="24"/>
                <w:szCs w:val="24"/>
                <w:lang w:val="en-US"/>
              </w:rPr>
              <w:t>perjashton</w:t>
            </w:r>
            <w:proofErr w:type="spellEnd"/>
            <w:r w:rsidRPr="004F22B6">
              <w:rPr>
                <w:rFonts w:ascii="Times New Roman" w:hAnsi="Times New Roman"/>
                <w:color w:val="000000" w:themeColor="text1"/>
                <w:sz w:val="24"/>
                <w:szCs w:val="24"/>
                <w:lang w:val="en-US"/>
              </w:rPr>
              <w:t xml:space="preserve"> </w:t>
            </w:r>
            <w:proofErr w:type="spellStart"/>
            <w:r w:rsidRPr="004F22B6">
              <w:rPr>
                <w:rFonts w:ascii="Times New Roman" w:hAnsi="Times New Roman"/>
                <w:color w:val="000000" w:themeColor="text1"/>
                <w:sz w:val="24"/>
                <w:szCs w:val="24"/>
                <w:lang w:val="en-US"/>
              </w:rPr>
              <w:t>tjetren</w:t>
            </w:r>
            <w:proofErr w:type="spellEnd"/>
          </w:p>
          <w:p w14:paraId="60BB10DE" w14:textId="66B07A87" w:rsidR="000E0733" w:rsidRPr="004F22B6" w:rsidRDefault="000E0733" w:rsidP="004F22B6">
            <w:pPr>
              <w:pStyle w:val="ListParagraph"/>
              <w:numPr>
                <w:ilvl w:val="0"/>
                <w:numId w:val="81"/>
              </w:numPr>
              <w:spacing w:line="276" w:lineRule="auto"/>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 xml:space="preserve">   </w:t>
            </w:r>
          </w:p>
          <w:p w14:paraId="2D030037" w14:textId="77777777"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Neni 1 i Projektligjit</w:t>
            </w:r>
          </w:p>
          <w:p w14:paraId="1B596BE8" w14:textId="02B03A3F"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 xml:space="preserve"> të rishikohet/riformulohet germa b) e pikës 7 që parashikohet të shtohet në nenin 9 të ligjit “Degët dhe zyrat e Përfaqësimit” për rastin e pushimit të Degës në rast se shoqëria pushon së ekzistuari.Më konkretisht, të riformulohet pika b) duke marrë në konsideratë që në rast se shoqëria pushon së ekzistuari si pasojë e bashkimit ose ndarjes me ose në shoqëri të tjera, atëherë dega nuk do të pushojë së ekzistuari por do të vijojë të mbetet degë e shoqërisë pritëse. Ky ndryshim do të lejonte korporatat ndërkombëtare që në rast riorganizimi, të mos detyrohen të çregjistrojnë degën dhe të riçelin një degë të re.</w:t>
            </w:r>
          </w:p>
          <w:p w14:paraId="3DB730F8" w14:textId="7EABB072"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b/>
                <w:color w:val="000000" w:themeColor="text1"/>
                <w:sz w:val="24"/>
                <w:szCs w:val="24"/>
                <w:lang w:val="pt-BR"/>
              </w:rPr>
              <w:t>Koment</w:t>
            </w:r>
            <w:r w:rsidRPr="004F22B6">
              <w:rPr>
                <w:rFonts w:ascii="Times New Roman" w:hAnsi="Times New Roman"/>
                <w:color w:val="000000" w:themeColor="text1"/>
                <w:sz w:val="24"/>
                <w:szCs w:val="24"/>
                <w:lang w:val="pt-BR"/>
              </w:rPr>
              <w:t xml:space="preserve">: Pranuar </w:t>
            </w:r>
          </w:p>
          <w:p w14:paraId="3AE21DDF" w14:textId="25E33D02" w:rsidR="000E0733" w:rsidRPr="004F22B6" w:rsidRDefault="000E0733" w:rsidP="004F22B6">
            <w:pPr>
              <w:pStyle w:val="ListParagraph"/>
              <w:numPr>
                <w:ilvl w:val="0"/>
                <w:numId w:val="81"/>
              </w:numPr>
              <w:spacing w:line="276" w:lineRule="auto"/>
              <w:jc w:val="both"/>
              <w:rPr>
                <w:rFonts w:ascii="Times New Roman" w:hAnsi="Times New Roman"/>
                <w:b/>
                <w:bCs/>
                <w:i/>
                <w:iCs/>
                <w:color w:val="000000" w:themeColor="text1"/>
                <w:sz w:val="24"/>
                <w:szCs w:val="24"/>
                <w:lang w:val="sq-AL"/>
              </w:rPr>
            </w:pPr>
            <w:r w:rsidRPr="004F22B6">
              <w:rPr>
                <w:rFonts w:ascii="Times New Roman" w:hAnsi="Times New Roman"/>
                <w:color w:val="000000" w:themeColor="text1"/>
                <w:sz w:val="24"/>
                <w:szCs w:val="24"/>
                <w:lang w:val="pt-BR"/>
              </w:rPr>
              <w:t xml:space="preserve">   </w:t>
            </w:r>
            <w:r w:rsidRPr="004F22B6">
              <w:rPr>
                <w:rFonts w:ascii="Times New Roman" w:hAnsi="Times New Roman"/>
                <w:b/>
                <w:bCs/>
                <w:i/>
                <w:iCs/>
                <w:color w:val="000000" w:themeColor="text1"/>
                <w:sz w:val="24"/>
                <w:szCs w:val="24"/>
                <w:lang w:val="sq-AL"/>
              </w:rPr>
              <w:t>N</w:t>
            </w:r>
            <w:r w:rsidR="00325961" w:rsidRPr="004F22B6">
              <w:rPr>
                <w:rFonts w:ascii="Times New Roman" w:hAnsi="Times New Roman"/>
                <w:b/>
                <w:bCs/>
                <w:i/>
                <w:iCs/>
                <w:color w:val="000000" w:themeColor="text1"/>
                <w:sz w:val="24"/>
                <w:szCs w:val="24"/>
                <w:lang w:val="sq-AL"/>
              </w:rPr>
              <w:t>eni 6 i projekligjit</w:t>
            </w:r>
          </w:p>
          <w:p w14:paraId="1B9CFC8D" w14:textId="748099A9" w:rsidR="000E0733" w:rsidRPr="004F22B6" w:rsidRDefault="000E0733" w:rsidP="004F22B6">
            <w:pPr>
              <w:pStyle w:val="ListParagraph"/>
              <w:numPr>
                <w:ilvl w:val="0"/>
                <w:numId w:val="82"/>
              </w:numPr>
              <w:spacing w:line="276" w:lineRule="auto"/>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sq-AL"/>
              </w:rPr>
              <w:t>Të riformulohet neni 133/1 “Trajtimi i pranimit të aksioneve të veta si garanci” pasi nuk është shumë i qartë.</w:t>
            </w:r>
          </w:p>
          <w:p w14:paraId="0493D69E" w14:textId="0911E4C7" w:rsidR="000E0733" w:rsidRPr="004F22B6" w:rsidRDefault="000E0733" w:rsidP="004F22B6">
            <w:pPr>
              <w:spacing w:line="276" w:lineRule="auto"/>
              <w:ind w:left="360"/>
              <w:jc w:val="both"/>
              <w:rPr>
                <w:color w:val="000000" w:themeColor="text1"/>
                <w:szCs w:val="24"/>
                <w:lang w:val="pt-BR"/>
              </w:rPr>
            </w:pPr>
            <w:r w:rsidRPr="004F22B6">
              <w:rPr>
                <w:b/>
                <w:color w:val="000000" w:themeColor="text1"/>
                <w:szCs w:val="24"/>
                <w:lang w:val="pt-BR"/>
              </w:rPr>
              <w:t>Koment</w:t>
            </w:r>
            <w:r w:rsidRPr="004F22B6">
              <w:rPr>
                <w:color w:val="000000" w:themeColor="text1"/>
                <w:szCs w:val="24"/>
                <w:lang w:val="pt-BR"/>
              </w:rPr>
              <w:t xml:space="preserve">: Pranuar </w:t>
            </w:r>
          </w:p>
          <w:p w14:paraId="65FADE23" w14:textId="77777777" w:rsidR="000E0733" w:rsidRPr="004F22B6" w:rsidRDefault="000E0733" w:rsidP="004F22B6">
            <w:pPr>
              <w:pStyle w:val="ListParagraph"/>
              <w:numPr>
                <w:ilvl w:val="0"/>
                <w:numId w:val="84"/>
              </w:numPr>
              <w:spacing w:line="276" w:lineRule="auto"/>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NENI 8 I PROJEKTLIGJIT</w:t>
            </w:r>
          </w:p>
          <w:p w14:paraId="50A8AB29" w14:textId="2D5D0E50" w:rsidR="000E0733" w:rsidRPr="004F22B6" w:rsidRDefault="000E0733" w:rsidP="004F22B6">
            <w:pPr>
              <w:pStyle w:val="ListParagraph"/>
              <w:spacing w:line="276" w:lineRule="auto"/>
              <w:ind w:left="720" w:firstLine="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 xml:space="preserve">Në germën a) të paragrafit 3 të nenit 225/1 të ligjit parashikohet si shkak pavlefshmërie bashkimi i shoqërive tregtare kur nuk i është nënshtruar kontrollit gjyqësor paraprak. </w:t>
            </w:r>
            <w:r w:rsidRPr="004F22B6">
              <w:rPr>
                <w:rFonts w:ascii="Times New Roman" w:hAnsi="Times New Roman"/>
                <w:color w:val="000000" w:themeColor="text1"/>
                <w:sz w:val="24"/>
                <w:szCs w:val="24"/>
                <w:lang w:val="pt-BR"/>
              </w:rPr>
              <w:lastRenderedPageBreak/>
              <w:t>Referuar relacionit, qëllimi i këtij mekanizmi është krijimi i sigurisë juridike për marrëdhëniet ekonomike. Ndërkaq, kontrolli gjyqësor paraprak do të aplikohet specifikisht për rastet e parashikuara në ligjet përkatëse.</w:t>
            </w:r>
          </w:p>
          <w:p w14:paraId="0E825EDE" w14:textId="6FCBAAC1" w:rsidR="000E0733" w:rsidRPr="004F22B6" w:rsidRDefault="000E0733" w:rsidP="004F22B6">
            <w:pPr>
              <w:spacing w:line="276" w:lineRule="auto"/>
              <w:jc w:val="both"/>
              <w:rPr>
                <w:color w:val="000000" w:themeColor="text1"/>
                <w:szCs w:val="24"/>
                <w:lang w:val="pt-BR"/>
              </w:rPr>
            </w:pPr>
            <w:r w:rsidRPr="004F22B6">
              <w:rPr>
                <w:color w:val="000000" w:themeColor="text1"/>
                <w:szCs w:val="24"/>
                <w:lang w:val="pt-BR"/>
              </w:rPr>
              <w:t>Në sa më sipër, sugjerojmë që germa a) të riformulohet duke sqaruar kontrollin gjyqësor si një detyrim për rastet e parashikuara shprehimisht në ligj për një kontroll të tillë pasi aktualisht mbetet shumë i përgjithshëm si nocion dhe mund të mbetet i paqartë në zbatim.</w:t>
            </w:r>
          </w:p>
          <w:p w14:paraId="73629476" w14:textId="7105E459" w:rsidR="000E0733" w:rsidRPr="004F22B6" w:rsidRDefault="000E0733" w:rsidP="004F22B6">
            <w:pPr>
              <w:spacing w:line="276" w:lineRule="auto"/>
              <w:jc w:val="both"/>
              <w:rPr>
                <w:color w:val="000000" w:themeColor="text1"/>
                <w:szCs w:val="24"/>
                <w:lang w:val="pt-BR"/>
              </w:rPr>
            </w:pPr>
            <w:r w:rsidRPr="004F22B6">
              <w:rPr>
                <w:b/>
                <w:color w:val="000000" w:themeColor="text1"/>
                <w:szCs w:val="24"/>
                <w:lang w:val="pt-BR"/>
              </w:rPr>
              <w:t>Koment:</w:t>
            </w:r>
            <w:r w:rsidRPr="004F22B6">
              <w:rPr>
                <w:color w:val="000000" w:themeColor="text1"/>
                <w:szCs w:val="24"/>
                <w:lang w:val="pt-BR"/>
              </w:rPr>
              <w:t xml:space="preserve"> Pranuar</w:t>
            </w:r>
          </w:p>
          <w:p w14:paraId="0A161482" w14:textId="77777777" w:rsidR="000E0733" w:rsidRPr="004F22B6" w:rsidRDefault="000E0733" w:rsidP="004F22B6">
            <w:pPr>
              <w:pStyle w:val="ListParagraph"/>
              <w:numPr>
                <w:ilvl w:val="0"/>
                <w:numId w:val="84"/>
              </w:numPr>
              <w:spacing w:line="276" w:lineRule="auto"/>
              <w:jc w:val="both"/>
              <w:rPr>
                <w:rFonts w:ascii="Times New Roman" w:hAnsi="Times New Roman"/>
                <w:color w:val="000000" w:themeColor="text1"/>
                <w:sz w:val="24"/>
                <w:szCs w:val="24"/>
                <w:lang w:val="pt-BR"/>
              </w:rPr>
            </w:pPr>
          </w:p>
          <w:p w14:paraId="142FE781" w14:textId="77777777"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Propozim për ndryshim të nenit 227</w:t>
            </w:r>
          </w:p>
          <w:p w14:paraId="0CD0EB07" w14:textId="64F401B5" w:rsidR="000E0733" w:rsidRPr="004F22B6" w:rsidRDefault="000E0733"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color w:val="000000" w:themeColor="text1"/>
                <w:sz w:val="24"/>
                <w:szCs w:val="24"/>
                <w:lang w:val="pt-BR"/>
              </w:rPr>
              <w:t>Gjithashtu, propozojmë që të merret në konsideratë edhe një ndryshim i nenit 227 të ligjit për shoqëritë tregtare, duke parashikuar mundësinë e ndarjes së shoqërisë në favor të një shoqërie ekzistuese apo të themeluar rishtazi (apo me tepër) dhe jo siç parashikohet aktualisht “duke transferuar të gjitha aktivet e pasivet e veta në favor të dy ose me shumë shoqërive ekzistuese apo të themeluara rishtazi.”</w:t>
            </w:r>
          </w:p>
          <w:p w14:paraId="3F6906DA" w14:textId="19A84920" w:rsidR="000E0733" w:rsidRPr="004F22B6" w:rsidRDefault="004F22B6" w:rsidP="004F22B6">
            <w:pPr>
              <w:pStyle w:val="ListParagraph"/>
              <w:spacing w:line="276" w:lineRule="auto"/>
              <w:ind w:left="720"/>
              <w:jc w:val="both"/>
              <w:rPr>
                <w:rFonts w:ascii="Times New Roman" w:hAnsi="Times New Roman"/>
                <w:color w:val="000000" w:themeColor="text1"/>
                <w:sz w:val="24"/>
                <w:szCs w:val="24"/>
                <w:lang w:val="pt-BR"/>
              </w:rPr>
            </w:pPr>
            <w:r w:rsidRPr="004F22B6">
              <w:rPr>
                <w:rFonts w:ascii="Times New Roman" w:hAnsi="Times New Roman"/>
                <w:b/>
                <w:color w:val="000000" w:themeColor="text1"/>
                <w:sz w:val="24"/>
                <w:szCs w:val="24"/>
                <w:lang w:val="pt-BR"/>
              </w:rPr>
              <w:t>Koment:</w:t>
            </w:r>
            <w:r w:rsidR="00325961">
              <w:rPr>
                <w:rFonts w:ascii="Times New Roman" w:hAnsi="Times New Roman"/>
                <w:b/>
                <w:color w:val="000000" w:themeColor="text1"/>
                <w:sz w:val="24"/>
                <w:szCs w:val="24"/>
                <w:lang w:val="pt-BR"/>
              </w:rPr>
              <w:t xml:space="preserve"> </w:t>
            </w:r>
            <w:r w:rsidRPr="004F22B6">
              <w:rPr>
                <w:rFonts w:ascii="Times New Roman" w:hAnsi="Times New Roman"/>
                <w:color w:val="000000" w:themeColor="text1"/>
                <w:sz w:val="24"/>
                <w:szCs w:val="24"/>
                <w:lang w:val="pt-BR"/>
              </w:rPr>
              <w:t xml:space="preserve">Pranuar </w:t>
            </w:r>
          </w:p>
          <w:p w14:paraId="1D0369A5" w14:textId="77777777" w:rsidR="000C0F74" w:rsidRPr="004F22B6" w:rsidRDefault="000C0F74" w:rsidP="004F22B6">
            <w:pPr>
              <w:spacing w:line="276" w:lineRule="auto"/>
              <w:jc w:val="both"/>
              <w:rPr>
                <w:color w:val="000000" w:themeColor="text1"/>
                <w:szCs w:val="24"/>
                <w:lang w:val="sq-AL"/>
              </w:rPr>
            </w:pPr>
            <w:r w:rsidRPr="004F22B6">
              <w:rPr>
                <w:color w:val="000000" w:themeColor="text1"/>
                <w:szCs w:val="24"/>
                <w:lang w:val="sq-AL"/>
              </w:rPr>
              <w:t>Përfundimi:</w:t>
            </w:r>
          </w:p>
          <w:p w14:paraId="26F8B33D" w14:textId="77777777" w:rsidR="000C0F74" w:rsidRPr="004F22B6" w:rsidRDefault="000C0F74" w:rsidP="004F22B6">
            <w:pPr>
              <w:spacing w:line="276" w:lineRule="auto"/>
              <w:jc w:val="both"/>
              <w:rPr>
                <w:color w:val="000000" w:themeColor="text1"/>
                <w:szCs w:val="24"/>
                <w:lang w:val="sq-AL"/>
              </w:rPr>
            </w:pPr>
            <w:r w:rsidRPr="004F22B6">
              <w:rPr>
                <w:color w:val="000000" w:themeColor="text1"/>
                <w:szCs w:val="24"/>
                <w:lang w:val="sq-AL"/>
              </w:rPr>
              <w:t>Procesi i konsultimit, si institucional ashtu edhe publik, ka garantuar një shqyrtim gjithëpërfshirës dhe transparent të projektligjit, duke respektuar të gjitha procedurat ligjore dhe standardet e transparencës dhe pjesëmarrjes qytetare.</w:t>
            </w:r>
          </w:p>
          <w:p w14:paraId="7177754E" w14:textId="1C90DEFE" w:rsidR="0091671D" w:rsidRPr="00331272" w:rsidRDefault="0091671D" w:rsidP="00B5039C">
            <w:pPr>
              <w:spacing w:line="276" w:lineRule="auto"/>
              <w:jc w:val="both"/>
              <w:rPr>
                <w:i/>
                <w:szCs w:val="24"/>
                <w:lang w:val="pt-BR"/>
              </w:rPr>
            </w:pPr>
          </w:p>
        </w:tc>
      </w:tr>
      <w:tr w:rsidR="00B5039C" w:rsidRPr="00331272" w14:paraId="4839AF58" w14:textId="77777777" w:rsidTr="30EE1AA0">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4AB25" w14:textId="77777777" w:rsidR="00B5039C" w:rsidRPr="00325A1F" w:rsidRDefault="00B5039C" w:rsidP="00B5039C">
            <w:pPr>
              <w:spacing w:line="276" w:lineRule="auto"/>
              <w:jc w:val="both"/>
              <w:rPr>
                <w:b/>
                <w:szCs w:val="24"/>
                <w:lang w:val="sq-AL"/>
              </w:rPr>
            </w:pPr>
            <w:r w:rsidRPr="00325A1F">
              <w:rPr>
                <w:b/>
                <w:szCs w:val="24"/>
                <w:lang w:val="sq-AL"/>
              </w:rPr>
              <w:lastRenderedPageBreak/>
              <w:t>ZBATIMI DHE MONITORIMI</w:t>
            </w:r>
          </w:p>
          <w:p w14:paraId="6CE669AE" w14:textId="77777777" w:rsidR="00B5039C" w:rsidRPr="00DE53BA" w:rsidRDefault="00B5039C" w:rsidP="00B5039C">
            <w:pPr>
              <w:spacing w:line="276" w:lineRule="auto"/>
              <w:jc w:val="both"/>
              <w:rPr>
                <w:i/>
                <w:szCs w:val="24"/>
                <w:lang w:val="it-IT"/>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9" w:name="ZbatimiMonitorimi"/>
            <w:r w:rsidRPr="001155AF">
              <w:rPr>
                <w:i/>
                <w:szCs w:val="24"/>
                <w:lang w:val="it-IT"/>
              </w:rPr>
              <w:instrText xml:space="preserve"> FORMTEXT </w:instrText>
            </w:r>
            <w:r>
              <w:rPr>
                <w:i/>
                <w:szCs w:val="24"/>
              </w:rPr>
            </w:r>
            <w:r>
              <w:rPr>
                <w:i/>
                <w:szCs w:val="24"/>
              </w:rPr>
              <w:fldChar w:fldCharType="separate"/>
            </w:r>
            <w:r w:rsidRPr="001155AF">
              <w:rPr>
                <w:i/>
                <w:noProof/>
                <w:szCs w:val="24"/>
                <w:lang w:val="it-IT"/>
              </w:rPr>
              <w:t>Si do të organizohen zbatimi dhe monitorimi?(jo më shumë se 5 rreshta)</w:t>
            </w:r>
            <w:r>
              <w:rPr>
                <w:i/>
                <w:szCs w:val="24"/>
              </w:rPr>
              <w:fldChar w:fldCharType="end"/>
            </w:r>
            <w:bookmarkEnd w:id="9"/>
          </w:p>
          <w:p w14:paraId="10327182" w14:textId="77777777" w:rsidR="008563D8" w:rsidRDefault="008563D8" w:rsidP="008563D8">
            <w:pPr>
              <w:rPr>
                <w:lang w:val="sq-AL"/>
              </w:rPr>
            </w:pPr>
            <w:r w:rsidRPr="00E31A86">
              <w:rPr>
                <w:rStyle w:val="Strong"/>
                <w:rFonts w:eastAsiaTheme="majorEastAsia"/>
                <w:b w:val="0"/>
                <w:bCs w:val="0"/>
                <w:u w:val="single"/>
                <w:lang w:val="sq-AL"/>
              </w:rPr>
              <w:t>Struktura përgjegjëse për zbatimin e opsionit të zgjedhur</w:t>
            </w:r>
            <w:r w:rsidRPr="00E31A86">
              <w:rPr>
                <w:lang w:val="sq-AL"/>
              </w:rPr>
              <w:br/>
            </w:r>
          </w:p>
          <w:p w14:paraId="7A392FEF" w14:textId="77777777" w:rsidR="008563D8" w:rsidRPr="000A757B" w:rsidRDefault="008563D8" w:rsidP="008563D8">
            <w:pPr>
              <w:jc w:val="both"/>
              <w:rPr>
                <w:lang w:val="sq-AL"/>
              </w:rPr>
            </w:pPr>
            <w:r w:rsidRPr="000A757B">
              <w:rPr>
                <w:b/>
                <w:u w:val="single"/>
                <w:lang w:val="sq-AL"/>
              </w:rPr>
              <w:t>Ministria përgjegjëse për</w:t>
            </w:r>
            <w:r w:rsidRPr="000A757B">
              <w:rPr>
                <w:b/>
                <w:bCs/>
                <w:u w:val="single"/>
                <w:lang w:val="sq-AL"/>
              </w:rPr>
              <w:t xml:space="preserve"> ekonominë</w:t>
            </w:r>
            <w:r w:rsidRPr="000A757B">
              <w:rPr>
                <w:lang w:val="sq-AL"/>
              </w:rPr>
              <w:t xml:space="preserve">. Si institucioni kryesor që mbikëqyr politikën ekonomike dhe reformën rregullatore, ministria përgjegjëse për ekonominë do të luajë një rol kyç në sigurimin e miratimit dhe integrimit të ndryshimeve ligjore në kuadrin ligjor kombëtar. Ajo do të mbikëqyr harmonizimin me direktivat e BE-së dhe do të punojë me institucione të tjera për të zhvilluar strategjitë e implementimit. </w:t>
            </w:r>
          </w:p>
          <w:p w14:paraId="7EF0EE5D" w14:textId="77777777" w:rsidR="008563D8" w:rsidRPr="000A757B" w:rsidRDefault="008563D8" w:rsidP="008563D8">
            <w:pPr>
              <w:jc w:val="both"/>
              <w:rPr>
                <w:lang w:val="sq-AL"/>
              </w:rPr>
            </w:pPr>
          </w:p>
          <w:p w14:paraId="7BF56070" w14:textId="77777777" w:rsidR="008563D8" w:rsidRPr="000A757B" w:rsidRDefault="008563D8" w:rsidP="008563D8">
            <w:pPr>
              <w:jc w:val="both"/>
              <w:rPr>
                <w:lang w:val="sq-AL"/>
              </w:rPr>
            </w:pPr>
            <w:r w:rsidRPr="000A757B">
              <w:rPr>
                <w:b/>
                <w:bCs/>
                <w:u w:val="single"/>
                <w:lang w:val="sq-AL"/>
              </w:rPr>
              <w:t>Ministria përgjegjëse për financat</w:t>
            </w:r>
            <w:r w:rsidRPr="000A757B">
              <w:rPr>
                <w:lang w:val="sq-AL"/>
              </w:rPr>
              <w:t xml:space="preserve"> nga ana tjetër do të jetë gjithashtu përgjegjëse për lidhjen me BE-në dhe monitorimin e përputhshmërisë me kërkesat fiskale dhe ligjore të BE-së</w:t>
            </w:r>
            <w:r>
              <w:rPr>
                <w:lang w:val="sq-AL"/>
              </w:rPr>
              <w:t>, çka do të fusë në lojë edhe administratën tatimore.</w:t>
            </w:r>
          </w:p>
          <w:p w14:paraId="0F81B63B" w14:textId="77777777" w:rsidR="008563D8" w:rsidRPr="000A757B" w:rsidRDefault="008563D8" w:rsidP="008563D8">
            <w:pPr>
              <w:jc w:val="both"/>
              <w:rPr>
                <w:b/>
                <w:bCs/>
                <w:u w:val="single"/>
                <w:lang w:val="sq-AL"/>
              </w:rPr>
            </w:pPr>
          </w:p>
          <w:p w14:paraId="7E38AD8D" w14:textId="77777777" w:rsidR="008563D8" w:rsidRPr="000A757B" w:rsidRDefault="008563D8" w:rsidP="008563D8">
            <w:pPr>
              <w:jc w:val="both"/>
              <w:rPr>
                <w:b/>
                <w:u w:val="single"/>
                <w:lang w:val="sq-AL"/>
              </w:rPr>
            </w:pPr>
            <w:r w:rsidRPr="000A757B">
              <w:rPr>
                <w:b/>
                <w:u w:val="single"/>
                <w:lang w:val="sq-AL"/>
              </w:rPr>
              <w:t xml:space="preserve">Qendra Kombëtare e Biznesit (QKB): </w:t>
            </w:r>
            <w:r w:rsidRPr="000A757B">
              <w:rPr>
                <w:bCs/>
                <w:lang w:val="sq-AL"/>
              </w:rPr>
              <w:t xml:space="preserve">QKB do të jetë përgjegjëse për menaxhimin e procesit të regjistrimit të bizneseve dhe implementimin e mjeteve digjitale për të siguruar përputhshmërinë me rregullat e reja të qeverisjes korporative dhe standardet për operacionet ndërkufitare. Ajo do të punojë me ministrinë përgjegjëse për ekonominë dhe institucione të tjera, të tilla si AKSHI dhe AKCESK për të siguruar që procedurat e regjistrimit të bizneseve dhe rregulloret të jenë të thjeshtuara dhe në përputhje me kërkesat e BE-së. QKB do të luajë një rol kyç në digitalizimin e regjistrave dhe përdorimin e platformave digjitale për të lehtësuar regjistrimin dhe proceset e përputhshmërisë me standardet ndërkombëtare. </w:t>
            </w:r>
            <w:r w:rsidRPr="000A757B">
              <w:rPr>
                <w:lang w:val="sq-AL"/>
              </w:rPr>
              <w:t xml:space="preserve"> P</w:t>
            </w:r>
            <w:r w:rsidRPr="000A757B">
              <w:rPr>
                <w:bCs/>
                <w:lang w:val="sq-AL"/>
              </w:rPr>
              <w:t xml:space="preserve">asi specifikimet teknike të regjistrave të biznesit që do të lidhën </w:t>
            </w:r>
            <w:r>
              <w:rPr>
                <w:bCs/>
                <w:lang w:val="sq-AL"/>
              </w:rPr>
              <w:t>midis tyre</w:t>
            </w:r>
            <w:r w:rsidRPr="000A757B">
              <w:rPr>
                <w:bCs/>
                <w:lang w:val="sq-AL"/>
              </w:rPr>
              <w:t xml:space="preserve"> të rishikohen nga Agjencia Kombëtare për Shoqërinë e Informacionit (AKSHI) dhe Qendra Kombëtare e Biznesit, mund të vazhdohet me hapat e nevojshëm që duhet të ndërmerren për të mundësuar lidhjen e regjistrit të biznesit të Shqipërisë me BRIS.</w:t>
            </w:r>
          </w:p>
          <w:p w14:paraId="5F66FC4C" w14:textId="77777777" w:rsidR="008563D8" w:rsidRPr="000A757B" w:rsidRDefault="008563D8" w:rsidP="008563D8">
            <w:pPr>
              <w:jc w:val="both"/>
              <w:rPr>
                <w:lang w:val="sq-AL"/>
              </w:rPr>
            </w:pPr>
          </w:p>
          <w:p w14:paraId="0CE9D60A" w14:textId="77777777" w:rsidR="008563D8" w:rsidRPr="000A757B" w:rsidRDefault="008563D8" w:rsidP="008563D8">
            <w:pPr>
              <w:jc w:val="both"/>
              <w:rPr>
                <w:lang w:val="sq-AL"/>
              </w:rPr>
            </w:pPr>
            <w:r w:rsidRPr="000A757B">
              <w:rPr>
                <w:b/>
                <w:bCs/>
                <w:u w:val="single"/>
                <w:lang w:val="sq-AL"/>
              </w:rPr>
              <w:t>Instituti i Statistikave (INSTAT</w:t>
            </w:r>
            <w:r w:rsidRPr="000A757B">
              <w:rPr>
                <w:b/>
                <w:bCs/>
                <w:lang w:val="sq-AL"/>
              </w:rPr>
              <w:t>)</w:t>
            </w:r>
            <w:r w:rsidRPr="000A757B">
              <w:rPr>
                <w:lang w:val="sq-AL"/>
              </w:rPr>
              <w:t xml:space="preserve">: INSTAT do të mbledhë dhe analizojë të dhëna për të matur ndikimin e reformave. Ajo do të ndjekë tregues ekonomikë si rritja e biznesit, investimet e huaja </w:t>
            </w:r>
            <w:r>
              <w:rPr>
                <w:lang w:val="sq-AL"/>
              </w:rPr>
              <w:t xml:space="preserve">të </w:t>
            </w:r>
            <w:r>
              <w:rPr>
                <w:lang w:val="sq-AL"/>
              </w:rPr>
              <w:lastRenderedPageBreak/>
              <w:t>drejtpërdrejta</w:t>
            </w:r>
            <w:r w:rsidRPr="000A757B">
              <w:rPr>
                <w:lang w:val="sq-AL"/>
              </w:rPr>
              <w:t xml:space="preserve"> dhe standardet e qeverisjes korporative. INSTAT do të ofrojë të dhëna </w:t>
            </w:r>
            <w:r>
              <w:rPr>
                <w:lang w:val="sq-AL"/>
              </w:rPr>
              <w:t xml:space="preserve">të ndara edhe sipas gjinisë </w:t>
            </w:r>
            <w:r w:rsidRPr="000A757B">
              <w:rPr>
                <w:lang w:val="sq-AL"/>
              </w:rPr>
              <w:t>që do të udhëheqin rregullimet dhe përmirësimet e ardhshme në kuadrin rregullator.</w:t>
            </w:r>
          </w:p>
          <w:p w14:paraId="01C4FCBA" w14:textId="77777777" w:rsidR="008563D8" w:rsidRPr="000A757B" w:rsidRDefault="008563D8" w:rsidP="008563D8">
            <w:pPr>
              <w:jc w:val="both"/>
              <w:rPr>
                <w:lang w:val="sq-AL"/>
              </w:rPr>
            </w:pPr>
          </w:p>
          <w:p w14:paraId="7D201CCB" w14:textId="77777777" w:rsidR="008563D8" w:rsidRDefault="008563D8" w:rsidP="008563D8">
            <w:pPr>
              <w:jc w:val="both"/>
              <w:rPr>
                <w:lang w:val="sq-AL"/>
              </w:rPr>
            </w:pPr>
            <w:r w:rsidRPr="00EA2CCA">
              <w:rPr>
                <w:b/>
                <w:bCs/>
                <w:u w:val="single"/>
                <w:lang w:val="sq-AL"/>
              </w:rPr>
              <w:t>Ministria e Shtetit për Mbrojtjen e Sipërmarrjes</w:t>
            </w:r>
            <w:r w:rsidRPr="00EA2CCA">
              <w:rPr>
                <w:lang w:val="sq-AL"/>
              </w:rPr>
              <w:t>: Kjo ministri do të përqendrohet në mbështetje të bizneseve, veçanërisht SME-ve, për t'u përshtatur me kërkesat e reja ligjore. Ajo do të ofrojë trajnim, asistencë financiare dhe shërbime këshillimore për të ndihmuar bizneset të përmbushin ligjin e përditësuar të shoqërive. Ministria gjithashtu do të monitorojë ndikimin social të reformave, veçanërisht për ndërmarrjet më të vogla.</w:t>
            </w:r>
          </w:p>
          <w:p w14:paraId="53FDA4EA" w14:textId="77777777" w:rsidR="008563D8" w:rsidRDefault="008563D8" w:rsidP="008563D8">
            <w:pPr>
              <w:jc w:val="both"/>
              <w:rPr>
                <w:lang w:val="sq-AL"/>
              </w:rPr>
            </w:pPr>
          </w:p>
          <w:p w14:paraId="44AC77A7" w14:textId="77777777" w:rsidR="008563D8" w:rsidRDefault="008563D8" w:rsidP="008563D8">
            <w:pPr>
              <w:jc w:val="both"/>
              <w:rPr>
                <w:lang w:val="sq-AL"/>
              </w:rPr>
            </w:pPr>
            <w:r w:rsidRPr="00C82E7F">
              <w:rPr>
                <w:b/>
                <w:bCs/>
                <w:u w:val="single"/>
                <w:lang w:val="sq-AL"/>
              </w:rPr>
              <w:t xml:space="preserve">Autoriteti i Konkurrencës: </w:t>
            </w:r>
            <w:r w:rsidRPr="00777DFA">
              <w:rPr>
                <w:lang w:val="sq-AL"/>
              </w:rPr>
              <w:t>Ligji Nr. 9121, datë 28.7.2003 “Për mbrojtjen e konkurrencës”, i ndryshuar parashikon se, nëse shoqëritë e bashkuara përmbushin nivelet e xhirove apo nivelet e tjera të caktuara në lidhje me pjesën e tregut dhe të ardhurat, ato duhet të njoftojnë Autoritetin e Konkurrencës për miratimin e transaksionit</w:t>
            </w:r>
            <w:r w:rsidRPr="00C82E7F">
              <w:rPr>
                <w:lang w:val="sq-AL"/>
              </w:rPr>
              <w:t xml:space="preserve"> për të shmangur pasojat ligjore dhe financiare që mund të lindin nga mosnjoftimi. </w:t>
            </w:r>
            <w:r w:rsidRPr="00777DFA">
              <w:rPr>
                <w:lang w:val="sq-AL"/>
              </w:rPr>
              <w:t xml:space="preserve">Autoriteti do të vlerësojë ndikimin e bashkimit në konkurrencë, duke u fokusuar te mundësia që ky bashkim të krijojë ose forcojë një pozicion dominues që mund të prishë konkurrencën në treg. Këto rregulla do të ndikojnë jo vetëm te shoqëritë që operojnë brenda tregut të brendshëm, por edhe te ato që janë të përfshira në operacione ndërkufitare, duke kërkuar që të përputhen me kërkesat e bashkimit dhe konkurrencës të harmonizuara me rregullat e BE-së. </w:t>
            </w:r>
            <w:r w:rsidRPr="00C82E7F">
              <w:rPr>
                <w:lang w:val="sq-AL"/>
              </w:rPr>
              <w:t>Harmonizimi i do të rrisë konkurrencën në tregun lokal, duke mundësuar që bizneset shqiptare të konkurrojnë në kushte të barabarta me ato të vendeve të BE-së. Për më tepër, krijimi i një tregu të hapur dhe të parashikueshëm për investitorët do të ndihmojë në diversifikimin e ekonomisë dhe përmirësimin e cilësisë së produkteve dhe shërbimeve. Autoriteti i Konkurrencës do të duhet të jetë më i vëmendshëm për përqendrime të reja që mund të krijohen në treg apo mbrojtjen e konkurrencës së pandershme në përgjithësi</w:t>
            </w:r>
            <w:r>
              <w:rPr>
                <w:lang w:val="sq-AL"/>
              </w:rPr>
              <w:t>.</w:t>
            </w:r>
          </w:p>
          <w:p w14:paraId="6980AF59" w14:textId="77777777" w:rsidR="008563D8" w:rsidRDefault="008563D8" w:rsidP="008563D8">
            <w:pPr>
              <w:jc w:val="both"/>
              <w:rPr>
                <w:lang w:val="sq-AL"/>
              </w:rPr>
            </w:pPr>
          </w:p>
          <w:p w14:paraId="4887CDDD" w14:textId="77777777" w:rsidR="008563D8" w:rsidRPr="00D756B5" w:rsidRDefault="008563D8" w:rsidP="008563D8">
            <w:pPr>
              <w:spacing w:line="276" w:lineRule="auto"/>
              <w:jc w:val="both"/>
              <w:rPr>
                <w:bCs/>
                <w:szCs w:val="24"/>
                <w:lang w:val="sq-AL"/>
              </w:rPr>
            </w:pPr>
            <w:r w:rsidRPr="00D756B5">
              <w:rPr>
                <w:bCs/>
                <w:szCs w:val="24"/>
                <w:lang w:val="sq-AL"/>
              </w:rPr>
              <w:t xml:space="preserve">Për të siguruar që zbatimi i dispozitave të reja të ketë sukses, do të krijohet një mekanizëm i monitorimit dhe vlerësimit të vazhdueshëm. Ky mekanizëm do të mbikëqyrë implementimin e reformave dhe do të sigurojë që masat e ndërmarra për të arritur objektivat e politikës të realizohen siç është planifikuar. Për këtë qëllim, institucionet përgjegjëse do të vlerësojnë progresin dhe do të sigurojnë që rregulloret dhe praktikat të zbatohen në përputhje me standardet e BE-së. </w:t>
            </w:r>
          </w:p>
          <w:p w14:paraId="1CF17ED7" w14:textId="77777777" w:rsidR="008563D8" w:rsidRPr="00D756B5" w:rsidRDefault="008563D8" w:rsidP="008563D8">
            <w:pPr>
              <w:spacing w:line="276" w:lineRule="auto"/>
              <w:jc w:val="both"/>
              <w:rPr>
                <w:bCs/>
                <w:szCs w:val="24"/>
                <w:lang w:val="sq-AL"/>
              </w:rPr>
            </w:pPr>
          </w:p>
          <w:p w14:paraId="779BB2A1" w14:textId="77777777" w:rsidR="008563D8" w:rsidRPr="00D756B5" w:rsidRDefault="008563D8" w:rsidP="008563D8">
            <w:pPr>
              <w:pStyle w:val="ListParagraph"/>
              <w:numPr>
                <w:ilvl w:val="0"/>
                <w:numId w:val="55"/>
              </w:numPr>
              <w:spacing w:line="276" w:lineRule="auto"/>
              <w:jc w:val="both"/>
              <w:rPr>
                <w:bCs/>
                <w:szCs w:val="24"/>
                <w:lang w:val="sq-AL"/>
              </w:rPr>
            </w:pPr>
            <w:r w:rsidRPr="00D756B5">
              <w:rPr>
                <w:rFonts w:ascii="Times New Roman" w:hAnsi="Times New Roman"/>
                <w:bCs/>
                <w:sz w:val="24"/>
                <w:szCs w:val="24"/>
                <w:lang w:val="sq-AL"/>
              </w:rPr>
              <w:t>Ministria përgjegjëse për ekonominë: Do të mbikëqyrë implementimin e ndryshimeve ligjore dhe harmonizimin e kuadrit kombëtar me direktivat e BE-së. Do të sigurojë integrimin e reformave në politikën ekonomike dhe do të bashkëpunojë me institucionet e tjera për zhvillimin e strategjive të zbatimit.</w:t>
            </w:r>
          </w:p>
          <w:p w14:paraId="2B20B0FE" w14:textId="77777777" w:rsidR="008563D8" w:rsidRPr="00D756B5" w:rsidRDefault="008563D8" w:rsidP="008563D8">
            <w:pPr>
              <w:spacing w:line="276" w:lineRule="auto"/>
              <w:jc w:val="both"/>
              <w:rPr>
                <w:bCs/>
                <w:szCs w:val="24"/>
                <w:lang w:val="sq-AL"/>
              </w:rPr>
            </w:pPr>
          </w:p>
          <w:p w14:paraId="2032C655" w14:textId="77777777" w:rsidR="008563D8" w:rsidRPr="00D756B5" w:rsidRDefault="008563D8" w:rsidP="008563D8">
            <w:pPr>
              <w:pStyle w:val="ListParagraph"/>
              <w:numPr>
                <w:ilvl w:val="0"/>
                <w:numId w:val="55"/>
              </w:numPr>
              <w:spacing w:line="276" w:lineRule="auto"/>
              <w:jc w:val="both"/>
              <w:rPr>
                <w:bCs/>
                <w:szCs w:val="24"/>
                <w:lang w:val="sq-AL"/>
              </w:rPr>
            </w:pPr>
            <w:r w:rsidRPr="00D756B5">
              <w:rPr>
                <w:rFonts w:ascii="Times New Roman" w:hAnsi="Times New Roman"/>
                <w:bCs/>
                <w:sz w:val="24"/>
                <w:szCs w:val="24"/>
                <w:lang w:val="sq-AL"/>
              </w:rPr>
              <w:t>Ministria përgjegjëse për financat: Do të monitorojë përputhshmërinë me kërkesat fiskale dhe ligjore të BE-së, duke përfshirë administratën tatimore, për të siguruar që politikat dhe procedurat financiare të jenë në përputhje me standardet ndërkombëtare.</w:t>
            </w:r>
          </w:p>
          <w:p w14:paraId="56EF7E59" w14:textId="77777777" w:rsidR="008563D8" w:rsidRPr="00D756B5" w:rsidRDefault="008563D8" w:rsidP="008563D8">
            <w:pPr>
              <w:spacing w:line="276" w:lineRule="auto"/>
              <w:jc w:val="both"/>
              <w:rPr>
                <w:bCs/>
                <w:szCs w:val="24"/>
                <w:lang w:val="sq-AL"/>
              </w:rPr>
            </w:pPr>
          </w:p>
          <w:p w14:paraId="3CCF0382" w14:textId="77777777" w:rsidR="008563D8" w:rsidRPr="00D756B5" w:rsidRDefault="008563D8" w:rsidP="008563D8">
            <w:pPr>
              <w:pStyle w:val="ListParagraph"/>
              <w:numPr>
                <w:ilvl w:val="0"/>
                <w:numId w:val="55"/>
              </w:numPr>
              <w:spacing w:line="276" w:lineRule="auto"/>
              <w:jc w:val="both"/>
              <w:rPr>
                <w:bCs/>
                <w:szCs w:val="24"/>
                <w:lang w:val="sq-AL"/>
              </w:rPr>
            </w:pPr>
            <w:r w:rsidRPr="00D756B5">
              <w:rPr>
                <w:rFonts w:ascii="Times New Roman" w:hAnsi="Times New Roman"/>
                <w:bCs/>
                <w:sz w:val="24"/>
                <w:szCs w:val="24"/>
                <w:lang w:val="sq-AL"/>
              </w:rPr>
              <w:t>Qendra Kombëtare e Biznesit (QKB): Do të mbikëqyrë regjistrimin e shoqërive dhe përdorimin e mjeteve digjitale për përputhshmërinë me rregullat e qeverisjes korporative dhe standardet ndërkufitare. QKB do të sigurojë që regjistrat e biznesit të jenë të lidhur dhe të thjeshtuar, duke punuar së bashku me AKSHI dhe AKCESK për lidhjen e regjistrave me BRIS.</w:t>
            </w:r>
          </w:p>
          <w:p w14:paraId="6CC670A2" w14:textId="77777777" w:rsidR="008563D8" w:rsidRPr="00D756B5" w:rsidRDefault="008563D8" w:rsidP="008563D8">
            <w:pPr>
              <w:spacing w:line="276" w:lineRule="auto"/>
              <w:jc w:val="both"/>
              <w:rPr>
                <w:bCs/>
                <w:szCs w:val="24"/>
                <w:lang w:val="sq-AL"/>
              </w:rPr>
            </w:pPr>
          </w:p>
          <w:p w14:paraId="13DBF1F6" w14:textId="77777777" w:rsidR="008563D8" w:rsidRPr="00D756B5" w:rsidRDefault="008563D8" w:rsidP="008563D8">
            <w:pPr>
              <w:pStyle w:val="ListParagraph"/>
              <w:numPr>
                <w:ilvl w:val="0"/>
                <w:numId w:val="55"/>
              </w:numPr>
              <w:spacing w:line="276" w:lineRule="auto"/>
              <w:jc w:val="both"/>
              <w:rPr>
                <w:bCs/>
                <w:szCs w:val="24"/>
                <w:lang w:val="sq-AL"/>
              </w:rPr>
            </w:pPr>
            <w:r w:rsidRPr="00D756B5">
              <w:rPr>
                <w:rFonts w:ascii="Times New Roman" w:hAnsi="Times New Roman"/>
                <w:bCs/>
                <w:sz w:val="24"/>
                <w:szCs w:val="24"/>
                <w:lang w:val="sq-AL"/>
              </w:rPr>
              <w:t>Instituti i Statistikave (INSTAT): Do të monitorojë dhe analizojë tregues ekonomikë dhe tregues të qeverisjes korporative të ndara edhe sipas gjinisë për të matur ndikimin e reformave, duke ofruar të dhëna që do të udhëheqin përmirësime të ardhshme në kuadrin ligjor.</w:t>
            </w:r>
          </w:p>
          <w:p w14:paraId="77DE2EA0" w14:textId="77777777" w:rsidR="008563D8" w:rsidRPr="00D756B5" w:rsidRDefault="008563D8" w:rsidP="008563D8">
            <w:pPr>
              <w:spacing w:line="276" w:lineRule="auto"/>
              <w:jc w:val="both"/>
              <w:rPr>
                <w:bCs/>
                <w:szCs w:val="24"/>
                <w:lang w:val="sq-AL"/>
              </w:rPr>
            </w:pPr>
          </w:p>
          <w:p w14:paraId="21AF9C2C" w14:textId="77777777" w:rsidR="008563D8" w:rsidRPr="00D756B5" w:rsidRDefault="008563D8" w:rsidP="008563D8">
            <w:pPr>
              <w:pStyle w:val="ListParagraph"/>
              <w:numPr>
                <w:ilvl w:val="0"/>
                <w:numId w:val="55"/>
              </w:numPr>
              <w:spacing w:line="276" w:lineRule="auto"/>
              <w:jc w:val="both"/>
              <w:rPr>
                <w:bCs/>
                <w:szCs w:val="24"/>
                <w:lang w:val="sq-AL"/>
              </w:rPr>
            </w:pPr>
            <w:r w:rsidRPr="00D756B5">
              <w:rPr>
                <w:rFonts w:ascii="Times New Roman" w:hAnsi="Times New Roman"/>
                <w:bCs/>
                <w:sz w:val="24"/>
                <w:szCs w:val="24"/>
                <w:lang w:val="sq-AL"/>
              </w:rPr>
              <w:lastRenderedPageBreak/>
              <w:t>Ministria e Shtetit për Mbrojtjen e Sipërmarrjes: Do të monitorojë ndikimin social të reformave mbi bizneset, veçanërisht mbi SME-të, duke ofruar asistencë, trajnim dhe këshillim për përputhshmërinë me ligjin e përditësuar të shoqërive.</w:t>
            </w:r>
          </w:p>
          <w:p w14:paraId="69071B20" w14:textId="77777777" w:rsidR="008563D8" w:rsidRPr="00D756B5" w:rsidRDefault="008563D8" w:rsidP="008563D8">
            <w:pPr>
              <w:spacing w:line="276" w:lineRule="auto"/>
              <w:jc w:val="both"/>
              <w:rPr>
                <w:bCs/>
                <w:szCs w:val="24"/>
                <w:lang w:val="sq-AL"/>
              </w:rPr>
            </w:pPr>
          </w:p>
          <w:p w14:paraId="1CF085E1" w14:textId="00417C84" w:rsidR="008563D8" w:rsidRPr="00D756B5" w:rsidRDefault="008563D8">
            <w:pPr>
              <w:pStyle w:val="ListParagraph"/>
              <w:numPr>
                <w:ilvl w:val="0"/>
                <w:numId w:val="55"/>
              </w:numPr>
              <w:spacing w:line="276" w:lineRule="auto"/>
              <w:jc w:val="both"/>
              <w:rPr>
                <w:bCs/>
                <w:szCs w:val="24"/>
                <w:lang w:val="sq-AL"/>
              </w:rPr>
            </w:pPr>
            <w:r w:rsidRPr="00D756B5">
              <w:rPr>
                <w:rFonts w:ascii="Times New Roman" w:hAnsi="Times New Roman"/>
                <w:bCs/>
                <w:sz w:val="24"/>
                <w:szCs w:val="24"/>
                <w:lang w:val="sq-AL"/>
              </w:rPr>
              <w:t>Autoriteti i Konkurrencës: Do të monitorojë përputhshmërinë e shoqërive me rregullat e konkurrencës, do të shqyrtojë përqendrimet e reja në treg dhe do të sigurojë që konkurrenca të jetë e ndershme, duke parandaluar praktikat anti-konkurruese dhe abuzive.</w:t>
            </w:r>
          </w:p>
          <w:p w14:paraId="5749D3CB" w14:textId="77777777" w:rsidR="003E2109" w:rsidRPr="003E2109" w:rsidRDefault="003E2109" w:rsidP="00D756B5">
            <w:pPr>
              <w:pStyle w:val="ListParagraph"/>
              <w:rPr>
                <w:bCs/>
                <w:szCs w:val="24"/>
                <w:lang w:val="sq-AL"/>
              </w:rPr>
            </w:pPr>
          </w:p>
          <w:p w14:paraId="3C6BCBBF" w14:textId="34BFD6E5" w:rsidR="003E2109" w:rsidRPr="002310AE" w:rsidRDefault="003E2109" w:rsidP="003E2109">
            <w:pPr>
              <w:pStyle w:val="ListParagraph"/>
              <w:numPr>
                <w:ilvl w:val="0"/>
                <w:numId w:val="9"/>
              </w:numPr>
              <w:rPr>
                <w:rFonts w:ascii="Times New Roman" w:hAnsi="Times New Roman"/>
                <w:color w:val="000000" w:themeColor="text1"/>
                <w:sz w:val="24"/>
                <w:szCs w:val="24"/>
                <w:lang w:val="sq-AL"/>
              </w:rPr>
            </w:pPr>
            <w:r w:rsidRPr="002310AE">
              <w:rPr>
                <w:rFonts w:ascii="Times New Roman" w:hAnsi="Times New Roman"/>
                <w:color w:val="000000" w:themeColor="text1"/>
                <w:sz w:val="24"/>
                <w:szCs w:val="24"/>
                <w:lang w:val="sq-AL"/>
              </w:rPr>
              <w:t>Autoriteti i Mbikqyrjes Financiare</w:t>
            </w:r>
            <w:r>
              <w:rPr>
                <w:rFonts w:ascii="Times New Roman" w:hAnsi="Times New Roman"/>
                <w:color w:val="000000" w:themeColor="text1"/>
                <w:sz w:val="24"/>
                <w:szCs w:val="24"/>
                <w:lang w:val="sq-AL"/>
              </w:rPr>
              <w:t xml:space="preserve"> për sa i takon zbatimit të komponentëve të </w:t>
            </w:r>
            <w:r w:rsidR="00AD581D" w:rsidRPr="00AD581D">
              <w:rPr>
                <w:rFonts w:ascii="Times New Roman" w:hAnsi="Times New Roman"/>
                <w:color w:val="000000" w:themeColor="text1"/>
                <w:sz w:val="24"/>
                <w:szCs w:val="24"/>
                <w:lang w:val="sq-AL"/>
              </w:rPr>
              <w:t>Direktivës 2007/36/KE (e ndryshuar), në përputhje edhe me  Dokumentin Politik  “Për Krijimin e një Mjedisi Mundësues për Zhvillimin e Tregjeve të Kapitalit në Shqipëri, 2023–2027” .</w:t>
            </w:r>
            <w:r>
              <w:rPr>
                <w:rFonts w:ascii="Times New Roman" w:hAnsi="Times New Roman"/>
                <w:color w:val="000000" w:themeColor="text1"/>
                <w:sz w:val="24"/>
                <w:szCs w:val="24"/>
                <w:lang w:val="sq-AL"/>
              </w:rPr>
              <w:t>;</w:t>
            </w:r>
          </w:p>
          <w:p w14:paraId="63F55EFC" w14:textId="77777777" w:rsidR="003E2109" w:rsidRPr="008563D8" w:rsidRDefault="003E2109" w:rsidP="00D756B5">
            <w:pPr>
              <w:pStyle w:val="ListParagraph"/>
              <w:numPr>
                <w:ilvl w:val="0"/>
                <w:numId w:val="55"/>
              </w:numPr>
              <w:spacing w:line="276" w:lineRule="auto"/>
              <w:jc w:val="both"/>
              <w:rPr>
                <w:bCs/>
                <w:szCs w:val="24"/>
                <w:lang w:val="sq-AL"/>
              </w:rPr>
            </w:pPr>
          </w:p>
          <w:p w14:paraId="042CDD7D" w14:textId="28F8D480" w:rsidR="00B5039C" w:rsidRPr="004A51B2" w:rsidRDefault="00B5039C" w:rsidP="00AE31B0">
            <w:pPr>
              <w:spacing w:line="276" w:lineRule="auto"/>
              <w:jc w:val="both"/>
              <w:rPr>
                <w:iCs/>
                <w:szCs w:val="24"/>
                <w:lang w:val="sq-AL"/>
              </w:rPr>
            </w:pPr>
          </w:p>
        </w:tc>
      </w:tr>
    </w:tbl>
    <w:p w14:paraId="54998794" w14:textId="77777777" w:rsidR="00733DCB" w:rsidRDefault="00733DCB" w:rsidP="00733DCB">
      <w:pPr>
        <w:rPr>
          <w:lang w:val="sq-AL"/>
        </w:rPr>
      </w:pPr>
      <w:bookmarkStart w:id="10" w:name="_Toc506919731"/>
    </w:p>
    <w:p w14:paraId="20F32590" w14:textId="77777777" w:rsidR="00733DCB" w:rsidRPr="00733DCB" w:rsidRDefault="00733DCB" w:rsidP="00733DCB">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FD5942" w:rsidRPr="00331272" w14:paraId="0DA63DEA"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F4D543" w14:textId="77777777" w:rsidR="00C133FC" w:rsidRPr="009C75E3" w:rsidRDefault="00C133FC" w:rsidP="00C133FC">
            <w:pPr>
              <w:jc w:val="both"/>
              <w:rPr>
                <w:b/>
                <w:lang w:val="sq-AL"/>
              </w:rPr>
            </w:pPr>
            <w:bookmarkStart w:id="11" w:name="_Hlk191986976"/>
            <w:r w:rsidRPr="009C75E3">
              <w:rPr>
                <w:b/>
                <w:lang w:val="sq-AL"/>
              </w:rPr>
              <w:t xml:space="preserve">PJESA 2: BAZA KRYESORE E ANALIZËS DHE E PROVAVE </w:t>
            </w:r>
          </w:p>
        </w:tc>
      </w:tr>
      <w:bookmarkEnd w:id="11"/>
    </w:tbl>
    <w:p w14:paraId="3DA1F3EE" w14:textId="77777777" w:rsidR="00C133FC" w:rsidRPr="00C133FC" w:rsidRDefault="00C133FC" w:rsidP="00B17990">
      <w:pPr>
        <w:rPr>
          <w:lang w:val="sq-AL"/>
        </w:rPr>
      </w:pPr>
    </w:p>
    <w:p w14:paraId="0917B49A" w14:textId="77777777" w:rsidR="002125B7" w:rsidRPr="00325A1F" w:rsidRDefault="002125B7" w:rsidP="009D13F4">
      <w:pPr>
        <w:pStyle w:val="Heading1"/>
        <w:spacing w:line="276" w:lineRule="auto"/>
        <w:rPr>
          <w:rFonts w:ascii="Times New Roman" w:hAnsi="Times New Roman" w:cs="Times New Roman"/>
          <w:sz w:val="24"/>
          <w:szCs w:val="24"/>
          <w:lang w:val="sq-AL"/>
        </w:rPr>
      </w:pPr>
      <w:bookmarkStart w:id="12" w:name="_Hlk191986986"/>
      <w:r w:rsidRPr="00325A1F">
        <w:rPr>
          <w:rFonts w:ascii="Times New Roman" w:hAnsi="Times New Roman" w:cs="Times New Roman"/>
          <w:sz w:val="24"/>
          <w:szCs w:val="24"/>
          <w:lang w:val="sq-AL"/>
        </w:rPr>
        <w:t>Historik</w:t>
      </w:r>
      <w:bookmarkEnd w:id="10"/>
    </w:p>
    <w:sdt>
      <w:sdtPr>
        <w:rPr>
          <w:i/>
          <w:iCs/>
          <w:lang w:val="sq-AL"/>
        </w:rPr>
        <w:id w:val="-1879696236"/>
        <w:lock w:val="contentLocked"/>
        <w:placeholder>
          <w:docPart w:val="DefaultPlaceholder_-1854013440"/>
        </w:placeholder>
      </w:sdtPr>
      <w:sdtEndPr/>
      <w:sdtContent>
        <w:p w14:paraId="6D7821D4" w14:textId="77777777" w:rsidR="002125B7" w:rsidRPr="00BC6D7D" w:rsidRDefault="007F435A" w:rsidP="009D13F4">
          <w:pPr>
            <w:spacing w:line="276" w:lineRule="auto"/>
            <w:rPr>
              <w:i/>
              <w:szCs w:val="24"/>
              <w:lang w:val="sq-AL"/>
            </w:rPr>
          </w:pPr>
          <w:r w:rsidRPr="00BC6D7D">
            <w:rPr>
              <w:i/>
              <w:szCs w:val="24"/>
              <w:lang w:val="sq-AL"/>
            </w:rPr>
            <w:t>Jepni kontekstin e politikës</w:t>
          </w:r>
          <w:r w:rsidR="00FA63FD">
            <w:rPr>
              <w:i/>
              <w:szCs w:val="24"/>
              <w:lang w:val="sq-AL"/>
            </w:rPr>
            <w:t>.</w:t>
          </w:r>
        </w:p>
      </w:sdtContent>
    </w:sdt>
    <w:bookmarkStart w:id="13" w:name="_heading=h.tue0nyd9tpds" w:colFirst="0" w:colLast="0" w:displacedByCustomXml="prev"/>
    <w:bookmarkEnd w:id="13" w:displacedByCustomXml="prev"/>
    <w:bookmarkEnd w:id="12" w:displacedByCustomXml="next"/>
    <w:sdt>
      <w:sdtPr>
        <w:rPr>
          <w:lang w:val="sq-AL"/>
        </w:rPr>
        <w:id w:val="1083723407"/>
        <w:placeholder>
          <w:docPart w:val="DefaultPlaceholder_1081868574"/>
        </w:placeholder>
      </w:sdtPr>
      <w:sdtEndPr/>
      <w:sdtContent>
        <w:p w14:paraId="72AB3A5E" w14:textId="2D9E3114" w:rsidR="00F74152" w:rsidRDefault="00F74152" w:rsidP="00F74152">
          <w:pPr>
            <w:jc w:val="both"/>
            <w:rPr>
              <w:lang w:val="sq-AL"/>
            </w:rPr>
          </w:pPr>
          <w:r w:rsidRPr="00F74152">
            <w:rPr>
              <w:lang w:val="sq-AL"/>
            </w:rPr>
            <w:t xml:space="preserve">Duke nisur prej muajit maj 2008, themelimi, organizimi dhe drejtimi i organizatave të biznesit në Shqipëri rregullohet me ligjin nr.9901, datë 14.04.2008, “Për tregtarët dhe shoqëritë tregtare” (ligji për shoqëritë tregtare). Në vitin 2011 Kuvendi i Shqipërisë miratoi një ndryshim në ligjin për shoqëritë tregtare, me qëllim përshtatjen e nivelit të kapitalit minimal të shoqërive aksionare, me kërkesat e Direktivës së Dytë të BE-së mbi </w:t>
          </w:r>
          <w:r w:rsidR="00C671CA">
            <w:rPr>
              <w:lang w:val="sq-AL"/>
            </w:rPr>
            <w:t>Ligjin 9901/2008</w:t>
          </w:r>
          <w:r w:rsidRPr="00F74152">
            <w:rPr>
              <w:lang w:val="sq-AL"/>
            </w:rPr>
            <w:t>.</w:t>
          </w:r>
          <w:r>
            <w:rPr>
              <w:lang w:val="sq-AL"/>
            </w:rPr>
            <w:t xml:space="preserve"> </w:t>
          </w:r>
          <w:r w:rsidRPr="00F74152">
            <w:rPr>
              <w:lang w:val="sq-AL"/>
            </w:rPr>
            <w:t>Në vitin 2014, me qëllim harmonizimin e mëtejshëm me direktivat e reja të BE-së, Kuvendi i Shqipërisë miratoi disa shtesa dhe ndryshime të mëtejshme me karakter më thelbësor në ligjin për shoqëritë tregtare. Gjithashtu, me anë të këtyre shtesave dhe ndryshimeve synohej që të harmonizoheshin më tej dispozitat e ligjit për shoqëritë tregtare me disa akte të tjera ligjore shqiptare dhe të qartësoheshin disa çështje praktike që u hasën gjatë zbatimit të tij. Në këtë proces, shumë palë interesi nga komuniteti i biznesit dhe juristë shqiptarë morën në shqyrtim kuadrin ligjor tregtar.</w:t>
          </w:r>
        </w:p>
        <w:p w14:paraId="4B89DEF0" w14:textId="77777777" w:rsidR="00DB05C7" w:rsidRDefault="00DB05C7" w:rsidP="00F74152">
          <w:pPr>
            <w:jc w:val="both"/>
            <w:rPr>
              <w:lang w:val="sq-AL"/>
            </w:rPr>
          </w:pPr>
        </w:p>
        <w:p w14:paraId="3C79F3E6" w14:textId="77777777" w:rsidR="00DB05C7" w:rsidRPr="00DB05C7" w:rsidRDefault="00DB05C7" w:rsidP="00DB05C7">
          <w:pPr>
            <w:jc w:val="both"/>
            <w:rPr>
              <w:lang w:val="sq-AL"/>
            </w:rPr>
          </w:pPr>
          <w:r w:rsidRPr="00DB05C7">
            <w:rPr>
              <w:lang w:val="sq-AL"/>
            </w:rPr>
            <w:t>Sipas të dhënave të disponueshme në Raportin e Regjistrave të Biznesit përgatitur nga INSTAT për vitin 2023, është përgatitur dhe një analizë ndikimi bazuar në të dhënat aktuale të shoqërive në Shqipëri.</w:t>
          </w:r>
        </w:p>
        <w:p w14:paraId="2D8E946D" w14:textId="77777777" w:rsidR="00DB05C7" w:rsidRDefault="00DB05C7" w:rsidP="00DB05C7">
          <w:pPr>
            <w:jc w:val="both"/>
            <w:rPr>
              <w:lang w:val="sq-AL"/>
            </w:rPr>
          </w:pPr>
          <w:r w:rsidRPr="00DB05C7">
            <w:rPr>
              <w:lang w:val="sq-AL"/>
            </w:rPr>
            <w:t>Në vitin 2023, në Shqipëri janë 226,778 njësitë ligjore aktive, që përfshijnë një gamë të gjerë entitetesh, si Shoqëritë me Përgjegjësi të Kufizuar Shoqëritë Aksionare dhe forma të tjera ligjore. Prej këtyre, gjithsej 28,292 janë SHPK dhe 716 janë SHA. Entitetet e tjera ligjore janë të klasifikuara në forma të ndryshme, siç janë entitetet publike, OJQ-të dhe struktura të tjera jo-korporative.</w:t>
          </w:r>
        </w:p>
        <w:p w14:paraId="2A7679E9" w14:textId="77777777" w:rsidR="00DB05C7" w:rsidRPr="00DB05C7" w:rsidRDefault="00DB05C7" w:rsidP="00DB05C7">
          <w:pPr>
            <w:jc w:val="both"/>
            <w:rPr>
              <w:lang w:val="sq-AL"/>
            </w:rPr>
          </w:pPr>
        </w:p>
        <w:p w14:paraId="51E0D337" w14:textId="77777777" w:rsidR="00DB05C7" w:rsidRPr="00DB05C7" w:rsidRDefault="00DB05C7" w:rsidP="00DB05C7">
          <w:pPr>
            <w:jc w:val="both"/>
            <w:rPr>
              <w:lang w:val="sq-AL"/>
            </w:rPr>
          </w:pPr>
          <w:r w:rsidRPr="00DB05C7">
            <w:rPr>
              <w:lang w:val="sq-AL"/>
            </w:rPr>
            <w:t>Nga 130,338 ndërmarrje aktive (përjashtuar fermerët), shumica janë ndërmarrje të vogla: 86.2% e tyre janë "prodhues të shërbimeve", përfshirë industrinë e tregtisë (44,267), akomodimin dhe shërbimet e ushqimit (17,962), dhe shërbime të tjera (38,299). Numri i ndërmarrjeve të mëdha (me më shumë se 50 punonjës) është relativisht i vogël, duke përbërë vetëm 1.6% të totalit, por ato punësojnë 50% të forcës së punës dhe gjenerojnë 45.3% të xhiros totale. Kjo tregon se, megjithëse shumica e ndërmarrjeve janë të vogla në madhësi, ato të mëdha kontribuojnë dispropocionalisht në ekonomi.</w:t>
          </w:r>
        </w:p>
        <w:p w14:paraId="648EC583" w14:textId="77777777" w:rsidR="000903E3" w:rsidRDefault="000903E3" w:rsidP="00F74152">
          <w:pPr>
            <w:jc w:val="both"/>
            <w:rPr>
              <w:lang w:val="sq-AL"/>
            </w:rPr>
          </w:pPr>
        </w:p>
        <w:p w14:paraId="2353147B" w14:textId="365A48F9" w:rsidR="000903E3" w:rsidRDefault="000903E3" w:rsidP="000903E3">
          <w:pPr>
            <w:jc w:val="both"/>
            <w:rPr>
              <w:lang w:val="sq-AL"/>
            </w:rPr>
          </w:pPr>
          <w:r w:rsidRPr="000903E3">
            <w:rPr>
              <w:lang w:val="sq-AL"/>
            </w:rPr>
            <w:t xml:space="preserve">Synimi i ligjit për shoqëritë tregtare ishte sanksionimi i një sistemi të thjeshtë, të qartë dhe të përditësuar, i aftë për të thithur investime të huaja dhe për të siguruar harmonizimin e dispozitave të tij me legjislacionin evropian të shoqërive tregtare, përfshirë direktivat përkatëse. Rrjedhimisht, ligji për shoqëritë tregtare pasqyron standardet e BE-së dhe ato ndërkombëtare lidhur me të drejtën tregtare, drejtimin e brendshëm të shoqërive tregtare dhe përgjegjësinë sociale të shoqërive tregtare. Legjislacioni evropian ndryshon shpesh, </w:t>
          </w:r>
          <w:r w:rsidRPr="000903E3">
            <w:rPr>
              <w:lang w:val="sq-AL"/>
            </w:rPr>
            <w:lastRenderedPageBreak/>
            <w:t>dhe për rrjedhojë, legjislacioni shqiptar duhet të ndjekë ritmin e zhvillimeve të reja në nivel</w:t>
          </w:r>
          <w:r w:rsidR="00B10788">
            <w:rPr>
              <w:lang w:val="sq-AL"/>
            </w:rPr>
            <w:t xml:space="preserve"> evropian</w:t>
          </w:r>
          <w:r w:rsidR="00AD5272">
            <w:rPr>
              <w:lang w:val="sq-AL"/>
            </w:rPr>
            <w:t xml:space="preserve">. </w:t>
          </w:r>
          <w:r w:rsidR="00AD5272" w:rsidRPr="00AD5272">
            <w:rPr>
              <w:lang w:val="sq-AL"/>
            </w:rPr>
            <w:t>Ligji shqiptar për shoqëritë tregtare i vitit 2008 përputhet me sistemet e reja rajonale të së drejtës tregtare, aspekt ky i rëndësishëm që pasqyron kërkesën për integrim rajonal dhe marrëdhënie ekonomike rajonale, parashikuar në Titullin III të Marrëveshjes për Stabilizim dhe Asocim</w:t>
          </w:r>
          <w:r w:rsidR="005F23C8">
            <w:rPr>
              <w:lang w:val="sq-AL"/>
            </w:rPr>
            <w:t>it</w:t>
          </w:r>
          <w:r w:rsidR="00AD5272" w:rsidRPr="00AD5272">
            <w:rPr>
              <w:lang w:val="sq-AL"/>
            </w:rPr>
            <w:t xml:space="preserve"> (MSA) nënshkruar më 12 qershor 2006 mes BE-së, Shteteve Anëtare të BE-së dhe Shqipërisë. Në këtë aspekt, me anë të ligjit për shoqëritë tregtare synohet mundësimi i anëtarësimit të Shqipërisë në Bashkimin Evropian. </w:t>
          </w:r>
        </w:p>
        <w:p w14:paraId="0FD1BD13" w14:textId="77777777" w:rsidR="00401BD9" w:rsidRDefault="00401BD9" w:rsidP="000903E3">
          <w:pPr>
            <w:jc w:val="both"/>
            <w:rPr>
              <w:lang w:val="sq-AL"/>
            </w:rPr>
          </w:pPr>
        </w:p>
        <w:p w14:paraId="021402F3" w14:textId="4A0CBC8C" w:rsidR="006718EC" w:rsidRDefault="006F68D1" w:rsidP="000903E3">
          <w:pPr>
            <w:jc w:val="both"/>
            <w:rPr>
              <w:lang w:val="sq-AL"/>
            </w:rPr>
          </w:pPr>
          <w:r w:rsidRPr="00C631BF">
            <w:rPr>
              <w:lang w:val="sq-AL"/>
            </w:rPr>
            <w:t xml:space="preserve">Akte të tjera ligjore dhe nënligjore, të ndërlidhura me zbatimin e ligjit për shoqëritë tregtare </w:t>
          </w:r>
          <w:r>
            <w:rPr>
              <w:lang w:val="sq-AL"/>
            </w:rPr>
            <w:t>dhe</w:t>
          </w:r>
          <w:r w:rsidRPr="00C631BF">
            <w:rPr>
              <w:lang w:val="sq-AL"/>
            </w:rPr>
            <w:t xml:space="preserve"> të ndikuara prej tij, janë si vijon</w:t>
          </w:r>
        </w:p>
        <w:p w14:paraId="5D538B77" w14:textId="77777777" w:rsidR="006F68D1" w:rsidRPr="006F68D1" w:rsidRDefault="006F68D1" w:rsidP="000903E3">
          <w:pPr>
            <w:jc w:val="both"/>
            <w:rPr>
              <w:lang w:val="sq-AL"/>
            </w:rPr>
          </w:pPr>
        </w:p>
        <w:p w14:paraId="3F17CC7C" w14:textId="671CF72B" w:rsidR="00726CFA" w:rsidRPr="00962EFA" w:rsidRDefault="00340B72" w:rsidP="00C631BF">
          <w:pPr>
            <w:pStyle w:val="ListParagraph"/>
            <w:numPr>
              <w:ilvl w:val="0"/>
              <w:numId w:val="46"/>
            </w:numPr>
            <w:jc w:val="both"/>
            <w:rPr>
              <w:szCs w:val="24"/>
              <w:lang w:val="sq-AL"/>
            </w:rPr>
          </w:pPr>
          <w:r>
            <w:rPr>
              <w:rFonts w:ascii="Times New Roman" w:hAnsi="Times New Roman"/>
              <w:sz w:val="24"/>
              <w:szCs w:val="24"/>
              <w:lang w:val="sq-AL"/>
            </w:rPr>
            <w:t xml:space="preserve">  </w:t>
          </w:r>
          <w:r w:rsidR="00A6637E" w:rsidRPr="00C631BF">
            <w:rPr>
              <w:rFonts w:ascii="Times New Roman" w:hAnsi="Times New Roman"/>
              <w:sz w:val="24"/>
              <w:szCs w:val="24"/>
              <w:lang w:val="sq-AL"/>
            </w:rPr>
            <w:t>P</w:t>
          </w:r>
          <w:r w:rsidR="00962EFA">
            <w:rPr>
              <w:rFonts w:ascii="Times New Roman" w:hAnsi="Times New Roman"/>
              <w:sz w:val="24"/>
              <w:szCs w:val="24"/>
              <w:lang w:val="sq-AL"/>
            </w:rPr>
            <w:t>ë</w:t>
          </w:r>
          <w:r w:rsidR="00A6637E" w:rsidRPr="00C631BF">
            <w:rPr>
              <w:rFonts w:ascii="Times New Roman" w:hAnsi="Times New Roman"/>
              <w:sz w:val="24"/>
              <w:szCs w:val="24"/>
              <w:lang w:val="sq-AL"/>
            </w:rPr>
            <w:t>r regjistrimin e bizneseve n</w:t>
          </w:r>
          <w:r w:rsidR="00962EFA">
            <w:rPr>
              <w:rFonts w:ascii="Times New Roman" w:hAnsi="Times New Roman"/>
              <w:sz w:val="24"/>
              <w:szCs w:val="24"/>
              <w:lang w:val="sq-AL"/>
            </w:rPr>
            <w:t>ë</w:t>
          </w:r>
          <w:r w:rsidR="00A6637E" w:rsidRPr="00C631BF">
            <w:rPr>
              <w:rFonts w:ascii="Times New Roman" w:hAnsi="Times New Roman"/>
              <w:sz w:val="24"/>
              <w:szCs w:val="24"/>
              <w:lang w:val="sq-AL"/>
            </w:rPr>
            <w:t xml:space="preserve"> Shqip</w:t>
          </w:r>
          <w:r w:rsidR="00962EFA">
            <w:rPr>
              <w:rFonts w:ascii="Times New Roman" w:hAnsi="Times New Roman"/>
              <w:sz w:val="24"/>
              <w:szCs w:val="24"/>
              <w:lang w:val="sq-AL"/>
            </w:rPr>
            <w:t>ë</w:t>
          </w:r>
          <w:r w:rsidR="00A6637E" w:rsidRPr="00C631BF">
            <w:rPr>
              <w:rFonts w:ascii="Times New Roman" w:hAnsi="Times New Roman"/>
              <w:sz w:val="24"/>
              <w:szCs w:val="24"/>
              <w:lang w:val="sq-AL"/>
            </w:rPr>
            <w:t>ri u krijua Qendra Komb</w:t>
          </w:r>
          <w:r w:rsidR="00962EFA">
            <w:rPr>
              <w:rFonts w:ascii="Times New Roman" w:hAnsi="Times New Roman"/>
              <w:sz w:val="24"/>
              <w:szCs w:val="24"/>
              <w:lang w:val="sq-AL"/>
            </w:rPr>
            <w:t>ë</w:t>
          </w:r>
          <w:r w:rsidR="00A6637E" w:rsidRPr="00C631BF">
            <w:rPr>
              <w:rFonts w:ascii="Times New Roman" w:hAnsi="Times New Roman"/>
              <w:sz w:val="24"/>
              <w:szCs w:val="24"/>
              <w:lang w:val="sq-AL"/>
            </w:rPr>
            <w:t>tare e Regjistrimit (tashm</w:t>
          </w:r>
          <w:r w:rsidR="00962EFA">
            <w:rPr>
              <w:rFonts w:ascii="Times New Roman" w:hAnsi="Times New Roman"/>
              <w:sz w:val="24"/>
              <w:szCs w:val="24"/>
              <w:lang w:val="sq-AL"/>
            </w:rPr>
            <w:t>ë</w:t>
          </w:r>
          <w:r w:rsidR="00A6637E" w:rsidRPr="00C631BF">
            <w:rPr>
              <w:rFonts w:ascii="Times New Roman" w:hAnsi="Times New Roman"/>
              <w:sz w:val="24"/>
              <w:szCs w:val="24"/>
              <w:lang w:val="sq-AL"/>
            </w:rPr>
            <w:t>, Qendra Komb</w:t>
          </w:r>
          <w:r w:rsidR="00962EFA">
            <w:rPr>
              <w:rFonts w:ascii="Times New Roman" w:hAnsi="Times New Roman"/>
              <w:sz w:val="24"/>
              <w:szCs w:val="24"/>
              <w:lang w:val="sq-AL"/>
            </w:rPr>
            <w:t>ë</w:t>
          </w:r>
          <w:r w:rsidR="00A6637E" w:rsidRPr="00C631BF">
            <w:rPr>
              <w:rFonts w:ascii="Times New Roman" w:hAnsi="Times New Roman"/>
              <w:sz w:val="24"/>
              <w:szCs w:val="24"/>
              <w:lang w:val="sq-AL"/>
            </w:rPr>
            <w:t>tare e Biznesit</w:t>
          </w:r>
          <w:r w:rsidR="003A6EB2" w:rsidRPr="00C631BF">
            <w:rPr>
              <w:rFonts w:ascii="Times New Roman" w:hAnsi="Times New Roman"/>
              <w:sz w:val="24"/>
              <w:szCs w:val="24"/>
              <w:lang w:val="sq-AL"/>
            </w:rPr>
            <w:t xml:space="preserve"> me hyrjen n</w:t>
          </w:r>
          <w:r w:rsidR="00962EFA">
            <w:rPr>
              <w:rFonts w:ascii="Times New Roman" w:hAnsi="Times New Roman"/>
              <w:sz w:val="24"/>
              <w:szCs w:val="24"/>
              <w:lang w:val="sq-AL"/>
            </w:rPr>
            <w:t>ë</w:t>
          </w:r>
          <w:r w:rsidR="003A6EB2" w:rsidRPr="00C631BF">
            <w:rPr>
              <w:rFonts w:ascii="Times New Roman" w:hAnsi="Times New Roman"/>
              <w:sz w:val="24"/>
              <w:szCs w:val="24"/>
              <w:lang w:val="sq-AL"/>
            </w:rPr>
            <w:t xml:space="preserve"> fuqi t</w:t>
          </w:r>
          <w:r w:rsidR="00962EFA">
            <w:rPr>
              <w:rFonts w:ascii="Times New Roman" w:hAnsi="Times New Roman"/>
              <w:sz w:val="24"/>
              <w:szCs w:val="24"/>
              <w:lang w:val="sq-AL"/>
            </w:rPr>
            <w:t>ë</w:t>
          </w:r>
          <w:r w:rsidR="003A6EB2" w:rsidRPr="00C631BF">
            <w:rPr>
              <w:rFonts w:ascii="Times New Roman" w:hAnsi="Times New Roman"/>
              <w:sz w:val="24"/>
              <w:szCs w:val="24"/>
              <w:lang w:val="sq-AL"/>
            </w:rPr>
            <w:t xml:space="preserve"> Ligjit nr.</w:t>
          </w:r>
          <w:r w:rsidR="006F6424" w:rsidRPr="00C631BF">
            <w:rPr>
              <w:rFonts w:ascii="Times New Roman" w:hAnsi="Times New Roman"/>
              <w:sz w:val="24"/>
              <w:szCs w:val="24"/>
              <w:lang w:val="sq-AL"/>
            </w:rPr>
            <w:t xml:space="preserve"> 131/2015 “P</w:t>
          </w:r>
          <w:r w:rsidR="00962EFA">
            <w:rPr>
              <w:rFonts w:ascii="Times New Roman" w:hAnsi="Times New Roman"/>
              <w:sz w:val="24"/>
              <w:szCs w:val="24"/>
              <w:lang w:val="sq-AL"/>
            </w:rPr>
            <w:t>ë</w:t>
          </w:r>
          <w:r w:rsidR="006F6424" w:rsidRPr="00C631BF">
            <w:rPr>
              <w:rFonts w:ascii="Times New Roman" w:hAnsi="Times New Roman"/>
              <w:sz w:val="24"/>
              <w:szCs w:val="24"/>
              <w:lang w:val="sq-AL"/>
            </w:rPr>
            <w:t>r Qendr</w:t>
          </w:r>
          <w:r w:rsidR="00962EFA">
            <w:rPr>
              <w:rFonts w:ascii="Times New Roman" w:hAnsi="Times New Roman"/>
              <w:sz w:val="24"/>
              <w:szCs w:val="24"/>
              <w:lang w:val="sq-AL"/>
            </w:rPr>
            <w:t>ë</w:t>
          </w:r>
          <w:r w:rsidR="006F6424" w:rsidRPr="00C631BF">
            <w:rPr>
              <w:rFonts w:ascii="Times New Roman" w:hAnsi="Times New Roman"/>
              <w:sz w:val="24"/>
              <w:szCs w:val="24"/>
              <w:lang w:val="sq-AL"/>
            </w:rPr>
            <w:t>n Komb</w:t>
          </w:r>
          <w:r w:rsidR="00962EFA">
            <w:rPr>
              <w:rFonts w:ascii="Times New Roman" w:hAnsi="Times New Roman"/>
              <w:sz w:val="24"/>
              <w:szCs w:val="24"/>
              <w:lang w:val="sq-AL"/>
            </w:rPr>
            <w:t>ë</w:t>
          </w:r>
          <w:r w:rsidR="006F6424" w:rsidRPr="00C631BF">
            <w:rPr>
              <w:rFonts w:ascii="Times New Roman" w:hAnsi="Times New Roman"/>
              <w:sz w:val="24"/>
              <w:szCs w:val="24"/>
              <w:lang w:val="sq-AL"/>
            </w:rPr>
            <w:t>tare t</w:t>
          </w:r>
          <w:r w:rsidR="00962EFA">
            <w:rPr>
              <w:rFonts w:ascii="Times New Roman" w:hAnsi="Times New Roman"/>
              <w:sz w:val="24"/>
              <w:szCs w:val="24"/>
              <w:lang w:val="sq-AL"/>
            </w:rPr>
            <w:t>ë</w:t>
          </w:r>
          <w:r w:rsidR="006F6424" w:rsidRPr="00C631BF">
            <w:rPr>
              <w:rFonts w:ascii="Times New Roman" w:hAnsi="Times New Roman"/>
              <w:sz w:val="24"/>
              <w:szCs w:val="24"/>
              <w:lang w:val="sq-AL"/>
            </w:rPr>
            <w:t xml:space="preserve"> Biznesit)</w:t>
          </w:r>
          <w:r w:rsidR="00A6637E" w:rsidRPr="00C631BF">
            <w:rPr>
              <w:rFonts w:ascii="Times New Roman" w:hAnsi="Times New Roman"/>
              <w:sz w:val="24"/>
              <w:szCs w:val="24"/>
              <w:lang w:val="sq-AL"/>
            </w:rPr>
            <w:t xml:space="preserve"> me Ligjin nr. 9723, dat</w:t>
          </w:r>
          <w:r w:rsidR="00962EFA">
            <w:rPr>
              <w:rFonts w:ascii="Times New Roman" w:hAnsi="Times New Roman"/>
              <w:sz w:val="24"/>
              <w:szCs w:val="24"/>
              <w:lang w:val="sq-AL"/>
            </w:rPr>
            <w:t>ë</w:t>
          </w:r>
          <w:r w:rsidR="00A6637E" w:rsidRPr="00C631BF">
            <w:rPr>
              <w:rFonts w:ascii="Times New Roman" w:hAnsi="Times New Roman"/>
              <w:sz w:val="24"/>
              <w:szCs w:val="24"/>
              <w:lang w:val="sq-AL"/>
            </w:rPr>
            <w:t xml:space="preserve"> 3.05.2007 “P</w:t>
          </w:r>
          <w:r w:rsidR="00962EFA">
            <w:rPr>
              <w:rFonts w:ascii="Times New Roman" w:hAnsi="Times New Roman"/>
              <w:sz w:val="24"/>
              <w:szCs w:val="24"/>
              <w:lang w:val="sq-AL"/>
            </w:rPr>
            <w:t>ë</w:t>
          </w:r>
          <w:r w:rsidR="00A6637E" w:rsidRPr="00C631BF">
            <w:rPr>
              <w:rFonts w:ascii="Times New Roman" w:hAnsi="Times New Roman"/>
              <w:sz w:val="24"/>
              <w:szCs w:val="24"/>
              <w:lang w:val="sq-AL"/>
            </w:rPr>
            <w:t>r Qendr</w:t>
          </w:r>
          <w:r w:rsidR="00962EFA">
            <w:rPr>
              <w:rFonts w:ascii="Times New Roman" w:hAnsi="Times New Roman"/>
              <w:sz w:val="24"/>
              <w:szCs w:val="24"/>
              <w:lang w:val="sq-AL"/>
            </w:rPr>
            <w:t>ë</w:t>
          </w:r>
          <w:r w:rsidR="00A6637E" w:rsidRPr="00C631BF">
            <w:rPr>
              <w:rFonts w:ascii="Times New Roman" w:hAnsi="Times New Roman"/>
              <w:sz w:val="24"/>
              <w:szCs w:val="24"/>
              <w:lang w:val="sq-AL"/>
            </w:rPr>
            <w:t>n Komb</w:t>
          </w:r>
          <w:r w:rsidR="00962EFA">
            <w:rPr>
              <w:rFonts w:ascii="Times New Roman" w:hAnsi="Times New Roman"/>
              <w:sz w:val="24"/>
              <w:szCs w:val="24"/>
              <w:lang w:val="sq-AL"/>
            </w:rPr>
            <w:t>ë</w:t>
          </w:r>
          <w:r w:rsidR="00A6637E" w:rsidRPr="00C631BF">
            <w:rPr>
              <w:rFonts w:ascii="Times New Roman" w:hAnsi="Times New Roman"/>
              <w:sz w:val="24"/>
              <w:szCs w:val="24"/>
              <w:lang w:val="sq-AL"/>
            </w:rPr>
            <w:t>tare t</w:t>
          </w:r>
          <w:r w:rsidR="00962EFA">
            <w:rPr>
              <w:rFonts w:ascii="Times New Roman" w:hAnsi="Times New Roman"/>
              <w:sz w:val="24"/>
              <w:szCs w:val="24"/>
              <w:lang w:val="sq-AL"/>
            </w:rPr>
            <w:t>ë</w:t>
          </w:r>
          <w:r w:rsidR="00A6637E" w:rsidRPr="00C631BF">
            <w:rPr>
              <w:rFonts w:ascii="Times New Roman" w:hAnsi="Times New Roman"/>
              <w:sz w:val="24"/>
              <w:szCs w:val="24"/>
              <w:lang w:val="sq-AL"/>
            </w:rPr>
            <w:t xml:space="preserve"> Regjistrimit”</w:t>
          </w:r>
          <w:r w:rsidR="00C4260A" w:rsidRPr="00C631BF">
            <w:rPr>
              <w:rFonts w:ascii="Times New Roman" w:hAnsi="Times New Roman"/>
              <w:sz w:val="24"/>
              <w:szCs w:val="24"/>
              <w:lang w:val="sq-AL"/>
            </w:rPr>
            <w:t xml:space="preserve"> (ligji p</w:t>
          </w:r>
          <w:r w:rsidR="00962EFA">
            <w:rPr>
              <w:rFonts w:ascii="Times New Roman" w:hAnsi="Times New Roman"/>
              <w:sz w:val="24"/>
              <w:szCs w:val="24"/>
              <w:lang w:val="sq-AL"/>
            </w:rPr>
            <w:t>ë</w:t>
          </w:r>
          <w:r w:rsidR="00C4260A" w:rsidRPr="00C631BF">
            <w:rPr>
              <w:rFonts w:ascii="Times New Roman" w:hAnsi="Times New Roman"/>
              <w:sz w:val="24"/>
              <w:szCs w:val="24"/>
              <w:lang w:val="sq-AL"/>
            </w:rPr>
            <w:t>r QKB) i cili shfuqizoi Ligjin nr. 7667, dat</w:t>
          </w:r>
          <w:r w:rsidR="00962EFA">
            <w:rPr>
              <w:rFonts w:ascii="Times New Roman" w:hAnsi="Times New Roman"/>
              <w:sz w:val="24"/>
              <w:szCs w:val="24"/>
              <w:lang w:val="sq-AL"/>
            </w:rPr>
            <w:t>ë</w:t>
          </w:r>
          <w:r w:rsidR="00C4260A" w:rsidRPr="00C631BF">
            <w:rPr>
              <w:rFonts w:ascii="Times New Roman" w:hAnsi="Times New Roman"/>
              <w:sz w:val="24"/>
              <w:szCs w:val="24"/>
              <w:lang w:val="sq-AL"/>
            </w:rPr>
            <w:t xml:space="preserve"> 28.01.1993 “P</w:t>
          </w:r>
          <w:r w:rsidR="00962EFA">
            <w:rPr>
              <w:rFonts w:ascii="Times New Roman" w:hAnsi="Times New Roman"/>
              <w:sz w:val="24"/>
              <w:szCs w:val="24"/>
              <w:lang w:val="sq-AL"/>
            </w:rPr>
            <w:t>ë</w:t>
          </w:r>
          <w:r w:rsidR="00C4260A" w:rsidRPr="00C631BF">
            <w:rPr>
              <w:rFonts w:ascii="Times New Roman" w:hAnsi="Times New Roman"/>
              <w:sz w:val="24"/>
              <w:szCs w:val="24"/>
              <w:lang w:val="sq-AL"/>
            </w:rPr>
            <w:t>r regjistrin zyrtar dhe formalitetet q</w:t>
          </w:r>
          <w:r w:rsidR="00962EFA">
            <w:rPr>
              <w:rFonts w:ascii="Times New Roman" w:hAnsi="Times New Roman"/>
              <w:sz w:val="24"/>
              <w:szCs w:val="24"/>
              <w:lang w:val="sq-AL"/>
            </w:rPr>
            <w:t>ë</w:t>
          </w:r>
          <w:r w:rsidR="00C4260A" w:rsidRPr="00C631BF">
            <w:rPr>
              <w:rFonts w:ascii="Times New Roman" w:hAnsi="Times New Roman"/>
              <w:sz w:val="24"/>
              <w:szCs w:val="24"/>
              <w:lang w:val="sq-AL"/>
            </w:rPr>
            <w:t xml:space="preserve"> duhen respektuar nga shoq</w:t>
          </w:r>
          <w:r w:rsidR="00962EFA">
            <w:rPr>
              <w:rFonts w:ascii="Times New Roman" w:hAnsi="Times New Roman"/>
              <w:sz w:val="24"/>
              <w:szCs w:val="24"/>
              <w:lang w:val="sq-AL"/>
            </w:rPr>
            <w:t>ë</w:t>
          </w:r>
          <w:r w:rsidR="00C4260A" w:rsidRPr="00C631BF">
            <w:rPr>
              <w:rFonts w:ascii="Times New Roman" w:hAnsi="Times New Roman"/>
              <w:sz w:val="24"/>
              <w:szCs w:val="24"/>
              <w:lang w:val="sq-AL"/>
            </w:rPr>
            <w:t>rit</w:t>
          </w:r>
          <w:r w:rsidR="00962EFA">
            <w:rPr>
              <w:rFonts w:ascii="Times New Roman" w:hAnsi="Times New Roman"/>
              <w:sz w:val="24"/>
              <w:szCs w:val="24"/>
              <w:lang w:val="sq-AL"/>
            </w:rPr>
            <w:t>ë</w:t>
          </w:r>
          <w:r w:rsidR="00C4260A" w:rsidRPr="00C631BF">
            <w:rPr>
              <w:rFonts w:ascii="Times New Roman" w:hAnsi="Times New Roman"/>
              <w:sz w:val="24"/>
              <w:szCs w:val="24"/>
              <w:lang w:val="sq-AL"/>
            </w:rPr>
            <w:t xml:space="preserve"> tregtare”,  duke </w:t>
          </w:r>
          <w:r w:rsidR="00166EFA" w:rsidRPr="00C631BF">
            <w:rPr>
              <w:rFonts w:ascii="Times New Roman" w:hAnsi="Times New Roman"/>
              <w:sz w:val="24"/>
              <w:szCs w:val="24"/>
              <w:lang w:val="sq-AL"/>
            </w:rPr>
            <w:t>b</w:t>
          </w:r>
          <w:r w:rsidR="00962EFA">
            <w:rPr>
              <w:rFonts w:ascii="Times New Roman" w:hAnsi="Times New Roman"/>
              <w:sz w:val="24"/>
              <w:szCs w:val="24"/>
              <w:lang w:val="sq-AL"/>
            </w:rPr>
            <w:t>ë</w:t>
          </w:r>
          <w:r w:rsidR="00166EFA" w:rsidRPr="00C631BF">
            <w:rPr>
              <w:rFonts w:ascii="Times New Roman" w:hAnsi="Times New Roman"/>
              <w:sz w:val="24"/>
              <w:szCs w:val="24"/>
              <w:lang w:val="sq-AL"/>
            </w:rPr>
            <w:t>r</w:t>
          </w:r>
          <w:r w:rsidR="00962EFA">
            <w:rPr>
              <w:rFonts w:ascii="Times New Roman" w:hAnsi="Times New Roman"/>
              <w:sz w:val="24"/>
              <w:szCs w:val="24"/>
              <w:lang w:val="sq-AL"/>
            </w:rPr>
            <w:t>ë</w:t>
          </w:r>
          <w:r w:rsidR="00166EFA" w:rsidRPr="00C631BF">
            <w:rPr>
              <w:rFonts w:ascii="Times New Roman" w:hAnsi="Times New Roman"/>
              <w:sz w:val="24"/>
              <w:szCs w:val="24"/>
              <w:lang w:val="sq-AL"/>
            </w:rPr>
            <w:t xml:space="preserve"> q</w:t>
          </w:r>
          <w:r w:rsidR="00962EFA">
            <w:rPr>
              <w:rFonts w:ascii="Times New Roman" w:hAnsi="Times New Roman"/>
              <w:sz w:val="24"/>
              <w:szCs w:val="24"/>
              <w:lang w:val="sq-AL"/>
            </w:rPr>
            <w:t>ë</w:t>
          </w:r>
          <w:r w:rsidR="00166EFA" w:rsidRPr="00C631BF">
            <w:rPr>
              <w:rFonts w:ascii="Times New Roman" w:hAnsi="Times New Roman"/>
              <w:sz w:val="24"/>
              <w:szCs w:val="24"/>
              <w:lang w:val="sq-AL"/>
            </w:rPr>
            <w:t xml:space="preserve"> bizneset t</w:t>
          </w:r>
          <w:r w:rsidR="00962EFA">
            <w:rPr>
              <w:rFonts w:ascii="Times New Roman" w:hAnsi="Times New Roman"/>
              <w:sz w:val="24"/>
              <w:szCs w:val="24"/>
              <w:lang w:val="sq-AL"/>
            </w:rPr>
            <w:t>ë</w:t>
          </w:r>
          <w:r w:rsidR="00166EFA" w:rsidRPr="00C631BF">
            <w:rPr>
              <w:rFonts w:ascii="Times New Roman" w:hAnsi="Times New Roman"/>
              <w:sz w:val="24"/>
              <w:szCs w:val="24"/>
              <w:lang w:val="sq-AL"/>
            </w:rPr>
            <w:t xml:space="preserve"> mos regjistrohen m</w:t>
          </w:r>
          <w:r w:rsidR="00962EFA">
            <w:rPr>
              <w:rFonts w:ascii="Times New Roman" w:hAnsi="Times New Roman"/>
              <w:sz w:val="24"/>
              <w:szCs w:val="24"/>
              <w:lang w:val="sq-AL"/>
            </w:rPr>
            <w:t>ë</w:t>
          </w:r>
          <w:r w:rsidR="00166EFA" w:rsidRPr="00C631BF">
            <w:rPr>
              <w:rFonts w:ascii="Times New Roman" w:hAnsi="Times New Roman"/>
              <w:sz w:val="24"/>
              <w:szCs w:val="24"/>
              <w:lang w:val="sq-AL"/>
            </w:rPr>
            <w:t xml:space="preserve"> pran</w:t>
          </w:r>
          <w:r w:rsidR="00962EFA">
            <w:rPr>
              <w:rFonts w:ascii="Times New Roman" w:hAnsi="Times New Roman"/>
              <w:sz w:val="24"/>
              <w:szCs w:val="24"/>
              <w:lang w:val="sq-AL"/>
            </w:rPr>
            <w:t>ë</w:t>
          </w:r>
          <w:r w:rsidR="00166EFA" w:rsidRPr="00C631BF">
            <w:rPr>
              <w:rFonts w:ascii="Times New Roman" w:hAnsi="Times New Roman"/>
              <w:sz w:val="24"/>
              <w:szCs w:val="24"/>
              <w:lang w:val="sq-AL"/>
            </w:rPr>
            <w:t xml:space="preserve"> Gjykat</w:t>
          </w:r>
          <w:r w:rsidR="00962EFA">
            <w:rPr>
              <w:rFonts w:ascii="Times New Roman" w:hAnsi="Times New Roman"/>
              <w:sz w:val="24"/>
              <w:szCs w:val="24"/>
              <w:lang w:val="sq-AL"/>
            </w:rPr>
            <w:t>ë</w:t>
          </w:r>
          <w:r w:rsidR="00166EFA" w:rsidRPr="00C631BF">
            <w:rPr>
              <w:rFonts w:ascii="Times New Roman" w:hAnsi="Times New Roman"/>
              <w:sz w:val="24"/>
              <w:szCs w:val="24"/>
              <w:lang w:val="sq-AL"/>
            </w:rPr>
            <w:t>s, por t</w:t>
          </w:r>
          <w:r w:rsidR="00962EFA">
            <w:rPr>
              <w:rFonts w:ascii="Times New Roman" w:hAnsi="Times New Roman"/>
              <w:sz w:val="24"/>
              <w:szCs w:val="24"/>
              <w:lang w:val="sq-AL"/>
            </w:rPr>
            <w:t>ë</w:t>
          </w:r>
          <w:r w:rsidR="00166EFA" w:rsidRPr="00C631BF">
            <w:rPr>
              <w:rFonts w:ascii="Times New Roman" w:hAnsi="Times New Roman"/>
              <w:sz w:val="24"/>
              <w:szCs w:val="24"/>
              <w:lang w:val="sq-AL"/>
            </w:rPr>
            <w:t xml:space="preserve"> ken</w:t>
          </w:r>
          <w:r w:rsidR="00962EFA">
            <w:rPr>
              <w:rFonts w:ascii="Times New Roman" w:hAnsi="Times New Roman"/>
              <w:sz w:val="24"/>
              <w:szCs w:val="24"/>
              <w:lang w:val="sq-AL"/>
            </w:rPr>
            <w:t>ë</w:t>
          </w:r>
          <w:r w:rsidR="00166EFA" w:rsidRPr="00C631BF">
            <w:rPr>
              <w:rFonts w:ascii="Times New Roman" w:hAnsi="Times New Roman"/>
              <w:sz w:val="24"/>
              <w:szCs w:val="24"/>
              <w:lang w:val="sq-AL"/>
            </w:rPr>
            <w:t xml:space="preserve"> nj</w:t>
          </w:r>
          <w:r w:rsidR="00962EFA">
            <w:rPr>
              <w:rFonts w:ascii="Times New Roman" w:hAnsi="Times New Roman"/>
              <w:sz w:val="24"/>
              <w:szCs w:val="24"/>
              <w:lang w:val="sq-AL"/>
            </w:rPr>
            <w:t>ë</w:t>
          </w:r>
          <w:r w:rsidR="00166EFA" w:rsidRPr="00C631BF">
            <w:rPr>
              <w:rFonts w:ascii="Times New Roman" w:hAnsi="Times New Roman"/>
              <w:sz w:val="24"/>
              <w:szCs w:val="24"/>
              <w:lang w:val="sq-AL"/>
            </w:rPr>
            <w:t xml:space="preserve"> institucion t</w:t>
          </w:r>
          <w:r w:rsidR="00962EFA">
            <w:rPr>
              <w:rFonts w:ascii="Times New Roman" w:hAnsi="Times New Roman"/>
              <w:sz w:val="24"/>
              <w:szCs w:val="24"/>
              <w:lang w:val="sq-AL"/>
            </w:rPr>
            <w:t>ë</w:t>
          </w:r>
          <w:r w:rsidR="00166EFA" w:rsidRPr="00C631BF">
            <w:rPr>
              <w:rFonts w:ascii="Times New Roman" w:hAnsi="Times New Roman"/>
              <w:sz w:val="24"/>
              <w:szCs w:val="24"/>
              <w:lang w:val="sq-AL"/>
            </w:rPr>
            <w:t xml:space="preserve"> dedikuar p</w:t>
          </w:r>
          <w:r w:rsidR="00962EFA">
            <w:rPr>
              <w:rFonts w:ascii="Times New Roman" w:hAnsi="Times New Roman"/>
              <w:sz w:val="24"/>
              <w:szCs w:val="24"/>
              <w:lang w:val="sq-AL"/>
            </w:rPr>
            <w:t>ë</w:t>
          </w:r>
          <w:r w:rsidR="00166EFA" w:rsidRPr="00C631BF">
            <w:rPr>
              <w:rFonts w:ascii="Times New Roman" w:hAnsi="Times New Roman"/>
              <w:sz w:val="24"/>
              <w:szCs w:val="24"/>
              <w:lang w:val="sq-AL"/>
            </w:rPr>
            <w:t>r regjistrimin.</w:t>
          </w:r>
          <w:r w:rsidR="00AC7F08" w:rsidRPr="00C631BF">
            <w:rPr>
              <w:rFonts w:ascii="Times New Roman" w:hAnsi="Times New Roman"/>
              <w:sz w:val="24"/>
              <w:szCs w:val="24"/>
              <w:lang w:val="sq-AL"/>
            </w:rPr>
            <w:t xml:space="preserve"> </w:t>
          </w:r>
          <w:r w:rsidR="00E91599" w:rsidRPr="00C631BF">
            <w:rPr>
              <w:rFonts w:ascii="Times New Roman" w:hAnsi="Times New Roman"/>
              <w:sz w:val="24"/>
              <w:szCs w:val="24"/>
              <w:lang w:val="sq-AL"/>
            </w:rPr>
            <w:t>Ligji p</w:t>
          </w:r>
          <w:r w:rsidR="00962EFA">
            <w:rPr>
              <w:rFonts w:ascii="Times New Roman" w:hAnsi="Times New Roman"/>
              <w:sz w:val="24"/>
              <w:szCs w:val="24"/>
              <w:lang w:val="sq-AL"/>
            </w:rPr>
            <w:t>ë</w:t>
          </w:r>
          <w:r w:rsidR="00E91599" w:rsidRPr="00C631BF">
            <w:rPr>
              <w:rFonts w:ascii="Times New Roman" w:hAnsi="Times New Roman"/>
              <w:sz w:val="24"/>
              <w:szCs w:val="24"/>
              <w:lang w:val="sq-AL"/>
            </w:rPr>
            <w:t xml:space="preserve">r QKB </w:t>
          </w:r>
          <w:r w:rsidR="00962EFA">
            <w:rPr>
              <w:rFonts w:ascii="Times New Roman" w:hAnsi="Times New Roman"/>
              <w:sz w:val="24"/>
              <w:szCs w:val="24"/>
              <w:lang w:val="sq-AL"/>
            </w:rPr>
            <w:t>ë</w:t>
          </w:r>
          <w:r w:rsidR="00E91599" w:rsidRPr="00C631BF">
            <w:rPr>
              <w:rFonts w:ascii="Times New Roman" w:hAnsi="Times New Roman"/>
              <w:sz w:val="24"/>
              <w:szCs w:val="24"/>
              <w:lang w:val="sq-AL"/>
            </w:rPr>
            <w:t>sht</w:t>
          </w:r>
          <w:r w:rsidR="00962EFA">
            <w:rPr>
              <w:rFonts w:ascii="Times New Roman" w:hAnsi="Times New Roman"/>
              <w:sz w:val="24"/>
              <w:szCs w:val="24"/>
              <w:lang w:val="sq-AL"/>
            </w:rPr>
            <w:t>ë</w:t>
          </w:r>
          <w:r w:rsidR="00E91599" w:rsidRPr="00C631BF">
            <w:rPr>
              <w:rFonts w:ascii="Times New Roman" w:hAnsi="Times New Roman"/>
              <w:sz w:val="24"/>
              <w:szCs w:val="24"/>
              <w:lang w:val="sq-AL"/>
            </w:rPr>
            <w:t xml:space="preserve"> ndryshuar </w:t>
          </w:r>
          <w:r w:rsidR="00855476" w:rsidRPr="00C631BF">
            <w:rPr>
              <w:rFonts w:ascii="Times New Roman" w:hAnsi="Times New Roman"/>
              <w:sz w:val="24"/>
              <w:szCs w:val="24"/>
              <w:lang w:val="sq-AL"/>
            </w:rPr>
            <w:t>gjasht</w:t>
          </w:r>
          <w:r w:rsidR="00962EFA">
            <w:rPr>
              <w:rFonts w:ascii="Times New Roman" w:hAnsi="Times New Roman"/>
              <w:sz w:val="24"/>
              <w:szCs w:val="24"/>
              <w:lang w:val="sq-AL"/>
            </w:rPr>
            <w:t>ë</w:t>
          </w:r>
          <w:r w:rsidR="00855476" w:rsidRPr="00C631BF">
            <w:rPr>
              <w:rFonts w:ascii="Times New Roman" w:hAnsi="Times New Roman"/>
              <w:sz w:val="24"/>
              <w:szCs w:val="24"/>
              <w:lang w:val="sq-AL"/>
            </w:rPr>
            <w:t xml:space="preserve"> her</w:t>
          </w:r>
          <w:r w:rsidR="00962EFA">
            <w:rPr>
              <w:rFonts w:ascii="Times New Roman" w:hAnsi="Times New Roman"/>
              <w:sz w:val="24"/>
              <w:szCs w:val="24"/>
              <w:lang w:val="sq-AL"/>
            </w:rPr>
            <w:t>ë</w:t>
          </w:r>
          <w:r w:rsidR="00855476" w:rsidRPr="00C631BF">
            <w:rPr>
              <w:rFonts w:ascii="Times New Roman" w:hAnsi="Times New Roman"/>
              <w:sz w:val="24"/>
              <w:szCs w:val="24"/>
              <w:lang w:val="sq-AL"/>
            </w:rPr>
            <w:t xml:space="preserve"> p</w:t>
          </w:r>
          <w:r w:rsidR="00962EFA">
            <w:rPr>
              <w:rFonts w:ascii="Times New Roman" w:hAnsi="Times New Roman"/>
              <w:sz w:val="24"/>
              <w:szCs w:val="24"/>
              <w:lang w:val="sq-AL"/>
            </w:rPr>
            <w:t>ë</w:t>
          </w:r>
          <w:r w:rsidR="00855476" w:rsidRPr="00C631BF">
            <w:rPr>
              <w:rFonts w:ascii="Times New Roman" w:hAnsi="Times New Roman"/>
              <w:sz w:val="24"/>
              <w:szCs w:val="24"/>
              <w:lang w:val="sq-AL"/>
            </w:rPr>
            <w:t>r t</w:t>
          </w:r>
          <w:r w:rsidR="00962EFA">
            <w:rPr>
              <w:rFonts w:ascii="Times New Roman" w:hAnsi="Times New Roman"/>
              <w:sz w:val="24"/>
              <w:szCs w:val="24"/>
              <w:lang w:val="sq-AL"/>
            </w:rPr>
            <w:t>ë</w:t>
          </w:r>
          <w:r w:rsidR="00855476" w:rsidRPr="00C631BF">
            <w:rPr>
              <w:rFonts w:ascii="Times New Roman" w:hAnsi="Times New Roman"/>
              <w:sz w:val="24"/>
              <w:szCs w:val="24"/>
              <w:lang w:val="sq-AL"/>
            </w:rPr>
            <w:t xml:space="preserve"> </w:t>
          </w:r>
          <w:r w:rsidR="00011B6D" w:rsidRPr="00C631BF">
            <w:rPr>
              <w:rFonts w:ascii="Times New Roman" w:hAnsi="Times New Roman"/>
              <w:sz w:val="24"/>
              <w:szCs w:val="24"/>
              <w:lang w:val="sq-AL"/>
            </w:rPr>
            <w:t>sakt</w:t>
          </w:r>
          <w:r w:rsidR="00962EFA">
            <w:rPr>
              <w:rFonts w:ascii="Times New Roman" w:hAnsi="Times New Roman"/>
              <w:sz w:val="24"/>
              <w:szCs w:val="24"/>
              <w:lang w:val="sq-AL"/>
            </w:rPr>
            <w:t>ë</w:t>
          </w:r>
          <w:r w:rsidR="00011B6D" w:rsidRPr="00C631BF">
            <w:rPr>
              <w:rFonts w:ascii="Times New Roman" w:hAnsi="Times New Roman"/>
              <w:sz w:val="24"/>
              <w:szCs w:val="24"/>
              <w:lang w:val="sq-AL"/>
            </w:rPr>
            <w:t>suar aspekte procedurale t</w:t>
          </w:r>
          <w:r w:rsidR="00962EFA">
            <w:rPr>
              <w:rFonts w:ascii="Times New Roman" w:hAnsi="Times New Roman"/>
              <w:sz w:val="24"/>
              <w:szCs w:val="24"/>
              <w:lang w:val="sq-AL"/>
            </w:rPr>
            <w:t>ë</w:t>
          </w:r>
          <w:r w:rsidR="00011B6D" w:rsidRPr="00C631BF">
            <w:rPr>
              <w:rFonts w:ascii="Times New Roman" w:hAnsi="Times New Roman"/>
              <w:sz w:val="24"/>
              <w:szCs w:val="24"/>
              <w:lang w:val="sq-AL"/>
            </w:rPr>
            <w:t xml:space="preserve"> regjistrimit dhe terminologji, p</w:t>
          </w:r>
          <w:r w:rsidR="00962EFA">
            <w:rPr>
              <w:rFonts w:ascii="Times New Roman" w:hAnsi="Times New Roman"/>
              <w:sz w:val="24"/>
              <w:szCs w:val="24"/>
              <w:lang w:val="sq-AL"/>
            </w:rPr>
            <w:t>ë</w:t>
          </w:r>
          <w:r w:rsidR="00011B6D" w:rsidRPr="00C631BF">
            <w:rPr>
              <w:rFonts w:ascii="Times New Roman" w:hAnsi="Times New Roman"/>
              <w:sz w:val="24"/>
              <w:szCs w:val="24"/>
              <w:lang w:val="sq-AL"/>
            </w:rPr>
            <w:t>r t</w:t>
          </w:r>
          <w:r w:rsidR="00962EFA">
            <w:rPr>
              <w:rFonts w:ascii="Times New Roman" w:hAnsi="Times New Roman"/>
              <w:sz w:val="24"/>
              <w:szCs w:val="24"/>
              <w:lang w:val="sq-AL"/>
            </w:rPr>
            <w:t>ë</w:t>
          </w:r>
          <w:r w:rsidR="00011B6D" w:rsidRPr="00C631BF">
            <w:rPr>
              <w:rFonts w:ascii="Times New Roman" w:hAnsi="Times New Roman"/>
              <w:sz w:val="24"/>
              <w:szCs w:val="24"/>
              <w:lang w:val="sq-AL"/>
            </w:rPr>
            <w:t xml:space="preserve"> prezantuar Qendr</w:t>
          </w:r>
          <w:r w:rsidR="00962EFA">
            <w:rPr>
              <w:rFonts w:ascii="Times New Roman" w:hAnsi="Times New Roman"/>
              <w:sz w:val="24"/>
              <w:szCs w:val="24"/>
              <w:lang w:val="sq-AL"/>
            </w:rPr>
            <w:t>ë</w:t>
          </w:r>
          <w:r w:rsidR="00011B6D" w:rsidRPr="00C631BF">
            <w:rPr>
              <w:rFonts w:ascii="Times New Roman" w:hAnsi="Times New Roman"/>
              <w:sz w:val="24"/>
              <w:szCs w:val="24"/>
              <w:lang w:val="sq-AL"/>
            </w:rPr>
            <w:t>n Komb</w:t>
          </w:r>
          <w:r w:rsidR="00962EFA">
            <w:rPr>
              <w:rFonts w:ascii="Times New Roman" w:hAnsi="Times New Roman"/>
              <w:sz w:val="24"/>
              <w:szCs w:val="24"/>
              <w:lang w:val="sq-AL"/>
            </w:rPr>
            <w:t>ë</w:t>
          </w:r>
          <w:r w:rsidR="00011B6D" w:rsidRPr="00C631BF">
            <w:rPr>
              <w:rFonts w:ascii="Times New Roman" w:hAnsi="Times New Roman"/>
              <w:sz w:val="24"/>
              <w:szCs w:val="24"/>
              <w:lang w:val="sq-AL"/>
            </w:rPr>
            <w:t>tare t</w:t>
          </w:r>
          <w:r w:rsidR="00962EFA">
            <w:rPr>
              <w:rFonts w:ascii="Times New Roman" w:hAnsi="Times New Roman"/>
              <w:sz w:val="24"/>
              <w:szCs w:val="24"/>
              <w:lang w:val="sq-AL"/>
            </w:rPr>
            <w:t>ë</w:t>
          </w:r>
          <w:r w:rsidR="00011B6D" w:rsidRPr="00C631BF">
            <w:rPr>
              <w:rFonts w:ascii="Times New Roman" w:hAnsi="Times New Roman"/>
              <w:sz w:val="24"/>
              <w:szCs w:val="24"/>
              <w:lang w:val="sq-AL"/>
            </w:rPr>
            <w:t xml:space="preserve"> Biznesit</w:t>
          </w:r>
          <w:r w:rsidR="00726CFA" w:rsidRPr="00C631BF">
            <w:rPr>
              <w:rFonts w:ascii="Times New Roman" w:hAnsi="Times New Roman"/>
              <w:sz w:val="24"/>
              <w:szCs w:val="24"/>
              <w:lang w:val="sq-AL"/>
            </w:rPr>
            <w:t>, e cila bashkoi Qendr</w:t>
          </w:r>
          <w:r w:rsidR="00962EFA">
            <w:rPr>
              <w:rFonts w:ascii="Times New Roman" w:hAnsi="Times New Roman"/>
              <w:sz w:val="24"/>
              <w:szCs w:val="24"/>
              <w:lang w:val="sq-AL"/>
            </w:rPr>
            <w:t>ë</w:t>
          </w:r>
          <w:r w:rsidR="00726CFA" w:rsidRPr="00C631BF">
            <w:rPr>
              <w:rFonts w:ascii="Times New Roman" w:hAnsi="Times New Roman"/>
              <w:sz w:val="24"/>
              <w:szCs w:val="24"/>
              <w:lang w:val="sq-AL"/>
            </w:rPr>
            <w:t>n Komb</w:t>
          </w:r>
          <w:r w:rsidR="00962EFA">
            <w:rPr>
              <w:rFonts w:ascii="Times New Roman" w:hAnsi="Times New Roman"/>
              <w:sz w:val="24"/>
              <w:szCs w:val="24"/>
              <w:lang w:val="sq-AL"/>
            </w:rPr>
            <w:t>ë</w:t>
          </w:r>
          <w:r w:rsidR="00726CFA" w:rsidRPr="00C631BF">
            <w:rPr>
              <w:rFonts w:ascii="Times New Roman" w:hAnsi="Times New Roman"/>
              <w:sz w:val="24"/>
              <w:szCs w:val="24"/>
              <w:lang w:val="sq-AL"/>
            </w:rPr>
            <w:t>tare t</w:t>
          </w:r>
          <w:r w:rsidR="00962EFA">
            <w:rPr>
              <w:rFonts w:ascii="Times New Roman" w:hAnsi="Times New Roman"/>
              <w:sz w:val="24"/>
              <w:szCs w:val="24"/>
              <w:lang w:val="sq-AL"/>
            </w:rPr>
            <w:t>ë</w:t>
          </w:r>
          <w:r w:rsidR="00726CFA" w:rsidRPr="00C631BF">
            <w:rPr>
              <w:rFonts w:ascii="Times New Roman" w:hAnsi="Times New Roman"/>
              <w:sz w:val="24"/>
              <w:szCs w:val="24"/>
              <w:lang w:val="sq-AL"/>
            </w:rPr>
            <w:t xml:space="preserve"> Regjistrimit dhe Qendr</w:t>
          </w:r>
          <w:r w:rsidR="00962EFA">
            <w:rPr>
              <w:rFonts w:ascii="Times New Roman" w:hAnsi="Times New Roman"/>
              <w:sz w:val="24"/>
              <w:szCs w:val="24"/>
              <w:lang w:val="sq-AL"/>
            </w:rPr>
            <w:t>ë</w:t>
          </w:r>
          <w:r w:rsidR="00726CFA" w:rsidRPr="00C631BF">
            <w:rPr>
              <w:rFonts w:ascii="Times New Roman" w:hAnsi="Times New Roman"/>
              <w:sz w:val="24"/>
              <w:szCs w:val="24"/>
              <w:lang w:val="sq-AL"/>
            </w:rPr>
            <w:t>n Komb</w:t>
          </w:r>
          <w:r w:rsidR="00962EFA">
            <w:rPr>
              <w:rFonts w:ascii="Times New Roman" w:hAnsi="Times New Roman"/>
              <w:sz w:val="24"/>
              <w:szCs w:val="24"/>
              <w:lang w:val="sq-AL"/>
            </w:rPr>
            <w:t>ë</w:t>
          </w:r>
          <w:r w:rsidR="00726CFA" w:rsidRPr="00C631BF">
            <w:rPr>
              <w:rFonts w:ascii="Times New Roman" w:hAnsi="Times New Roman"/>
              <w:sz w:val="24"/>
              <w:szCs w:val="24"/>
              <w:lang w:val="sq-AL"/>
            </w:rPr>
            <w:t>tare t</w:t>
          </w:r>
          <w:r w:rsidR="00962EFA">
            <w:rPr>
              <w:rFonts w:ascii="Times New Roman" w:hAnsi="Times New Roman"/>
              <w:sz w:val="24"/>
              <w:szCs w:val="24"/>
              <w:lang w:val="sq-AL"/>
            </w:rPr>
            <w:t>ë</w:t>
          </w:r>
          <w:r w:rsidR="00726CFA" w:rsidRPr="00C631BF">
            <w:rPr>
              <w:rFonts w:ascii="Times New Roman" w:hAnsi="Times New Roman"/>
              <w:sz w:val="24"/>
              <w:szCs w:val="24"/>
              <w:lang w:val="sq-AL"/>
            </w:rPr>
            <w:t xml:space="preserve"> Licencimit n</w:t>
          </w:r>
          <w:r w:rsidR="00962EFA">
            <w:rPr>
              <w:rFonts w:ascii="Times New Roman" w:hAnsi="Times New Roman"/>
              <w:sz w:val="24"/>
              <w:szCs w:val="24"/>
              <w:lang w:val="sq-AL"/>
            </w:rPr>
            <w:t>ë</w:t>
          </w:r>
          <w:r w:rsidR="00726CFA" w:rsidRPr="00C631BF">
            <w:rPr>
              <w:rFonts w:ascii="Times New Roman" w:hAnsi="Times New Roman"/>
              <w:sz w:val="24"/>
              <w:szCs w:val="24"/>
              <w:lang w:val="sq-AL"/>
            </w:rPr>
            <w:t xml:space="preserve"> t</w:t>
          </w:r>
          <w:r w:rsidR="00962EFA">
            <w:rPr>
              <w:rFonts w:ascii="Times New Roman" w:hAnsi="Times New Roman"/>
              <w:sz w:val="24"/>
              <w:szCs w:val="24"/>
              <w:lang w:val="sq-AL"/>
            </w:rPr>
            <w:t>ë</w:t>
          </w:r>
          <w:r w:rsidR="00726CFA" w:rsidRPr="00C631BF">
            <w:rPr>
              <w:rFonts w:ascii="Times New Roman" w:hAnsi="Times New Roman"/>
              <w:sz w:val="24"/>
              <w:szCs w:val="24"/>
              <w:lang w:val="sq-AL"/>
            </w:rPr>
            <w:t xml:space="preserve"> nj</w:t>
          </w:r>
          <w:r w:rsidR="00962EFA">
            <w:rPr>
              <w:rFonts w:ascii="Times New Roman" w:hAnsi="Times New Roman"/>
              <w:sz w:val="24"/>
              <w:szCs w:val="24"/>
              <w:lang w:val="sq-AL"/>
            </w:rPr>
            <w:t>ë</w:t>
          </w:r>
          <w:r w:rsidR="00726CFA" w:rsidRPr="00C631BF">
            <w:rPr>
              <w:rFonts w:ascii="Times New Roman" w:hAnsi="Times New Roman"/>
              <w:sz w:val="24"/>
              <w:szCs w:val="24"/>
              <w:lang w:val="sq-AL"/>
            </w:rPr>
            <w:t>jtin institucion</w:t>
          </w:r>
          <w:r w:rsidR="00DE7B6D" w:rsidRPr="00C631BF">
            <w:rPr>
              <w:rFonts w:ascii="Times New Roman" w:hAnsi="Times New Roman"/>
              <w:sz w:val="24"/>
              <w:szCs w:val="24"/>
              <w:lang w:val="sq-AL"/>
            </w:rPr>
            <w:t xml:space="preserve"> dhe p</w:t>
          </w:r>
          <w:r w:rsidR="00962EFA">
            <w:rPr>
              <w:rFonts w:ascii="Times New Roman" w:hAnsi="Times New Roman"/>
              <w:sz w:val="24"/>
              <w:szCs w:val="24"/>
              <w:lang w:val="sq-AL"/>
            </w:rPr>
            <w:t>ë</w:t>
          </w:r>
          <w:r w:rsidR="00DE7B6D" w:rsidRPr="00C631BF">
            <w:rPr>
              <w:rFonts w:ascii="Times New Roman" w:hAnsi="Times New Roman"/>
              <w:sz w:val="24"/>
              <w:szCs w:val="24"/>
              <w:lang w:val="sq-AL"/>
            </w:rPr>
            <w:t>r t</w:t>
          </w:r>
          <w:r w:rsidR="00962EFA">
            <w:rPr>
              <w:rFonts w:ascii="Times New Roman" w:hAnsi="Times New Roman"/>
              <w:sz w:val="24"/>
              <w:szCs w:val="24"/>
              <w:lang w:val="sq-AL"/>
            </w:rPr>
            <w:t>ë</w:t>
          </w:r>
          <w:r w:rsidR="00DE7B6D" w:rsidRPr="00C631BF">
            <w:rPr>
              <w:rFonts w:ascii="Times New Roman" w:hAnsi="Times New Roman"/>
              <w:sz w:val="24"/>
              <w:szCs w:val="24"/>
              <w:lang w:val="sq-AL"/>
            </w:rPr>
            <w:t xml:space="preserve"> ndryshuar gjobat q</w:t>
          </w:r>
          <w:r w:rsidR="00962EFA">
            <w:rPr>
              <w:rFonts w:ascii="Times New Roman" w:hAnsi="Times New Roman"/>
              <w:sz w:val="24"/>
              <w:szCs w:val="24"/>
              <w:lang w:val="sq-AL"/>
            </w:rPr>
            <w:t>ë</w:t>
          </w:r>
          <w:r w:rsidR="00DE7B6D" w:rsidRPr="00C631BF">
            <w:rPr>
              <w:rFonts w:ascii="Times New Roman" w:hAnsi="Times New Roman"/>
              <w:sz w:val="24"/>
              <w:szCs w:val="24"/>
              <w:lang w:val="sq-AL"/>
            </w:rPr>
            <w:t xml:space="preserve"> zbatohen p</w:t>
          </w:r>
          <w:r w:rsidR="00962EFA">
            <w:rPr>
              <w:rFonts w:ascii="Times New Roman" w:hAnsi="Times New Roman"/>
              <w:sz w:val="24"/>
              <w:szCs w:val="24"/>
              <w:lang w:val="sq-AL"/>
            </w:rPr>
            <w:t>ë</w:t>
          </w:r>
          <w:r w:rsidR="00DE7B6D" w:rsidRPr="00C631BF">
            <w:rPr>
              <w:rFonts w:ascii="Times New Roman" w:hAnsi="Times New Roman"/>
              <w:sz w:val="24"/>
              <w:szCs w:val="24"/>
              <w:lang w:val="sq-AL"/>
            </w:rPr>
            <w:t>r shkelje t</w:t>
          </w:r>
          <w:r w:rsidR="00962EFA">
            <w:rPr>
              <w:rFonts w:ascii="Times New Roman" w:hAnsi="Times New Roman"/>
              <w:sz w:val="24"/>
              <w:szCs w:val="24"/>
              <w:lang w:val="sq-AL"/>
            </w:rPr>
            <w:t>ë</w:t>
          </w:r>
          <w:r w:rsidR="00DE7B6D" w:rsidRPr="00C631BF">
            <w:rPr>
              <w:rFonts w:ascii="Times New Roman" w:hAnsi="Times New Roman"/>
              <w:sz w:val="24"/>
              <w:szCs w:val="24"/>
              <w:lang w:val="sq-AL"/>
            </w:rPr>
            <w:t xml:space="preserve"> parashikimeve t</w:t>
          </w:r>
          <w:r w:rsidR="00962EFA">
            <w:rPr>
              <w:rFonts w:ascii="Times New Roman" w:hAnsi="Times New Roman"/>
              <w:sz w:val="24"/>
              <w:szCs w:val="24"/>
              <w:lang w:val="sq-AL"/>
            </w:rPr>
            <w:t>ë</w:t>
          </w:r>
          <w:r w:rsidR="00DE7B6D" w:rsidRPr="00C631BF">
            <w:rPr>
              <w:rFonts w:ascii="Times New Roman" w:hAnsi="Times New Roman"/>
              <w:sz w:val="24"/>
              <w:szCs w:val="24"/>
              <w:lang w:val="sq-AL"/>
            </w:rPr>
            <w:t xml:space="preserve"> ligjit.</w:t>
          </w:r>
          <w:r w:rsidR="001401CF" w:rsidRPr="00C631BF">
            <w:rPr>
              <w:rFonts w:ascii="Times New Roman" w:hAnsi="Times New Roman"/>
              <w:sz w:val="24"/>
              <w:szCs w:val="24"/>
              <w:lang w:val="sq-AL"/>
            </w:rPr>
            <w:t xml:space="preserve"> Ky ligj p</w:t>
          </w:r>
          <w:r w:rsidR="00962EFA">
            <w:rPr>
              <w:rFonts w:ascii="Times New Roman" w:hAnsi="Times New Roman"/>
              <w:sz w:val="24"/>
              <w:szCs w:val="24"/>
              <w:lang w:val="sq-AL"/>
            </w:rPr>
            <w:t>ë</w:t>
          </w:r>
          <w:r w:rsidR="001401CF" w:rsidRPr="00C631BF">
            <w:rPr>
              <w:rFonts w:ascii="Times New Roman" w:hAnsi="Times New Roman"/>
              <w:sz w:val="24"/>
              <w:szCs w:val="24"/>
              <w:lang w:val="sq-AL"/>
            </w:rPr>
            <w:t>rcakton nd</w:t>
          </w:r>
          <w:r w:rsidR="00962EFA">
            <w:rPr>
              <w:rFonts w:ascii="Times New Roman" w:hAnsi="Times New Roman"/>
              <w:sz w:val="24"/>
              <w:szCs w:val="24"/>
              <w:lang w:val="sq-AL"/>
            </w:rPr>
            <w:t>ë</w:t>
          </w:r>
          <w:r w:rsidR="001401CF" w:rsidRPr="00C631BF">
            <w:rPr>
              <w:rFonts w:ascii="Times New Roman" w:hAnsi="Times New Roman"/>
              <w:sz w:val="24"/>
              <w:szCs w:val="24"/>
              <w:lang w:val="sq-AL"/>
            </w:rPr>
            <w:t>r t</w:t>
          </w:r>
          <w:r w:rsidR="00962EFA">
            <w:rPr>
              <w:rFonts w:ascii="Times New Roman" w:hAnsi="Times New Roman"/>
              <w:sz w:val="24"/>
              <w:szCs w:val="24"/>
              <w:lang w:val="sq-AL"/>
            </w:rPr>
            <w:t>ë</w:t>
          </w:r>
          <w:r w:rsidR="001401CF" w:rsidRPr="00C631BF">
            <w:rPr>
              <w:rFonts w:ascii="Times New Roman" w:hAnsi="Times New Roman"/>
              <w:sz w:val="24"/>
              <w:szCs w:val="24"/>
              <w:lang w:val="sq-AL"/>
            </w:rPr>
            <w:t xml:space="preserve"> tjera dokumentacionin q</w:t>
          </w:r>
          <w:r w:rsidR="00962EFA">
            <w:rPr>
              <w:rFonts w:ascii="Times New Roman" w:hAnsi="Times New Roman"/>
              <w:sz w:val="24"/>
              <w:szCs w:val="24"/>
              <w:lang w:val="sq-AL"/>
            </w:rPr>
            <w:t>ë</w:t>
          </w:r>
          <w:r w:rsidR="001401CF" w:rsidRPr="00C631BF">
            <w:rPr>
              <w:rFonts w:ascii="Times New Roman" w:hAnsi="Times New Roman"/>
              <w:sz w:val="24"/>
              <w:szCs w:val="24"/>
              <w:lang w:val="sq-AL"/>
            </w:rPr>
            <w:t xml:space="preserve"> duhet t</w:t>
          </w:r>
          <w:r w:rsidR="00962EFA">
            <w:rPr>
              <w:rFonts w:ascii="Times New Roman" w:hAnsi="Times New Roman"/>
              <w:sz w:val="24"/>
              <w:szCs w:val="24"/>
              <w:lang w:val="sq-AL"/>
            </w:rPr>
            <w:t>ë</w:t>
          </w:r>
          <w:r w:rsidR="001401CF" w:rsidRPr="00C631BF">
            <w:rPr>
              <w:rFonts w:ascii="Times New Roman" w:hAnsi="Times New Roman"/>
              <w:sz w:val="24"/>
              <w:szCs w:val="24"/>
              <w:lang w:val="sq-AL"/>
            </w:rPr>
            <w:t xml:space="preserve"> paraqitet p</w:t>
          </w:r>
          <w:r w:rsidR="00962EFA">
            <w:rPr>
              <w:rFonts w:ascii="Times New Roman" w:hAnsi="Times New Roman"/>
              <w:sz w:val="24"/>
              <w:szCs w:val="24"/>
              <w:lang w:val="sq-AL"/>
            </w:rPr>
            <w:t>ë</w:t>
          </w:r>
          <w:r w:rsidR="001401CF" w:rsidRPr="00C631BF">
            <w:rPr>
              <w:rFonts w:ascii="Times New Roman" w:hAnsi="Times New Roman"/>
              <w:sz w:val="24"/>
              <w:szCs w:val="24"/>
              <w:lang w:val="sq-AL"/>
            </w:rPr>
            <w:t>r t</w:t>
          </w:r>
          <w:r w:rsidR="00962EFA">
            <w:rPr>
              <w:rFonts w:ascii="Times New Roman" w:hAnsi="Times New Roman"/>
              <w:sz w:val="24"/>
              <w:szCs w:val="24"/>
              <w:lang w:val="sq-AL"/>
            </w:rPr>
            <w:t>ë</w:t>
          </w:r>
          <w:r w:rsidR="001401CF" w:rsidRPr="00C631BF">
            <w:rPr>
              <w:rFonts w:ascii="Times New Roman" w:hAnsi="Times New Roman"/>
              <w:sz w:val="24"/>
              <w:szCs w:val="24"/>
              <w:lang w:val="sq-AL"/>
            </w:rPr>
            <w:t xml:space="preserve"> gjitha ndryshimet q</w:t>
          </w:r>
          <w:r w:rsidR="00962EFA">
            <w:rPr>
              <w:rFonts w:ascii="Times New Roman" w:hAnsi="Times New Roman"/>
              <w:sz w:val="24"/>
              <w:szCs w:val="24"/>
              <w:lang w:val="sq-AL"/>
            </w:rPr>
            <w:t>ë</w:t>
          </w:r>
          <w:r w:rsidR="001401CF" w:rsidRPr="00C631BF">
            <w:rPr>
              <w:rFonts w:ascii="Times New Roman" w:hAnsi="Times New Roman"/>
              <w:sz w:val="24"/>
              <w:szCs w:val="24"/>
              <w:lang w:val="sq-AL"/>
            </w:rPr>
            <w:t xml:space="preserve"> mund t</w:t>
          </w:r>
          <w:r w:rsidR="00962EFA">
            <w:rPr>
              <w:rFonts w:ascii="Times New Roman" w:hAnsi="Times New Roman"/>
              <w:sz w:val="24"/>
              <w:szCs w:val="24"/>
              <w:lang w:val="sq-AL"/>
            </w:rPr>
            <w:t>ë</w:t>
          </w:r>
          <w:r w:rsidR="001401CF" w:rsidRPr="00C631BF">
            <w:rPr>
              <w:rFonts w:ascii="Times New Roman" w:hAnsi="Times New Roman"/>
              <w:sz w:val="24"/>
              <w:szCs w:val="24"/>
              <w:lang w:val="sq-AL"/>
            </w:rPr>
            <w:t xml:space="preserve"> kryhen pran</w:t>
          </w:r>
          <w:r w:rsidR="00962EFA">
            <w:rPr>
              <w:rFonts w:ascii="Times New Roman" w:hAnsi="Times New Roman"/>
              <w:sz w:val="24"/>
              <w:szCs w:val="24"/>
              <w:lang w:val="sq-AL"/>
            </w:rPr>
            <w:t>ë</w:t>
          </w:r>
          <w:r w:rsidR="001401CF" w:rsidRPr="00C631BF">
            <w:rPr>
              <w:rFonts w:ascii="Times New Roman" w:hAnsi="Times New Roman"/>
              <w:sz w:val="24"/>
              <w:szCs w:val="24"/>
              <w:lang w:val="sq-AL"/>
            </w:rPr>
            <w:t xml:space="preserve"> Qendr</w:t>
          </w:r>
          <w:r w:rsidR="00962EFA">
            <w:rPr>
              <w:rFonts w:ascii="Times New Roman" w:hAnsi="Times New Roman"/>
              <w:sz w:val="24"/>
              <w:szCs w:val="24"/>
              <w:lang w:val="sq-AL"/>
            </w:rPr>
            <w:t>ë</w:t>
          </w:r>
          <w:r w:rsidR="001401CF" w:rsidRPr="00C631BF">
            <w:rPr>
              <w:rFonts w:ascii="Times New Roman" w:hAnsi="Times New Roman"/>
              <w:sz w:val="24"/>
              <w:szCs w:val="24"/>
              <w:lang w:val="sq-AL"/>
            </w:rPr>
            <w:t>s Komb</w:t>
          </w:r>
          <w:r w:rsidR="00962EFA">
            <w:rPr>
              <w:rFonts w:ascii="Times New Roman" w:hAnsi="Times New Roman"/>
              <w:sz w:val="24"/>
              <w:szCs w:val="24"/>
              <w:lang w:val="sq-AL"/>
            </w:rPr>
            <w:t>ë</w:t>
          </w:r>
          <w:r w:rsidR="001401CF" w:rsidRPr="00C631BF">
            <w:rPr>
              <w:rFonts w:ascii="Times New Roman" w:hAnsi="Times New Roman"/>
              <w:sz w:val="24"/>
              <w:szCs w:val="24"/>
              <w:lang w:val="sq-AL"/>
            </w:rPr>
            <w:t>tare t</w:t>
          </w:r>
          <w:r w:rsidR="00962EFA">
            <w:rPr>
              <w:rFonts w:ascii="Times New Roman" w:hAnsi="Times New Roman"/>
              <w:sz w:val="24"/>
              <w:szCs w:val="24"/>
              <w:lang w:val="sq-AL"/>
            </w:rPr>
            <w:t>ë</w:t>
          </w:r>
          <w:r w:rsidR="001401CF" w:rsidRPr="00C631BF">
            <w:rPr>
              <w:rFonts w:ascii="Times New Roman" w:hAnsi="Times New Roman"/>
              <w:sz w:val="24"/>
              <w:szCs w:val="24"/>
              <w:lang w:val="sq-AL"/>
            </w:rPr>
            <w:t xml:space="preserve"> Biznesit. </w:t>
          </w:r>
        </w:p>
        <w:p w14:paraId="6F8A64D6" w14:textId="77777777" w:rsidR="00DE7B6D" w:rsidRPr="00A15BAC" w:rsidRDefault="00DE7B6D" w:rsidP="006718EC">
          <w:pPr>
            <w:jc w:val="both"/>
            <w:rPr>
              <w:szCs w:val="24"/>
              <w:lang w:val="sq-AL"/>
            </w:rPr>
          </w:pPr>
        </w:p>
        <w:p w14:paraId="02555DA5" w14:textId="5C9AB332" w:rsidR="00166EFA" w:rsidRPr="00962EFA" w:rsidRDefault="00720DBF" w:rsidP="00C631BF">
          <w:pPr>
            <w:pStyle w:val="ListParagraph"/>
            <w:numPr>
              <w:ilvl w:val="0"/>
              <w:numId w:val="46"/>
            </w:numPr>
            <w:jc w:val="both"/>
            <w:rPr>
              <w:szCs w:val="24"/>
              <w:lang w:val="sq-AL"/>
            </w:rPr>
          </w:pPr>
          <w:r>
            <w:rPr>
              <w:rFonts w:ascii="Times New Roman" w:hAnsi="Times New Roman"/>
              <w:sz w:val="24"/>
              <w:szCs w:val="24"/>
              <w:lang w:val="sq-AL"/>
            </w:rPr>
            <w:t xml:space="preserve">  </w:t>
          </w:r>
          <w:r w:rsidR="001E1EEC" w:rsidRPr="00C631BF">
            <w:rPr>
              <w:rFonts w:ascii="Times New Roman" w:hAnsi="Times New Roman"/>
              <w:sz w:val="24"/>
              <w:szCs w:val="24"/>
              <w:lang w:val="sq-AL"/>
            </w:rPr>
            <w:t>Vendimi i K</w:t>
          </w:r>
          <w:r w:rsidR="00962EFA">
            <w:rPr>
              <w:rFonts w:ascii="Times New Roman" w:hAnsi="Times New Roman"/>
              <w:sz w:val="24"/>
              <w:szCs w:val="24"/>
              <w:lang w:val="sq-AL"/>
            </w:rPr>
            <w:t>ë</w:t>
          </w:r>
          <w:r w:rsidR="001E1EEC" w:rsidRPr="00C631BF">
            <w:rPr>
              <w:rFonts w:ascii="Times New Roman" w:hAnsi="Times New Roman"/>
              <w:sz w:val="24"/>
              <w:szCs w:val="24"/>
              <w:lang w:val="sq-AL"/>
            </w:rPr>
            <w:t>shillit t</w:t>
          </w:r>
          <w:r w:rsidR="00962EFA">
            <w:rPr>
              <w:rFonts w:ascii="Times New Roman" w:hAnsi="Times New Roman"/>
              <w:sz w:val="24"/>
              <w:szCs w:val="24"/>
              <w:lang w:val="sq-AL"/>
            </w:rPr>
            <w:t>ë</w:t>
          </w:r>
          <w:r w:rsidR="001E1EEC" w:rsidRPr="00C631BF">
            <w:rPr>
              <w:rFonts w:ascii="Times New Roman" w:hAnsi="Times New Roman"/>
              <w:sz w:val="24"/>
              <w:szCs w:val="24"/>
              <w:lang w:val="sq-AL"/>
            </w:rPr>
            <w:t xml:space="preserve"> Ministrave nr. 179, dat</w:t>
          </w:r>
          <w:r w:rsidR="00962EFA">
            <w:rPr>
              <w:rFonts w:ascii="Times New Roman" w:hAnsi="Times New Roman"/>
              <w:sz w:val="24"/>
              <w:szCs w:val="24"/>
              <w:lang w:val="sq-AL"/>
            </w:rPr>
            <w:t>ë</w:t>
          </w:r>
          <w:r w:rsidR="001E1EEC" w:rsidRPr="00C631BF">
            <w:rPr>
              <w:rFonts w:ascii="Times New Roman" w:hAnsi="Times New Roman"/>
              <w:sz w:val="24"/>
              <w:szCs w:val="24"/>
              <w:lang w:val="sq-AL"/>
            </w:rPr>
            <w:t xml:space="preserve"> 9.03.2016 “P</w:t>
          </w:r>
          <w:r w:rsidR="00962EFA">
            <w:rPr>
              <w:rFonts w:ascii="Times New Roman" w:hAnsi="Times New Roman"/>
              <w:sz w:val="24"/>
              <w:szCs w:val="24"/>
              <w:lang w:val="sq-AL"/>
            </w:rPr>
            <w:t>ë</w:t>
          </w:r>
          <w:r w:rsidR="001E1EEC" w:rsidRPr="00C631BF">
            <w:rPr>
              <w:rFonts w:ascii="Times New Roman" w:hAnsi="Times New Roman"/>
              <w:sz w:val="24"/>
              <w:szCs w:val="24"/>
              <w:lang w:val="sq-AL"/>
            </w:rPr>
            <w:t>r miratimin e statutit t</w:t>
          </w:r>
          <w:r w:rsidR="00962EFA">
            <w:rPr>
              <w:rFonts w:ascii="Times New Roman" w:hAnsi="Times New Roman"/>
              <w:sz w:val="24"/>
              <w:szCs w:val="24"/>
              <w:lang w:val="sq-AL"/>
            </w:rPr>
            <w:t>ë</w:t>
          </w:r>
          <w:r w:rsidR="001E1EEC" w:rsidRPr="00C631BF">
            <w:rPr>
              <w:rFonts w:ascii="Times New Roman" w:hAnsi="Times New Roman"/>
              <w:sz w:val="24"/>
              <w:szCs w:val="24"/>
              <w:lang w:val="sq-AL"/>
            </w:rPr>
            <w:t xml:space="preserve"> Qendr</w:t>
          </w:r>
          <w:r w:rsidR="00962EFA">
            <w:rPr>
              <w:rFonts w:ascii="Times New Roman" w:hAnsi="Times New Roman"/>
              <w:sz w:val="24"/>
              <w:szCs w:val="24"/>
              <w:lang w:val="sq-AL"/>
            </w:rPr>
            <w:t>ë</w:t>
          </w:r>
          <w:r w:rsidR="001E1EEC" w:rsidRPr="00C631BF">
            <w:rPr>
              <w:rFonts w:ascii="Times New Roman" w:hAnsi="Times New Roman"/>
              <w:sz w:val="24"/>
              <w:szCs w:val="24"/>
              <w:lang w:val="sq-AL"/>
            </w:rPr>
            <w:t>s Komb</w:t>
          </w:r>
          <w:r w:rsidR="00962EFA">
            <w:rPr>
              <w:rFonts w:ascii="Times New Roman" w:hAnsi="Times New Roman"/>
              <w:sz w:val="24"/>
              <w:szCs w:val="24"/>
              <w:lang w:val="sq-AL"/>
            </w:rPr>
            <w:t>ë</w:t>
          </w:r>
          <w:r w:rsidR="001E1EEC" w:rsidRPr="00C631BF">
            <w:rPr>
              <w:rFonts w:ascii="Times New Roman" w:hAnsi="Times New Roman"/>
              <w:sz w:val="24"/>
              <w:szCs w:val="24"/>
              <w:lang w:val="sq-AL"/>
            </w:rPr>
            <w:t>tare t</w:t>
          </w:r>
          <w:r w:rsidR="00962EFA">
            <w:rPr>
              <w:rFonts w:ascii="Times New Roman" w:hAnsi="Times New Roman"/>
              <w:sz w:val="24"/>
              <w:szCs w:val="24"/>
              <w:lang w:val="sq-AL"/>
            </w:rPr>
            <w:t>ë</w:t>
          </w:r>
          <w:r w:rsidR="001E1EEC" w:rsidRPr="00C631BF">
            <w:rPr>
              <w:rFonts w:ascii="Times New Roman" w:hAnsi="Times New Roman"/>
              <w:sz w:val="24"/>
              <w:szCs w:val="24"/>
              <w:lang w:val="sq-AL"/>
            </w:rPr>
            <w:t xml:space="preserve"> Biznesit” (i cili ka shfuqizuar </w:t>
          </w:r>
          <w:r w:rsidR="00664D09" w:rsidRPr="00C631BF">
            <w:rPr>
              <w:rFonts w:ascii="Times New Roman" w:hAnsi="Times New Roman"/>
              <w:sz w:val="24"/>
              <w:szCs w:val="24"/>
              <w:lang w:val="sq-AL"/>
            </w:rPr>
            <w:t xml:space="preserve"> dhe z</w:t>
          </w:r>
          <w:r w:rsidR="00962EFA">
            <w:rPr>
              <w:rFonts w:ascii="Times New Roman" w:hAnsi="Times New Roman"/>
              <w:sz w:val="24"/>
              <w:szCs w:val="24"/>
              <w:lang w:val="sq-AL"/>
            </w:rPr>
            <w:t>ë</w:t>
          </w:r>
          <w:r w:rsidR="00664D09" w:rsidRPr="00C631BF">
            <w:rPr>
              <w:rFonts w:ascii="Times New Roman" w:hAnsi="Times New Roman"/>
              <w:sz w:val="24"/>
              <w:szCs w:val="24"/>
              <w:lang w:val="sq-AL"/>
            </w:rPr>
            <w:t>vend</w:t>
          </w:r>
          <w:r w:rsidR="00962EFA">
            <w:rPr>
              <w:rFonts w:ascii="Times New Roman" w:hAnsi="Times New Roman"/>
              <w:sz w:val="24"/>
              <w:szCs w:val="24"/>
              <w:lang w:val="sq-AL"/>
            </w:rPr>
            <w:t>ë</w:t>
          </w:r>
          <w:r w:rsidR="00664D09" w:rsidRPr="00C631BF">
            <w:rPr>
              <w:rFonts w:ascii="Times New Roman" w:hAnsi="Times New Roman"/>
              <w:sz w:val="24"/>
              <w:szCs w:val="24"/>
              <w:lang w:val="sq-AL"/>
            </w:rPr>
            <w:t xml:space="preserve">suar </w:t>
          </w:r>
          <w:r w:rsidR="001E1EEC" w:rsidRPr="00C631BF">
            <w:rPr>
              <w:rFonts w:ascii="Times New Roman" w:hAnsi="Times New Roman"/>
              <w:sz w:val="24"/>
              <w:szCs w:val="24"/>
              <w:lang w:val="sq-AL"/>
            </w:rPr>
            <w:t xml:space="preserve">Vendimin nr. </w:t>
          </w:r>
          <w:r w:rsidR="00664D09" w:rsidRPr="00C631BF">
            <w:rPr>
              <w:rFonts w:ascii="Times New Roman" w:hAnsi="Times New Roman"/>
              <w:sz w:val="24"/>
              <w:szCs w:val="24"/>
              <w:lang w:val="sq-AL"/>
            </w:rPr>
            <w:t>505, dat</w:t>
          </w:r>
          <w:r w:rsidR="00962EFA">
            <w:rPr>
              <w:rFonts w:ascii="Times New Roman" w:hAnsi="Times New Roman"/>
              <w:sz w:val="24"/>
              <w:szCs w:val="24"/>
              <w:lang w:val="sq-AL"/>
            </w:rPr>
            <w:t>ë</w:t>
          </w:r>
          <w:r w:rsidR="00664D09" w:rsidRPr="00C631BF">
            <w:rPr>
              <w:rFonts w:ascii="Times New Roman" w:hAnsi="Times New Roman"/>
              <w:sz w:val="24"/>
              <w:szCs w:val="24"/>
              <w:lang w:val="sq-AL"/>
            </w:rPr>
            <w:t xml:space="preserve"> 01.08.2007 “P</w:t>
          </w:r>
          <w:r w:rsidR="00962EFA">
            <w:rPr>
              <w:rFonts w:ascii="Times New Roman" w:hAnsi="Times New Roman"/>
              <w:sz w:val="24"/>
              <w:szCs w:val="24"/>
              <w:lang w:val="sq-AL"/>
            </w:rPr>
            <w:t>ë</w:t>
          </w:r>
          <w:r w:rsidR="00664D09" w:rsidRPr="00C631BF">
            <w:rPr>
              <w:rFonts w:ascii="Times New Roman" w:hAnsi="Times New Roman"/>
              <w:sz w:val="24"/>
              <w:szCs w:val="24"/>
              <w:lang w:val="sq-AL"/>
            </w:rPr>
            <w:t>r miratimin e statutit t</w:t>
          </w:r>
          <w:r w:rsidR="00962EFA">
            <w:rPr>
              <w:rFonts w:ascii="Times New Roman" w:hAnsi="Times New Roman"/>
              <w:sz w:val="24"/>
              <w:szCs w:val="24"/>
              <w:lang w:val="sq-AL"/>
            </w:rPr>
            <w:t>ë</w:t>
          </w:r>
          <w:r w:rsidR="00664D09" w:rsidRPr="00C631BF">
            <w:rPr>
              <w:rFonts w:ascii="Times New Roman" w:hAnsi="Times New Roman"/>
              <w:sz w:val="24"/>
              <w:szCs w:val="24"/>
              <w:lang w:val="sq-AL"/>
            </w:rPr>
            <w:t xml:space="preserve"> Qendr</w:t>
          </w:r>
          <w:r w:rsidR="00962EFA">
            <w:rPr>
              <w:rFonts w:ascii="Times New Roman" w:hAnsi="Times New Roman"/>
              <w:sz w:val="24"/>
              <w:szCs w:val="24"/>
              <w:lang w:val="sq-AL"/>
            </w:rPr>
            <w:t>ë</w:t>
          </w:r>
          <w:r w:rsidR="00664D09" w:rsidRPr="00C631BF">
            <w:rPr>
              <w:rFonts w:ascii="Times New Roman" w:hAnsi="Times New Roman"/>
              <w:sz w:val="24"/>
              <w:szCs w:val="24"/>
              <w:lang w:val="sq-AL"/>
            </w:rPr>
            <w:t>s Komb</w:t>
          </w:r>
          <w:r w:rsidR="00962EFA">
            <w:rPr>
              <w:rFonts w:ascii="Times New Roman" w:hAnsi="Times New Roman"/>
              <w:sz w:val="24"/>
              <w:szCs w:val="24"/>
              <w:lang w:val="sq-AL"/>
            </w:rPr>
            <w:t>ë</w:t>
          </w:r>
          <w:r w:rsidR="00664D09" w:rsidRPr="00C631BF">
            <w:rPr>
              <w:rFonts w:ascii="Times New Roman" w:hAnsi="Times New Roman"/>
              <w:sz w:val="24"/>
              <w:szCs w:val="24"/>
              <w:lang w:val="sq-AL"/>
            </w:rPr>
            <w:t>tare t</w:t>
          </w:r>
          <w:r w:rsidR="00962EFA">
            <w:rPr>
              <w:rFonts w:ascii="Times New Roman" w:hAnsi="Times New Roman"/>
              <w:sz w:val="24"/>
              <w:szCs w:val="24"/>
              <w:lang w:val="sq-AL"/>
            </w:rPr>
            <w:t>ë</w:t>
          </w:r>
          <w:r w:rsidR="00664D09" w:rsidRPr="00C631BF">
            <w:rPr>
              <w:rFonts w:ascii="Times New Roman" w:hAnsi="Times New Roman"/>
              <w:sz w:val="24"/>
              <w:szCs w:val="24"/>
              <w:lang w:val="sq-AL"/>
            </w:rPr>
            <w:t xml:space="preserve"> Regjistrimit dhe Vendimin nr. 624, dat</w:t>
          </w:r>
          <w:r w:rsidR="00962EFA">
            <w:rPr>
              <w:rFonts w:ascii="Times New Roman" w:hAnsi="Times New Roman"/>
              <w:sz w:val="24"/>
              <w:szCs w:val="24"/>
              <w:lang w:val="sq-AL"/>
            </w:rPr>
            <w:t>ë</w:t>
          </w:r>
          <w:r w:rsidR="00664D09" w:rsidRPr="00C631BF">
            <w:rPr>
              <w:rFonts w:ascii="Times New Roman" w:hAnsi="Times New Roman"/>
              <w:sz w:val="24"/>
              <w:szCs w:val="24"/>
              <w:lang w:val="sq-AL"/>
            </w:rPr>
            <w:t xml:space="preserve"> 11.06.2009 “P</w:t>
          </w:r>
          <w:r w:rsidR="00962EFA">
            <w:rPr>
              <w:rFonts w:ascii="Times New Roman" w:hAnsi="Times New Roman"/>
              <w:sz w:val="24"/>
              <w:szCs w:val="24"/>
              <w:lang w:val="sq-AL"/>
            </w:rPr>
            <w:t>ë</w:t>
          </w:r>
          <w:r w:rsidR="00664D09" w:rsidRPr="00C631BF">
            <w:rPr>
              <w:rFonts w:ascii="Times New Roman" w:hAnsi="Times New Roman"/>
              <w:sz w:val="24"/>
              <w:szCs w:val="24"/>
              <w:lang w:val="sq-AL"/>
            </w:rPr>
            <w:t>r miratimin e statutit t</w:t>
          </w:r>
          <w:r w:rsidR="00962EFA">
            <w:rPr>
              <w:rFonts w:ascii="Times New Roman" w:hAnsi="Times New Roman"/>
              <w:sz w:val="24"/>
              <w:szCs w:val="24"/>
              <w:lang w:val="sq-AL"/>
            </w:rPr>
            <w:t>ë</w:t>
          </w:r>
          <w:r w:rsidR="00664D09" w:rsidRPr="00C631BF">
            <w:rPr>
              <w:rFonts w:ascii="Times New Roman" w:hAnsi="Times New Roman"/>
              <w:sz w:val="24"/>
              <w:szCs w:val="24"/>
              <w:lang w:val="sq-AL"/>
            </w:rPr>
            <w:t xml:space="preserve"> Qendr</w:t>
          </w:r>
          <w:r w:rsidR="00962EFA">
            <w:rPr>
              <w:rFonts w:ascii="Times New Roman" w:hAnsi="Times New Roman"/>
              <w:sz w:val="24"/>
              <w:szCs w:val="24"/>
              <w:lang w:val="sq-AL"/>
            </w:rPr>
            <w:t>ë</w:t>
          </w:r>
          <w:r w:rsidR="00664D09" w:rsidRPr="00C631BF">
            <w:rPr>
              <w:rFonts w:ascii="Times New Roman" w:hAnsi="Times New Roman"/>
              <w:sz w:val="24"/>
              <w:szCs w:val="24"/>
              <w:lang w:val="sq-AL"/>
            </w:rPr>
            <w:t>s Komb</w:t>
          </w:r>
          <w:r w:rsidR="00962EFA">
            <w:rPr>
              <w:rFonts w:ascii="Times New Roman" w:hAnsi="Times New Roman"/>
              <w:sz w:val="24"/>
              <w:szCs w:val="24"/>
              <w:lang w:val="sq-AL"/>
            </w:rPr>
            <w:t>ë</w:t>
          </w:r>
          <w:r w:rsidR="00664D09" w:rsidRPr="00C631BF">
            <w:rPr>
              <w:rFonts w:ascii="Times New Roman" w:hAnsi="Times New Roman"/>
              <w:sz w:val="24"/>
              <w:szCs w:val="24"/>
              <w:lang w:val="sq-AL"/>
            </w:rPr>
            <w:t>tare t</w:t>
          </w:r>
          <w:r w:rsidR="00962EFA">
            <w:rPr>
              <w:rFonts w:ascii="Times New Roman" w:hAnsi="Times New Roman"/>
              <w:sz w:val="24"/>
              <w:szCs w:val="24"/>
              <w:lang w:val="sq-AL"/>
            </w:rPr>
            <w:t>ë</w:t>
          </w:r>
          <w:r w:rsidR="00664D09" w:rsidRPr="00C631BF">
            <w:rPr>
              <w:rFonts w:ascii="Times New Roman" w:hAnsi="Times New Roman"/>
              <w:sz w:val="24"/>
              <w:szCs w:val="24"/>
              <w:lang w:val="sq-AL"/>
            </w:rPr>
            <w:t xml:space="preserve"> Licencimit) </w:t>
          </w:r>
          <w:r w:rsidR="00B4435E" w:rsidRPr="00C631BF">
            <w:rPr>
              <w:rFonts w:ascii="Times New Roman" w:hAnsi="Times New Roman"/>
              <w:sz w:val="24"/>
              <w:szCs w:val="24"/>
              <w:lang w:val="sq-AL"/>
            </w:rPr>
            <w:t xml:space="preserve">rregullon procedurat e </w:t>
          </w:r>
          <w:r w:rsidR="00613B20" w:rsidRPr="00C631BF">
            <w:rPr>
              <w:rFonts w:ascii="Times New Roman" w:hAnsi="Times New Roman"/>
              <w:sz w:val="24"/>
              <w:szCs w:val="24"/>
              <w:lang w:val="sq-AL"/>
            </w:rPr>
            <w:t>brendshme t</w:t>
          </w:r>
          <w:r w:rsidR="00962EFA">
            <w:rPr>
              <w:rFonts w:ascii="Times New Roman" w:hAnsi="Times New Roman"/>
              <w:sz w:val="24"/>
              <w:szCs w:val="24"/>
              <w:lang w:val="sq-AL"/>
            </w:rPr>
            <w:t>ë</w:t>
          </w:r>
          <w:r w:rsidR="00613B20" w:rsidRPr="00C631BF">
            <w:rPr>
              <w:rFonts w:ascii="Times New Roman" w:hAnsi="Times New Roman"/>
              <w:sz w:val="24"/>
              <w:szCs w:val="24"/>
              <w:lang w:val="sq-AL"/>
            </w:rPr>
            <w:t xml:space="preserve"> organizimit dhe funksionimit t</w:t>
          </w:r>
          <w:r w:rsidR="00962EFA">
            <w:rPr>
              <w:rFonts w:ascii="Times New Roman" w:hAnsi="Times New Roman"/>
              <w:sz w:val="24"/>
              <w:szCs w:val="24"/>
              <w:lang w:val="sq-AL"/>
            </w:rPr>
            <w:t>ë</w:t>
          </w:r>
          <w:r w:rsidR="00613B20" w:rsidRPr="00C631BF">
            <w:rPr>
              <w:rFonts w:ascii="Times New Roman" w:hAnsi="Times New Roman"/>
              <w:sz w:val="24"/>
              <w:szCs w:val="24"/>
              <w:lang w:val="sq-AL"/>
            </w:rPr>
            <w:t xml:space="preserve"> Qendr</w:t>
          </w:r>
          <w:r w:rsidR="00962EFA">
            <w:rPr>
              <w:rFonts w:ascii="Times New Roman" w:hAnsi="Times New Roman"/>
              <w:sz w:val="24"/>
              <w:szCs w:val="24"/>
              <w:lang w:val="sq-AL"/>
            </w:rPr>
            <w:t>ë</w:t>
          </w:r>
          <w:r w:rsidR="00613B20" w:rsidRPr="00C631BF">
            <w:rPr>
              <w:rFonts w:ascii="Times New Roman" w:hAnsi="Times New Roman"/>
              <w:sz w:val="24"/>
              <w:szCs w:val="24"/>
              <w:lang w:val="sq-AL"/>
            </w:rPr>
            <w:t>s Komb</w:t>
          </w:r>
          <w:r w:rsidR="00962EFA">
            <w:rPr>
              <w:rFonts w:ascii="Times New Roman" w:hAnsi="Times New Roman"/>
              <w:sz w:val="24"/>
              <w:szCs w:val="24"/>
              <w:lang w:val="sq-AL"/>
            </w:rPr>
            <w:t>ë</w:t>
          </w:r>
          <w:r w:rsidR="00613B20" w:rsidRPr="00C631BF">
            <w:rPr>
              <w:rFonts w:ascii="Times New Roman" w:hAnsi="Times New Roman"/>
              <w:sz w:val="24"/>
              <w:szCs w:val="24"/>
              <w:lang w:val="sq-AL"/>
            </w:rPr>
            <w:t>tare t</w:t>
          </w:r>
          <w:r w:rsidR="00962EFA">
            <w:rPr>
              <w:rFonts w:ascii="Times New Roman" w:hAnsi="Times New Roman"/>
              <w:sz w:val="24"/>
              <w:szCs w:val="24"/>
              <w:lang w:val="sq-AL"/>
            </w:rPr>
            <w:t>ë</w:t>
          </w:r>
          <w:r w:rsidR="00613B20" w:rsidRPr="00C631BF">
            <w:rPr>
              <w:rFonts w:ascii="Times New Roman" w:hAnsi="Times New Roman"/>
              <w:sz w:val="24"/>
              <w:szCs w:val="24"/>
              <w:lang w:val="sq-AL"/>
            </w:rPr>
            <w:t xml:space="preserve"> Biznesit.</w:t>
          </w:r>
        </w:p>
        <w:p w14:paraId="60A02334" w14:textId="77777777" w:rsidR="004D0081" w:rsidRPr="00A15BAC" w:rsidRDefault="004D0081" w:rsidP="006718EC">
          <w:pPr>
            <w:jc w:val="both"/>
            <w:rPr>
              <w:szCs w:val="24"/>
              <w:lang w:val="sq-AL"/>
            </w:rPr>
          </w:pPr>
        </w:p>
        <w:p w14:paraId="567E6857" w14:textId="1081CBAA" w:rsidR="00613B20" w:rsidRPr="00962EFA" w:rsidRDefault="00720DBF" w:rsidP="00C631BF">
          <w:pPr>
            <w:pStyle w:val="ListParagraph"/>
            <w:numPr>
              <w:ilvl w:val="0"/>
              <w:numId w:val="46"/>
            </w:numPr>
            <w:jc w:val="both"/>
            <w:rPr>
              <w:szCs w:val="24"/>
              <w:lang w:val="sq-AL"/>
            </w:rPr>
          </w:pPr>
          <w:r>
            <w:rPr>
              <w:rFonts w:ascii="Times New Roman" w:hAnsi="Times New Roman"/>
              <w:sz w:val="24"/>
              <w:szCs w:val="24"/>
              <w:lang w:val="sq-AL"/>
            </w:rPr>
            <w:t xml:space="preserve">  </w:t>
          </w:r>
          <w:r w:rsidR="004D0081" w:rsidRPr="00C631BF">
            <w:rPr>
              <w:rFonts w:ascii="Times New Roman" w:hAnsi="Times New Roman"/>
              <w:sz w:val="24"/>
              <w:szCs w:val="24"/>
              <w:lang w:val="sq-AL"/>
            </w:rPr>
            <w:t>Vendimi nr. 391, dat</w:t>
          </w:r>
          <w:r w:rsidR="00962EFA">
            <w:rPr>
              <w:rFonts w:ascii="Times New Roman" w:hAnsi="Times New Roman"/>
              <w:sz w:val="24"/>
              <w:szCs w:val="24"/>
              <w:lang w:val="sq-AL"/>
            </w:rPr>
            <w:t>ë</w:t>
          </w:r>
          <w:r w:rsidR="004D0081" w:rsidRPr="00C631BF">
            <w:rPr>
              <w:rFonts w:ascii="Times New Roman" w:hAnsi="Times New Roman"/>
              <w:sz w:val="24"/>
              <w:szCs w:val="24"/>
              <w:lang w:val="sq-AL"/>
            </w:rPr>
            <w:t xml:space="preserve"> 3.05.2017 “P</w:t>
          </w:r>
          <w:r w:rsidR="00962EFA">
            <w:rPr>
              <w:rFonts w:ascii="Times New Roman" w:hAnsi="Times New Roman"/>
              <w:sz w:val="24"/>
              <w:szCs w:val="24"/>
              <w:lang w:val="sq-AL"/>
            </w:rPr>
            <w:t>ë</w:t>
          </w:r>
          <w:r w:rsidR="004D0081" w:rsidRPr="00C631BF">
            <w:rPr>
              <w:rFonts w:ascii="Times New Roman" w:hAnsi="Times New Roman"/>
              <w:sz w:val="24"/>
              <w:szCs w:val="24"/>
              <w:lang w:val="sq-AL"/>
            </w:rPr>
            <w:t>r p</w:t>
          </w:r>
          <w:r w:rsidR="00962EFA">
            <w:rPr>
              <w:rFonts w:ascii="Times New Roman" w:hAnsi="Times New Roman"/>
              <w:sz w:val="24"/>
              <w:szCs w:val="24"/>
              <w:lang w:val="sq-AL"/>
            </w:rPr>
            <w:t>ë</w:t>
          </w:r>
          <w:r w:rsidR="004D0081" w:rsidRPr="00C631BF">
            <w:rPr>
              <w:rFonts w:ascii="Times New Roman" w:hAnsi="Times New Roman"/>
              <w:sz w:val="24"/>
              <w:szCs w:val="24"/>
              <w:lang w:val="sq-AL"/>
            </w:rPr>
            <w:t>rcaktimin e procedurave t</w:t>
          </w:r>
          <w:r w:rsidR="00962EFA">
            <w:rPr>
              <w:rFonts w:ascii="Times New Roman" w:hAnsi="Times New Roman"/>
              <w:sz w:val="24"/>
              <w:szCs w:val="24"/>
              <w:lang w:val="sq-AL"/>
            </w:rPr>
            <w:t>ë</w:t>
          </w:r>
          <w:r w:rsidR="004D0081" w:rsidRPr="00C631BF">
            <w:rPr>
              <w:rFonts w:ascii="Times New Roman" w:hAnsi="Times New Roman"/>
              <w:sz w:val="24"/>
              <w:szCs w:val="24"/>
              <w:lang w:val="sq-AL"/>
            </w:rPr>
            <w:t xml:space="preserve"> regjistrimit dhe t</w:t>
          </w:r>
          <w:r w:rsidR="00962EFA">
            <w:rPr>
              <w:rFonts w:ascii="Times New Roman" w:hAnsi="Times New Roman"/>
              <w:sz w:val="24"/>
              <w:szCs w:val="24"/>
              <w:lang w:val="sq-AL"/>
            </w:rPr>
            <w:t>ë</w:t>
          </w:r>
          <w:r w:rsidR="004D0081" w:rsidRPr="00C631BF">
            <w:rPr>
              <w:rFonts w:ascii="Times New Roman" w:hAnsi="Times New Roman"/>
              <w:sz w:val="24"/>
              <w:szCs w:val="24"/>
              <w:lang w:val="sq-AL"/>
            </w:rPr>
            <w:t xml:space="preserve"> publikimit n</w:t>
          </w:r>
          <w:r w:rsidR="00962EFA">
            <w:rPr>
              <w:rFonts w:ascii="Times New Roman" w:hAnsi="Times New Roman"/>
              <w:sz w:val="24"/>
              <w:szCs w:val="24"/>
              <w:lang w:val="sq-AL"/>
            </w:rPr>
            <w:t>ë</w:t>
          </w:r>
          <w:r w:rsidR="004D0081" w:rsidRPr="00C631BF">
            <w:rPr>
              <w:rFonts w:ascii="Times New Roman" w:hAnsi="Times New Roman"/>
              <w:sz w:val="24"/>
              <w:szCs w:val="24"/>
              <w:lang w:val="sq-AL"/>
            </w:rPr>
            <w:t xml:space="preserve"> Qendr</w:t>
          </w:r>
          <w:r w:rsidR="00962EFA">
            <w:rPr>
              <w:rFonts w:ascii="Times New Roman" w:hAnsi="Times New Roman"/>
              <w:sz w:val="24"/>
              <w:szCs w:val="24"/>
              <w:lang w:val="sq-AL"/>
            </w:rPr>
            <w:t>ë</w:t>
          </w:r>
          <w:r w:rsidR="004D0081" w:rsidRPr="00C631BF">
            <w:rPr>
              <w:rFonts w:ascii="Times New Roman" w:hAnsi="Times New Roman"/>
              <w:sz w:val="24"/>
              <w:szCs w:val="24"/>
              <w:lang w:val="sq-AL"/>
            </w:rPr>
            <w:t>n Komb</w:t>
          </w:r>
          <w:r w:rsidR="00962EFA">
            <w:rPr>
              <w:rFonts w:ascii="Times New Roman" w:hAnsi="Times New Roman"/>
              <w:sz w:val="24"/>
              <w:szCs w:val="24"/>
              <w:lang w:val="sq-AL"/>
            </w:rPr>
            <w:t>ë</w:t>
          </w:r>
          <w:r w:rsidR="004D0081" w:rsidRPr="00C631BF">
            <w:rPr>
              <w:rFonts w:ascii="Times New Roman" w:hAnsi="Times New Roman"/>
              <w:sz w:val="24"/>
              <w:szCs w:val="24"/>
              <w:lang w:val="sq-AL"/>
            </w:rPr>
            <w:t>tare t</w:t>
          </w:r>
          <w:r w:rsidR="00962EFA">
            <w:rPr>
              <w:rFonts w:ascii="Times New Roman" w:hAnsi="Times New Roman"/>
              <w:sz w:val="24"/>
              <w:szCs w:val="24"/>
              <w:lang w:val="sq-AL"/>
            </w:rPr>
            <w:t>ë</w:t>
          </w:r>
          <w:r w:rsidR="004D0081" w:rsidRPr="00C631BF">
            <w:rPr>
              <w:rFonts w:ascii="Times New Roman" w:hAnsi="Times New Roman"/>
              <w:sz w:val="24"/>
              <w:szCs w:val="24"/>
              <w:lang w:val="sq-AL"/>
            </w:rPr>
            <w:t xml:space="preserve"> Biznesit” (i ndryshuar dy her</w:t>
          </w:r>
          <w:r w:rsidR="00962EFA">
            <w:rPr>
              <w:rFonts w:ascii="Times New Roman" w:hAnsi="Times New Roman"/>
              <w:sz w:val="24"/>
              <w:szCs w:val="24"/>
              <w:lang w:val="sq-AL"/>
            </w:rPr>
            <w:t>ë</w:t>
          </w:r>
          <w:r w:rsidR="004D0081" w:rsidRPr="00C631BF">
            <w:rPr>
              <w:rFonts w:ascii="Times New Roman" w:hAnsi="Times New Roman"/>
              <w:sz w:val="24"/>
              <w:szCs w:val="24"/>
              <w:lang w:val="sq-AL"/>
            </w:rPr>
            <w:t xml:space="preserve">) </w:t>
          </w:r>
          <w:r w:rsidR="001733ED" w:rsidRPr="00C631BF">
            <w:rPr>
              <w:rFonts w:ascii="Times New Roman" w:hAnsi="Times New Roman"/>
              <w:sz w:val="24"/>
              <w:szCs w:val="24"/>
              <w:lang w:val="sq-AL"/>
            </w:rPr>
            <w:t>p</w:t>
          </w:r>
          <w:r w:rsidR="00962EFA">
            <w:rPr>
              <w:rFonts w:ascii="Times New Roman" w:hAnsi="Times New Roman"/>
              <w:sz w:val="24"/>
              <w:szCs w:val="24"/>
              <w:lang w:val="sq-AL"/>
            </w:rPr>
            <w:t>ë</w:t>
          </w:r>
          <w:r w:rsidR="001733ED" w:rsidRPr="00C631BF">
            <w:rPr>
              <w:rFonts w:ascii="Times New Roman" w:hAnsi="Times New Roman"/>
              <w:sz w:val="24"/>
              <w:szCs w:val="24"/>
              <w:lang w:val="sq-AL"/>
            </w:rPr>
            <w:t>rcakton kryesisht procedurat p</w:t>
          </w:r>
          <w:r w:rsidR="00962EFA">
            <w:rPr>
              <w:rFonts w:ascii="Times New Roman" w:hAnsi="Times New Roman"/>
              <w:sz w:val="24"/>
              <w:szCs w:val="24"/>
              <w:lang w:val="sq-AL"/>
            </w:rPr>
            <w:t>ë</w:t>
          </w:r>
          <w:r w:rsidR="001733ED" w:rsidRPr="00C631BF">
            <w:rPr>
              <w:rFonts w:ascii="Times New Roman" w:hAnsi="Times New Roman"/>
              <w:sz w:val="24"/>
              <w:szCs w:val="24"/>
              <w:lang w:val="sq-AL"/>
            </w:rPr>
            <w:t>r aplikimin p</w:t>
          </w:r>
          <w:r w:rsidR="00962EFA">
            <w:rPr>
              <w:rFonts w:ascii="Times New Roman" w:hAnsi="Times New Roman"/>
              <w:sz w:val="24"/>
              <w:szCs w:val="24"/>
              <w:lang w:val="sq-AL"/>
            </w:rPr>
            <w:t>ë</w:t>
          </w:r>
          <w:r w:rsidR="001733ED" w:rsidRPr="00C631BF">
            <w:rPr>
              <w:rFonts w:ascii="Times New Roman" w:hAnsi="Times New Roman"/>
              <w:sz w:val="24"/>
              <w:szCs w:val="24"/>
              <w:lang w:val="sq-AL"/>
            </w:rPr>
            <w:t>r regjistrime fillestare apo p</w:t>
          </w:r>
          <w:r w:rsidR="00962EFA">
            <w:rPr>
              <w:rFonts w:ascii="Times New Roman" w:hAnsi="Times New Roman"/>
              <w:sz w:val="24"/>
              <w:szCs w:val="24"/>
              <w:lang w:val="sq-AL"/>
            </w:rPr>
            <w:t>ë</w:t>
          </w:r>
          <w:r w:rsidR="001733ED" w:rsidRPr="00C631BF">
            <w:rPr>
              <w:rFonts w:ascii="Times New Roman" w:hAnsi="Times New Roman"/>
              <w:sz w:val="24"/>
              <w:szCs w:val="24"/>
              <w:lang w:val="sq-AL"/>
            </w:rPr>
            <w:t>r ndryshime n</w:t>
          </w:r>
          <w:r w:rsidR="00962EFA">
            <w:rPr>
              <w:rFonts w:ascii="Times New Roman" w:hAnsi="Times New Roman"/>
              <w:sz w:val="24"/>
              <w:szCs w:val="24"/>
              <w:lang w:val="sq-AL"/>
            </w:rPr>
            <w:t>ë</w:t>
          </w:r>
          <w:r w:rsidR="001733ED" w:rsidRPr="00C631BF">
            <w:rPr>
              <w:rFonts w:ascii="Times New Roman" w:hAnsi="Times New Roman"/>
              <w:sz w:val="24"/>
              <w:szCs w:val="24"/>
              <w:lang w:val="sq-AL"/>
            </w:rPr>
            <w:t xml:space="preserve"> subjekte</w:t>
          </w:r>
          <w:r w:rsidR="008C6E5E" w:rsidRPr="00C631BF">
            <w:rPr>
              <w:rFonts w:ascii="Times New Roman" w:hAnsi="Times New Roman"/>
              <w:sz w:val="24"/>
              <w:szCs w:val="24"/>
              <w:lang w:val="sq-AL"/>
            </w:rPr>
            <w:t xml:space="preserve"> si dhe procedurat p</w:t>
          </w:r>
          <w:r w:rsidR="00962EFA">
            <w:rPr>
              <w:rFonts w:ascii="Times New Roman" w:hAnsi="Times New Roman"/>
              <w:sz w:val="24"/>
              <w:szCs w:val="24"/>
              <w:lang w:val="sq-AL"/>
            </w:rPr>
            <w:t>ë</w:t>
          </w:r>
          <w:r w:rsidR="008C6E5E" w:rsidRPr="00C631BF">
            <w:rPr>
              <w:rFonts w:ascii="Times New Roman" w:hAnsi="Times New Roman"/>
              <w:sz w:val="24"/>
              <w:szCs w:val="24"/>
              <w:lang w:val="sq-AL"/>
            </w:rPr>
            <w:t>r miratimin, pezullimin dhe refuzimin e regjistrimeve nga Qendra Komb</w:t>
          </w:r>
          <w:r w:rsidR="00962EFA">
            <w:rPr>
              <w:rFonts w:ascii="Times New Roman" w:hAnsi="Times New Roman"/>
              <w:sz w:val="24"/>
              <w:szCs w:val="24"/>
              <w:lang w:val="sq-AL"/>
            </w:rPr>
            <w:t>ë</w:t>
          </w:r>
          <w:r w:rsidR="008C6E5E" w:rsidRPr="00C631BF">
            <w:rPr>
              <w:rFonts w:ascii="Times New Roman" w:hAnsi="Times New Roman"/>
              <w:sz w:val="24"/>
              <w:szCs w:val="24"/>
              <w:lang w:val="sq-AL"/>
            </w:rPr>
            <w:t xml:space="preserve">tare e Biznesit. </w:t>
          </w:r>
        </w:p>
        <w:p w14:paraId="2C86FAA1" w14:textId="77777777" w:rsidR="0089282C" w:rsidRPr="00A15BAC" w:rsidRDefault="0089282C" w:rsidP="006718EC">
          <w:pPr>
            <w:jc w:val="both"/>
            <w:rPr>
              <w:szCs w:val="24"/>
              <w:lang w:val="sq-AL"/>
            </w:rPr>
          </w:pPr>
        </w:p>
        <w:p w14:paraId="265E02F9" w14:textId="51204710" w:rsidR="0089282C" w:rsidRPr="00962EFA" w:rsidRDefault="00720DBF" w:rsidP="00C631BF">
          <w:pPr>
            <w:pStyle w:val="ListParagraph"/>
            <w:numPr>
              <w:ilvl w:val="0"/>
              <w:numId w:val="46"/>
            </w:numPr>
            <w:jc w:val="both"/>
            <w:rPr>
              <w:szCs w:val="24"/>
              <w:lang w:val="sq-AL"/>
            </w:rPr>
          </w:pPr>
          <w:r>
            <w:rPr>
              <w:rFonts w:ascii="Times New Roman" w:hAnsi="Times New Roman"/>
              <w:sz w:val="24"/>
              <w:szCs w:val="24"/>
              <w:lang w:val="sq-AL"/>
            </w:rPr>
            <w:t xml:space="preserve">  </w:t>
          </w:r>
          <w:r w:rsidR="0089282C" w:rsidRPr="00C631BF">
            <w:rPr>
              <w:rFonts w:ascii="Times New Roman" w:hAnsi="Times New Roman"/>
              <w:sz w:val="24"/>
              <w:szCs w:val="24"/>
              <w:lang w:val="sq-AL"/>
            </w:rPr>
            <w:t>Vendimi nr. 537, dat</w:t>
          </w:r>
          <w:r w:rsidR="00962EFA">
            <w:rPr>
              <w:rFonts w:ascii="Times New Roman" w:hAnsi="Times New Roman"/>
              <w:sz w:val="24"/>
              <w:szCs w:val="24"/>
              <w:lang w:val="sq-AL"/>
            </w:rPr>
            <w:t>ë</w:t>
          </w:r>
          <w:r w:rsidR="0089282C" w:rsidRPr="00C631BF">
            <w:rPr>
              <w:rFonts w:ascii="Times New Roman" w:hAnsi="Times New Roman"/>
              <w:sz w:val="24"/>
              <w:szCs w:val="24"/>
              <w:lang w:val="sq-AL"/>
            </w:rPr>
            <w:t xml:space="preserve"> 1.08.2007 “P</w:t>
          </w:r>
          <w:r w:rsidR="00962EFA">
            <w:rPr>
              <w:rFonts w:ascii="Times New Roman" w:hAnsi="Times New Roman"/>
              <w:sz w:val="24"/>
              <w:szCs w:val="24"/>
              <w:lang w:val="sq-AL"/>
            </w:rPr>
            <w:t>ë</w:t>
          </w:r>
          <w:r w:rsidR="0089282C" w:rsidRPr="00C631BF">
            <w:rPr>
              <w:rFonts w:ascii="Times New Roman" w:hAnsi="Times New Roman"/>
              <w:sz w:val="24"/>
              <w:szCs w:val="24"/>
              <w:lang w:val="sq-AL"/>
            </w:rPr>
            <w:t>r rregullat p</w:t>
          </w:r>
          <w:r w:rsidR="00962EFA">
            <w:rPr>
              <w:rFonts w:ascii="Times New Roman" w:hAnsi="Times New Roman"/>
              <w:sz w:val="24"/>
              <w:szCs w:val="24"/>
              <w:lang w:val="sq-AL"/>
            </w:rPr>
            <w:t>ë</w:t>
          </w:r>
          <w:r w:rsidR="0089282C" w:rsidRPr="00C631BF">
            <w:rPr>
              <w:rFonts w:ascii="Times New Roman" w:hAnsi="Times New Roman"/>
              <w:sz w:val="24"/>
              <w:szCs w:val="24"/>
              <w:lang w:val="sq-AL"/>
            </w:rPr>
            <w:t>r emrat dhe em</w:t>
          </w:r>
          <w:r w:rsidR="00962EFA">
            <w:rPr>
              <w:rFonts w:ascii="Times New Roman" w:hAnsi="Times New Roman"/>
              <w:sz w:val="24"/>
              <w:szCs w:val="24"/>
              <w:lang w:val="sq-AL"/>
            </w:rPr>
            <w:t>ë</w:t>
          </w:r>
          <w:r w:rsidR="0089282C" w:rsidRPr="00C631BF">
            <w:rPr>
              <w:rFonts w:ascii="Times New Roman" w:hAnsi="Times New Roman"/>
              <w:sz w:val="24"/>
              <w:szCs w:val="24"/>
              <w:lang w:val="sq-AL"/>
            </w:rPr>
            <w:t>rtimet tregtare” p</w:t>
          </w:r>
          <w:r w:rsidR="00962EFA">
            <w:rPr>
              <w:rFonts w:ascii="Times New Roman" w:hAnsi="Times New Roman"/>
              <w:sz w:val="24"/>
              <w:szCs w:val="24"/>
              <w:lang w:val="sq-AL"/>
            </w:rPr>
            <w:t>ë</w:t>
          </w:r>
          <w:r w:rsidR="0089282C" w:rsidRPr="00C631BF">
            <w:rPr>
              <w:rFonts w:ascii="Times New Roman" w:hAnsi="Times New Roman"/>
              <w:sz w:val="24"/>
              <w:szCs w:val="24"/>
              <w:lang w:val="sq-AL"/>
            </w:rPr>
            <w:t>rcakton rregullat p</w:t>
          </w:r>
          <w:r w:rsidR="00962EFA">
            <w:rPr>
              <w:rFonts w:ascii="Times New Roman" w:hAnsi="Times New Roman"/>
              <w:sz w:val="24"/>
              <w:szCs w:val="24"/>
              <w:lang w:val="sq-AL"/>
            </w:rPr>
            <w:t>ë</w:t>
          </w:r>
          <w:r w:rsidR="0089282C" w:rsidRPr="00C631BF">
            <w:rPr>
              <w:rFonts w:ascii="Times New Roman" w:hAnsi="Times New Roman"/>
              <w:sz w:val="24"/>
              <w:szCs w:val="24"/>
              <w:lang w:val="sq-AL"/>
            </w:rPr>
            <w:t>r em</w:t>
          </w:r>
          <w:r w:rsidR="00962EFA">
            <w:rPr>
              <w:rFonts w:ascii="Times New Roman" w:hAnsi="Times New Roman"/>
              <w:sz w:val="24"/>
              <w:szCs w:val="24"/>
              <w:lang w:val="sq-AL"/>
            </w:rPr>
            <w:t>ë</w:t>
          </w:r>
          <w:r w:rsidR="0089282C" w:rsidRPr="00C631BF">
            <w:rPr>
              <w:rFonts w:ascii="Times New Roman" w:hAnsi="Times New Roman"/>
              <w:sz w:val="24"/>
              <w:szCs w:val="24"/>
              <w:lang w:val="sq-AL"/>
            </w:rPr>
            <w:t>rtimet e lejueshme t</w:t>
          </w:r>
          <w:r w:rsidR="00962EFA">
            <w:rPr>
              <w:rFonts w:ascii="Times New Roman" w:hAnsi="Times New Roman"/>
              <w:sz w:val="24"/>
              <w:szCs w:val="24"/>
              <w:lang w:val="sq-AL"/>
            </w:rPr>
            <w:t>ë</w:t>
          </w:r>
          <w:r w:rsidR="0089282C" w:rsidRPr="00C631BF">
            <w:rPr>
              <w:rFonts w:ascii="Times New Roman" w:hAnsi="Times New Roman"/>
              <w:sz w:val="24"/>
              <w:szCs w:val="24"/>
              <w:lang w:val="sq-AL"/>
            </w:rPr>
            <w:t xml:space="preserve"> subjekteve.</w:t>
          </w:r>
        </w:p>
        <w:p w14:paraId="53E11AC2" w14:textId="77777777" w:rsidR="003569BC" w:rsidRPr="00A15BAC" w:rsidRDefault="003569BC" w:rsidP="006718EC">
          <w:pPr>
            <w:jc w:val="both"/>
            <w:rPr>
              <w:szCs w:val="24"/>
              <w:lang w:val="sq-AL"/>
            </w:rPr>
          </w:pPr>
        </w:p>
        <w:p w14:paraId="64D8DB7E" w14:textId="67318C3E" w:rsidR="003569BC" w:rsidRPr="00962EFA" w:rsidRDefault="00720DBF" w:rsidP="00C631BF">
          <w:pPr>
            <w:pStyle w:val="ListParagraph"/>
            <w:numPr>
              <w:ilvl w:val="0"/>
              <w:numId w:val="46"/>
            </w:numPr>
            <w:jc w:val="both"/>
            <w:rPr>
              <w:szCs w:val="24"/>
              <w:lang w:val="sq-AL"/>
            </w:rPr>
          </w:pPr>
          <w:r>
            <w:rPr>
              <w:rFonts w:ascii="Times New Roman" w:hAnsi="Times New Roman"/>
              <w:sz w:val="24"/>
              <w:szCs w:val="24"/>
              <w:lang w:val="sq-AL"/>
            </w:rPr>
            <w:t xml:space="preserve">   </w:t>
          </w:r>
          <w:r w:rsidR="003569BC" w:rsidRPr="00C631BF">
            <w:rPr>
              <w:rFonts w:ascii="Times New Roman" w:hAnsi="Times New Roman"/>
              <w:sz w:val="24"/>
              <w:szCs w:val="24"/>
              <w:lang w:val="sq-AL"/>
            </w:rPr>
            <w:t>Ligji nr. 112/2020 “P</w:t>
          </w:r>
          <w:r w:rsidR="00962EFA">
            <w:rPr>
              <w:rFonts w:ascii="Times New Roman" w:hAnsi="Times New Roman"/>
              <w:sz w:val="24"/>
              <w:szCs w:val="24"/>
              <w:lang w:val="sq-AL"/>
            </w:rPr>
            <w:t>ë</w:t>
          </w:r>
          <w:r w:rsidR="003569BC" w:rsidRPr="00C631BF">
            <w:rPr>
              <w:rFonts w:ascii="Times New Roman" w:hAnsi="Times New Roman"/>
              <w:sz w:val="24"/>
              <w:szCs w:val="24"/>
              <w:lang w:val="sq-AL"/>
            </w:rPr>
            <w:t>r regjistrin e pronar</w:t>
          </w:r>
          <w:r w:rsidR="00962EFA">
            <w:rPr>
              <w:rFonts w:ascii="Times New Roman" w:hAnsi="Times New Roman"/>
              <w:sz w:val="24"/>
              <w:szCs w:val="24"/>
              <w:lang w:val="sq-AL"/>
            </w:rPr>
            <w:t>ë</w:t>
          </w:r>
          <w:r w:rsidR="003569BC" w:rsidRPr="00C631BF">
            <w:rPr>
              <w:rFonts w:ascii="Times New Roman" w:hAnsi="Times New Roman"/>
              <w:sz w:val="24"/>
              <w:szCs w:val="24"/>
              <w:lang w:val="sq-AL"/>
            </w:rPr>
            <w:t>ve p</w:t>
          </w:r>
          <w:r w:rsidR="00962EFA">
            <w:rPr>
              <w:rFonts w:ascii="Times New Roman" w:hAnsi="Times New Roman"/>
              <w:sz w:val="24"/>
              <w:szCs w:val="24"/>
              <w:lang w:val="sq-AL"/>
            </w:rPr>
            <w:t>ë</w:t>
          </w:r>
          <w:r w:rsidR="003569BC" w:rsidRPr="00C631BF">
            <w:rPr>
              <w:rFonts w:ascii="Times New Roman" w:hAnsi="Times New Roman"/>
              <w:sz w:val="24"/>
              <w:szCs w:val="24"/>
              <w:lang w:val="sq-AL"/>
            </w:rPr>
            <w:t>rfitues” (i ndryshuar dy here) p</w:t>
          </w:r>
          <w:r w:rsidR="00962EFA">
            <w:rPr>
              <w:rFonts w:ascii="Times New Roman" w:hAnsi="Times New Roman"/>
              <w:sz w:val="24"/>
              <w:szCs w:val="24"/>
              <w:lang w:val="sq-AL"/>
            </w:rPr>
            <w:t>ë</w:t>
          </w:r>
          <w:r w:rsidR="003569BC" w:rsidRPr="00C631BF">
            <w:rPr>
              <w:rFonts w:ascii="Times New Roman" w:hAnsi="Times New Roman"/>
              <w:sz w:val="24"/>
              <w:szCs w:val="24"/>
              <w:lang w:val="sq-AL"/>
            </w:rPr>
            <w:t>rcakton detyrimin e subjekteve p</w:t>
          </w:r>
          <w:r w:rsidR="00962EFA">
            <w:rPr>
              <w:rFonts w:ascii="Times New Roman" w:hAnsi="Times New Roman"/>
              <w:sz w:val="24"/>
              <w:szCs w:val="24"/>
              <w:lang w:val="sq-AL"/>
            </w:rPr>
            <w:t>ë</w:t>
          </w:r>
          <w:r w:rsidR="003569BC" w:rsidRPr="00C631BF">
            <w:rPr>
              <w:rFonts w:ascii="Times New Roman" w:hAnsi="Times New Roman"/>
              <w:sz w:val="24"/>
              <w:szCs w:val="24"/>
              <w:lang w:val="sq-AL"/>
            </w:rPr>
            <w:t>r t</w:t>
          </w:r>
          <w:r w:rsidR="00962EFA">
            <w:rPr>
              <w:rFonts w:ascii="Times New Roman" w:hAnsi="Times New Roman"/>
              <w:sz w:val="24"/>
              <w:szCs w:val="24"/>
              <w:lang w:val="sq-AL"/>
            </w:rPr>
            <w:t>ë</w:t>
          </w:r>
          <w:r w:rsidR="003569BC" w:rsidRPr="00C631BF">
            <w:rPr>
              <w:rFonts w:ascii="Times New Roman" w:hAnsi="Times New Roman"/>
              <w:sz w:val="24"/>
              <w:szCs w:val="24"/>
              <w:lang w:val="sq-AL"/>
            </w:rPr>
            <w:t xml:space="preserve"> regjistruar pronar</w:t>
          </w:r>
          <w:r w:rsidR="00962EFA">
            <w:rPr>
              <w:rFonts w:ascii="Times New Roman" w:hAnsi="Times New Roman"/>
              <w:sz w:val="24"/>
              <w:szCs w:val="24"/>
              <w:lang w:val="sq-AL"/>
            </w:rPr>
            <w:t>ë</w:t>
          </w:r>
          <w:r w:rsidR="003569BC" w:rsidRPr="00C631BF">
            <w:rPr>
              <w:rFonts w:ascii="Times New Roman" w:hAnsi="Times New Roman"/>
              <w:sz w:val="24"/>
              <w:szCs w:val="24"/>
              <w:lang w:val="sq-AL"/>
            </w:rPr>
            <w:t>t e tyre p</w:t>
          </w:r>
          <w:r w:rsidR="00962EFA">
            <w:rPr>
              <w:rFonts w:ascii="Times New Roman" w:hAnsi="Times New Roman"/>
              <w:sz w:val="24"/>
              <w:szCs w:val="24"/>
              <w:lang w:val="sq-AL"/>
            </w:rPr>
            <w:t>ë</w:t>
          </w:r>
          <w:r w:rsidR="003569BC" w:rsidRPr="00C631BF">
            <w:rPr>
              <w:rFonts w:ascii="Times New Roman" w:hAnsi="Times New Roman"/>
              <w:sz w:val="24"/>
              <w:szCs w:val="24"/>
              <w:lang w:val="sq-AL"/>
            </w:rPr>
            <w:t>rfitues fundor</w:t>
          </w:r>
          <w:r w:rsidR="00962EFA">
            <w:rPr>
              <w:rFonts w:ascii="Times New Roman" w:hAnsi="Times New Roman"/>
              <w:sz w:val="24"/>
              <w:szCs w:val="24"/>
              <w:lang w:val="sq-AL"/>
            </w:rPr>
            <w:t>ë</w:t>
          </w:r>
          <w:r w:rsidR="0016031F" w:rsidRPr="00C631BF">
            <w:rPr>
              <w:rFonts w:ascii="Times New Roman" w:hAnsi="Times New Roman"/>
              <w:sz w:val="24"/>
              <w:szCs w:val="24"/>
              <w:lang w:val="sq-AL"/>
            </w:rPr>
            <w:t xml:space="preserve"> n</w:t>
          </w:r>
          <w:r w:rsidR="00962EFA">
            <w:rPr>
              <w:rFonts w:ascii="Times New Roman" w:hAnsi="Times New Roman"/>
              <w:sz w:val="24"/>
              <w:szCs w:val="24"/>
              <w:lang w:val="sq-AL"/>
            </w:rPr>
            <w:t>ë</w:t>
          </w:r>
          <w:r w:rsidR="0016031F" w:rsidRPr="00C631BF">
            <w:rPr>
              <w:rFonts w:ascii="Times New Roman" w:hAnsi="Times New Roman"/>
              <w:sz w:val="24"/>
              <w:szCs w:val="24"/>
              <w:lang w:val="sq-AL"/>
            </w:rPr>
            <w:t xml:space="preserve"> </w:t>
          </w:r>
          <w:r w:rsidR="007B0B1F" w:rsidRPr="00C631BF">
            <w:rPr>
              <w:rFonts w:ascii="Times New Roman" w:hAnsi="Times New Roman"/>
              <w:sz w:val="24"/>
              <w:szCs w:val="24"/>
              <w:lang w:val="sq-AL"/>
            </w:rPr>
            <w:t>regjistrin e pronar</w:t>
          </w:r>
          <w:r w:rsidR="00962EFA">
            <w:rPr>
              <w:rFonts w:ascii="Times New Roman" w:hAnsi="Times New Roman"/>
              <w:sz w:val="24"/>
              <w:szCs w:val="24"/>
              <w:lang w:val="sq-AL"/>
            </w:rPr>
            <w:t>ë</w:t>
          </w:r>
          <w:r w:rsidR="007B0B1F" w:rsidRPr="00C631BF">
            <w:rPr>
              <w:rFonts w:ascii="Times New Roman" w:hAnsi="Times New Roman"/>
              <w:sz w:val="24"/>
              <w:szCs w:val="24"/>
              <w:lang w:val="sq-AL"/>
            </w:rPr>
            <w:t>ve p</w:t>
          </w:r>
          <w:r w:rsidR="00962EFA">
            <w:rPr>
              <w:rFonts w:ascii="Times New Roman" w:hAnsi="Times New Roman"/>
              <w:sz w:val="24"/>
              <w:szCs w:val="24"/>
              <w:lang w:val="sq-AL"/>
            </w:rPr>
            <w:t>ë</w:t>
          </w:r>
          <w:r w:rsidR="007B0B1F" w:rsidRPr="00C631BF">
            <w:rPr>
              <w:rFonts w:ascii="Times New Roman" w:hAnsi="Times New Roman"/>
              <w:sz w:val="24"/>
              <w:szCs w:val="24"/>
              <w:lang w:val="sq-AL"/>
            </w:rPr>
            <w:t>rfitues t</w:t>
          </w:r>
          <w:r w:rsidR="00962EFA">
            <w:rPr>
              <w:rFonts w:ascii="Times New Roman" w:hAnsi="Times New Roman"/>
              <w:sz w:val="24"/>
              <w:szCs w:val="24"/>
              <w:lang w:val="sq-AL"/>
            </w:rPr>
            <w:t>ë</w:t>
          </w:r>
          <w:r w:rsidR="007B0B1F" w:rsidRPr="00C631BF">
            <w:rPr>
              <w:rFonts w:ascii="Times New Roman" w:hAnsi="Times New Roman"/>
              <w:sz w:val="24"/>
              <w:szCs w:val="24"/>
              <w:lang w:val="sq-AL"/>
            </w:rPr>
            <w:t xml:space="preserve"> administruar nga Qendra Komb</w:t>
          </w:r>
          <w:r w:rsidR="00962EFA">
            <w:rPr>
              <w:rFonts w:ascii="Times New Roman" w:hAnsi="Times New Roman"/>
              <w:sz w:val="24"/>
              <w:szCs w:val="24"/>
              <w:lang w:val="sq-AL"/>
            </w:rPr>
            <w:t>ë</w:t>
          </w:r>
          <w:r w:rsidR="007B0B1F" w:rsidRPr="00C631BF">
            <w:rPr>
              <w:rFonts w:ascii="Times New Roman" w:hAnsi="Times New Roman"/>
              <w:sz w:val="24"/>
              <w:szCs w:val="24"/>
              <w:lang w:val="sq-AL"/>
            </w:rPr>
            <w:t>tare e Biznesit, m</w:t>
          </w:r>
          <w:r w:rsidR="00962EFA">
            <w:rPr>
              <w:rFonts w:ascii="Times New Roman" w:hAnsi="Times New Roman"/>
              <w:sz w:val="24"/>
              <w:szCs w:val="24"/>
              <w:lang w:val="sq-AL"/>
            </w:rPr>
            <w:t>ë</w:t>
          </w:r>
          <w:r w:rsidR="007B0B1F" w:rsidRPr="00C631BF">
            <w:rPr>
              <w:rFonts w:ascii="Times New Roman" w:hAnsi="Times New Roman"/>
              <w:sz w:val="24"/>
              <w:szCs w:val="24"/>
              <w:lang w:val="sq-AL"/>
            </w:rPr>
            <w:t>nyr</w:t>
          </w:r>
          <w:r w:rsidR="00962EFA">
            <w:rPr>
              <w:rFonts w:ascii="Times New Roman" w:hAnsi="Times New Roman"/>
              <w:sz w:val="24"/>
              <w:szCs w:val="24"/>
              <w:lang w:val="sq-AL"/>
            </w:rPr>
            <w:t>ë</w:t>
          </w:r>
          <w:r w:rsidR="007B0B1F" w:rsidRPr="00C631BF">
            <w:rPr>
              <w:rFonts w:ascii="Times New Roman" w:hAnsi="Times New Roman"/>
              <w:sz w:val="24"/>
              <w:szCs w:val="24"/>
              <w:lang w:val="sq-AL"/>
            </w:rPr>
            <w:t>n e identifikimit dhe t</w:t>
          </w:r>
          <w:r w:rsidR="00962EFA">
            <w:rPr>
              <w:rFonts w:ascii="Times New Roman" w:hAnsi="Times New Roman"/>
              <w:sz w:val="24"/>
              <w:szCs w:val="24"/>
              <w:lang w:val="sq-AL"/>
            </w:rPr>
            <w:t>ë</w:t>
          </w:r>
          <w:r w:rsidR="007B0B1F" w:rsidRPr="00C631BF">
            <w:rPr>
              <w:rFonts w:ascii="Times New Roman" w:hAnsi="Times New Roman"/>
              <w:sz w:val="24"/>
              <w:szCs w:val="24"/>
              <w:lang w:val="sq-AL"/>
            </w:rPr>
            <w:t xml:space="preserve"> dh</w:t>
          </w:r>
          <w:r w:rsidR="00962EFA">
            <w:rPr>
              <w:rFonts w:ascii="Times New Roman" w:hAnsi="Times New Roman"/>
              <w:sz w:val="24"/>
              <w:szCs w:val="24"/>
              <w:lang w:val="sq-AL"/>
            </w:rPr>
            <w:t>ë</w:t>
          </w:r>
          <w:r w:rsidR="007B0B1F" w:rsidRPr="00C631BF">
            <w:rPr>
              <w:rFonts w:ascii="Times New Roman" w:hAnsi="Times New Roman"/>
              <w:sz w:val="24"/>
              <w:szCs w:val="24"/>
              <w:lang w:val="sq-AL"/>
            </w:rPr>
            <w:t>nat e regjistrimit.</w:t>
          </w:r>
        </w:p>
        <w:p w14:paraId="0A7E689E" w14:textId="77777777" w:rsidR="001F6A53" w:rsidRPr="00A15BAC" w:rsidRDefault="001F6A53" w:rsidP="006718EC">
          <w:pPr>
            <w:jc w:val="both"/>
            <w:rPr>
              <w:szCs w:val="24"/>
              <w:lang w:val="sq-AL"/>
            </w:rPr>
          </w:pPr>
        </w:p>
        <w:p w14:paraId="5FBF40E1" w14:textId="6F2F19A7" w:rsidR="008C6E5E" w:rsidRDefault="00720DBF" w:rsidP="00401BD9">
          <w:pPr>
            <w:pStyle w:val="ListParagraph"/>
            <w:numPr>
              <w:ilvl w:val="0"/>
              <w:numId w:val="46"/>
            </w:numPr>
            <w:jc w:val="both"/>
            <w:rPr>
              <w:lang w:val="sq-AL"/>
            </w:rPr>
          </w:pPr>
          <w:r>
            <w:rPr>
              <w:rFonts w:ascii="Times New Roman" w:hAnsi="Times New Roman"/>
              <w:sz w:val="24"/>
              <w:szCs w:val="24"/>
              <w:lang w:val="sq-AL"/>
            </w:rPr>
            <w:t xml:space="preserve">  </w:t>
          </w:r>
          <w:r w:rsidR="001F6A53" w:rsidRPr="00C631BF">
            <w:rPr>
              <w:rFonts w:ascii="Times New Roman" w:hAnsi="Times New Roman"/>
              <w:sz w:val="24"/>
              <w:szCs w:val="24"/>
              <w:lang w:val="sq-AL"/>
            </w:rPr>
            <w:t>Vendimi i K</w:t>
          </w:r>
          <w:r w:rsidR="00962EFA">
            <w:rPr>
              <w:rFonts w:ascii="Times New Roman" w:hAnsi="Times New Roman"/>
              <w:sz w:val="24"/>
              <w:szCs w:val="24"/>
              <w:lang w:val="sq-AL"/>
            </w:rPr>
            <w:t>ë</w:t>
          </w:r>
          <w:r w:rsidR="001F6A53" w:rsidRPr="00C631BF">
            <w:rPr>
              <w:rFonts w:ascii="Times New Roman" w:hAnsi="Times New Roman"/>
              <w:sz w:val="24"/>
              <w:szCs w:val="24"/>
              <w:lang w:val="sq-AL"/>
            </w:rPr>
            <w:t>shillit t</w:t>
          </w:r>
          <w:r w:rsidR="00962EFA">
            <w:rPr>
              <w:rFonts w:ascii="Times New Roman" w:hAnsi="Times New Roman"/>
              <w:sz w:val="24"/>
              <w:szCs w:val="24"/>
              <w:lang w:val="sq-AL"/>
            </w:rPr>
            <w:t>ë</w:t>
          </w:r>
          <w:r w:rsidR="001F6A53" w:rsidRPr="00C631BF">
            <w:rPr>
              <w:rFonts w:ascii="Times New Roman" w:hAnsi="Times New Roman"/>
              <w:sz w:val="24"/>
              <w:szCs w:val="24"/>
              <w:lang w:val="sq-AL"/>
            </w:rPr>
            <w:t xml:space="preserve"> Ministrave, dat</w:t>
          </w:r>
          <w:r w:rsidR="00962EFA">
            <w:rPr>
              <w:rFonts w:ascii="Times New Roman" w:hAnsi="Times New Roman"/>
              <w:sz w:val="24"/>
              <w:szCs w:val="24"/>
              <w:lang w:val="sq-AL"/>
            </w:rPr>
            <w:t>ë</w:t>
          </w:r>
          <w:r w:rsidR="001F6A53" w:rsidRPr="00C631BF">
            <w:rPr>
              <w:rFonts w:ascii="Times New Roman" w:hAnsi="Times New Roman"/>
              <w:sz w:val="24"/>
              <w:szCs w:val="24"/>
              <w:lang w:val="sq-AL"/>
            </w:rPr>
            <w:t xml:space="preserve"> 24.12.2020 “P</w:t>
          </w:r>
          <w:r w:rsidR="00962EFA">
            <w:rPr>
              <w:rFonts w:ascii="Times New Roman" w:hAnsi="Times New Roman"/>
              <w:sz w:val="24"/>
              <w:szCs w:val="24"/>
              <w:lang w:val="sq-AL"/>
            </w:rPr>
            <w:t>ë</w:t>
          </w:r>
          <w:r w:rsidR="001F6A53" w:rsidRPr="00C631BF">
            <w:rPr>
              <w:rFonts w:ascii="Times New Roman" w:hAnsi="Times New Roman"/>
              <w:sz w:val="24"/>
              <w:szCs w:val="24"/>
              <w:lang w:val="sq-AL"/>
            </w:rPr>
            <w:t>r p</w:t>
          </w:r>
          <w:r w:rsidR="00962EFA">
            <w:rPr>
              <w:rFonts w:ascii="Times New Roman" w:hAnsi="Times New Roman"/>
              <w:sz w:val="24"/>
              <w:szCs w:val="24"/>
              <w:lang w:val="sq-AL"/>
            </w:rPr>
            <w:t>ë</w:t>
          </w:r>
          <w:r w:rsidR="001F6A53" w:rsidRPr="00C631BF">
            <w:rPr>
              <w:rFonts w:ascii="Times New Roman" w:hAnsi="Times New Roman"/>
              <w:sz w:val="24"/>
              <w:szCs w:val="24"/>
              <w:lang w:val="sq-AL"/>
            </w:rPr>
            <w:t>rcaktimin e rregullave p</w:t>
          </w:r>
          <w:r w:rsidR="00962EFA">
            <w:rPr>
              <w:rFonts w:ascii="Times New Roman" w:hAnsi="Times New Roman"/>
              <w:sz w:val="24"/>
              <w:szCs w:val="24"/>
              <w:lang w:val="sq-AL"/>
            </w:rPr>
            <w:t>ë</w:t>
          </w:r>
          <w:r w:rsidR="001F6A53" w:rsidRPr="00C631BF">
            <w:rPr>
              <w:rFonts w:ascii="Times New Roman" w:hAnsi="Times New Roman"/>
              <w:sz w:val="24"/>
              <w:szCs w:val="24"/>
              <w:lang w:val="sq-AL"/>
            </w:rPr>
            <w:t>r funksionimin e regjistrit t</w:t>
          </w:r>
          <w:r w:rsidR="00962EFA">
            <w:rPr>
              <w:rFonts w:ascii="Times New Roman" w:hAnsi="Times New Roman"/>
              <w:sz w:val="24"/>
              <w:szCs w:val="24"/>
              <w:lang w:val="sq-AL"/>
            </w:rPr>
            <w:t>ë</w:t>
          </w:r>
          <w:r w:rsidR="001F6A53" w:rsidRPr="00C631BF">
            <w:rPr>
              <w:rFonts w:ascii="Times New Roman" w:hAnsi="Times New Roman"/>
              <w:sz w:val="24"/>
              <w:szCs w:val="24"/>
              <w:lang w:val="sq-AL"/>
            </w:rPr>
            <w:t xml:space="preserve"> pronar</w:t>
          </w:r>
          <w:r w:rsidR="00962EFA">
            <w:rPr>
              <w:rFonts w:ascii="Times New Roman" w:hAnsi="Times New Roman"/>
              <w:sz w:val="24"/>
              <w:szCs w:val="24"/>
              <w:lang w:val="sq-AL"/>
            </w:rPr>
            <w:t>ë</w:t>
          </w:r>
          <w:r w:rsidR="001F6A53" w:rsidRPr="00C631BF">
            <w:rPr>
              <w:rFonts w:ascii="Times New Roman" w:hAnsi="Times New Roman"/>
              <w:sz w:val="24"/>
              <w:szCs w:val="24"/>
              <w:lang w:val="sq-AL"/>
            </w:rPr>
            <w:t>ve p</w:t>
          </w:r>
          <w:r w:rsidR="00962EFA">
            <w:rPr>
              <w:rFonts w:ascii="Times New Roman" w:hAnsi="Times New Roman"/>
              <w:sz w:val="24"/>
              <w:szCs w:val="24"/>
              <w:lang w:val="sq-AL"/>
            </w:rPr>
            <w:t>ë</w:t>
          </w:r>
          <w:r w:rsidR="001F6A53" w:rsidRPr="00C631BF">
            <w:rPr>
              <w:rFonts w:ascii="Times New Roman" w:hAnsi="Times New Roman"/>
              <w:sz w:val="24"/>
              <w:szCs w:val="24"/>
              <w:lang w:val="sq-AL"/>
            </w:rPr>
            <w:t>rfitues, p</w:t>
          </w:r>
          <w:r w:rsidR="00962EFA">
            <w:rPr>
              <w:rFonts w:ascii="Times New Roman" w:hAnsi="Times New Roman"/>
              <w:sz w:val="24"/>
              <w:szCs w:val="24"/>
              <w:lang w:val="sq-AL"/>
            </w:rPr>
            <w:t>ë</w:t>
          </w:r>
          <w:r w:rsidR="001F6A53" w:rsidRPr="00C631BF">
            <w:rPr>
              <w:rFonts w:ascii="Times New Roman" w:hAnsi="Times New Roman"/>
              <w:sz w:val="24"/>
              <w:szCs w:val="24"/>
              <w:lang w:val="sq-AL"/>
            </w:rPr>
            <w:t>r m</w:t>
          </w:r>
          <w:r w:rsidR="00962EFA">
            <w:rPr>
              <w:rFonts w:ascii="Times New Roman" w:hAnsi="Times New Roman"/>
              <w:sz w:val="24"/>
              <w:szCs w:val="24"/>
              <w:lang w:val="sq-AL"/>
            </w:rPr>
            <w:t>ë</w:t>
          </w:r>
          <w:r w:rsidR="001F6A53" w:rsidRPr="00C631BF">
            <w:rPr>
              <w:rFonts w:ascii="Times New Roman" w:hAnsi="Times New Roman"/>
              <w:sz w:val="24"/>
              <w:szCs w:val="24"/>
              <w:lang w:val="sq-AL"/>
            </w:rPr>
            <w:t>nyr</w:t>
          </w:r>
          <w:r w:rsidR="00962EFA">
            <w:rPr>
              <w:rFonts w:ascii="Times New Roman" w:hAnsi="Times New Roman"/>
              <w:sz w:val="24"/>
              <w:szCs w:val="24"/>
              <w:lang w:val="sq-AL"/>
            </w:rPr>
            <w:t>ë</w:t>
          </w:r>
          <w:r w:rsidR="001F6A53" w:rsidRPr="00C631BF">
            <w:rPr>
              <w:rFonts w:ascii="Times New Roman" w:hAnsi="Times New Roman"/>
              <w:sz w:val="24"/>
              <w:szCs w:val="24"/>
              <w:lang w:val="sq-AL"/>
            </w:rPr>
            <w:t>n e komunikimit n</w:t>
          </w:r>
          <w:r w:rsidR="00962EFA">
            <w:rPr>
              <w:rFonts w:ascii="Times New Roman" w:hAnsi="Times New Roman"/>
              <w:sz w:val="24"/>
              <w:szCs w:val="24"/>
              <w:lang w:val="sq-AL"/>
            </w:rPr>
            <w:t>ë</w:t>
          </w:r>
          <w:r w:rsidR="001F6A53" w:rsidRPr="00C631BF">
            <w:rPr>
              <w:rFonts w:ascii="Times New Roman" w:hAnsi="Times New Roman"/>
              <w:sz w:val="24"/>
              <w:szCs w:val="24"/>
              <w:lang w:val="sq-AL"/>
            </w:rPr>
            <w:t xml:space="preserve"> form</w:t>
          </w:r>
          <w:r w:rsidR="00962EFA">
            <w:rPr>
              <w:rFonts w:ascii="Times New Roman" w:hAnsi="Times New Roman"/>
              <w:sz w:val="24"/>
              <w:szCs w:val="24"/>
              <w:lang w:val="sq-AL"/>
            </w:rPr>
            <w:t>ë</w:t>
          </w:r>
          <w:r w:rsidR="001F6A53" w:rsidRPr="00C631BF">
            <w:rPr>
              <w:rFonts w:ascii="Times New Roman" w:hAnsi="Times New Roman"/>
              <w:sz w:val="24"/>
              <w:szCs w:val="24"/>
              <w:lang w:val="sq-AL"/>
            </w:rPr>
            <w:t xml:space="preserve"> elektronike dhe shk</w:t>
          </w:r>
          <w:r w:rsidR="00962EFA">
            <w:rPr>
              <w:rFonts w:ascii="Times New Roman" w:hAnsi="Times New Roman"/>
              <w:sz w:val="24"/>
              <w:szCs w:val="24"/>
              <w:lang w:val="sq-AL"/>
            </w:rPr>
            <w:t>ë</w:t>
          </w:r>
          <w:r w:rsidR="001F6A53" w:rsidRPr="00C631BF">
            <w:rPr>
              <w:rFonts w:ascii="Times New Roman" w:hAnsi="Times New Roman"/>
              <w:sz w:val="24"/>
              <w:szCs w:val="24"/>
              <w:lang w:val="sq-AL"/>
            </w:rPr>
            <w:t>mbimit</w:t>
          </w:r>
          <w:r w:rsidR="0073189C" w:rsidRPr="00C631BF">
            <w:rPr>
              <w:rFonts w:ascii="Times New Roman" w:hAnsi="Times New Roman"/>
              <w:sz w:val="24"/>
              <w:szCs w:val="24"/>
              <w:lang w:val="sq-AL"/>
            </w:rPr>
            <w:t xml:space="preserve"> t</w:t>
          </w:r>
          <w:r w:rsidR="00962EFA">
            <w:rPr>
              <w:rFonts w:ascii="Times New Roman" w:hAnsi="Times New Roman"/>
              <w:sz w:val="24"/>
              <w:szCs w:val="24"/>
              <w:lang w:val="sq-AL"/>
            </w:rPr>
            <w:t>ë</w:t>
          </w:r>
          <w:r w:rsidR="0073189C" w:rsidRPr="00C631BF">
            <w:rPr>
              <w:rFonts w:ascii="Times New Roman" w:hAnsi="Times New Roman"/>
              <w:sz w:val="24"/>
              <w:szCs w:val="24"/>
              <w:lang w:val="sq-AL"/>
            </w:rPr>
            <w:t xml:space="preserve"> t</w:t>
          </w:r>
          <w:r w:rsidR="00962EFA">
            <w:rPr>
              <w:rFonts w:ascii="Times New Roman" w:hAnsi="Times New Roman"/>
              <w:sz w:val="24"/>
              <w:szCs w:val="24"/>
              <w:lang w:val="sq-AL"/>
            </w:rPr>
            <w:t>ë</w:t>
          </w:r>
          <w:r w:rsidR="0073189C" w:rsidRPr="00C631BF">
            <w:rPr>
              <w:rFonts w:ascii="Times New Roman" w:hAnsi="Times New Roman"/>
              <w:sz w:val="24"/>
              <w:szCs w:val="24"/>
              <w:lang w:val="sq-AL"/>
            </w:rPr>
            <w:t xml:space="preserve"> dh</w:t>
          </w:r>
          <w:r w:rsidR="00962EFA">
            <w:rPr>
              <w:rFonts w:ascii="Times New Roman" w:hAnsi="Times New Roman"/>
              <w:sz w:val="24"/>
              <w:szCs w:val="24"/>
              <w:lang w:val="sq-AL"/>
            </w:rPr>
            <w:t>ë</w:t>
          </w:r>
          <w:r w:rsidR="0073189C" w:rsidRPr="00C631BF">
            <w:rPr>
              <w:rFonts w:ascii="Times New Roman" w:hAnsi="Times New Roman"/>
              <w:sz w:val="24"/>
              <w:szCs w:val="24"/>
              <w:lang w:val="sq-AL"/>
            </w:rPr>
            <w:t>nave nd</w:t>
          </w:r>
          <w:r w:rsidR="00962EFA">
            <w:rPr>
              <w:rFonts w:ascii="Times New Roman" w:hAnsi="Times New Roman"/>
              <w:sz w:val="24"/>
              <w:szCs w:val="24"/>
              <w:lang w:val="sq-AL"/>
            </w:rPr>
            <w:t>ë</w:t>
          </w:r>
          <w:r w:rsidR="0073189C" w:rsidRPr="00C631BF">
            <w:rPr>
              <w:rFonts w:ascii="Times New Roman" w:hAnsi="Times New Roman"/>
              <w:sz w:val="24"/>
              <w:szCs w:val="24"/>
              <w:lang w:val="sq-AL"/>
            </w:rPr>
            <w:t>rmjet Qendr</w:t>
          </w:r>
          <w:r w:rsidR="00962EFA">
            <w:rPr>
              <w:rFonts w:ascii="Times New Roman" w:hAnsi="Times New Roman"/>
              <w:sz w:val="24"/>
              <w:szCs w:val="24"/>
              <w:lang w:val="sq-AL"/>
            </w:rPr>
            <w:t>ë</w:t>
          </w:r>
          <w:r w:rsidR="0073189C" w:rsidRPr="00C631BF">
            <w:rPr>
              <w:rFonts w:ascii="Times New Roman" w:hAnsi="Times New Roman"/>
              <w:sz w:val="24"/>
              <w:szCs w:val="24"/>
              <w:lang w:val="sq-AL"/>
            </w:rPr>
            <w:t>s Komb</w:t>
          </w:r>
          <w:r w:rsidR="00962EFA">
            <w:rPr>
              <w:rFonts w:ascii="Times New Roman" w:hAnsi="Times New Roman"/>
              <w:sz w:val="24"/>
              <w:szCs w:val="24"/>
              <w:lang w:val="sq-AL"/>
            </w:rPr>
            <w:t>ë</w:t>
          </w:r>
          <w:r w:rsidR="0073189C" w:rsidRPr="00C631BF">
            <w:rPr>
              <w:rFonts w:ascii="Times New Roman" w:hAnsi="Times New Roman"/>
              <w:sz w:val="24"/>
              <w:szCs w:val="24"/>
              <w:lang w:val="sq-AL"/>
            </w:rPr>
            <w:t>tare t</w:t>
          </w:r>
          <w:r w:rsidR="00962EFA">
            <w:rPr>
              <w:rFonts w:ascii="Times New Roman" w:hAnsi="Times New Roman"/>
              <w:sz w:val="24"/>
              <w:szCs w:val="24"/>
              <w:lang w:val="sq-AL"/>
            </w:rPr>
            <w:t>ë</w:t>
          </w:r>
          <w:r w:rsidR="0073189C" w:rsidRPr="00C631BF">
            <w:rPr>
              <w:rFonts w:ascii="Times New Roman" w:hAnsi="Times New Roman"/>
              <w:sz w:val="24"/>
              <w:szCs w:val="24"/>
              <w:lang w:val="sq-AL"/>
            </w:rPr>
            <w:t xml:space="preserve"> Biznesit dhe organeve p</w:t>
          </w:r>
          <w:r w:rsidR="00962EFA">
            <w:rPr>
              <w:rFonts w:ascii="Times New Roman" w:hAnsi="Times New Roman"/>
              <w:sz w:val="24"/>
              <w:szCs w:val="24"/>
              <w:lang w:val="sq-AL"/>
            </w:rPr>
            <w:t>ë</w:t>
          </w:r>
          <w:r w:rsidR="0073189C" w:rsidRPr="00C631BF">
            <w:rPr>
              <w:rFonts w:ascii="Times New Roman" w:hAnsi="Times New Roman"/>
              <w:sz w:val="24"/>
              <w:szCs w:val="24"/>
              <w:lang w:val="sq-AL"/>
            </w:rPr>
            <w:t>rgjegj</w:t>
          </w:r>
          <w:r w:rsidR="00962EFA">
            <w:rPr>
              <w:rFonts w:ascii="Times New Roman" w:hAnsi="Times New Roman"/>
              <w:sz w:val="24"/>
              <w:szCs w:val="24"/>
              <w:lang w:val="sq-AL"/>
            </w:rPr>
            <w:t>ë</w:t>
          </w:r>
          <w:r w:rsidR="0073189C" w:rsidRPr="00C631BF">
            <w:rPr>
              <w:rFonts w:ascii="Times New Roman" w:hAnsi="Times New Roman"/>
              <w:sz w:val="24"/>
              <w:szCs w:val="24"/>
              <w:lang w:val="sq-AL"/>
            </w:rPr>
            <w:t>se shtet</w:t>
          </w:r>
          <w:r w:rsidR="00962EFA">
            <w:rPr>
              <w:rFonts w:ascii="Times New Roman" w:hAnsi="Times New Roman"/>
              <w:sz w:val="24"/>
              <w:szCs w:val="24"/>
              <w:lang w:val="sq-AL"/>
            </w:rPr>
            <w:t>ë</w:t>
          </w:r>
          <w:r w:rsidR="0073189C" w:rsidRPr="00C631BF">
            <w:rPr>
              <w:rFonts w:ascii="Times New Roman" w:hAnsi="Times New Roman"/>
              <w:sz w:val="24"/>
              <w:szCs w:val="24"/>
              <w:lang w:val="sq-AL"/>
            </w:rPr>
            <w:t>rore, si dhe p</w:t>
          </w:r>
          <w:r w:rsidR="00962EFA">
            <w:rPr>
              <w:rFonts w:ascii="Times New Roman" w:hAnsi="Times New Roman"/>
              <w:sz w:val="24"/>
              <w:szCs w:val="24"/>
              <w:lang w:val="sq-AL"/>
            </w:rPr>
            <w:t>ë</w:t>
          </w:r>
          <w:r w:rsidR="0073189C" w:rsidRPr="00C631BF">
            <w:rPr>
              <w:rFonts w:ascii="Times New Roman" w:hAnsi="Times New Roman"/>
              <w:sz w:val="24"/>
              <w:szCs w:val="24"/>
              <w:lang w:val="sq-AL"/>
            </w:rPr>
            <w:t>r m</w:t>
          </w:r>
          <w:r w:rsidR="00962EFA">
            <w:rPr>
              <w:rFonts w:ascii="Times New Roman" w:hAnsi="Times New Roman"/>
              <w:sz w:val="24"/>
              <w:szCs w:val="24"/>
              <w:lang w:val="sq-AL"/>
            </w:rPr>
            <w:t>ë</w:t>
          </w:r>
          <w:r w:rsidR="0073189C" w:rsidRPr="00C631BF">
            <w:rPr>
              <w:rFonts w:ascii="Times New Roman" w:hAnsi="Times New Roman"/>
              <w:sz w:val="24"/>
              <w:szCs w:val="24"/>
              <w:lang w:val="sq-AL"/>
            </w:rPr>
            <w:t>nyr</w:t>
          </w:r>
          <w:r w:rsidR="00962EFA">
            <w:rPr>
              <w:rFonts w:ascii="Times New Roman" w:hAnsi="Times New Roman"/>
              <w:sz w:val="24"/>
              <w:szCs w:val="24"/>
              <w:lang w:val="sq-AL"/>
            </w:rPr>
            <w:t>ë</w:t>
          </w:r>
          <w:r w:rsidR="0073189C" w:rsidRPr="00C631BF">
            <w:rPr>
              <w:rFonts w:ascii="Times New Roman" w:hAnsi="Times New Roman"/>
              <w:sz w:val="24"/>
              <w:szCs w:val="24"/>
              <w:lang w:val="sq-AL"/>
            </w:rPr>
            <w:t>n e afateve t</w:t>
          </w:r>
          <w:r w:rsidR="00962EFA">
            <w:rPr>
              <w:rFonts w:ascii="Times New Roman" w:hAnsi="Times New Roman"/>
              <w:sz w:val="24"/>
              <w:szCs w:val="24"/>
              <w:lang w:val="sq-AL"/>
            </w:rPr>
            <w:t>ë</w:t>
          </w:r>
          <w:r w:rsidR="0073189C" w:rsidRPr="00C631BF">
            <w:rPr>
              <w:rFonts w:ascii="Times New Roman" w:hAnsi="Times New Roman"/>
              <w:sz w:val="24"/>
              <w:szCs w:val="24"/>
              <w:lang w:val="sq-AL"/>
            </w:rPr>
            <w:t xml:space="preserve"> komunikimit mes regjistrit t</w:t>
          </w:r>
          <w:r w:rsidR="00962EFA">
            <w:rPr>
              <w:rFonts w:ascii="Times New Roman" w:hAnsi="Times New Roman"/>
              <w:sz w:val="24"/>
              <w:szCs w:val="24"/>
              <w:lang w:val="sq-AL"/>
            </w:rPr>
            <w:t>ë</w:t>
          </w:r>
          <w:r w:rsidR="0073189C" w:rsidRPr="00C631BF">
            <w:rPr>
              <w:rFonts w:ascii="Times New Roman" w:hAnsi="Times New Roman"/>
              <w:sz w:val="24"/>
              <w:szCs w:val="24"/>
              <w:lang w:val="sq-AL"/>
            </w:rPr>
            <w:t xml:space="preserve"> pronar</w:t>
          </w:r>
          <w:r w:rsidR="00962EFA">
            <w:rPr>
              <w:rFonts w:ascii="Times New Roman" w:hAnsi="Times New Roman"/>
              <w:sz w:val="24"/>
              <w:szCs w:val="24"/>
              <w:lang w:val="sq-AL"/>
            </w:rPr>
            <w:t>ë</w:t>
          </w:r>
          <w:r w:rsidR="0073189C" w:rsidRPr="00C631BF">
            <w:rPr>
              <w:rFonts w:ascii="Times New Roman" w:hAnsi="Times New Roman"/>
              <w:sz w:val="24"/>
              <w:szCs w:val="24"/>
              <w:lang w:val="sq-AL"/>
            </w:rPr>
            <w:t>ve p</w:t>
          </w:r>
          <w:r w:rsidR="00962EFA">
            <w:rPr>
              <w:rFonts w:ascii="Times New Roman" w:hAnsi="Times New Roman"/>
              <w:sz w:val="24"/>
              <w:szCs w:val="24"/>
              <w:lang w:val="sq-AL"/>
            </w:rPr>
            <w:t>ë</w:t>
          </w:r>
          <w:r w:rsidR="0073189C" w:rsidRPr="00C631BF">
            <w:rPr>
              <w:rFonts w:ascii="Times New Roman" w:hAnsi="Times New Roman"/>
              <w:sz w:val="24"/>
              <w:szCs w:val="24"/>
              <w:lang w:val="sq-AL"/>
            </w:rPr>
            <w:t>rfitues, regjistrit tregtar dhe regjistrit t</w:t>
          </w:r>
          <w:r w:rsidR="00962EFA">
            <w:rPr>
              <w:rFonts w:ascii="Times New Roman" w:hAnsi="Times New Roman"/>
              <w:sz w:val="24"/>
              <w:szCs w:val="24"/>
              <w:lang w:val="sq-AL"/>
            </w:rPr>
            <w:t>ë</w:t>
          </w:r>
          <w:r w:rsidR="0073189C" w:rsidRPr="00C631BF">
            <w:rPr>
              <w:rFonts w:ascii="Times New Roman" w:hAnsi="Times New Roman"/>
              <w:sz w:val="24"/>
              <w:szCs w:val="24"/>
              <w:lang w:val="sq-AL"/>
            </w:rPr>
            <w:t xml:space="preserve"> organizatave jofitimprur</w:t>
          </w:r>
          <w:r w:rsidR="00962EFA">
            <w:rPr>
              <w:rFonts w:ascii="Times New Roman" w:hAnsi="Times New Roman"/>
              <w:sz w:val="24"/>
              <w:szCs w:val="24"/>
              <w:lang w:val="sq-AL"/>
            </w:rPr>
            <w:t>ë</w:t>
          </w:r>
          <w:r w:rsidR="0073189C" w:rsidRPr="00C631BF">
            <w:rPr>
              <w:rFonts w:ascii="Times New Roman" w:hAnsi="Times New Roman"/>
              <w:sz w:val="24"/>
              <w:szCs w:val="24"/>
              <w:lang w:val="sq-AL"/>
            </w:rPr>
            <w:t>se”</w:t>
          </w:r>
          <w:r w:rsidR="00401BD9" w:rsidRPr="00C631BF">
            <w:rPr>
              <w:rFonts w:ascii="Times New Roman" w:hAnsi="Times New Roman"/>
              <w:sz w:val="24"/>
              <w:szCs w:val="24"/>
              <w:lang w:val="sq-AL"/>
            </w:rPr>
            <w:t xml:space="preserve"> p</w:t>
          </w:r>
          <w:r w:rsidR="00962EFA">
            <w:rPr>
              <w:rFonts w:ascii="Times New Roman" w:hAnsi="Times New Roman"/>
              <w:sz w:val="24"/>
              <w:szCs w:val="24"/>
              <w:lang w:val="sq-AL"/>
            </w:rPr>
            <w:t>ë</w:t>
          </w:r>
          <w:r w:rsidR="00401BD9" w:rsidRPr="00C631BF">
            <w:rPr>
              <w:rFonts w:ascii="Times New Roman" w:hAnsi="Times New Roman"/>
              <w:sz w:val="24"/>
              <w:szCs w:val="24"/>
              <w:lang w:val="sq-AL"/>
            </w:rPr>
            <w:t>rcakton m</w:t>
          </w:r>
          <w:r w:rsidR="00962EFA">
            <w:rPr>
              <w:rFonts w:ascii="Times New Roman" w:hAnsi="Times New Roman"/>
              <w:sz w:val="24"/>
              <w:szCs w:val="24"/>
              <w:lang w:val="sq-AL"/>
            </w:rPr>
            <w:t>ë</w:t>
          </w:r>
          <w:r w:rsidR="00401BD9" w:rsidRPr="00C631BF">
            <w:rPr>
              <w:rFonts w:ascii="Times New Roman" w:hAnsi="Times New Roman"/>
              <w:sz w:val="24"/>
              <w:szCs w:val="24"/>
              <w:lang w:val="sq-AL"/>
            </w:rPr>
            <w:t>nyr</w:t>
          </w:r>
          <w:r w:rsidR="00962EFA">
            <w:rPr>
              <w:rFonts w:ascii="Times New Roman" w:hAnsi="Times New Roman"/>
              <w:sz w:val="24"/>
              <w:szCs w:val="24"/>
              <w:lang w:val="sq-AL"/>
            </w:rPr>
            <w:t>ë</w:t>
          </w:r>
          <w:r w:rsidR="00401BD9" w:rsidRPr="00C631BF">
            <w:rPr>
              <w:rFonts w:ascii="Times New Roman" w:hAnsi="Times New Roman"/>
              <w:sz w:val="24"/>
              <w:szCs w:val="24"/>
              <w:lang w:val="sq-AL"/>
            </w:rPr>
            <w:t>n e aplikimit dhe procedurat e shqyrtimit t</w:t>
          </w:r>
          <w:r w:rsidR="00962EFA">
            <w:rPr>
              <w:rFonts w:ascii="Times New Roman" w:hAnsi="Times New Roman"/>
              <w:sz w:val="24"/>
              <w:szCs w:val="24"/>
              <w:lang w:val="sq-AL"/>
            </w:rPr>
            <w:t>ë</w:t>
          </w:r>
          <w:r w:rsidR="00401BD9" w:rsidRPr="00C631BF">
            <w:rPr>
              <w:rFonts w:ascii="Times New Roman" w:hAnsi="Times New Roman"/>
              <w:sz w:val="24"/>
              <w:szCs w:val="24"/>
              <w:lang w:val="sq-AL"/>
            </w:rPr>
            <w:t xml:space="preserve"> aplikimit p</w:t>
          </w:r>
          <w:r w:rsidR="00962EFA">
            <w:rPr>
              <w:rFonts w:ascii="Times New Roman" w:hAnsi="Times New Roman"/>
              <w:sz w:val="24"/>
              <w:szCs w:val="24"/>
              <w:lang w:val="sq-AL"/>
            </w:rPr>
            <w:t>ë</w:t>
          </w:r>
          <w:r w:rsidR="00401BD9" w:rsidRPr="00C631BF">
            <w:rPr>
              <w:rFonts w:ascii="Times New Roman" w:hAnsi="Times New Roman"/>
              <w:sz w:val="24"/>
              <w:szCs w:val="24"/>
              <w:lang w:val="sq-AL"/>
            </w:rPr>
            <w:t>r regjistrimet n</w:t>
          </w:r>
          <w:r w:rsidR="00962EFA">
            <w:rPr>
              <w:rFonts w:ascii="Times New Roman" w:hAnsi="Times New Roman"/>
              <w:sz w:val="24"/>
              <w:szCs w:val="24"/>
              <w:lang w:val="sq-AL"/>
            </w:rPr>
            <w:t>ë</w:t>
          </w:r>
          <w:r w:rsidR="00401BD9" w:rsidRPr="00C631BF">
            <w:rPr>
              <w:rFonts w:ascii="Times New Roman" w:hAnsi="Times New Roman"/>
              <w:sz w:val="24"/>
              <w:szCs w:val="24"/>
              <w:lang w:val="sq-AL"/>
            </w:rPr>
            <w:t xml:space="preserve"> regjistrin e pronar</w:t>
          </w:r>
          <w:r w:rsidR="00962EFA">
            <w:rPr>
              <w:rFonts w:ascii="Times New Roman" w:hAnsi="Times New Roman"/>
              <w:sz w:val="24"/>
              <w:szCs w:val="24"/>
              <w:lang w:val="sq-AL"/>
            </w:rPr>
            <w:t>ë</w:t>
          </w:r>
          <w:r w:rsidR="00401BD9" w:rsidRPr="00C631BF">
            <w:rPr>
              <w:rFonts w:ascii="Times New Roman" w:hAnsi="Times New Roman"/>
              <w:sz w:val="24"/>
              <w:szCs w:val="24"/>
              <w:lang w:val="sq-AL"/>
            </w:rPr>
            <w:t>ve p</w:t>
          </w:r>
          <w:r w:rsidR="00962EFA">
            <w:rPr>
              <w:rFonts w:ascii="Times New Roman" w:hAnsi="Times New Roman"/>
              <w:sz w:val="24"/>
              <w:szCs w:val="24"/>
              <w:lang w:val="sq-AL"/>
            </w:rPr>
            <w:t>ë</w:t>
          </w:r>
          <w:r w:rsidR="00401BD9" w:rsidRPr="00C631BF">
            <w:rPr>
              <w:rFonts w:ascii="Times New Roman" w:hAnsi="Times New Roman"/>
              <w:sz w:val="24"/>
              <w:szCs w:val="24"/>
              <w:lang w:val="sq-AL"/>
            </w:rPr>
            <w:t>rfitues nga regjistri i pronar</w:t>
          </w:r>
          <w:r w:rsidR="00962EFA">
            <w:rPr>
              <w:rFonts w:ascii="Times New Roman" w:hAnsi="Times New Roman"/>
              <w:sz w:val="24"/>
              <w:szCs w:val="24"/>
              <w:lang w:val="sq-AL"/>
            </w:rPr>
            <w:t>ë</w:t>
          </w:r>
          <w:r w:rsidR="00401BD9" w:rsidRPr="00C631BF">
            <w:rPr>
              <w:rFonts w:ascii="Times New Roman" w:hAnsi="Times New Roman"/>
              <w:sz w:val="24"/>
              <w:szCs w:val="24"/>
              <w:lang w:val="sq-AL"/>
            </w:rPr>
            <w:t>ve p</w:t>
          </w:r>
          <w:r w:rsidR="00962EFA">
            <w:rPr>
              <w:rFonts w:ascii="Times New Roman" w:hAnsi="Times New Roman"/>
              <w:sz w:val="24"/>
              <w:szCs w:val="24"/>
              <w:lang w:val="sq-AL"/>
            </w:rPr>
            <w:t>ë</w:t>
          </w:r>
          <w:r w:rsidR="00401BD9" w:rsidRPr="00C631BF">
            <w:rPr>
              <w:rFonts w:ascii="Times New Roman" w:hAnsi="Times New Roman"/>
              <w:sz w:val="24"/>
              <w:szCs w:val="24"/>
              <w:lang w:val="sq-AL"/>
            </w:rPr>
            <w:t>rfitues</w:t>
          </w:r>
          <w:r w:rsidR="00401BD9" w:rsidRPr="00401BD9">
            <w:rPr>
              <w:lang w:val="sq-AL"/>
            </w:rPr>
            <w:t xml:space="preserve">. </w:t>
          </w:r>
        </w:p>
        <w:p w14:paraId="5E16E604" w14:textId="77777777" w:rsidR="00FE5C02" w:rsidRPr="00FE5C02" w:rsidRDefault="00FE5C02" w:rsidP="00C631BF">
          <w:pPr>
            <w:pStyle w:val="ListParagraph"/>
            <w:rPr>
              <w:lang w:val="sq-AL"/>
            </w:rPr>
          </w:pPr>
        </w:p>
        <w:p w14:paraId="5431CA0B" w14:textId="2ABE865E" w:rsidR="00A46C50" w:rsidRPr="00A46C50" w:rsidRDefault="00AD5272" w:rsidP="00845CAE">
          <w:pPr>
            <w:jc w:val="both"/>
            <w:rPr>
              <w:lang w:val="sq-AL"/>
            </w:rPr>
          </w:pPr>
          <w:r>
            <w:rPr>
              <w:lang w:val="sq-AL"/>
            </w:rPr>
            <w:t>Siç u shpjegua m</w:t>
          </w:r>
          <w:r w:rsidR="00707505">
            <w:rPr>
              <w:lang w:val="sq-AL"/>
            </w:rPr>
            <w:t>ë</w:t>
          </w:r>
          <w:r>
            <w:rPr>
              <w:lang w:val="sq-AL"/>
            </w:rPr>
            <w:t xml:space="preserve"> sip</w:t>
          </w:r>
          <w:r w:rsidR="00707505">
            <w:rPr>
              <w:lang w:val="sq-AL"/>
            </w:rPr>
            <w:t>ë</w:t>
          </w:r>
          <w:r>
            <w:rPr>
              <w:lang w:val="sq-AL"/>
            </w:rPr>
            <w:t xml:space="preserve">r legjislacioni tregtar i </w:t>
          </w:r>
          <w:r w:rsidR="00EE5650">
            <w:rPr>
              <w:lang w:val="sq-AL"/>
            </w:rPr>
            <w:t xml:space="preserve">hartuar </w:t>
          </w:r>
          <w:r>
            <w:rPr>
              <w:lang w:val="sq-AL"/>
            </w:rPr>
            <w:t>n</w:t>
          </w:r>
          <w:r w:rsidR="00ED0747">
            <w:rPr>
              <w:lang w:val="sq-AL"/>
            </w:rPr>
            <w:t xml:space="preserve">dër vite </w:t>
          </w:r>
          <w:r>
            <w:rPr>
              <w:lang w:val="sq-AL"/>
            </w:rPr>
            <w:t>ka</w:t>
          </w:r>
          <w:r w:rsidR="00A46C50" w:rsidRPr="00A46C50">
            <w:rPr>
              <w:lang w:val="sq-AL"/>
            </w:rPr>
            <w:t xml:space="preserve"> qenë një hap i rëndësishëm drejt harmonizimit me kërkesat e BE-së, por ende ka nevojë për ndryshime dhe plotësime për të arritur përputhshmërinë e plotë me direktivat e BE-së. Në veçanti, përputhsh</w:t>
          </w:r>
          <w:r w:rsidR="00A46C50" w:rsidRPr="008D102D">
            <w:rPr>
              <w:lang w:val="sq-AL"/>
            </w:rPr>
            <w:t xml:space="preserve">mëria e ligjit shqiptar me </w:t>
          </w:r>
          <w:r w:rsidR="00845CAE" w:rsidRPr="008D102D">
            <w:rPr>
              <w:lang w:val="sq-AL"/>
            </w:rPr>
            <w:t xml:space="preserve">Direktivën (BE) 2017/1132 lidhur me disa aspekte të së drejtës së shoqërive tregtare (kodifikim) (Direktiva e </w:t>
          </w:r>
          <w:r w:rsidR="00845CAE" w:rsidRPr="008D102D">
            <w:rPr>
              <w:lang w:val="sq-AL"/>
            </w:rPr>
            <w:lastRenderedPageBreak/>
            <w:t xml:space="preserve">Kodifikuar), Direktivën (BE) 2019/1151 që ndryshon Direktivën (BE) 2017/1132 sa i përket përdorimit të mjeteve dhe proceseve dixhitale në të drejtën e shoqërive tregtare (Direktiva për Mjetet Digjitale) </w:t>
          </w:r>
          <w:r w:rsidR="006F5416" w:rsidRPr="006F5416">
            <w:rPr>
              <w:lang w:val="sq-AL"/>
            </w:rPr>
            <w:t>Po i njëjti ligj, është përafruar gjithashtu edhe me Direktivën 2007/36/KE, datë 11 korrik 2007, “Për të drejtat e aksionarëve në shoqëritë e listuara”, e cila është ndryshuar në vitin 2017, dhe me të cilën Shqipëria duhet të përafrojë legjislacionin e saj.</w:t>
          </w:r>
        </w:p>
        <w:p w14:paraId="1520E489" w14:textId="77777777" w:rsidR="00A46C50" w:rsidRPr="00A46C50" w:rsidRDefault="00A46C50" w:rsidP="00A46C50">
          <w:pPr>
            <w:jc w:val="both"/>
            <w:rPr>
              <w:lang w:val="sq-AL"/>
            </w:rPr>
          </w:pPr>
        </w:p>
        <w:p w14:paraId="696C5A31" w14:textId="2DA665C7" w:rsidR="00B64725" w:rsidRDefault="00A46C50" w:rsidP="00A46C50">
          <w:pPr>
            <w:jc w:val="both"/>
            <w:rPr>
              <w:lang w:val="sq-AL"/>
            </w:rPr>
          </w:pPr>
          <w:r w:rsidRPr="00A46C50">
            <w:rPr>
              <w:lang w:val="sq-AL"/>
            </w:rPr>
            <w:t xml:space="preserve">Procesi i integrimit të Shqipërisë në tregun e brendshëm të BE-së kërkon që vendi të krijojë një kuadër ligjor që është i harmonizuar plotësisht me rregullat dhe standardet e Bashkimit Evropian. Për këtë arsye, shumë nga këto reforma janë të mbikëqyrura nga institucionet evropiane dhe nga autoritetet shqiptare. </w:t>
          </w:r>
        </w:p>
        <w:p w14:paraId="32D1318D" w14:textId="77777777" w:rsidR="00AD75A3" w:rsidRDefault="00AD75A3" w:rsidP="00A46C50">
          <w:pPr>
            <w:jc w:val="both"/>
            <w:rPr>
              <w:lang w:val="sq-AL"/>
            </w:rPr>
          </w:pPr>
        </w:p>
        <w:p w14:paraId="3EACCBCD" w14:textId="77777777" w:rsidR="00BA0FD9" w:rsidRDefault="00BA0FD9" w:rsidP="00906C4F">
          <w:pPr>
            <w:spacing w:line="276" w:lineRule="auto"/>
            <w:jc w:val="both"/>
            <w:rPr>
              <w:iCs/>
              <w:szCs w:val="24"/>
              <w:lang w:val="sq-AL"/>
            </w:rPr>
          </w:pPr>
        </w:p>
        <w:p w14:paraId="5D5C5CF8" w14:textId="453BE3DA" w:rsidR="004F526C" w:rsidRDefault="00534191" w:rsidP="00906C4F">
          <w:pPr>
            <w:spacing w:line="276" w:lineRule="auto"/>
            <w:jc w:val="both"/>
            <w:rPr>
              <w:iCs/>
              <w:szCs w:val="24"/>
              <w:lang w:val="sq-AL"/>
            </w:rPr>
          </w:pPr>
          <w:r>
            <w:rPr>
              <w:iCs/>
              <w:szCs w:val="24"/>
              <w:lang w:val="sq-AL"/>
            </w:rPr>
            <w:t xml:space="preserve">Si </w:t>
          </w:r>
          <w:r w:rsidR="005F23C8">
            <w:rPr>
              <w:iCs/>
              <w:szCs w:val="24"/>
              <w:lang w:val="sq-AL"/>
            </w:rPr>
            <w:t>rrjedhojë</w:t>
          </w:r>
          <w:r>
            <w:rPr>
              <w:iCs/>
              <w:szCs w:val="24"/>
              <w:lang w:val="sq-AL"/>
            </w:rPr>
            <w:t xml:space="preserve"> e nd</w:t>
          </w:r>
          <w:r w:rsidR="006561C9">
            <w:rPr>
              <w:iCs/>
              <w:szCs w:val="24"/>
              <w:lang w:val="sq-AL"/>
            </w:rPr>
            <w:t>ë</w:t>
          </w:r>
          <w:r>
            <w:rPr>
              <w:iCs/>
              <w:szCs w:val="24"/>
              <w:lang w:val="sq-AL"/>
            </w:rPr>
            <w:t>rhyrjeve rregullatore dhe ligjore për p</w:t>
          </w:r>
          <w:r w:rsidR="006561C9">
            <w:rPr>
              <w:iCs/>
              <w:szCs w:val="24"/>
              <w:lang w:val="sq-AL"/>
            </w:rPr>
            <w:t>ë</w:t>
          </w:r>
          <w:r>
            <w:rPr>
              <w:iCs/>
              <w:szCs w:val="24"/>
              <w:lang w:val="sq-AL"/>
            </w:rPr>
            <w:t xml:space="preserve">rafrimin e </w:t>
          </w:r>
          <w:r w:rsidRPr="00534191">
            <w:rPr>
              <w:iCs/>
              <w:szCs w:val="24"/>
              <w:lang w:val="sq-AL"/>
            </w:rPr>
            <w:t>Direktivë</w:t>
          </w:r>
          <w:r>
            <w:rPr>
              <w:iCs/>
              <w:szCs w:val="24"/>
              <w:lang w:val="sq-AL"/>
            </w:rPr>
            <w:t>s</w:t>
          </w:r>
          <w:r w:rsidRPr="00534191">
            <w:rPr>
              <w:iCs/>
              <w:szCs w:val="24"/>
              <w:lang w:val="sq-AL"/>
            </w:rPr>
            <w:t xml:space="preserve"> 2017/1132</w:t>
          </w:r>
          <w:r>
            <w:rPr>
              <w:iCs/>
              <w:szCs w:val="24"/>
              <w:lang w:val="sq-AL"/>
            </w:rPr>
            <w:t>, institucionet duhet t</w:t>
          </w:r>
          <w:r w:rsidR="006561C9">
            <w:rPr>
              <w:iCs/>
              <w:szCs w:val="24"/>
              <w:lang w:val="sq-AL"/>
            </w:rPr>
            <w:t>ë</w:t>
          </w:r>
          <w:r>
            <w:rPr>
              <w:iCs/>
              <w:szCs w:val="24"/>
              <w:lang w:val="sq-AL"/>
            </w:rPr>
            <w:t xml:space="preserve"> ken</w:t>
          </w:r>
          <w:r w:rsidR="006561C9">
            <w:rPr>
              <w:iCs/>
              <w:szCs w:val="24"/>
              <w:lang w:val="sq-AL"/>
            </w:rPr>
            <w:t>ë</w:t>
          </w:r>
          <w:r>
            <w:rPr>
              <w:iCs/>
              <w:szCs w:val="24"/>
              <w:lang w:val="sq-AL"/>
            </w:rPr>
            <w:t xml:space="preserve"> parasysh se </w:t>
          </w:r>
          <w:r w:rsidRPr="00534191">
            <w:rPr>
              <w:iCs/>
              <w:szCs w:val="24"/>
              <w:lang w:val="sq-AL"/>
            </w:rPr>
            <w:t>harmonizimi me standardet e BE-së</w:t>
          </w:r>
          <w:r>
            <w:rPr>
              <w:iCs/>
              <w:szCs w:val="24"/>
              <w:lang w:val="sq-AL"/>
            </w:rPr>
            <w:t xml:space="preserve"> </w:t>
          </w:r>
          <w:r w:rsidRPr="00534191">
            <w:rPr>
              <w:iCs/>
              <w:szCs w:val="24"/>
              <w:lang w:val="sq-AL"/>
            </w:rPr>
            <w:t>kërkon</w:t>
          </w:r>
          <w:r>
            <w:rPr>
              <w:iCs/>
              <w:szCs w:val="24"/>
              <w:lang w:val="sq-AL"/>
            </w:rPr>
            <w:t xml:space="preserve"> edhe</w:t>
          </w:r>
          <w:r w:rsidRPr="00534191">
            <w:rPr>
              <w:iCs/>
              <w:szCs w:val="24"/>
              <w:lang w:val="sq-AL"/>
            </w:rPr>
            <w:t xml:space="preserve"> disa konsiderata strategjike</w:t>
          </w:r>
          <w:r>
            <w:rPr>
              <w:iCs/>
              <w:szCs w:val="24"/>
              <w:lang w:val="sq-AL"/>
            </w:rPr>
            <w:t xml:space="preserve"> q</w:t>
          </w:r>
          <w:r w:rsidR="006561C9">
            <w:rPr>
              <w:iCs/>
              <w:szCs w:val="24"/>
              <w:lang w:val="sq-AL"/>
            </w:rPr>
            <w:t>ë</w:t>
          </w:r>
          <w:r>
            <w:rPr>
              <w:iCs/>
              <w:szCs w:val="24"/>
              <w:lang w:val="sq-AL"/>
            </w:rPr>
            <w:t xml:space="preserve"> duhet t</w:t>
          </w:r>
          <w:r w:rsidR="006561C9">
            <w:rPr>
              <w:iCs/>
              <w:szCs w:val="24"/>
              <w:lang w:val="sq-AL"/>
            </w:rPr>
            <w:t>ë</w:t>
          </w:r>
          <w:r>
            <w:rPr>
              <w:iCs/>
              <w:szCs w:val="24"/>
              <w:lang w:val="sq-AL"/>
            </w:rPr>
            <w:t xml:space="preserve"> ecin paralelisht me ndryshimin e Direktiv</w:t>
          </w:r>
          <w:r w:rsidR="006561C9">
            <w:rPr>
              <w:iCs/>
              <w:szCs w:val="24"/>
              <w:lang w:val="sq-AL"/>
            </w:rPr>
            <w:t>ë</w:t>
          </w:r>
          <w:r>
            <w:rPr>
              <w:iCs/>
              <w:szCs w:val="24"/>
              <w:lang w:val="sq-AL"/>
            </w:rPr>
            <w:t>s 2017/1132</w:t>
          </w:r>
          <w:r w:rsidRPr="00534191">
            <w:rPr>
              <w:iCs/>
              <w:szCs w:val="24"/>
              <w:lang w:val="sq-AL"/>
            </w:rPr>
            <w:t xml:space="preserve">. Së pari, alokimi i përgjegjësive për transpozimin e këtyre kërkesave duhet të jetë i qartë dhe i koordinuar mes institucioneve kryesore si Ministria </w:t>
          </w:r>
          <w:r w:rsidR="003A44E3">
            <w:rPr>
              <w:iCs/>
              <w:szCs w:val="24"/>
              <w:lang w:val="sq-AL"/>
            </w:rPr>
            <w:t>përgjegjëse për</w:t>
          </w:r>
          <w:r w:rsidRPr="00534191">
            <w:rPr>
              <w:iCs/>
              <w:szCs w:val="24"/>
              <w:lang w:val="sq-AL"/>
            </w:rPr>
            <w:t xml:space="preserve"> Ekonomi</w:t>
          </w:r>
          <w:r w:rsidR="003A44E3">
            <w:rPr>
              <w:iCs/>
              <w:szCs w:val="24"/>
              <w:lang w:val="sq-AL"/>
            </w:rPr>
            <w:t>n</w:t>
          </w:r>
          <w:r w:rsidRPr="00534191">
            <w:rPr>
              <w:iCs/>
              <w:szCs w:val="24"/>
              <w:lang w:val="sq-AL"/>
            </w:rPr>
            <w:t>ë, (</w:t>
          </w:r>
          <w:r w:rsidR="003A44E3">
            <w:rPr>
              <w:iCs/>
              <w:szCs w:val="24"/>
              <w:lang w:val="sq-AL"/>
            </w:rPr>
            <w:t>“</w:t>
          </w:r>
          <w:r w:rsidR="003A44E3" w:rsidRPr="003A44E3">
            <w:rPr>
              <w:b/>
              <w:bCs/>
              <w:iCs/>
              <w:szCs w:val="24"/>
              <w:lang w:val="sq-AL"/>
            </w:rPr>
            <w:t>ME</w:t>
          </w:r>
          <w:r w:rsidR="003A44E3">
            <w:rPr>
              <w:iCs/>
              <w:szCs w:val="24"/>
              <w:lang w:val="sq-AL"/>
            </w:rPr>
            <w:t>”</w:t>
          </w:r>
          <w:r w:rsidRPr="00534191">
            <w:rPr>
              <w:iCs/>
              <w:szCs w:val="24"/>
              <w:lang w:val="sq-AL"/>
            </w:rPr>
            <w:t>), Ministria e Financave</w:t>
          </w:r>
          <w:r w:rsidR="008F24A5">
            <w:rPr>
              <w:iCs/>
              <w:szCs w:val="24"/>
              <w:lang w:val="sq-AL"/>
            </w:rPr>
            <w:t xml:space="preserve"> dhe QKB.</w:t>
          </w:r>
          <w:r w:rsidR="00752E77">
            <w:rPr>
              <w:iCs/>
              <w:szCs w:val="24"/>
              <w:lang w:val="sq-AL"/>
            </w:rPr>
            <w:t xml:space="preserve"> Koordinim do t</w:t>
          </w:r>
          <w:r w:rsidR="00307DD4">
            <w:rPr>
              <w:iCs/>
              <w:szCs w:val="24"/>
              <w:lang w:val="sq-AL"/>
            </w:rPr>
            <w:t>ë</w:t>
          </w:r>
          <w:r w:rsidR="00752E77">
            <w:rPr>
              <w:iCs/>
              <w:szCs w:val="24"/>
              <w:lang w:val="sq-AL"/>
            </w:rPr>
            <w:t xml:space="preserve"> duhet n</w:t>
          </w:r>
          <w:r w:rsidR="00307DD4">
            <w:rPr>
              <w:iCs/>
              <w:szCs w:val="24"/>
              <w:lang w:val="sq-AL"/>
            </w:rPr>
            <w:t>ë</w:t>
          </w:r>
          <w:r w:rsidR="00752E77">
            <w:rPr>
              <w:iCs/>
              <w:szCs w:val="24"/>
              <w:lang w:val="sq-AL"/>
            </w:rPr>
            <w:t xml:space="preserve"> t</w:t>
          </w:r>
          <w:r w:rsidR="00307DD4">
            <w:rPr>
              <w:iCs/>
              <w:szCs w:val="24"/>
              <w:lang w:val="sq-AL"/>
            </w:rPr>
            <w:t>ë</w:t>
          </w:r>
          <w:r w:rsidR="00752E77">
            <w:rPr>
              <w:iCs/>
              <w:szCs w:val="24"/>
              <w:lang w:val="sq-AL"/>
            </w:rPr>
            <w:t xml:space="preserve"> ardhmen edhe me institucione t</w:t>
          </w:r>
          <w:r w:rsidR="00307DD4">
            <w:rPr>
              <w:iCs/>
              <w:szCs w:val="24"/>
              <w:lang w:val="sq-AL"/>
            </w:rPr>
            <w:t>ë</w:t>
          </w:r>
          <w:r w:rsidR="00752E77">
            <w:rPr>
              <w:iCs/>
              <w:szCs w:val="24"/>
              <w:lang w:val="sq-AL"/>
            </w:rPr>
            <w:t xml:space="preserve"> tjer</w:t>
          </w:r>
          <w:r w:rsidR="00307DD4">
            <w:rPr>
              <w:iCs/>
              <w:szCs w:val="24"/>
              <w:lang w:val="sq-AL"/>
            </w:rPr>
            <w:t>ë</w:t>
          </w:r>
          <w:r w:rsidR="00752E77">
            <w:rPr>
              <w:iCs/>
              <w:szCs w:val="24"/>
              <w:lang w:val="sq-AL"/>
            </w:rPr>
            <w:t xml:space="preserve"> n</w:t>
          </w:r>
          <w:r w:rsidR="00307DD4">
            <w:rPr>
              <w:iCs/>
              <w:szCs w:val="24"/>
              <w:lang w:val="sq-AL"/>
            </w:rPr>
            <w:t>ë</w:t>
          </w:r>
          <w:r w:rsidR="00752E77">
            <w:rPr>
              <w:iCs/>
              <w:szCs w:val="24"/>
              <w:lang w:val="sq-AL"/>
            </w:rPr>
            <w:t xml:space="preserve"> kuad</w:t>
          </w:r>
          <w:r w:rsidR="00307DD4">
            <w:rPr>
              <w:iCs/>
              <w:szCs w:val="24"/>
              <w:lang w:val="sq-AL"/>
            </w:rPr>
            <w:t>ë</w:t>
          </w:r>
          <w:r w:rsidR="00752E77">
            <w:rPr>
              <w:iCs/>
              <w:szCs w:val="24"/>
              <w:lang w:val="sq-AL"/>
            </w:rPr>
            <w:t>r t</w:t>
          </w:r>
          <w:r w:rsidR="00307DD4">
            <w:rPr>
              <w:iCs/>
              <w:szCs w:val="24"/>
              <w:lang w:val="sq-AL"/>
            </w:rPr>
            <w:t>ë</w:t>
          </w:r>
          <w:r w:rsidR="00752E77">
            <w:rPr>
              <w:iCs/>
              <w:szCs w:val="24"/>
              <w:lang w:val="sq-AL"/>
            </w:rPr>
            <w:t xml:space="preserve"> harmonizimit t</w:t>
          </w:r>
          <w:r w:rsidR="00307DD4">
            <w:rPr>
              <w:iCs/>
              <w:szCs w:val="24"/>
              <w:lang w:val="sq-AL"/>
            </w:rPr>
            <w:t>ë</w:t>
          </w:r>
          <w:r w:rsidR="00752E77">
            <w:rPr>
              <w:iCs/>
              <w:szCs w:val="24"/>
              <w:lang w:val="sq-AL"/>
            </w:rPr>
            <w:t xml:space="preserve"> kapitujve t</w:t>
          </w:r>
          <w:r w:rsidR="00307DD4">
            <w:rPr>
              <w:iCs/>
              <w:szCs w:val="24"/>
              <w:lang w:val="sq-AL"/>
            </w:rPr>
            <w:t>ë</w:t>
          </w:r>
          <w:r w:rsidR="00752E77">
            <w:rPr>
              <w:iCs/>
              <w:szCs w:val="24"/>
              <w:lang w:val="sq-AL"/>
            </w:rPr>
            <w:t xml:space="preserve"> tjer</w:t>
          </w:r>
          <w:r w:rsidR="00307DD4">
            <w:rPr>
              <w:iCs/>
              <w:szCs w:val="24"/>
              <w:lang w:val="sq-AL"/>
            </w:rPr>
            <w:t>ë</w:t>
          </w:r>
          <w:r w:rsidR="00752E77">
            <w:rPr>
              <w:iCs/>
              <w:szCs w:val="24"/>
              <w:lang w:val="sq-AL"/>
            </w:rPr>
            <w:t xml:space="preserve"> t</w:t>
          </w:r>
          <w:r w:rsidR="00307DD4">
            <w:rPr>
              <w:iCs/>
              <w:szCs w:val="24"/>
              <w:lang w:val="sq-AL"/>
            </w:rPr>
            <w:t>ë</w:t>
          </w:r>
          <w:r w:rsidR="00752E77">
            <w:rPr>
              <w:iCs/>
              <w:szCs w:val="24"/>
              <w:lang w:val="sq-AL"/>
            </w:rPr>
            <w:t xml:space="preserve"> Acquis, ku institucioni i nd</w:t>
          </w:r>
          <w:r w:rsidR="00307DD4">
            <w:rPr>
              <w:iCs/>
              <w:szCs w:val="24"/>
              <w:lang w:val="sq-AL"/>
            </w:rPr>
            <w:t>ë</w:t>
          </w:r>
          <w:r w:rsidR="00752E77">
            <w:rPr>
              <w:iCs/>
              <w:szCs w:val="24"/>
              <w:lang w:val="sq-AL"/>
            </w:rPr>
            <w:t xml:space="preserve">rlidhur </w:t>
          </w:r>
          <w:r w:rsidR="00307DD4">
            <w:rPr>
              <w:iCs/>
              <w:szCs w:val="24"/>
              <w:lang w:val="sq-AL"/>
            </w:rPr>
            <w:t>ë</w:t>
          </w:r>
          <w:r w:rsidR="00752E77">
            <w:rPr>
              <w:iCs/>
              <w:szCs w:val="24"/>
              <w:lang w:val="sq-AL"/>
            </w:rPr>
            <w:t>sht</w:t>
          </w:r>
          <w:r w:rsidR="00307DD4">
            <w:rPr>
              <w:iCs/>
              <w:szCs w:val="24"/>
              <w:lang w:val="sq-AL"/>
            </w:rPr>
            <w:t>ë</w:t>
          </w:r>
          <w:r w:rsidRPr="00534191">
            <w:rPr>
              <w:iCs/>
              <w:szCs w:val="24"/>
              <w:lang w:val="sq-AL"/>
            </w:rPr>
            <w:t xml:space="preserve"> </w:t>
          </w:r>
          <w:r w:rsidR="000E0FFE">
            <w:rPr>
              <w:iCs/>
              <w:szCs w:val="24"/>
              <w:lang w:val="sq-AL"/>
            </w:rPr>
            <w:t xml:space="preserve">edhe </w:t>
          </w:r>
          <w:r w:rsidRPr="00534191">
            <w:rPr>
              <w:iCs/>
              <w:szCs w:val="24"/>
              <w:lang w:val="sq-AL"/>
            </w:rPr>
            <w:t xml:space="preserve">Autoriteti i Mbikëqyrjes Financiare (AMF), për të siguruar që aspekte si të drejtat e aksionarëve, transparenca dhe raportimi financiar të trajtohen në mënyrë efektive dhe të unifikuar. Së dyti, mundësimi i planifikimit të përafrimit rregullator është thelbësor, duke kërkuar që ndryshimet legjislative për shoqëritë e listuara të sinkronizohen me ndërhyrjen rregullatore të kësaj RIA, për të krijuar një kuadër koherent që adreson jo vetëm kërkesat e Direktivës 2017/1132, por edhe standardet specifike të qeverisjes korporative </w:t>
          </w:r>
          <w:r w:rsidR="00B74AB0">
            <w:rPr>
              <w:iCs/>
              <w:szCs w:val="24"/>
              <w:lang w:val="sq-AL"/>
            </w:rPr>
            <w:t>p</w:t>
          </w:r>
          <w:r w:rsidR="006561C9">
            <w:rPr>
              <w:iCs/>
              <w:szCs w:val="24"/>
              <w:lang w:val="sq-AL"/>
            </w:rPr>
            <w:t>ë</w:t>
          </w:r>
          <w:r w:rsidR="00B74AB0">
            <w:rPr>
              <w:iCs/>
              <w:szCs w:val="24"/>
              <w:lang w:val="sq-AL"/>
            </w:rPr>
            <w:t>r shoq</w:t>
          </w:r>
          <w:r w:rsidR="006561C9">
            <w:rPr>
              <w:iCs/>
              <w:szCs w:val="24"/>
              <w:lang w:val="sq-AL"/>
            </w:rPr>
            <w:t>ë</w:t>
          </w:r>
          <w:r w:rsidR="00B74AB0">
            <w:rPr>
              <w:iCs/>
              <w:szCs w:val="24"/>
              <w:lang w:val="sq-AL"/>
            </w:rPr>
            <w:t>rit</w:t>
          </w:r>
          <w:r w:rsidR="006561C9">
            <w:rPr>
              <w:iCs/>
              <w:szCs w:val="24"/>
              <w:lang w:val="sq-AL"/>
            </w:rPr>
            <w:t>ë</w:t>
          </w:r>
          <w:r w:rsidR="00B74AB0">
            <w:rPr>
              <w:iCs/>
              <w:szCs w:val="24"/>
              <w:lang w:val="sq-AL"/>
            </w:rPr>
            <w:t xml:space="preserve"> e listuara</w:t>
          </w:r>
          <w:r w:rsidRPr="00534191">
            <w:rPr>
              <w:iCs/>
              <w:szCs w:val="24"/>
              <w:lang w:val="sq-AL"/>
            </w:rPr>
            <w:t xml:space="preserve"> duke forcuar mbrojtjen e aksionarëve dhe transparencën</w:t>
          </w:r>
          <w:r w:rsidR="006561C9">
            <w:rPr>
              <w:iCs/>
              <w:szCs w:val="24"/>
              <w:lang w:val="sq-AL"/>
            </w:rPr>
            <w:t xml:space="preserve"> në ato akte ligjore ku këto ndryshime mund të gjejnë shtratin e tyre</w:t>
          </w:r>
          <w:r w:rsidRPr="00534191">
            <w:rPr>
              <w:iCs/>
              <w:szCs w:val="24"/>
              <w:lang w:val="sq-AL"/>
            </w:rPr>
            <w:t>.</w:t>
          </w:r>
        </w:p>
        <w:p w14:paraId="79ABBCDC" w14:textId="5558A40E" w:rsidR="00BA0FD9" w:rsidRPr="00906C4F" w:rsidRDefault="00331272" w:rsidP="00906C4F">
          <w:pPr>
            <w:spacing w:line="276" w:lineRule="auto"/>
            <w:jc w:val="both"/>
            <w:rPr>
              <w:iCs/>
              <w:szCs w:val="24"/>
              <w:lang w:val="sq-AL"/>
            </w:rPr>
          </w:pPr>
        </w:p>
      </w:sdtContent>
    </w:sdt>
    <w:p w14:paraId="5F9C6ED0" w14:textId="77777777" w:rsidR="009E64A4" w:rsidRPr="009D13F4" w:rsidRDefault="002125B7" w:rsidP="009D13F4">
      <w:pPr>
        <w:pStyle w:val="Heading1"/>
        <w:spacing w:line="276" w:lineRule="auto"/>
        <w:rPr>
          <w:rFonts w:ascii="Times New Roman" w:hAnsi="Times New Roman" w:cs="Times New Roman"/>
          <w:sz w:val="24"/>
          <w:szCs w:val="24"/>
          <w:lang w:val="sq-AL"/>
        </w:rPr>
      </w:pPr>
      <w:bookmarkStart w:id="14" w:name="_Hlk191987000"/>
      <w:r w:rsidRPr="00325A1F">
        <w:rPr>
          <w:rFonts w:ascii="Times New Roman" w:hAnsi="Times New Roman" w:cs="Times New Roman"/>
          <w:sz w:val="24"/>
          <w:szCs w:val="24"/>
          <w:lang w:val="sq-AL"/>
        </w:rPr>
        <w:t>Problemi në shqyrtim</w:t>
      </w:r>
    </w:p>
    <w:bookmarkStart w:id="15" w:name="_Toc506919734" w:displacedByCustomXml="next"/>
    <w:sdt>
      <w:sdtPr>
        <w:id w:val="5332828"/>
        <w:lock w:val="contentLocked"/>
        <w:placeholder>
          <w:docPart w:val="873E64307E5F40099245506EC819755B"/>
        </w:placeholder>
      </w:sdtPr>
      <w:sdtEndPr/>
      <w:sdtContent>
        <w:p w14:paraId="0F541A80" w14:textId="77777777" w:rsidR="00372979" w:rsidRPr="00372979" w:rsidRDefault="00372979" w:rsidP="006D0629">
          <w:pPr>
            <w:pStyle w:val="ListParagraph"/>
            <w:numPr>
              <w:ilvl w:val="0"/>
              <w:numId w:val="10"/>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28895A6C" w14:textId="77777777" w:rsidR="00372979" w:rsidRPr="00372979" w:rsidRDefault="00372979" w:rsidP="006D0629">
          <w:pPr>
            <w:pStyle w:val="ListParagraph"/>
            <w:numPr>
              <w:ilvl w:val="0"/>
              <w:numId w:val="10"/>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385EA45F" w14:textId="77777777" w:rsidR="00372979" w:rsidRPr="00372979" w:rsidRDefault="00372979" w:rsidP="006D0629">
          <w:pPr>
            <w:pStyle w:val="ListParagraph"/>
            <w:numPr>
              <w:ilvl w:val="0"/>
              <w:numId w:val="10"/>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21D4A0C3" w14:textId="77777777" w:rsidR="00372979" w:rsidRPr="00372979" w:rsidRDefault="00372979" w:rsidP="006D0629">
          <w:pPr>
            <w:pStyle w:val="ListParagraph"/>
            <w:numPr>
              <w:ilvl w:val="0"/>
              <w:numId w:val="10"/>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752820EB" w14:textId="77777777" w:rsidR="009D13F4" w:rsidRPr="00372979" w:rsidRDefault="00372979" w:rsidP="006D0629">
          <w:pPr>
            <w:pStyle w:val="ListParagraph"/>
            <w:numPr>
              <w:ilvl w:val="0"/>
              <w:numId w:val="10"/>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bookmarkEnd w:id="14"/>
    <w:p w14:paraId="105347E1" w14:textId="77777777" w:rsidR="005C2E91" w:rsidRDefault="005C2E91" w:rsidP="00B91C91">
      <w:pPr>
        <w:spacing w:after="160" w:line="259" w:lineRule="auto"/>
        <w:rPr>
          <w:rFonts w:eastAsiaTheme="majorEastAsia"/>
          <w:b/>
          <w:bCs/>
        </w:rPr>
      </w:pPr>
    </w:p>
    <w:p w14:paraId="3101DD59" w14:textId="5E53433B" w:rsidR="009954C5" w:rsidRPr="00EC0E11" w:rsidRDefault="003F5C55" w:rsidP="00057C47">
      <w:pPr>
        <w:spacing w:line="276" w:lineRule="auto"/>
        <w:jc w:val="both"/>
        <w:rPr>
          <w:iCs/>
          <w:szCs w:val="24"/>
          <w:lang w:val="sq-AL"/>
        </w:rPr>
      </w:pPr>
      <w:r>
        <w:rPr>
          <w:iCs/>
          <w:szCs w:val="24"/>
          <w:lang w:val="sq-AL"/>
        </w:rPr>
        <w:t>Siç</w:t>
      </w:r>
      <w:r w:rsidR="009609B1">
        <w:rPr>
          <w:iCs/>
          <w:szCs w:val="24"/>
          <w:lang w:val="sq-AL"/>
        </w:rPr>
        <w:t xml:space="preserve"> u shpjegua m</w:t>
      </w:r>
      <w:r>
        <w:rPr>
          <w:iCs/>
          <w:szCs w:val="24"/>
          <w:lang w:val="sq-AL"/>
        </w:rPr>
        <w:t>ë</w:t>
      </w:r>
      <w:r w:rsidR="009609B1">
        <w:rPr>
          <w:iCs/>
          <w:szCs w:val="24"/>
          <w:lang w:val="sq-AL"/>
        </w:rPr>
        <w:t xml:space="preserve"> sip</w:t>
      </w:r>
      <w:r>
        <w:rPr>
          <w:iCs/>
          <w:szCs w:val="24"/>
          <w:lang w:val="sq-AL"/>
        </w:rPr>
        <w:t>ë</w:t>
      </w:r>
      <w:r w:rsidR="009609B1">
        <w:rPr>
          <w:iCs/>
          <w:szCs w:val="24"/>
          <w:lang w:val="sq-AL"/>
        </w:rPr>
        <w:t>r, legjislacioni komb</w:t>
      </w:r>
      <w:r>
        <w:rPr>
          <w:iCs/>
          <w:szCs w:val="24"/>
          <w:lang w:val="sq-AL"/>
        </w:rPr>
        <w:t>ë</w:t>
      </w:r>
      <w:r w:rsidR="009609B1">
        <w:rPr>
          <w:iCs/>
          <w:szCs w:val="24"/>
          <w:lang w:val="sq-AL"/>
        </w:rPr>
        <w:t>tar duhet t</w:t>
      </w:r>
      <w:r>
        <w:rPr>
          <w:iCs/>
          <w:szCs w:val="24"/>
          <w:lang w:val="sq-AL"/>
        </w:rPr>
        <w:t>ë</w:t>
      </w:r>
      <w:r w:rsidR="009609B1">
        <w:rPr>
          <w:iCs/>
          <w:szCs w:val="24"/>
          <w:lang w:val="sq-AL"/>
        </w:rPr>
        <w:t xml:space="preserve"> p</w:t>
      </w:r>
      <w:r>
        <w:rPr>
          <w:iCs/>
          <w:szCs w:val="24"/>
          <w:lang w:val="sq-AL"/>
        </w:rPr>
        <w:t>ë</w:t>
      </w:r>
      <w:r w:rsidR="009609B1">
        <w:rPr>
          <w:iCs/>
          <w:szCs w:val="24"/>
          <w:lang w:val="sq-AL"/>
        </w:rPr>
        <w:t>rshtatet gradualisht me acquis t</w:t>
      </w:r>
      <w:r>
        <w:rPr>
          <w:iCs/>
          <w:szCs w:val="24"/>
          <w:lang w:val="sq-AL"/>
        </w:rPr>
        <w:t>ë</w:t>
      </w:r>
      <w:r w:rsidR="009609B1">
        <w:rPr>
          <w:iCs/>
          <w:szCs w:val="24"/>
          <w:lang w:val="sq-AL"/>
        </w:rPr>
        <w:t xml:space="preserve"> Bashkimit Evropian. </w:t>
      </w:r>
      <w:r w:rsidR="009954C5" w:rsidRPr="00EC0E11">
        <w:rPr>
          <w:iCs/>
          <w:szCs w:val="24"/>
          <w:lang w:val="sq-AL"/>
        </w:rPr>
        <w:t xml:space="preserve">Shqipëria </w:t>
      </w:r>
      <w:r w:rsidR="005A0F5A">
        <w:rPr>
          <w:iCs/>
          <w:szCs w:val="24"/>
          <w:lang w:val="sq-AL"/>
        </w:rPr>
        <w:t xml:space="preserve">duhet </w:t>
      </w:r>
      <w:r>
        <w:rPr>
          <w:iCs/>
          <w:szCs w:val="24"/>
          <w:lang w:val="sq-AL"/>
        </w:rPr>
        <w:t>veçanërisht</w:t>
      </w:r>
      <w:r w:rsidR="005A0F5A">
        <w:rPr>
          <w:iCs/>
          <w:szCs w:val="24"/>
          <w:lang w:val="sq-AL"/>
        </w:rPr>
        <w:t xml:space="preserve"> </w:t>
      </w:r>
      <w:r w:rsidR="00CF4B8F">
        <w:rPr>
          <w:iCs/>
          <w:szCs w:val="24"/>
          <w:lang w:val="sq-AL"/>
        </w:rPr>
        <w:t>t</w:t>
      </w:r>
      <w:r w:rsidR="009954C5" w:rsidRPr="00EC0E11">
        <w:rPr>
          <w:iCs/>
          <w:szCs w:val="24"/>
          <w:lang w:val="sq-AL"/>
        </w:rPr>
        <w:t xml:space="preserve">ë finalizojë rishikimin në fushën e </w:t>
      </w:r>
      <w:r w:rsidR="00C671CA">
        <w:rPr>
          <w:iCs/>
          <w:szCs w:val="24"/>
          <w:lang w:val="sq-AL"/>
        </w:rPr>
        <w:t>ligjit 9901/2008</w:t>
      </w:r>
      <w:r w:rsidR="009954C5" w:rsidRPr="00EC0E11">
        <w:rPr>
          <w:iCs/>
          <w:szCs w:val="24"/>
          <w:lang w:val="sq-AL"/>
        </w:rPr>
        <w:t xml:space="preserve"> tregtare për të identifikuar ndryshimet që nevojiten për të përfunduar përputhshmërinë me acquis-in e BE-së dhe të bëjë përparim në </w:t>
      </w:r>
      <w:r w:rsidR="00AD75A3">
        <w:rPr>
          <w:iCs/>
          <w:szCs w:val="24"/>
          <w:lang w:val="sq-AL"/>
        </w:rPr>
        <w:t xml:space="preserve">adoptimin </w:t>
      </w:r>
      <w:r w:rsidR="009954C5" w:rsidRPr="00EC0E11">
        <w:rPr>
          <w:iCs/>
          <w:szCs w:val="24"/>
          <w:lang w:val="sq-AL"/>
        </w:rPr>
        <w:t>e këtyre ndryshimeve</w:t>
      </w:r>
      <w:r w:rsidR="00737BBD">
        <w:rPr>
          <w:iCs/>
          <w:szCs w:val="24"/>
          <w:lang w:val="sq-AL"/>
        </w:rPr>
        <w:t>.</w:t>
      </w:r>
    </w:p>
    <w:p w14:paraId="138D27B6" w14:textId="77777777" w:rsidR="009954C5" w:rsidRPr="00EC0E11" w:rsidRDefault="009954C5" w:rsidP="00057C47">
      <w:pPr>
        <w:spacing w:line="276" w:lineRule="auto"/>
        <w:jc w:val="both"/>
        <w:rPr>
          <w:iCs/>
          <w:szCs w:val="24"/>
          <w:lang w:val="sq-AL"/>
        </w:rPr>
      </w:pPr>
    </w:p>
    <w:p w14:paraId="29393813" w14:textId="25A1016E" w:rsidR="009954C5" w:rsidRDefault="00737BBD" w:rsidP="30EE1AA0">
      <w:pPr>
        <w:spacing w:line="276" w:lineRule="auto"/>
        <w:jc w:val="both"/>
        <w:rPr>
          <w:lang w:val="sq-AL"/>
        </w:rPr>
      </w:pPr>
      <w:r w:rsidRPr="30EE1AA0">
        <w:rPr>
          <w:lang w:val="sq-AL"/>
        </w:rPr>
        <w:t>K</w:t>
      </w:r>
      <w:r w:rsidR="003F5C55" w:rsidRPr="30EE1AA0">
        <w:rPr>
          <w:lang w:val="sq-AL"/>
        </w:rPr>
        <w:t>ë</w:t>
      </w:r>
      <w:r w:rsidRPr="30EE1AA0">
        <w:rPr>
          <w:lang w:val="sq-AL"/>
        </w:rPr>
        <w:t xml:space="preserve">shtu, </w:t>
      </w:r>
      <w:r w:rsidR="009954C5" w:rsidRPr="30EE1AA0">
        <w:rPr>
          <w:lang w:val="sq-AL"/>
        </w:rPr>
        <w:t xml:space="preserve">BE ka rregulla të përbashkëta për formimin, regjistrimin dhe kërkesat e </w:t>
      </w:r>
      <w:r w:rsidR="00C9627B" w:rsidRPr="30EE1AA0">
        <w:rPr>
          <w:lang w:val="sq-AL"/>
        </w:rPr>
        <w:t>publikimit</w:t>
      </w:r>
      <w:r w:rsidR="001F2DD3" w:rsidRPr="30EE1AA0">
        <w:rPr>
          <w:lang w:val="sq-AL"/>
        </w:rPr>
        <w:t xml:space="preserve"> dhe transparencës në përgjithësi</w:t>
      </w:r>
      <w:r w:rsidR="009954C5" w:rsidRPr="30EE1AA0">
        <w:rPr>
          <w:lang w:val="sq-AL"/>
        </w:rPr>
        <w:t xml:space="preserve"> </w:t>
      </w:r>
      <w:r w:rsidR="00C9627B" w:rsidRPr="30EE1AA0">
        <w:rPr>
          <w:lang w:val="sq-AL"/>
        </w:rPr>
        <w:t>t</w:t>
      </w:r>
      <w:r w:rsidR="009954C5" w:rsidRPr="30EE1AA0">
        <w:rPr>
          <w:lang w:val="sq-AL"/>
        </w:rPr>
        <w:t>ë një shoqërie</w:t>
      </w:r>
      <w:r w:rsidR="001F2DD3" w:rsidRPr="30EE1AA0">
        <w:rPr>
          <w:lang w:val="sq-AL"/>
        </w:rPr>
        <w:t xml:space="preserve"> dhe veprimtarisë së saj</w:t>
      </w:r>
      <w:r w:rsidR="003A2472" w:rsidRPr="30EE1AA0">
        <w:rPr>
          <w:lang w:val="sq-AL"/>
        </w:rPr>
        <w:t>.</w:t>
      </w:r>
      <w:r w:rsidR="009954C5" w:rsidRPr="30EE1AA0">
        <w:rPr>
          <w:lang w:val="sq-AL"/>
        </w:rPr>
        <w:t xml:space="preserve"> Megjithëse ka një përputhshmëri të caktuar me acquis-in e BE-së në disa fusha të </w:t>
      </w:r>
      <w:r w:rsidR="00C671CA" w:rsidRPr="30EE1AA0">
        <w:rPr>
          <w:lang w:val="sq-AL"/>
        </w:rPr>
        <w:t>ligjit 9901/2008</w:t>
      </w:r>
      <w:r w:rsidR="009954C5" w:rsidRPr="30EE1AA0">
        <w:rPr>
          <w:lang w:val="sq-AL"/>
        </w:rPr>
        <w:t xml:space="preserve"> dhe qeverisjes korporative, nuk është bërë përparim ligjor </w:t>
      </w:r>
      <w:r w:rsidR="00A37447">
        <w:rPr>
          <w:lang w:val="sq-AL"/>
        </w:rPr>
        <w:t>deri në vitin 2025.</w:t>
      </w:r>
      <w:r w:rsidR="009954C5" w:rsidRPr="30EE1AA0">
        <w:rPr>
          <w:lang w:val="sq-AL"/>
        </w:rPr>
        <w:t xml:space="preserve"> </w:t>
      </w:r>
    </w:p>
    <w:p w14:paraId="59C38BE0" w14:textId="77777777" w:rsidR="00451597" w:rsidRDefault="00451597" w:rsidP="00057C47">
      <w:pPr>
        <w:spacing w:line="276" w:lineRule="auto"/>
        <w:jc w:val="both"/>
        <w:rPr>
          <w:iCs/>
          <w:szCs w:val="24"/>
          <w:lang w:val="sq-AL"/>
        </w:rPr>
      </w:pPr>
    </w:p>
    <w:p w14:paraId="11493AC7" w14:textId="6E21567A" w:rsidR="00451597" w:rsidRPr="00451597" w:rsidRDefault="00F805A6" w:rsidP="30EE1AA0">
      <w:pPr>
        <w:spacing w:line="276" w:lineRule="auto"/>
        <w:jc w:val="both"/>
        <w:rPr>
          <w:lang w:val="sq-AL"/>
        </w:rPr>
      </w:pPr>
      <w:r w:rsidRPr="30EE1AA0">
        <w:rPr>
          <w:lang w:val="sq-AL"/>
        </w:rPr>
        <w:t>Kuadri ligjor p</w:t>
      </w:r>
      <w:r w:rsidR="00451597" w:rsidRPr="30EE1AA0">
        <w:rPr>
          <w:lang w:val="sq-AL"/>
        </w:rPr>
        <w:t xml:space="preserve">ër formimin, pavlefshmërinë dhe vlefshmërinë e detyrimeve të shoqërive tregtare, të rregulluara në Titullin I, Kapitulli II, të ligjit shqiptar, është pjesërisht i përafruar, por mungon detajimi i plotë i informacionit të detyrueshëm në statutet e shoqërive me ofertë publike sipas direktivës, çka e pozicionon përafrimin si të lartë por ende jo të plotë. Në mënyrë të ngjashme, mirëmbajtja dhe ndryshimi i kapitalit, i trajtuar në Titullin I, Kapitulli IV, është pjesërisht i përafruar lidhur me kërkesat për kapitalin </w:t>
      </w:r>
      <w:r w:rsidR="00451597" w:rsidRPr="30EE1AA0">
        <w:rPr>
          <w:lang w:val="sq-AL"/>
        </w:rPr>
        <w:lastRenderedPageBreak/>
        <w:t>minimal dhe procedurat, por nuk përfshin harmonizimin me rregullat e detajuara për shpërndarjen te aksionarët dhe mbrojtjet për kreditorët, duke mbajtur të njëjtin nivel përafrimi të lartë.</w:t>
      </w:r>
      <w:r w:rsidR="004628DB" w:rsidRPr="00D756B5">
        <w:rPr>
          <w:lang w:val="sq-AL"/>
        </w:rPr>
        <w:t xml:space="preserve"> </w:t>
      </w:r>
      <w:r w:rsidR="004628DB" w:rsidRPr="004628DB">
        <w:rPr>
          <w:lang w:val="sq-AL"/>
        </w:rPr>
        <w:t>Këto boshllëqe sjellin pasiguri ligjore për shoqëritë dhe investitorët, rrisin rrezikun e shpërndarjeve abuzive ose të paligjshme, dobësojnë mbrojtjen e kreditorëve dhe krijojnë mospërputhje me standardet e BE-së, duke vështirësuar zhvillimin e një tregu të qëndrueshëm dhe integrimin evropian.</w:t>
      </w:r>
    </w:p>
    <w:p w14:paraId="4160ACC0" w14:textId="77777777" w:rsidR="00451597" w:rsidRPr="00451597" w:rsidRDefault="00451597" w:rsidP="00451597">
      <w:pPr>
        <w:spacing w:line="276" w:lineRule="auto"/>
        <w:jc w:val="both"/>
        <w:rPr>
          <w:iCs/>
          <w:szCs w:val="24"/>
          <w:lang w:val="sq-AL"/>
        </w:rPr>
      </w:pPr>
    </w:p>
    <w:p w14:paraId="5352B7EA" w14:textId="77777777" w:rsidR="00915DEE" w:rsidRPr="00D756B5" w:rsidRDefault="00915DEE" w:rsidP="00915DEE">
      <w:pPr>
        <w:spacing w:line="276" w:lineRule="auto"/>
        <w:jc w:val="both"/>
        <w:rPr>
          <w:lang w:val="sq-AL"/>
        </w:rPr>
      </w:pPr>
      <w:r w:rsidRPr="00D756B5">
        <w:rPr>
          <w:lang w:val="sq-AL"/>
        </w:rPr>
        <w:t>Problemi kryesor është se regjimi aktual kufizon aksesin dhe fleksibilitetin e bizneseve në themelimin dhe zgjerimin e aktivitetit të tyre, duke krijuar pengesa administrative, ekonomike dhe ligjore.</w:t>
      </w:r>
    </w:p>
    <w:p w14:paraId="27667489" w14:textId="77777777" w:rsidR="00915DEE" w:rsidRPr="00915DEE" w:rsidRDefault="00915DEE" w:rsidP="00915DEE">
      <w:pPr>
        <w:spacing w:line="276" w:lineRule="auto"/>
        <w:jc w:val="both"/>
        <w:rPr>
          <w:lang w:val="en-US"/>
        </w:rPr>
      </w:pPr>
      <w:r w:rsidRPr="00D756B5">
        <w:rPr>
          <w:lang w:val="en-US"/>
        </w:rPr>
        <w:t xml:space="preserve">Si </w:t>
      </w:r>
      <w:proofErr w:type="spellStart"/>
      <w:r w:rsidRPr="00D756B5">
        <w:rPr>
          <w:lang w:val="en-US"/>
        </w:rPr>
        <w:t>pasojë</w:t>
      </w:r>
      <w:proofErr w:type="spellEnd"/>
      <w:r w:rsidRPr="00D756B5">
        <w:rPr>
          <w:lang w:val="en-US"/>
        </w:rPr>
        <w:t xml:space="preserve"> </w:t>
      </w:r>
      <w:proofErr w:type="spellStart"/>
      <w:r w:rsidRPr="00D756B5">
        <w:rPr>
          <w:lang w:val="en-US"/>
        </w:rPr>
        <w:t>shkaktohet</w:t>
      </w:r>
      <w:proofErr w:type="spellEnd"/>
      <w:r w:rsidRPr="00D756B5">
        <w:rPr>
          <w:lang w:val="en-US"/>
        </w:rPr>
        <w:t>:</w:t>
      </w:r>
    </w:p>
    <w:p w14:paraId="20916E29" w14:textId="77777777" w:rsidR="00915DEE" w:rsidRPr="00915DEE" w:rsidRDefault="00915DEE" w:rsidP="00915DEE">
      <w:pPr>
        <w:numPr>
          <w:ilvl w:val="0"/>
          <w:numId w:val="64"/>
        </w:numPr>
        <w:spacing w:line="276" w:lineRule="auto"/>
        <w:jc w:val="both"/>
        <w:rPr>
          <w:lang w:val="en-US"/>
        </w:rPr>
      </w:pPr>
      <w:proofErr w:type="spellStart"/>
      <w:r w:rsidRPr="00D756B5">
        <w:rPr>
          <w:lang w:val="en-US"/>
        </w:rPr>
        <w:t>Pengesë</w:t>
      </w:r>
      <w:proofErr w:type="spellEnd"/>
      <w:r w:rsidRPr="00D756B5">
        <w:rPr>
          <w:lang w:val="en-US"/>
        </w:rPr>
        <w:t xml:space="preserve"> administrative </w:t>
      </w:r>
      <w:proofErr w:type="spellStart"/>
      <w:r w:rsidRPr="00D756B5">
        <w:rPr>
          <w:lang w:val="en-US"/>
        </w:rPr>
        <w:t>dhe</w:t>
      </w:r>
      <w:proofErr w:type="spellEnd"/>
      <w:r w:rsidRPr="00D756B5">
        <w:rPr>
          <w:lang w:val="en-US"/>
        </w:rPr>
        <w:t xml:space="preserve"> </w:t>
      </w:r>
      <w:proofErr w:type="spellStart"/>
      <w:r w:rsidRPr="00D756B5">
        <w:rPr>
          <w:lang w:val="en-US"/>
        </w:rPr>
        <w:t>burokratike</w:t>
      </w:r>
      <w:proofErr w:type="spellEnd"/>
      <w:r w:rsidRPr="00915DEE">
        <w:rPr>
          <w:lang w:val="en-US"/>
        </w:rPr>
        <w:t xml:space="preserve">, </w:t>
      </w:r>
      <w:proofErr w:type="spellStart"/>
      <w:r w:rsidRPr="00915DEE">
        <w:rPr>
          <w:lang w:val="en-US"/>
        </w:rPr>
        <w:t>pasi</w:t>
      </w:r>
      <w:proofErr w:type="spellEnd"/>
      <w:r w:rsidRPr="00915DEE">
        <w:rPr>
          <w:lang w:val="en-US"/>
        </w:rPr>
        <w:t xml:space="preserve"> </w:t>
      </w:r>
      <w:proofErr w:type="spellStart"/>
      <w:r w:rsidRPr="00915DEE">
        <w:rPr>
          <w:lang w:val="en-US"/>
        </w:rPr>
        <w:t>regjistrimi</w:t>
      </w:r>
      <w:proofErr w:type="spellEnd"/>
      <w:r w:rsidRPr="00915DEE">
        <w:rPr>
          <w:lang w:val="en-US"/>
        </w:rPr>
        <w:t xml:space="preserve"> </w:t>
      </w:r>
      <w:proofErr w:type="spellStart"/>
      <w:r w:rsidRPr="00915DEE">
        <w:rPr>
          <w:lang w:val="en-US"/>
        </w:rPr>
        <w:t>mund</w:t>
      </w:r>
      <w:proofErr w:type="spellEnd"/>
      <w:r w:rsidRPr="00915DEE">
        <w:rPr>
          <w:lang w:val="en-US"/>
        </w:rPr>
        <w:t xml:space="preserve"> </w:t>
      </w:r>
      <w:proofErr w:type="spellStart"/>
      <w:r w:rsidRPr="00915DEE">
        <w:rPr>
          <w:lang w:val="en-US"/>
        </w:rPr>
        <w:t>të</w:t>
      </w:r>
      <w:proofErr w:type="spellEnd"/>
      <w:r w:rsidRPr="00915DEE">
        <w:rPr>
          <w:lang w:val="en-US"/>
        </w:rPr>
        <w:t xml:space="preserve"> </w:t>
      </w:r>
      <w:proofErr w:type="spellStart"/>
      <w:r w:rsidRPr="00915DEE">
        <w:rPr>
          <w:lang w:val="en-US"/>
        </w:rPr>
        <w:t>kryhet</w:t>
      </w:r>
      <w:proofErr w:type="spellEnd"/>
      <w:r w:rsidRPr="00915DEE">
        <w:rPr>
          <w:lang w:val="en-US"/>
        </w:rPr>
        <w:t xml:space="preserve"> </w:t>
      </w:r>
      <w:proofErr w:type="spellStart"/>
      <w:r w:rsidRPr="00915DEE">
        <w:rPr>
          <w:lang w:val="en-US"/>
        </w:rPr>
        <w:t>vetëm</w:t>
      </w:r>
      <w:proofErr w:type="spellEnd"/>
      <w:r w:rsidRPr="00915DEE">
        <w:rPr>
          <w:lang w:val="en-US"/>
        </w:rPr>
        <w:t xml:space="preserve"> </w:t>
      </w:r>
      <w:proofErr w:type="spellStart"/>
      <w:r w:rsidRPr="00915DEE">
        <w:rPr>
          <w:lang w:val="en-US"/>
        </w:rPr>
        <w:t>fizikisht</w:t>
      </w:r>
      <w:proofErr w:type="spellEnd"/>
      <w:r w:rsidRPr="00915DEE">
        <w:rPr>
          <w:lang w:val="en-US"/>
        </w:rPr>
        <w:t xml:space="preserve">, duke </w:t>
      </w:r>
      <w:proofErr w:type="spellStart"/>
      <w:r w:rsidRPr="00915DEE">
        <w:rPr>
          <w:lang w:val="en-US"/>
        </w:rPr>
        <w:t>kërkuar</w:t>
      </w:r>
      <w:proofErr w:type="spellEnd"/>
      <w:r w:rsidRPr="00915DEE">
        <w:rPr>
          <w:lang w:val="en-US"/>
        </w:rPr>
        <w:t xml:space="preserve"> </w:t>
      </w:r>
      <w:proofErr w:type="spellStart"/>
      <w:r w:rsidRPr="00915DEE">
        <w:rPr>
          <w:lang w:val="en-US"/>
        </w:rPr>
        <w:t>praninë</w:t>
      </w:r>
      <w:proofErr w:type="spellEnd"/>
      <w:r w:rsidRPr="00915DEE">
        <w:rPr>
          <w:lang w:val="en-US"/>
        </w:rPr>
        <w:t xml:space="preserve"> e </w:t>
      </w:r>
      <w:proofErr w:type="spellStart"/>
      <w:r w:rsidRPr="00915DEE">
        <w:rPr>
          <w:lang w:val="en-US"/>
        </w:rPr>
        <w:t>përfaqësuesve</w:t>
      </w:r>
      <w:proofErr w:type="spellEnd"/>
      <w:r w:rsidRPr="00915DEE">
        <w:rPr>
          <w:lang w:val="en-US"/>
        </w:rPr>
        <w:t xml:space="preserve"> </w:t>
      </w:r>
      <w:proofErr w:type="spellStart"/>
      <w:r w:rsidRPr="00915DEE">
        <w:rPr>
          <w:lang w:val="en-US"/>
        </w:rPr>
        <w:t>dhe</w:t>
      </w:r>
      <w:proofErr w:type="spellEnd"/>
      <w:r w:rsidRPr="00915DEE">
        <w:rPr>
          <w:lang w:val="en-US"/>
        </w:rPr>
        <w:t xml:space="preserve"> </w:t>
      </w:r>
      <w:proofErr w:type="spellStart"/>
      <w:r w:rsidRPr="00915DEE">
        <w:rPr>
          <w:lang w:val="en-US"/>
        </w:rPr>
        <w:t>dorëzimin</w:t>
      </w:r>
      <w:proofErr w:type="spellEnd"/>
      <w:r w:rsidRPr="00915DEE">
        <w:rPr>
          <w:lang w:val="en-US"/>
        </w:rPr>
        <w:t xml:space="preserve"> e </w:t>
      </w:r>
      <w:proofErr w:type="spellStart"/>
      <w:r w:rsidRPr="00915DEE">
        <w:rPr>
          <w:lang w:val="en-US"/>
        </w:rPr>
        <w:t>dokumenteve</w:t>
      </w:r>
      <w:proofErr w:type="spellEnd"/>
      <w:r w:rsidRPr="00915DEE">
        <w:rPr>
          <w:lang w:val="en-US"/>
        </w:rPr>
        <w:t xml:space="preserve"> </w:t>
      </w:r>
      <w:proofErr w:type="spellStart"/>
      <w:r w:rsidRPr="00915DEE">
        <w:rPr>
          <w:lang w:val="en-US"/>
        </w:rPr>
        <w:t>pranë</w:t>
      </w:r>
      <w:proofErr w:type="spellEnd"/>
      <w:r w:rsidRPr="00915DEE">
        <w:rPr>
          <w:lang w:val="en-US"/>
        </w:rPr>
        <w:t xml:space="preserve"> </w:t>
      </w:r>
      <w:proofErr w:type="spellStart"/>
      <w:r w:rsidRPr="00915DEE">
        <w:rPr>
          <w:lang w:val="en-US"/>
        </w:rPr>
        <w:t>sportelit</w:t>
      </w:r>
      <w:proofErr w:type="spellEnd"/>
      <w:r w:rsidRPr="00915DEE">
        <w:rPr>
          <w:lang w:val="en-US"/>
        </w:rPr>
        <w:t>.</w:t>
      </w:r>
    </w:p>
    <w:p w14:paraId="063BCBD4" w14:textId="77777777" w:rsidR="00915DEE" w:rsidRPr="00915DEE" w:rsidRDefault="00915DEE" w:rsidP="00915DEE">
      <w:pPr>
        <w:numPr>
          <w:ilvl w:val="0"/>
          <w:numId w:val="64"/>
        </w:numPr>
        <w:spacing w:line="276" w:lineRule="auto"/>
        <w:jc w:val="both"/>
        <w:rPr>
          <w:lang w:val="en-US"/>
        </w:rPr>
      </w:pPr>
      <w:r w:rsidRPr="00D756B5">
        <w:rPr>
          <w:lang w:val="en-US"/>
        </w:rPr>
        <w:t xml:space="preserve">Kosto </w:t>
      </w:r>
      <w:proofErr w:type="spellStart"/>
      <w:r w:rsidRPr="00D756B5">
        <w:rPr>
          <w:lang w:val="en-US"/>
        </w:rPr>
        <w:t>shtesë</w:t>
      </w:r>
      <w:proofErr w:type="spellEnd"/>
      <w:r w:rsidRPr="00D756B5">
        <w:rPr>
          <w:lang w:val="en-US"/>
        </w:rPr>
        <w:t xml:space="preserve"> </w:t>
      </w:r>
      <w:proofErr w:type="spellStart"/>
      <w:r w:rsidRPr="00D756B5">
        <w:rPr>
          <w:lang w:val="en-US"/>
        </w:rPr>
        <w:t>dhe</w:t>
      </w:r>
      <w:proofErr w:type="spellEnd"/>
      <w:r w:rsidRPr="00D756B5">
        <w:rPr>
          <w:lang w:val="en-US"/>
        </w:rPr>
        <w:t xml:space="preserve"> </w:t>
      </w:r>
      <w:proofErr w:type="spellStart"/>
      <w:r w:rsidRPr="00D756B5">
        <w:rPr>
          <w:lang w:val="en-US"/>
        </w:rPr>
        <w:t>vonesa</w:t>
      </w:r>
      <w:proofErr w:type="spellEnd"/>
      <w:r w:rsidRPr="00D756B5">
        <w:rPr>
          <w:lang w:val="en-US"/>
        </w:rPr>
        <w:t xml:space="preserve"> </w:t>
      </w:r>
      <w:proofErr w:type="spellStart"/>
      <w:r w:rsidRPr="00D756B5">
        <w:rPr>
          <w:lang w:val="en-US"/>
        </w:rPr>
        <w:t>për</w:t>
      </w:r>
      <w:proofErr w:type="spellEnd"/>
      <w:r w:rsidRPr="00D756B5">
        <w:rPr>
          <w:lang w:val="en-US"/>
        </w:rPr>
        <w:t xml:space="preserve"> </w:t>
      </w:r>
      <w:proofErr w:type="spellStart"/>
      <w:r w:rsidRPr="00D756B5">
        <w:rPr>
          <w:lang w:val="en-US"/>
        </w:rPr>
        <w:t>bizneset</w:t>
      </w:r>
      <w:proofErr w:type="spellEnd"/>
      <w:r w:rsidRPr="00915DEE">
        <w:rPr>
          <w:lang w:val="en-US"/>
        </w:rPr>
        <w:t xml:space="preserve">, </w:t>
      </w:r>
      <w:proofErr w:type="spellStart"/>
      <w:r w:rsidRPr="00915DEE">
        <w:rPr>
          <w:lang w:val="en-US"/>
        </w:rPr>
        <w:t>veçanërisht</w:t>
      </w:r>
      <w:proofErr w:type="spellEnd"/>
      <w:r w:rsidRPr="00915DEE">
        <w:rPr>
          <w:lang w:val="en-US"/>
        </w:rPr>
        <w:t xml:space="preserve"> </w:t>
      </w:r>
      <w:proofErr w:type="spellStart"/>
      <w:r w:rsidRPr="00915DEE">
        <w:rPr>
          <w:lang w:val="en-US"/>
        </w:rPr>
        <w:t>për</w:t>
      </w:r>
      <w:proofErr w:type="spellEnd"/>
      <w:r w:rsidRPr="00915DEE">
        <w:rPr>
          <w:lang w:val="en-US"/>
        </w:rPr>
        <w:t xml:space="preserve"> </w:t>
      </w:r>
      <w:proofErr w:type="spellStart"/>
      <w:r w:rsidRPr="00915DEE">
        <w:rPr>
          <w:lang w:val="en-US"/>
        </w:rPr>
        <w:t>shoqëritë</w:t>
      </w:r>
      <w:proofErr w:type="spellEnd"/>
      <w:r w:rsidRPr="00915DEE">
        <w:rPr>
          <w:lang w:val="en-US"/>
        </w:rPr>
        <w:t xml:space="preserve"> me </w:t>
      </w:r>
      <w:proofErr w:type="spellStart"/>
      <w:r w:rsidRPr="00915DEE">
        <w:rPr>
          <w:lang w:val="en-US"/>
        </w:rPr>
        <w:t>investime</w:t>
      </w:r>
      <w:proofErr w:type="spellEnd"/>
      <w:r w:rsidRPr="00915DEE">
        <w:rPr>
          <w:lang w:val="en-US"/>
        </w:rPr>
        <w:t xml:space="preserve"> </w:t>
      </w:r>
      <w:proofErr w:type="spellStart"/>
      <w:r w:rsidRPr="00915DEE">
        <w:rPr>
          <w:lang w:val="en-US"/>
        </w:rPr>
        <w:t>të</w:t>
      </w:r>
      <w:proofErr w:type="spellEnd"/>
      <w:r w:rsidRPr="00915DEE">
        <w:rPr>
          <w:lang w:val="en-US"/>
        </w:rPr>
        <w:t xml:space="preserve"> </w:t>
      </w:r>
      <w:proofErr w:type="spellStart"/>
      <w:r w:rsidRPr="00915DEE">
        <w:rPr>
          <w:lang w:val="en-US"/>
        </w:rPr>
        <w:t>huaja</w:t>
      </w:r>
      <w:proofErr w:type="spellEnd"/>
      <w:r w:rsidRPr="00915DEE">
        <w:rPr>
          <w:lang w:val="en-US"/>
        </w:rPr>
        <w:t xml:space="preserve">, </w:t>
      </w:r>
      <w:proofErr w:type="spellStart"/>
      <w:r w:rsidRPr="00915DEE">
        <w:rPr>
          <w:lang w:val="en-US"/>
        </w:rPr>
        <w:t>të</w:t>
      </w:r>
      <w:proofErr w:type="spellEnd"/>
      <w:r w:rsidRPr="00915DEE">
        <w:rPr>
          <w:lang w:val="en-US"/>
        </w:rPr>
        <w:t xml:space="preserve"> </w:t>
      </w:r>
      <w:proofErr w:type="spellStart"/>
      <w:r w:rsidRPr="00915DEE">
        <w:rPr>
          <w:lang w:val="en-US"/>
        </w:rPr>
        <w:t>cilat</w:t>
      </w:r>
      <w:proofErr w:type="spellEnd"/>
      <w:r w:rsidRPr="00915DEE">
        <w:rPr>
          <w:lang w:val="en-US"/>
        </w:rPr>
        <w:t xml:space="preserve"> </w:t>
      </w:r>
      <w:proofErr w:type="spellStart"/>
      <w:r w:rsidRPr="00915DEE">
        <w:rPr>
          <w:lang w:val="en-US"/>
        </w:rPr>
        <w:t>detyrohen</w:t>
      </w:r>
      <w:proofErr w:type="spellEnd"/>
      <w:r w:rsidRPr="00915DEE">
        <w:rPr>
          <w:lang w:val="en-US"/>
        </w:rPr>
        <w:t xml:space="preserve"> </w:t>
      </w:r>
      <w:proofErr w:type="spellStart"/>
      <w:r w:rsidRPr="00915DEE">
        <w:rPr>
          <w:lang w:val="en-US"/>
        </w:rPr>
        <w:t>të</w:t>
      </w:r>
      <w:proofErr w:type="spellEnd"/>
      <w:r w:rsidRPr="00915DEE">
        <w:rPr>
          <w:lang w:val="en-US"/>
        </w:rPr>
        <w:t xml:space="preserve"> </w:t>
      </w:r>
      <w:proofErr w:type="spellStart"/>
      <w:r w:rsidRPr="00915DEE">
        <w:rPr>
          <w:lang w:val="en-US"/>
        </w:rPr>
        <w:t>udhëtojnë</w:t>
      </w:r>
      <w:proofErr w:type="spellEnd"/>
      <w:r w:rsidRPr="00915DEE">
        <w:rPr>
          <w:lang w:val="en-US"/>
        </w:rPr>
        <w:t xml:space="preserve"> </w:t>
      </w:r>
      <w:proofErr w:type="spellStart"/>
      <w:r w:rsidRPr="00915DEE">
        <w:rPr>
          <w:lang w:val="en-US"/>
        </w:rPr>
        <w:t>dhe</w:t>
      </w:r>
      <w:proofErr w:type="spellEnd"/>
      <w:r w:rsidRPr="00915DEE">
        <w:rPr>
          <w:lang w:val="en-US"/>
        </w:rPr>
        <w:t xml:space="preserve"> </w:t>
      </w:r>
      <w:proofErr w:type="spellStart"/>
      <w:r w:rsidRPr="00915DEE">
        <w:rPr>
          <w:lang w:val="en-US"/>
        </w:rPr>
        <w:t>të</w:t>
      </w:r>
      <w:proofErr w:type="spellEnd"/>
      <w:r w:rsidRPr="00915DEE">
        <w:rPr>
          <w:lang w:val="en-US"/>
        </w:rPr>
        <w:t xml:space="preserve"> </w:t>
      </w:r>
      <w:proofErr w:type="spellStart"/>
      <w:r w:rsidRPr="00915DEE">
        <w:rPr>
          <w:lang w:val="en-US"/>
        </w:rPr>
        <w:t>përballojnë</w:t>
      </w:r>
      <w:proofErr w:type="spellEnd"/>
      <w:r w:rsidRPr="00915DEE">
        <w:rPr>
          <w:lang w:val="en-US"/>
        </w:rPr>
        <w:t xml:space="preserve"> </w:t>
      </w:r>
      <w:proofErr w:type="spellStart"/>
      <w:r w:rsidRPr="00915DEE">
        <w:rPr>
          <w:lang w:val="en-US"/>
        </w:rPr>
        <w:t>shpenzime</w:t>
      </w:r>
      <w:proofErr w:type="spellEnd"/>
      <w:r w:rsidRPr="00915DEE">
        <w:rPr>
          <w:lang w:val="en-US"/>
        </w:rPr>
        <w:t xml:space="preserve"> </w:t>
      </w:r>
      <w:proofErr w:type="spellStart"/>
      <w:r w:rsidRPr="00915DEE">
        <w:rPr>
          <w:lang w:val="en-US"/>
        </w:rPr>
        <w:t>të</w:t>
      </w:r>
      <w:proofErr w:type="spellEnd"/>
      <w:r w:rsidRPr="00915DEE">
        <w:rPr>
          <w:lang w:val="en-US"/>
        </w:rPr>
        <w:t xml:space="preserve"> </w:t>
      </w:r>
      <w:proofErr w:type="spellStart"/>
      <w:r w:rsidRPr="00915DEE">
        <w:rPr>
          <w:lang w:val="en-US"/>
        </w:rPr>
        <w:t>panevojshme</w:t>
      </w:r>
      <w:proofErr w:type="spellEnd"/>
      <w:r w:rsidRPr="00915DEE">
        <w:rPr>
          <w:lang w:val="en-US"/>
        </w:rPr>
        <w:t xml:space="preserve"> </w:t>
      </w:r>
      <w:proofErr w:type="spellStart"/>
      <w:r w:rsidRPr="00915DEE">
        <w:rPr>
          <w:lang w:val="en-US"/>
        </w:rPr>
        <w:t>për</w:t>
      </w:r>
      <w:proofErr w:type="spellEnd"/>
      <w:r w:rsidRPr="00915DEE">
        <w:rPr>
          <w:lang w:val="en-US"/>
        </w:rPr>
        <w:t xml:space="preserve"> </w:t>
      </w:r>
      <w:proofErr w:type="spellStart"/>
      <w:r w:rsidRPr="00915DEE">
        <w:rPr>
          <w:lang w:val="en-US"/>
        </w:rPr>
        <w:t>regjistrimin</w:t>
      </w:r>
      <w:proofErr w:type="spellEnd"/>
      <w:r w:rsidRPr="00915DEE">
        <w:rPr>
          <w:lang w:val="en-US"/>
        </w:rPr>
        <w:t>.</w:t>
      </w:r>
    </w:p>
    <w:p w14:paraId="3F072895" w14:textId="77777777" w:rsidR="00915DEE" w:rsidRPr="00915DEE" w:rsidRDefault="00915DEE" w:rsidP="00915DEE">
      <w:pPr>
        <w:numPr>
          <w:ilvl w:val="0"/>
          <w:numId w:val="64"/>
        </w:numPr>
        <w:spacing w:line="276" w:lineRule="auto"/>
        <w:jc w:val="both"/>
        <w:rPr>
          <w:lang w:val="en-US"/>
        </w:rPr>
      </w:pPr>
      <w:proofErr w:type="spellStart"/>
      <w:r w:rsidRPr="00D756B5">
        <w:rPr>
          <w:lang w:val="en-US"/>
        </w:rPr>
        <w:t>Mospërputhje</w:t>
      </w:r>
      <w:proofErr w:type="spellEnd"/>
      <w:r w:rsidRPr="00D756B5">
        <w:rPr>
          <w:lang w:val="en-US"/>
        </w:rPr>
        <w:t xml:space="preserve"> me </w:t>
      </w:r>
      <w:proofErr w:type="spellStart"/>
      <w:r w:rsidRPr="00D756B5">
        <w:rPr>
          <w:lang w:val="en-US"/>
        </w:rPr>
        <w:t>standardet</w:t>
      </w:r>
      <w:proofErr w:type="spellEnd"/>
      <w:r w:rsidRPr="00D756B5">
        <w:rPr>
          <w:lang w:val="en-US"/>
        </w:rPr>
        <w:t xml:space="preserve"> </w:t>
      </w:r>
      <w:proofErr w:type="spellStart"/>
      <w:r w:rsidRPr="00D756B5">
        <w:rPr>
          <w:lang w:val="en-US"/>
        </w:rPr>
        <w:t>dhe</w:t>
      </w:r>
      <w:proofErr w:type="spellEnd"/>
      <w:r w:rsidRPr="00D756B5">
        <w:rPr>
          <w:lang w:val="en-US"/>
        </w:rPr>
        <w:t xml:space="preserve"> </w:t>
      </w:r>
      <w:proofErr w:type="spellStart"/>
      <w:r w:rsidRPr="00D756B5">
        <w:rPr>
          <w:lang w:val="en-US"/>
        </w:rPr>
        <w:t>praktikat</w:t>
      </w:r>
      <w:proofErr w:type="spellEnd"/>
      <w:r w:rsidRPr="00D756B5">
        <w:rPr>
          <w:lang w:val="en-US"/>
        </w:rPr>
        <w:t xml:space="preserve"> e BE-</w:t>
      </w:r>
      <w:proofErr w:type="spellStart"/>
      <w:r w:rsidRPr="00D756B5">
        <w:rPr>
          <w:lang w:val="en-US"/>
        </w:rPr>
        <w:t>së</w:t>
      </w:r>
      <w:proofErr w:type="spellEnd"/>
      <w:r w:rsidRPr="00915DEE">
        <w:rPr>
          <w:lang w:val="en-US"/>
        </w:rPr>
        <w:t xml:space="preserve">, duke </w:t>
      </w:r>
      <w:proofErr w:type="spellStart"/>
      <w:r w:rsidRPr="00915DEE">
        <w:rPr>
          <w:lang w:val="en-US"/>
        </w:rPr>
        <w:t>thelluar</w:t>
      </w:r>
      <w:proofErr w:type="spellEnd"/>
      <w:r w:rsidRPr="00915DEE">
        <w:rPr>
          <w:lang w:val="en-US"/>
        </w:rPr>
        <w:t xml:space="preserve"> </w:t>
      </w:r>
      <w:proofErr w:type="spellStart"/>
      <w:r w:rsidRPr="00915DEE">
        <w:rPr>
          <w:lang w:val="en-US"/>
        </w:rPr>
        <w:t>hendekun</w:t>
      </w:r>
      <w:proofErr w:type="spellEnd"/>
      <w:r w:rsidRPr="00915DEE">
        <w:rPr>
          <w:lang w:val="en-US"/>
        </w:rPr>
        <w:t xml:space="preserve"> </w:t>
      </w:r>
      <w:proofErr w:type="spellStart"/>
      <w:r w:rsidRPr="00915DEE">
        <w:rPr>
          <w:lang w:val="en-US"/>
        </w:rPr>
        <w:t>ligjor</w:t>
      </w:r>
      <w:proofErr w:type="spellEnd"/>
      <w:r w:rsidRPr="00915DEE">
        <w:rPr>
          <w:lang w:val="en-US"/>
        </w:rPr>
        <w:t xml:space="preserve"> </w:t>
      </w:r>
      <w:proofErr w:type="spellStart"/>
      <w:r w:rsidRPr="00915DEE">
        <w:rPr>
          <w:lang w:val="en-US"/>
        </w:rPr>
        <w:t>dhe</w:t>
      </w:r>
      <w:proofErr w:type="spellEnd"/>
      <w:r w:rsidRPr="00915DEE">
        <w:rPr>
          <w:lang w:val="en-US"/>
        </w:rPr>
        <w:t xml:space="preserve"> </w:t>
      </w:r>
      <w:proofErr w:type="spellStart"/>
      <w:r w:rsidRPr="00915DEE">
        <w:rPr>
          <w:lang w:val="en-US"/>
        </w:rPr>
        <w:t>institucional</w:t>
      </w:r>
      <w:proofErr w:type="spellEnd"/>
      <w:r w:rsidRPr="00915DEE">
        <w:rPr>
          <w:lang w:val="en-US"/>
        </w:rPr>
        <w:t xml:space="preserve"> </w:t>
      </w:r>
      <w:proofErr w:type="spellStart"/>
      <w:r w:rsidRPr="00915DEE">
        <w:rPr>
          <w:lang w:val="en-US"/>
        </w:rPr>
        <w:t>në</w:t>
      </w:r>
      <w:proofErr w:type="spellEnd"/>
      <w:r w:rsidRPr="00915DEE">
        <w:rPr>
          <w:lang w:val="en-US"/>
        </w:rPr>
        <w:t xml:space="preserve"> </w:t>
      </w:r>
      <w:proofErr w:type="spellStart"/>
      <w:r w:rsidRPr="00915DEE">
        <w:rPr>
          <w:lang w:val="en-US"/>
        </w:rPr>
        <w:t>raport</w:t>
      </w:r>
      <w:proofErr w:type="spellEnd"/>
      <w:r w:rsidRPr="00915DEE">
        <w:rPr>
          <w:lang w:val="en-US"/>
        </w:rPr>
        <w:t xml:space="preserve"> me acquis-in.</w:t>
      </w:r>
    </w:p>
    <w:p w14:paraId="10ACA82F" w14:textId="77777777" w:rsidR="00915DEE" w:rsidRPr="00915DEE" w:rsidRDefault="00915DEE" w:rsidP="00915DEE">
      <w:pPr>
        <w:numPr>
          <w:ilvl w:val="0"/>
          <w:numId w:val="64"/>
        </w:numPr>
        <w:spacing w:line="276" w:lineRule="auto"/>
        <w:jc w:val="both"/>
        <w:rPr>
          <w:lang w:val="en-US"/>
        </w:rPr>
      </w:pPr>
      <w:proofErr w:type="spellStart"/>
      <w:r w:rsidRPr="00D756B5">
        <w:rPr>
          <w:lang w:val="en-US"/>
        </w:rPr>
        <w:t>Dobësim</w:t>
      </w:r>
      <w:proofErr w:type="spellEnd"/>
      <w:r w:rsidRPr="00D756B5">
        <w:rPr>
          <w:lang w:val="en-US"/>
        </w:rPr>
        <w:t xml:space="preserve"> </w:t>
      </w:r>
      <w:proofErr w:type="spellStart"/>
      <w:r w:rsidRPr="00D756B5">
        <w:rPr>
          <w:lang w:val="en-US"/>
        </w:rPr>
        <w:t>i</w:t>
      </w:r>
      <w:proofErr w:type="spellEnd"/>
      <w:r w:rsidRPr="00D756B5">
        <w:rPr>
          <w:lang w:val="en-US"/>
        </w:rPr>
        <w:t xml:space="preserve"> </w:t>
      </w:r>
      <w:proofErr w:type="spellStart"/>
      <w:r w:rsidRPr="00D756B5">
        <w:rPr>
          <w:lang w:val="en-US"/>
        </w:rPr>
        <w:t>konkurrueshmërisë</w:t>
      </w:r>
      <w:proofErr w:type="spellEnd"/>
      <w:r w:rsidRPr="00D756B5">
        <w:rPr>
          <w:lang w:val="en-US"/>
        </w:rPr>
        <w:t xml:space="preserve"> </w:t>
      </w:r>
      <w:proofErr w:type="spellStart"/>
      <w:r w:rsidRPr="00D756B5">
        <w:rPr>
          <w:lang w:val="en-US"/>
        </w:rPr>
        <w:t>dhe</w:t>
      </w:r>
      <w:proofErr w:type="spellEnd"/>
      <w:r w:rsidRPr="00D756B5">
        <w:rPr>
          <w:lang w:val="en-US"/>
        </w:rPr>
        <w:t xml:space="preserve"> </w:t>
      </w:r>
      <w:proofErr w:type="spellStart"/>
      <w:r w:rsidRPr="00D756B5">
        <w:rPr>
          <w:lang w:val="en-US"/>
        </w:rPr>
        <w:t>klimës</w:t>
      </w:r>
      <w:proofErr w:type="spellEnd"/>
      <w:r w:rsidRPr="00D756B5">
        <w:rPr>
          <w:lang w:val="en-US"/>
        </w:rPr>
        <w:t xml:space="preserve"> </w:t>
      </w:r>
      <w:proofErr w:type="spellStart"/>
      <w:r w:rsidRPr="00D756B5">
        <w:rPr>
          <w:lang w:val="en-US"/>
        </w:rPr>
        <w:t>së</w:t>
      </w:r>
      <w:proofErr w:type="spellEnd"/>
      <w:r w:rsidRPr="00D756B5">
        <w:rPr>
          <w:lang w:val="en-US"/>
        </w:rPr>
        <w:t xml:space="preserve"> </w:t>
      </w:r>
      <w:proofErr w:type="spellStart"/>
      <w:r w:rsidRPr="00D756B5">
        <w:rPr>
          <w:lang w:val="en-US"/>
        </w:rPr>
        <w:t>biznesit</w:t>
      </w:r>
      <w:proofErr w:type="spellEnd"/>
      <w:r w:rsidRPr="00915DEE">
        <w:rPr>
          <w:lang w:val="en-US"/>
        </w:rPr>
        <w:t xml:space="preserve">, </w:t>
      </w:r>
      <w:proofErr w:type="spellStart"/>
      <w:r w:rsidRPr="00915DEE">
        <w:rPr>
          <w:lang w:val="en-US"/>
        </w:rPr>
        <w:t>pasi</w:t>
      </w:r>
      <w:proofErr w:type="spellEnd"/>
      <w:r w:rsidRPr="00915DEE">
        <w:rPr>
          <w:lang w:val="en-US"/>
        </w:rPr>
        <w:t xml:space="preserve"> </w:t>
      </w:r>
      <w:proofErr w:type="spellStart"/>
      <w:r w:rsidRPr="00915DEE">
        <w:rPr>
          <w:lang w:val="en-US"/>
        </w:rPr>
        <w:t>Shqipëria</w:t>
      </w:r>
      <w:proofErr w:type="spellEnd"/>
      <w:r w:rsidRPr="00915DEE">
        <w:rPr>
          <w:lang w:val="en-US"/>
        </w:rPr>
        <w:t xml:space="preserve"> </w:t>
      </w:r>
      <w:proofErr w:type="spellStart"/>
      <w:r w:rsidRPr="00915DEE">
        <w:rPr>
          <w:lang w:val="en-US"/>
        </w:rPr>
        <w:t>perceptohet</w:t>
      </w:r>
      <w:proofErr w:type="spellEnd"/>
      <w:r w:rsidRPr="00915DEE">
        <w:rPr>
          <w:lang w:val="en-US"/>
        </w:rPr>
        <w:t xml:space="preserve"> </w:t>
      </w:r>
      <w:proofErr w:type="spellStart"/>
      <w:r w:rsidRPr="00915DEE">
        <w:rPr>
          <w:lang w:val="en-US"/>
        </w:rPr>
        <w:t>si</w:t>
      </w:r>
      <w:proofErr w:type="spellEnd"/>
      <w:r w:rsidRPr="00915DEE">
        <w:rPr>
          <w:lang w:val="en-US"/>
        </w:rPr>
        <w:t xml:space="preserve"> </w:t>
      </w:r>
      <w:proofErr w:type="spellStart"/>
      <w:r w:rsidRPr="00915DEE">
        <w:rPr>
          <w:lang w:val="en-US"/>
        </w:rPr>
        <w:t>një</w:t>
      </w:r>
      <w:proofErr w:type="spellEnd"/>
      <w:r w:rsidRPr="00915DEE">
        <w:rPr>
          <w:lang w:val="en-US"/>
        </w:rPr>
        <w:t xml:space="preserve"> vend me </w:t>
      </w:r>
      <w:proofErr w:type="spellStart"/>
      <w:r w:rsidRPr="00915DEE">
        <w:rPr>
          <w:lang w:val="en-US"/>
        </w:rPr>
        <w:t>procedura</w:t>
      </w:r>
      <w:proofErr w:type="spellEnd"/>
      <w:r w:rsidRPr="00915DEE">
        <w:rPr>
          <w:lang w:val="en-US"/>
        </w:rPr>
        <w:t xml:space="preserve"> </w:t>
      </w:r>
      <w:proofErr w:type="spellStart"/>
      <w:r w:rsidRPr="00915DEE">
        <w:rPr>
          <w:lang w:val="en-US"/>
        </w:rPr>
        <w:t>të</w:t>
      </w:r>
      <w:proofErr w:type="spellEnd"/>
      <w:r w:rsidRPr="00915DEE">
        <w:rPr>
          <w:lang w:val="en-US"/>
        </w:rPr>
        <w:t xml:space="preserve"> </w:t>
      </w:r>
      <w:proofErr w:type="spellStart"/>
      <w:r w:rsidRPr="00915DEE">
        <w:rPr>
          <w:lang w:val="en-US"/>
        </w:rPr>
        <w:t>ngadalta</w:t>
      </w:r>
      <w:proofErr w:type="spellEnd"/>
      <w:r w:rsidRPr="00915DEE">
        <w:rPr>
          <w:lang w:val="en-US"/>
        </w:rPr>
        <w:t xml:space="preserve"> </w:t>
      </w:r>
      <w:proofErr w:type="spellStart"/>
      <w:r w:rsidRPr="00915DEE">
        <w:rPr>
          <w:lang w:val="en-US"/>
        </w:rPr>
        <w:t>dhe</w:t>
      </w:r>
      <w:proofErr w:type="spellEnd"/>
      <w:r w:rsidRPr="00915DEE">
        <w:rPr>
          <w:lang w:val="en-US"/>
        </w:rPr>
        <w:t xml:space="preserve"> jo </w:t>
      </w:r>
      <w:proofErr w:type="spellStart"/>
      <w:r w:rsidRPr="00915DEE">
        <w:rPr>
          <w:lang w:val="en-US"/>
        </w:rPr>
        <w:t>miqësore</w:t>
      </w:r>
      <w:proofErr w:type="spellEnd"/>
      <w:r w:rsidRPr="00915DEE">
        <w:rPr>
          <w:lang w:val="en-US"/>
        </w:rPr>
        <w:t xml:space="preserve"> </w:t>
      </w:r>
      <w:proofErr w:type="spellStart"/>
      <w:r w:rsidRPr="00915DEE">
        <w:rPr>
          <w:lang w:val="en-US"/>
        </w:rPr>
        <w:t>për</w:t>
      </w:r>
      <w:proofErr w:type="spellEnd"/>
      <w:r w:rsidRPr="00915DEE">
        <w:rPr>
          <w:lang w:val="en-US"/>
        </w:rPr>
        <w:t xml:space="preserve"> </w:t>
      </w:r>
      <w:proofErr w:type="spellStart"/>
      <w:r w:rsidRPr="00915DEE">
        <w:rPr>
          <w:lang w:val="en-US"/>
        </w:rPr>
        <w:t>investitorët</w:t>
      </w:r>
      <w:proofErr w:type="spellEnd"/>
      <w:r w:rsidRPr="00915DEE">
        <w:rPr>
          <w:lang w:val="en-US"/>
        </w:rPr>
        <w:t>.</w:t>
      </w:r>
    </w:p>
    <w:p w14:paraId="07A308F0" w14:textId="6C1ABE5F" w:rsidR="00D70559" w:rsidRPr="00D70559" w:rsidRDefault="009356C8" w:rsidP="00D70559">
      <w:pPr>
        <w:spacing w:line="276" w:lineRule="auto"/>
        <w:jc w:val="both"/>
        <w:rPr>
          <w:lang w:val="sq-AL"/>
        </w:rPr>
      </w:pPr>
      <w:r w:rsidRPr="30EE1AA0">
        <w:rPr>
          <w:lang w:val="sq-AL"/>
        </w:rPr>
        <w:t xml:space="preserve">. </w:t>
      </w:r>
    </w:p>
    <w:p w14:paraId="51BD8B69" w14:textId="5906439D" w:rsidR="009356C8" w:rsidRPr="009356C8" w:rsidRDefault="00D70559" w:rsidP="00D70559">
      <w:pPr>
        <w:spacing w:line="276" w:lineRule="auto"/>
        <w:jc w:val="both"/>
        <w:rPr>
          <w:lang w:val="sq-AL"/>
        </w:rPr>
      </w:pPr>
      <w:r w:rsidRPr="00D70559">
        <w:rPr>
          <w:lang w:val="sq-AL"/>
        </w:rPr>
        <w:t>Problemi kryesor është mungesa e dispozitave të posaçme për çregjistrimin automatik të degëve në rastin e mbylljes së tyre ose të shoqërisë mëmë. Aktualisht, neni 9 i ligjit është i vetmi nen që trajton degët, duke u kufizuar vetëm në përcaktimin e statusit të tyre si njësi pa personalitet juridik dhe detyrimin për regjistrim pranë Qendrës Kombëtare të Biznesit.</w:t>
      </w:r>
      <w:r>
        <w:rPr>
          <w:lang w:val="sq-AL"/>
        </w:rPr>
        <w:t xml:space="preserve"> </w:t>
      </w:r>
      <w:r w:rsidRPr="00D70559">
        <w:rPr>
          <w:lang w:val="sq-AL"/>
        </w:rPr>
        <w:t>Si pasojë krijohet pasiguri ligjore, pasi procedura e çregjistrimit të degëve mbetet e paqartë kur shoqëria mëmë pushon së ekzistuari; mbingarkohet regjistri tregtar, i cili detyrohet të zbatojë zgjidhje të pjesshme në mungesë të një baze të qartë ligjore; dhe bizneset përballen me procedura të gjata e të paqarta që pengojnë mbylljen e shpejtë dhe efikase të degëve.</w:t>
      </w:r>
    </w:p>
    <w:p w14:paraId="6F9A0EB0" w14:textId="77777777" w:rsidR="009356C8" w:rsidRPr="009356C8" w:rsidRDefault="009356C8" w:rsidP="009356C8">
      <w:pPr>
        <w:spacing w:line="276" w:lineRule="auto"/>
        <w:jc w:val="both"/>
        <w:rPr>
          <w:iCs/>
          <w:szCs w:val="24"/>
          <w:lang w:val="sq-AL"/>
        </w:rPr>
      </w:pPr>
    </w:p>
    <w:p w14:paraId="04326416" w14:textId="422850AD" w:rsidR="009356C8" w:rsidRDefault="009356C8" w:rsidP="009356C8">
      <w:pPr>
        <w:spacing w:line="276" w:lineRule="auto"/>
        <w:jc w:val="both"/>
        <w:rPr>
          <w:iCs/>
          <w:szCs w:val="24"/>
          <w:lang w:val="sq-AL"/>
        </w:rPr>
      </w:pPr>
      <w:r w:rsidRPr="009356C8">
        <w:rPr>
          <w:iCs/>
          <w:szCs w:val="24"/>
          <w:lang w:val="sq-AL"/>
        </w:rPr>
        <w:t>Direktiva (BE) 2017/1132, e ndryshuar nga Direktivat (BE) 2019/1151 dhe 2019/2121 parashikon që degët të mund të regjistrohen përmes internetit. Sado që regjistrimi i degëve aktualisht kryhet nëpërmjet portalit e-Albania, Ligji për shoqëritë tregtare nuk është i përshtatur që të lejojë shprehimisht këtë mënyrë regjistrimi, duke shkaktuar kështu</w:t>
      </w:r>
      <w:r w:rsidR="009E3A53" w:rsidRPr="009356C8">
        <w:rPr>
          <w:iCs/>
          <w:szCs w:val="24"/>
          <w:lang w:val="sq-AL"/>
        </w:rPr>
        <w:t xml:space="preserve"> pasiguri</w:t>
      </w:r>
      <w:r w:rsidRPr="009356C8">
        <w:rPr>
          <w:iCs/>
          <w:szCs w:val="24"/>
          <w:lang w:val="sq-AL"/>
        </w:rPr>
        <w:t xml:space="preserve"> për bizneset.</w:t>
      </w:r>
    </w:p>
    <w:p w14:paraId="0C0AA682" w14:textId="77777777" w:rsidR="009E3A53" w:rsidRPr="009356C8" w:rsidRDefault="009E3A53" w:rsidP="009356C8">
      <w:pPr>
        <w:spacing w:line="276" w:lineRule="auto"/>
        <w:jc w:val="both"/>
        <w:rPr>
          <w:iCs/>
          <w:szCs w:val="24"/>
          <w:lang w:val="sq-AL"/>
        </w:rPr>
      </w:pPr>
    </w:p>
    <w:p w14:paraId="2164F64E" w14:textId="467EF1D8" w:rsidR="00261909" w:rsidRDefault="009356C8" w:rsidP="00FC383B">
      <w:pPr>
        <w:spacing w:line="276" w:lineRule="auto"/>
        <w:jc w:val="both"/>
        <w:rPr>
          <w:lang w:val="sq-AL"/>
        </w:rPr>
      </w:pPr>
      <w:r w:rsidRPr="30EE1AA0">
        <w:rPr>
          <w:lang w:val="sq-AL"/>
        </w:rPr>
        <w:t>Më tej, ndryshe nga Direktiva, Ligji nr. 9901/2008 nuk parashikon rastet e çregjistrimit të një dege apo procedurat e çregjistrimit në rast se shoqëria e cila ka krijuar degën pushon së ekzistuari. Në praktikë, shoqëritë kanë proceduar gjithsesi të vijojnë më çregjistrimet e degëve duke u bazuar në parashikimet e përgjithshme të Ligjit nr. 9723, datë 3.5.2007 “Për regjistrimin e biznesit”, i ndryshuar, por nuk ekziston një bazë e qartë ligjore</w:t>
      </w:r>
      <w:r w:rsidR="00261909" w:rsidRPr="30EE1AA0">
        <w:rPr>
          <w:lang w:val="sq-AL"/>
        </w:rPr>
        <w:t xml:space="preserve"> p</w:t>
      </w:r>
      <w:r w:rsidR="00125926" w:rsidRPr="30EE1AA0">
        <w:rPr>
          <w:lang w:val="sq-AL"/>
        </w:rPr>
        <w:t>ë</w:t>
      </w:r>
      <w:r w:rsidR="00261909" w:rsidRPr="30EE1AA0">
        <w:rPr>
          <w:lang w:val="sq-AL"/>
        </w:rPr>
        <w:t>r t</w:t>
      </w:r>
      <w:r w:rsidR="00125926" w:rsidRPr="30EE1AA0">
        <w:rPr>
          <w:lang w:val="sq-AL"/>
        </w:rPr>
        <w:t>ë</w:t>
      </w:r>
      <w:r w:rsidR="00261909" w:rsidRPr="30EE1AA0">
        <w:rPr>
          <w:lang w:val="sq-AL"/>
        </w:rPr>
        <w:t xml:space="preserve"> kryer çregjistrimet</w:t>
      </w:r>
      <w:r w:rsidRPr="30EE1AA0">
        <w:rPr>
          <w:lang w:val="sq-AL"/>
        </w:rPr>
        <w:t xml:space="preserve">, duke shkaktuar pasiguri për bizneset. </w:t>
      </w:r>
      <w:r w:rsidR="00FC383B">
        <w:rPr>
          <w:lang w:val="sq-AL"/>
        </w:rPr>
        <w:t xml:space="preserve"> </w:t>
      </w:r>
      <w:r w:rsidR="00FC383B" w:rsidRPr="00FC383B">
        <w:rPr>
          <w:lang w:val="sq-AL"/>
        </w:rPr>
        <w:t xml:space="preserve">Problemi </w:t>
      </w:r>
      <w:r w:rsidR="00FC383B">
        <w:rPr>
          <w:lang w:val="sq-AL"/>
        </w:rPr>
        <w:t>në këtë kontekst</w:t>
      </w:r>
      <w:r w:rsidR="00FC383B" w:rsidRPr="00FC383B">
        <w:rPr>
          <w:lang w:val="sq-AL"/>
        </w:rPr>
        <w:t xml:space="preserve"> është se</w:t>
      </w:r>
      <w:r w:rsidR="00D45FAF">
        <w:rPr>
          <w:lang w:val="sq-AL"/>
        </w:rPr>
        <w:t xml:space="preserve"> n</w:t>
      </w:r>
      <w:r w:rsidR="00FC383B" w:rsidRPr="00FC383B">
        <w:rPr>
          <w:lang w:val="sq-AL"/>
        </w:rPr>
        <w:t>ë mungesë të këtyre parashikimeve, shoqëritë mbështeten vetëm në dispozitat e përgjithshme të Ligjit nr. 9723/2007 “Për regjistrimin e biznesit”, të cilat nuk ofrojnë bazë të qartë ligjore për këto raste.</w:t>
      </w:r>
      <w:r w:rsidR="00D45FAF">
        <w:rPr>
          <w:lang w:val="sq-AL"/>
        </w:rPr>
        <w:t xml:space="preserve"> </w:t>
      </w:r>
      <w:r w:rsidR="00FC383B" w:rsidRPr="00FC383B">
        <w:rPr>
          <w:lang w:val="sq-AL"/>
        </w:rPr>
        <w:t>Si pasojë krijohet pasiguri për bizneset, të cilat detyrohen të ndjekin procedura të papërshtatshme, si ajo e likuidimit, që nuk i përgjigjet natyrës së mbylljes së degës për shkak të prishjes së shoqërisë mëmë. Kjo jo vetëm rrit kostot dhe kohën e mbylljes, por gjithashtu krijon paqartësi ligjore dhe administrative në regjistrin tregtar.</w:t>
      </w:r>
      <w:r w:rsidR="004077A2" w:rsidRPr="30EE1AA0">
        <w:rPr>
          <w:lang w:val="sq-AL"/>
        </w:rPr>
        <w:t xml:space="preserve">. </w:t>
      </w:r>
    </w:p>
    <w:p w14:paraId="4E896820" w14:textId="77777777" w:rsidR="00261909" w:rsidRDefault="00261909" w:rsidP="009356C8">
      <w:pPr>
        <w:spacing w:line="276" w:lineRule="auto"/>
        <w:jc w:val="both"/>
        <w:rPr>
          <w:iCs/>
          <w:szCs w:val="24"/>
          <w:lang w:val="sq-AL"/>
        </w:rPr>
      </w:pPr>
    </w:p>
    <w:p w14:paraId="1C365412" w14:textId="1CE4BA26" w:rsidR="009356C8" w:rsidRPr="009356C8" w:rsidRDefault="009356C8" w:rsidP="009356C8">
      <w:pPr>
        <w:spacing w:line="276" w:lineRule="auto"/>
        <w:jc w:val="both"/>
        <w:rPr>
          <w:iCs/>
          <w:szCs w:val="24"/>
          <w:lang w:val="sq-AL"/>
        </w:rPr>
      </w:pPr>
      <w:r w:rsidRPr="009356C8">
        <w:rPr>
          <w:iCs/>
          <w:szCs w:val="24"/>
          <w:lang w:val="sq-AL"/>
        </w:rPr>
        <w:t xml:space="preserve">Problemi </w:t>
      </w:r>
      <w:r w:rsidR="00261909">
        <w:rPr>
          <w:iCs/>
          <w:szCs w:val="24"/>
          <w:lang w:val="sq-AL"/>
        </w:rPr>
        <w:t>lidhur me k</w:t>
      </w:r>
      <w:r w:rsidR="00125926">
        <w:rPr>
          <w:iCs/>
          <w:szCs w:val="24"/>
          <w:lang w:val="sq-AL"/>
        </w:rPr>
        <w:t>ë</w:t>
      </w:r>
      <w:r w:rsidR="00261909">
        <w:rPr>
          <w:iCs/>
          <w:szCs w:val="24"/>
          <w:lang w:val="sq-AL"/>
        </w:rPr>
        <w:t>t</w:t>
      </w:r>
      <w:r w:rsidR="00125926">
        <w:rPr>
          <w:iCs/>
          <w:szCs w:val="24"/>
          <w:lang w:val="sq-AL"/>
        </w:rPr>
        <w:t>ë</w:t>
      </w:r>
      <w:r w:rsidR="00261909">
        <w:rPr>
          <w:iCs/>
          <w:szCs w:val="24"/>
          <w:lang w:val="sq-AL"/>
        </w:rPr>
        <w:t xml:space="preserve"> pik</w:t>
      </w:r>
      <w:r w:rsidR="00125926">
        <w:rPr>
          <w:iCs/>
          <w:szCs w:val="24"/>
          <w:lang w:val="sq-AL"/>
        </w:rPr>
        <w:t xml:space="preserve">ë të parë </w:t>
      </w:r>
      <w:r w:rsidRPr="009356C8">
        <w:rPr>
          <w:iCs/>
          <w:szCs w:val="24"/>
          <w:lang w:val="sq-AL"/>
        </w:rPr>
        <w:t>rrjedh si nga boshllëqet ligjore në parashikimet lidhur me degët, ashtu si edhe nga mungesa e harmonizimit me acquis-in e BE-së.</w:t>
      </w:r>
    </w:p>
    <w:p w14:paraId="28D6FD38" w14:textId="77777777" w:rsidR="009356C8" w:rsidRPr="009356C8" w:rsidRDefault="009356C8" w:rsidP="009356C8">
      <w:pPr>
        <w:spacing w:line="276" w:lineRule="auto"/>
        <w:jc w:val="both"/>
        <w:rPr>
          <w:iCs/>
          <w:szCs w:val="24"/>
          <w:lang w:val="sq-AL"/>
        </w:rPr>
      </w:pPr>
    </w:p>
    <w:p w14:paraId="6AC09E0F" w14:textId="6488FA78" w:rsidR="00B624F6" w:rsidRDefault="009356C8" w:rsidP="009356C8">
      <w:pPr>
        <w:spacing w:line="276" w:lineRule="auto"/>
        <w:jc w:val="both"/>
        <w:rPr>
          <w:iCs/>
          <w:szCs w:val="24"/>
          <w:lang w:val="sq-AL"/>
        </w:rPr>
      </w:pPr>
      <w:r w:rsidRPr="009356C8">
        <w:rPr>
          <w:iCs/>
          <w:szCs w:val="24"/>
          <w:lang w:val="sq-AL"/>
        </w:rPr>
        <w:lastRenderedPageBreak/>
        <w:t>Së dyti, në fushën e transparencës institucionale dhe ndalimeve për administratorët, ligji</w:t>
      </w:r>
      <w:r w:rsidR="00943E96">
        <w:rPr>
          <w:iCs/>
          <w:szCs w:val="24"/>
          <w:lang w:val="sq-AL"/>
        </w:rPr>
        <w:t xml:space="preserve"> aktualisht</w:t>
      </w:r>
      <w:r w:rsidRPr="009356C8">
        <w:rPr>
          <w:iCs/>
          <w:szCs w:val="24"/>
          <w:lang w:val="sq-AL"/>
        </w:rPr>
        <w:t xml:space="preserve"> nuk përmban ndalesa të shprehura për emërimin e personave që janë dënuar në shtete të tjera për vepra penale që përbëjnë pengesë sipas ligjit shqiptar, apo ndaj të cilëve është vendosur ndalim për ushtrimin e funksioneve për shkak të vendimeve gjyqësore ose masave administrative. Ligji nr. 9901/2008 përmban aktualisht një ndalim të përgjithshëm t’u emëruar në pozicione administruese, mbikëqyrje apo përfaqësues ortakësh/aksionarësh personat e dënuar me një vendim të formës së prerë për kryerjen e veprave penale sipas kreut III të pjesës së posaçme të Kodit Penal në 5 vitet e fundit. Nuk është e qartë nga parashikimi që dënimi mund të jetë gjithashtu një vendim i formës së prerë të gjykatave të një shteti tjetër. </w:t>
      </w:r>
      <w:r w:rsidR="003114D4">
        <w:rPr>
          <w:iCs/>
          <w:szCs w:val="24"/>
          <w:lang w:val="sq-AL"/>
        </w:rPr>
        <w:t>Gjithashtu, ligji aktualisht nuk k</w:t>
      </w:r>
      <w:r w:rsidR="00B624F6">
        <w:rPr>
          <w:iCs/>
          <w:szCs w:val="24"/>
          <w:lang w:val="sq-AL"/>
        </w:rPr>
        <w:t>ë</w:t>
      </w:r>
      <w:r w:rsidR="003114D4">
        <w:rPr>
          <w:iCs/>
          <w:szCs w:val="24"/>
          <w:lang w:val="sq-AL"/>
        </w:rPr>
        <w:t>rkon asnj</w:t>
      </w:r>
      <w:r w:rsidR="00B624F6">
        <w:rPr>
          <w:iCs/>
          <w:szCs w:val="24"/>
          <w:lang w:val="sq-AL"/>
        </w:rPr>
        <w:t>ë</w:t>
      </w:r>
      <w:r w:rsidR="003114D4">
        <w:rPr>
          <w:iCs/>
          <w:szCs w:val="24"/>
          <w:lang w:val="sq-AL"/>
        </w:rPr>
        <w:t xml:space="preserve"> lloj konfirmimi nga personat e sip</w:t>
      </w:r>
      <w:r w:rsidR="00B624F6">
        <w:rPr>
          <w:iCs/>
          <w:szCs w:val="24"/>
          <w:lang w:val="sq-AL"/>
        </w:rPr>
        <w:t>ë</w:t>
      </w:r>
      <w:r w:rsidR="003114D4">
        <w:rPr>
          <w:iCs/>
          <w:szCs w:val="24"/>
          <w:lang w:val="sq-AL"/>
        </w:rPr>
        <w:t>rp</w:t>
      </w:r>
      <w:r w:rsidR="00B624F6">
        <w:rPr>
          <w:iCs/>
          <w:szCs w:val="24"/>
          <w:lang w:val="sq-AL"/>
        </w:rPr>
        <w:t>ë</w:t>
      </w:r>
      <w:r w:rsidR="003114D4">
        <w:rPr>
          <w:iCs/>
          <w:szCs w:val="24"/>
          <w:lang w:val="sq-AL"/>
        </w:rPr>
        <w:t>rmendur q</w:t>
      </w:r>
      <w:r w:rsidR="00B624F6">
        <w:rPr>
          <w:iCs/>
          <w:szCs w:val="24"/>
          <w:lang w:val="sq-AL"/>
        </w:rPr>
        <w:t>ë</w:t>
      </w:r>
      <w:r w:rsidR="003114D4">
        <w:rPr>
          <w:iCs/>
          <w:szCs w:val="24"/>
          <w:lang w:val="sq-AL"/>
        </w:rPr>
        <w:t xml:space="preserve"> p</w:t>
      </w:r>
      <w:r w:rsidR="00B624F6">
        <w:rPr>
          <w:iCs/>
          <w:szCs w:val="24"/>
          <w:lang w:val="sq-AL"/>
        </w:rPr>
        <w:t>ë</w:t>
      </w:r>
      <w:r w:rsidR="003114D4">
        <w:rPr>
          <w:iCs/>
          <w:szCs w:val="24"/>
          <w:lang w:val="sq-AL"/>
        </w:rPr>
        <w:t>rmbushin kriterin e past</w:t>
      </w:r>
      <w:r w:rsidR="00B624F6">
        <w:rPr>
          <w:iCs/>
          <w:szCs w:val="24"/>
          <w:lang w:val="sq-AL"/>
        </w:rPr>
        <w:t>ë</w:t>
      </w:r>
      <w:r w:rsidR="003114D4">
        <w:rPr>
          <w:iCs/>
          <w:szCs w:val="24"/>
          <w:lang w:val="sq-AL"/>
        </w:rPr>
        <w:t>rtis</w:t>
      </w:r>
      <w:r w:rsidR="00B624F6">
        <w:rPr>
          <w:iCs/>
          <w:szCs w:val="24"/>
          <w:lang w:val="sq-AL"/>
        </w:rPr>
        <w:t>ë</w:t>
      </w:r>
      <w:r w:rsidR="003114D4">
        <w:rPr>
          <w:iCs/>
          <w:szCs w:val="24"/>
          <w:lang w:val="sq-AL"/>
        </w:rPr>
        <w:t xml:space="preserve"> ligjore dhe nuk k</w:t>
      </w:r>
      <w:r w:rsidR="00B624F6">
        <w:rPr>
          <w:iCs/>
          <w:szCs w:val="24"/>
          <w:lang w:val="sq-AL"/>
        </w:rPr>
        <w:t>ë</w:t>
      </w:r>
      <w:r w:rsidR="003114D4">
        <w:rPr>
          <w:iCs/>
          <w:szCs w:val="24"/>
          <w:lang w:val="sq-AL"/>
        </w:rPr>
        <w:t>rkon asnj</w:t>
      </w:r>
      <w:r w:rsidR="00B624F6">
        <w:rPr>
          <w:iCs/>
          <w:szCs w:val="24"/>
          <w:lang w:val="sq-AL"/>
        </w:rPr>
        <w:t>ë</w:t>
      </w:r>
      <w:r w:rsidR="003114D4">
        <w:rPr>
          <w:iCs/>
          <w:szCs w:val="24"/>
          <w:lang w:val="sq-AL"/>
        </w:rPr>
        <w:t xml:space="preserve"> verifikim nga asnj</w:t>
      </w:r>
      <w:r w:rsidR="00B624F6">
        <w:rPr>
          <w:iCs/>
          <w:szCs w:val="24"/>
          <w:lang w:val="sq-AL"/>
        </w:rPr>
        <w:t>ë</w:t>
      </w:r>
      <w:r w:rsidR="003114D4">
        <w:rPr>
          <w:iCs/>
          <w:szCs w:val="24"/>
          <w:lang w:val="sq-AL"/>
        </w:rPr>
        <w:t xml:space="preserve"> autoritet shtet</w:t>
      </w:r>
      <w:r w:rsidR="00B624F6">
        <w:rPr>
          <w:iCs/>
          <w:szCs w:val="24"/>
          <w:lang w:val="sq-AL"/>
        </w:rPr>
        <w:t>ë</w:t>
      </w:r>
      <w:r w:rsidR="003114D4">
        <w:rPr>
          <w:iCs/>
          <w:szCs w:val="24"/>
          <w:lang w:val="sq-AL"/>
        </w:rPr>
        <w:t>ror.</w:t>
      </w:r>
      <w:r w:rsidR="00F02120">
        <w:rPr>
          <w:iCs/>
          <w:szCs w:val="24"/>
          <w:lang w:val="sq-AL"/>
        </w:rPr>
        <w:t xml:space="preserve"> </w:t>
      </w:r>
      <w:r w:rsidRPr="009356C8">
        <w:rPr>
          <w:iCs/>
          <w:szCs w:val="24"/>
          <w:lang w:val="sq-AL"/>
        </w:rPr>
        <w:t xml:space="preserve">Mungon </w:t>
      </w:r>
      <w:r w:rsidR="00F02120">
        <w:rPr>
          <w:iCs/>
          <w:szCs w:val="24"/>
          <w:lang w:val="sq-AL"/>
        </w:rPr>
        <w:t>nj</w:t>
      </w:r>
      <w:r w:rsidR="00B624F6">
        <w:rPr>
          <w:iCs/>
          <w:szCs w:val="24"/>
          <w:lang w:val="sq-AL"/>
        </w:rPr>
        <w:t>ë</w:t>
      </w:r>
      <w:r w:rsidR="00F02120">
        <w:rPr>
          <w:iCs/>
          <w:szCs w:val="24"/>
          <w:lang w:val="sq-AL"/>
        </w:rPr>
        <w:t xml:space="preserve"> regjist</w:t>
      </w:r>
      <w:r w:rsidR="00B624F6">
        <w:rPr>
          <w:iCs/>
          <w:szCs w:val="24"/>
          <w:lang w:val="sq-AL"/>
        </w:rPr>
        <w:t>ë</w:t>
      </w:r>
      <w:r w:rsidR="00F02120">
        <w:rPr>
          <w:iCs/>
          <w:szCs w:val="24"/>
          <w:lang w:val="sq-AL"/>
        </w:rPr>
        <w:t>r apo nj</w:t>
      </w:r>
      <w:r w:rsidR="00B624F6">
        <w:rPr>
          <w:iCs/>
          <w:szCs w:val="24"/>
          <w:lang w:val="sq-AL"/>
        </w:rPr>
        <w:t>ë</w:t>
      </w:r>
      <w:r w:rsidR="00F02120">
        <w:rPr>
          <w:iCs/>
          <w:szCs w:val="24"/>
          <w:lang w:val="sq-AL"/>
        </w:rPr>
        <w:t xml:space="preserve"> form</w:t>
      </w:r>
      <w:r w:rsidR="00B624F6">
        <w:rPr>
          <w:iCs/>
          <w:szCs w:val="24"/>
          <w:lang w:val="sq-AL"/>
        </w:rPr>
        <w:t>ë</w:t>
      </w:r>
      <w:r w:rsidR="00F02120">
        <w:rPr>
          <w:iCs/>
          <w:szCs w:val="24"/>
          <w:lang w:val="sq-AL"/>
        </w:rPr>
        <w:t xml:space="preserve"> tjet</w:t>
      </w:r>
      <w:r w:rsidR="00B624F6">
        <w:rPr>
          <w:iCs/>
          <w:szCs w:val="24"/>
          <w:lang w:val="sq-AL"/>
        </w:rPr>
        <w:t>ë</w:t>
      </w:r>
      <w:r w:rsidR="00F02120">
        <w:rPr>
          <w:iCs/>
          <w:szCs w:val="24"/>
          <w:lang w:val="sq-AL"/>
        </w:rPr>
        <w:t>r listimi e personave t</w:t>
      </w:r>
      <w:r w:rsidR="00B624F6">
        <w:rPr>
          <w:iCs/>
          <w:szCs w:val="24"/>
          <w:lang w:val="sq-AL"/>
        </w:rPr>
        <w:t>ë</w:t>
      </w:r>
      <w:r w:rsidR="00F02120">
        <w:rPr>
          <w:iCs/>
          <w:szCs w:val="24"/>
          <w:lang w:val="sq-AL"/>
        </w:rPr>
        <w:t xml:space="preserve"> ndaluar p</w:t>
      </w:r>
      <w:r w:rsidR="00B624F6">
        <w:rPr>
          <w:iCs/>
          <w:szCs w:val="24"/>
          <w:lang w:val="sq-AL"/>
        </w:rPr>
        <w:t>ë</w:t>
      </w:r>
      <w:r w:rsidR="00F02120">
        <w:rPr>
          <w:iCs/>
          <w:szCs w:val="24"/>
          <w:lang w:val="sq-AL"/>
        </w:rPr>
        <w:t>r t</w:t>
      </w:r>
      <w:r w:rsidR="00B624F6">
        <w:rPr>
          <w:iCs/>
          <w:szCs w:val="24"/>
          <w:lang w:val="sq-AL"/>
        </w:rPr>
        <w:t>ë</w:t>
      </w:r>
      <w:r w:rsidR="00F02120">
        <w:rPr>
          <w:iCs/>
          <w:szCs w:val="24"/>
          <w:lang w:val="sq-AL"/>
        </w:rPr>
        <w:t xml:space="preserve"> ushtruar funksione n</w:t>
      </w:r>
      <w:r w:rsidR="00B624F6">
        <w:rPr>
          <w:iCs/>
          <w:szCs w:val="24"/>
          <w:lang w:val="sq-AL"/>
        </w:rPr>
        <w:t>ë</w:t>
      </w:r>
      <w:r w:rsidR="00F02120">
        <w:rPr>
          <w:iCs/>
          <w:szCs w:val="24"/>
          <w:lang w:val="sq-AL"/>
        </w:rPr>
        <w:t xml:space="preserve"> shoq</w:t>
      </w:r>
      <w:r w:rsidR="00B624F6">
        <w:rPr>
          <w:iCs/>
          <w:szCs w:val="24"/>
          <w:lang w:val="sq-AL"/>
        </w:rPr>
        <w:t>ë</w:t>
      </w:r>
      <w:r w:rsidR="00F02120">
        <w:rPr>
          <w:iCs/>
          <w:szCs w:val="24"/>
          <w:lang w:val="sq-AL"/>
        </w:rPr>
        <w:t>ri. Gjithashtu mungojn</w:t>
      </w:r>
      <w:r w:rsidR="00B624F6">
        <w:rPr>
          <w:iCs/>
          <w:szCs w:val="24"/>
          <w:lang w:val="sq-AL"/>
        </w:rPr>
        <w:t>ë</w:t>
      </w:r>
      <w:r w:rsidR="000A2DFE">
        <w:rPr>
          <w:iCs/>
          <w:szCs w:val="24"/>
          <w:lang w:val="sq-AL"/>
        </w:rPr>
        <w:t xml:space="preserve"> parashikime</w:t>
      </w:r>
      <w:r w:rsidRPr="009356C8">
        <w:rPr>
          <w:iCs/>
          <w:szCs w:val="24"/>
          <w:lang w:val="sq-AL"/>
        </w:rPr>
        <w:t xml:space="preserve"> për vetëdeklarimin e pastërtisë ligjore nga administratorët</w:t>
      </w:r>
      <w:r w:rsidR="003A0C61">
        <w:rPr>
          <w:iCs/>
          <w:szCs w:val="24"/>
          <w:lang w:val="sq-AL"/>
        </w:rPr>
        <w:t>/ an</w:t>
      </w:r>
      <w:r w:rsidR="00B624F6">
        <w:rPr>
          <w:iCs/>
          <w:szCs w:val="24"/>
          <w:lang w:val="sq-AL"/>
        </w:rPr>
        <w:t>ë</w:t>
      </w:r>
      <w:r w:rsidR="003A0C61">
        <w:rPr>
          <w:iCs/>
          <w:szCs w:val="24"/>
          <w:lang w:val="sq-AL"/>
        </w:rPr>
        <w:t>tar</w:t>
      </w:r>
      <w:r w:rsidR="00B624F6">
        <w:rPr>
          <w:iCs/>
          <w:szCs w:val="24"/>
          <w:lang w:val="sq-AL"/>
        </w:rPr>
        <w:t>ë</w:t>
      </w:r>
      <w:r w:rsidR="003A0C61">
        <w:rPr>
          <w:iCs/>
          <w:szCs w:val="24"/>
          <w:lang w:val="sq-AL"/>
        </w:rPr>
        <w:t>t e k</w:t>
      </w:r>
      <w:r w:rsidR="00B624F6">
        <w:rPr>
          <w:iCs/>
          <w:szCs w:val="24"/>
          <w:lang w:val="sq-AL"/>
        </w:rPr>
        <w:t>ë</w:t>
      </w:r>
      <w:r w:rsidR="003A0C61">
        <w:rPr>
          <w:iCs/>
          <w:szCs w:val="24"/>
          <w:lang w:val="sq-AL"/>
        </w:rPr>
        <w:t>shillit t</w:t>
      </w:r>
      <w:r w:rsidR="00B624F6">
        <w:rPr>
          <w:iCs/>
          <w:szCs w:val="24"/>
          <w:lang w:val="sq-AL"/>
        </w:rPr>
        <w:t>ë</w:t>
      </w:r>
      <w:r w:rsidR="003A0C61">
        <w:rPr>
          <w:iCs/>
          <w:szCs w:val="24"/>
          <w:lang w:val="sq-AL"/>
        </w:rPr>
        <w:t xml:space="preserve"> administrimit apo mbik</w:t>
      </w:r>
      <w:r w:rsidR="00B624F6">
        <w:rPr>
          <w:iCs/>
          <w:szCs w:val="24"/>
          <w:lang w:val="sq-AL"/>
        </w:rPr>
        <w:t>ë</w:t>
      </w:r>
      <w:r w:rsidR="003A0C61">
        <w:rPr>
          <w:iCs/>
          <w:szCs w:val="24"/>
          <w:lang w:val="sq-AL"/>
        </w:rPr>
        <w:t>qyr</w:t>
      </w:r>
      <w:r w:rsidR="00B624F6">
        <w:rPr>
          <w:iCs/>
          <w:szCs w:val="24"/>
          <w:lang w:val="sq-AL"/>
        </w:rPr>
        <w:t>ë</w:t>
      </w:r>
      <w:r w:rsidR="003A0C61">
        <w:rPr>
          <w:iCs/>
          <w:szCs w:val="24"/>
          <w:lang w:val="sq-AL"/>
        </w:rPr>
        <w:t>s t</w:t>
      </w:r>
      <w:r w:rsidR="00B624F6">
        <w:rPr>
          <w:iCs/>
          <w:szCs w:val="24"/>
          <w:lang w:val="sq-AL"/>
        </w:rPr>
        <w:t>ë</w:t>
      </w:r>
      <w:r w:rsidRPr="009356C8">
        <w:rPr>
          <w:iCs/>
          <w:szCs w:val="24"/>
          <w:lang w:val="sq-AL"/>
        </w:rPr>
        <w:t xml:space="preserve"> rinj, çka krijon risk të konsiderueshëm për integritetin e drejtimit të shoqërive. Mungesa e parashikimeve të qarta lidhur me personat e ndaluar shkakton pasiguri juridike si për bizneset në momentin e emërimit të këtyre personave në pozicione kyc, si për qeverinë për verifikimin e personave të ndaluar, ashtu si dhe për qytetarët të cilët mund të kryejnë thjeshtësisht veprime juridike me biznese të përfaqësuar nga persona të ndaluar në kapacitete të ndryshme. </w:t>
      </w:r>
    </w:p>
    <w:p w14:paraId="46007BB1" w14:textId="77777777" w:rsidR="00B624F6" w:rsidRDefault="00B624F6" w:rsidP="009356C8">
      <w:pPr>
        <w:spacing w:line="276" w:lineRule="auto"/>
        <w:jc w:val="both"/>
        <w:rPr>
          <w:iCs/>
          <w:szCs w:val="24"/>
          <w:lang w:val="sq-AL"/>
        </w:rPr>
      </w:pPr>
    </w:p>
    <w:p w14:paraId="5ABD1EA4" w14:textId="6079B807" w:rsidR="009356C8" w:rsidRPr="009356C8" w:rsidRDefault="009356C8" w:rsidP="30EE1AA0">
      <w:pPr>
        <w:spacing w:line="276" w:lineRule="auto"/>
        <w:jc w:val="both"/>
        <w:rPr>
          <w:lang w:val="sq-AL"/>
        </w:rPr>
      </w:pPr>
      <w:r w:rsidRPr="30EE1AA0">
        <w:rPr>
          <w:lang w:val="sq-AL"/>
        </w:rPr>
        <w:t xml:space="preserve">Problemi </w:t>
      </w:r>
      <w:r w:rsidR="00D45FAF" w:rsidRPr="00D45FAF">
        <w:rPr>
          <w:lang w:val="sq-AL"/>
        </w:rPr>
        <w:t>lidhet si me boshllëqet ligjore në përcaktimin e kategorive të personave të ndaluar, të cilat krijojnë vështirësi në identifikimin dhe kontrollin e tyre, ashtu edhe me mungesën e harmonizimit me acquis-in e BE-së, që pengon ecurinë e procesit të integrimit.</w:t>
      </w:r>
    </w:p>
    <w:p w14:paraId="244D567E" w14:textId="77777777" w:rsidR="009356C8" w:rsidRPr="009356C8" w:rsidRDefault="009356C8" w:rsidP="009356C8">
      <w:pPr>
        <w:spacing w:line="276" w:lineRule="auto"/>
        <w:jc w:val="both"/>
        <w:rPr>
          <w:iCs/>
          <w:szCs w:val="24"/>
          <w:lang w:val="sq-AL"/>
        </w:rPr>
      </w:pPr>
    </w:p>
    <w:p w14:paraId="2D8BBE2C" w14:textId="03B72115" w:rsidR="00CB0528" w:rsidRDefault="009356C8" w:rsidP="00CB0528">
      <w:pPr>
        <w:spacing w:line="276" w:lineRule="auto"/>
        <w:jc w:val="both"/>
        <w:rPr>
          <w:iCs/>
          <w:szCs w:val="24"/>
          <w:lang w:val="sq-AL"/>
        </w:rPr>
      </w:pPr>
      <w:r w:rsidRPr="009356C8">
        <w:rPr>
          <w:iCs/>
          <w:szCs w:val="24"/>
          <w:lang w:val="sq-AL"/>
        </w:rPr>
        <w:t xml:space="preserve">Së treti, lidhur me shoqëritë aksionare, ligji nuk përmban një mekanizëm të </w:t>
      </w:r>
      <w:r w:rsidR="001B23D8">
        <w:rPr>
          <w:iCs/>
          <w:szCs w:val="24"/>
          <w:lang w:val="sq-AL"/>
        </w:rPr>
        <w:t>qart</w:t>
      </w:r>
      <w:r w:rsidR="004F22B6">
        <w:rPr>
          <w:iCs/>
          <w:szCs w:val="24"/>
          <w:lang w:val="sq-AL"/>
        </w:rPr>
        <w:t>ë</w:t>
      </w:r>
      <w:r w:rsidR="001B23D8">
        <w:rPr>
          <w:iCs/>
          <w:szCs w:val="24"/>
          <w:lang w:val="sq-AL"/>
        </w:rPr>
        <w:t xml:space="preserve"> ligjor</w:t>
      </w:r>
      <w:r w:rsidRPr="009356C8">
        <w:rPr>
          <w:iCs/>
          <w:szCs w:val="24"/>
          <w:lang w:val="sq-AL"/>
        </w:rPr>
        <w:t xml:space="preserve"> për përdorimin e fitimit dhe kthimin e pagesave të paautorizuara, duke lejuar që të shpërndahen fonde edhe në kushte kur pasuria neto është më e ulët se kapitali i kërkuar dhe rezervat e detyrueshme. </w:t>
      </w:r>
      <w:r w:rsidR="001B23D8" w:rsidRPr="009356C8">
        <w:rPr>
          <w:iCs/>
          <w:szCs w:val="24"/>
          <w:lang w:val="sq-AL"/>
        </w:rPr>
        <w:t>Përveç</w:t>
      </w:r>
      <w:r w:rsidRPr="009356C8">
        <w:rPr>
          <w:iCs/>
          <w:szCs w:val="24"/>
          <w:lang w:val="sq-AL"/>
        </w:rPr>
        <w:t xml:space="preserve"> rezervës së detyrueshme për shoqëritë aksionare (5% i fitimit pas tatimit, të realizuar gjatë vitit financiar paraardhës, duke zbritur shpenzimet derisa kjo rezerve të jetë të paktën 10% të kapitalit të regjistruar të shoqërisë), nuk parashikohet asnjë kufizim tjetër për shpërndarjen e dividendit nga shoqëritë aksionare. Direktiva (BE) 2017/1132, e ndryshuar nga Direktivat (BE) 2019/1151 dhe 2019/2121 parashikon kufizime të mëtejshme duke mos lejuar shpërndarjen e fitimit apo pagesave në favor të aksionarëve nëse pasuria neto e shoqërisë bëhet me e vogël se shuma e kapitalit të regjistruar së bashku me rezervat pas shpërndarjes. Direktiva parashikon përjashtime të kufizuara nga ky parim në raste të përmbushjes së detyrimeve kontraktore nga shoqëria, raste kur shoqëria ka një përfitim ekonomik etj. Direktiva përkufizon gjithashtu një mekanizëm me disa faza për kthimin nga aksionarët të shumave të marra shoqërisë- mekanizëm i cili mungon në ligjin aktual. </w:t>
      </w:r>
      <w:r w:rsidR="00CB0528" w:rsidRPr="00AF7A19">
        <w:rPr>
          <w:iCs/>
          <w:szCs w:val="24"/>
          <w:lang w:val="sq-AL"/>
        </w:rPr>
        <w:t>Aksionarët që kanë përfituar pagesa në kundërshtim me ligjin detyrohen t’i kthejnë ato, përveçse nëse provojnë se kanë vepruar me mirëbesim dhe fondet nuk janë të nevojshme për përmbushjen e detyrimeve të shoqërisë ndaj kreditorëve. Pra ligji gjithashtu ka ende nevojë për përshtatje më tej të rregullave (dhe kufizimeve) për shpërndarjen e fitimit, si dhe blerjen e aksioneve të veta dhe raportin vjetor në rastin e blerjes së aksioneve të veta (në rastet e parashikuara nga ligji), dhe mekanizmat e miratimit për transaksionet sipas nenit 64 të Direktivës.</w:t>
      </w:r>
    </w:p>
    <w:p w14:paraId="1F425911" w14:textId="77777777" w:rsidR="00712D52" w:rsidRDefault="00712D52" w:rsidP="009356C8">
      <w:pPr>
        <w:spacing w:line="276" w:lineRule="auto"/>
        <w:jc w:val="both"/>
        <w:rPr>
          <w:iCs/>
          <w:szCs w:val="24"/>
          <w:lang w:val="sq-AL"/>
        </w:rPr>
      </w:pPr>
    </w:p>
    <w:p w14:paraId="6A3D0067" w14:textId="77777777" w:rsidR="009356C8" w:rsidRPr="009356C8" w:rsidRDefault="009356C8" w:rsidP="009356C8">
      <w:pPr>
        <w:spacing w:line="276" w:lineRule="auto"/>
        <w:jc w:val="both"/>
        <w:rPr>
          <w:iCs/>
          <w:szCs w:val="24"/>
          <w:lang w:val="sq-AL"/>
        </w:rPr>
      </w:pPr>
    </w:p>
    <w:p w14:paraId="1AA7F42F" w14:textId="22DAFDBB" w:rsidR="009356C8" w:rsidRPr="009356C8" w:rsidRDefault="009356C8" w:rsidP="009356C8">
      <w:pPr>
        <w:spacing w:line="276" w:lineRule="auto"/>
        <w:jc w:val="both"/>
        <w:rPr>
          <w:iCs/>
          <w:szCs w:val="24"/>
          <w:lang w:val="sq-AL"/>
        </w:rPr>
      </w:pPr>
      <w:r w:rsidRPr="009356C8">
        <w:rPr>
          <w:iCs/>
          <w:szCs w:val="24"/>
          <w:lang w:val="sq-AL"/>
        </w:rPr>
        <w:t>Së katërti, ligji në fuqi ka mangësi në rregullimin e blerjes dhe zotërimit të aksioneve të veta</w:t>
      </w:r>
      <w:r w:rsidR="004F684A">
        <w:rPr>
          <w:iCs/>
          <w:szCs w:val="24"/>
          <w:lang w:val="sq-AL"/>
        </w:rPr>
        <w:t xml:space="preserve"> nga shoq</w:t>
      </w:r>
      <w:r w:rsidR="00CE3A4B">
        <w:rPr>
          <w:iCs/>
          <w:szCs w:val="24"/>
          <w:lang w:val="sq-AL"/>
        </w:rPr>
        <w:t>ë</w:t>
      </w:r>
      <w:r w:rsidR="004F684A">
        <w:rPr>
          <w:iCs/>
          <w:szCs w:val="24"/>
          <w:lang w:val="sq-AL"/>
        </w:rPr>
        <w:t>ria</w:t>
      </w:r>
      <w:r w:rsidRPr="009356C8">
        <w:rPr>
          <w:iCs/>
          <w:szCs w:val="24"/>
          <w:lang w:val="sq-AL"/>
        </w:rPr>
        <w:t xml:space="preserve">, si dhe </w:t>
      </w:r>
      <w:r w:rsidR="004F684A">
        <w:rPr>
          <w:iCs/>
          <w:szCs w:val="24"/>
          <w:lang w:val="sq-AL"/>
        </w:rPr>
        <w:t>rregullimin e rasteve dhe procedurave</w:t>
      </w:r>
      <w:r w:rsidRPr="009356C8">
        <w:rPr>
          <w:iCs/>
          <w:szCs w:val="24"/>
          <w:lang w:val="sq-AL"/>
        </w:rPr>
        <w:t xml:space="preserve"> kur </w:t>
      </w:r>
      <w:r w:rsidR="004F684A">
        <w:rPr>
          <w:iCs/>
          <w:szCs w:val="24"/>
          <w:lang w:val="sq-AL"/>
        </w:rPr>
        <w:t xml:space="preserve">aksionet jepen </w:t>
      </w:r>
      <w:r w:rsidRPr="009356C8">
        <w:rPr>
          <w:iCs/>
          <w:szCs w:val="24"/>
          <w:lang w:val="sq-AL"/>
        </w:rPr>
        <w:t xml:space="preserve">si garanci </w:t>
      </w:r>
      <w:r w:rsidR="004F684A">
        <w:rPr>
          <w:iCs/>
          <w:szCs w:val="24"/>
          <w:lang w:val="sq-AL"/>
        </w:rPr>
        <w:t>p</w:t>
      </w:r>
      <w:r w:rsidR="00CE3A4B">
        <w:rPr>
          <w:iCs/>
          <w:szCs w:val="24"/>
          <w:lang w:val="sq-AL"/>
        </w:rPr>
        <w:t>ë</w:t>
      </w:r>
      <w:r w:rsidR="004F684A">
        <w:rPr>
          <w:iCs/>
          <w:szCs w:val="24"/>
          <w:lang w:val="sq-AL"/>
        </w:rPr>
        <w:t xml:space="preserve">r </w:t>
      </w:r>
      <w:r w:rsidRPr="009356C8">
        <w:rPr>
          <w:iCs/>
          <w:szCs w:val="24"/>
          <w:lang w:val="sq-AL"/>
        </w:rPr>
        <w:t xml:space="preserve">një palë e tretë për llogari të shoqërisë. </w:t>
      </w:r>
      <w:r w:rsidR="000D532A">
        <w:rPr>
          <w:iCs/>
          <w:szCs w:val="24"/>
          <w:lang w:val="sq-AL"/>
        </w:rPr>
        <w:t xml:space="preserve">Nga ligji aktual nuk </w:t>
      </w:r>
      <w:r w:rsidRPr="009356C8">
        <w:rPr>
          <w:iCs/>
          <w:szCs w:val="24"/>
          <w:lang w:val="sq-AL"/>
        </w:rPr>
        <w:t xml:space="preserve">kërkohet krijimi i një rezerve të veçantë për aksionet e zotëruara, nuk ka dispozita të detyrueshme për raportimin vjetor të tyre dhe nuk janë të përcaktuara kufizimet që duhet të aplikohen mbi të drejtat që rrjedhin nga këto aksione (si pezullimi i votës ose i pjesëmarrjes në fitim). </w:t>
      </w:r>
      <w:r w:rsidRPr="009356C8">
        <w:rPr>
          <w:iCs/>
          <w:szCs w:val="24"/>
          <w:lang w:val="sq-AL"/>
        </w:rPr>
        <w:lastRenderedPageBreak/>
        <w:t xml:space="preserve">Gjithashtu, ligji nuk përcakton qartë se dhënia e ndihmës financiare për blerjen e aksioneve të veta nga palë të treta, përveç rasteve të institucioneve financiare, përbën shkelje të barazisë ndërmjet aksionarëve dhe burim të mundshëm abuzimi të strukturës së kapitalit. Këto parashikime ekzistojnë në Direktivën (BE) 2017/1132, të ndryshuar nga Direktivat (BE) 2019/1151 dhe 2019/2121. </w:t>
      </w:r>
      <w:r w:rsidR="004020FD" w:rsidRPr="004020FD">
        <w:rPr>
          <w:iCs/>
          <w:szCs w:val="24"/>
          <w:lang w:val="sq-AL"/>
        </w:rPr>
        <w:t>Shoqëria që zotëron aksione të veta duhet të krijojë një rezervë të veçantë që nuk mund të shpërndahet dhe të raportojë në pasqyrat vjetore arsyet e blerjes, numrin, vlerën dhe përqindjen e këtyre aksioneve ndaj kapitalit të nënshkruar. Po ashtu, parë rregullohet edhe rasti kur aksionet e veta pranohen si garanci për një detyrim të një pale të tretë, duke përcaktuar se mbi to zbatohen të gjitha kufizimet që vlejnë për blerjen e aksioneve të veta. Një tjetër nevojë për harmonizim është ndalimi që shoqëria të japë kredi, të garantojë ose të sigurojë hua për qëllime të blerjes së aksioneve të veta, përveç rasteve kur ajo vepron si institucion financiar dhe vetëm në kushtet e tregut. Edhe në këto raste, kërkohet që organi drejtues të hartojë një raport të posaçëm, që t’i paraqitet asamblesë së përgjithshme.</w:t>
      </w:r>
      <w:r w:rsidR="00EC6A54">
        <w:rPr>
          <w:iCs/>
          <w:szCs w:val="24"/>
          <w:lang w:val="sq-AL"/>
        </w:rPr>
        <w:t xml:space="preserve"> </w:t>
      </w:r>
      <w:r w:rsidRPr="009356C8">
        <w:rPr>
          <w:iCs/>
          <w:szCs w:val="24"/>
          <w:lang w:val="sq-AL"/>
        </w:rPr>
        <w:t>Mungesa e parashikimeve sipas Direktivës bën që kuadri ligjor për nënshkrimin e aksioneve të jetë më pak transparent si për bizneset, ashtu si dhe për kreditorët, të cilët mund t’u referohen dokumenteve kontabël të shoqërisë si dhe neneve lidhur me dhënien e aksioneve si mjet garancie për të tretët. Problemi lidhur me këtë pikë rrjedh si nga boshllëqet ligjore në parashikimet lidhur me rregullimin e blerjes së aksioneve të veta tek shoqëritë aksionare dhe dhënies së aksioneve si garanci si edhe nga mungesa e harmonizimit me acquis-in e BE-së</w:t>
      </w:r>
      <w:r w:rsidR="0034298C">
        <w:rPr>
          <w:iCs/>
          <w:szCs w:val="24"/>
          <w:lang w:val="sq-AL"/>
        </w:rPr>
        <w:t xml:space="preserve"> që vonon procesin e integrimit.</w:t>
      </w:r>
    </w:p>
    <w:p w14:paraId="384F7A3A" w14:textId="77777777" w:rsidR="009356C8" w:rsidRPr="009356C8" w:rsidRDefault="009356C8" w:rsidP="009356C8">
      <w:pPr>
        <w:spacing w:line="276" w:lineRule="auto"/>
        <w:jc w:val="both"/>
        <w:rPr>
          <w:iCs/>
          <w:szCs w:val="24"/>
          <w:lang w:val="sq-AL"/>
        </w:rPr>
      </w:pPr>
    </w:p>
    <w:p w14:paraId="5C10E407" w14:textId="4C48C25E" w:rsidR="009356C8" w:rsidRPr="009356C8" w:rsidRDefault="009356C8" w:rsidP="009356C8">
      <w:pPr>
        <w:spacing w:line="276" w:lineRule="auto"/>
        <w:jc w:val="both"/>
        <w:rPr>
          <w:iCs/>
          <w:szCs w:val="24"/>
          <w:lang w:val="sq-AL"/>
        </w:rPr>
      </w:pPr>
      <w:r w:rsidRPr="009356C8">
        <w:rPr>
          <w:iCs/>
          <w:szCs w:val="24"/>
          <w:lang w:val="sq-AL"/>
        </w:rPr>
        <w:t xml:space="preserve">Së pesti, mungon një dispozitë që rregullon pavlefshmërinë e bashkimeve, duke mos ofruar asnjë rrugë ligjore për të sfiduar juridikisht një bashkim të kryer në mënyrë të paligjshme (për shembull, pa kontroll ligjshmërie apo me shkelje të formës). </w:t>
      </w:r>
      <w:r w:rsidR="009A3621">
        <w:rPr>
          <w:iCs/>
          <w:szCs w:val="24"/>
          <w:lang w:val="sq-AL"/>
        </w:rPr>
        <w:t>Duhet t</w:t>
      </w:r>
      <w:r w:rsidR="009A3621" w:rsidRPr="00CE3A4B">
        <w:rPr>
          <w:iCs/>
          <w:szCs w:val="24"/>
          <w:lang w:val="sq-AL"/>
        </w:rPr>
        <w:t xml:space="preserve">ë </w:t>
      </w:r>
      <w:r w:rsidR="009A3621">
        <w:rPr>
          <w:iCs/>
          <w:szCs w:val="24"/>
          <w:lang w:val="sq-AL"/>
        </w:rPr>
        <w:t xml:space="preserve">parashikohet për të </w:t>
      </w:r>
      <w:r w:rsidR="00FB7003">
        <w:rPr>
          <w:iCs/>
          <w:szCs w:val="24"/>
          <w:lang w:val="sq-AL"/>
        </w:rPr>
        <w:t>qenë</w:t>
      </w:r>
      <w:r w:rsidR="009A3621">
        <w:rPr>
          <w:iCs/>
          <w:szCs w:val="24"/>
          <w:lang w:val="sq-AL"/>
        </w:rPr>
        <w:t xml:space="preserve"> në përputhje me Direktivën </w:t>
      </w:r>
      <w:r w:rsidR="009A3621" w:rsidRPr="00CE3A4B">
        <w:rPr>
          <w:iCs/>
          <w:szCs w:val="24"/>
          <w:lang w:val="sq-AL"/>
        </w:rPr>
        <w:t>një dispozitë e re mbi pavlefshmërinë e bashkimit, e cila përcakton qartë rastet në të cilat një bashkim i regjistruar mund të shpallet i pavlefshëm me vendim gjyqësor. Kufizimi i afatit për paraqitjen e padisë për pavlefshmëri brenda 6 muajve nga regjistrimi i bashkimit dhe mundësia e dhënies së afatit për korrigjimin e parregullsive përpara shpalljes së pavlefshmërisë, synojnë të garantojnë sigurinë juridike dhe stabilitetin e transaksioneve.</w:t>
      </w:r>
      <w:r w:rsidR="00720FA2">
        <w:rPr>
          <w:iCs/>
          <w:szCs w:val="24"/>
          <w:lang w:val="sq-AL"/>
        </w:rPr>
        <w:t xml:space="preserve"> Mungesat në ligj lënë </w:t>
      </w:r>
      <w:r w:rsidRPr="009356C8">
        <w:rPr>
          <w:iCs/>
          <w:szCs w:val="24"/>
          <w:lang w:val="sq-AL"/>
        </w:rPr>
        <w:t>hapësirë për pasiguri të thellë kontraktuale dhe dëm për interesat e investitorëve, kreditorëve dhe vetë pjesëmarrësve në bashkim. Problemi lidhur me këtë pikë rrjedh si nga boshllëqet ligjore në parashikimet lidhur me pavlefshmërinë e bashkimeve si edhe nga mungesa e harmonizimit me acquis-in e BE-së.</w:t>
      </w:r>
    </w:p>
    <w:p w14:paraId="0F08BC09" w14:textId="77777777" w:rsidR="009356C8" w:rsidRDefault="009356C8" w:rsidP="009356C8">
      <w:pPr>
        <w:spacing w:line="276" w:lineRule="auto"/>
        <w:jc w:val="both"/>
        <w:rPr>
          <w:iCs/>
          <w:szCs w:val="24"/>
          <w:lang w:val="sq-AL"/>
        </w:rPr>
      </w:pPr>
    </w:p>
    <w:p w14:paraId="31295108" w14:textId="4FE0006D" w:rsidR="00AB336E" w:rsidRDefault="009356C8" w:rsidP="00057C47">
      <w:pPr>
        <w:spacing w:line="276" w:lineRule="auto"/>
        <w:jc w:val="both"/>
        <w:rPr>
          <w:iCs/>
          <w:szCs w:val="24"/>
          <w:lang w:val="sq-AL"/>
        </w:rPr>
      </w:pPr>
      <w:r w:rsidRPr="009356C8">
        <w:rPr>
          <w:iCs/>
          <w:szCs w:val="24"/>
          <w:lang w:val="sq-AL"/>
        </w:rPr>
        <w:t>Së gjashti, ligji nuk parashikon asnjë garanci të veçantë për rastet kur një shoqëri aksionare me ofertë private transformohet në shoqëri me ofertë publike dhe anasjelltas. Ky lloj transformimi, ndonëse i rëndësishëm për zhvillimin e tregut të kapitalit dhe qasjen në financim publik, sjell pasoja të ndjeshme për investitorët ekzistues dhe potencialë, për punëmarrësit dhe për strukturën e kontrollit në shoqëri. Mungesa e dispozitave që garantojnë transparencën, raportimin nga administratorët, përfshirjen e ekspertëve të pavarur dhe të drejtën e kundërshtimit nga kreditorët dhe mbajtësit e instrumenteve financiare krijon rrezik të lartë për cenimin e interesave të palëve të treta dhe për dështimin e përputhshmërisë me standardet e BE-së për transformimet strukturore.</w:t>
      </w:r>
    </w:p>
    <w:p w14:paraId="58BDB0CD" w14:textId="77777777" w:rsidR="00554EED" w:rsidRDefault="00554EED" w:rsidP="00057C47">
      <w:pPr>
        <w:spacing w:line="276" w:lineRule="auto"/>
        <w:jc w:val="both"/>
        <w:rPr>
          <w:iCs/>
          <w:szCs w:val="24"/>
          <w:lang w:val="sq-AL"/>
        </w:rPr>
      </w:pPr>
    </w:p>
    <w:p w14:paraId="173D1EB2" w14:textId="77777777" w:rsidR="00043FB0" w:rsidRPr="00713048" w:rsidRDefault="00043FB0" w:rsidP="00043FB0">
      <w:pPr>
        <w:spacing w:line="276" w:lineRule="auto"/>
        <w:jc w:val="both"/>
        <w:rPr>
          <w:b/>
          <w:bCs/>
          <w:iCs/>
          <w:szCs w:val="24"/>
          <w:u w:val="single"/>
          <w:lang w:val="sq-AL"/>
        </w:rPr>
      </w:pPr>
      <w:r w:rsidRPr="00713048">
        <w:rPr>
          <w:b/>
          <w:bCs/>
          <w:iCs/>
          <w:szCs w:val="24"/>
          <w:u w:val="single"/>
          <w:lang w:val="sq-AL"/>
        </w:rPr>
        <w:t>Në lidhje me Direktivën 2007/36/KE (të ndryshuar)</w:t>
      </w:r>
    </w:p>
    <w:p w14:paraId="1ECF5055" w14:textId="77777777" w:rsidR="00043FB0" w:rsidRPr="00713048" w:rsidRDefault="00043FB0" w:rsidP="00043FB0">
      <w:pPr>
        <w:pStyle w:val="NormalWeb"/>
        <w:jc w:val="both"/>
        <w:rPr>
          <w:lang w:val="sq-AL"/>
        </w:rPr>
      </w:pPr>
      <w:r w:rsidRPr="00713048">
        <w:rPr>
          <w:lang w:val="sq-AL"/>
        </w:rPr>
        <w:t xml:space="preserve">Ndryshimet e propozuara synojnë arritjen e përafrimit të plotë të Ligjit “Për Tregtarët dhe Shoqëritë Tregtare” me </w:t>
      </w:r>
      <w:r w:rsidRPr="00713048">
        <w:rPr>
          <w:b/>
          <w:bCs/>
          <w:iCs/>
          <w:u w:val="single"/>
          <w:lang w:val="sq-AL"/>
        </w:rPr>
        <w:t>Direktivën 2007/36/KE (të ndryshuar)</w:t>
      </w:r>
      <w:r w:rsidRPr="00713048">
        <w:rPr>
          <w:lang w:val="sq-AL"/>
        </w:rPr>
        <w:t xml:space="preserve">, duke rregulluar, brenda legjislacionit vendas, institucionet juridike thelbësore specifike për shoqëritë e listuara. Megjithëse shoqëri të tilla nuk ekzistojnë në tregun shqiptar, këto ndryshime shërbejnë për të vendosur infrastrukturën ligjore të nevojshme për funksionimin e duhur të shoqërive të listuara dhe për të rregulluar marrëdhëniet e tyre me subjektet e tjera që janë pjesë e ekosistemit të tregut të rregulluar, të cilat së bashku mundësojnë ushtrimin e të drejtave të aksionarëve. </w:t>
      </w:r>
    </w:p>
    <w:p w14:paraId="1249932A" w14:textId="77777777" w:rsidR="00043FB0" w:rsidRPr="00713048" w:rsidRDefault="00043FB0" w:rsidP="00043FB0">
      <w:pPr>
        <w:pStyle w:val="NormalWeb"/>
        <w:jc w:val="both"/>
        <w:rPr>
          <w:lang w:val="sq-AL"/>
        </w:rPr>
      </w:pPr>
      <w:r w:rsidRPr="00713048">
        <w:rPr>
          <w:lang w:val="sq-AL"/>
        </w:rPr>
        <w:lastRenderedPageBreak/>
        <w:t>Prandaj, ndryshimet në Ligjin “Për Tregtarët dhe Shoqëritë Tregtare”, i ndryshuar, jo vetëm që kontribuojnë në përafrimin e pjesëve të tjera të acquis, por gjithashtu, për herë të parë, rregullojnë veprimtaritë e subjekteve që luajnë rol kyç në ushtrimin e të drejtave të aksionarëve në shoqëritë e listuara.</w:t>
      </w:r>
    </w:p>
    <w:p w14:paraId="2B9F7445" w14:textId="77777777" w:rsidR="00043FB0" w:rsidRPr="00713048" w:rsidRDefault="00043FB0" w:rsidP="00043FB0">
      <w:pPr>
        <w:pStyle w:val="NormalWeb"/>
        <w:jc w:val="both"/>
        <w:rPr>
          <w:lang w:val="sq-AL"/>
        </w:rPr>
      </w:pPr>
      <w:r w:rsidRPr="00713048">
        <w:rPr>
          <w:lang w:val="sq-AL"/>
        </w:rPr>
        <w:t>Me objektiv qendror transpozimin e plotë të Direktivës</w:t>
      </w:r>
      <w:r>
        <w:rPr>
          <w:lang w:val="sq-AL"/>
        </w:rPr>
        <w:t xml:space="preserve"> </w:t>
      </w:r>
      <w:r w:rsidRPr="00713048">
        <w:rPr>
          <w:b/>
          <w:bCs/>
          <w:iCs/>
          <w:u w:val="single"/>
          <w:lang w:val="sq-AL"/>
        </w:rPr>
        <w:t>2007/36/KE (të ndryshuar)</w:t>
      </w:r>
      <w:r w:rsidRPr="00713048">
        <w:rPr>
          <w:lang w:val="sq-AL"/>
        </w:rPr>
        <w:t>, ndryshimet kanë sqaruar kornizën ligjore të zbatueshme për të ashtuquajturat transaksione me palë të lidhura. Këto trajtoheshin fillimisht në nenin 13 të Ligjit “Për Tregtarët dhe Shoqëritë Tregtare”, por pa vendosur një regjim të veçantë për shoqëritë e listuara të dalluar nga shoqëritë e tjera. Në përputhje me objektivat e Direktivës, dispozitat e rishikuara ofrojnë një rregullim më të detajuar për shoqëritë e listuara, ndërkohë që ruajnë regjimin aktual për të gjitha format e tjera të shoqërive.</w:t>
      </w:r>
    </w:p>
    <w:p w14:paraId="1F3C55E2" w14:textId="77777777" w:rsidR="00043FB0" w:rsidRPr="00713048" w:rsidRDefault="00043FB0" w:rsidP="00043FB0">
      <w:pPr>
        <w:pStyle w:val="NormalWeb"/>
        <w:jc w:val="both"/>
        <w:rPr>
          <w:lang w:val="sq-AL"/>
        </w:rPr>
      </w:pPr>
      <w:r w:rsidRPr="00713048">
        <w:rPr>
          <w:lang w:val="sq-AL"/>
        </w:rPr>
        <w:t>Së pari, është futur një përkufizim më i qartë dhe më i saktë i transaksioneve me palë të lidhura, i zbatueshëm për të gjitha format e shoqërisë. Së dyti, për shoqëritë e listuara, ligji tashmë parashikon, për herë të parë, një listë të transaksioneve që nuk kualifikohen si transaksione me palë të lidhura, së bashku me një procedurë më të qartë për miratimin dhe shpalljen publike të tyre.</w:t>
      </w:r>
    </w:p>
    <w:p w14:paraId="68B77845" w14:textId="77777777" w:rsidR="00043FB0" w:rsidRPr="00713048" w:rsidRDefault="00043FB0" w:rsidP="00043FB0">
      <w:pPr>
        <w:pStyle w:val="NormalWeb"/>
        <w:jc w:val="both"/>
        <w:rPr>
          <w:lang w:val="sq-AL"/>
        </w:rPr>
      </w:pPr>
      <w:r w:rsidRPr="00713048">
        <w:rPr>
          <w:lang w:val="sq-AL"/>
        </w:rPr>
        <w:t>Më tej, ndryshimet ligjore kanë rregulluar rolin dhe përgjegjësitë e ndërmjetësve, të cilët, në kontekstin e shoqërive të listuara, përgjithësisht luajnë rol kyç në identifikimin e aksionarëve dhe ushtrimin e të drejtave të tyre në mbledhjet e përgjithshme. Në këtë drejtim, ligji tashmë vendos detyrime të qarta për ndërmjetësit sa i përket transmetimit të informacionit nga shoqëria te aksionarët dhe anasjelltas. Ndryshimet marrin në konsideratë dimensionin ndërkufitar të aksionarëve dhe shtresëzimin e shpeshtë të ndërmjetësve, i cili sjell një zinxhir kustodianësh që, sipas dispozitave ligjore, janë të detyruar t’ia përcjellin pa vonesë marrësit të synuar çdo informacion që u vihet në dispozicion. Kjo përbën një kornizë krejtësisht të re ligjore, tashmë e rregulluar nga nenet 119 deri 119/6 të Ligjit “Për Tregtarët dhe Shoqëritë Tregtare”.</w:t>
      </w:r>
    </w:p>
    <w:p w14:paraId="618DDF9B" w14:textId="77777777" w:rsidR="00043FB0" w:rsidRPr="00713048" w:rsidRDefault="00043FB0" w:rsidP="00043FB0">
      <w:pPr>
        <w:pStyle w:val="NormalWeb"/>
        <w:jc w:val="both"/>
        <w:rPr>
          <w:lang w:val="sq-AL"/>
        </w:rPr>
      </w:pPr>
      <w:r w:rsidRPr="00713048">
        <w:rPr>
          <w:lang w:val="sq-AL"/>
        </w:rPr>
        <w:t>Në përputhje me frymën e angazhimit afatgjatë të aksionarëve, është futur për herë të parë një grup i ri dispozitash që rregullojnë detyrimet e investitorëve institucionalë, administratorëve të aseteve dhe këshilltarëve të votës (proxy advisors). Me synim nxitjen e përfshirjes afatgjatë të aksionarëve, këto dispozita vendosin detyrime transparence për secilin nga aktorët e mësipërm, duke kërkuar miratimin e një politike angazhimi, publikimin e një raporti angazhimi dhe shpalljen e sjelljes së votimit. Këto dokumente synojnë të qartësojnë mënyrën se si subjektet përkatëse angazhohen me shoqëritë e investuara ku mbajnë aksione.</w:t>
      </w:r>
    </w:p>
    <w:p w14:paraId="1AC836C5" w14:textId="77777777" w:rsidR="00043FB0" w:rsidRPr="00713048" w:rsidRDefault="00043FB0" w:rsidP="00043FB0">
      <w:pPr>
        <w:pStyle w:val="NormalWeb"/>
        <w:jc w:val="both"/>
        <w:rPr>
          <w:lang w:val="sq-AL"/>
        </w:rPr>
      </w:pPr>
      <w:r w:rsidRPr="00713048">
        <w:rPr>
          <w:lang w:val="sq-AL"/>
        </w:rPr>
        <w:t>Gjithashtu, korniza ligjore tani rregullon, për herë të parë, veprimtarinë e këshilltarëve të votës, të cilët i nënshtrohen kërkesave për transparencë dhe detyrimit “zbatoni ose shpjegoni” (“comply or explain”) lidhur me zbatimin e një Kodi Sjelljeje.</w:t>
      </w:r>
    </w:p>
    <w:p w14:paraId="0DE9E7E8" w14:textId="77777777" w:rsidR="00043FB0" w:rsidRPr="00713048" w:rsidRDefault="00043FB0" w:rsidP="00043FB0">
      <w:pPr>
        <w:pStyle w:val="NormalWeb"/>
        <w:jc w:val="both"/>
        <w:rPr>
          <w:lang w:val="sq-AL"/>
        </w:rPr>
      </w:pPr>
      <w:r w:rsidRPr="00713048">
        <w:rPr>
          <w:lang w:val="sq-AL"/>
        </w:rPr>
        <w:t>Sistemi i shpërblimit për anëtarët e bordit dhe drejtuesit ekzekutivë në shoqëritë e listuara tani kërkon transparencë të shtuar dhe një rol më aktiv të mbledhjes së përgjithshme të aksionarëve, e cila, sipas ndryshimeve të fundit ligjore, duhet të votojë si ex ante ashtu edhe ex post për politikat e shpërblimit dhe për raportin mbi shpërblimet reale të akorduara. Për këtë qëllim, me ndryshimet në nenin 160 dhe me dispozitat e reja 160/1, 160/2 dhe 135/1 është futur një regjim krejtësisht i ri. Këto dispozita vendosin detyrimin për hartimin e një politike shpërblimi dhe përcaktojnë përmbajtjen e saj, si dhe detyrimin për hartimin e një raporti mbi shpërblimin e paguar anëtarëve të bordit dhe drejtuesve ekzekutivë gjatë vitit financiar të mëparshëm.</w:t>
      </w:r>
    </w:p>
    <w:p w14:paraId="61725591" w14:textId="77777777" w:rsidR="00043FB0" w:rsidRPr="00713048" w:rsidRDefault="00043FB0" w:rsidP="00043FB0">
      <w:pPr>
        <w:pStyle w:val="NormalWeb"/>
        <w:jc w:val="both"/>
        <w:rPr>
          <w:lang w:val="sq-AL"/>
        </w:rPr>
      </w:pPr>
      <w:r w:rsidRPr="00713048">
        <w:rPr>
          <w:lang w:val="sq-AL"/>
        </w:rPr>
        <w:t>Një sërë ndryshimesh shtesë kanë synuar lehtësimin e ushtrimit të të drejtave të votimit nga aksionarët në shoqëritë e listuara, përmes rregullimit të marrëdhënies ndërmjet aksionarëve dhe ndërmjetësve, si edhe këshilltarëve të votës, të cilët, përtej funksioneve këshillimore, mund të ushtrojnë të drejtat e votimit në emër të aksionarëve. Kjo është arritur përmes futjes së një dispozite krejtësisht të re, nenit 140/1, së bashku me ndryshimet në nenet 137, 141 dhe 146.</w:t>
      </w:r>
    </w:p>
    <w:p w14:paraId="7A4994E8" w14:textId="77777777" w:rsidR="00043FB0" w:rsidRPr="00713048" w:rsidRDefault="00043FB0" w:rsidP="00043FB0">
      <w:pPr>
        <w:pStyle w:val="NormalWeb"/>
        <w:jc w:val="both"/>
        <w:rPr>
          <w:lang w:val="sq-AL"/>
        </w:rPr>
      </w:pPr>
      <w:r w:rsidRPr="00713048">
        <w:rPr>
          <w:lang w:val="sq-AL"/>
        </w:rPr>
        <w:t xml:space="preserve">Së fundi, për të siguruar efektivitetin e këtyre dispozitave dhe në përputhje me kërkesat e SRD II, ligji vendos një regjim sanksionesh administrative sipas nenit 232/1, i cili është përafruar me sistemin e </w:t>
      </w:r>
      <w:r w:rsidRPr="00713048">
        <w:rPr>
          <w:lang w:val="sq-AL"/>
        </w:rPr>
        <w:lastRenderedPageBreak/>
        <w:t>sanksioneve të parashikuar në Ligjin “Për Tregjet e Kapitalit”. Autoriteti i Mbikëqyrjes Financiare është gjithashtu caktuar si autoriteti kompetent mbikëqyrës përgjegjës për monitorimin e zbatimit të këtyre dispozitave.</w:t>
      </w:r>
    </w:p>
    <w:p w14:paraId="02D01E61" w14:textId="77777777" w:rsidR="00554EED" w:rsidRPr="00EC0E11" w:rsidRDefault="00554EED" w:rsidP="00057C47">
      <w:pPr>
        <w:spacing w:line="276" w:lineRule="auto"/>
        <w:jc w:val="both"/>
        <w:rPr>
          <w:iCs/>
          <w:szCs w:val="24"/>
          <w:lang w:val="sq-AL"/>
        </w:rPr>
      </w:pPr>
    </w:p>
    <w:p w14:paraId="0B5E07B0" w14:textId="77777777" w:rsidR="00AB336E" w:rsidRDefault="00AB336E" w:rsidP="00057C47">
      <w:pPr>
        <w:jc w:val="both"/>
        <w:rPr>
          <w:u w:val="single"/>
          <w:lang w:val="sq-AL" w:eastAsia="en-US"/>
        </w:rPr>
      </w:pPr>
      <w:r w:rsidRPr="00AB336E">
        <w:rPr>
          <w:u w:val="single"/>
          <w:lang w:val="sq-AL" w:eastAsia="en-US"/>
        </w:rPr>
        <w:t>Natyra e problemit</w:t>
      </w:r>
    </w:p>
    <w:p w14:paraId="00D9EDCC" w14:textId="5F7D2851" w:rsidR="00505D7A" w:rsidRPr="008E1A4A" w:rsidRDefault="00AB336E" w:rsidP="00505D7A">
      <w:pPr>
        <w:jc w:val="both"/>
        <w:rPr>
          <w:szCs w:val="24"/>
          <w:lang w:val="sq-AL" w:eastAsia="en-US"/>
        </w:rPr>
      </w:pPr>
      <w:r w:rsidRPr="00AB336E">
        <w:rPr>
          <w:szCs w:val="24"/>
          <w:lang w:val="sq-AL" w:eastAsia="en-US"/>
        </w:rPr>
        <w:br/>
      </w:r>
      <w:r w:rsidR="00505D7A" w:rsidRPr="00505D7A">
        <w:rPr>
          <w:szCs w:val="24"/>
          <w:lang w:val="sq-AL" w:eastAsia="en-US"/>
        </w:rPr>
        <w:t xml:space="preserve">Duke konstatuar që natyra e problemit është e karakterit rregullator, pra mungesa e përputhjes së plotë rregullatore e legjislacionit vendas me acquis-in e BE-së, evidentohen disa boshllëqe kryesore. Ligji nr. 9901/2008 “Për Tregtarët dhe Shoqëritë Tregtare”, i ndryshuar, </w:t>
      </w:r>
      <w:r w:rsidR="00980B7C">
        <w:rPr>
          <w:szCs w:val="24"/>
          <w:lang w:val="sq-AL" w:eastAsia="en-US"/>
        </w:rPr>
        <w:t>nuk p</w:t>
      </w:r>
      <w:r w:rsidR="005F23C8">
        <w:rPr>
          <w:szCs w:val="24"/>
          <w:lang w:val="sq-AL" w:eastAsia="en-US"/>
        </w:rPr>
        <w:t>ë</w:t>
      </w:r>
      <w:r w:rsidR="00980B7C">
        <w:rPr>
          <w:szCs w:val="24"/>
          <w:lang w:val="sq-AL" w:eastAsia="en-US"/>
        </w:rPr>
        <w:t xml:space="preserve">rafron </w:t>
      </w:r>
      <w:r w:rsidR="00505D7A" w:rsidRPr="00505D7A">
        <w:rPr>
          <w:szCs w:val="24"/>
          <w:lang w:val="sq-AL" w:eastAsia="en-US"/>
        </w:rPr>
        <w:t>plotësisht Direktivën (BE) 2017/</w:t>
      </w:r>
      <w:r w:rsidR="00505D7A" w:rsidRPr="008E1A4A">
        <w:rPr>
          <w:szCs w:val="24"/>
          <w:lang w:val="sq-AL" w:eastAsia="en-US"/>
        </w:rPr>
        <w:t>1132, të ndryshuar nga Direktivat (BE) 2019/1151 dhe 2019/2121.</w:t>
      </w:r>
      <w:r w:rsidR="0060218E" w:rsidRPr="008E1A4A">
        <w:rPr>
          <w:szCs w:val="24"/>
          <w:lang w:val="sq-AL" w:eastAsia="en-US"/>
        </w:rPr>
        <w:t xml:space="preserve"> Boshll</w:t>
      </w:r>
      <w:r w:rsidR="005D4F0B">
        <w:rPr>
          <w:szCs w:val="24"/>
          <w:lang w:val="sq-AL" w:eastAsia="en-US"/>
        </w:rPr>
        <w:t>ë</w:t>
      </w:r>
      <w:r w:rsidR="0060218E" w:rsidRPr="008E1A4A">
        <w:rPr>
          <w:szCs w:val="24"/>
          <w:lang w:val="sq-AL" w:eastAsia="en-US"/>
        </w:rPr>
        <w:t>qet e Ligjit 9901/2008 jan</w:t>
      </w:r>
      <w:r w:rsidR="005D4F0B">
        <w:rPr>
          <w:szCs w:val="24"/>
          <w:lang w:val="sq-AL" w:eastAsia="en-US"/>
        </w:rPr>
        <w:t>ë</w:t>
      </w:r>
      <w:r w:rsidR="00B8738D" w:rsidRPr="008E1A4A">
        <w:rPr>
          <w:szCs w:val="24"/>
          <w:lang w:val="sq-AL" w:eastAsia="en-US"/>
        </w:rPr>
        <w:t xml:space="preserve"> listuar</w:t>
      </w:r>
      <w:r w:rsidR="00E0548B" w:rsidRPr="008E1A4A">
        <w:rPr>
          <w:szCs w:val="24"/>
          <w:lang w:val="sq-AL" w:eastAsia="en-US"/>
        </w:rPr>
        <w:t xml:space="preserve"> m</w:t>
      </w:r>
      <w:r w:rsidR="005D4F0B">
        <w:rPr>
          <w:szCs w:val="24"/>
          <w:lang w:val="sq-AL" w:eastAsia="en-US"/>
        </w:rPr>
        <w:t>ë</w:t>
      </w:r>
      <w:r w:rsidR="00E0548B" w:rsidRPr="008E1A4A">
        <w:rPr>
          <w:szCs w:val="24"/>
          <w:lang w:val="sq-AL" w:eastAsia="en-US"/>
        </w:rPr>
        <w:t xml:space="preserve"> </w:t>
      </w:r>
      <w:r w:rsidR="00252C18" w:rsidRPr="008E1A4A">
        <w:rPr>
          <w:szCs w:val="24"/>
          <w:lang w:val="sq-AL" w:eastAsia="en-US"/>
        </w:rPr>
        <w:t>gj</w:t>
      </w:r>
      <w:r w:rsidR="00252C18">
        <w:rPr>
          <w:szCs w:val="24"/>
          <w:lang w:val="sq-AL" w:eastAsia="en-US"/>
        </w:rPr>
        <w:t>e</w:t>
      </w:r>
      <w:r w:rsidR="00252C18" w:rsidRPr="008E1A4A">
        <w:rPr>
          <w:szCs w:val="24"/>
          <w:lang w:val="sq-AL" w:eastAsia="en-US"/>
        </w:rPr>
        <w:t>r</w:t>
      </w:r>
      <w:r w:rsidR="00252C18">
        <w:rPr>
          <w:szCs w:val="24"/>
          <w:lang w:val="sq-AL" w:eastAsia="en-US"/>
        </w:rPr>
        <w:t>ë</w:t>
      </w:r>
      <w:r w:rsidR="00252C18" w:rsidRPr="008E1A4A">
        <w:rPr>
          <w:szCs w:val="24"/>
          <w:lang w:val="sq-AL" w:eastAsia="en-US"/>
        </w:rPr>
        <w:t>sisht</w:t>
      </w:r>
      <w:r w:rsidR="0060218E" w:rsidRPr="008E1A4A">
        <w:rPr>
          <w:szCs w:val="24"/>
          <w:lang w:val="sq-AL" w:eastAsia="en-US"/>
        </w:rPr>
        <w:t xml:space="preserve"> n</w:t>
      </w:r>
      <w:r w:rsidR="005D4F0B">
        <w:rPr>
          <w:szCs w:val="24"/>
          <w:lang w:val="sq-AL" w:eastAsia="en-US"/>
        </w:rPr>
        <w:t>ë</w:t>
      </w:r>
      <w:r w:rsidR="00B8738D" w:rsidRPr="008E1A4A">
        <w:rPr>
          <w:szCs w:val="24"/>
          <w:lang w:val="sq-AL" w:eastAsia="en-US"/>
        </w:rPr>
        <w:t xml:space="preserve"> paragraf</w:t>
      </w:r>
      <w:r w:rsidR="005D4F0B">
        <w:rPr>
          <w:szCs w:val="24"/>
          <w:lang w:val="sq-AL" w:eastAsia="en-US"/>
        </w:rPr>
        <w:t>ë</w:t>
      </w:r>
      <w:r w:rsidR="00B8738D" w:rsidRPr="008E1A4A">
        <w:rPr>
          <w:szCs w:val="24"/>
          <w:lang w:val="sq-AL" w:eastAsia="en-US"/>
        </w:rPr>
        <w:t>t m</w:t>
      </w:r>
      <w:r w:rsidR="005D4F0B">
        <w:rPr>
          <w:szCs w:val="24"/>
          <w:lang w:val="sq-AL" w:eastAsia="en-US"/>
        </w:rPr>
        <w:t>ë</w:t>
      </w:r>
      <w:r w:rsidR="00B8738D" w:rsidRPr="008E1A4A">
        <w:rPr>
          <w:szCs w:val="24"/>
          <w:lang w:val="sq-AL" w:eastAsia="en-US"/>
        </w:rPr>
        <w:t xml:space="preserve"> sip</w:t>
      </w:r>
      <w:r w:rsidR="005D4F0B">
        <w:rPr>
          <w:szCs w:val="24"/>
          <w:lang w:val="sq-AL" w:eastAsia="en-US"/>
        </w:rPr>
        <w:t>ë</w:t>
      </w:r>
      <w:r w:rsidR="00B8738D" w:rsidRPr="008E1A4A">
        <w:rPr>
          <w:szCs w:val="24"/>
          <w:lang w:val="sq-AL" w:eastAsia="en-US"/>
        </w:rPr>
        <w:t>r</w:t>
      </w:r>
      <w:r w:rsidR="00E0548B" w:rsidRPr="008E1A4A">
        <w:rPr>
          <w:szCs w:val="24"/>
          <w:lang w:val="sq-AL" w:eastAsia="en-US"/>
        </w:rPr>
        <w:t xml:space="preserve"> dhe mund t</w:t>
      </w:r>
      <w:r w:rsidR="005D4F0B">
        <w:rPr>
          <w:szCs w:val="24"/>
          <w:lang w:val="sq-AL" w:eastAsia="en-US"/>
        </w:rPr>
        <w:t>ë</w:t>
      </w:r>
      <w:r w:rsidR="00E0548B" w:rsidRPr="008E1A4A">
        <w:rPr>
          <w:szCs w:val="24"/>
          <w:lang w:val="sq-AL" w:eastAsia="en-US"/>
        </w:rPr>
        <w:t xml:space="preserve"> p</w:t>
      </w:r>
      <w:r w:rsidR="005D4F0B">
        <w:rPr>
          <w:szCs w:val="24"/>
          <w:lang w:val="sq-AL" w:eastAsia="en-US"/>
        </w:rPr>
        <w:t>ë</w:t>
      </w:r>
      <w:r w:rsidR="00E0548B" w:rsidRPr="008E1A4A">
        <w:rPr>
          <w:szCs w:val="24"/>
          <w:lang w:val="sq-AL" w:eastAsia="en-US"/>
        </w:rPr>
        <w:t>rmblidhen si vijon:</w:t>
      </w:r>
    </w:p>
    <w:p w14:paraId="27078DD2" w14:textId="77777777" w:rsidR="00E0548B" w:rsidRPr="002C6D7C" w:rsidRDefault="00E0548B" w:rsidP="00505D7A">
      <w:pPr>
        <w:jc w:val="both"/>
        <w:rPr>
          <w:szCs w:val="24"/>
          <w:lang w:val="sq-AL" w:eastAsia="en-US"/>
        </w:rPr>
      </w:pPr>
    </w:p>
    <w:p w14:paraId="2DDDC3C8" w14:textId="2B0CB33D" w:rsidR="00F25AAA" w:rsidRPr="002C6D7C" w:rsidRDefault="002C6D7C" w:rsidP="00C631BF">
      <w:pPr>
        <w:pStyle w:val="ListParagraph"/>
        <w:numPr>
          <w:ilvl w:val="0"/>
          <w:numId w:val="46"/>
        </w:numPr>
        <w:jc w:val="both"/>
        <w:rPr>
          <w:szCs w:val="24"/>
          <w:lang w:val="sq-AL" w:eastAsia="en-US"/>
        </w:rPr>
      </w:pPr>
      <w:r>
        <w:rPr>
          <w:rFonts w:ascii="Times New Roman" w:hAnsi="Times New Roman"/>
          <w:sz w:val="24"/>
          <w:szCs w:val="24"/>
          <w:lang w:val="sq-AL" w:eastAsia="en-US"/>
        </w:rPr>
        <w:t xml:space="preserve">  </w:t>
      </w:r>
      <w:r w:rsidR="00045048">
        <w:rPr>
          <w:rFonts w:ascii="Times New Roman" w:hAnsi="Times New Roman"/>
          <w:sz w:val="24"/>
          <w:szCs w:val="24"/>
          <w:lang w:val="sq-AL" w:eastAsia="en-US"/>
        </w:rPr>
        <w:t xml:space="preserve"> </w:t>
      </w:r>
      <w:r w:rsidR="00F25AAA" w:rsidRPr="002C6D7C">
        <w:rPr>
          <w:rFonts w:ascii="Times New Roman" w:hAnsi="Times New Roman"/>
          <w:sz w:val="24"/>
          <w:szCs w:val="24"/>
          <w:lang w:val="sq-AL" w:eastAsia="en-US"/>
        </w:rPr>
        <w:t>Lidhur me degët: Kuadri ligjor është shumë i kufizuar – nuk parashikohet regjistrimi në distancë përmes mjeteve digjitale, mungon specifikimi i rasteve të çregjistrimit të degëve dhe nuk parashikohet çregjistrimi automatik kur shoqëria mëmë pushon së ekzistuari.</w:t>
      </w:r>
    </w:p>
    <w:p w14:paraId="2FAC9EDB" w14:textId="77777777" w:rsidR="00F25AAA" w:rsidRPr="002C6D7C" w:rsidRDefault="00F25AAA" w:rsidP="00F25AAA">
      <w:pPr>
        <w:jc w:val="both"/>
        <w:rPr>
          <w:szCs w:val="24"/>
          <w:lang w:val="sq-AL" w:eastAsia="en-US"/>
        </w:rPr>
      </w:pPr>
    </w:p>
    <w:p w14:paraId="0C57112D" w14:textId="3054CB8B" w:rsidR="00F25AAA" w:rsidRPr="002C6D7C" w:rsidRDefault="002C6D7C" w:rsidP="00C631BF">
      <w:pPr>
        <w:pStyle w:val="ListParagraph"/>
        <w:numPr>
          <w:ilvl w:val="0"/>
          <w:numId w:val="46"/>
        </w:numPr>
        <w:jc w:val="both"/>
        <w:rPr>
          <w:szCs w:val="24"/>
          <w:lang w:val="sq-AL" w:eastAsia="en-US"/>
        </w:rPr>
      </w:pPr>
      <w:r>
        <w:rPr>
          <w:rFonts w:ascii="Times New Roman" w:hAnsi="Times New Roman"/>
          <w:sz w:val="24"/>
          <w:szCs w:val="24"/>
          <w:lang w:val="sq-AL" w:eastAsia="en-US"/>
        </w:rPr>
        <w:t xml:space="preserve">  </w:t>
      </w:r>
      <w:r w:rsidR="00045048">
        <w:rPr>
          <w:rFonts w:ascii="Times New Roman" w:hAnsi="Times New Roman"/>
          <w:sz w:val="24"/>
          <w:szCs w:val="24"/>
          <w:lang w:val="sq-AL" w:eastAsia="en-US"/>
        </w:rPr>
        <w:t xml:space="preserve"> </w:t>
      </w:r>
      <w:r w:rsidR="00F25AAA" w:rsidRPr="002C6D7C">
        <w:rPr>
          <w:rFonts w:ascii="Times New Roman" w:hAnsi="Times New Roman"/>
          <w:sz w:val="24"/>
          <w:szCs w:val="24"/>
          <w:lang w:val="sq-AL" w:eastAsia="en-US"/>
        </w:rPr>
        <w:t>Lidhur me pastërtinë ligjore të administratorëve/anëtarëve të këshillave: Nuk është e qartë nëse ndalohen personat e dënuar në shtete të tjera; nuk ekziston një regjistër për personat e ndaluar; nuk kërkohet deklarim apo vetëdeklarim lidhur me to.</w:t>
      </w:r>
    </w:p>
    <w:p w14:paraId="033AA81E" w14:textId="77777777" w:rsidR="00F25AAA" w:rsidRPr="002C6D7C" w:rsidRDefault="00F25AAA" w:rsidP="00F25AAA">
      <w:pPr>
        <w:jc w:val="both"/>
        <w:rPr>
          <w:szCs w:val="24"/>
          <w:lang w:val="sq-AL" w:eastAsia="en-US"/>
        </w:rPr>
      </w:pPr>
    </w:p>
    <w:p w14:paraId="7C504649" w14:textId="2DD9DEB6" w:rsidR="00F25AAA" w:rsidRPr="002C6D7C" w:rsidRDefault="002C6D7C" w:rsidP="00C631BF">
      <w:pPr>
        <w:pStyle w:val="ListParagraph"/>
        <w:numPr>
          <w:ilvl w:val="0"/>
          <w:numId w:val="46"/>
        </w:numPr>
        <w:jc w:val="both"/>
        <w:rPr>
          <w:szCs w:val="24"/>
          <w:lang w:val="sq-AL" w:eastAsia="en-US"/>
        </w:rPr>
      </w:pPr>
      <w:r>
        <w:rPr>
          <w:rFonts w:ascii="Times New Roman" w:hAnsi="Times New Roman"/>
          <w:sz w:val="24"/>
          <w:szCs w:val="24"/>
          <w:lang w:val="sq-AL" w:eastAsia="en-US"/>
        </w:rPr>
        <w:t xml:space="preserve">   </w:t>
      </w:r>
      <w:r w:rsidR="00F25AAA" w:rsidRPr="002C6D7C">
        <w:rPr>
          <w:rFonts w:ascii="Times New Roman" w:hAnsi="Times New Roman"/>
          <w:sz w:val="24"/>
          <w:szCs w:val="24"/>
          <w:lang w:val="sq-AL" w:eastAsia="en-US"/>
        </w:rPr>
        <w:t>Lidhur me shpërndarjen e fitimit në shoqëritë aksionare: Aktualisht nuk ka kufizim për shpërndarjen e fitimit kur pasuria neto bie nën kapitalin e shoqërisë, dhe nuk ekzistojnë mekanizma për kthimin e pagesave të paligjshme tek shoqëria.</w:t>
      </w:r>
    </w:p>
    <w:p w14:paraId="2EA551FD" w14:textId="77777777" w:rsidR="00F25AAA" w:rsidRPr="002C6D7C" w:rsidRDefault="00F25AAA" w:rsidP="00F25AAA">
      <w:pPr>
        <w:jc w:val="both"/>
        <w:rPr>
          <w:szCs w:val="24"/>
          <w:lang w:val="sq-AL" w:eastAsia="en-US"/>
        </w:rPr>
      </w:pPr>
    </w:p>
    <w:p w14:paraId="17471DDF" w14:textId="051F8984" w:rsidR="00F25AAA" w:rsidRPr="002C6D7C" w:rsidRDefault="002C6D7C" w:rsidP="00C631BF">
      <w:pPr>
        <w:pStyle w:val="ListParagraph"/>
        <w:numPr>
          <w:ilvl w:val="0"/>
          <w:numId w:val="46"/>
        </w:numPr>
        <w:jc w:val="both"/>
        <w:rPr>
          <w:szCs w:val="24"/>
          <w:lang w:val="sq-AL" w:eastAsia="en-US"/>
        </w:rPr>
      </w:pPr>
      <w:r>
        <w:rPr>
          <w:rFonts w:ascii="Times New Roman" w:hAnsi="Times New Roman"/>
          <w:sz w:val="24"/>
          <w:szCs w:val="24"/>
          <w:lang w:val="sq-AL" w:eastAsia="en-US"/>
        </w:rPr>
        <w:t xml:space="preserve">   </w:t>
      </w:r>
      <w:r w:rsidR="00F25AAA" w:rsidRPr="002C6D7C">
        <w:rPr>
          <w:rFonts w:ascii="Times New Roman" w:hAnsi="Times New Roman"/>
          <w:sz w:val="24"/>
          <w:szCs w:val="24"/>
          <w:lang w:val="sq-AL" w:eastAsia="en-US"/>
        </w:rPr>
        <w:t>Lidhur me zotërimin e aksioneve të veta: Ligji nuk parashikon kritere për regjistrimin e tyre në dokumentet financiare, dhe nuk ndalon shpërndarjen e vlerës së tyre.</w:t>
      </w:r>
    </w:p>
    <w:p w14:paraId="1E51A804" w14:textId="77777777" w:rsidR="00F25AAA" w:rsidRPr="002C6D7C" w:rsidRDefault="00F25AAA" w:rsidP="00F25AAA">
      <w:pPr>
        <w:jc w:val="both"/>
        <w:rPr>
          <w:szCs w:val="24"/>
          <w:lang w:val="sq-AL" w:eastAsia="en-US"/>
        </w:rPr>
      </w:pPr>
    </w:p>
    <w:p w14:paraId="3DA7572D" w14:textId="312968D2" w:rsidR="00F25AAA" w:rsidRPr="002C6D7C" w:rsidRDefault="002C6D7C" w:rsidP="00C631BF">
      <w:pPr>
        <w:pStyle w:val="ListParagraph"/>
        <w:numPr>
          <w:ilvl w:val="0"/>
          <w:numId w:val="46"/>
        </w:numPr>
        <w:jc w:val="both"/>
        <w:rPr>
          <w:szCs w:val="24"/>
          <w:lang w:val="sq-AL" w:eastAsia="en-US"/>
        </w:rPr>
      </w:pPr>
      <w:r>
        <w:rPr>
          <w:rFonts w:ascii="Times New Roman" w:hAnsi="Times New Roman"/>
          <w:sz w:val="24"/>
          <w:szCs w:val="24"/>
          <w:lang w:val="sq-AL" w:eastAsia="en-US"/>
        </w:rPr>
        <w:t xml:space="preserve">  </w:t>
      </w:r>
      <w:r w:rsidR="00045048">
        <w:rPr>
          <w:rFonts w:ascii="Times New Roman" w:hAnsi="Times New Roman"/>
          <w:sz w:val="24"/>
          <w:szCs w:val="24"/>
          <w:lang w:val="sq-AL" w:eastAsia="en-US"/>
        </w:rPr>
        <w:t xml:space="preserve"> </w:t>
      </w:r>
      <w:r w:rsidR="00F25AAA" w:rsidRPr="002C6D7C">
        <w:rPr>
          <w:rFonts w:ascii="Times New Roman" w:hAnsi="Times New Roman"/>
          <w:sz w:val="24"/>
          <w:szCs w:val="24"/>
          <w:lang w:val="sq-AL" w:eastAsia="en-US"/>
        </w:rPr>
        <w:t>Lidhur me përdorimin e aksioneve si garanci për palë të treta: Nuk rregullohet mundësia që shoqëria të japë aksionet e veta si garanci për detyrimet ndaj palëve të treta, dhe si rrjedhojë mungojnë kufizime apo rregulla në këtë drejtim.</w:t>
      </w:r>
    </w:p>
    <w:p w14:paraId="57C83C40" w14:textId="77777777" w:rsidR="00F25AAA" w:rsidRPr="002C6D7C" w:rsidRDefault="00F25AAA" w:rsidP="00F25AAA">
      <w:pPr>
        <w:jc w:val="both"/>
        <w:rPr>
          <w:szCs w:val="24"/>
          <w:lang w:val="sq-AL" w:eastAsia="en-US"/>
        </w:rPr>
      </w:pPr>
    </w:p>
    <w:p w14:paraId="37BC5A76" w14:textId="2698BAA5" w:rsidR="00F25AAA" w:rsidRPr="002C6D7C" w:rsidRDefault="002C6D7C" w:rsidP="00C631BF">
      <w:pPr>
        <w:pStyle w:val="ListParagraph"/>
        <w:numPr>
          <w:ilvl w:val="0"/>
          <w:numId w:val="46"/>
        </w:numPr>
        <w:jc w:val="both"/>
        <w:rPr>
          <w:szCs w:val="24"/>
          <w:lang w:val="sq-AL" w:eastAsia="en-US"/>
        </w:rPr>
      </w:pPr>
      <w:r>
        <w:rPr>
          <w:rFonts w:ascii="Times New Roman" w:hAnsi="Times New Roman"/>
          <w:sz w:val="24"/>
          <w:szCs w:val="24"/>
          <w:lang w:val="sq-AL" w:eastAsia="en-US"/>
        </w:rPr>
        <w:t xml:space="preserve">   </w:t>
      </w:r>
      <w:r w:rsidR="00F25AAA" w:rsidRPr="002C6D7C">
        <w:rPr>
          <w:rFonts w:ascii="Times New Roman" w:hAnsi="Times New Roman"/>
          <w:sz w:val="24"/>
          <w:szCs w:val="24"/>
          <w:lang w:val="sq-AL" w:eastAsia="en-US"/>
        </w:rPr>
        <w:t>Lidhur me bashkimet: Ligji nuk përcakton kushtet apo procedurat sipas të cilave gjykata mund të deklarojë një bashkim shoqërish të pavlefshëm.</w:t>
      </w:r>
    </w:p>
    <w:p w14:paraId="4FE73A55" w14:textId="77777777" w:rsidR="00F25AAA" w:rsidRPr="002C6D7C" w:rsidRDefault="00F25AAA" w:rsidP="00F25AAA">
      <w:pPr>
        <w:jc w:val="both"/>
        <w:rPr>
          <w:szCs w:val="24"/>
          <w:lang w:val="sq-AL" w:eastAsia="en-US"/>
        </w:rPr>
      </w:pPr>
    </w:p>
    <w:p w14:paraId="081EF4B9" w14:textId="2BC9DE41" w:rsidR="00E0548B" w:rsidRPr="00C631BF" w:rsidRDefault="002C6D7C">
      <w:pPr>
        <w:pStyle w:val="ListParagraph"/>
        <w:numPr>
          <w:ilvl w:val="0"/>
          <w:numId w:val="46"/>
        </w:numPr>
        <w:jc w:val="both"/>
        <w:rPr>
          <w:szCs w:val="24"/>
          <w:lang w:val="sq-AL" w:eastAsia="en-US"/>
        </w:rPr>
      </w:pPr>
      <w:r>
        <w:rPr>
          <w:rFonts w:ascii="Times New Roman" w:hAnsi="Times New Roman"/>
          <w:sz w:val="24"/>
          <w:szCs w:val="24"/>
          <w:lang w:val="sq-AL" w:eastAsia="en-US"/>
        </w:rPr>
        <w:t xml:space="preserve"> </w:t>
      </w:r>
      <w:r w:rsidR="00045048">
        <w:rPr>
          <w:rFonts w:ascii="Times New Roman" w:hAnsi="Times New Roman"/>
          <w:sz w:val="24"/>
          <w:szCs w:val="24"/>
          <w:lang w:val="sq-AL" w:eastAsia="en-US"/>
        </w:rPr>
        <w:t xml:space="preserve"> </w:t>
      </w:r>
      <w:r>
        <w:rPr>
          <w:rFonts w:ascii="Times New Roman" w:hAnsi="Times New Roman"/>
          <w:sz w:val="24"/>
          <w:szCs w:val="24"/>
          <w:lang w:val="sq-AL" w:eastAsia="en-US"/>
        </w:rPr>
        <w:t xml:space="preserve"> </w:t>
      </w:r>
      <w:r w:rsidR="00F25AAA" w:rsidRPr="002C6D7C">
        <w:rPr>
          <w:rFonts w:ascii="Times New Roman" w:hAnsi="Times New Roman"/>
          <w:sz w:val="24"/>
          <w:szCs w:val="24"/>
          <w:lang w:val="sq-AL" w:eastAsia="en-US"/>
        </w:rPr>
        <w:t>Lidhur me transformimin e shoqërive aksionare: Nuk parashikohen garanci të plota gjatë transformimit të shoqërive nga me ofertë private në me ofertë publike dhe anasjelltas.</w:t>
      </w:r>
    </w:p>
    <w:p w14:paraId="55BB63FF" w14:textId="77777777" w:rsidR="00257F20" w:rsidRPr="00C631BF" w:rsidRDefault="00257F20" w:rsidP="00C631BF">
      <w:pPr>
        <w:pStyle w:val="ListParagraph"/>
        <w:rPr>
          <w:rFonts w:ascii="Times New Roman" w:hAnsi="Times New Roman"/>
          <w:sz w:val="24"/>
          <w:szCs w:val="24"/>
          <w:lang w:val="sq-AL" w:eastAsia="en-US"/>
        </w:rPr>
      </w:pPr>
    </w:p>
    <w:p w14:paraId="7A6026BF" w14:textId="7A0EBB29" w:rsidR="00257F20" w:rsidRPr="00D756B5" w:rsidRDefault="00257F20" w:rsidP="00C631BF">
      <w:pPr>
        <w:pStyle w:val="ListParagraph"/>
        <w:numPr>
          <w:ilvl w:val="0"/>
          <w:numId w:val="46"/>
        </w:numPr>
        <w:jc w:val="both"/>
        <w:rPr>
          <w:szCs w:val="24"/>
          <w:lang w:val="sq-AL" w:eastAsia="en-US"/>
        </w:rPr>
      </w:pPr>
      <w:r w:rsidRPr="003A08BF">
        <w:rPr>
          <w:rFonts w:ascii="Times New Roman" w:hAnsi="Times New Roman"/>
          <w:sz w:val="24"/>
          <w:szCs w:val="24"/>
          <w:lang w:val="sq-AL" w:eastAsia="en-US"/>
        </w:rPr>
        <w:t xml:space="preserve">Lidhur me </w:t>
      </w:r>
      <w:r w:rsidR="000A272D">
        <w:rPr>
          <w:rFonts w:ascii="Times New Roman" w:hAnsi="Times New Roman"/>
          <w:sz w:val="24"/>
          <w:szCs w:val="24"/>
          <w:lang w:val="sq-AL" w:eastAsia="en-US"/>
        </w:rPr>
        <w:t xml:space="preserve">grupet vulnerabël dhe barazinë gjinore: </w:t>
      </w:r>
      <w:r w:rsidR="000A272D" w:rsidRPr="000A272D">
        <w:rPr>
          <w:rFonts w:ascii="Times New Roman" w:hAnsi="Times New Roman"/>
          <w:sz w:val="24"/>
          <w:szCs w:val="24"/>
          <w:lang w:val="sq-AL" w:eastAsia="en-US"/>
        </w:rPr>
        <w:t>Ligji aktual nuk parashikon masa për barazi gjinore, dhe mungesa e aksesit në informacion e rrjete profesionale thellon më tej këtë pabarazi.</w:t>
      </w:r>
    </w:p>
    <w:p w14:paraId="632446C9" w14:textId="77777777" w:rsidR="00296D25" w:rsidRPr="00296D25" w:rsidRDefault="00296D25" w:rsidP="00D756B5">
      <w:pPr>
        <w:pStyle w:val="ListParagraph"/>
        <w:rPr>
          <w:szCs w:val="24"/>
          <w:lang w:val="sq-AL" w:eastAsia="en-US"/>
        </w:rPr>
      </w:pPr>
    </w:p>
    <w:p w14:paraId="487A261B" w14:textId="3CCD108F" w:rsidR="00296D25" w:rsidRPr="00D756B5" w:rsidRDefault="00296D25" w:rsidP="00296D25">
      <w:pPr>
        <w:pStyle w:val="ListParagraph"/>
        <w:numPr>
          <w:ilvl w:val="0"/>
          <w:numId w:val="46"/>
        </w:numPr>
        <w:jc w:val="both"/>
        <w:rPr>
          <w:rFonts w:ascii="Times New Roman" w:hAnsi="Times New Roman"/>
          <w:sz w:val="24"/>
          <w:szCs w:val="24"/>
          <w:lang w:val="sq-AL" w:eastAsia="en-US"/>
        </w:rPr>
      </w:pPr>
      <w:r w:rsidRPr="00296D25">
        <w:rPr>
          <w:rFonts w:ascii="Times New Roman" w:hAnsi="Times New Roman"/>
          <w:sz w:val="24"/>
          <w:szCs w:val="24"/>
          <w:lang w:val="sq-AL" w:eastAsia="en-US"/>
        </w:rPr>
        <w:t xml:space="preserve">Nga ana tjeter, lidhur me </w:t>
      </w:r>
      <w:r w:rsidRPr="00296D25">
        <w:rPr>
          <w:rFonts w:ascii="Times New Roman" w:hAnsi="Times New Roman"/>
          <w:b/>
          <w:bCs/>
          <w:iCs/>
          <w:sz w:val="24"/>
          <w:szCs w:val="24"/>
          <w:u w:val="single"/>
          <w:lang w:val="sq-AL"/>
        </w:rPr>
        <w:t>Direktivën 2007/36/KE (të ndryshuar), s</w:t>
      </w:r>
      <w:r w:rsidRPr="00296D25">
        <w:rPr>
          <w:rFonts w:ascii="Times New Roman" w:hAnsi="Times New Roman"/>
          <w:sz w:val="24"/>
          <w:szCs w:val="24"/>
          <w:lang w:val="sq-AL" w:eastAsia="en-US"/>
        </w:rPr>
        <w:t xml:space="preserve">ot kuadri ligjor paraqet disa boshllëqe thelbësore: mungon një regjim i veçantë për transaksionet me palë të lidhura në shoqëritë e listuara (neni 13 nuk i dallon nga format e tjera), përkufizimi është i paqartë, mungon një listë përjashtimesh dhe procedura është e paunifikuar për miratim/shpallje publike. Po ashtu, mungon një kornizë funksionale për identifikimin e aksionarëve dhe qarkullimin ndërkufitar të informacionit përmes zinxhirit të ndërmjetësve. Ndryshimet e hartuara adresojnë këto boshllëqe duke vendosur një përkufizim të saktë, një listë transaksionesh që nuk konsiderohen “palë të lidhura”, procedura të qarta miratimi/zbardhjeje dhe detyrime të posaçme për ndërmjetësit për transmetim pa vonesë të informacionit (nenet 119–119/6). </w:t>
      </w:r>
      <w:r w:rsidRPr="00D756B5">
        <w:rPr>
          <w:rFonts w:ascii="Times New Roman" w:hAnsi="Times New Roman"/>
          <w:sz w:val="24"/>
          <w:szCs w:val="24"/>
          <w:lang w:val="sq-AL" w:eastAsia="en-US"/>
        </w:rPr>
        <w:t xml:space="preserve">Po ashtu, kuadri aktual nuk imponon transparencë dhe angazhim </w:t>
      </w:r>
      <w:r w:rsidRPr="00D756B5">
        <w:rPr>
          <w:rFonts w:ascii="Times New Roman" w:hAnsi="Times New Roman"/>
          <w:sz w:val="24"/>
          <w:szCs w:val="24"/>
          <w:lang w:val="sq-AL" w:eastAsia="en-US"/>
        </w:rPr>
        <w:lastRenderedPageBreak/>
        <w:t>afatgjatë për investitorët institucionalë, administratorët e aseteve dhe këshilltarët e votës, nuk parashikon “comply or explain” ndaj një Kodi Sjelljeje, dhe nuk i jep aksionarëve një “say-on-pay” të strukturuar (as ex ante, as ex post), as një mekanizëm të qartë për ushtrimin e votës përmes ndërmjetësve/këshilltarëve. Amendamentet e propozuara mbyllin këto boshllëqe duke kërkuar politika e raporte angazhimi dhe shpallje të sjelljes së votimit; duke vendosur transparencë dhe votim ex ante/ex post mbi politikat dhe raportet e shpërblimit (neni 160 dhe 160/1, 160/2, 135/1); duke kodifikuar ushtrimin e votës përmes ndërmjetësve e këshilltarëve (neni 140/1, ndryshimet në 137, 141, 146); si dhe duke krijuar një regjim sanksionesh të harmonizuar (neni 232/1) me Autoritetin e Mbikëqyrjes Financiare si organ mbikëqyrës.</w:t>
      </w:r>
    </w:p>
    <w:p w14:paraId="7930E092" w14:textId="77777777" w:rsidR="00296D25" w:rsidRPr="003A08BF" w:rsidRDefault="00296D25" w:rsidP="00C631BF">
      <w:pPr>
        <w:pStyle w:val="ListParagraph"/>
        <w:numPr>
          <w:ilvl w:val="0"/>
          <w:numId w:val="46"/>
        </w:numPr>
        <w:jc w:val="both"/>
        <w:rPr>
          <w:szCs w:val="24"/>
          <w:lang w:val="sq-AL" w:eastAsia="en-US"/>
        </w:rPr>
      </w:pPr>
    </w:p>
    <w:p w14:paraId="6D3A9996" w14:textId="77777777" w:rsidR="00C03617" w:rsidRDefault="00C03617" w:rsidP="00505D7A">
      <w:pPr>
        <w:jc w:val="both"/>
        <w:rPr>
          <w:szCs w:val="24"/>
          <w:lang w:val="sq-AL" w:eastAsia="en-US"/>
        </w:rPr>
      </w:pPr>
    </w:p>
    <w:p w14:paraId="78500880" w14:textId="13FB18A6" w:rsidR="00BE51A0" w:rsidRDefault="00505D7A" w:rsidP="00505D7A">
      <w:pPr>
        <w:jc w:val="both"/>
        <w:rPr>
          <w:szCs w:val="24"/>
          <w:lang w:val="sq-AL" w:eastAsia="en-US"/>
        </w:rPr>
      </w:pPr>
      <w:r w:rsidRPr="00505D7A">
        <w:rPr>
          <w:szCs w:val="24"/>
          <w:lang w:val="sq-AL" w:eastAsia="en-US"/>
        </w:rPr>
        <w:t>Kjo mospërputhshmëri sjell pasiguri ligjore për bizneset dhe investitorët, duke penguar krijimin e një mjedisi të qëndrueshëm dhe konkurrues. Gjithashtu, ajo rrezikon mosarritjen e objektivave për anëtarësimin në BE deri në 2030 dhe mbylljen e negociatave teknike brenda 2027-ës, duke vështirësuar integrimin e plotë të Shqipërisë në tregun e brendshëm evropian.</w:t>
      </w:r>
    </w:p>
    <w:p w14:paraId="6DAB24C5" w14:textId="77777777" w:rsidR="00AB336E" w:rsidRPr="00AB336E" w:rsidRDefault="00AB336E" w:rsidP="00057C47">
      <w:pPr>
        <w:jc w:val="both"/>
        <w:rPr>
          <w:lang w:val="sq-AL" w:eastAsia="en-US"/>
        </w:rPr>
      </w:pPr>
    </w:p>
    <w:p w14:paraId="55A65F9C" w14:textId="77777777" w:rsidR="00AB336E" w:rsidRPr="00AB336E" w:rsidRDefault="00AB336E" w:rsidP="00057C47">
      <w:pPr>
        <w:jc w:val="both"/>
        <w:rPr>
          <w:u w:val="single"/>
          <w:lang w:val="sq-AL" w:eastAsia="en-US"/>
        </w:rPr>
      </w:pPr>
      <w:r w:rsidRPr="00AB336E">
        <w:rPr>
          <w:u w:val="single"/>
          <w:lang w:val="sq-AL" w:eastAsia="en-US"/>
        </w:rPr>
        <w:t>Shkaqet e problemit</w:t>
      </w:r>
    </w:p>
    <w:p w14:paraId="45B5C332" w14:textId="63C418AA" w:rsidR="00986496" w:rsidRPr="00986496" w:rsidRDefault="00986496" w:rsidP="00986496">
      <w:pPr>
        <w:jc w:val="both"/>
        <w:rPr>
          <w:lang w:val="sq-AL" w:eastAsia="en-US"/>
        </w:rPr>
      </w:pPr>
    </w:p>
    <w:p w14:paraId="0B83DCDE" w14:textId="77777777" w:rsidR="00986496" w:rsidRDefault="00986496" w:rsidP="00986496">
      <w:pPr>
        <w:jc w:val="both"/>
        <w:rPr>
          <w:lang w:val="sq-AL" w:eastAsia="en-US"/>
        </w:rPr>
      </w:pPr>
      <w:r w:rsidRPr="00986496">
        <w:rPr>
          <w:lang w:val="sq-AL" w:eastAsia="en-US"/>
        </w:rPr>
        <w:t xml:space="preserve">Shkaqet e këtij problemi mund të kategorizohen sipas tipologjisë së mëposhtme, duke filluar me mos përputhjet rregullatore si shkaku primar. </w:t>
      </w:r>
    </w:p>
    <w:p w14:paraId="09E22795" w14:textId="77777777" w:rsidR="00986496" w:rsidRDefault="00986496" w:rsidP="00986496">
      <w:pPr>
        <w:jc w:val="both"/>
        <w:rPr>
          <w:lang w:val="sq-AL" w:eastAsia="en-US"/>
        </w:rPr>
      </w:pPr>
    </w:p>
    <w:p w14:paraId="7C3361DA" w14:textId="3DEEE157" w:rsidR="00986496" w:rsidRPr="00986496" w:rsidRDefault="00986496" w:rsidP="00986496">
      <w:pPr>
        <w:jc w:val="both"/>
        <w:rPr>
          <w:lang w:val="sq-AL" w:eastAsia="en-US"/>
        </w:rPr>
      </w:pPr>
      <w:r w:rsidRPr="00986496">
        <w:rPr>
          <w:lang w:val="sq-AL" w:eastAsia="en-US"/>
        </w:rPr>
        <w:t xml:space="preserve">Së pari, diferencat mes Direktivës (BE) 2017/1132, të ndryshuar nga Direktivat (BE) 2019/1151 dhe 2019/2121, dhe </w:t>
      </w:r>
      <w:r w:rsidR="005F23C8" w:rsidRPr="00986496">
        <w:rPr>
          <w:lang w:val="sq-AL" w:eastAsia="en-US"/>
        </w:rPr>
        <w:t>l</w:t>
      </w:r>
      <w:r w:rsidR="005F23C8">
        <w:rPr>
          <w:lang w:val="sq-AL" w:eastAsia="en-US"/>
        </w:rPr>
        <w:t>igjit</w:t>
      </w:r>
      <w:r w:rsidR="005F23C8" w:rsidRPr="00986496">
        <w:rPr>
          <w:lang w:val="sq-AL" w:eastAsia="en-US"/>
        </w:rPr>
        <w:t xml:space="preserve"> shqiptar</w:t>
      </w:r>
      <w:r w:rsidR="009B19A0">
        <w:rPr>
          <w:lang w:val="sq-AL" w:eastAsia="en-US"/>
        </w:rPr>
        <w:t xml:space="preserve"> v</w:t>
      </w:r>
      <w:r w:rsidR="003946A2">
        <w:rPr>
          <w:lang w:val="sq-AL" w:eastAsia="en-US"/>
        </w:rPr>
        <w:t>onojn</w:t>
      </w:r>
      <w:r w:rsidR="003C6B89">
        <w:rPr>
          <w:lang w:val="sq-AL" w:eastAsia="en-US"/>
        </w:rPr>
        <w:t>ë</w:t>
      </w:r>
      <w:r w:rsidR="003946A2">
        <w:rPr>
          <w:lang w:val="sq-AL" w:eastAsia="en-US"/>
        </w:rPr>
        <w:t xml:space="preserve"> integrimin n</w:t>
      </w:r>
      <w:r w:rsidR="003C6B89">
        <w:rPr>
          <w:lang w:val="sq-AL" w:eastAsia="en-US"/>
        </w:rPr>
        <w:t>ë</w:t>
      </w:r>
      <w:r w:rsidR="003946A2">
        <w:rPr>
          <w:lang w:val="sq-AL" w:eastAsia="en-US"/>
        </w:rPr>
        <w:t xml:space="preserve"> tregun e p</w:t>
      </w:r>
      <w:r w:rsidR="003C6B89">
        <w:rPr>
          <w:lang w:val="sq-AL" w:eastAsia="en-US"/>
        </w:rPr>
        <w:t>ë</w:t>
      </w:r>
      <w:r w:rsidR="003946A2">
        <w:rPr>
          <w:lang w:val="sq-AL" w:eastAsia="en-US"/>
        </w:rPr>
        <w:t>rbashk</w:t>
      </w:r>
      <w:r w:rsidR="003C6B89">
        <w:rPr>
          <w:lang w:val="sq-AL" w:eastAsia="en-US"/>
        </w:rPr>
        <w:t>ë</w:t>
      </w:r>
      <w:r w:rsidR="003946A2">
        <w:rPr>
          <w:lang w:val="sq-AL" w:eastAsia="en-US"/>
        </w:rPr>
        <w:t>t evropian dhe rrezikojn</w:t>
      </w:r>
      <w:r w:rsidR="003C6B89">
        <w:rPr>
          <w:lang w:val="sq-AL" w:eastAsia="en-US"/>
        </w:rPr>
        <w:t>ë</w:t>
      </w:r>
      <w:r w:rsidR="003946A2">
        <w:rPr>
          <w:lang w:val="sq-AL" w:eastAsia="en-US"/>
        </w:rPr>
        <w:t xml:space="preserve"> </w:t>
      </w:r>
      <w:r w:rsidR="00B57D49">
        <w:rPr>
          <w:lang w:val="sq-AL" w:eastAsia="en-US"/>
        </w:rPr>
        <w:t>an</w:t>
      </w:r>
      <w:r w:rsidR="003C6B89">
        <w:rPr>
          <w:lang w:val="sq-AL" w:eastAsia="en-US"/>
        </w:rPr>
        <w:t>ë</w:t>
      </w:r>
      <w:r w:rsidR="00B57D49">
        <w:rPr>
          <w:lang w:val="sq-AL" w:eastAsia="en-US"/>
        </w:rPr>
        <w:t>tar</w:t>
      </w:r>
      <w:r w:rsidR="003C6B89">
        <w:rPr>
          <w:lang w:val="sq-AL" w:eastAsia="en-US"/>
        </w:rPr>
        <w:t>ë</w:t>
      </w:r>
      <w:r w:rsidR="00B57D49">
        <w:rPr>
          <w:lang w:val="sq-AL" w:eastAsia="en-US"/>
        </w:rPr>
        <w:t>simin n</w:t>
      </w:r>
      <w:r w:rsidR="007A3740">
        <w:rPr>
          <w:lang w:val="sq-AL" w:eastAsia="en-US"/>
        </w:rPr>
        <w:t>ë</w:t>
      </w:r>
      <w:r w:rsidR="00B57D49">
        <w:rPr>
          <w:lang w:val="sq-AL" w:eastAsia="en-US"/>
        </w:rPr>
        <w:t xml:space="preserve"> BE.</w:t>
      </w:r>
      <w:r w:rsidRPr="00986496">
        <w:rPr>
          <w:lang w:val="sq-AL" w:eastAsia="en-US"/>
        </w:rPr>
        <w:t xml:space="preserve"> </w:t>
      </w:r>
      <w:r w:rsidR="00383DDA" w:rsidRPr="00383DDA">
        <w:rPr>
          <w:lang w:val="sq-AL" w:eastAsia="en-US"/>
        </w:rPr>
        <w:t xml:space="preserve">Nga ana tjetër, lidhur me ndërhyrjet ligjore me qëllim përafrimin Direktivës 2007/36/KE (e ndryshuar), nuk priten ndikime të menjëhershme pasi këto ndryshime kryesisht prekin shoqëritë që do të operojnë në tregje të rregulluara/shoqëri të listuara, dhe Shqipëria ende nuk ka të tilla. Në këndvështrim afatgjatë, përmirësimi i kuadrit rregullator me atë të BE, prezumohet që do të inkurajojë listimin e shoqërive duke forcuar tregjet e rregullara në përputhje edhe me Dokumentin Politik  “Për Krijimin e një Mjedisi Mundësues për Zhvillimin e Tregjeve të Kapitalit në Shqipëri, 2023–2027”.  </w:t>
      </w:r>
    </w:p>
    <w:p w14:paraId="5A3DD238" w14:textId="77777777" w:rsidR="00986496" w:rsidRPr="00986496" w:rsidRDefault="00986496" w:rsidP="00986496">
      <w:pPr>
        <w:jc w:val="both"/>
        <w:rPr>
          <w:lang w:val="sq-AL" w:eastAsia="en-US"/>
        </w:rPr>
      </w:pPr>
    </w:p>
    <w:p w14:paraId="404BDBB7" w14:textId="36184D94" w:rsidR="00227270" w:rsidRPr="00227270" w:rsidRDefault="00227270" w:rsidP="00227270">
      <w:pPr>
        <w:jc w:val="both"/>
        <w:rPr>
          <w:szCs w:val="24"/>
          <w:lang w:val="sq-AL" w:eastAsia="en-US"/>
        </w:rPr>
      </w:pPr>
      <w:r>
        <w:rPr>
          <w:szCs w:val="24"/>
          <w:lang w:val="sq-AL" w:eastAsia="en-US"/>
        </w:rPr>
        <w:t>S</w:t>
      </w:r>
      <w:r w:rsidR="005F23C8">
        <w:rPr>
          <w:szCs w:val="24"/>
          <w:lang w:val="sq-AL" w:eastAsia="en-US"/>
        </w:rPr>
        <w:t>ë</w:t>
      </w:r>
      <w:r>
        <w:rPr>
          <w:szCs w:val="24"/>
          <w:lang w:val="sq-AL" w:eastAsia="en-US"/>
        </w:rPr>
        <w:t xml:space="preserve"> dyti, l</w:t>
      </w:r>
      <w:r w:rsidRPr="00227270">
        <w:rPr>
          <w:szCs w:val="24"/>
          <w:lang w:val="sq-AL" w:eastAsia="en-US"/>
        </w:rPr>
        <w:t>igji</w:t>
      </w:r>
      <w:r w:rsidR="000823CB">
        <w:rPr>
          <w:szCs w:val="24"/>
          <w:lang w:val="sq-AL" w:eastAsia="en-US"/>
        </w:rPr>
        <w:t xml:space="preserve">  p</w:t>
      </w:r>
      <w:r w:rsidR="005F23C8">
        <w:rPr>
          <w:szCs w:val="24"/>
          <w:lang w:val="sq-AL" w:eastAsia="en-US"/>
        </w:rPr>
        <w:t>ë</w:t>
      </w:r>
      <w:r w:rsidR="000823CB">
        <w:rPr>
          <w:szCs w:val="24"/>
          <w:lang w:val="sq-AL" w:eastAsia="en-US"/>
        </w:rPr>
        <w:t>r</w:t>
      </w:r>
      <w:r w:rsidRPr="00227270">
        <w:rPr>
          <w:szCs w:val="24"/>
          <w:lang w:val="sq-AL" w:eastAsia="en-US"/>
        </w:rPr>
        <w:t xml:space="preserve"> tregtarët dhe shoqëritë tregtare, në formën e tij aktuale, nuk përmban dispozita të plota dhe të përditësuara që reflektojnë zhvillimet më të fundit në të drejtën e shoqërive të Bashkimit Evropian, veçanërisht ato që lidhen me qeverisjen e brendshme, transparencën financiare, përjashtimet nga funksionet drejtuese dhe mbrojtjen e kreditorëve dhe investitorëve. Mungesa e dispozitave të tilla krijon hapësira për pasiguri ligjore dhe rreziqe të shtuar për palët e interesuara, përfshirë investitorët, punëmarrësit dhe partnerët tregtarë të shoqërive. Për shembull, mungon një bazë e saktë ligjore për ndalimin e personave të dënuar në shtete të tjera të BE-së për vepra të ngjashme penale nga funksionet drejtuese në shoqëri; nuk parashikohet kthimi i detyrueshëm i fitimeve të shpërndara në mënyrë të paligjshme; dhe trajtimi i aksioneve të veta ose i mbështetjes financiare për blerjen e tyre është i paplotë ose i paqartë.</w:t>
      </w:r>
    </w:p>
    <w:p w14:paraId="3938E13C" w14:textId="77777777" w:rsidR="00227270" w:rsidRPr="00227270" w:rsidRDefault="00227270" w:rsidP="00227270">
      <w:pPr>
        <w:jc w:val="both"/>
        <w:rPr>
          <w:szCs w:val="24"/>
          <w:lang w:val="sq-AL" w:eastAsia="en-US"/>
        </w:rPr>
      </w:pPr>
    </w:p>
    <w:p w14:paraId="562587E6" w14:textId="77777777" w:rsidR="00227270" w:rsidRPr="00227270" w:rsidRDefault="00227270" w:rsidP="00227270">
      <w:pPr>
        <w:jc w:val="both"/>
        <w:rPr>
          <w:szCs w:val="24"/>
          <w:lang w:val="sq-AL" w:eastAsia="en-US"/>
        </w:rPr>
      </w:pPr>
      <w:r w:rsidRPr="00227270">
        <w:rPr>
          <w:szCs w:val="24"/>
          <w:lang w:val="sq-AL" w:eastAsia="en-US"/>
        </w:rPr>
        <w:t>Gjithashtu, kuadri aktual nuk ofron rregullim të mjaftueshëm për çështje të tilla si pranimi i aksioneve të veta si garanci, transparenca në pasqyrat financiare për transaksionet mbi aksione të veta, apo pavlefshmëria e bashkimeve në raste të cenimit të ligjshmërisë procedurale. Në mungesë të këtyre mekanizmave mbrojtës dhe sanksionues, tregu shqiptar mund të përballet me praktika të dëmshme të keqqeverisjes korporative, rrezik të pastrimit të fondeve, si dhe mungesë besimi nga investitorët vendas dhe të huaj.</w:t>
      </w:r>
    </w:p>
    <w:p w14:paraId="78DB58DE" w14:textId="77777777" w:rsidR="00227270" w:rsidRPr="00227270" w:rsidRDefault="00227270" w:rsidP="00227270">
      <w:pPr>
        <w:jc w:val="both"/>
        <w:rPr>
          <w:szCs w:val="24"/>
          <w:lang w:val="sq-AL" w:eastAsia="en-US"/>
        </w:rPr>
      </w:pPr>
    </w:p>
    <w:p w14:paraId="505ACE48" w14:textId="39DBEB0E" w:rsidR="00AB4054" w:rsidRPr="00687E80" w:rsidRDefault="008607A6" w:rsidP="00AB4054">
      <w:pPr>
        <w:spacing w:after="160" w:line="259" w:lineRule="auto"/>
        <w:jc w:val="both"/>
        <w:rPr>
          <w:rFonts w:eastAsia="Aptos"/>
          <w:kern w:val="2"/>
          <w:szCs w:val="24"/>
          <w:lang w:val="sq-AL" w:eastAsia="en-US"/>
          <w14:ligatures w14:val="standardContextual"/>
        </w:rPr>
      </w:pPr>
      <w:r>
        <w:rPr>
          <w:szCs w:val="24"/>
          <w:lang w:val="sq-AL" w:eastAsia="en-US"/>
        </w:rPr>
        <w:t>Parashikimet t</w:t>
      </w:r>
      <w:r w:rsidR="003C6B89">
        <w:rPr>
          <w:szCs w:val="24"/>
          <w:lang w:val="sq-AL" w:eastAsia="en-US"/>
        </w:rPr>
        <w:t>ë</w:t>
      </w:r>
      <w:r>
        <w:rPr>
          <w:szCs w:val="24"/>
          <w:lang w:val="sq-AL" w:eastAsia="en-US"/>
        </w:rPr>
        <w:t xml:space="preserve"> cilat mungojn</w:t>
      </w:r>
      <w:r w:rsidR="003C6B89">
        <w:rPr>
          <w:szCs w:val="24"/>
          <w:lang w:val="sq-AL" w:eastAsia="en-US"/>
        </w:rPr>
        <w:t>ë</w:t>
      </w:r>
      <w:r>
        <w:rPr>
          <w:szCs w:val="24"/>
          <w:lang w:val="sq-AL" w:eastAsia="en-US"/>
        </w:rPr>
        <w:t xml:space="preserve"> n</w:t>
      </w:r>
      <w:r w:rsidR="003C6B89">
        <w:rPr>
          <w:szCs w:val="24"/>
          <w:lang w:val="sq-AL" w:eastAsia="en-US"/>
        </w:rPr>
        <w:t>ë</w:t>
      </w:r>
      <w:r>
        <w:rPr>
          <w:szCs w:val="24"/>
          <w:lang w:val="sq-AL" w:eastAsia="en-US"/>
        </w:rPr>
        <w:t xml:space="preserve"> legjislacion jan</w:t>
      </w:r>
      <w:r w:rsidR="003C6B89">
        <w:rPr>
          <w:szCs w:val="24"/>
          <w:lang w:val="sq-AL" w:eastAsia="en-US"/>
        </w:rPr>
        <w:t>ë</w:t>
      </w:r>
      <w:r>
        <w:rPr>
          <w:szCs w:val="24"/>
          <w:lang w:val="sq-AL" w:eastAsia="en-US"/>
        </w:rPr>
        <w:t xml:space="preserve"> prezantuar n</w:t>
      </w:r>
      <w:r w:rsidR="003C6B89">
        <w:rPr>
          <w:szCs w:val="24"/>
          <w:lang w:val="sq-AL" w:eastAsia="en-US"/>
        </w:rPr>
        <w:t>ë</w:t>
      </w:r>
      <w:r>
        <w:rPr>
          <w:szCs w:val="24"/>
          <w:lang w:val="sq-AL" w:eastAsia="en-US"/>
        </w:rPr>
        <w:t xml:space="preserve"> hyrje t</w:t>
      </w:r>
      <w:r w:rsidR="003C6B89">
        <w:rPr>
          <w:szCs w:val="24"/>
          <w:lang w:val="sq-AL" w:eastAsia="en-US"/>
        </w:rPr>
        <w:t>ë</w:t>
      </w:r>
      <w:r>
        <w:rPr>
          <w:szCs w:val="24"/>
          <w:lang w:val="sq-AL" w:eastAsia="en-US"/>
        </w:rPr>
        <w:t xml:space="preserve"> k</w:t>
      </w:r>
      <w:r w:rsidR="003C6B89">
        <w:rPr>
          <w:szCs w:val="24"/>
          <w:lang w:val="sq-AL" w:eastAsia="en-US"/>
        </w:rPr>
        <w:t>ë</w:t>
      </w:r>
      <w:r>
        <w:rPr>
          <w:szCs w:val="24"/>
          <w:lang w:val="sq-AL" w:eastAsia="en-US"/>
        </w:rPr>
        <w:t>tij seksioni.</w:t>
      </w:r>
      <w:r w:rsidR="00CF27D9">
        <w:rPr>
          <w:szCs w:val="24"/>
          <w:lang w:val="sq-AL" w:eastAsia="en-US"/>
        </w:rPr>
        <w:t xml:space="preserve"> </w:t>
      </w:r>
    </w:p>
    <w:p w14:paraId="0AA8C35E" w14:textId="28D56381" w:rsidR="00AB4054" w:rsidRPr="00687E80" w:rsidRDefault="00AB4054" w:rsidP="00AB4054">
      <w:pPr>
        <w:spacing w:after="160" w:line="259" w:lineRule="auto"/>
        <w:jc w:val="both"/>
        <w:rPr>
          <w:rFonts w:eastAsia="Aptos"/>
          <w:kern w:val="2"/>
          <w:szCs w:val="24"/>
          <w:lang w:val="sq-AL" w:eastAsia="en-US"/>
          <w14:ligatures w14:val="standardContextual"/>
        </w:rPr>
      </w:pPr>
    </w:p>
    <w:p w14:paraId="19177A48" w14:textId="77777777" w:rsidR="00AB336E" w:rsidRPr="00687E80" w:rsidRDefault="00AB336E" w:rsidP="00057C47">
      <w:pPr>
        <w:jc w:val="both"/>
        <w:rPr>
          <w:szCs w:val="24"/>
          <w:u w:val="single"/>
          <w:lang w:val="sq-AL" w:eastAsia="en-US"/>
        </w:rPr>
      </w:pPr>
      <w:r w:rsidRPr="00687E80">
        <w:rPr>
          <w:szCs w:val="24"/>
          <w:u w:val="single"/>
          <w:lang w:val="sq-AL" w:eastAsia="en-US"/>
        </w:rPr>
        <w:t>Shtrirja e problemit</w:t>
      </w:r>
    </w:p>
    <w:p w14:paraId="00DBDD91" w14:textId="0714F61B" w:rsidR="00AB336E" w:rsidRPr="00687E80" w:rsidRDefault="00AB336E" w:rsidP="00057C47">
      <w:pPr>
        <w:spacing w:before="100" w:beforeAutospacing="1" w:after="100" w:afterAutospacing="1"/>
        <w:jc w:val="both"/>
        <w:rPr>
          <w:szCs w:val="24"/>
          <w:lang w:val="sq-AL" w:eastAsia="en-US"/>
        </w:rPr>
      </w:pPr>
      <w:r w:rsidRPr="007A3740">
        <w:rPr>
          <w:szCs w:val="24"/>
          <w:lang w:val="sq-AL" w:eastAsia="en-US"/>
        </w:rPr>
        <w:t xml:space="preserve">Problemi ka një shtrirje të gjerë, </w:t>
      </w:r>
      <w:r w:rsidR="00E53519" w:rsidRPr="007A3740">
        <w:rPr>
          <w:szCs w:val="24"/>
          <w:lang w:val="sq-AL" w:eastAsia="en-US"/>
        </w:rPr>
        <w:t xml:space="preserve">duke prekur të gjitha shoqëritë tregtare në Shqipëri, veçanërisht ato të angazhuara në operacione ndërkufitare, bashkime dhe ndarje. Sipas raportit të INSTAT për 2023, nga </w:t>
      </w:r>
      <w:r w:rsidR="00E53519" w:rsidRPr="007A3740">
        <w:rPr>
          <w:szCs w:val="24"/>
          <w:lang w:val="sq-AL" w:eastAsia="en-US"/>
        </w:rPr>
        <w:lastRenderedPageBreak/>
        <w:t>226,778 njësitë ligjore aktive, 28,292 SHPK dhe 716 SHA mund të ndikohen drejtpërdrejt nga mungesa e harmonizimit</w:t>
      </w:r>
      <w:r w:rsidR="008F144C" w:rsidRPr="007A3740">
        <w:rPr>
          <w:szCs w:val="24"/>
          <w:lang w:val="sq-AL" w:eastAsia="en-US"/>
        </w:rPr>
        <w:t>.</w:t>
      </w:r>
      <w:r w:rsidR="005F23C8" w:rsidRPr="007A3740">
        <w:rPr>
          <w:szCs w:val="24"/>
          <w:lang w:val="sq-AL" w:eastAsia="en-US"/>
        </w:rPr>
        <w:t xml:space="preserve"> </w:t>
      </w:r>
      <w:r w:rsidR="00E53519" w:rsidRPr="007A3740">
        <w:rPr>
          <w:szCs w:val="24"/>
          <w:lang w:val="sq-AL" w:eastAsia="en-US"/>
        </w:rPr>
        <w:t>Kjo situatë sjell pasoja ekonomike duke përfshirë reduktimin e investimeve të huaja për shkak të pasigurisë ligjore dhe rritjen e barrës administrative për bizneset, sidomos NVM-të, të cilat përbëjnë 86.2% të ndërmarrjeve aktive dhe vuajnë nga kosto shtesë për përshtatje me standarde të paplot</w:t>
      </w:r>
      <w:r w:rsidR="00E21925" w:rsidRPr="007A3740">
        <w:rPr>
          <w:szCs w:val="24"/>
          <w:lang w:val="sq-AL" w:eastAsia="en-US"/>
        </w:rPr>
        <w:t>a</w:t>
      </w:r>
      <w:r w:rsidRPr="007A3740">
        <w:rPr>
          <w:szCs w:val="24"/>
          <w:lang w:val="sq-AL" w:eastAsia="en-US"/>
        </w:rPr>
        <w:t>.</w:t>
      </w:r>
    </w:p>
    <w:p w14:paraId="0E6EAA97" w14:textId="4C1B1B98" w:rsidR="00AB336E" w:rsidRPr="00687E80" w:rsidRDefault="00AB336E" w:rsidP="00AB336E">
      <w:pPr>
        <w:spacing w:before="100" w:beforeAutospacing="1" w:after="100" w:afterAutospacing="1"/>
        <w:rPr>
          <w:szCs w:val="24"/>
          <w:lang w:val="sq-AL" w:eastAsia="en-US"/>
        </w:rPr>
      </w:pPr>
      <w:r w:rsidRPr="00687E80">
        <w:rPr>
          <w:szCs w:val="24"/>
          <w:u w:val="single"/>
          <w:lang w:val="sq-AL" w:eastAsia="en-US"/>
        </w:rPr>
        <w:t>Grupet kryesore që preken</w:t>
      </w:r>
      <w:r w:rsidRPr="00687E80">
        <w:rPr>
          <w:szCs w:val="24"/>
          <w:lang w:val="sq-AL" w:eastAsia="en-US"/>
        </w:rPr>
        <w:t xml:space="preserve"> nga ky problem janë:</w:t>
      </w:r>
    </w:p>
    <w:p w14:paraId="0015A6A0" w14:textId="0F1D4251" w:rsidR="00CC422E" w:rsidRDefault="00CC422E" w:rsidP="00CC422E">
      <w:pPr>
        <w:spacing w:before="100" w:beforeAutospacing="1" w:after="100" w:afterAutospacing="1"/>
        <w:jc w:val="both"/>
        <w:rPr>
          <w:szCs w:val="24"/>
          <w:lang w:val="sq-AL" w:eastAsia="en-US"/>
        </w:rPr>
      </w:pPr>
      <w:r w:rsidRPr="006D0DA9">
        <w:rPr>
          <w:szCs w:val="24"/>
          <w:lang w:val="sq-AL" w:eastAsia="en-US"/>
        </w:rPr>
        <w:t xml:space="preserve">Grupet kryesore të prekura nga mungesa e harmonizimit me Direktivën (BE) 2017/1132 mund të grupohen si më poshtë për të pasqyruar </w:t>
      </w:r>
      <w:r w:rsidR="005F23C8">
        <w:rPr>
          <w:szCs w:val="24"/>
          <w:lang w:val="sq-AL" w:eastAsia="en-US"/>
        </w:rPr>
        <w:t>ndikimin</w:t>
      </w:r>
      <w:r w:rsidRPr="006D0DA9">
        <w:rPr>
          <w:szCs w:val="24"/>
          <w:lang w:val="sq-AL" w:eastAsia="en-US"/>
        </w:rPr>
        <w:t xml:space="preserve"> e gjerë të këtij problemi. </w:t>
      </w:r>
    </w:p>
    <w:p w14:paraId="023623D6" w14:textId="56E48F52" w:rsidR="00A81897" w:rsidRDefault="00A81897" w:rsidP="00C631BF">
      <w:pPr>
        <w:pStyle w:val="NormalWeb"/>
        <w:numPr>
          <w:ilvl w:val="0"/>
          <w:numId w:val="55"/>
        </w:numPr>
        <w:spacing w:line="288" w:lineRule="auto"/>
        <w:jc w:val="both"/>
        <w:rPr>
          <w:lang w:val="sq-AL"/>
        </w:rPr>
      </w:pPr>
      <w:r w:rsidRPr="30EE1AA0">
        <w:rPr>
          <w:lang w:val="sq-AL"/>
        </w:rPr>
        <w:t>Shoqëritë tregtare</w:t>
      </w:r>
      <w:r w:rsidR="00DB05C7">
        <w:rPr>
          <w:lang w:val="sq-AL"/>
        </w:rPr>
        <w:t xml:space="preserve"> me kapital aksionar vendas ose të huaj</w:t>
      </w:r>
      <w:r w:rsidRPr="30EE1AA0">
        <w:rPr>
          <w:lang w:val="sq-AL"/>
        </w:rPr>
        <w:t>, për të cilat mungon transparenca në regjistrimin dhe çregjistrimin e degëve; mungojnë parashikime lidhur me personat e ndaluar për të ushtruar funksione në shoqëri; mungojnë rregulla mbi blerjen e aksioneve të veta dhe dhënien e tyre si garanci; mungojnë dispozita për shndërrimin në shoqëri aksionare me ofertë publike; si dhe mungojnë parashikime për kërkimin e pavlefshmërisë së një bashkimi.</w:t>
      </w:r>
    </w:p>
    <w:p w14:paraId="519AD6EC" w14:textId="77777777" w:rsidR="00A81897" w:rsidRPr="00C631BF" w:rsidRDefault="00A81897" w:rsidP="00C631BF">
      <w:pPr>
        <w:pStyle w:val="NormalWeb"/>
        <w:numPr>
          <w:ilvl w:val="0"/>
          <w:numId w:val="55"/>
        </w:numPr>
        <w:spacing w:line="288" w:lineRule="auto"/>
        <w:jc w:val="both"/>
        <w:rPr>
          <w:lang w:val="sq-AL"/>
        </w:rPr>
      </w:pPr>
      <w:r w:rsidRPr="00C631BF">
        <w:rPr>
          <w:lang w:val="sq-AL"/>
        </w:rPr>
        <w:t>Qytetarët, për të cilët mungojnë parashikime mbi personat e ndaluar me të cilët mund të lidhen marrëdhënie kontraktore si përfaqësues të shoqërive; mungojnë dispozita mbrojtëse ndaj shpërndarjes së ndaluar të fitimit nga shoqëritë aksionare; mungon qartësia lidhur me dhënien e aksioneve si garanci për detyrime; dhe mungojnë parashikime për të kërkuar pavlefshmërinë e një bashkimi. Më gjerësisht, qytetarët që dëshirojnë të hapin shoqëri tregtare preken gjithashtu nga ky problem. Ndryshimet ligjore të parashikuara mund të prekin individët që synojnë të krijojnë biznese, të cilët, për shkak të njohurive të kufizuara, mund të hasin pengesa në proceset e regjistrimit, qasjen në informacion dhe përdorimin e procedurave digjitale, gjë që mund të dekurajojë sipërmarrjen dhe të vonojë nismat e tyre ekonomike, veçanërisht në një kontekst ndërkufitar.</w:t>
      </w:r>
    </w:p>
    <w:p w14:paraId="6F965189" w14:textId="269EE8C2" w:rsidR="00A81897" w:rsidRPr="00C631BF" w:rsidRDefault="00A81897" w:rsidP="00C631BF">
      <w:pPr>
        <w:pStyle w:val="NormalWeb"/>
        <w:numPr>
          <w:ilvl w:val="0"/>
          <w:numId w:val="55"/>
        </w:numPr>
        <w:spacing w:line="288" w:lineRule="auto"/>
        <w:jc w:val="both"/>
        <w:rPr>
          <w:lang w:val="sq-AL"/>
        </w:rPr>
      </w:pPr>
      <w:r w:rsidRPr="00C631BF">
        <w:rPr>
          <w:lang w:val="sq-AL"/>
        </w:rPr>
        <w:t>Autoritetet shtetërore, si Qendra Kombëtare e Biznesit, përballen me mungesën e procedurave për të konstatuar prishjen e një dege; për të verifikuar që persona të ndaluar nuk mbajnë pozicione të rëndësishme në një shoqëri; për të konstatuar pavlefshmërinë e një bashkimi</w:t>
      </w:r>
      <w:r w:rsidR="006A20F4">
        <w:rPr>
          <w:lang w:val="sq-AL"/>
        </w:rPr>
        <w:t>.</w:t>
      </w:r>
    </w:p>
    <w:p w14:paraId="74C2E10A" w14:textId="5C1CE33F" w:rsidR="00A81897" w:rsidRDefault="00A81897">
      <w:pPr>
        <w:pStyle w:val="NormalWeb"/>
        <w:numPr>
          <w:ilvl w:val="0"/>
          <w:numId w:val="55"/>
        </w:numPr>
        <w:spacing w:line="288" w:lineRule="auto"/>
        <w:jc w:val="both"/>
        <w:rPr>
          <w:lang w:val="sq-AL"/>
        </w:rPr>
      </w:pPr>
      <w:r w:rsidRPr="00C631BF">
        <w:rPr>
          <w:lang w:val="sq-AL"/>
        </w:rPr>
        <w:t>Shoqëria civile, përfshirë shoqatat e biznesit, të cilat luajnë një rol të rëndësishëm në përfaqësimin e interesave të bizneseve, mund të ndikohen nga mungesa e qartësisë ligjore, duke hasur vështirësi në këshillimin e anëtarëve për operacione të tilla si bashkimet apo ndarjet.</w:t>
      </w:r>
    </w:p>
    <w:p w14:paraId="5B46D761" w14:textId="73AA9160" w:rsidR="000A272D" w:rsidRPr="00C631BF" w:rsidRDefault="000A272D" w:rsidP="00C631BF">
      <w:pPr>
        <w:pStyle w:val="NormalWeb"/>
        <w:numPr>
          <w:ilvl w:val="0"/>
          <w:numId w:val="55"/>
        </w:numPr>
        <w:spacing w:line="288" w:lineRule="auto"/>
        <w:jc w:val="both"/>
        <w:rPr>
          <w:lang w:val="sq-AL"/>
        </w:rPr>
      </w:pPr>
      <w:r w:rsidRPr="000A272D">
        <w:rPr>
          <w:lang w:val="sq-AL"/>
        </w:rPr>
        <w:t>Gratë dhe grupet vulnerabël, të cilat nuk adresohen në mënyrë të posaçme nga kuadri aktual ligjor. Mungesa e kuotave gjinore, e masave për diversitet dhe e ndërhyrjeve strukturore ndikon drejtpërdrejt</w:t>
      </w:r>
      <w:r>
        <w:rPr>
          <w:lang w:val="sq-AL"/>
        </w:rPr>
        <w:t>i</w:t>
      </w:r>
      <w:r w:rsidRPr="000A272D">
        <w:rPr>
          <w:lang w:val="sq-AL"/>
        </w:rPr>
        <w:t xml:space="preserve"> në përjashtimin e grave nga bordet drejtuese dhe vendimmarrja ekonomike. Gratë, veçanërisht në bizneset familjare, shpesh regjistrohen si pronare vetëm në mënyrë formale, pa rol drejtues</w:t>
      </w:r>
      <w:r w:rsidR="007F47BE">
        <w:rPr>
          <w:lang w:val="sq-AL"/>
        </w:rPr>
        <w:t xml:space="preserve"> aktiv</w:t>
      </w:r>
      <w:r w:rsidRPr="000A272D">
        <w:rPr>
          <w:lang w:val="sq-AL"/>
        </w:rPr>
        <w:t>.</w:t>
      </w:r>
      <w:r w:rsidR="007F47BE">
        <w:rPr>
          <w:lang w:val="sq-AL"/>
        </w:rPr>
        <w:t xml:space="preserve"> Gjithashtu</w:t>
      </w:r>
      <w:r w:rsidRPr="000A272D">
        <w:rPr>
          <w:lang w:val="sq-AL"/>
        </w:rPr>
        <w:t>, mungesa e aksesit në informacion, rrjete profesionale dhe edukim ligjor i vendos ato në një pozitë të pafavorshme për të ushtruar të drejtat që u garanton ligji, duke rrezikuar përjashtimin e tyre të vazhdueshëm nga fuqizimi ekonomik.</w:t>
      </w:r>
    </w:p>
    <w:p w14:paraId="68B8A43D" w14:textId="77777777" w:rsidR="00F717B9" w:rsidRPr="00687E80" w:rsidRDefault="00AB336E" w:rsidP="00F717B9">
      <w:pPr>
        <w:jc w:val="both"/>
        <w:rPr>
          <w:u w:val="single"/>
          <w:lang w:val="sq-AL" w:eastAsia="en-US"/>
        </w:rPr>
      </w:pPr>
      <w:r w:rsidRPr="00687E80">
        <w:rPr>
          <w:u w:val="single"/>
          <w:lang w:val="sq-AL" w:eastAsia="en-US"/>
        </w:rPr>
        <w:t>Vlerësimi i mundësisë për të trajtuar problemin përmes një ndryshimi të politikave</w:t>
      </w:r>
    </w:p>
    <w:p w14:paraId="0A626CC7" w14:textId="20CB206D" w:rsidR="00865139" w:rsidRDefault="008B2943" w:rsidP="30EE1AA0">
      <w:pPr>
        <w:spacing w:before="100" w:beforeAutospacing="1" w:after="100" w:afterAutospacing="1"/>
        <w:jc w:val="both"/>
        <w:rPr>
          <w:lang w:val="sq-AL" w:eastAsia="en-US"/>
        </w:rPr>
      </w:pPr>
      <w:r>
        <w:rPr>
          <w:lang w:val="sq-AL" w:eastAsia="en-US"/>
        </w:rPr>
        <w:t>Masat</w:t>
      </w:r>
      <w:r w:rsidR="00B06FF2" w:rsidRPr="30EE1AA0">
        <w:rPr>
          <w:lang w:val="sq-AL" w:eastAsia="en-US"/>
        </w:rPr>
        <w:t xml:space="preserve"> jorregullatore </w:t>
      </w:r>
      <w:r>
        <w:rPr>
          <w:lang w:val="sq-AL" w:eastAsia="en-US"/>
        </w:rPr>
        <w:t xml:space="preserve">që </w:t>
      </w:r>
      <w:r w:rsidR="00B06FF2" w:rsidRPr="30EE1AA0">
        <w:rPr>
          <w:lang w:val="sq-AL" w:eastAsia="en-US"/>
        </w:rPr>
        <w:t xml:space="preserve">mund të mbështesin këtë proces, pa mundur të zëvendësojnë ndërhyrjen rregullatore. Për shembull, organizimi i trajnimeve për profesionistët ligjorë dhe punonjësit e institucioneve si Qendra Kombëtare e Biznesit (QKB) apo </w:t>
      </w:r>
      <w:r w:rsidR="003A44E3" w:rsidRPr="30EE1AA0">
        <w:rPr>
          <w:lang w:val="sq-AL" w:eastAsia="en-US"/>
        </w:rPr>
        <w:t>ME</w:t>
      </w:r>
      <w:r w:rsidR="00F84225" w:rsidRPr="30EE1AA0">
        <w:rPr>
          <w:lang w:val="sq-AL" w:eastAsia="en-US"/>
        </w:rPr>
        <w:t>-t</w:t>
      </w:r>
      <w:r w:rsidR="00B06FF2" w:rsidRPr="30EE1AA0">
        <w:rPr>
          <w:lang w:val="sq-AL" w:eastAsia="en-US"/>
        </w:rPr>
        <w:t xml:space="preserve"> mund të rrisë kapacitetet për të kuptuar dhe zbatuar kërkesat komplekse të Direktivës. Po ashtu, ofrimi i mbështetjes teknike dhe programeve t</w:t>
      </w:r>
      <w:r w:rsidR="00F84225" w:rsidRPr="30EE1AA0">
        <w:rPr>
          <w:lang w:val="sq-AL" w:eastAsia="en-US"/>
        </w:rPr>
        <w:t xml:space="preserve">rajnuese </w:t>
      </w:r>
      <w:r w:rsidR="00B06FF2" w:rsidRPr="30EE1AA0">
        <w:rPr>
          <w:lang w:val="sq-AL" w:eastAsia="en-US"/>
        </w:rPr>
        <w:t xml:space="preserve">për bizneset dhe zyrtarët mund të lehtësojë përshtatjen me rregullat e reja dhe të përshpejtojë zbatimin praktik të reformave. </w:t>
      </w:r>
      <w:r w:rsidR="00865139" w:rsidRPr="30EE1AA0">
        <w:rPr>
          <w:lang w:val="sq-AL" w:eastAsia="en-US"/>
        </w:rPr>
        <w:t xml:space="preserve">Fushatat e ndërgjegjësimit publik dhe për bizneset, veçanërisht për ndërmarrjet e vogla dhe të mesme (NVM), mund të rrisin njohuritë për përfitimet e një kuadri ligjor të harmonizuar. Konsultimet me palët e interesuara, si shoqatat e biznesit dhe përfaqësuesit e shoqërisë civile, mund të ndihmojnë në identifikimin e nevojave specifike dhe në përshtatjen e zbatimit të rregullave të reja për të minimizuar sfidat </w:t>
      </w:r>
      <w:r w:rsidR="00865139" w:rsidRPr="30EE1AA0">
        <w:rPr>
          <w:lang w:val="sq-AL" w:eastAsia="en-US"/>
        </w:rPr>
        <w:lastRenderedPageBreak/>
        <w:t xml:space="preserve">praktike, duke krijuar një proces më gjithëpërfshirës dhe të mbështetur. Gjithashtu, ofrimi i asistencës teknike përmes bashkëpunimit me partnerë ndërkombëtarë si GIZ ose institucione të BE së mund të mbështesë zhvillimin e infrastrukturës digjitale të QKB-së dhe përmirësimin e aftësive administrative për të plotësuar standardet teknike të </w:t>
      </w:r>
      <w:r w:rsidR="005F23C8" w:rsidRPr="30EE1AA0">
        <w:rPr>
          <w:lang w:val="sq-AL" w:eastAsia="en-US"/>
        </w:rPr>
        <w:t>ndërlidhjes</w:t>
      </w:r>
      <w:r w:rsidR="00865139" w:rsidRPr="30EE1AA0">
        <w:rPr>
          <w:lang w:val="sq-AL" w:eastAsia="en-US"/>
        </w:rPr>
        <w:t xml:space="preserve"> me sistemin BRIS.</w:t>
      </w:r>
    </w:p>
    <w:p w14:paraId="743F5965" w14:textId="6953B9BA" w:rsidR="009954C5" w:rsidRPr="008F0C7E" w:rsidRDefault="00B06FF2" w:rsidP="00B06FF2">
      <w:pPr>
        <w:spacing w:before="100" w:beforeAutospacing="1" w:after="100" w:afterAutospacing="1"/>
        <w:jc w:val="both"/>
        <w:rPr>
          <w:szCs w:val="24"/>
          <w:lang w:val="sq-AL" w:eastAsia="en-US"/>
        </w:rPr>
      </w:pPr>
      <w:r w:rsidRPr="00B06FF2">
        <w:rPr>
          <w:szCs w:val="24"/>
          <w:lang w:val="sq-AL" w:eastAsia="en-US"/>
        </w:rPr>
        <w:t>Këto masa, ndonëse të dobishme për të adresuar sfidat e mbetura dhe për të përmirësuar efikasitetin, mbeten dytësore dhe nuk mund të kompensojnë mungesën e një kuadri ligjor të plotë dhe të zbatueshëm, i cili mbetet thelbësor për zgjidhjen përfundimtare të problemit.</w:t>
      </w:r>
    </w:p>
    <w:p w14:paraId="3BAB313A" w14:textId="77777777" w:rsidR="00563378" w:rsidRPr="00563378" w:rsidRDefault="002125B7" w:rsidP="00563378">
      <w:pPr>
        <w:pStyle w:val="Heading1"/>
        <w:spacing w:line="276" w:lineRule="auto"/>
        <w:rPr>
          <w:rFonts w:ascii="Times New Roman" w:hAnsi="Times New Roman" w:cs="Times New Roman"/>
          <w:sz w:val="24"/>
          <w:szCs w:val="24"/>
          <w:lang w:val="sq-AL"/>
        </w:rPr>
      </w:pPr>
      <w:bookmarkStart w:id="16" w:name="_Hlk191987022"/>
      <w:r w:rsidRPr="00325A1F">
        <w:rPr>
          <w:rFonts w:ascii="Times New Roman" w:hAnsi="Times New Roman" w:cs="Times New Roman"/>
          <w:sz w:val="24"/>
          <w:szCs w:val="24"/>
          <w:lang w:val="sq-AL"/>
        </w:rPr>
        <w:t xml:space="preserve">Arsyeja e ndërhyrjes </w:t>
      </w:r>
      <w:bookmarkEnd w:id="15"/>
    </w:p>
    <w:sdt>
      <w:sdtPr>
        <w:id w:val="-1161541828"/>
        <w:lock w:val="contentLocked"/>
        <w:placeholder>
          <w:docPart w:val="DefaultPlaceholder_1081868574"/>
        </w:placeholder>
      </w:sdtPr>
      <w:sdtEndPr>
        <w:rPr>
          <w:sz w:val="24"/>
          <w:szCs w:val="24"/>
        </w:rPr>
      </w:sdtEndPr>
      <w:sdtContent>
        <w:p w14:paraId="318C5EBB" w14:textId="77777777" w:rsidR="00372979" w:rsidRPr="00372979" w:rsidRDefault="00372979" w:rsidP="006D0629">
          <w:pPr>
            <w:pStyle w:val="ListParagraph"/>
            <w:numPr>
              <w:ilvl w:val="0"/>
              <w:numId w:val="10"/>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14:paraId="711AEB8C" w14:textId="77777777" w:rsidR="00372979" w:rsidRPr="00372979" w:rsidRDefault="00372979" w:rsidP="006D0629">
          <w:pPr>
            <w:pStyle w:val="ListParagraph"/>
            <w:numPr>
              <w:ilvl w:val="0"/>
              <w:numId w:val="10"/>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14:paraId="30CB3BDE" w14:textId="77777777" w:rsidR="00372979" w:rsidRPr="00372979" w:rsidRDefault="00372979" w:rsidP="006D0629">
          <w:pPr>
            <w:pStyle w:val="ListParagraph"/>
            <w:numPr>
              <w:ilvl w:val="0"/>
              <w:numId w:val="10"/>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14:paraId="18E2CAEA" w14:textId="5B88B803" w:rsidR="004403B3" w:rsidRPr="003424A8" w:rsidRDefault="00372979" w:rsidP="006D0629">
          <w:pPr>
            <w:pStyle w:val="ListParagraph"/>
            <w:numPr>
              <w:ilvl w:val="0"/>
              <w:numId w:val="10"/>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sdtContent>
    </w:sdt>
    <w:bookmarkStart w:id="17" w:name="_Toc506919735" w:displacedByCustomXml="prev"/>
    <w:bookmarkEnd w:id="16"/>
    <w:p w14:paraId="216BBA02" w14:textId="77777777" w:rsidR="00BF58A2" w:rsidRDefault="00BF58A2" w:rsidP="00243798">
      <w:pPr>
        <w:spacing w:after="160" w:line="259" w:lineRule="auto"/>
        <w:rPr>
          <w:rFonts w:eastAsiaTheme="majorEastAsia"/>
          <w:b/>
          <w:bCs/>
          <w:lang w:val="sq-AL"/>
        </w:rPr>
      </w:pPr>
    </w:p>
    <w:p w14:paraId="30136180" w14:textId="010E6CAC" w:rsidR="00243798" w:rsidRPr="00885315" w:rsidRDefault="00243798" w:rsidP="00243798">
      <w:pPr>
        <w:spacing w:after="160" w:line="259" w:lineRule="auto"/>
        <w:rPr>
          <w:lang w:val="sq-AL"/>
        </w:rPr>
      </w:pPr>
      <w:r w:rsidRPr="00885315">
        <w:rPr>
          <w:rFonts w:eastAsiaTheme="majorEastAsia"/>
          <w:b/>
          <w:bCs/>
          <w:lang w:val="sq-AL"/>
        </w:rPr>
        <w:t>Arsyeja për Ndërhyrje</w:t>
      </w:r>
    </w:p>
    <w:p w14:paraId="2B037D8E" w14:textId="32684F54" w:rsidR="00CF4B8F" w:rsidRDefault="00CF4B8F" w:rsidP="00CF4B8F">
      <w:pPr>
        <w:spacing w:after="60" w:line="216" w:lineRule="auto"/>
        <w:jc w:val="both"/>
        <w:rPr>
          <w:szCs w:val="24"/>
          <w:lang w:val="sq-AL"/>
        </w:rPr>
      </w:pPr>
      <w:r w:rsidRPr="00CF4B8F">
        <w:rPr>
          <w:szCs w:val="24"/>
          <w:lang w:val="sq-AL"/>
        </w:rPr>
        <w:t xml:space="preserve">Nisur nga problematikat e evidentuara më sipër, lind domosdoshmëria e ndërhyrjes së qeverisë për të ndryshuar dhe plotësuar kuadrin ligjor, duke trajtuar boshllëqet që kërkojnë një rregullim më të plotë për të arritur harmonizimin e plotë me acquis-in e BE-së. Qeveria e Shqipërisë e konsideron këtë ndërhyrje të nevojshme jo vetëm për të përmbushur detyrimet ligjore dhe politike, por edhe si parakusht për mbylljen e negociatave teknike me Bashkimin Evropian për Kapitullin 6 brenda vitit 2027, siç parashikohet në Pozicionin Negociues për këtë kapitull të miratuar në </w:t>
      </w:r>
      <w:r>
        <w:rPr>
          <w:szCs w:val="24"/>
          <w:lang w:val="sq-AL"/>
        </w:rPr>
        <w:t>J</w:t>
      </w:r>
      <w:r w:rsidRPr="00CF4B8F">
        <w:rPr>
          <w:szCs w:val="24"/>
          <w:lang w:val="sq-AL"/>
        </w:rPr>
        <w:t>anar 2025, dhe për anëtarësimin e vendit në BE brenda vitit 2030, datë kjo e përcaktuar si objektiv në Strategjinë Kombëtare për Zhvillim dhe Integrim Evropian (SKZHIE) 2030.</w:t>
      </w:r>
    </w:p>
    <w:p w14:paraId="0A6A41EE" w14:textId="1631FBCB" w:rsidR="00E52698" w:rsidRDefault="00E52698" w:rsidP="00CF4B8F">
      <w:pPr>
        <w:spacing w:after="60" w:line="216" w:lineRule="auto"/>
        <w:jc w:val="both"/>
        <w:rPr>
          <w:szCs w:val="24"/>
          <w:lang w:val="sq-AL"/>
        </w:rPr>
      </w:pPr>
    </w:p>
    <w:p w14:paraId="7E2E3B9B" w14:textId="6A5F37DA" w:rsidR="00D22151" w:rsidRDefault="00D22151" w:rsidP="00D756B5">
      <w:pPr>
        <w:jc w:val="both"/>
        <w:rPr>
          <w:lang w:val="sq-AL"/>
        </w:rPr>
      </w:pPr>
      <w:r w:rsidRPr="00210844">
        <w:rPr>
          <w:lang w:val="sq-AL"/>
        </w:rPr>
        <w:t xml:space="preserve">Sipas Raportit të Progresit 2024 të Komisionit Evropian, të publikuar më 30 tetor 2024, Shqipëria vlerësohet për përparimin në harmonizimin e </w:t>
      </w:r>
      <w:r>
        <w:rPr>
          <w:lang w:val="sq-AL"/>
        </w:rPr>
        <w:t>ligjit 9901/2008</w:t>
      </w:r>
      <w:r w:rsidRPr="00210844">
        <w:rPr>
          <w:lang w:val="sq-AL"/>
        </w:rPr>
        <w:t xml:space="preserve"> me acquis-in e BE-së nën Kapitullin 6. </w:t>
      </w:r>
      <w:r w:rsidR="00032EFF" w:rsidRPr="00176513">
        <w:rPr>
          <w:lang w:val="sq-AL"/>
        </w:rPr>
        <w:t>Për shembull, një ndër arritjet është Qendra Kombëtare e Biznesit është përgjegjëse për regjistrimin e shoqërive, duke mundësuar regjistrim të lirë online dhe akses në të dhëna nëpërmjet internetit. Në shkurt 2024, Qendra Kombëtare e Biznesit mori certifikimin ISO 9001:2015 për shërbimet në regjistrin e biznesit, regjistrin e licencave, autorizimeve dhe lejeve, si dhe regjistrin e pronarëve përfitues.</w:t>
      </w:r>
      <w:r w:rsidR="00032EFF">
        <w:rPr>
          <w:lang w:val="sq-AL"/>
        </w:rPr>
        <w:t xml:space="preserve"> </w:t>
      </w:r>
      <w:r w:rsidRPr="00210844">
        <w:rPr>
          <w:lang w:val="sq-AL"/>
        </w:rPr>
        <w:t xml:space="preserve">Komisioni rekomandon intensifikimin e përpjekjeve për përafrim të plotë me Direktivën (BE) 2017/1132, të ndryshuar, duke theksuar nevojën për të adresuar boshllëqet në operacionet ndërkufitare, përdorimin e mjeteve digjitale dhe forcimin e kapaciteteve institucionale për zbatim efektiv, si pjesë e negociatave për </w:t>
      </w:r>
      <w:r>
        <w:rPr>
          <w:lang w:val="sq-AL"/>
        </w:rPr>
        <w:t>anëtarësimin</w:t>
      </w:r>
      <w:r>
        <w:rPr>
          <w:rStyle w:val="FootnoteReference"/>
          <w:lang w:val="sq-AL"/>
        </w:rPr>
        <w:footnoteReference w:id="4"/>
      </w:r>
      <w:r w:rsidRPr="00210844">
        <w:rPr>
          <w:lang w:val="sq-AL"/>
        </w:rPr>
        <w:t>.</w:t>
      </w:r>
    </w:p>
    <w:p w14:paraId="4EB1AD68" w14:textId="77777777" w:rsidR="00D22151" w:rsidRPr="00D37F55" w:rsidRDefault="00D22151" w:rsidP="00D22151">
      <w:pPr>
        <w:rPr>
          <w:lang w:val="sq-AL"/>
        </w:rPr>
      </w:pPr>
    </w:p>
    <w:p w14:paraId="1156519D" w14:textId="77777777" w:rsidR="00D22151" w:rsidRPr="008D102D" w:rsidRDefault="00D22151" w:rsidP="00D22151">
      <w:pPr>
        <w:jc w:val="both"/>
        <w:rPr>
          <w:lang w:val="sq-AL"/>
        </w:rPr>
      </w:pPr>
      <w:r w:rsidRPr="008D102D">
        <w:rPr>
          <w:iCs/>
          <w:szCs w:val="24"/>
          <w:lang w:val="sq-AL"/>
        </w:rPr>
        <w:t xml:space="preserve">Bazuar në nenin 70 të MSA-së, Shqipëria angazhohet të bëjë përafrim gradual të kuadrit të saj rregullator me acquis të BE-së, angazhim ky i ndërmarrë dhe në kuadër të negociatave të anëtarësimit në BE. Harmonizimi i legjislacionit të shoqërive tregtare me acquis respektiv të BE-së është objekt negocimi në Kapitullin 6 të negociatave “Legjislacioni i shoqërive tregtare”. Në takimin bilateral </w:t>
      </w:r>
      <w:r w:rsidRPr="008D102D">
        <w:rPr>
          <w:i/>
          <w:szCs w:val="24"/>
          <w:lang w:val="sq-AL"/>
        </w:rPr>
        <w:t>screening</w:t>
      </w:r>
      <w:r w:rsidRPr="008D102D">
        <w:rPr>
          <w:iCs/>
          <w:szCs w:val="24"/>
          <w:lang w:val="sq-AL"/>
        </w:rPr>
        <w:t xml:space="preserve">, më 3 shkurt 2023, Shqipëria shprehu angazhimin për përafrim të plotë të kuadrit të saj rregullator me acquis, ndër të tjera me Direktivën </w:t>
      </w:r>
      <w:r w:rsidRPr="008D102D">
        <w:rPr>
          <w:lang w:val="sq-AL"/>
        </w:rPr>
        <w:t xml:space="preserve">Direktivën (BE) 2017/1132, të ndryshuar nga Direktiva (BE) 2019/1151 Direktiva (BE) 2019/2121, brenda vitit 2025. </w:t>
      </w:r>
    </w:p>
    <w:p w14:paraId="3785BDEA" w14:textId="77777777" w:rsidR="00D22151" w:rsidRPr="008D102D" w:rsidRDefault="00D22151" w:rsidP="00D22151">
      <w:pPr>
        <w:jc w:val="both"/>
        <w:rPr>
          <w:lang w:val="sq-AL"/>
        </w:rPr>
      </w:pPr>
    </w:p>
    <w:p w14:paraId="20D39798" w14:textId="77777777" w:rsidR="00D22151" w:rsidRPr="008D102D" w:rsidRDefault="00D22151" w:rsidP="00D22151">
      <w:pPr>
        <w:jc w:val="both"/>
        <w:rPr>
          <w:lang w:val="sq-AL"/>
        </w:rPr>
      </w:pPr>
      <w:r w:rsidRPr="008D102D">
        <w:rPr>
          <w:lang w:val="sq-AL"/>
        </w:rPr>
        <w:t>Në këtë linjë vjen dhe angazhimi i qeverisë për përafrim të plotë rregullator me acquis të BE-së i cili rishprehet në Pozicionin Negociues për Kapitullin 6 të negociatave, si pjesë e Grup kapitujve 2 – Tregu i Brendshëm, ku vendi zotohet të mbyllë negociatat teknike brenda vitit 2027.</w:t>
      </w:r>
    </w:p>
    <w:p w14:paraId="706B7709" w14:textId="77777777" w:rsidR="00D22151" w:rsidRPr="008D102D" w:rsidRDefault="00D22151" w:rsidP="00D22151">
      <w:pPr>
        <w:jc w:val="both"/>
        <w:rPr>
          <w:lang w:val="sq-AL"/>
        </w:rPr>
      </w:pPr>
    </w:p>
    <w:p w14:paraId="65C285C9" w14:textId="4E7C95BE" w:rsidR="00D22151" w:rsidRPr="005E49A3" w:rsidRDefault="00D22151" w:rsidP="00D22151">
      <w:pPr>
        <w:jc w:val="both"/>
        <w:rPr>
          <w:lang w:val="sq-AL"/>
        </w:rPr>
      </w:pPr>
      <w:r w:rsidRPr="008D102D">
        <w:rPr>
          <w:lang w:val="sq-AL"/>
        </w:rPr>
        <w:t xml:space="preserve">Për zbatimin e këtyre angazhimeve ligjore e politike, në Planin Kombëtar për Integrimin Evropian (PKIE) 2025-2027, </w:t>
      </w:r>
      <w:r w:rsidR="003A44E3">
        <w:rPr>
          <w:lang w:val="sq-AL"/>
        </w:rPr>
        <w:t>ME</w:t>
      </w:r>
      <w:r w:rsidRPr="008D102D">
        <w:rPr>
          <w:lang w:val="sq-AL"/>
        </w:rPr>
        <w:t xml:space="preserve"> parashikon masa për përafrimin rregullator të Direktivës së Kodifikuar, të ndryshuar, brenda vitit 2025, kjo me mbështetje të asistencës teknike ofruar nga Qeveria Gjermane, përmes GIZ.</w:t>
      </w:r>
    </w:p>
    <w:p w14:paraId="7293510D" w14:textId="77777777" w:rsidR="00D22151" w:rsidRPr="00D37F55" w:rsidRDefault="00D22151" w:rsidP="00D22151">
      <w:pPr>
        <w:rPr>
          <w:lang w:val="sq-AL"/>
        </w:rPr>
      </w:pPr>
    </w:p>
    <w:p w14:paraId="6C8DBC4B" w14:textId="15B35972" w:rsidR="00D22151" w:rsidRPr="00AA2224" w:rsidRDefault="00D22151" w:rsidP="00C631BF">
      <w:pPr>
        <w:spacing w:line="276" w:lineRule="auto"/>
        <w:jc w:val="both"/>
        <w:rPr>
          <w:iCs/>
          <w:szCs w:val="24"/>
          <w:lang w:val="sq-AL"/>
        </w:rPr>
      </w:pPr>
      <w:r w:rsidRPr="00EC0E11">
        <w:rPr>
          <w:iCs/>
          <w:szCs w:val="24"/>
          <w:lang w:val="sq-AL"/>
        </w:rPr>
        <w:lastRenderedPageBreak/>
        <w:t xml:space="preserve">Sipas raportit të fundit të Komisionit Evropian për vitin 2024, </w:t>
      </w:r>
      <w:r w:rsidRPr="00EC0E11">
        <w:rPr>
          <w:lang w:val="sq-AL"/>
        </w:rPr>
        <w:t xml:space="preserve"> </w:t>
      </w:r>
      <w:r w:rsidRPr="00EC0E11">
        <w:rPr>
          <w:iCs/>
          <w:szCs w:val="24"/>
          <w:lang w:val="sq-AL"/>
        </w:rPr>
        <w:t xml:space="preserve">Shqipëria është përgatitur në mënyrë të moderuar në fushën e </w:t>
      </w:r>
      <w:r>
        <w:rPr>
          <w:iCs/>
          <w:szCs w:val="24"/>
          <w:lang w:val="sq-AL"/>
        </w:rPr>
        <w:t>ligjit 9901/2008</w:t>
      </w:r>
      <w:r w:rsidRPr="00EC0E11">
        <w:rPr>
          <w:iCs/>
          <w:szCs w:val="24"/>
          <w:lang w:val="sq-AL"/>
        </w:rPr>
        <w:t xml:space="preserve"> tregtare. Shqipëria duhet, veçanërisht</w:t>
      </w:r>
      <w:r>
        <w:rPr>
          <w:iCs/>
          <w:szCs w:val="24"/>
          <w:lang w:val="sq-AL"/>
        </w:rPr>
        <w:t>:  t</w:t>
      </w:r>
      <w:r w:rsidRPr="00EC0E11">
        <w:rPr>
          <w:iCs/>
          <w:szCs w:val="24"/>
          <w:lang w:val="sq-AL"/>
        </w:rPr>
        <w:t xml:space="preserve">ë finalizojë rishikimin në fushën e </w:t>
      </w:r>
      <w:r>
        <w:rPr>
          <w:iCs/>
          <w:szCs w:val="24"/>
          <w:lang w:val="sq-AL"/>
        </w:rPr>
        <w:t>ligjit 9901/2008</w:t>
      </w:r>
      <w:r w:rsidRPr="00EC0E11">
        <w:rPr>
          <w:iCs/>
          <w:szCs w:val="24"/>
          <w:lang w:val="sq-AL"/>
        </w:rPr>
        <w:t xml:space="preserve"> tregtare për të identifikuar ndryshimet që nevojiten për të përfunduar përputhshmërinë me acquis-in e BE-së dhe të bëjë përparim në </w:t>
      </w:r>
      <w:r>
        <w:rPr>
          <w:iCs/>
          <w:szCs w:val="24"/>
          <w:lang w:val="sq-AL"/>
        </w:rPr>
        <w:t xml:space="preserve">adoptimin </w:t>
      </w:r>
      <w:r w:rsidRPr="00EC0E11">
        <w:rPr>
          <w:iCs/>
          <w:szCs w:val="24"/>
          <w:lang w:val="sq-AL"/>
        </w:rPr>
        <w:t>e këtyre ndryshimeve, përfshirë</w:t>
      </w:r>
      <w:r>
        <w:rPr>
          <w:iCs/>
          <w:szCs w:val="24"/>
          <w:lang w:val="sq-AL"/>
        </w:rPr>
        <w:t xml:space="preserve"> të ndryshimeve lidhur me</w:t>
      </w:r>
      <w:r w:rsidRPr="00EC0E11">
        <w:rPr>
          <w:iCs/>
          <w:szCs w:val="24"/>
          <w:lang w:val="sq-AL"/>
        </w:rPr>
        <w:t xml:space="preserve"> përdorimin e mjeteve digjitale, bashkime</w:t>
      </w:r>
      <w:r>
        <w:rPr>
          <w:iCs/>
          <w:szCs w:val="24"/>
          <w:lang w:val="sq-AL"/>
        </w:rPr>
        <w:t>ve</w:t>
      </w:r>
      <w:r w:rsidRPr="00EC0E11">
        <w:rPr>
          <w:iCs/>
          <w:szCs w:val="24"/>
          <w:lang w:val="sq-AL"/>
        </w:rPr>
        <w:t xml:space="preserve"> dhe ndarje</w:t>
      </w:r>
      <w:r>
        <w:rPr>
          <w:iCs/>
          <w:szCs w:val="24"/>
          <w:lang w:val="sq-AL"/>
        </w:rPr>
        <w:t>ve të shoqërive, përjashtimit të administratorëve [...].</w:t>
      </w:r>
      <w:r w:rsidRPr="00EC0E11">
        <w:rPr>
          <w:iCs/>
          <w:szCs w:val="24"/>
          <w:lang w:val="sq-AL"/>
        </w:rPr>
        <w:t xml:space="preserve"> </w:t>
      </w:r>
      <w:r w:rsidR="00AA2224" w:rsidRPr="00C631BF">
        <w:rPr>
          <w:iCs/>
          <w:szCs w:val="24"/>
          <w:lang w:val="sq-AL"/>
        </w:rPr>
        <w:t xml:space="preserve"> </w:t>
      </w:r>
      <w:r w:rsidRPr="00194002">
        <w:rPr>
          <w:szCs w:val="24"/>
          <w:lang w:val="sq-AL"/>
        </w:rPr>
        <w:t xml:space="preserve">Ligji duhet të harmonizohet me standardet e BE-së për të siguruar lëvizjen e lirë të kapitalit, mallrave, shërbimeve dhe personave, si dhe për të krijuar një kuadër ligjor transparent për shoqëritë që operojnë në BE. Kjo do të lehtësojë operacionet ndërkufitare dhe krijimin e shoqërive nën rregulla të qarta dhe të hapura. Përshtatja me ligjin të BE-së do të ndihmojë Shqipërinë të krijojë një mjedis ligjor të njëjtë me shtetet anëtare të BE-së, duke siguruar që shoqëritë të mund të operojnë më lirshëm dhe efikasht përtej kufijve. Shqipëria duhet të harmonizojë ligjet e saj për të promovuar lëvizjen e lirë të kapitalit dhe mallrave, duke krijuar një mjedis ligjor më të parashikueshëm dhe transparent për bizneset. Ndërhyrjet ligjore që do të pasojnë RIAn do  të thjeshtojë proceset e formimit të shoqërive, regjistrimit dhe mirëmbajtjes duke harmonizuar kuadrin rregullator të Shqipërisë me standardet e BE-së. Qëllimi është të reduktohen pengesat administrative për bizneset, duke bërë më të lehtë krijimin dhe operimin e shoqërive, dhe duke inkurajuar sipërmarrjen. </w:t>
      </w:r>
    </w:p>
    <w:p w14:paraId="147D7EE3" w14:textId="77777777" w:rsidR="00D22151" w:rsidRPr="00D37F55" w:rsidRDefault="00D22151" w:rsidP="00D22151">
      <w:pPr>
        <w:rPr>
          <w:lang w:val="sq-AL"/>
        </w:rPr>
      </w:pPr>
    </w:p>
    <w:p w14:paraId="29E9CC54" w14:textId="77777777" w:rsidR="00D22151" w:rsidRPr="003A4286" w:rsidRDefault="00D22151" w:rsidP="00D22151">
      <w:pPr>
        <w:spacing w:after="160" w:line="259" w:lineRule="auto"/>
        <w:jc w:val="both"/>
        <w:rPr>
          <w:lang w:val="sq-AL"/>
        </w:rPr>
      </w:pPr>
      <w:r w:rsidRPr="00194002">
        <w:rPr>
          <w:szCs w:val="24"/>
          <w:lang w:val="sq-AL"/>
        </w:rPr>
        <w:t>Ndërhyrjet duhet të sigurojnë që të reduktojnë pengesat për konkurrencën dhe të nxisin një fushë loje më të barabartë për shoqëritë që operojnë në Shqipëri dhe në BE. Kjo përfshin forcimin e mbrojtjes së aksionarëve dhe palëve të tjera të interesuara, duke parandaluar abuzimet dhe duke siguruar praktika të ndershme dhe transparente të biznesit</w:t>
      </w:r>
      <w:r w:rsidRPr="00C367DE">
        <w:rPr>
          <w:color w:val="FF0000"/>
          <w:szCs w:val="24"/>
          <w:lang w:val="sq-AL"/>
        </w:rPr>
        <w:t>.</w:t>
      </w:r>
      <w:r>
        <w:rPr>
          <w:color w:val="FF0000"/>
          <w:szCs w:val="24"/>
          <w:lang w:val="sq-AL"/>
        </w:rPr>
        <w:t xml:space="preserve"> </w:t>
      </w:r>
      <w:r>
        <w:rPr>
          <w:lang w:val="sq-AL"/>
        </w:rPr>
        <w:t>Këto objektiva të politikës</w:t>
      </w:r>
      <w:r w:rsidRPr="003A4286">
        <w:rPr>
          <w:lang w:val="sq-AL"/>
        </w:rPr>
        <w:t xml:space="preserve"> janë të përputhshme me ato të paraqitura në përmbledhjen ekzekutive të RIA-s, por janë më të detajuara dhe specifike. Kjo do të ndihmojë në përcaktimin e hapave të nevojshëm për përmbylljen e reformave ligjore dhe institucionalizimin e përputhshmërisë me direktivat e BE-së.</w:t>
      </w:r>
    </w:p>
    <w:p w14:paraId="2E41C1A1" w14:textId="77777777" w:rsidR="00D22151" w:rsidRPr="00CF4B8F" w:rsidRDefault="00D22151" w:rsidP="00CF4B8F">
      <w:pPr>
        <w:spacing w:after="60" w:line="216" w:lineRule="auto"/>
        <w:jc w:val="both"/>
        <w:rPr>
          <w:szCs w:val="24"/>
          <w:lang w:val="sq-AL"/>
        </w:rPr>
      </w:pPr>
    </w:p>
    <w:p w14:paraId="176D3E67" w14:textId="4FDC2BC5" w:rsidR="00F8719B" w:rsidRDefault="00CF4B8F" w:rsidP="00C631BF">
      <w:pPr>
        <w:spacing w:after="160" w:line="259" w:lineRule="auto"/>
        <w:jc w:val="both"/>
        <w:rPr>
          <w:szCs w:val="24"/>
          <w:lang w:val="sq-AL"/>
        </w:rPr>
      </w:pPr>
      <w:r w:rsidRPr="00CF4B8F">
        <w:rPr>
          <w:szCs w:val="24"/>
          <w:lang w:val="sq-AL"/>
        </w:rPr>
        <w:t>Ky harmonizim rregullator është thelbësor për të siguruar përputhshmëri të plotë me kërkesat e Direktivës (BE) 2017/1132 dhe për të përmirësuar mjedisin e biznesit në Shqipëri. Përparimi në këtë drejtim do të rrisë besimin e investitorëve vendas dhe të huaj, do të forcojë transparencën në operacionet e shoqërive tregtare dhe do ta bëjë Shqipërinë një destinacion më tërheqës për investime të huaja të drejtpërdrejta, duke kontribuar në zhvillimin ekonomik dhe konkurrueshmërinë e tregut. Pavarësisht përpjekjeve të deritanishme për përafrim me standardet e BE-së, boshllëqet e mbetura</w:t>
      </w:r>
      <w:r>
        <w:rPr>
          <w:szCs w:val="24"/>
          <w:lang w:val="sq-AL"/>
        </w:rPr>
        <w:t xml:space="preserve">, </w:t>
      </w:r>
      <w:r w:rsidRPr="00CF4B8F">
        <w:rPr>
          <w:szCs w:val="24"/>
          <w:lang w:val="sq-AL"/>
        </w:rPr>
        <w:t>të identifikuara në kuadrin ligjor aktual</w:t>
      </w:r>
      <w:r>
        <w:rPr>
          <w:szCs w:val="24"/>
          <w:lang w:val="sq-AL"/>
        </w:rPr>
        <w:t xml:space="preserve">, </w:t>
      </w:r>
      <w:r w:rsidRPr="00CF4B8F">
        <w:rPr>
          <w:szCs w:val="24"/>
          <w:lang w:val="sq-AL"/>
        </w:rPr>
        <w:t>e bëjnë të domosdoshme ndërhyrjen e qeverisë për të adresuar këto sfida dhe për të vendosur një sistem ligjor të qëndrueshëm, të drejtë dhe plotësisht të integruar me tregun e brendshëm evropian, në përputhje me angazhimet e marra në procesin e integrimit.</w:t>
      </w:r>
      <w:r>
        <w:rPr>
          <w:szCs w:val="24"/>
          <w:lang w:val="sq-AL"/>
        </w:rPr>
        <w:t xml:space="preserve"> </w:t>
      </w:r>
      <w:r w:rsidR="00885315" w:rsidRPr="00885315">
        <w:rPr>
          <w:szCs w:val="24"/>
          <w:lang w:val="sq-AL"/>
        </w:rPr>
        <w:t xml:space="preserve">Ky harmonizim është thelbësor për rritjen e besimit të investitorëve, për të përmirësuar transparencën dhe për të mundësuar që Shqipëria të jetë një destinacion tërheqës për investime të huaja </w:t>
      </w:r>
      <w:r w:rsidR="006221F5">
        <w:rPr>
          <w:szCs w:val="24"/>
          <w:lang w:val="sq-AL"/>
        </w:rPr>
        <w:t>të drejtpërdrejta</w:t>
      </w:r>
      <w:r w:rsidR="00885315">
        <w:rPr>
          <w:szCs w:val="24"/>
          <w:lang w:val="sq-AL"/>
        </w:rPr>
        <w:t xml:space="preserve">. </w:t>
      </w:r>
      <w:r w:rsidR="00885315" w:rsidRPr="00885315">
        <w:rPr>
          <w:szCs w:val="24"/>
          <w:lang w:val="sq-AL"/>
        </w:rPr>
        <w:t>Pavarësisht përpjekjeve të bëra deri tani, ende ka boshllëqe të cilat e bëjnë të nevojshme ndërhyrjen e qeverisë për të adresuar këto sfida dhe për të siguruar një sistem të qëndrueshëm, konkurrues dhe të drejtë për bizneset dhe qytetarët.</w:t>
      </w:r>
    </w:p>
    <w:p w14:paraId="2A8D3FFA" w14:textId="77777777" w:rsidR="00DB05C7" w:rsidRPr="00DB05C7" w:rsidRDefault="00DB05C7" w:rsidP="00DB05C7">
      <w:pPr>
        <w:spacing w:after="160" w:line="259" w:lineRule="auto"/>
        <w:jc w:val="both"/>
        <w:rPr>
          <w:szCs w:val="24"/>
          <w:lang w:val="sq-AL"/>
        </w:rPr>
      </w:pPr>
      <w:r w:rsidRPr="00DB05C7">
        <w:rPr>
          <w:szCs w:val="24"/>
          <w:lang w:val="sq-AL"/>
        </w:rPr>
        <w:t xml:space="preserve">Edhe pse nuk është objekt shqyrtimi apo analize në kuadër të kësaj RIA apo ndryshimeve ligjore që do të vijojnë përmes kësaj RIA, një aspekt që duhet konsideruar, është nevoja që ME, në kuadër të negociatave të kapitullit 19, të bëjë një përshtatje më e thellë për mbrojtjen e palëve të përfshira (p.sh. punonjësve), sipas Direktivës 2001/23/KE, e cila është përshtatur vetëm pjesërisht përmes disa dispozitave në Kodin e Punës, kur kjo Direktivë të negociohet dhe transpozohet në ligjin shqiptar. Aktualisht, Kodi i Punës përmban një nen të shkurtër lidhur me transferimin e ndërmarrjes. Direktiva parashikon mbrojtjen e punëmarrësve në disa aspekte, duke ndaluar qartësisht përfundimin e kontratës së punës për shkak të transferimit, duke parashikuar mbartjen e përfitimeve nga kontrata e punës me transferuesin, duke parashikuar përfshirjen e sindikatave në procesin e transferimit dhe duke parashikuar të drejta shtesë në rastin e falimentimit të një shoqërie. </w:t>
      </w:r>
    </w:p>
    <w:p w14:paraId="07DC1252" w14:textId="77777777" w:rsidR="00DB05C7" w:rsidRPr="00DB05C7" w:rsidRDefault="00DB05C7" w:rsidP="00DB05C7">
      <w:pPr>
        <w:spacing w:after="160" w:line="259" w:lineRule="auto"/>
        <w:jc w:val="both"/>
        <w:rPr>
          <w:szCs w:val="24"/>
          <w:lang w:val="sq-AL"/>
        </w:rPr>
      </w:pPr>
    </w:p>
    <w:p w14:paraId="20B7859E" w14:textId="77777777" w:rsidR="00DB05C7" w:rsidRPr="00DB05C7" w:rsidRDefault="00DB05C7" w:rsidP="00DB05C7">
      <w:pPr>
        <w:spacing w:after="160" w:line="259" w:lineRule="auto"/>
        <w:jc w:val="both"/>
        <w:rPr>
          <w:szCs w:val="24"/>
          <w:lang w:val="sq-AL"/>
        </w:rPr>
      </w:pPr>
      <w:r w:rsidRPr="00DB05C7">
        <w:rPr>
          <w:szCs w:val="24"/>
          <w:lang w:val="sq-AL"/>
        </w:rPr>
        <w:t>Mungesa e mekanizmave ligjorë detyrues, si kuota gjinore apo politika diversiteti, krijon boshllëqe të mëdha në përfaqësimin e grave në vendimmarrjen ekonomike. Këto boshllëqe thellohen më tej nga barrierat strukturore dhe sociale, si mungesa e aksesit në informacion, përfshirja formale në bizneset familjare dhe mungesa e përvojës në rrjete profesionale. Për të shmangur pasojat afatgjata dhe pabarazitë e qëndrueshme, kjo problematikë duhet adresuar që në fazat e hershme të hartimit të politikës ligjore.</w:t>
      </w:r>
    </w:p>
    <w:p w14:paraId="526E206A" w14:textId="77777777" w:rsidR="00DB05C7" w:rsidRPr="004403B3" w:rsidRDefault="00DB05C7" w:rsidP="00C631BF">
      <w:pPr>
        <w:spacing w:after="160" w:line="259" w:lineRule="auto"/>
        <w:jc w:val="both"/>
        <w:rPr>
          <w:szCs w:val="24"/>
          <w:lang w:val="sq-AL"/>
        </w:rPr>
      </w:pPr>
    </w:p>
    <w:p w14:paraId="3486298C" w14:textId="103ECC23" w:rsidR="0077456A" w:rsidRDefault="0077456A" w:rsidP="0077456A">
      <w:pPr>
        <w:rPr>
          <w:rFonts w:eastAsiaTheme="majorEastAsia"/>
          <w:u w:val="single"/>
          <w:lang w:val="sq-AL"/>
        </w:rPr>
      </w:pPr>
      <w:r w:rsidRPr="0077456A">
        <w:rPr>
          <w:rFonts w:eastAsiaTheme="majorEastAsia"/>
          <w:u w:val="single"/>
          <w:lang w:val="sq-AL"/>
        </w:rPr>
        <w:t>Çfarë shpreson të trajtojë qeveria nëpërmjet kësaj ndërhyrjeje</w:t>
      </w:r>
    </w:p>
    <w:p w14:paraId="066F8F6D" w14:textId="77777777" w:rsidR="0077456A" w:rsidRPr="0077456A" w:rsidRDefault="0077456A" w:rsidP="0077456A">
      <w:pPr>
        <w:rPr>
          <w:rFonts w:eastAsiaTheme="majorEastAsia"/>
          <w:u w:val="single"/>
          <w:lang w:val="sq-AL"/>
        </w:rPr>
      </w:pPr>
    </w:p>
    <w:p w14:paraId="19F4BC19" w14:textId="4292F8B5" w:rsidR="0077456A" w:rsidRPr="00EC7095" w:rsidRDefault="0077456A" w:rsidP="0077456A">
      <w:pPr>
        <w:spacing w:after="160" w:line="259" w:lineRule="auto"/>
        <w:jc w:val="both"/>
        <w:rPr>
          <w:iCs/>
          <w:szCs w:val="24"/>
          <w:lang w:val="sq-AL"/>
        </w:rPr>
      </w:pPr>
      <w:r w:rsidRPr="0077456A">
        <w:rPr>
          <w:rFonts w:eastAsiaTheme="majorEastAsia"/>
          <w:lang w:val="sq-AL"/>
        </w:rPr>
        <w:t xml:space="preserve">Qeveria synon të trajtojë disa çështje kyçe nëpërmjet harmonizimit të ligjit </w:t>
      </w:r>
      <w:r w:rsidR="0009307F">
        <w:rPr>
          <w:rFonts w:eastAsiaTheme="majorEastAsia"/>
          <w:lang w:val="sq-AL"/>
        </w:rPr>
        <w:t>p</w:t>
      </w:r>
      <w:r w:rsidR="005F23C8">
        <w:rPr>
          <w:rFonts w:eastAsiaTheme="majorEastAsia"/>
          <w:lang w:val="sq-AL"/>
        </w:rPr>
        <w:t>ë</w:t>
      </w:r>
      <w:r w:rsidR="0009307F">
        <w:rPr>
          <w:rFonts w:eastAsiaTheme="majorEastAsia"/>
          <w:lang w:val="sq-AL"/>
        </w:rPr>
        <w:t>r tregtar</w:t>
      </w:r>
      <w:r w:rsidR="005F23C8">
        <w:rPr>
          <w:rFonts w:eastAsiaTheme="majorEastAsia"/>
          <w:lang w:val="sq-AL"/>
        </w:rPr>
        <w:t>ë</w:t>
      </w:r>
      <w:r w:rsidR="0009307F">
        <w:rPr>
          <w:rFonts w:eastAsiaTheme="majorEastAsia"/>
          <w:lang w:val="sq-AL"/>
        </w:rPr>
        <w:t xml:space="preserve">t dhe </w:t>
      </w:r>
      <w:r w:rsidRPr="0077456A">
        <w:rPr>
          <w:rFonts w:eastAsiaTheme="majorEastAsia"/>
          <w:lang w:val="sq-AL"/>
        </w:rPr>
        <w:t>shoqëri</w:t>
      </w:r>
      <w:r w:rsidR="0009307F">
        <w:rPr>
          <w:rFonts w:eastAsiaTheme="majorEastAsia"/>
          <w:lang w:val="sq-AL"/>
        </w:rPr>
        <w:t>t</w:t>
      </w:r>
      <w:r w:rsidR="005F23C8">
        <w:rPr>
          <w:rFonts w:eastAsiaTheme="majorEastAsia"/>
          <w:lang w:val="sq-AL"/>
        </w:rPr>
        <w:t>ë</w:t>
      </w:r>
      <w:r w:rsidR="0009307F">
        <w:rPr>
          <w:rFonts w:eastAsiaTheme="majorEastAsia"/>
          <w:lang w:val="sq-AL"/>
        </w:rPr>
        <w:t xml:space="preserve"> tregtare</w:t>
      </w:r>
      <w:r w:rsidRPr="0077456A">
        <w:rPr>
          <w:rFonts w:eastAsiaTheme="majorEastAsia"/>
          <w:lang w:val="sq-AL"/>
        </w:rPr>
        <w:t>. Këto përfshijnë boshllëqet ligjore</w:t>
      </w:r>
      <w:r w:rsidR="00D04FCF">
        <w:rPr>
          <w:rFonts w:eastAsiaTheme="majorEastAsia"/>
          <w:lang w:val="sq-AL"/>
        </w:rPr>
        <w:t xml:space="preserve"> q</w:t>
      </w:r>
      <w:r w:rsidR="00307DD4">
        <w:rPr>
          <w:rFonts w:eastAsiaTheme="majorEastAsia"/>
          <w:lang w:val="sq-AL"/>
        </w:rPr>
        <w:t>ë</w:t>
      </w:r>
      <w:r w:rsidR="00D04FCF">
        <w:rPr>
          <w:rFonts w:eastAsiaTheme="majorEastAsia"/>
          <w:lang w:val="sq-AL"/>
        </w:rPr>
        <w:t xml:space="preserve"> nga k</w:t>
      </w:r>
      <w:r w:rsidR="00307DD4">
        <w:rPr>
          <w:rFonts w:eastAsiaTheme="majorEastAsia"/>
          <w:lang w:val="sq-AL"/>
        </w:rPr>
        <w:t>ë</w:t>
      </w:r>
      <w:r w:rsidR="00D04FCF">
        <w:rPr>
          <w:rFonts w:eastAsiaTheme="majorEastAsia"/>
          <w:lang w:val="sq-AL"/>
        </w:rPr>
        <w:t>rkesat p</w:t>
      </w:r>
      <w:r w:rsidR="00307DD4">
        <w:rPr>
          <w:rFonts w:eastAsiaTheme="majorEastAsia"/>
          <w:lang w:val="sq-AL"/>
        </w:rPr>
        <w:t>ë</w:t>
      </w:r>
      <w:r w:rsidR="00D04FCF">
        <w:rPr>
          <w:rFonts w:eastAsiaTheme="majorEastAsia"/>
          <w:lang w:val="sq-AL"/>
        </w:rPr>
        <w:t>r</w:t>
      </w:r>
      <w:r w:rsidR="00AC4341">
        <w:rPr>
          <w:rFonts w:eastAsiaTheme="majorEastAsia"/>
          <w:lang w:val="sq-AL"/>
        </w:rPr>
        <w:t xml:space="preserve"> themelimin e shoq</w:t>
      </w:r>
      <w:r w:rsidR="00307DD4">
        <w:rPr>
          <w:rFonts w:eastAsiaTheme="majorEastAsia"/>
          <w:lang w:val="sq-AL"/>
        </w:rPr>
        <w:t>ë</w:t>
      </w:r>
      <w:r w:rsidR="00AC4341">
        <w:rPr>
          <w:rFonts w:eastAsiaTheme="majorEastAsia"/>
          <w:lang w:val="sq-AL"/>
        </w:rPr>
        <w:t>rive, pavlefshm</w:t>
      </w:r>
      <w:r w:rsidR="00307DD4">
        <w:rPr>
          <w:rFonts w:eastAsiaTheme="majorEastAsia"/>
          <w:lang w:val="sq-AL"/>
        </w:rPr>
        <w:t>ë</w:t>
      </w:r>
      <w:r w:rsidR="00AC4341">
        <w:rPr>
          <w:rFonts w:eastAsiaTheme="majorEastAsia"/>
          <w:lang w:val="sq-AL"/>
        </w:rPr>
        <w:t>rin</w:t>
      </w:r>
      <w:r w:rsidR="00307DD4">
        <w:rPr>
          <w:rFonts w:eastAsiaTheme="majorEastAsia"/>
          <w:lang w:val="sq-AL"/>
        </w:rPr>
        <w:t>ë</w:t>
      </w:r>
      <w:r w:rsidR="00AC4341">
        <w:rPr>
          <w:rFonts w:eastAsiaTheme="majorEastAsia"/>
          <w:lang w:val="sq-AL"/>
        </w:rPr>
        <w:t xml:space="preserve"> e themelimit dhe detyrimet e tjera t</w:t>
      </w:r>
      <w:r w:rsidR="00307DD4">
        <w:rPr>
          <w:rFonts w:eastAsiaTheme="majorEastAsia"/>
          <w:lang w:val="sq-AL"/>
        </w:rPr>
        <w:t>ë</w:t>
      </w:r>
      <w:r w:rsidR="00AC4341">
        <w:rPr>
          <w:rFonts w:eastAsiaTheme="majorEastAsia"/>
          <w:lang w:val="sq-AL"/>
        </w:rPr>
        <w:t xml:space="preserve"> lidhura me to,</w:t>
      </w:r>
      <w:r w:rsidR="00D04FCF">
        <w:rPr>
          <w:rFonts w:eastAsiaTheme="majorEastAsia"/>
          <w:lang w:val="sq-AL"/>
        </w:rPr>
        <w:t xml:space="preserve"> publikim</w:t>
      </w:r>
      <w:r w:rsidR="00AC4341">
        <w:rPr>
          <w:rFonts w:eastAsiaTheme="majorEastAsia"/>
          <w:lang w:val="sq-AL"/>
        </w:rPr>
        <w:t>in</w:t>
      </w:r>
      <w:r w:rsidR="00D04FCF">
        <w:rPr>
          <w:rFonts w:eastAsiaTheme="majorEastAsia"/>
          <w:lang w:val="sq-AL"/>
        </w:rPr>
        <w:t xml:space="preserve"> informacioni</w:t>
      </w:r>
      <w:r w:rsidR="00903D80">
        <w:rPr>
          <w:rFonts w:eastAsiaTheme="majorEastAsia"/>
          <w:lang w:val="sq-AL"/>
        </w:rPr>
        <w:t xml:space="preserve"> e deri tek</w:t>
      </w:r>
      <w:r w:rsidRPr="0077456A">
        <w:rPr>
          <w:rFonts w:eastAsiaTheme="majorEastAsia"/>
          <w:lang w:val="sq-AL"/>
        </w:rPr>
        <w:t xml:space="preserve"> bashkimet</w:t>
      </w:r>
      <w:r w:rsidR="00903D80">
        <w:rPr>
          <w:rFonts w:eastAsiaTheme="majorEastAsia"/>
          <w:lang w:val="sq-AL"/>
        </w:rPr>
        <w:t>, shnd</w:t>
      </w:r>
      <w:r w:rsidR="00307DD4">
        <w:rPr>
          <w:rFonts w:eastAsiaTheme="majorEastAsia"/>
          <w:lang w:val="sq-AL"/>
        </w:rPr>
        <w:t>ë</w:t>
      </w:r>
      <w:r w:rsidR="00903D80">
        <w:rPr>
          <w:rFonts w:eastAsiaTheme="majorEastAsia"/>
          <w:lang w:val="sq-AL"/>
        </w:rPr>
        <w:t>rrimet</w:t>
      </w:r>
      <w:r w:rsidRPr="0077456A">
        <w:rPr>
          <w:rFonts w:eastAsiaTheme="majorEastAsia"/>
          <w:lang w:val="sq-AL"/>
        </w:rPr>
        <w:t xml:space="preserve"> dhe ndarjet </w:t>
      </w:r>
      <w:r w:rsidR="00903D80">
        <w:rPr>
          <w:rFonts w:eastAsiaTheme="majorEastAsia"/>
          <w:lang w:val="sq-AL"/>
        </w:rPr>
        <w:t>apo</w:t>
      </w:r>
      <w:r w:rsidRPr="0077456A">
        <w:rPr>
          <w:rFonts w:eastAsiaTheme="majorEastAsia"/>
          <w:lang w:val="sq-AL"/>
        </w:rPr>
        <w:t xml:space="preserve"> përmirësimin e qeverisjes </w:t>
      </w:r>
      <w:r w:rsidR="00903D80">
        <w:rPr>
          <w:rFonts w:eastAsiaTheme="majorEastAsia"/>
          <w:lang w:val="sq-AL"/>
        </w:rPr>
        <w:t>korporatave.</w:t>
      </w:r>
      <w:r w:rsidRPr="0077456A">
        <w:rPr>
          <w:rFonts w:eastAsiaTheme="majorEastAsia"/>
          <w:lang w:val="sq-AL"/>
        </w:rPr>
        <w:t xml:space="preserve">. Po ashtu, ndërhyrja synon të mundësojë një sistem të qartë dhe të parashikueshëm ligjor që mbështet zhvillimin ekonomik dhe tërheqjen e investimeve të huaja. </w:t>
      </w:r>
    </w:p>
    <w:p w14:paraId="386DBDEB" w14:textId="77777777" w:rsidR="0077456A" w:rsidRPr="008723CC" w:rsidRDefault="0077456A" w:rsidP="0077456A">
      <w:pPr>
        <w:spacing w:after="160" w:line="259" w:lineRule="auto"/>
        <w:rPr>
          <w:rFonts w:eastAsiaTheme="majorEastAsia"/>
          <w:u w:val="single"/>
          <w:lang w:val="sq-AL"/>
        </w:rPr>
      </w:pPr>
      <w:r w:rsidRPr="008723CC">
        <w:rPr>
          <w:rFonts w:eastAsiaTheme="majorEastAsia"/>
          <w:u w:val="single"/>
          <w:lang w:val="sq-AL"/>
        </w:rPr>
        <w:t>Si i mbështet kjo ndërhyrje objektivat e nivelit të lartë të qeverisë</w:t>
      </w:r>
    </w:p>
    <w:p w14:paraId="12D9D20B" w14:textId="11DC4EEC" w:rsidR="00E63F98" w:rsidRPr="006D0DA9" w:rsidRDefault="0077456A" w:rsidP="00E63F98">
      <w:pPr>
        <w:spacing w:after="160" w:line="259" w:lineRule="auto"/>
        <w:jc w:val="both"/>
        <w:rPr>
          <w:rFonts w:eastAsiaTheme="majorEastAsia"/>
          <w:lang w:val="sq-AL"/>
        </w:rPr>
      </w:pPr>
      <w:r w:rsidRPr="008723CC">
        <w:rPr>
          <w:rFonts w:eastAsiaTheme="majorEastAsia"/>
          <w:lang w:val="sq-AL"/>
        </w:rPr>
        <w:t xml:space="preserve">Kjo ndërhyrje mbështet objektivat e nivelit të lartë të qeverisë për integrimin në Bashkimin Evropian dhe krijimin e një mjedisi të qëndrueshëm dhe konkurrues për zhvillimin ekonomik. Harmonizimi i </w:t>
      </w:r>
      <w:r w:rsidR="00176C01">
        <w:rPr>
          <w:rFonts w:eastAsiaTheme="majorEastAsia"/>
          <w:lang w:val="sq-AL"/>
        </w:rPr>
        <w:t>ligjit 9901/2008</w:t>
      </w:r>
      <w:r w:rsidR="009E5251">
        <w:rPr>
          <w:rFonts w:eastAsiaTheme="majorEastAsia"/>
          <w:lang w:val="sq-AL"/>
        </w:rPr>
        <w:t xml:space="preserve"> </w:t>
      </w:r>
      <w:r w:rsidRPr="008723CC">
        <w:rPr>
          <w:rFonts w:eastAsiaTheme="majorEastAsia"/>
          <w:lang w:val="sq-AL"/>
        </w:rPr>
        <w:t xml:space="preserve">me acquis-in e BE-së është një hap kyç për të siguruar që Shqipëria të përmbushë kriteret e kërkuara për anëtarësim në BE dhe për të rritur pozicionin e saj në tregjet ndërkombëtare. </w:t>
      </w:r>
      <w:r w:rsidR="00E63F98" w:rsidRPr="006D0DA9">
        <w:rPr>
          <w:rFonts w:eastAsiaTheme="majorEastAsia"/>
          <w:lang w:val="sq-AL"/>
        </w:rPr>
        <w:t xml:space="preserve">Harmonizimi </w:t>
      </w:r>
      <w:r w:rsidR="00E63F98">
        <w:rPr>
          <w:rFonts w:eastAsiaTheme="majorEastAsia"/>
          <w:lang w:val="sq-AL"/>
        </w:rPr>
        <w:t>realizohet</w:t>
      </w:r>
      <w:r w:rsidR="00E63F98" w:rsidRPr="006D0DA9">
        <w:rPr>
          <w:rFonts w:eastAsiaTheme="majorEastAsia"/>
          <w:lang w:val="sq-AL"/>
        </w:rPr>
        <w:t xml:space="preserve"> duke u mbështetur në disa dokumente strategjike kyçe:</w:t>
      </w:r>
    </w:p>
    <w:p w14:paraId="5F1362AA" w14:textId="1653662C" w:rsidR="00E63F98" w:rsidRPr="006D0DA9" w:rsidRDefault="00E63F98" w:rsidP="006D0DA9">
      <w:pPr>
        <w:numPr>
          <w:ilvl w:val="0"/>
          <w:numId w:val="43"/>
        </w:numPr>
        <w:spacing w:after="160" w:line="259" w:lineRule="auto"/>
        <w:jc w:val="both"/>
        <w:rPr>
          <w:rFonts w:eastAsiaTheme="majorEastAsia"/>
          <w:lang w:val="sq-AL"/>
        </w:rPr>
      </w:pPr>
      <w:r w:rsidRPr="006D0DA9">
        <w:rPr>
          <w:rFonts w:eastAsiaTheme="majorEastAsia"/>
          <w:b/>
          <w:bCs/>
          <w:lang w:val="sq-AL"/>
        </w:rPr>
        <w:t>Marrëveshja e Stabilizim-Asociimit (MSA)</w:t>
      </w:r>
      <w:r w:rsidRPr="006D0DA9">
        <w:rPr>
          <w:rFonts w:eastAsiaTheme="majorEastAsia"/>
          <w:lang w:val="sq-AL"/>
        </w:rPr>
        <w:t>: Sipas Nenit 70 të MSA-së, Shqipëria është e detyruar të përafrojë gradualisht legjislacionin e saj me atë të BE-së. Kjo ndërhyrje rregullatore plotëson këtë kërkesë duke harmonizuar legjislacionin e shoqërive tregtare me Direktivën (BE) 2017/1132, duke forcuar kështu bazën ligjore për anëtarësimin në BE.</w:t>
      </w:r>
    </w:p>
    <w:p w14:paraId="4085C39E" w14:textId="437A5F94" w:rsidR="00E63F98" w:rsidRPr="006D0DA9" w:rsidRDefault="00E63F98" w:rsidP="006D0DA9">
      <w:pPr>
        <w:numPr>
          <w:ilvl w:val="0"/>
          <w:numId w:val="43"/>
        </w:numPr>
        <w:spacing w:after="160" w:line="259" w:lineRule="auto"/>
        <w:jc w:val="both"/>
        <w:rPr>
          <w:rFonts w:eastAsiaTheme="majorEastAsia"/>
          <w:lang w:val="sq-AL"/>
        </w:rPr>
      </w:pPr>
      <w:r w:rsidRPr="006D0DA9">
        <w:rPr>
          <w:rFonts w:eastAsiaTheme="majorEastAsia"/>
          <w:b/>
          <w:bCs/>
          <w:lang w:val="sq-AL"/>
        </w:rPr>
        <w:t>Plani Kombëtar për Integrimin Evropian (PKIE) 2025-2027</w:t>
      </w:r>
      <w:r w:rsidRPr="006D0DA9">
        <w:rPr>
          <w:rFonts w:eastAsiaTheme="majorEastAsia"/>
          <w:lang w:val="sq-AL"/>
        </w:rPr>
        <w:t xml:space="preserve">: Harmonizimi me </w:t>
      </w:r>
      <w:r w:rsidRPr="006D0DA9">
        <w:rPr>
          <w:rFonts w:eastAsiaTheme="majorEastAsia"/>
          <w:i/>
          <w:iCs/>
          <w:lang w:val="sq-AL"/>
        </w:rPr>
        <w:t>acquis</w:t>
      </w:r>
      <w:r w:rsidRPr="006D0DA9">
        <w:rPr>
          <w:rFonts w:eastAsiaTheme="majorEastAsia"/>
          <w:lang w:val="sq-AL"/>
        </w:rPr>
        <w:t>-in e BE-së është një prioritet i përcaktuar në PKIE, veçanërisht për mbylljen e Kapitullit 6 të negociatave me BE brenda vitit 2027. Kjo ndërhyrje është një hap konkret drejt përmbushjes së këtij objektivi, duke avancuar negociatat teknike dhe përgatitjen për tregun e brendshëm evropian.</w:t>
      </w:r>
    </w:p>
    <w:p w14:paraId="4BEBEA1D" w14:textId="15971C20" w:rsidR="00E63F98" w:rsidRPr="006D0DA9" w:rsidRDefault="00E63F98" w:rsidP="00E63F98">
      <w:pPr>
        <w:numPr>
          <w:ilvl w:val="0"/>
          <w:numId w:val="43"/>
        </w:numPr>
        <w:spacing w:after="160" w:line="259" w:lineRule="auto"/>
        <w:jc w:val="both"/>
        <w:rPr>
          <w:rFonts w:eastAsiaTheme="majorEastAsia"/>
          <w:lang w:val="sq-AL"/>
        </w:rPr>
      </w:pPr>
      <w:r w:rsidRPr="006D0DA9">
        <w:rPr>
          <w:rFonts w:eastAsiaTheme="majorEastAsia"/>
          <w:b/>
          <w:bCs/>
          <w:lang w:val="sq-AL"/>
        </w:rPr>
        <w:t>Strategjia Kombëtare për Zhvillim dhe Integrim (SKZHI) 2030</w:t>
      </w:r>
      <w:r w:rsidRPr="006D0DA9">
        <w:rPr>
          <w:rFonts w:eastAsiaTheme="majorEastAsia"/>
          <w:lang w:val="sq-AL"/>
        </w:rPr>
        <w:t>: Kjo ndërhyrje mbështet vizionin afatgjatë të SKZHI 2030 për anëtarësimin e Shqipërisë në BE deri në vitin 2030. Duke përafruar standardet rregullatore me ato të BE-së, ajo siguron që vendi të jetë i gatshëm për integrimin e plotë në tregun evropian, duke kontribuar në stabilitetin dhe prosperitetin ekonomik.</w:t>
      </w:r>
    </w:p>
    <w:p w14:paraId="23B307E5" w14:textId="4BCC5F7F" w:rsidR="00CD5B12" w:rsidRPr="006D0DA9" w:rsidRDefault="005C4CBC" w:rsidP="006D0DA9">
      <w:pPr>
        <w:numPr>
          <w:ilvl w:val="0"/>
          <w:numId w:val="43"/>
        </w:numPr>
        <w:spacing w:after="160" w:line="259" w:lineRule="auto"/>
        <w:jc w:val="both"/>
        <w:rPr>
          <w:rFonts w:eastAsiaTheme="majorEastAsia"/>
          <w:lang w:val="sq-AL"/>
        </w:rPr>
      </w:pPr>
      <w:r w:rsidRPr="006D0DA9">
        <w:rPr>
          <w:rFonts w:eastAsiaTheme="majorEastAsia"/>
          <w:b/>
          <w:bCs/>
          <w:lang w:val="sq-AL"/>
        </w:rPr>
        <w:t>Strategjia Kombëtare e Zhvillimit të Sipërmarrjes Inovative 2025-2030</w:t>
      </w:r>
      <w:r w:rsidRPr="006D0DA9">
        <w:rPr>
          <w:rFonts w:eastAsiaTheme="majorEastAsia"/>
          <w:lang w:val="sq-AL"/>
        </w:rPr>
        <w:t xml:space="preserve">: Sipas këtij dokumenti, të hartuar në bashkëpunim me Bankën Evropiane për Rindërtim dhe Zhvillim dhe të miratuar nga Këshilli i Ministrave, ndërhyrja rregullatore përkon me qëllimin për të stimuluar rritjen e ekosistemit të startup-eve dhe për të zhvilluar sektorët me prioritet ekonomik si turizmi, energjia, bujqësia dhe ICT/BPO. Kjo strategji synon të rrisë produktivitetin dhe konkurrueshmërinë e këtyre sektorëve duke mbështetur sipërmarrjen inovative, dhe harmonizimi i </w:t>
      </w:r>
      <w:r w:rsidR="00C671CA">
        <w:rPr>
          <w:rFonts w:eastAsiaTheme="majorEastAsia"/>
          <w:lang w:val="sq-AL"/>
        </w:rPr>
        <w:t>ligjit 9901/2008</w:t>
      </w:r>
      <w:r w:rsidRPr="006D0DA9">
        <w:rPr>
          <w:rFonts w:eastAsiaTheme="majorEastAsia"/>
          <w:lang w:val="sq-AL"/>
        </w:rPr>
        <w:t xml:space="preserve"> tregtare me BE-në—përfshirë modernizimin digjital dhe operacionet ndërkufitare—fuqizon bizneset shqiptare për të çelur tregje të reja dhe për të konkurruar në nivel ndërkombëtar, duke përshpejtuar rrugëtimin drejt BE-së 2030.</w:t>
      </w:r>
    </w:p>
    <w:p w14:paraId="5C59BC29" w14:textId="2620C8D9" w:rsidR="005F301A" w:rsidRDefault="00E63F98" w:rsidP="005F301A">
      <w:pPr>
        <w:numPr>
          <w:ilvl w:val="0"/>
          <w:numId w:val="43"/>
        </w:numPr>
        <w:spacing w:after="160" w:line="259" w:lineRule="auto"/>
        <w:jc w:val="both"/>
        <w:rPr>
          <w:rFonts w:eastAsiaTheme="majorEastAsia"/>
          <w:lang w:val="sq-AL"/>
        </w:rPr>
      </w:pPr>
      <w:r w:rsidRPr="006D0DA9">
        <w:rPr>
          <w:rFonts w:eastAsiaTheme="majorEastAsia"/>
          <w:b/>
          <w:bCs/>
          <w:lang w:val="sq-AL"/>
        </w:rPr>
        <w:t>Strategjia për Zhvillimin e Biznesit dhe Investimeve (BIDS)</w:t>
      </w:r>
      <w:r w:rsidRPr="006D0DA9">
        <w:rPr>
          <w:rFonts w:eastAsiaTheme="majorEastAsia"/>
          <w:lang w:val="sq-AL"/>
        </w:rPr>
        <w:t xml:space="preserve">: </w:t>
      </w:r>
      <w:r w:rsidR="005F301A" w:rsidRPr="006D0DA9">
        <w:rPr>
          <w:rFonts w:eastAsiaTheme="majorEastAsia"/>
          <w:lang w:val="sq-AL"/>
        </w:rPr>
        <w:t xml:space="preserve">Në linjë me objektivat e saj për të përmirësuar klimën e biznesit, kjo ndërhyrje nxit zhvillimin e sektorit privat përmes forcimit të </w:t>
      </w:r>
      <w:r w:rsidR="005F301A" w:rsidRPr="006D0DA9">
        <w:rPr>
          <w:rFonts w:eastAsiaTheme="majorEastAsia"/>
          <w:lang w:val="sq-AL"/>
        </w:rPr>
        <w:lastRenderedPageBreak/>
        <w:t>qeverisjes korporative dhe mbrojtjes së të drejtave të aksionarëve, duke e bërë Shqipërinë më tërheqëse për investime të huaja të drejtpërdrejta dhe duke mbështetur rritjen ekonomike.</w:t>
      </w:r>
    </w:p>
    <w:p w14:paraId="02DEE06B" w14:textId="77777777" w:rsidR="00C920AC" w:rsidRPr="00C920AC" w:rsidRDefault="00C920AC" w:rsidP="00C920AC">
      <w:pPr>
        <w:pStyle w:val="ListParagraph"/>
        <w:numPr>
          <w:ilvl w:val="0"/>
          <w:numId w:val="43"/>
        </w:numPr>
        <w:rPr>
          <w:rFonts w:ascii="Times New Roman" w:eastAsiaTheme="majorEastAsia" w:hAnsi="Times New Roman"/>
          <w:sz w:val="24"/>
          <w:lang w:val="sq-AL"/>
        </w:rPr>
      </w:pPr>
      <w:r w:rsidRPr="00C920AC">
        <w:rPr>
          <w:rFonts w:ascii="Times New Roman" w:eastAsiaTheme="majorEastAsia" w:hAnsi="Times New Roman"/>
          <w:sz w:val="24"/>
          <w:lang w:val="sq-AL"/>
        </w:rPr>
        <w:t>Vendim i Këshillit të Ministrave Nr. 266, datë 27.4.2023 Për Miratimin e Dokumentit Politik “Për Krijimin e një Mjedisi Mundësues për Zhvillimin e Tregjeve të Kapitalit në Shqipëri, 2023–2027”.</w:t>
      </w:r>
    </w:p>
    <w:p w14:paraId="30569B4E" w14:textId="77777777" w:rsidR="00C920AC" w:rsidRPr="006D0DA9" w:rsidRDefault="00C920AC" w:rsidP="00D756B5">
      <w:pPr>
        <w:spacing w:after="160" w:line="259" w:lineRule="auto"/>
        <w:ind w:left="720"/>
        <w:jc w:val="both"/>
        <w:rPr>
          <w:rFonts w:eastAsiaTheme="majorEastAsia"/>
          <w:lang w:val="sq-AL"/>
        </w:rPr>
      </w:pPr>
    </w:p>
    <w:p w14:paraId="57503FFA" w14:textId="77777777" w:rsidR="009C7F34" w:rsidRDefault="009C7F34" w:rsidP="008723CC">
      <w:pPr>
        <w:spacing w:after="160" w:line="259" w:lineRule="auto"/>
        <w:jc w:val="both"/>
        <w:rPr>
          <w:rFonts w:eastAsiaTheme="majorEastAsia"/>
          <w:lang w:val="sq-AL"/>
        </w:rPr>
      </w:pPr>
    </w:p>
    <w:p w14:paraId="651BBA95" w14:textId="4C6B9C19" w:rsidR="0077456A" w:rsidRPr="008723CC" w:rsidRDefault="005F301A" w:rsidP="008723CC">
      <w:pPr>
        <w:spacing w:after="160" w:line="259" w:lineRule="auto"/>
        <w:jc w:val="both"/>
        <w:rPr>
          <w:rFonts w:eastAsiaTheme="majorEastAsia"/>
          <w:lang w:val="sq-AL"/>
        </w:rPr>
      </w:pPr>
      <w:r w:rsidRPr="006D0DA9">
        <w:rPr>
          <w:rFonts w:eastAsiaTheme="majorEastAsia"/>
          <w:lang w:val="sq-AL"/>
        </w:rPr>
        <w:t>Duke harmonizuar legjislacionin me standardet e BE-së, kjo ndërhyrje jo vetëm që përmbush kërkesat për integrim evropian, por edhe krijon mundësi të reja për investime dhe inovacion, veçanërisht për startup-et dhe sektorët strategjikë të identifikuar në Strategjinë e Sipërmarrjes Inovative. Ajo rrit konkurrueshmërinë e ekonomisë shqiptare duke lehtësuar qasjen në tregjet ndërkombëtare dhe duke forcuar stabilitetin ekonomik, në përputhje të plotë me prioritetet e qeverisë për zhvillim dhe integrim afatgjatë.</w:t>
      </w:r>
    </w:p>
    <w:p w14:paraId="54BDB0BA" w14:textId="77777777" w:rsidR="0077456A" w:rsidRPr="00F232CD" w:rsidRDefault="0077456A" w:rsidP="0077456A">
      <w:pPr>
        <w:spacing w:after="160" w:line="259" w:lineRule="auto"/>
        <w:rPr>
          <w:rFonts w:eastAsiaTheme="majorEastAsia"/>
          <w:u w:val="single"/>
          <w:lang w:val="sq-AL"/>
        </w:rPr>
      </w:pPr>
      <w:r w:rsidRPr="00F232CD">
        <w:rPr>
          <w:rFonts w:eastAsiaTheme="majorEastAsia"/>
          <w:u w:val="single"/>
          <w:lang w:val="sq-AL"/>
        </w:rPr>
        <w:t>Punën ekzistuese që është realizuar tashmë</w:t>
      </w:r>
    </w:p>
    <w:p w14:paraId="0B9EF7B7" w14:textId="7AE9DCE0" w:rsidR="00716DC1" w:rsidRPr="00716DC1" w:rsidRDefault="0077456A" w:rsidP="00716DC1">
      <w:pPr>
        <w:spacing w:after="160" w:line="259" w:lineRule="auto"/>
        <w:jc w:val="both"/>
        <w:rPr>
          <w:szCs w:val="24"/>
          <w:lang w:val="sq-AL"/>
        </w:rPr>
      </w:pPr>
      <w:r w:rsidRPr="00F232CD">
        <w:rPr>
          <w:rFonts w:eastAsiaTheme="majorEastAsia"/>
          <w:lang w:val="sq-AL"/>
        </w:rPr>
        <w:t>Në kuadër të përpjekjeve për harmonizimin Shqipëria ka miratuar disa ligje dhe rregullore që kanë hedhur themelet e procesit të harmonizimit</w:t>
      </w:r>
      <w:bookmarkStart w:id="18" w:name="_Hlk185437108"/>
      <w:r w:rsidR="00716DC1">
        <w:rPr>
          <w:rFonts w:eastAsiaTheme="majorEastAsia"/>
          <w:lang w:val="sq-AL"/>
        </w:rPr>
        <w:t xml:space="preserve"> </w:t>
      </w:r>
      <w:r w:rsidR="00716DC1" w:rsidRPr="00716DC1">
        <w:rPr>
          <w:szCs w:val="24"/>
          <w:lang w:val="sq-AL"/>
        </w:rPr>
        <w:t xml:space="preserve">duke u fokusuar në forcimin e qeverisjes korporative, transparencës dhe efikasitetit operacional. Këto reforma janë të shoqëruara nga një strategji </w:t>
      </w:r>
      <w:r w:rsidR="00716DC1">
        <w:rPr>
          <w:szCs w:val="24"/>
          <w:lang w:val="sq-AL"/>
        </w:rPr>
        <w:t>konkrete</w:t>
      </w:r>
      <w:r w:rsidR="00716DC1" w:rsidRPr="00716DC1">
        <w:rPr>
          <w:szCs w:val="24"/>
          <w:lang w:val="sq-AL"/>
        </w:rPr>
        <w:t xml:space="preserve"> </w:t>
      </w:r>
      <w:r w:rsidR="00716DC1">
        <w:rPr>
          <w:szCs w:val="24"/>
          <w:lang w:val="sq-AL"/>
        </w:rPr>
        <w:t>digjitalizimi</w:t>
      </w:r>
      <w:r w:rsidR="00716DC1" w:rsidRPr="00716DC1">
        <w:rPr>
          <w:szCs w:val="24"/>
          <w:lang w:val="sq-AL"/>
        </w:rPr>
        <w:t xml:space="preserve"> që ka si qëllim modernizimin e shërbimeve publike, përfshirë procesin e regjistrimit të bizneseve.</w:t>
      </w:r>
    </w:p>
    <w:p w14:paraId="6C91D196" w14:textId="6B60FF22" w:rsidR="00716DC1" w:rsidRPr="00716DC1" w:rsidRDefault="00716DC1" w:rsidP="00716DC1">
      <w:pPr>
        <w:spacing w:after="160" w:line="259" w:lineRule="auto"/>
        <w:jc w:val="both"/>
        <w:rPr>
          <w:szCs w:val="24"/>
          <w:lang w:val="sq-AL"/>
        </w:rPr>
      </w:pPr>
      <w:r w:rsidRPr="00716DC1">
        <w:rPr>
          <w:szCs w:val="24"/>
          <w:lang w:val="sq-AL"/>
        </w:rPr>
        <w:t xml:space="preserve">Reformat </w:t>
      </w:r>
      <w:r w:rsidRPr="005D547E">
        <w:rPr>
          <w:szCs w:val="24"/>
          <w:lang w:val="sq-AL"/>
        </w:rPr>
        <w:t>k</w:t>
      </w:r>
      <w:r w:rsidRPr="00716DC1">
        <w:rPr>
          <w:szCs w:val="24"/>
          <w:lang w:val="sq-AL"/>
        </w:rPr>
        <w:t xml:space="preserve">ryesore </w:t>
      </w:r>
      <w:r w:rsidRPr="005D547E">
        <w:rPr>
          <w:szCs w:val="24"/>
          <w:lang w:val="sq-AL"/>
        </w:rPr>
        <w:t>ligjore</w:t>
      </w:r>
      <w:r w:rsidR="005D547E">
        <w:rPr>
          <w:szCs w:val="24"/>
          <w:lang w:val="sq-AL"/>
        </w:rPr>
        <w:t xml:space="preserve"> konsistojnë në:</w:t>
      </w:r>
    </w:p>
    <w:p w14:paraId="31226AD8" w14:textId="11C54F68" w:rsidR="00716DC1" w:rsidRPr="00716DC1" w:rsidRDefault="00716DC1" w:rsidP="00716DC1">
      <w:pPr>
        <w:spacing w:after="160" w:line="259" w:lineRule="auto"/>
        <w:jc w:val="both"/>
        <w:rPr>
          <w:szCs w:val="24"/>
          <w:lang w:val="sq-AL"/>
        </w:rPr>
      </w:pPr>
      <w:r w:rsidRPr="00716DC1">
        <w:rPr>
          <w:b/>
          <w:bCs/>
          <w:szCs w:val="24"/>
          <w:lang w:val="sq-AL"/>
        </w:rPr>
        <w:t>Ligji 9901/2008</w:t>
      </w:r>
      <w:r w:rsidR="005D547E">
        <w:rPr>
          <w:b/>
          <w:bCs/>
          <w:szCs w:val="24"/>
          <w:lang w:val="sq-AL"/>
        </w:rPr>
        <w:t>, i ndryshuar në vitin 2014</w:t>
      </w:r>
      <w:r w:rsidRPr="00716DC1">
        <w:rPr>
          <w:b/>
          <w:bCs/>
          <w:szCs w:val="24"/>
          <w:lang w:val="sq-AL"/>
        </w:rPr>
        <w:t>:</w:t>
      </w:r>
      <w:r w:rsidRPr="00716DC1">
        <w:rPr>
          <w:szCs w:val="24"/>
          <w:lang w:val="sq-AL"/>
        </w:rPr>
        <w:t xml:space="preserve"> Ky ligj themelor vendosi një kornizë ligjore moderne për </w:t>
      </w:r>
      <w:r w:rsidR="00787159">
        <w:rPr>
          <w:szCs w:val="24"/>
          <w:lang w:val="sq-AL"/>
        </w:rPr>
        <w:t>shoqër</w:t>
      </w:r>
      <w:r w:rsidRPr="00716DC1">
        <w:rPr>
          <w:szCs w:val="24"/>
          <w:lang w:val="sq-AL"/>
        </w:rPr>
        <w:t xml:space="preserve">itë në Shqipëri, duke futur dispozita për qeverisjen korporative, të drejtat e aksionarëve dhe raportimin financiar. Ai hapi rrugën për përshtatjen e ligjit kombëtar për </w:t>
      </w:r>
      <w:r w:rsidR="00787159">
        <w:rPr>
          <w:szCs w:val="24"/>
          <w:lang w:val="sq-AL"/>
        </w:rPr>
        <w:t>shoqër</w:t>
      </w:r>
      <w:r w:rsidRPr="00716DC1">
        <w:rPr>
          <w:szCs w:val="24"/>
          <w:lang w:val="sq-AL"/>
        </w:rPr>
        <w:t>itë me direktivat e BE-së</w:t>
      </w:r>
      <w:r w:rsidR="002835FB">
        <w:rPr>
          <w:szCs w:val="24"/>
          <w:lang w:val="sq-AL"/>
        </w:rPr>
        <w:t>, ndërsa tani ligji do të preket me fokus kryesor reformat dhe shtesat që janë sjellë nga Direktiva e kodifikuar 2017/1132</w:t>
      </w:r>
    </w:p>
    <w:p w14:paraId="32C07E62" w14:textId="2FD2C97B" w:rsidR="00716DC1" w:rsidRPr="00EC569D" w:rsidRDefault="00716DC1" w:rsidP="00716DC1">
      <w:pPr>
        <w:spacing w:after="160" w:line="259" w:lineRule="auto"/>
        <w:jc w:val="both"/>
        <w:rPr>
          <w:szCs w:val="24"/>
          <w:lang w:val="sq-AL"/>
        </w:rPr>
      </w:pPr>
      <w:r w:rsidRPr="00EC569D">
        <w:rPr>
          <w:b/>
          <w:bCs/>
          <w:szCs w:val="24"/>
          <w:lang w:val="sq-AL"/>
        </w:rPr>
        <w:t xml:space="preserve">Digitalizimi i </w:t>
      </w:r>
      <w:r w:rsidR="007C3B78" w:rsidRPr="00EC569D">
        <w:rPr>
          <w:b/>
          <w:bCs/>
          <w:szCs w:val="24"/>
          <w:lang w:val="sq-AL"/>
        </w:rPr>
        <w:t>r</w:t>
      </w:r>
      <w:r w:rsidRPr="00EC569D">
        <w:rPr>
          <w:b/>
          <w:bCs/>
          <w:szCs w:val="24"/>
          <w:lang w:val="sq-AL"/>
        </w:rPr>
        <w:t xml:space="preserve">egjistrimit të </w:t>
      </w:r>
      <w:r w:rsidR="007C3B78" w:rsidRPr="00EC569D">
        <w:rPr>
          <w:b/>
          <w:bCs/>
          <w:szCs w:val="24"/>
          <w:lang w:val="sq-AL"/>
        </w:rPr>
        <w:t>b</w:t>
      </w:r>
      <w:r w:rsidRPr="00EC569D">
        <w:rPr>
          <w:b/>
          <w:bCs/>
          <w:szCs w:val="24"/>
          <w:lang w:val="sq-AL"/>
        </w:rPr>
        <w:t>izneseve</w:t>
      </w:r>
    </w:p>
    <w:p w14:paraId="1DBD51C4" w14:textId="77777777" w:rsidR="00716DC1" w:rsidRPr="00EC569D" w:rsidRDefault="00716DC1" w:rsidP="00716DC1">
      <w:pPr>
        <w:spacing w:after="160" w:line="259" w:lineRule="auto"/>
        <w:jc w:val="both"/>
        <w:rPr>
          <w:szCs w:val="24"/>
          <w:lang w:val="sq-AL"/>
        </w:rPr>
      </w:pPr>
      <w:r w:rsidRPr="00EC569D">
        <w:rPr>
          <w:szCs w:val="24"/>
          <w:lang w:val="sq-AL"/>
        </w:rPr>
        <w:t>Në përputhje me reformat legjislative, Shqipëria ka bërë përparime të rëndësishme në digitalizimin e shërbimeve publike, veçanërisht në regjistrimin e bizneseve:</w:t>
      </w:r>
    </w:p>
    <w:p w14:paraId="02F68FB8" w14:textId="77777777" w:rsidR="00716DC1" w:rsidRPr="00716DC1" w:rsidRDefault="00716DC1" w:rsidP="00716DC1">
      <w:pPr>
        <w:spacing w:after="160" w:line="259" w:lineRule="auto"/>
        <w:jc w:val="both"/>
        <w:rPr>
          <w:szCs w:val="24"/>
          <w:lang w:val="it-IT"/>
        </w:rPr>
      </w:pPr>
      <w:r w:rsidRPr="00716DC1">
        <w:rPr>
          <w:b/>
          <w:bCs/>
          <w:szCs w:val="24"/>
          <w:lang w:val="it-IT"/>
        </w:rPr>
        <w:t>Portali e-Albania:</w:t>
      </w:r>
      <w:r w:rsidRPr="00716DC1">
        <w:rPr>
          <w:szCs w:val="24"/>
          <w:lang w:val="it-IT"/>
        </w:rPr>
        <w:t xml:space="preserve"> I nisur në vitin 2014, portali e-Albania shërben si një platformë e centralizuar për aksesimin e shërbimeve publike. Ai u mundëson bizneseve të regjistrohen, të dërgojnë dokumente dhe të aksesojnë shërbime të ndryshme online, duke reduktuar nevojën për vizita fizike dhe rritur efikasitetin.</w:t>
      </w:r>
    </w:p>
    <w:p w14:paraId="1FEA58BE" w14:textId="72A85367" w:rsidR="00AE76E1" w:rsidRDefault="00716DC1" w:rsidP="007C3B78">
      <w:pPr>
        <w:spacing w:after="160" w:line="259" w:lineRule="auto"/>
        <w:jc w:val="both"/>
        <w:rPr>
          <w:szCs w:val="24"/>
          <w:lang w:val="it-IT"/>
        </w:rPr>
      </w:pPr>
      <w:r w:rsidRPr="00F74152">
        <w:rPr>
          <w:b/>
          <w:bCs/>
          <w:szCs w:val="24"/>
          <w:lang w:val="it-IT"/>
        </w:rPr>
        <w:t>Qendra Kombëtare e Biznesit (QKB):</w:t>
      </w:r>
      <w:r w:rsidRPr="00F74152">
        <w:rPr>
          <w:szCs w:val="24"/>
          <w:lang w:val="it-IT"/>
        </w:rPr>
        <w:t xml:space="preserve"> QKB ka luajtur një rol kyç në digjitalizimin e proceseve të regjistrimit të bizneseve. Që nga dhjetori i vitit 2014, ajo ofron shërbime regjistrimi online, duke reduktuar ndjeshëm kohën e procesimit dhe ngarkesat administrative. Në vitin 2022, u bënë mbi 787,800 aplikime për 178 shërbime biznesi përmes QKB.</w:t>
      </w:r>
      <w:r w:rsidR="007C3B78" w:rsidRPr="00F74152">
        <w:rPr>
          <w:szCs w:val="24"/>
          <w:lang w:val="it-IT"/>
        </w:rPr>
        <w:t xml:space="preserve"> </w:t>
      </w:r>
      <w:r w:rsidRPr="00F74152">
        <w:rPr>
          <w:szCs w:val="24"/>
          <w:lang w:val="it-IT"/>
        </w:rPr>
        <w:t>Në shkurt të vitit 2024, Qendra Kombëtare e Biznesit mori certifikimin ISO 9001:2015 për shërbimet në regjistrin e bizneseve, regjistrin e licencave, autorizimeve dhe lejeve, dhe regjistrin e pronarëve të vërtetë. Ky certifikim thekson angazhimin e QKB për cilësi dhe efikasitet në ofrimin e shërbimeve.</w:t>
      </w:r>
    </w:p>
    <w:p w14:paraId="0ECC5A0D" w14:textId="3DB2DC47" w:rsidR="00194002" w:rsidRDefault="009C2E11" w:rsidP="00A5588D">
      <w:pPr>
        <w:spacing w:after="160" w:line="259" w:lineRule="auto"/>
        <w:jc w:val="both"/>
        <w:rPr>
          <w:szCs w:val="24"/>
          <w:lang w:val="it-IT"/>
        </w:rPr>
      </w:pPr>
      <w:r w:rsidRPr="009C2E11">
        <w:rPr>
          <w:szCs w:val="24"/>
          <w:lang w:val="it-IT"/>
        </w:rPr>
        <w:t xml:space="preserve">Në kuadër të përpjekjeve për harmonizimin me acquis-in e BE-së për Kapitullin 6, </w:t>
      </w:r>
      <w:r w:rsidR="003A44E3">
        <w:rPr>
          <w:szCs w:val="24"/>
          <w:lang w:val="it-IT"/>
        </w:rPr>
        <w:t>ME</w:t>
      </w:r>
      <w:r w:rsidRPr="009C2E11">
        <w:rPr>
          <w:szCs w:val="24"/>
          <w:lang w:val="it-IT"/>
        </w:rPr>
        <w:t xml:space="preserve">, në bashkëpunim me Grupin </w:t>
      </w:r>
      <w:r>
        <w:rPr>
          <w:szCs w:val="24"/>
          <w:lang w:val="it-IT"/>
        </w:rPr>
        <w:t>Negociator</w:t>
      </w:r>
      <w:r w:rsidRPr="009C2E11">
        <w:rPr>
          <w:szCs w:val="24"/>
          <w:lang w:val="it-IT"/>
        </w:rPr>
        <w:t xml:space="preserve"> të Integrimit Evropian, ka ndërmarrë punë të rëndësishme për të avancuar procesin e harmonizimit të legjislacionit të shoqërive tregtare, duke u mbështetur në analizat e detajuara si Vlerësimi i Boshllëqeve Legjislative (LGA), Vlerësimi i Boshllëqeve Institucionale dhe Administrative (IAGA), dhe Vlerësimi i Ndikimit të Politikave (PIA) për Qeverisjen Korporative të </w:t>
      </w:r>
      <w:r>
        <w:rPr>
          <w:szCs w:val="24"/>
          <w:lang w:val="it-IT"/>
        </w:rPr>
        <w:t>Shoqëriv</w:t>
      </w:r>
      <w:r w:rsidRPr="009C2E11">
        <w:rPr>
          <w:szCs w:val="24"/>
          <w:lang w:val="it-IT"/>
        </w:rPr>
        <w:t>e të Listuara..</w:t>
      </w:r>
    </w:p>
    <w:p w14:paraId="511BD36B" w14:textId="4B22BD7E" w:rsidR="00A5588D" w:rsidRPr="00A5588D" w:rsidRDefault="00A5588D" w:rsidP="00A5588D">
      <w:pPr>
        <w:spacing w:after="160" w:line="259" w:lineRule="auto"/>
        <w:jc w:val="both"/>
        <w:rPr>
          <w:b/>
          <w:bCs/>
          <w:szCs w:val="24"/>
          <w:lang w:val="it-IT"/>
        </w:rPr>
      </w:pPr>
      <w:r w:rsidRPr="00A5588D">
        <w:rPr>
          <w:b/>
          <w:bCs/>
          <w:szCs w:val="24"/>
          <w:lang w:val="it-IT"/>
        </w:rPr>
        <w:t xml:space="preserve">LGA: </w:t>
      </w:r>
      <w:r w:rsidRPr="00194002">
        <w:rPr>
          <w:szCs w:val="24"/>
          <w:lang w:val="it-IT"/>
        </w:rPr>
        <w:t>LGA-ja, identifikon boshllëqe mes legjislacionit shqiptar dhe Direktivës 2017/1132, duke treguar përafrim të mirë por mangësi në çështjet e përmendura përgjatë kësaj RIA, si dhe nevojën për harmonizim të plotë, duke propozuar ndërhyrje legjislative për përmbushjen e standardeve të BE-së.</w:t>
      </w:r>
    </w:p>
    <w:p w14:paraId="5B3F3FA8" w14:textId="181F32CB" w:rsidR="00A5588D" w:rsidRPr="006D0DA9" w:rsidRDefault="00A5588D" w:rsidP="00A5588D">
      <w:pPr>
        <w:spacing w:after="160" w:line="259" w:lineRule="auto"/>
        <w:jc w:val="both"/>
        <w:rPr>
          <w:szCs w:val="24"/>
          <w:lang w:val="it-IT"/>
        </w:rPr>
      </w:pPr>
      <w:r w:rsidRPr="00A5588D">
        <w:rPr>
          <w:b/>
          <w:bCs/>
          <w:szCs w:val="24"/>
          <w:lang w:val="it-IT"/>
        </w:rPr>
        <w:lastRenderedPageBreak/>
        <w:t xml:space="preserve">IAGA: </w:t>
      </w:r>
      <w:r w:rsidRPr="006D0DA9">
        <w:rPr>
          <w:szCs w:val="24"/>
          <w:lang w:val="it-IT"/>
        </w:rPr>
        <w:t>IAGA-ja thekson nevojën për forcimin e kapaciteteve institucionale dhe administrative për interpretimin, transpozimin, zbatimin dhe monitorimin e ligjit të BE-së për shoqëritë, duke përfshirë krijimin e kushteve për formimin online të shoqërive, përmirësimin e funksionalitetit të regjistrit kombëtar, dhe trajnimet për institucionet, si dhe pavarësinë financiare të organeve të mbikëqyrjes së auditimit, duke ofruar një udhërrëfyes për zbatimin efektiv të acquis-it.</w:t>
      </w:r>
    </w:p>
    <w:p w14:paraId="4764E2AE" w14:textId="6371B3DD" w:rsidR="00BF4CAF" w:rsidRPr="009C2E11" w:rsidRDefault="009B239D" w:rsidP="009B239D">
      <w:pPr>
        <w:spacing w:after="160" w:line="259" w:lineRule="auto"/>
        <w:jc w:val="both"/>
        <w:rPr>
          <w:szCs w:val="24"/>
          <w:lang w:val="it-IT"/>
        </w:rPr>
      </w:pPr>
      <w:r w:rsidRPr="006D0DA9">
        <w:rPr>
          <w:b/>
          <w:bCs/>
          <w:szCs w:val="24"/>
          <w:lang w:val="it-IT"/>
        </w:rPr>
        <w:t>Vlerësimi i Ndikimit të Politikave (PIA</w:t>
      </w:r>
      <w:r>
        <w:rPr>
          <w:b/>
          <w:bCs/>
          <w:szCs w:val="24"/>
          <w:lang w:val="it-IT"/>
        </w:rPr>
        <w:t>):</w:t>
      </w:r>
      <w:r w:rsidRPr="009B239D">
        <w:rPr>
          <w:szCs w:val="24"/>
          <w:lang w:val="it-IT"/>
        </w:rPr>
        <w:t xml:space="preserve"> i hartuar nga </w:t>
      </w:r>
      <w:r w:rsidR="003A44E3">
        <w:rPr>
          <w:szCs w:val="24"/>
          <w:lang w:val="it-IT"/>
        </w:rPr>
        <w:t>ME</w:t>
      </w:r>
      <w:r w:rsidRPr="009B239D">
        <w:rPr>
          <w:szCs w:val="24"/>
          <w:lang w:val="it-IT"/>
        </w:rPr>
        <w:t xml:space="preserve"> </w:t>
      </w:r>
      <w:r>
        <w:rPr>
          <w:szCs w:val="24"/>
          <w:lang w:val="it-IT"/>
        </w:rPr>
        <w:t>dhe GNIE</w:t>
      </w:r>
      <w:r w:rsidRPr="009B239D">
        <w:rPr>
          <w:szCs w:val="24"/>
          <w:lang w:val="it-IT"/>
        </w:rPr>
        <w:t xml:space="preserve">, ofron një analizë ndërsektoriale të çështjeve të Kapitullit 6, duke u fokusuar në harmonizimin e qeverisjes korporative për </w:t>
      </w:r>
      <w:r w:rsidR="009D164D">
        <w:rPr>
          <w:szCs w:val="24"/>
          <w:lang w:val="it-IT"/>
        </w:rPr>
        <w:t>shoqëri</w:t>
      </w:r>
      <w:r w:rsidRPr="009B239D">
        <w:rPr>
          <w:szCs w:val="24"/>
          <w:lang w:val="it-IT"/>
        </w:rPr>
        <w:t>të e listuara me acquis-in e BE-së, si Direktiva 2007/36/EC (SRD I), Direktiva 2017/828 (SRD II), dhe Direktiva 2022/2381 për balancën gjinore në borde</w:t>
      </w:r>
      <w:r>
        <w:rPr>
          <w:szCs w:val="24"/>
          <w:lang w:val="it-IT"/>
        </w:rPr>
        <w:t>t e shoqërive të lisutara</w:t>
      </w:r>
      <w:r w:rsidRPr="009B239D">
        <w:rPr>
          <w:szCs w:val="24"/>
          <w:lang w:val="it-IT"/>
        </w:rPr>
        <w:t xml:space="preserve">. PIA identifikon boshllëqe në legjislacionin shqiptar, si mungesa e rregullave për ndërmjetësit financiarë dhe politikat e angazhimit të aksionarëve, dhe propozon opsione si amendimi i Ligjit për Tregjet e Kapitalit dhe miratimi i një Kodi të Qeverisjes Korporative për </w:t>
      </w:r>
      <w:r w:rsidR="009D164D">
        <w:rPr>
          <w:szCs w:val="24"/>
          <w:lang w:val="it-IT"/>
        </w:rPr>
        <w:t>shoqëri</w:t>
      </w:r>
      <w:r w:rsidRPr="009B239D">
        <w:rPr>
          <w:szCs w:val="24"/>
          <w:lang w:val="it-IT"/>
        </w:rPr>
        <w:t>të e listuara deri në 2028, duke përfshirë institucionet si Autoriteti i Mbikëqyrjes Financiare (AMF)</w:t>
      </w:r>
      <w:r w:rsidR="005F23C8">
        <w:rPr>
          <w:szCs w:val="24"/>
          <w:lang w:val="it-IT"/>
        </w:rPr>
        <w:t xml:space="preserve">. </w:t>
      </w:r>
      <w:r w:rsidRPr="009B239D">
        <w:rPr>
          <w:szCs w:val="24"/>
          <w:lang w:val="it-IT"/>
        </w:rPr>
        <w:t xml:space="preserve">Ky dokument plotëson LGA-në dhe IAGA-në duke ofruar një analizë specifike për </w:t>
      </w:r>
      <w:r w:rsidR="009D164D">
        <w:rPr>
          <w:szCs w:val="24"/>
          <w:lang w:val="it-IT"/>
        </w:rPr>
        <w:t>shoqëri</w:t>
      </w:r>
      <w:r w:rsidRPr="009B239D">
        <w:rPr>
          <w:szCs w:val="24"/>
          <w:lang w:val="it-IT"/>
        </w:rPr>
        <w:t xml:space="preserve">të e listuara, duke evidentuar nevojën për koordinim mes </w:t>
      </w:r>
      <w:r w:rsidR="003A44E3">
        <w:rPr>
          <w:szCs w:val="24"/>
          <w:lang w:val="it-IT"/>
        </w:rPr>
        <w:t>ME</w:t>
      </w:r>
      <w:r w:rsidRPr="009B239D">
        <w:rPr>
          <w:szCs w:val="24"/>
          <w:lang w:val="it-IT"/>
        </w:rPr>
        <w:t xml:space="preserve"> dhe AMF-së për të adresuar mangësitë e identifikuara</w:t>
      </w:r>
      <w:r w:rsidR="00357288">
        <w:rPr>
          <w:szCs w:val="24"/>
          <w:lang w:val="it-IT"/>
        </w:rPr>
        <w:t xml:space="preserve">. </w:t>
      </w:r>
      <w:r w:rsidRPr="009B239D">
        <w:rPr>
          <w:szCs w:val="24"/>
          <w:lang w:val="it-IT"/>
        </w:rPr>
        <w:t>PIA gjithashtu vlerëson ndikimet ekonomike dhe administrative, duke theksuar përfitimet për konkurrueshmërinë dhe investimet e huaja, dhe propozon një udhërrëfyes me afate për harmonizim deri në 2025-2028</w:t>
      </w:r>
      <w:r w:rsidR="00357288">
        <w:rPr>
          <w:szCs w:val="24"/>
          <w:lang w:val="it-IT"/>
        </w:rPr>
        <w:t>.</w:t>
      </w:r>
    </w:p>
    <w:p w14:paraId="5348F215" w14:textId="77777777" w:rsidR="002125B7" w:rsidRPr="00325A1F" w:rsidRDefault="00FF616D" w:rsidP="009D13F4">
      <w:pPr>
        <w:pStyle w:val="Heading1"/>
        <w:spacing w:line="276" w:lineRule="auto"/>
        <w:rPr>
          <w:rFonts w:ascii="Times New Roman" w:hAnsi="Times New Roman" w:cs="Times New Roman"/>
          <w:sz w:val="24"/>
          <w:szCs w:val="24"/>
          <w:lang w:val="sq-AL"/>
        </w:rPr>
      </w:pPr>
      <w:bookmarkStart w:id="19" w:name="_Hlk191987072"/>
      <w:bookmarkEnd w:id="18"/>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17"/>
    </w:p>
    <w:sdt>
      <w:sdtPr>
        <w:rPr>
          <w:rFonts w:ascii="Times New Roman" w:hAnsi="Times New Roman"/>
          <w:sz w:val="24"/>
          <w:szCs w:val="24"/>
          <w:lang w:val="sq-AL"/>
        </w:rPr>
        <w:id w:val="-531503755"/>
        <w:lock w:val="contentLocked"/>
        <w:placeholder>
          <w:docPart w:val="DefaultPlaceholder_1081868574"/>
        </w:placeholder>
      </w:sdtPr>
      <w:sdtEndPr/>
      <w:sdtContent>
        <w:p w14:paraId="307BFF0C" w14:textId="77777777" w:rsidR="009E64A4" w:rsidRPr="0032145B" w:rsidRDefault="009E64A4" w:rsidP="006D0629">
          <w:pPr>
            <w:pStyle w:val="ListParagraph"/>
            <w:numPr>
              <w:ilvl w:val="0"/>
              <w:numId w:val="11"/>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14:paraId="1FF44D06" w14:textId="77777777" w:rsidR="009E64A4" w:rsidRPr="0032145B" w:rsidRDefault="009E64A4" w:rsidP="006D0629">
          <w:pPr>
            <w:pStyle w:val="ListParagraph"/>
            <w:numPr>
              <w:ilvl w:val="0"/>
              <w:numId w:val="11"/>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14:paraId="7A3B949A" w14:textId="77777777" w:rsidR="009E64A4" w:rsidRPr="00325A1F" w:rsidRDefault="009E64A4" w:rsidP="006D0629">
          <w:pPr>
            <w:pStyle w:val="ListParagraph"/>
            <w:numPr>
              <w:ilvl w:val="0"/>
              <w:numId w:val="11"/>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sdtContent>
    </w:sdt>
    <w:bookmarkEnd w:id="19"/>
    <w:p w14:paraId="5AC0C557" w14:textId="77777777" w:rsidR="00DE7CA9" w:rsidRDefault="00DE7CA9" w:rsidP="00DE7CA9">
      <w:pPr>
        <w:spacing w:after="160" w:line="259" w:lineRule="auto"/>
        <w:rPr>
          <w:b/>
          <w:bCs/>
          <w:lang w:val="sq-AL"/>
        </w:rPr>
      </w:pPr>
    </w:p>
    <w:p w14:paraId="490CE06D" w14:textId="236EA78A" w:rsidR="00C35A29" w:rsidRDefault="00F958ED" w:rsidP="00C35A29">
      <w:pPr>
        <w:spacing w:after="160" w:line="259" w:lineRule="auto"/>
        <w:jc w:val="both"/>
        <w:rPr>
          <w:lang w:val="sq-AL"/>
        </w:rPr>
      </w:pPr>
      <w:r w:rsidRPr="00F958ED">
        <w:rPr>
          <w:lang w:val="sq-AL"/>
        </w:rPr>
        <w:t>Objekt</w:t>
      </w:r>
      <w:r w:rsidR="00C35A29">
        <w:rPr>
          <w:lang w:val="sq-AL"/>
        </w:rPr>
        <w:t>ivat e harmozimi</w:t>
      </w:r>
      <w:r w:rsidR="00D05DEC">
        <w:rPr>
          <w:lang w:val="sq-AL"/>
        </w:rPr>
        <w:t>t t</w:t>
      </w:r>
      <w:r w:rsidR="0064237C">
        <w:rPr>
          <w:lang w:val="sq-AL"/>
        </w:rPr>
        <w:t>ë</w:t>
      </w:r>
      <w:r w:rsidR="00D05DEC">
        <w:rPr>
          <w:lang w:val="sq-AL"/>
        </w:rPr>
        <w:t xml:space="preserve"> ligjit 9901/2008 </w:t>
      </w:r>
      <w:r w:rsidR="008111B2">
        <w:rPr>
          <w:lang w:val="sq-AL"/>
        </w:rPr>
        <w:t>me Direktiv</w:t>
      </w:r>
      <w:r w:rsidR="0064237C">
        <w:rPr>
          <w:lang w:val="sq-AL"/>
        </w:rPr>
        <w:t>ë</w:t>
      </w:r>
      <w:r w:rsidR="008111B2">
        <w:rPr>
          <w:lang w:val="sq-AL"/>
        </w:rPr>
        <w:t>n 2017/1132 jan</w:t>
      </w:r>
      <w:r w:rsidR="0064237C">
        <w:rPr>
          <w:lang w:val="sq-AL"/>
        </w:rPr>
        <w:t>ë</w:t>
      </w:r>
      <w:r w:rsidR="008111B2">
        <w:rPr>
          <w:lang w:val="sq-AL"/>
        </w:rPr>
        <w:t xml:space="preserve"> si vijon:</w:t>
      </w:r>
      <w:r w:rsidRPr="00F958ED">
        <w:rPr>
          <w:lang w:val="sq-AL"/>
        </w:rPr>
        <w:t xml:space="preserve"> </w:t>
      </w:r>
    </w:p>
    <w:p w14:paraId="24BA780C" w14:textId="77777777" w:rsidR="00DA4257" w:rsidRPr="00D756B5" w:rsidRDefault="00DA4257" w:rsidP="00DA4257">
      <w:pPr>
        <w:spacing w:after="160" w:line="259" w:lineRule="auto"/>
        <w:jc w:val="both"/>
        <w:rPr>
          <w:u w:val="single"/>
          <w:lang w:val="sq-AL"/>
        </w:rPr>
      </w:pPr>
      <w:r w:rsidRPr="00D756B5">
        <w:rPr>
          <w:u w:val="single"/>
          <w:lang w:val="sq-AL"/>
        </w:rPr>
        <w:t>1. Përputhshmëria me Direktivën</w:t>
      </w:r>
    </w:p>
    <w:p w14:paraId="2281596E" w14:textId="281736E0" w:rsidR="00DA4257" w:rsidRPr="00DA4257" w:rsidRDefault="00F01320" w:rsidP="00DA4257">
      <w:pPr>
        <w:spacing w:after="160" w:line="259" w:lineRule="auto"/>
        <w:jc w:val="both"/>
        <w:rPr>
          <w:lang w:val="sq-AL"/>
        </w:rPr>
      </w:pPr>
      <w:r>
        <w:rPr>
          <w:lang w:val="sq-AL"/>
        </w:rPr>
        <w:t>Hartimi i ndryshimeve me qëllim</w:t>
      </w:r>
      <w:r w:rsidR="00DA4257" w:rsidRPr="00DA4257">
        <w:rPr>
          <w:lang w:val="sq-AL"/>
        </w:rPr>
        <w:t xml:space="preserve"> përputhshmëri</w:t>
      </w:r>
      <w:r>
        <w:rPr>
          <w:lang w:val="sq-AL"/>
        </w:rPr>
        <w:t>n</w:t>
      </w:r>
      <w:r w:rsidR="00DA4257" w:rsidRPr="00DA4257">
        <w:rPr>
          <w:lang w:val="sq-AL"/>
        </w:rPr>
        <w:t xml:space="preserve">ë </w:t>
      </w:r>
      <w:r w:rsidR="00E34AB8">
        <w:rPr>
          <w:lang w:val="sq-AL"/>
        </w:rPr>
        <w:t>e</w:t>
      </w:r>
      <w:r w:rsidR="00DA4257" w:rsidRPr="00DA4257">
        <w:rPr>
          <w:lang w:val="sq-AL"/>
        </w:rPr>
        <w:t xml:space="preserve"> plotë të Ligjit nr. 9901/2008 me </w:t>
      </w:r>
      <w:r w:rsidR="00E34AB8">
        <w:rPr>
          <w:lang w:val="sq-AL"/>
        </w:rPr>
        <w:t>Direktivat e identifikuar më sipër,</w:t>
      </w:r>
      <w:r w:rsidR="00DA4257" w:rsidRPr="00DA4257">
        <w:rPr>
          <w:lang w:val="sq-AL"/>
        </w:rPr>
        <w:t xml:space="preserve"> deri në dhjetor 2025</w:t>
      </w:r>
      <w:r>
        <w:rPr>
          <w:lang w:val="sq-AL"/>
        </w:rPr>
        <w:t xml:space="preserve"> </w:t>
      </w:r>
      <w:r w:rsidR="00DA4257" w:rsidRPr="00DA4257">
        <w:rPr>
          <w:lang w:val="sq-AL"/>
        </w:rPr>
        <w:t>dhe duke raportuar progresin çdo gjashtë muaj tek Komisioni Evropian, me qëllim mbylljen e Kapitullit 6 deri në vitin 2027.</w:t>
      </w:r>
    </w:p>
    <w:p w14:paraId="57508EA0" w14:textId="77777777" w:rsidR="00DA4257" w:rsidRPr="00D756B5" w:rsidRDefault="00DA4257" w:rsidP="00DA4257">
      <w:pPr>
        <w:spacing w:after="160" w:line="259" w:lineRule="auto"/>
        <w:jc w:val="both"/>
        <w:rPr>
          <w:u w:val="single"/>
          <w:lang w:val="sq-AL"/>
        </w:rPr>
      </w:pPr>
      <w:r w:rsidRPr="00D756B5">
        <w:rPr>
          <w:u w:val="single"/>
          <w:lang w:val="sq-AL"/>
        </w:rPr>
        <w:t>2. Transparenca dhe efikasiteti</w:t>
      </w:r>
    </w:p>
    <w:p w14:paraId="6ACB79F0" w14:textId="5A60FDC2" w:rsidR="00DA4257" w:rsidRPr="00DA4257" w:rsidRDefault="00DA4257" w:rsidP="00DA4257">
      <w:pPr>
        <w:spacing w:after="160" w:line="259" w:lineRule="auto"/>
        <w:jc w:val="both"/>
        <w:rPr>
          <w:lang w:val="sq-AL"/>
        </w:rPr>
      </w:pPr>
      <w:r w:rsidRPr="00DA4257">
        <w:rPr>
          <w:lang w:val="sq-AL"/>
        </w:rPr>
        <w:t>Rritja e transparencës dhe efikasitetit të shoqërive tregtare deri në fund të vitit 2026, përmes detyrimit për regjistrim online dhe publikim të të dhënave financiare, duke garantuar që të paktën 90% e shoqërive aksionare të raportojnë sipas standardeve të reja dhe duke ulur me 30% kohën mesatare të regjistrimit në QKB.</w:t>
      </w:r>
    </w:p>
    <w:p w14:paraId="1B11ED5E" w14:textId="77777777" w:rsidR="00DA4257" w:rsidRPr="00F01320" w:rsidRDefault="00DA4257" w:rsidP="00DA4257">
      <w:pPr>
        <w:spacing w:after="160" w:line="259" w:lineRule="auto"/>
        <w:jc w:val="both"/>
        <w:rPr>
          <w:lang w:val="sq-AL"/>
        </w:rPr>
      </w:pPr>
      <w:r w:rsidRPr="00F01320">
        <w:rPr>
          <w:lang w:val="sq-AL"/>
        </w:rPr>
        <w:t>3. Qeverisja korporative dhe mbrojtja e aksionarëve</w:t>
      </w:r>
    </w:p>
    <w:p w14:paraId="3E9C5BF8" w14:textId="3A732C3E" w:rsidR="00DA4257" w:rsidRPr="00DA4257" w:rsidRDefault="00DA4257" w:rsidP="00DA4257">
      <w:pPr>
        <w:spacing w:after="160" w:line="259" w:lineRule="auto"/>
        <w:jc w:val="both"/>
        <w:rPr>
          <w:lang w:val="sq-AL"/>
        </w:rPr>
      </w:pPr>
      <w:r w:rsidRPr="00DA4257">
        <w:rPr>
          <w:lang w:val="sq-AL"/>
        </w:rPr>
        <w:t>Forcimi i qeverisjes korporative deri në vitin 2026 përmes vendosjes së mekanizmave të verifikimit të pastërtisë ligjore, duke siguruar që 100% e administratorëve dhe anëtarëve të bordeve të dorëzojnë vetëdeklarime dhe të jenë të verifikuar nga autoritetet, si dhe duke monitoruar shpërndarjet e fitimit në të gjitha shoqëritë aksionare.</w:t>
      </w:r>
    </w:p>
    <w:p w14:paraId="0F810C31" w14:textId="77777777" w:rsidR="00DA4257" w:rsidRPr="00D756B5" w:rsidRDefault="00DA4257" w:rsidP="00DA4257">
      <w:pPr>
        <w:spacing w:after="160" w:line="259" w:lineRule="auto"/>
        <w:jc w:val="both"/>
        <w:rPr>
          <w:u w:val="single"/>
          <w:lang w:val="sq-AL"/>
        </w:rPr>
      </w:pPr>
      <w:r w:rsidRPr="00D756B5">
        <w:rPr>
          <w:u w:val="single"/>
          <w:lang w:val="sq-AL"/>
        </w:rPr>
        <w:t>4. Operacionet ndërkufitare dhe digjitalizimi</w:t>
      </w:r>
    </w:p>
    <w:p w14:paraId="53B6A35E" w14:textId="1B9C41DE" w:rsidR="00DA4257" w:rsidRPr="00DA4257" w:rsidRDefault="00DA4257" w:rsidP="00DA4257">
      <w:pPr>
        <w:spacing w:after="160" w:line="259" w:lineRule="auto"/>
        <w:jc w:val="both"/>
        <w:rPr>
          <w:lang w:val="sq-AL"/>
        </w:rPr>
      </w:pPr>
      <w:r w:rsidRPr="00DA4257">
        <w:rPr>
          <w:lang w:val="sq-AL"/>
        </w:rPr>
        <w:t>Lehtësimi i operacioneve ndërkufitare dhe integrimi i regjistrave të biznesit deri në fund të vitit 2027, përmes digjitalizimit dhe ndërveprueshmërisë me sistemin BRIS të BE-së, duke arritur funksionalitet të plotë në shkëmbimin e informacionit me të gjitha shtetet anëtare.</w:t>
      </w:r>
    </w:p>
    <w:p w14:paraId="20A62005" w14:textId="77777777" w:rsidR="00DA4257" w:rsidRPr="00D756B5" w:rsidRDefault="00DA4257" w:rsidP="00DA4257">
      <w:pPr>
        <w:spacing w:after="160" w:line="259" w:lineRule="auto"/>
        <w:jc w:val="both"/>
        <w:rPr>
          <w:u w:val="single"/>
          <w:lang w:val="sq-AL"/>
        </w:rPr>
      </w:pPr>
      <w:r w:rsidRPr="00D756B5">
        <w:rPr>
          <w:u w:val="single"/>
          <w:lang w:val="sq-AL"/>
        </w:rPr>
        <w:t>5. Siguria juridike dhe klima e biznesit</w:t>
      </w:r>
    </w:p>
    <w:p w14:paraId="1A23169E" w14:textId="2027359D" w:rsidR="00DA4257" w:rsidRDefault="00DA4257" w:rsidP="00DA4257">
      <w:pPr>
        <w:spacing w:after="160" w:line="259" w:lineRule="auto"/>
        <w:jc w:val="both"/>
        <w:rPr>
          <w:lang w:val="sq-AL"/>
        </w:rPr>
      </w:pPr>
      <w:r w:rsidRPr="00DA4257">
        <w:rPr>
          <w:lang w:val="sq-AL"/>
        </w:rPr>
        <w:lastRenderedPageBreak/>
        <w:t>Krijimi i një kuadri ligjor të qëndrueshëm dhe të parashikueshëm deri në vitin 2027, i cili ul me të paktën 20% numrin e rasteve të mosmarrëveshjeve të biznesit të lidhura me boshllëqe ligjore dhe rrit me 15% investimet e huaja direkte në krahasim me nivelin e vitit 2023.</w:t>
      </w:r>
    </w:p>
    <w:p w14:paraId="49DEF97F" w14:textId="435005BA" w:rsidR="00F46593" w:rsidRPr="00194002" w:rsidRDefault="00F46593" w:rsidP="00C631BF">
      <w:pPr>
        <w:spacing w:after="160" w:line="259" w:lineRule="auto"/>
        <w:jc w:val="both"/>
        <w:rPr>
          <w:szCs w:val="24"/>
          <w:lang w:val="sq-AL"/>
        </w:rPr>
      </w:pPr>
    </w:p>
    <w:p w14:paraId="4D46205C" w14:textId="77777777" w:rsidR="003A4286" w:rsidRPr="003A4286" w:rsidRDefault="003A4286" w:rsidP="003A4286">
      <w:pPr>
        <w:spacing w:after="160" w:line="259" w:lineRule="auto"/>
        <w:jc w:val="both"/>
        <w:rPr>
          <w:u w:val="single"/>
          <w:lang w:val="sq-AL"/>
        </w:rPr>
      </w:pPr>
      <w:r w:rsidRPr="003A4286">
        <w:rPr>
          <w:u w:val="single"/>
          <w:lang w:val="sq-AL"/>
        </w:rPr>
        <w:t>Sigurimi që objektivat janë specifikë, të matshëm, të arritshëm, realë dhe në kohë</w:t>
      </w:r>
    </w:p>
    <w:p w14:paraId="07D03297" w14:textId="77777777" w:rsidR="00174DEC" w:rsidRPr="00174DEC" w:rsidRDefault="00174DEC" w:rsidP="00174DEC">
      <w:pPr>
        <w:spacing w:after="160" w:line="259" w:lineRule="auto"/>
        <w:jc w:val="both"/>
        <w:rPr>
          <w:lang w:val="sq-AL"/>
        </w:rPr>
      </w:pPr>
      <w:r w:rsidRPr="00174DEC">
        <w:rPr>
          <w:lang w:val="sq-AL"/>
        </w:rPr>
        <w:t>Objektivat e këtij projektligji janë konceptuar dhe strukturuar sipas parimit SMART, me qëllim që të jenë të qartë, të zbatueshëm dhe të monitorueshëm në praktikë.</w:t>
      </w:r>
    </w:p>
    <w:p w14:paraId="5D12BA2B" w14:textId="77777777" w:rsidR="00174DEC" w:rsidRPr="00174DEC" w:rsidRDefault="00174DEC" w:rsidP="00174DEC">
      <w:pPr>
        <w:spacing w:after="160" w:line="259" w:lineRule="auto"/>
        <w:jc w:val="both"/>
        <w:rPr>
          <w:lang w:val="sq-AL"/>
        </w:rPr>
      </w:pPr>
      <w:r w:rsidRPr="00174DEC">
        <w:rPr>
          <w:lang w:val="sq-AL"/>
        </w:rPr>
        <w:t>Së pari, objektivat janë specifikë, pasi secila ndërhyrje synon adresimin e një boshllëku konkret në kuadrin ekzistues të Ligjit nr. 9901/2008: ndalimi i personave të papërshtatshëm për funksione drejtuese, rregullimi i shpërndarjes së fitimit dhe kthimi i pagesave të paautorizuara, transparenca mbi aksionet e veta, kontrolli mbi mbështetjen financiare për blerjen e tyre, si dhe vendosja e procedurave për pavlefshmërinë e bashkimeve dhe garantimi i sigurisë në transformimet strukturore të shoqërive me ofertë publike.</w:t>
      </w:r>
    </w:p>
    <w:p w14:paraId="7BB6049F" w14:textId="77777777" w:rsidR="00174DEC" w:rsidRPr="00174DEC" w:rsidRDefault="00174DEC" w:rsidP="00174DEC">
      <w:pPr>
        <w:spacing w:after="160" w:line="259" w:lineRule="auto"/>
        <w:jc w:val="both"/>
        <w:rPr>
          <w:lang w:val="sq-AL"/>
        </w:rPr>
      </w:pPr>
      <w:r w:rsidRPr="00174DEC">
        <w:rPr>
          <w:lang w:val="sq-AL"/>
        </w:rPr>
        <w:t>Së dyti, objektivat janë të matshëm, pasi zbatimi i tyre mund të vlerësohet përmes treguesve të tillë si: numri i deklaratave të vetëdeklarimit të dorëzuara në Qendrën Kombëtare të Biznesit; numri i subjekteve që raportojnë zotërimin e aksioneve të veta dhe krijimin e rezervës përkatëse; rastet e aplikimit të dispozitave për pavlefshmërinë e bashkimeve; si dhe raportet e mbledhura mbi shpërndarjet e fitimit dhe kthimin e tyre.</w:t>
      </w:r>
    </w:p>
    <w:p w14:paraId="6D37A6AF" w14:textId="77777777" w:rsidR="00174DEC" w:rsidRPr="00174DEC" w:rsidRDefault="00174DEC" w:rsidP="00174DEC">
      <w:pPr>
        <w:spacing w:after="160" w:line="259" w:lineRule="auto"/>
        <w:jc w:val="both"/>
        <w:rPr>
          <w:lang w:val="sq-AL"/>
        </w:rPr>
      </w:pPr>
      <w:r w:rsidRPr="00174DEC">
        <w:rPr>
          <w:lang w:val="sq-AL"/>
        </w:rPr>
        <w:t>Së treti, objektivat janë të arritshëm, pasi bazohen në kapacitetet ekzistuese të institucioneve të përfshira, si Qendra Kombëtare e Biznesit, shoqëritë tregtare dhe autoritetet mbikëqyrëse, pa imponuar nevojë për struktura të reja ose mekanizma të jashtëzakonshëm.</w:t>
      </w:r>
    </w:p>
    <w:p w14:paraId="773FFBBB" w14:textId="77777777" w:rsidR="00174DEC" w:rsidRPr="00174DEC" w:rsidRDefault="00174DEC" w:rsidP="00174DEC">
      <w:pPr>
        <w:spacing w:after="160" w:line="259" w:lineRule="auto"/>
        <w:jc w:val="both"/>
        <w:rPr>
          <w:lang w:val="sq-AL"/>
        </w:rPr>
      </w:pPr>
      <w:r w:rsidRPr="00174DEC">
        <w:rPr>
          <w:lang w:val="sq-AL"/>
        </w:rPr>
        <w:t>Së katërti, objektivat janë realë, pasi janë të mbështetur në përvojën ligjore të vendeve të BE-së dhe pasqyrojnë standarde të qarta të qeverisjes së shoqërive, duke respektuar proporcionalitetin midis kërkesave ligjore dhe kapaciteteve administrative.</w:t>
      </w:r>
    </w:p>
    <w:p w14:paraId="35123509" w14:textId="0DD3F15E" w:rsidR="00C17126" w:rsidRPr="00525217" w:rsidRDefault="00174DEC" w:rsidP="008D3502">
      <w:pPr>
        <w:spacing w:after="160" w:line="259" w:lineRule="auto"/>
        <w:jc w:val="both"/>
        <w:rPr>
          <w:lang w:val="sq-AL"/>
        </w:rPr>
      </w:pPr>
      <w:r w:rsidRPr="00174DEC">
        <w:rPr>
          <w:lang w:val="sq-AL"/>
        </w:rPr>
        <w:t>Së fundi, objektivat janë në kohë, pasi ndërhyrjet e propozuara janë të planifikuara të hyjnë në fuqi brenda vitit kalendarik dhe zbatimi i tyre mund të fillojë menjëherë pas miratimit të akteve nënligjore dhe trajnimit të aktorëve përkatës, duke mundësuar vlerësim të progresit brenda një afati të arsyeshëm (12 muaj). Kjo e bën reformën të menaxhueshme dhe të verifikueshme në kohë reale nga ana e institucioneve përgjegjëse.</w:t>
      </w:r>
      <w:r w:rsidR="005F23C8">
        <w:rPr>
          <w:lang w:val="sq-AL"/>
        </w:rPr>
        <w:t xml:space="preserve"> </w:t>
      </w:r>
      <w:r w:rsidR="003A4286" w:rsidRPr="00525217">
        <w:rPr>
          <w:lang w:val="sq-AL"/>
        </w:rPr>
        <w:t>Këto objektiva janë të realizueshme në një periudhë afatmesme dhe afatgjatë, duke marrë parasysh mbështetje të vazhdueshme nga institucionet kombëtare dhe ndërkombëtare.</w:t>
      </w:r>
    </w:p>
    <w:p w14:paraId="1EAC9D44" w14:textId="77777777" w:rsidR="002125B7" w:rsidRPr="00325A1F" w:rsidRDefault="002125B7" w:rsidP="009D13F4">
      <w:pPr>
        <w:pStyle w:val="Heading1"/>
        <w:spacing w:line="276" w:lineRule="auto"/>
        <w:rPr>
          <w:rFonts w:ascii="Times New Roman" w:hAnsi="Times New Roman" w:cs="Times New Roman"/>
          <w:sz w:val="24"/>
          <w:szCs w:val="24"/>
          <w:lang w:val="sq-AL"/>
        </w:rPr>
      </w:pPr>
      <w:bookmarkStart w:id="20" w:name="_Hlk191987099"/>
      <w:r w:rsidRPr="00325A1F">
        <w:rPr>
          <w:rFonts w:ascii="Times New Roman" w:hAnsi="Times New Roman" w:cs="Times New Roman"/>
          <w:sz w:val="24"/>
          <w:szCs w:val="24"/>
          <w:lang w:val="sq-AL"/>
        </w:rPr>
        <w:t>Përshkrimi i opsioneve të shqyrtuara</w:t>
      </w:r>
    </w:p>
    <w:sdt>
      <w:sdtPr>
        <w:rPr>
          <w:rFonts w:ascii="Times New Roman" w:hAnsi="Times New Roman"/>
          <w:sz w:val="24"/>
          <w:szCs w:val="24"/>
          <w:lang w:val="sq-AL"/>
        </w:rPr>
        <w:id w:val="483215"/>
        <w:lock w:val="contentLocked"/>
        <w:placeholder>
          <w:docPart w:val="DefaultPlaceholder_1081868574"/>
        </w:placeholder>
      </w:sdtPr>
      <w:sdtEndPr>
        <w:rPr>
          <w:i/>
          <w:iCs/>
        </w:rPr>
      </w:sdtEndPr>
      <w:sdtContent>
        <w:p w14:paraId="5F19F6B1" w14:textId="77777777" w:rsidR="009E64A4" w:rsidRPr="0032145B" w:rsidRDefault="009E64A4" w:rsidP="006D0629">
          <w:pPr>
            <w:pStyle w:val="ListParagraph"/>
            <w:numPr>
              <w:ilvl w:val="0"/>
              <w:numId w:val="12"/>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14:paraId="0219DEF6" w14:textId="77777777" w:rsidR="009E64A4" w:rsidRPr="0032145B" w:rsidRDefault="009E64A4" w:rsidP="006D0629">
          <w:pPr>
            <w:pStyle w:val="ListParagraph"/>
            <w:numPr>
              <w:ilvl w:val="0"/>
              <w:numId w:val="12"/>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14:paraId="358B441B" w14:textId="77777777" w:rsidR="009E64A4" w:rsidRPr="0032145B" w:rsidRDefault="009E64A4" w:rsidP="006D0629">
          <w:pPr>
            <w:pStyle w:val="ListParagraph"/>
            <w:numPr>
              <w:ilvl w:val="0"/>
              <w:numId w:val="12"/>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sdtContent>
    </w:sdt>
    <w:bookmarkEnd w:id="20"/>
    <w:p w14:paraId="04668004" w14:textId="77777777" w:rsidR="0027240D" w:rsidRDefault="0027240D" w:rsidP="003E47B8">
      <w:pPr>
        <w:jc w:val="both"/>
        <w:rPr>
          <w:b/>
          <w:bCs/>
          <w:lang w:val="it-IT"/>
        </w:rPr>
      </w:pPr>
    </w:p>
    <w:p w14:paraId="7B1525DB" w14:textId="697A9931" w:rsidR="00D6521D" w:rsidRDefault="00D6521D" w:rsidP="30EE1AA0">
      <w:pPr>
        <w:jc w:val="both"/>
        <w:rPr>
          <w:color w:val="000000" w:themeColor="text1"/>
          <w:lang w:val="sq-AL" w:bidi="en-US"/>
        </w:rPr>
      </w:pPr>
      <w:r w:rsidRPr="30EE1AA0">
        <w:rPr>
          <w:b/>
          <w:bCs/>
          <w:color w:val="000000" w:themeColor="text1"/>
          <w:lang w:val="sq-AL"/>
        </w:rPr>
        <w:t xml:space="preserve">Opsioni 0  (status quo)- </w:t>
      </w:r>
      <w:r w:rsidRPr="30EE1AA0">
        <w:rPr>
          <w:color w:val="000000" w:themeColor="text1"/>
          <w:lang w:val="sq-AL"/>
        </w:rPr>
        <w:t>nënkupton</w:t>
      </w:r>
      <w:r w:rsidRPr="30EE1AA0">
        <w:rPr>
          <w:b/>
          <w:bCs/>
          <w:color w:val="000000" w:themeColor="text1"/>
          <w:lang w:val="sq-AL"/>
        </w:rPr>
        <w:t xml:space="preserve"> </w:t>
      </w:r>
      <w:r w:rsidRPr="30EE1AA0">
        <w:rPr>
          <w:lang w:val="sq-AL"/>
        </w:rPr>
        <w:t>vijimin me kuadrin ligjor aktual.</w:t>
      </w:r>
      <w:r w:rsidR="00946EFE" w:rsidRPr="30EE1AA0">
        <w:rPr>
          <w:lang w:val="sq-AL"/>
        </w:rPr>
        <w:t xml:space="preserve"> N</w:t>
      </w:r>
      <w:r w:rsidR="007B2017" w:rsidRPr="30EE1AA0">
        <w:rPr>
          <w:lang w:val="sq-AL"/>
        </w:rPr>
        <w:t>ë</w:t>
      </w:r>
      <w:r w:rsidR="00946EFE" w:rsidRPr="30EE1AA0">
        <w:rPr>
          <w:lang w:val="sq-AL"/>
        </w:rPr>
        <w:t>se vler</w:t>
      </w:r>
      <w:r w:rsidR="007B2017" w:rsidRPr="30EE1AA0">
        <w:rPr>
          <w:lang w:val="sq-AL"/>
        </w:rPr>
        <w:t>ë</w:t>
      </w:r>
      <w:r w:rsidR="00946EFE" w:rsidRPr="30EE1AA0">
        <w:rPr>
          <w:lang w:val="sq-AL"/>
        </w:rPr>
        <w:t>sohet t</w:t>
      </w:r>
      <w:r w:rsidR="007B2017" w:rsidRPr="30EE1AA0">
        <w:rPr>
          <w:lang w:val="sq-AL"/>
        </w:rPr>
        <w:t>ë</w:t>
      </w:r>
      <w:r w:rsidR="00946EFE" w:rsidRPr="30EE1AA0">
        <w:rPr>
          <w:lang w:val="sq-AL"/>
        </w:rPr>
        <w:t xml:space="preserve"> zgjidhet ky </w:t>
      </w:r>
      <w:r w:rsidR="00F90C9C" w:rsidRPr="30EE1AA0">
        <w:rPr>
          <w:lang w:val="sq-AL"/>
        </w:rPr>
        <w:t xml:space="preserve">opsion, </w:t>
      </w:r>
      <w:r w:rsidR="007A173B" w:rsidRPr="30EE1AA0">
        <w:rPr>
          <w:lang w:val="sq-AL"/>
        </w:rPr>
        <w:t>do t</w:t>
      </w:r>
      <w:r w:rsidR="00BA155D" w:rsidRPr="30EE1AA0">
        <w:rPr>
          <w:lang w:val="sq-AL"/>
        </w:rPr>
        <w:t>ë</w:t>
      </w:r>
      <w:r w:rsidR="007A173B" w:rsidRPr="30EE1AA0">
        <w:rPr>
          <w:lang w:val="sq-AL"/>
        </w:rPr>
        <w:t xml:space="preserve"> vijohet me sistemet aktuale </w:t>
      </w:r>
      <w:r w:rsidR="003F5E0D" w:rsidRPr="30EE1AA0">
        <w:rPr>
          <w:lang w:val="sq-AL"/>
        </w:rPr>
        <w:t>pa k</w:t>
      </w:r>
      <w:r w:rsidR="007B2017" w:rsidRPr="30EE1AA0">
        <w:rPr>
          <w:lang w:val="sq-AL"/>
        </w:rPr>
        <w:t>ë</w:t>
      </w:r>
      <w:r w:rsidR="003F5E0D" w:rsidRPr="30EE1AA0">
        <w:rPr>
          <w:lang w:val="sq-AL"/>
        </w:rPr>
        <w:t>rkuar veprime l</w:t>
      </w:r>
      <w:r w:rsidR="00105959" w:rsidRPr="30EE1AA0">
        <w:rPr>
          <w:lang w:val="sq-AL"/>
        </w:rPr>
        <w:t>egjislative shtes</w:t>
      </w:r>
      <w:r w:rsidR="007B2017" w:rsidRPr="30EE1AA0">
        <w:rPr>
          <w:lang w:val="sq-AL"/>
        </w:rPr>
        <w:t>ë</w:t>
      </w:r>
      <w:r w:rsidR="00105959" w:rsidRPr="30EE1AA0">
        <w:rPr>
          <w:lang w:val="sq-AL"/>
        </w:rPr>
        <w:t xml:space="preserve">. </w:t>
      </w:r>
      <w:r w:rsidR="35176208" w:rsidRPr="30EE1AA0">
        <w:rPr>
          <w:lang w:val="sq-AL"/>
        </w:rPr>
        <w:t>K</w:t>
      </w:r>
      <w:r w:rsidR="00534E2C" w:rsidRPr="30EE1AA0">
        <w:rPr>
          <w:lang w:val="sq-AL"/>
        </w:rPr>
        <w:t xml:space="preserve">y opsion </w:t>
      </w:r>
      <w:r w:rsidR="00DB66B6" w:rsidRPr="30EE1AA0">
        <w:rPr>
          <w:lang w:val="sq-AL"/>
        </w:rPr>
        <w:t xml:space="preserve"> nuk është i mundur dhe as i përshtatshëm për t’u zbatuar për disa arsye</w:t>
      </w:r>
      <w:r w:rsidR="201DBB6D" w:rsidRPr="30EE1AA0">
        <w:rPr>
          <w:lang w:val="sq-AL"/>
        </w:rPr>
        <w:t>:</w:t>
      </w:r>
      <w:r w:rsidR="00DB66B6" w:rsidRPr="30EE1AA0">
        <w:rPr>
          <w:lang w:val="sq-AL"/>
        </w:rPr>
        <w:t xml:space="preserve"> Së pari, anëtarësimi në BE kërkon përafrim të plotë me acquis-in, siç përcaktohet nga </w:t>
      </w:r>
      <w:r w:rsidR="00C83D8F" w:rsidRPr="30EE1AA0">
        <w:rPr>
          <w:lang w:val="sq-AL"/>
        </w:rPr>
        <w:t>kriterit të Kopenhagenit</w:t>
      </w:r>
      <w:r w:rsidR="00676701" w:rsidRPr="30EE1AA0">
        <w:rPr>
          <w:lang w:val="sq-AL"/>
        </w:rPr>
        <w:t xml:space="preserve"> vendosur nga K</w:t>
      </w:r>
      <w:r w:rsidR="00307DD4" w:rsidRPr="30EE1AA0">
        <w:rPr>
          <w:lang w:val="sq-AL"/>
        </w:rPr>
        <w:t>ë</w:t>
      </w:r>
      <w:r w:rsidR="00676701" w:rsidRPr="30EE1AA0">
        <w:rPr>
          <w:lang w:val="sq-AL"/>
        </w:rPr>
        <w:t>shill i Europ</w:t>
      </w:r>
      <w:r w:rsidR="00307DD4" w:rsidRPr="30EE1AA0">
        <w:rPr>
          <w:lang w:val="sq-AL"/>
        </w:rPr>
        <w:t>ë</w:t>
      </w:r>
      <w:r w:rsidR="00676701" w:rsidRPr="30EE1AA0">
        <w:rPr>
          <w:lang w:val="sq-AL"/>
        </w:rPr>
        <w:t>s n</w:t>
      </w:r>
      <w:r w:rsidR="00307DD4" w:rsidRPr="30EE1AA0">
        <w:rPr>
          <w:lang w:val="sq-AL"/>
        </w:rPr>
        <w:t>ë</w:t>
      </w:r>
      <w:r w:rsidR="00676701" w:rsidRPr="30EE1AA0">
        <w:rPr>
          <w:lang w:val="sq-AL"/>
        </w:rPr>
        <w:t xml:space="preserve"> vitin 1993,</w:t>
      </w:r>
      <w:r w:rsidR="00C83D8F" w:rsidRPr="30EE1AA0">
        <w:rPr>
          <w:lang w:val="sq-AL"/>
        </w:rPr>
        <w:t xml:space="preserve"> për "aftësinë për të marrë përsipër detyrimet e anëtarësimit"</w:t>
      </w:r>
      <w:r w:rsidR="004B5A8D" w:rsidRPr="30EE1AA0">
        <w:rPr>
          <w:lang w:val="sq-AL"/>
        </w:rPr>
        <w:t xml:space="preserve"> që burojnë nga t</w:t>
      </w:r>
      <w:r w:rsidR="00307DD4" w:rsidRPr="30EE1AA0">
        <w:rPr>
          <w:lang w:val="sq-AL"/>
        </w:rPr>
        <w:t>ë</w:t>
      </w:r>
      <w:r w:rsidR="004B5A8D" w:rsidRPr="30EE1AA0">
        <w:rPr>
          <w:lang w:val="sq-AL"/>
        </w:rPr>
        <w:t xml:space="preserve"> qenit vend an</w:t>
      </w:r>
      <w:r w:rsidR="00307DD4" w:rsidRPr="30EE1AA0">
        <w:rPr>
          <w:lang w:val="sq-AL"/>
        </w:rPr>
        <w:t>ë</w:t>
      </w:r>
      <w:r w:rsidR="004B5A8D" w:rsidRPr="30EE1AA0">
        <w:rPr>
          <w:lang w:val="sq-AL"/>
        </w:rPr>
        <w:t>tar</w:t>
      </w:r>
      <w:r w:rsidR="00676701" w:rsidRPr="30EE1AA0">
        <w:rPr>
          <w:lang w:val="sq-AL"/>
        </w:rPr>
        <w:t>.</w:t>
      </w:r>
      <w:r w:rsidR="00C83D8F" w:rsidRPr="30EE1AA0">
        <w:rPr>
          <w:lang w:val="sq-AL"/>
        </w:rPr>
        <w:t xml:space="preserve"> Shqipëria është e detyruar të përafrojë plotësisht legjislacionin e saj me acquis-in e BE-së dhe të zhvillojë kapacitete institucionale për ta zbatuar atë, siç përcaktohet gjithashtu nga Neni 70 i Marrëveshjes së Stabilizim-Asociimit (MSA) dhe procesi i negociatave të anëtarësimit.</w:t>
      </w:r>
      <w:r w:rsidR="00DB66B6" w:rsidRPr="30EE1AA0">
        <w:rPr>
          <w:lang w:val="sq-AL"/>
        </w:rPr>
        <w:t>. Së dyti, vetë Manuali për Vlerësimin e Ndikimit Rregullator (RIA) i Këshillit të Ministrave të vitit 2016 nuk e lejon zgjedhjen e status quo-së si opsion kur harmonizimi është i detyrueshëm. Mbajtja e kuadrit aktual do të çonte në mos përputhshmëri të vazhdueshme me direktivat kryesore të BE-së, si Direktiva e Kodifikuar 2017/1132, duke lënë pa adresuar boshllëqet në</w:t>
      </w:r>
      <w:r w:rsidR="003A123B" w:rsidRPr="30EE1AA0">
        <w:rPr>
          <w:lang w:val="sq-AL"/>
        </w:rPr>
        <w:t xml:space="preserve"> ligjin</w:t>
      </w:r>
      <w:r w:rsidR="00DB66B6" w:rsidRPr="30EE1AA0">
        <w:rPr>
          <w:lang w:val="sq-AL"/>
        </w:rPr>
        <w:t xml:space="preserve"> </w:t>
      </w:r>
      <w:r w:rsidR="003A123B" w:rsidRPr="30EE1AA0">
        <w:rPr>
          <w:lang w:val="sq-AL"/>
        </w:rPr>
        <w:t>9901/2008</w:t>
      </w:r>
      <w:r w:rsidR="00DB66B6" w:rsidRPr="30EE1AA0">
        <w:rPr>
          <w:lang w:val="sq-AL"/>
        </w:rPr>
        <w:t xml:space="preserve">. Kjo do të pengonte harmonizimin ligjor dhe infrastrukturor, duke e bërë të pamundur përmbushjen e detyrimeve për transpozim dhe, rrjedhimisht, duke rezultuar në mosanëtarësimin </w:t>
      </w:r>
      <w:r w:rsidR="00DB66B6" w:rsidRPr="30EE1AA0">
        <w:rPr>
          <w:lang w:val="sq-AL"/>
        </w:rPr>
        <w:lastRenderedPageBreak/>
        <w:t>në BE dhe moszbatimin e politikave kombëtare për integrim, si Strategjia Kombëtare për Zhvillim dhe Integrim Evropian (SKZHIE) dhe Plani Kombëtar për Integrimin Evropian (PKIE).</w:t>
      </w:r>
      <w:r w:rsidR="00C915B0" w:rsidRPr="30EE1AA0">
        <w:rPr>
          <w:color w:val="000000" w:themeColor="text1"/>
          <w:lang w:val="sq-AL" w:bidi="en-US"/>
        </w:rPr>
        <w:t xml:space="preserve"> Pa veprim, kapaciteti institucional i Shqipërisë do të mbetej i pamjaftueshëm për të menaxhuar kompleksitetin e </w:t>
      </w:r>
      <w:r w:rsidR="00155C6A" w:rsidRPr="30EE1AA0">
        <w:rPr>
          <w:color w:val="000000" w:themeColor="text1"/>
          <w:lang w:val="sq-AL" w:bidi="en-US"/>
        </w:rPr>
        <w:t>Direktivës së Kodifikuar për shoq</w:t>
      </w:r>
      <w:r w:rsidR="00F17944" w:rsidRPr="30EE1AA0">
        <w:rPr>
          <w:color w:val="000000" w:themeColor="text1"/>
          <w:lang w:val="sq-AL" w:bidi="en-US"/>
        </w:rPr>
        <w:t>ë</w:t>
      </w:r>
      <w:r w:rsidR="00155C6A" w:rsidRPr="30EE1AA0">
        <w:rPr>
          <w:color w:val="000000" w:themeColor="text1"/>
          <w:lang w:val="sq-AL" w:bidi="en-US"/>
        </w:rPr>
        <w:t>rit</w:t>
      </w:r>
      <w:r w:rsidR="00F17944" w:rsidRPr="30EE1AA0">
        <w:rPr>
          <w:color w:val="000000" w:themeColor="text1"/>
          <w:lang w:val="sq-AL" w:bidi="en-US"/>
        </w:rPr>
        <w:t>ë</w:t>
      </w:r>
      <w:r w:rsidR="00155C6A" w:rsidRPr="30EE1AA0">
        <w:rPr>
          <w:color w:val="000000" w:themeColor="text1"/>
          <w:lang w:val="sq-AL" w:bidi="en-US"/>
        </w:rPr>
        <w:t xml:space="preserve"> tregtare</w:t>
      </w:r>
      <w:r w:rsidR="00A70025" w:rsidRPr="30EE1AA0">
        <w:rPr>
          <w:color w:val="000000" w:themeColor="text1"/>
          <w:lang w:val="sq-AL" w:bidi="en-US"/>
        </w:rPr>
        <w:t>.</w:t>
      </w:r>
      <w:r w:rsidR="005A4C7B" w:rsidRPr="30EE1AA0">
        <w:rPr>
          <w:color w:val="000000" w:themeColor="text1"/>
          <w:lang w:val="sq-AL" w:bidi="en-US"/>
        </w:rPr>
        <w:t>.</w:t>
      </w:r>
    </w:p>
    <w:p w14:paraId="739AEB2C" w14:textId="77777777" w:rsidR="003E47B8" w:rsidRPr="003E47B8" w:rsidRDefault="003E47B8" w:rsidP="003E47B8">
      <w:pPr>
        <w:jc w:val="both"/>
        <w:rPr>
          <w:b/>
          <w:bCs/>
          <w:szCs w:val="24"/>
          <w:lang w:val="sq-AL"/>
        </w:rPr>
      </w:pPr>
    </w:p>
    <w:p w14:paraId="5EEE4EF2" w14:textId="118EF818" w:rsidR="00B75D81" w:rsidRDefault="00D6521D" w:rsidP="00B75D81">
      <w:pPr>
        <w:jc w:val="both"/>
        <w:rPr>
          <w:szCs w:val="24"/>
          <w:lang w:val="sq-AL"/>
        </w:rPr>
      </w:pPr>
      <w:r w:rsidRPr="00155C6A">
        <w:rPr>
          <w:b/>
          <w:bCs/>
          <w:szCs w:val="24"/>
          <w:lang w:val="sq-AL"/>
        </w:rPr>
        <w:t>Opsioni 1 (Ndryshime n</w:t>
      </w:r>
      <w:r w:rsidR="0071541B" w:rsidRPr="00155C6A">
        <w:rPr>
          <w:b/>
          <w:bCs/>
          <w:szCs w:val="24"/>
          <w:lang w:val="sq-AL"/>
        </w:rPr>
        <w:t>ë</w:t>
      </w:r>
      <w:r w:rsidRPr="00155C6A">
        <w:rPr>
          <w:b/>
          <w:bCs/>
          <w:szCs w:val="24"/>
          <w:lang w:val="sq-AL"/>
        </w:rPr>
        <w:t xml:space="preserve"> </w:t>
      </w:r>
      <w:r w:rsidR="003A123B" w:rsidRPr="00155C6A">
        <w:rPr>
          <w:b/>
          <w:bCs/>
          <w:szCs w:val="24"/>
          <w:lang w:val="sq-AL"/>
        </w:rPr>
        <w:t>l</w:t>
      </w:r>
      <w:r w:rsidR="003A123B">
        <w:rPr>
          <w:b/>
          <w:bCs/>
          <w:szCs w:val="24"/>
          <w:lang w:val="sq-AL"/>
        </w:rPr>
        <w:t>igjin</w:t>
      </w:r>
      <w:r w:rsidR="003A123B" w:rsidRPr="00155C6A">
        <w:rPr>
          <w:b/>
          <w:bCs/>
          <w:szCs w:val="24"/>
          <w:lang w:val="sq-AL"/>
        </w:rPr>
        <w:t xml:space="preserve"> </w:t>
      </w:r>
      <w:r w:rsidRPr="00155C6A">
        <w:rPr>
          <w:b/>
          <w:bCs/>
          <w:szCs w:val="24"/>
          <w:lang w:val="sq-AL"/>
        </w:rPr>
        <w:t xml:space="preserve">ekzistues) </w:t>
      </w:r>
      <w:r w:rsidR="00B4194A">
        <w:rPr>
          <w:b/>
          <w:bCs/>
          <w:szCs w:val="24"/>
          <w:lang w:val="sq-AL"/>
        </w:rPr>
        <w:t xml:space="preserve">i preferuar </w:t>
      </w:r>
      <w:r w:rsidRPr="00155C6A">
        <w:rPr>
          <w:szCs w:val="24"/>
          <w:lang w:val="sq-AL"/>
        </w:rPr>
        <w:t xml:space="preserve">-nënkupton </w:t>
      </w:r>
      <w:r w:rsidR="005A4C7B">
        <w:rPr>
          <w:szCs w:val="24"/>
          <w:lang w:val="sq-AL"/>
        </w:rPr>
        <w:t>kryerjen e</w:t>
      </w:r>
      <w:r w:rsidRPr="00155C6A">
        <w:rPr>
          <w:szCs w:val="24"/>
          <w:lang w:val="sq-AL"/>
        </w:rPr>
        <w:t xml:space="preserve"> ndryshimeve </w:t>
      </w:r>
      <w:r w:rsidR="00B624F5">
        <w:rPr>
          <w:szCs w:val="24"/>
          <w:lang w:val="sq-AL"/>
        </w:rPr>
        <w:t>duke amenduar dhe shtuar ligjin aktual 9901/2008</w:t>
      </w:r>
      <w:r w:rsidRPr="00155C6A">
        <w:rPr>
          <w:szCs w:val="24"/>
          <w:lang w:val="sq-AL"/>
        </w:rPr>
        <w:t>.</w:t>
      </w:r>
      <w:r w:rsidR="00BA155D" w:rsidRPr="00155C6A">
        <w:rPr>
          <w:szCs w:val="24"/>
          <w:lang w:val="sq-AL"/>
        </w:rPr>
        <w:t xml:space="preserve"> </w:t>
      </w:r>
      <w:r w:rsidR="00B4194A" w:rsidRPr="00B4194A">
        <w:rPr>
          <w:szCs w:val="24"/>
          <w:lang w:val="sq-AL"/>
        </w:rPr>
        <w:t xml:space="preserve">Ky opsion fokusohet në një qasje </w:t>
      </w:r>
      <w:r w:rsidR="00C95912">
        <w:rPr>
          <w:szCs w:val="24"/>
          <w:lang w:val="sq-AL"/>
        </w:rPr>
        <w:t>konservatore</w:t>
      </w:r>
      <w:r w:rsidR="00C95912" w:rsidRPr="00B4194A">
        <w:rPr>
          <w:szCs w:val="24"/>
          <w:lang w:val="sq-AL"/>
        </w:rPr>
        <w:t xml:space="preserve"> </w:t>
      </w:r>
      <w:r w:rsidR="00B4194A" w:rsidRPr="00B4194A">
        <w:rPr>
          <w:szCs w:val="24"/>
          <w:lang w:val="sq-AL"/>
        </w:rPr>
        <w:t xml:space="preserve">për harmonizimin e </w:t>
      </w:r>
      <w:r w:rsidR="00C671CA">
        <w:rPr>
          <w:szCs w:val="24"/>
          <w:lang w:val="sq-AL"/>
        </w:rPr>
        <w:t>ligjit 9901/2008</w:t>
      </w:r>
      <w:r w:rsidR="00B4194A" w:rsidRPr="00B4194A">
        <w:rPr>
          <w:szCs w:val="24"/>
          <w:lang w:val="sq-AL"/>
        </w:rPr>
        <w:t xml:space="preserve"> tregtare në Shqipëri me direktivat e BE-së duke qenë se edhe sipas progres raportit të Komisionit Evropian, Shqipëria ka një përgatitje mesatare dhe përafrim mesatar, çka nënkupton se duhen bërë përpjekje për të bërë hapin tjetër mbi një bazë ekzistuese dhe të pranuar. Ai përfshin adresimin </w:t>
      </w:r>
      <w:r w:rsidR="00DF5D92">
        <w:rPr>
          <w:szCs w:val="24"/>
          <w:lang w:val="sq-AL"/>
        </w:rPr>
        <w:t>e</w:t>
      </w:r>
      <w:r w:rsidR="00B4194A" w:rsidRPr="00B4194A">
        <w:rPr>
          <w:szCs w:val="24"/>
          <w:lang w:val="sq-AL"/>
        </w:rPr>
        <w:t xml:space="preserve"> boshllëqeve të identifikuara në Përkufizimit të Problemit</w:t>
      </w:r>
      <w:r w:rsidR="0033316A">
        <w:rPr>
          <w:szCs w:val="24"/>
          <w:lang w:val="sq-AL"/>
        </w:rPr>
        <w:t xml:space="preserve"> dhe Objektivat e Politikës</w:t>
      </w:r>
      <w:r w:rsidR="00B4194A" w:rsidRPr="00B4194A">
        <w:rPr>
          <w:szCs w:val="24"/>
          <w:lang w:val="sq-AL"/>
        </w:rPr>
        <w:t xml:space="preserve">, duke ndërtuar njëkohësisht kapacitetin institucional të nevojshëm për të zbatuar këto reforma. Veprimet kyçe përfshijnë ndryshime të </w:t>
      </w:r>
      <w:r w:rsidR="00505A47">
        <w:rPr>
          <w:szCs w:val="24"/>
          <w:lang w:val="sq-AL"/>
        </w:rPr>
        <w:t xml:space="preserve">dispozitave </w:t>
      </w:r>
      <w:r w:rsidR="00875C3A">
        <w:rPr>
          <w:szCs w:val="24"/>
          <w:lang w:val="sq-AL"/>
        </w:rPr>
        <w:t xml:space="preserve">ekzistuese </w:t>
      </w:r>
      <w:r w:rsidR="0033316A">
        <w:rPr>
          <w:szCs w:val="24"/>
          <w:lang w:val="sq-AL"/>
        </w:rPr>
        <w:t>shoqëruar</w:t>
      </w:r>
      <w:r w:rsidR="00B4194A" w:rsidRPr="00B4194A">
        <w:rPr>
          <w:szCs w:val="24"/>
          <w:lang w:val="sq-AL"/>
        </w:rPr>
        <w:t xml:space="preserve"> me përpjekje për ndërtimin e kapaciteteve në institucione si Qendra Kombëtare e Biznesit (QKB), </w:t>
      </w:r>
      <w:r w:rsidR="003A44E3">
        <w:rPr>
          <w:szCs w:val="24"/>
          <w:lang w:val="sq-AL"/>
        </w:rPr>
        <w:t>ME</w:t>
      </w:r>
      <w:r w:rsidR="00875C3A">
        <w:rPr>
          <w:szCs w:val="24"/>
          <w:lang w:val="sq-AL"/>
        </w:rPr>
        <w:t xml:space="preserve">. </w:t>
      </w:r>
      <w:r w:rsidR="00B4194A" w:rsidRPr="00B4194A">
        <w:rPr>
          <w:szCs w:val="24"/>
          <w:lang w:val="sq-AL"/>
        </w:rPr>
        <w:t xml:space="preserve">Një mekanizëm i fortë monitorimi dhe vlerësimi do të ndjekë progresin. Ky opsion mundëson një </w:t>
      </w:r>
      <w:r w:rsidR="00875C3A">
        <w:rPr>
          <w:szCs w:val="24"/>
          <w:lang w:val="sq-AL"/>
        </w:rPr>
        <w:t>transpozim</w:t>
      </w:r>
      <w:r w:rsidR="00B4194A" w:rsidRPr="00B4194A">
        <w:rPr>
          <w:szCs w:val="24"/>
          <w:lang w:val="sq-AL"/>
        </w:rPr>
        <w:t xml:space="preserve"> të menaxhueshëm.</w:t>
      </w:r>
      <w:r w:rsidR="00B4194A" w:rsidRPr="00B4194A">
        <w:rPr>
          <w:lang w:val="sq-AL"/>
        </w:rPr>
        <w:t xml:space="preserve"> </w:t>
      </w:r>
      <w:r w:rsidR="00F8607C" w:rsidRPr="00F8607C">
        <w:rPr>
          <w:szCs w:val="24"/>
          <w:lang w:val="sq-AL"/>
        </w:rPr>
        <w:t xml:space="preserve">Opsioni i transpozimit të plotë duke përshtatur </w:t>
      </w:r>
      <w:r w:rsidR="00373357">
        <w:rPr>
          <w:szCs w:val="24"/>
          <w:lang w:val="sq-AL"/>
        </w:rPr>
        <w:t>ligjin</w:t>
      </w:r>
      <w:r w:rsidR="00373357" w:rsidRPr="00F8607C">
        <w:rPr>
          <w:szCs w:val="24"/>
          <w:lang w:val="sq-AL"/>
        </w:rPr>
        <w:t xml:space="preserve"> </w:t>
      </w:r>
      <w:r w:rsidR="00F8607C" w:rsidRPr="00F8607C">
        <w:rPr>
          <w:szCs w:val="24"/>
          <w:lang w:val="sq-AL"/>
        </w:rPr>
        <w:t>ekzistues me direktiv</w:t>
      </w:r>
      <w:r w:rsidR="005F23C8">
        <w:rPr>
          <w:szCs w:val="24"/>
          <w:lang w:val="sq-AL"/>
        </w:rPr>
        <w:t>ë</w:t>
      </w:r>
      <w:r w:rsidR="00373357">
        <w:rPr>
          <w:szCs w:val="24"/>
          <w:lang w:val="sq-AL"/>
        </w:rPr>
        <w:t>n</w:t>
      </w:r>
      <w:r w:rsidR="00F8607C" w:rsidRPr="00F8607C">
        <w:rPr>
          <w:szCs w:val="24"/>
          <w:lang w:val="sq-AL"/>
        </w:rPr>
        <w:t xml:space="preserve"> e BE-së, pa ndryshuar strukturën e përgjithshme të </w:t>
      </w:r>
      <w:r w:rsidR="00373357">
        <w:rPr>
          <w:szCs w:val="24"/>
          <w:lang w:val="sq-AL"/>
        </w:rPr>
        <w:t>ligjit</w:t>
      </w:r>
      <w:r w:rsidR="00F8607C" w:rsidRPr="00F8607C">
        <w:rPr>
          <w:szCs w:val="24"/>
          <w:lang w:val="sq-AL"/>
        </w:rPr>
        <w:t xml:space="preserve">, përfshin identifikimin e boshllëqeve ligjore dhe </w:t>
      </w:r>
      <w:r w:rsidR="004C5D15">
        <w:rPr>
          <w:szCs w:val="24"/>
          <w:lang w:val="sq-AL"/>
        </w:rPr>
        <w:t>kryerjen</w:t>
      </w:r>
      <w:r w:rsidR="004C5D15" w:rsidRPr="00F8607C">
        <w:rPr>
          <w:szCs w:val="24"/>
          <w:lang w:val="sq-AL"/>
        </w:rPr>
        <w:t xml:space="preserve"> </w:t>
      </w:r>
      <w:r w:rsidR="00F8607C" w:rsidRPr="00F8607C">
        <w:rPr>
          <w:szCs w:val="24"/>
          <w:lang w:val="sq-AL"/>
        </w:rPr>
        <w:t>e ndryshimeve ose shtesave vetëm për të adresuar këto boshllëqe. K</w:t>
      </w:r>
      <w:r w:rsidR="00985591">
        <w:rPr>
          <w:szCs w:val="24"/>
          <w:lang w:val="sq-AL"/>
        </w:rPr>
        <w:t xml:space="preserve">jo </w:t>
      </w:r>
      <w:r w:rsidR="00F8607C" w:rsidRPr="00F8607C">
        <w:rPr>
          <w:szCs w:val="24"/>
          <w:lang w:val="sq-AL"/>
        </w:rPr>
        <w:t>qasje siguron që kuadri ligjor ekzistues, që tashmë ka harmonizuar disa aspekte me legjislacionin e BE-së, të mbetet në fuqi, por të kompletohet me përditësimet e nevojshme në fushat ku nuk janë plotësisht të përshtatura me kërkesat e BE-së.</w:t>
      </w:r>
      <w:r w:rsidR="00B75D81" w:rsidRPr="006D0DA9">
        <w:rPr>
          <w:lang w:val="sq-AL"/>
        </w:rPr>
        <w:t xml:space="preserve"> </w:t>
      </w:r>
      <w:r w:rsidR="00B75D81">
        <w:rPr>
          <w:lang w:val="sq-AL"/>
        </w:rPr>
        <w:t>Analiza ka n</w:t>
      </w:r>
      <w:r w:rsidR="00B75D81" w:rsidRPr="00B75D81">
        <w:rPr>
          <w:szCs w:val="24"/>
          <w:lang w:val="sq-AL"/>
        </w:rPr>
        <w:t>xjerr</w:t>
      </w:r>
      <w:r w:rsidR="00B75D81">
        <w:rPr>
          <w:szCs w:val="24"/>
          <w:lang w:val="sq-AL"/>
        </w:rPr>
        <w:t>ë</w:t>
      </w:r>
      <w:r w:rsidR="00B75D81" w:rsidRPr="00B75D81">
        <w:rPr>
          <w:szCs w:val="24"/>
          <w:lang w:val="sq-AL"/>
        </w:rPr>
        <w:t xml:space="preserve"> në pah </w:t>
      </w:r>
      <w:r w:rsidR="00713681">
        <w:rPr>
          <w:szCs w:val="24"/>
          <w:lang w:val="sq-AL"/>
        </w:rPr>
        <w:t>mosp</w:t>
      </w:r>
      <w:r w:rsidR="0064237C">
        <w:rPr>
          <w:szCs w:val="24"/>
          <w:lang w:val="sq-AL"/>
        </w:rPr>
        <w:t>ë</w:t>
      </w:r>
      <w:r w:rsidR="00713681">
        <w:rPr>
          <w:szCs w:val="24"/>
          <w:lang w:val="sq-AL"/>
        </w:rPr>
        <w:t>rputhshm</w:t>
      </w:r>
      <w:r w:rsidR="0064237C">
        <w:rPr>
          <w:szCs w:val="24"/>
          <w:lang w:val="sq-AL"/>
        </w:rPr>
        <w:t>ë</w:t>
      </w:r>
      <w:r w:rsidR="00713681">
        <w:rPr>
          <w:szCs w:val="24"/>
          <w:lang w:val="sq-AL"/>
        </w:rPr>
        <w:t>rit</w:t>
      </w:r>
      <w:r w:rsidR="0064237C">
        <w:rPr>
          <w:szCs w:val="24"/>
          <w:lang w:val="sq-AL"/>
        </w:rPr>
        <w:t>ë</w:t>
      </w:r>
      <w:r w:rsidR="00713681">
        <w:rPr>
          <w:szCs w:val="24"/>
          <w:lang w:val="sq-AL"/>
        </w:rPr>
        <w:t xml:space="preserve"> e ligjit aktual me direktiv</w:t>
      </w:r>
      <w:r w:rsidR="0064237C">
        <w:rPr>
          <w:szCs w:val="24"/>
          <w:lang w:val="sq-AL"/>
        </w:rPr>
        <w:t>ë</w:t>
      </w:r>
      <w:r w:rsidR="00713681">
        <w:rPr>
          <w:szCs w:val="24"/>
          <w:lang w:val="sq-AL"/>
        </w:rPr>
        <w:t>n, t</w:t>
      </w:r>
      <w:r w:rsidR="0064237C">
        <w:rPr>
          <w:szCs w:val="24"/>
          <w:lang w:val="sq-AL"/>
        </w:rPr>
        <w:t>ë</w:t>
      </w:r>
      <w:r w:rsidR="00713681">
        <w:rPr>
          <w:szCs w:val="24"/>
          <w:lang w:val="sq-AL"/>
        </w:rPr>
        <w:t xml:space="preserve"> cilat jan</w:t>
      </w:r>
      <w:r w:rsidR="0064237C">
        <w:rPr>
          <w:szCs w:val="24"/>
          <w:lang w:val="sq-AL"/>
        </w:rPr>
        <w:t>ë</w:t>
      </w:r>
      <w:r w:rsidR="00713681">
        <w:rPr>
          <w:szCs w:val="24"/>
          <w:lang w:val="sq-AL"/>
        </w:rPr>
        <w:t xml:space="preserve"> identifikuar n</w:t>
      </w:r>
      <w:r w:rsidR="0064237C">
        <w:rPr>
          <w:szCs w:val="24"/>
          <w:lang w:val="sq-AL"/>
        </w:rPr>
        <w:t>ë</w:t>
      </w:r>
      <w:r w:rsidR="00713681">
        <w:rPr>
          <w:szCs w:val="24"/>
          <w:lang w:val="sq-AL"/>
        </w:rPr>
        <w:t xml:space="preserve"> rubrik</w:t>
      </w:r>
      <w:r w:rsidR="0064237C">
        <w:rPr>
          <w:szCs w:val="24"/>
          <w:lang w:val="sq-AL"/>
        </w:rPr>
        <w:t>ë</w:t>
      </w:r>
      <w:r w:rsidR="00713681">
        <w:rPr>
          <w:szCs w:val="24"/>
          <w:lang w:val="sq-AL"/>
        </w:rPr>
        <w:t>n e problematikave m</w:t>
      </w:r>
      <w:r w:rsidR="0064237C">
        <w:rPr>
          <w:szCs w:val="24"/>
          <w:lang w:val="sq-AL"/>
        </w:rPr>
        <w:t>ë</w:t>
      </w:r>
      <w:r w:rsidR="00713681">
        <w:rPr>
          <w:szCs w:val="24"/>
          <w:lang w:val="sq-AL"/>
        </w:rPr>
        <w:t xml:space="preserve"> sip</w:t>
      </w:r>
      <w:r w:rsidR="0064237C">
        <w:rPr>
          <w:szCs w:val="24"/>
          <w:lang w:val="sq-AL"/>
        </w:rPr>
        <w:t>ë</w:t>
      </w:r>
      <w:r w:rsidR="00713681">
        <w:rPr>
          <w:szCs w:val="24"/>
          <w:lang w:val="sq-AL"/>
        </w:rPr>
        <w:t>r.</w:t>
      </w:r>
    </w:p>
    <w:p w14:paraId="77577194" w14:textId="77777777" w:rsidR="00B75D81" w:rsidRPr="00B75D81" w:rsidRDefault="00B75D81" w:rsidP="00B75D81">
      <w:pPr>
        <w:jc w:val="both"/>
        <w:rPr>
          <w:szCs w:val="24"/>
          <w:lang w:val="sq-AL"/>
        </w:rPr>
      </w:pPr>
    </w:p>
    <w:p w14:paraId="4506B036" w14:textId="0FE7C2BB" w:rsidR="00F8607C" w:rsidRDefault="00F8607C" w:rsidP="00F8607C">
      <w:pPr>
        <w:jc w:val="both"/>
        <w:rPr>
          <w:szCs w:val="24"/>
          <w:lang w:val="sq-AL"/>
        </w:rPr>
      </w:pPr>
      <w:r w:rsidRPr="00F8607C">
        <w:rPr>
          <w:szCs w:val="24"/>
          <w:lang w:val="sq-AL"/>
        </w:rPr>
        <w:t>Ky opsion</w:t>
      </w:r>
      <w:r w:rsidR="005A69B2">
        <w:rPr>
          <w:szCs w:val="24"/>
          <w:lang w:val="sq-AL"/>
        </w:rPr>
        <w:t xml:space="preserve"> 1</w:t>
      </w:r>
      <w:r w:rsidRPr="00F8607C">
        <w:rPr>
          <w:szCs w:val="24"/>
          <w:lang w:val="sq-AL"/>
        </w:rPr>
        <w:t xml:space="preserve"> është më ekonomik dhe më efikas në kohë krahasuar me një ri</w:t>
      </w:r>
      <w:r w:rsidR="00985591">
        <w:rPr>
          <w:szCs w:val="24"/>
          <w:lang w:val="sq-AL"/>
        </w:rPr>
        <w:t>shkrimin</w:t>
      </w:r>
      <w:r w:rsidRPr="00F8607C">
        <w:rPr>
          <w:szCs w:val="24"/>
          <w:lang w:val="sq-AL"/>
        </w:rPr>
        <w:t xml:space="preserve"> </w:t>
      </w:r>
      <w:r w:rsidR="00985591">
        <w:rPr>
          <w:szCs w:val="24"/>
          <w:lang w:val="sq-AL"/>
        </w:rPr>
        <w:t>e</w:t>
      </w:r>
      <w:r w:rsidRPr="00F8607C">
        <w:rPr>
          <w:szCs w:val="24"/>
          <w:lang w:val="sq-AL"/>
        </w:rPr>
        <w:t xml:space="preserve"> plotë </w:t>
      </w:r>
      <w:r w:rsidR="00985591">
        <w:rPr>
          <w:szCs w:val="24"/>
          <w:lang w:val="sq-AL"/>
        </w:rPr>
        <w:t xml:space="preserve">të kodifikuar </w:t>
      </w:r>
      <w:r w:rsidRPr="00F8607C">
        <w:rPr>
          <w:szCs w:val="24"/>
          <w:lang w:val="sq-AL"/>
        </w:rPr>
        <w:t xml:space="preserve">legjislacionit ekzistues. Ai minimizon nevojën për ndryshime të mëdha në strukturën ligjore, duke reduktuar kostot që lidhen me hartimin e një legjislacioni të ri ose krijimin e një direktive të re të kodifikuar. Duke u </w:t>
      </w:r>
      <w:r w:rsidR="005F23C8" w:rsidRPr="00F8607C">
        <w:rPr>
          <w:szCs w:val="24"/>
          <w:lang w:val="sq-AL"/>
        </w:rPr>
        <w:t>përqendruar</w:t>
      </w:r>
      <w:r w:rsidRPr="00F8607C">
        <w:rPr>
          <w:szCs w:val="24"/>
          <w:lang w:val="sq-AL"/>
        </w:rPr>
        <w:t xml:space="preserve"> vetëm në boshllëqet, Shqipëria mund të arrijë përputhshmëri të plotë me standardet e BE-së në një mënyrë më të targetuar, duke mundësuar zbatim më të shpejtë.</w:t>
      </w:r>
      <w:r w:rsidR="005F23C8">
        <w:rPr>
          <w:szCs w:val="24"/>
          <w:lang w:val="sq-AL"/>
        </w:rPr>
        <w:t xml:space="preserve"> </w:t>
      </w:r>
      <w:r w:rsidRPr="00F8607C">
        <w:rPr>
          <w:szCs w:val="24"/>
          <w:lang w:val="sq-AL"/>
        </w:rPr>
        <w:t xml:space="preserve">Një përfitim i këtij opsioni është që struktura e </w:t>
      </w:r>
      <w:r w:rsidR="003C481F" w:rsidRPr="00F8607C">
        <w:rPr>
          <w:szCs w:val="24"/>
          <w:lang w:val="sq-AL"/>
        </w:rPr>
        <w:t>l</w:t>
      </w:r>
      <w:r w:rsidR="003C481F">
        <w:rPr>
          <w:szCs w:val="24"/>
          <w:lang w:val="sq-AL"/>
        </w:rPr>
        <w:t>igjit</w:t>
      </w:r>
      <w:r w:rsidR="003C481F" w:rsidRPr="00F8607C">
        <w:rPr>
          <w:szCs w:val="24"/>
          <w:lang w:val="sq-AL"/>
        </w:rPr>
        <w:t xml:space="preserve"> </w:t>
      </w:r>
      <w:r w:rsidRPr="00F8607C">
        <w:rPr>
          <w:szCs w:val="24"/>
          <w:lang w:val="sq-AL"/>
        </w:rPr>
        <w:t>ekzistues</w:t>
      </w:r>
      <w:r w:rsidR="003C12C7">
        <w:rPr>
          <w:szCs w:val="24"/>
          <w:lang w:val="sq-AL"/>
        </w:rPr>
        <w:t xml:space="preserve"> </w:t>
      </w:r>
      <w:r w:rsidRPr="00F8607C">
        <w:rPr>
          <w:szCs w:val="24"/>
          <w:lang w:val="sq-AL"/>
        </w:rPr>
        <w:t xml:space="preserve">mbetet e pandryshuar. Kjo </w:t>
      </w:r>
      <w:r w:rsidR="003C12C7">
        <w:rPr>
          <w:szCs w:val="24"/>
          <w:lang w:val="sq-AL"/>
        </w:rPr>
        <w:t>krijon</w:t>
      </w:r>
      <w:r w:rsidRPr="00F8607C">
        <w:rPr>
          <w:szCs w:val="24"/>
          <w:lang w:val="sq-AL"/>
        </w:rPr>
        <w:t xml:space="preserve"> mundësinë e </w:t>
      </w:r>
      <w:r w:rsidR="003C12C7">
        <w:rPr>
          <w:szCs w:val="24"/>
          <w:lang w:val="sq-AL"/>
        </w:rPr>
        <w:t>vazhdimësisë</w:t>
      </w:r>
      <w:r w:rsidRPr="00F8607C">
        <w:rPr>
          <w:szCs w:val="24"/>
          <w:lang w:val="sq-AL"/>
        </w:rPr>
        <w:t xml:space="preserve"> për bizneset dhe profesionistët ligjorë që janë tashmë të njohur me </w:t>
      </w:r>
      <w:r w:rsidR="003C481F">
        <w:rPr>
          <w:szCs w:val="24"/>
          <w:lang w:val="sq-AL"/>
        </w:rPr>
        <w:t>k</w:t>
      </w:r>
      <w:r w:rsidR="005F23C8">
        <w:rPr>
          <w:szCs w:val="24"/>
          <w:lang w:val="sq-AL"/>
        </w:rPr>
        <w:t>ë</w:t>
      </w:r>
      <w:r w:rsidR="003C481F">
        <w:rPr>
          <w:szCs w:val="24"/>
          <w:lang w:val="sq-AL"/>
        </w:rPr>
        <w:t>t</w:t>
      </w:r>
      <w:r w:rsidR="005F23C8">
        <w:rPr>
          <w:szCs w:val="24"/>
          <w:lang w:val="sq-AL"/>
        </w:rPr>
        <w:t>ë</w:t>
      </w:r>
      <w:r w:rsidR="003C481F">
        <w:rPr>
          <w:szCs w:val="24"/>
          <w:lang w:val="sq-AL"/>
        </w:rPr>
        <w:t xml:space="preserve"> ligj</w:t>
      </w:r>
      <w:r w:rsidRPr="00F8607C">
        <w:rPr>
          <w:szCs w:val="24"/>
          <w:lang w:val="sq-AL"/>
        </w:rPr>
        <w:t>. Po ashtu, sigurohet vazhdimësi dhe shmanget kompleksiteti që mund të lindë nga krijimi i një strukture të re ligjore.</w:t>
      </w:r>
      <w:r w:rsidR="00F52D35">
        <w:rPr>
          <w:szCs w:val="24"/>
          <w:lang w:val="sq-AL"/>
        </w:rPr>
        <w:t xml:space="preserve"> </w:t>
      </w:r>
      <w:r w:rsidRPr="00F8607C">
        <w:rPr>
          <w:szCs w:val="24"/>
          <w:lang w:val="sq-AL"/>
        </w:rPr>
        <w:t xml:space="preserve">Ky opsion ofron fleksibilitet dhe mundësi për përshtatje më graduale ndaj ndryshimeve të ardhshme të ligjit të BE-së. </w:t>
      </w:r>
    </w:p>
    <w:p w14:paraId="11D3EA9D" w14:textId="77777777" w:rsidR="00D90775" w:rsidRDefault="00D90775" w:rsidP="00F8607C">
      <w:pPr>
        <w:jc w:val="both"/>
        <w:rPr>
          <w:szCs w:val="24"/>
          <w:lang w:val="sq-AL"/>
        </w:rPr>
      </w:pPr>
    </w:p>
    <w:p w14:paraId="54625EE1" w14:textId="30AB3C72" w:rsidR="00D90775" w:rsidRPr="00F8607C" w:rsidRDefault="00D90775" w:rsidP="00F8607C">
      <w:pPr>
        <w:jc w:val="both"/>
        <w:rPr>
          <w:szCs w:val="24"/>
          <w:lang w:val="sq-AL"/>
        </w:rPr>
      </w:pPr>
      <w:r w:rsidRPr="00D90775">
        <w:rPr>
          <w:szCs w:val="24"/>
          <w:lang w:val="sq-AL"/>
        </w:rPr>
        <w:t>Lidhur me aspektet që i përkasin përafrimit të me Direktivën 2007/36/KE (të ndryshuar), grupet e punës pranë AMF dhe MEI morën në konsideratë edhe opsionin që ndryshimet të bëheshin në Ligjin për Tregjet e Kapitalit, si ligji bazë që rregullon aspekte të veprimtarisë e shoqërive të listuara. Megjithatë, në përfundim u vlerësua se ky ligj do të kërkonte ndryshime të qenësishme për të rregulluar aspekte të ushtrimit të të drejtave të aksionarëve, siç përcaktohen nga Direktiva 2007/36/KE dhe veçanërisht ndryshimet e prezantuara nga Direktiva (BE) 2017/828 e Parlamentit Evropian dhe Këshillit e 17 majit 2017 për ndryshimin e Direktivës 2007/36/KE sa i përket nxitjes së angazhimit afatgjatë të aksionarëve. Gjithashtu, analiza paraprake evidentoi se aspektet që aktualisht vlerësohen si të përafruara me këto Direktiva, janë përfshirë në Ligjin për Shoqëritë Tregtare të miratuar ne vitin 2008 dhe që ka qënë objekt i ndryshimeve të mëvonshme. Në këtë kontekst, nga pikëpamja e teknikës legjislative, u vlerësua se përafrimi me Direktivën 2007/36/KE (të ndryshuar) të vijojë në Ligjin për Shoqëritë Tregtare.</w:t>
      </w:r>
    </w:p>
    <w:p w14:paraId="755A4D9F" w14:textId="40E12701" w:rsidR="00D6521D" w:rsidRPr="00155C6A" w:rsidRDefault="00D6521D" w:rsidP="00155C6A">
      <w:pPr>
        <w:jc w:val="both"/>
        <w:rPr>
          <w:szCs w:val="24"/>
          <w:lang w:val="sq-AL"/>
        </w:rPr>
      </w:pPr>
    </w:p>
    <w:p w14:paraId="13A19254" w14:textId="3DFFD6BA" w:rsidR="00D30D14" w:rsidRPr="00D30D14" w:rsidRDefault="00D6521D" w:rsidP="00D30D14">
      <w:pPr>
        <w:pStyle w:val="CommentText"/>
        <w:jc w:val="both"/>
        <w:rPr>
          <w:sz w:val="24"/>
          <w:szCs w:val="24"/>
          <w:lang w:val="sq-AL"/>
        </w:rPr>
      </w:pPr>
      <w:r w:rsidRPr="00D6521D">
        <w:rPr>
          <w:b/>
          <w:bCs/>
          <w:sz w:val="24"/>
          <w:szCs w:val="24"/>
          <w:lang w:val="sq-AL"/>
        </w:rPr>
        <w:t>Opsioni 2 (Miratimi  i nj</w:t>
      </w:r>
      <w:r w:rsidR="0071541B">
        <w:rPr>
          <w:b/>
          <w:bCs/>
          <w:sz w:val="24"/>
          <w:szCs w:val="24"/>
          <w:lang w:val="sq-AL"/>
        </w:rPr>
        <w:t>ë</w:t>
      </w:r>
      <w:r w:rsidRPr="00D6521D">
        <w:rPr>
          <w:b/>
          <w:bCs/>
          <w:sz w:val="24"/>
          <w:szCs w:val="24"/>
          <w:lang w:val="sq-AL"/>
        </w:rPr>
        <w:t xml:space="preserve"> ligji t</w:t>
      </w:r>
      <w:r w:rsidR="0071541B">
        <w:rPr>
          <w:b/>
          <w:bCs/>
          <w:sz w:val="24"/>
          <w:szCs w:val="24"/>
          <w:lang w:val="sq-AL"/>
        </w:rPr>
        <w:t>ë</w:t>
      </w:r>
      <w:r w:rsidRPr="00D6521D">
        <w:rPr>
          <w:b/>
          <w:bCs/>
          <w:sz w:val="24"/>
          <w:szCs w:val="24"/>
          <w:lang w:val="sq-AL"/>
        </w:rPr>
        <w:t xml:space="preserve"> ri)</w:t>
      </w:r>
      <w:r w:rsidR="00B4194A">
        <w:rPr>
          <w:b/>
          <w:bCs/>
          <w:sz w:val="24"/>
          <w:szCs w:val="24"/>
          <w:lang w:val="sq-AL"/>
        </w:rPr>
        <w:t xml:space="preserve"> </w:t>
      </w:r>
      <w:r w:rsidR="001D6CC1">
        <w:rPr>
          <w:b/>
          <w:bCs/>
          <w:sz w:val="24"/>
          <w:szCs w:val="24"/>
          <w:lang w:val="sq-AL"/>
        </w:rPr>
        <w:t>–</w:t>
      </w:r>
      <w:r w:rsidRPr="00D6521D">
        <w:rPr>
          <w:b/>
          <w:bCs/>
          <w:sz w:val="24"/>
          <w:szCs w:val="24"/>
          <w:lang w:val="sq-AL"/>
        </w:rPr>
        <w:t xml:space="preserve"> </w:t>
      </w:r>
      <w:r w:rsidR="001D6CC1" w:rsidRPr="001D6CC1">
        <w:rPr>
          <w:sz w:val="24"/>
          <w:szCs w:val="24"/>
          <w:lang w:val="sq-AL"/>
        </w:rPr>
        <w:t xml:space="preserve">Miratimi i një ligji të ri të shoqërive tregtare ose Kodifikimi i tij si në nivel BE-je në Republikën e Shqipërisë është gjithashtu i </w:t>
      </w:r>
      <w:r w:rsidR="00010D6E">
        <w:rPr>
          <w:sz w:val="24"/>
          <w:szCs w:val="24"/>
          <w:lang w:val="sq-AL"/>
        </w:rPr>
        <w:t>konsideruesh</w:t>
      </w:r>
      <w:r w:rsidR="00F17944">
        <w:rPr>
          <w:sz w:val="24"/>
          <w:szCs w:val="24"/>
          <w:lang w:val="sq-AL"/>
        </w:rPr>
        <w:t>ë</w:t>
      </w:r>
      <w:r w:rsidR="00010D6E">
        <w:rPr>
          <w:sz w:val="24"/>
          <w:szCs w:val="24"/>
          <w:lang w:val="sq-AL"/>
        </w:rPr>
        <w:t>m</w:t>
      </w:r>
      <w:r w:rsidR="001D6CC1" w:rsidRPr="001D6CC1">
        <w:rPr>
          <w:sz w:val="24"/>
          <w:szCs w:val="24"/>
          <w:lang w:val="sq-AL"/>
        </w:rPr>
        <w:t xml:space="preserve"> për t’u zbatuar, por kërkon përpjekje masive në një mjedis ende shumë dinamik për të pasur një </w:t>
      </w:r>
      <w:r w:rsidR="004854B3" w:rsidRPr="001D6CC1">
        <w:rPr>
          <w:sz w:val="24"/>
          <w:szCs w:val="24"/>
          <w:lang w:val="sq-AL"/>
        </w:rPr>
        <w:t>l</w:t>
      </w:r>
      <w:r w:rsidR="004854B3">
        <w:rPr>
          <w:sz w:val="24"/>
          <w:szCs w:val="24"/>
          <w:lang w:val="sq-AL"/>
        </w:rPr>
        <w:t>igj</w:t>
      </w:r>
      <w:r w:rsidR="00C472C8">
        <w:rPr>
          <w:sz w:val="24"/>
          <w:szCs w:val="24"/>
          <w:lang w:val="sq-AL"/>
        </w:rPr>
        <w:t xml:space="preserve"> </w:t>
      </w:r>
      <w:r w:rsidR="001D6CC1" w:rsidRPr="001D6CC1">
        <w:rPr>
          <w:sz w:val="24"/>
          <w:szCs w:val="24"/>
          <w:lang w:val="sq-AL"/>
        </w:rPr>
        <w:t xml:space="preserve">tregtar të kodifikuar. Ky opsion mbështet një qasje më agresive, duke synuar transpozimin e shpejtë të plotë të të gjitha </w:t>
      </w:r>
      <w:r w:rsidR="000C6C74">
        <w:rPr>
          <w:sz w:val="24"/>
          <w:szCs w:val="24"/>
          <w:lang w:val="sq-AL"/>
        </w:rPr>
        <w:t>ligjeve tregtare, pra jo thjesht dhe vet</w:t>
      </w:r>
      <w:r w:rsidR="005F23C8">
        <w:rPr>
          <w:sz w:val="24"/>
          <w:szCs w:val="24"/>
          <w:lang w:val="sq-AL"/>
        </w:rPr>
        <w:t>ë</w:t>
      </w:r>
      <w:r w:rsidR="000C6C74">
        <w:rPr>
          <w:sz w:val="24"/>
          <w:szCs w:val="24"/>
          <w:lang w:val="sq-AL"/>
        </w:rPr>
        <w:t xml:space="preserve">m ligjit 9901/2008 </w:t>
      </w:r>
      <w:r w:rsidR="00C671CA">
        <w:rPr>
          <w:sz w:val="24"/>
          <w:szCs w:val="24"/>
          <w:lang w:val="sq-AL"/>
        </w:rPr>
        <w:t>ligjit 9901/2008</w:t>
      </w:r>
      <w:r w:rsidR="000C6C74">
        <w:rPr>
          <w:sz w:val="24"/>
          <w:szCs w:val="24"/>
          <w:lang w:val="sq-AL"/>
        </w:rPr>
        <w:t>n</w:t>
      </w:r>
      <w:r w:rsidR="005F23C8">
        <w:rPr>
          <w:sz w:val="24"/>
          <w:szCs w:val="24"/>
          <w:lang w:val="sq-AL"/>
        </w:rPr>
        <w:t>ë</w:t>
      </w:r>
      <w:r w:rsidR="000C6C74">
        <w:rPr>
          <w:sz w:val="24"/>
          <w:szCs w:val="24"/>
          <w:lang w:val="sq-AL"/>
        </w:rPr>
        <w:t xml:space="preserve"> nj</w:t>
      </w:r>
      <w:r w:rsidR="005F23C8">
        <w:rPr>
          <w:sz w:val="24"/>
          <w:szCs w:val="24"/>
          <w:lang w:val="sq-AL"/>
        </w:rPr>
        <w:t>ë</w:t>
      </w:r>
      <w:r w:rsidR="000C6C74">
        <w:rPr>
          <w:sz w:val="24"/>
          <w:szCs w:val="24"/>
          <w:lang w:val="sq-AL"/>
        </w:rPr>
        <w:t xml:space="preserve"> ligj t</w:t>
      </w:r>
      <w:r w:rsidR="005F23C8">
        <w:rPr>
          <w:sz w:val="24"/>
          <w:szCs w:val="24"/>
          <w:lang w:val="sq-AL"/>
        </w:rPr>
        <w:t>ë</w:t>
      </w:r>
      <w:r w:rsidR="000C6C74">
        <w:rPr>
          <w:sz w:val="24"/>
          <w:szCs w:val="24"/>
          <w:lang w:val="sq-AL"/>
        </w:rPr>
        <w:t xml:space="preserve"> ri t</w:t>
      </w:r>
      <w:r w:rsidR="005F23C8">
        <w:rPr>
          <w:sz w:val="24"/>
          <w:szCs w:val="24"/>
          <w:lang w:val="sq-AL"/>
        </w:rPr>
        <w:t>ë</w:t>
      </w:r>
      <w:r w:rsidR="000C6C74">
        <w:rPr>
          <w:sz w:val="24"/>
          <w:szCs w:val="24"/>
          <w:lang w:val="sq-AL"/>
        </w:rPr>
        <w:t xml:space="preserve"> kodifikuar</w:t>
      </w:r>
      <w:r w:rsidR="001D6CC1" w:rsidRPr="001D6CC1">
        <w:rPr>
          <w:sz w:val="24"/>
          <w:szCs w:val="24"/>
          <w:lang w:val="sq-AL"/>
        </w:rPr>
        <w:t xml:space="preserve"> </w:t>
      </w:r>
      <w:r w:rsidR="000C6C74">
        <w:rPr>
          <w:sz w:val="24"/>
          <w:szCs w:val="24"/>
          <w:lang w:val="sq-AL"/>
        </w:rPr>
        <w:t>shoq</w:t>
      </w:r>
      <w:r w:rsidR="005F23C8">
        <w:rPr>
          <w:sz w:val="24"/>
          <w:szCs w:val="24"/>
          <w:lang w:val="sq-AL"/>
        </w:rPr>
        <w:t>ë</w:t>
      </w:r>
      <w:r w:rsidR="000C6C74">
        <w:rPr>
          <w:sz w:val="24"/>
          <w:szCs w:val="24"/>
          <w:lang w:val="sq-AL"/>
        </w:rPr>
        <w:t>ruar rrjedhimisht nga</w:t>
      </w:r>
      <w:r w:rsidR="001D6CC1" w:rsidRPr="001D6CC1">
        <w:rPr>
          <w:sz w:val="24"/>
          <w:szCs w:val="24"/>
          <w:lang w:val="sq-AL"/>
        </w:rPr>
        <w:t xml:space="preserve"> një reformë të plotë të kuadrit institucional. </w:t>
      </w:r>
      <w:r w:rsidR="00D30D14" w:rsidRPr="00D30D14">
        <w:rPr>
          <w:sz w:val="24"/>
          <w:szCs w:val="24"/>
          <w:lang w:val="sq-AL"/>
        </w:rPr>
        <w:t xml:space="preserve">Transpozimi i ligjeve </w:t>
      </w:r>
      <w:r w:rsidR="000C6C74">
        <w:rPr>
          <w:sz w:val="24"/>
          <w:szCs w:val="24"/>
          <w:lang w:val="sq-AL"/>
        </w:rPr>
        <w:t>tregtare (p</w:t>
      </w:r>
      <w:r w:rsidR="005F23C8">
        <w:rPr>
          <w:sz w:val="24"/>
          <w:szCs w:val="24"/>
          <w:lang w:val="sq-AL"/>
        </w:rPr>
        <w:t>ë</w:t>
      </w:r>
      <w:r w:rsidR="000C6C74">
        <w:rPr>
          <w:sz w:val="24"/>
          <w:szCs w:val="24"/>
          <w:lang w:val="sq-AL"/>
        </w:rPr>
        <w:t>rfshir</w:t>
      </w:r>
      <w:r w:rsidR="005F23C8">
        <w:rPr>
          <w:sz w:val="24"/>
          <w:szCs w:val="24"/>
          <w:lang w:val="sq-AL"/>
        </w:rPr>
        <w:t>ë</w:t>
      </w:r>
      <w:r w:rsidR="000C6C74">
        <w:rPr>
          <w:sz w:val="24"/>
          <w:szCs w:val="24"/>
          <w:lang w:val="sq-AL"/>
        </w:rPr>
        <w:t xml:space="preserve"> bashkimet, shnd</w:t>
      </w:r>
      <w:r w:rsidR="005F23C8">
        <w:rPr>
          <w:sz w:val="24"/>
          <w:szCs w:val="24"/>
          <w:lang w:val="sq-AL"/>
        </w:rPr>
        <w:t>ë</w:t>
      </w:r>
      <w:r w:rsidR="000C6C74">
        <w:rPr>
          <w:sz w:val="24"/>
          <w:szCs w:val="24"/>
          <w:lang w:val="sq-AL"/>
        </w:rPr>
        <w:t>rrimet dhe ndarjet nd</w:t>
      </w:r>
      <w:r w:rsidR="005F23C8">
        <w:rPr>
          <w:sz w:val="24"/>
          <w:szCs w:val="24"/>
          <w:lang w:val="sq-AL"/>
        </w:rPr>
        <w:t>ë</w:t>
      </w:r>
      <w:r w:rsidR="000C6C74">
        <w:rPr>
          <w:sz w:val="24"/>
          <w:szCs w:val="24"/>
          <w:lang w:val="sq-AL"/>
        </w:rPr>
        <w:t>rkufitare si dhe legjislacionin p</w:t>
      </w:r>
      <w:r w:rsidR="005F23C8">
        <w:rPr>
          <w:sz w:val="24"/>
          <w:szCs w:val="24"/>
          <w:lang w:val="sq-AL"/>
        </w:rPr>
        <w:t>ë</w:t>
      </w:r>
      <w:r w:rsidR="000C6C74">
        <w:rPr>
          <w:sz w:val="24"/>
          <w:szCs w:val="24"/>
          <w:lang w:val="sq-AL"/>
        </w:rPr>
        <w:t>r regjistrimin e biznesit)</w:t>
      </w:r>
      <w:r w:rsidR="00D30D14" w:rsidRPr="00D30D14">
        <w:rPr>
          <w:sz w:val="24"/>
          <w:szCs w:val="24"/>
          <w:lang w:val="sq-AL"/>
        </w:rPr>
        <w:t xml:space="preserve"> në një direktivë të vetme të kodifikuar, të ngjashme me Direktivën 2017/1132 të BE-së, do të sigurojë një kuadër ligjor </w:t>
      </w:r>
      <w:r w:rsidR="00010D6E">
        <w:rPr>
          <w:sz w:val="24"/>
          <w:szCs w:val="24"/>
          <w:lang w:val="sq-AL"/>
        </w:rPr>
        <w:t>q</w:t>
      </w:r>
      <w:r w:rsidR="00F17944">
        <w:rPr>
          <w:sz w:val="24"/>
          <w:szCs w:val="24"/>
          <w:lang w:val="sq-AL"/>
        </w:rPr>
        <w:t>ë</w:t>
      </w:r>
      <w:r w:rsidR="00010D6E">
        <w:rPr>
          <w:sz w:val="24"/>
          <w:szCs w:val="24"/>
          <w:lang w:val="sq-AL"/>
        </w:rPr>
        <w:t xml:space="preserve"> do t</w:t>
      </w:r>
      <w:r w:rsidR="00F17944">
        <w:rPr>
          <w:sz w:val="24"/>
          <w:szCs w:val="24"/>
          <w:lang w:val="sq-AL"/>
        </w:rPr>
        <w:t>ë</w:t>
      </w:r>
      <w:r w:rsidR="00010D6E">
        <w:rPr>
          <w:sz w:val="24"/>
          <w:szCs w:val="24"/>
          <w:lang w:val="sq-AL"/>
        </w:rPr>
        <w:t xml:space="preserve"> imitonte at</w:t>
      </w:r>
      <w:r w:rsidR="00F17944">
        <w:rPr>
          <w:sz w:val="24"/>
          <w:szCs w:val="24"/>
          <w:lang w:val="sq-AL"/>
        </w:rPr>
        <w:t>ë</w:t>
      </w:r>
      <w:r w:rsidR="00010D6E">
        <w:rPr>
          <w:sz w:val="24"/>
          <w:szCs w:val="24"/>
          <w:lang w:val="sq-AL"/>
        </w:rPr>
        <w:t xml:space="preserve"> t</w:t>
      </w:r>
      <w:r w:rsidR="00F17944">
        <w:rPr>
          <w:sz w:val="24"/>
          <w:szCs w:val="24"/>
          <w:lang w:val="sq-AL"/>
        </w:rPr>
        <w:t>ë</w:t>
      </w:r>
      <w:r w:rsidR="00010D6E">
        <w:rPr>
          <w:sz w:val="24"/>
          <w:szCs w:val="24"/>
          <w:lang w:val="sq-AL"/>
        </w:rPr>
        <w:t xml:space="preserve"> BE-s</w:t>
      </w:r>
      <w:r w:rsidR="00F17944">
        <w:rPr>
          <w:sz w:val="24"/>
          <w:szCs w:val="24"/>
          <w:lang w:val="sq-AL"/>
        </w:rPr>
        <w:t>ë</w:t>
      </w:r>
      <w:r w:rsidR="004077DF">
        <w:rPr>
          <w:sz w:val="24"/>
          <w:szCs w:val="24"/>
          <w:lang w:val="sq-AL"/>
        </w:rPr>
        <w:t>.</w:t>
      </w:r>
    </w:p>
    <w:p w14:paraId="4C07CE27" w14:textId="77777777" w:rsidR="00D30D14" w:rsidRPr="00D30D14" w:rsidRDefault="00D30D14" w:rsidP="00D30D14">
      <w:pPr>
        <w:pStyle w:val="CommentText"/>
        <w:jc w:val="both"/>
        <w:rPr>
          <w:sz w:val="24"/>
          <w:szCs w:val="24"/>
          <w:lang w:val="sq-AL"/>
        </w:rPr>
      </w:pPr>
    </w:p>
    <w:p w14:paraId="7837D48B" w14:textId="4831F396" w:rsidR="004077DF" w:rsidRDefault="004077DF" w:rsidP="00D30D14">
      <w:pPr>
        <w:pStyle w:val="CommentText"/>
        <w:jc w:val="both"/>
        <w:rPr>
          <w:sz w:val="24"/>
          <w:szCs w:val="24"/>
          <w:lang w:val="sq-AL"/>
        </w:rPr>
      </w:pPr>
      <w:r w:rsidRPr="005F23C8">
        <w:rPr>
          <w:sz w:val="24"/>
          <w:szCs w:val="32"/>
          <w:lang w:val="sq-AL"/>
        </w:rPr>
        <w:lastRenderedPageBreak/>
        <w:t>Megjithatë</w:t>
      </w:r>
      <w:r w:rsidRPr="006D0DA9">
        <w:rPr>
          <w:szCs w:val="24"/>
          <w:lang w:val="sq-AL"/>
        </w:rPr>
        <w:t xml:space="preserve">, </w:t>
      </w:r>
      <w:r w:rsidRPr="004077DF">
        <w:rPr>
          <w:sz w:val="24"/>
          <w:szCs w:val="24"/>
          <w:lang w:val="sq-AL"/>
        </w:rPr>
        <w:t>t</w:t>
      </w:r>
      <w:r w:rsidR="00D30D14" w:rsidRPr="004077DF">
        <w:rPr>
          <w:sz w:val="24"/>
          <w:szCs w:val="24"/>
          <w:lang w:val="sq-AL"/>
        </w:rPr>
        <w:t>ranspozimi</w:t>
      </w:r>
      <w:r w:rsidR="00D30D14" w:rsidRPr="00D30D14">
        <w:rPr>
          <w:sz w:val="24"/>
          <w:szCs w:val="24"/>
          <w:lang w:val="sq-AL"/>
        </w:rPr>
        <w:t xml:space="preserve"> i shumë ligjeve në një direktivë të vetme kodifikuar </w:t>
      </w:r>
      <w:r w:rsidRPr="004077DF">
        <w:rPr>
          <w:sz w:val="24"/>
          <w:szCs w:val="24"/>
          <w:lang w:val="sq-AL"/>
        </w:rPr>
        <w:t xml:space="preserve">i bazuar vetëm në Direktivën 2017/1132, nuk </w:t>
      </w:r>
      <w:r>
        <w:rPr>
          <w:sz w:val="24"/>
          <w:szCs w:val="24"/>
          <w:lang w:val="sq-AL"/>
        </w:rPr>
        <w:t>mund t</w:t>
      </w:r>
      <w:r w:rsidR="00307DD4">
        <w:rPr>
          <w:sz w:val="24"/>
          <w:szCs w:val="24"/>
          <w:lang w:val="sq-AL"/>
        </w:rPr>
        <w:t>ë</w:t>
      </w:r>
      <w:r>
        <w:rPr>
          <w:sz w:val="24"/>
          <w:szCs w:val="24"/>
          <w:lang w:val="sq-AL"/>
        </w:rPr>
        <w:t xml:space="preserve"> jet</w:t>
      </w:r>
      <w:r w:rsidR="00307DD4">
        <w:rPr>
          <w:sz w:val="24"/>
          <w:szCs w:val="24"/>
          <w:lang w:val="sq-AL"/>
        </w:rPr>
        <w:t>ë</w:t>
      </w:r>
      <w:r w:rsidRPr="004077DF">
        <w:rPr>
          <w:sz w:val="24"/>
          <w:szCs w:val="24"/>
          <w:lang w:val="sq-AL"/>
        </w:rPr>
        <w:t xml:space="preserve"> një Kod Tregtar </w:t>
      </w:r>
      <w:r>
        <w:rPr>
          <w:sz w:val="24"/>
          <w:szCs w:val="24"/>
          <w:lang w:val="sq-AL"/>
        </w:rPr>
        <w:t>i mir</w:t>
      </w:r>
      <w:r w:rsidR="00307DD4">
        <w:rPr>
          <w:sz w:val="24"/>
          <w:szCs w:val="24"/>
          <w:lang w:val="sq-AL"/>
        </w:rPr>
        <w:t>ë</w:t>
      </w:r>
      <w:r>
        <w:rPr>
          <w:sz w:val="24"/>
          <w:szCs w:val="24"/>
          <w:lang w:val="sq-AL"/>
        </w:rPr>
        <w:t>fillt</w:t>
      </w:r>
      <w:r w:rsidR="00307DD4">
        <w:rPr>
          <w:sz w:val="24"/>
          <w:szCs w:val="24"/>
          <w:lang w:val="sq-AL"/>
        </w:rPr>
        <w:t>ë</w:t>
      </w:r>
      <w:r w:rsidRPr="004077DF">
        <w:rPr>
          <w:sz w:val="24"/>
          <w:szCs w:val="24"/>
          <w:lang w:val="sq-AL"/>
        </w:rPr>
        <w:t xml:space="preserve">, pasi </w:t>
      </w:r>
      <w:r>
        <w:rPr>
          <w:sz w:val="24"/>
          <w:szCs w:val="24"/>
          <w:lang w:val="sq-AL"/>
        </w:rPr>
        <w:t xml:space="preserve">edhe </w:t>
      </w:r>
      <w:r w:rsidRPr="004077DF">
        <w:rPr>
          <w:sz w:val="24"/>
          <w:szCs w:val="24"/>
          <w:lang w:val="sq-AL"/>
        </w:rPr>
        <w:t xml:space="preserve">vetë Direktiva fokusohet vetëm në aspektet e </w:t>
      </w:r>
      <w:r w:rsidR="00C671CA">
        <w:rPr>
          <w:sz w:val="24"/>
          <w:szCs w:val="24"/>
          <w:lang w:val="sq-AL"/>
        </w:rPr>
        <w:t>ligjit 9901/2008</w:t>
      </w:r>
      <w:r w:rsidRPr="004077DF">
        <w:rPr>
          <w:sz w:val="24"/>
          <w:szCs w:val="24"/>
          <w:lang w:val="sq-AL"/>
        </w:rPr>
        <w:t xml:space="preserve"> tregtare dhe nuk mbulon të gjitha fushat e ligjit tregtar, </w:t>
      </w:r>
      <w:r>
        <w:rPr>
          <w:sz w:val="24"/>
          <w:szCs w:val="24"/>
          <w:lang w:val="sq-AL"/>
        </w:rPr>
        <w:t>t</w:t>
      </w:r>
      <w:r w:rsidR="00307DD4">
        <w:rPr>
          <w:sz w:val="24"/>
          <w:szCs w:val="24"/>
          <w:lang w:val="sq-AL"/>
        </w:rPr>
        <w:t>ë</w:t>
      </w:r>
      <w:r>
        <w:rPr>
          <w:sz w:val="24"/>
          <w:szCs w:val="24"/>
          <w:lang w:val="sq-AL"/>
        </w:rPr>
        <w:t xml:space="preserve"> tilla si </w:t>
      </w:r>
      <w:r w:rsidR="003B5080">
        <w:rPr>
          <w:sz w:val="24"/>
          <w:szCs w:val="24"/>
          <w:lang w:val="sq-AL"/>
        </w:rPr>
        <w:t>aft</w:t>
      </w:r>
      <w:r w:rsidR="00307DD4">
        <w:rPr>
          <w:sz w:val="24"/>
          <w:szCs w:val="24"/>
          <w:lang w:val="sq-AL"/>
        </w:rPr>
        <w:t>ë</w:t>
      </w:r>
      <w:r w:rsidR="003B5080">
        <w:rPr>
          <w:sz w:val="24"/>
          <w:szCs w:val="24"/>
          <w:lang w:val="sq-AL"/>
        </w:rPr>
        <w:t>sia paguese, falimentimi n</w:t>
      </w:r>
      <w:r w:rsidR="00307DD4">
        <w:rPr>
          <w:sz w:val="24"/>
          <w:szCs w:val="24"/>
          <w:lang w:val="sq-AL"/>
        </w:rPr>
        <w:t>ë</w:t>
      </w:r>
      <w:r w:rsidR="003B5080">
        <w:rPr>
          <w:sz w:val="24"/>
          <w:szCs w:val="24"/>
          <w:lang w:val="sq-AL"/>
        </w:rPr>
        <w:t xml:space="preserve"> p</w:t>
      </w:r>
      <w:r w:rsidR="00307DD4">
        <w:rPr>
          <w:sz w:val="24"/>
          <w:szCs w:val="24"/>
          <w:lang w:val="sq-AL"/>
        </w:rPr>
        <w:t>ë</w:t>
      </w:r>
      <w:r w:rsidR="003B5080">
        <w:rPr>
          <w:sz w:val="24"/>
          <w:szCs w:val="24"/>
          <w:lang w:val="sq-AL"/>
        </w:rPr>
        <w:t>rgjith</w:t>
      </w:r>
      <w:r w:rsidR="00307DD4">
        <w:rPr>
          <w:sz w:val="24"/>
          <w:szCs w:val="24"/>
          <w:lang w:val="sq-AL"/>
        </w:rPr>
        <w:t>ë</w:t>
      </w:r>
      <w:r w:rsidR="003B5080">
        <w:rPr>
          <w:sz w:val="24"/>
          <w:szCs w:val="24"/>
          <w:lang w:val="sq-AL"/>
        </w:rPr>
        <w:t>si</w:t>
      </w:r>
      <w:r w:rsidRPr="004077DF">
        <w:rPr>
          <w:sz w:val="24"/>
          <w:szCs w:val="24"/>
          <w:lang w:val="sq-AL"/>
        </w:rPr>
        <w:t>, kontratat tregtare apo konkurrenca</w:t>
      </w:r>
      <w:r w:rsidR="003B5080">
        <w:rPr>
          <w:sz w:val="24"/>
          <w:szCs w:val="24"/>
          <w:lang w:val="sq-AL"/>
        </w:rPr>
        <w:t xml:space="preserve"> t</w:t>
      </w:r>
      <w:r w:rsidR="00307DD4">
        <w:rPr>
          <w:sz w:val="24"/>
          <w:szCs w:val="24"/>
          <w:lang w:val="sq-AL"/>
        </w:rPr>
        <w:t>ë</w:t>
      </w:r>
      <w:r w:rsidR="003B5080">
        <w:rPr>
          <w:sz w:val="24"/>
          <w:szCs w:val="24"/>
          <w:lang w:val="sq-AL"/>
        </w:rPr>
        <w:t xml:space="preserve"> cilat negociohen n</w:t>
      </w:r>
      <w:r w:rsidR="00307DD4">
        <w:rPr>
          <w:sz w:val="24"/>
          <w:szCs w:val="24"/>
          <w:lang w:val="sq-AL"/>
        </w:rPr>
        <w:t>ë</w:t>
      </w:r>
      <w:r w:rsidR="003B5080">
        <w:rPr>
          <w:sz w:val="24"/>
          <w:szCs w:val="24"/>
          <w:lang w:val="sq-AL"/>
        </w:rPr>
        <w:t xml:space="preserve"> kuad</w:t>
      </w:r>
      <w:r w:rsidR="00307DD4">
        <w:rPr>
          <w:sz w:val="24"/>
          <w:szCs w:val="24"/>
          <w:lang w:val="sq-AL"/>
        </w:rPr>
        <w:t>ë</w:t>
      </w:r>
      <w:r w:rsidR="003B5080">
        <w:rPr>
          <w:sz w:val="24"/>
          <w:szCs w:val="24"/>
          <w:lang w:val="sq-AL"/>
        </w:rPr>
        <w:t>r t</w:t>
      </w:r>
      <w:r w:rsidR="00307DD4">
        <w:rPr>
          <w:sz w:val="24"/>
          <w:szCs w:val="24"/>
          <w:lang w:val="sq-AL"/>
        </w:rPr>
        <w:t>ë</w:t>
      </w:r>
      <w:r w:rsidR="003B5080">
        <w:rPr>
          <w:sz w:val="24"/>
          <w:szCs w:val="24"/>
          <w:lang w:val="sq-AL"/>
        </w:rPr>
        <w:t xml:space="preserve"> kapitujve t</w:t>
      </w:r>
      <w:r w:rsidR="00307DD4">
        <w:rPr>
          <w:sz w:val="24"/>
          <w:szCs w:val="24"/>
          <w:lang w:val="sq-AL"/>
        </w:rPr>
        <w:t>ë</w:t>
      </w:r>
      <w:r w:rsidR="003B5080">
        <w:rPr>
          <w:sz w:val="24"/>
          <w:szCs w:val="24"/>
          <w:lang w:val="sq-AL"/>
        </w:rPr>
        <w:t xml:space="preserve"> tjer</w:t>
      </w:r>
      <w:r w:rsidR="00307DD4">
        <w:rPr>
          <w:sz w:val="24"/>
          <w:szCs w:val="24"/>
          <w:lang w:val="sq-AL"/>
        </w:rPr>
        <w:t>ë</w:t>
      </w:r>
      <w:r w:rsidR="003B5080">
        <w:rPr>
          <w:sz w:val="24"/>
          <w:szCs w:val="24"/>
          <w:lang w:val="sq-AL"/>
        </w:rPr>
        <w:t xml:space="preserve"> t</w:t>
      </w:r>
      <w:r w:rsidR="00307DD4">
        <w:rPr>
          <w:sz w:val="24"/>
          <w:szCs w:val="24"/>
          <w:lang w:val="sq-AL"/>
        </w:rPr>
        <w:t>ë</w:t>
      </w:r>
      <w:r w:rsidR="003B5080">
        <w:rPr>
          <w:sz w:val="24"/>
          <w:szCs w:val="24"/>
          <w:lang w:val="sq-AL"/>
        </w:rPr>
        <w:t xml:space="preserve"> Acquis</w:t>
      </w:r>
      <w:r w:rsidRPr="004077DF">
        <w:rPr>
          <w:sz w:val="24"/>
          <w:szCs w:val="24"/>
          <w:lang w:val="sq-AL"/>
        </w:rPr>
        <w:t xml:space="preserve">. Për të krijuar një Kod Tregtar të vërtetë dhe gjithëpërfshirës, do të kërkohej jo vetëm transpozimi i Direktivës </w:t>
      </w:r>
      <w:r w:rsidR="003B5080">
        <w:rPr>
          <w:sz w:val="24"/>
          <w:szCs w:val="24"/>
          <w:lang w:val="sq-AL"/>
        </w:rPr>
        <w:t>2017/1132</w:t>
      </w:r>
      <w:r w:rsidRPr="004077DF">
        <w:rPr>
          <w:sz w:val="24"/>
          <w:szCs w:val="24"/>
          <w:lang w:val="sq-AL"/>
        </w:rPr>
        <w:t xml:space="preserve">, por edhe i direktivave të tjera të lidhura me </w:t>
      </w:r>
      <w:r w:rsidR="00734CA3">
        <w:rPr>
          <w:sz w:val="24"/>
          <w:szCs w:val="24"/>
          <w:lang w:val="sq-AL"/>
        </w:rPr>
        <w:t>aft</w:t>
      </w:r>
      <w:r w:rsidR="00307DD4">
        <w:rPr>
          <w:sz w:val="24"/>
          <w:szCs w:val="24"/>
          <w:lang w:val="sq-AL"/>
        </w:rPr>
        <w:t>ë</w:t>
      </w:r>
      <w:r w:rsidR="00734CA3">
        <w:rPr>
          <w:sz w:val="24"/>
          <w:szCs w:val="24"/>
          <w:lang w:val="sq-AL"/>
        </w:rPr>
        <w:t>sin</w:t>
      </w:r>
      <w:r w:rsidR="00307DD4">
        <w:rPr>
          <w:sz w:val="24"/>
          <w:szCs w:val="24"/>
          <w:lang w:val="sq-AL"/>
        </w:rPr>
        <w:t>ë</w:t>
      </w:r>
      <w:r w:rsidR="00734CA3">
        <w:rPr>
          <w:sz w:val="24"/>
          <w:szCs w:val="24"/>
          <w:lang w:val="sq-AL"/>
        </w:rPr>
        <w:t xml:space="preserve"> paguese</w:t>
      </w:r>
      <w:r w:rsidRPr="004077DF">
        <w:rPr>
          <w:sz w:val="24"/>
          <w:szCs w:val="24"/>
          <w:lang w:val="sq-AL"/>
        </w:rPr>
        <w:t xml:space="preserve"> (p.sh., Direktiva (EU) 2019/1023 për procedurat e </w:t>
      </w:r>
      <w:r w:rsidR="00734CA3">
        <w:rPr>
          <w:sz w:val="24"/>
          <w:szCs w:val="24"/>
          <w:lang w:val="sq-AL"/>
        </w:rPr>
        <w:t>falimentimit</w:t>
      </w:r>
      <w:r w:rsidRPr="004077DF">
        <w:rPr>
          <w:sz w:val="24"/>
          <w:szCs w:val="24"/>
          <w:lang w:val="sq-AL"/>
        </w:rPr>
        <w:t>, e cila negociohet në Kapitulli</w:t>
      </w:r>
      <w:r w:rsidR="004D7D6D">
        <w:rPr>
          <w:sz w:val="24"/>
          <w:szCs w:val="24"/>
          <w:lang w:val="sq-AL"/>
        </w:rPr>
        <w:t>n</w:t>
      </w:r>
      <w:r w:rsidRPr="004077DF">
        <w:rPr>
          <w:sz w:val="24"/>
          <w:szCs w:val="24"/>
          <w:lang w:val="sq-AL"/>
        </w:rPr>
        <w:t xml:space="preserve"> 2</w:t>
      </w:r>
      <w:r w:rsidR="004077BD">
        <w:rPr>
          <w:sz w:val="24"/>
          <w:szCs w:val="24"/>
          <w:lang w:val="sq-AL"/>
        </w:rPr>
        <w:t xml:space="preserve">0 </w:t>
      </w:r>
      <w:r w:rsidR="004D7D6D">
        <w:rPr>
          <w:sz w:val="24"/>
          <w:szCs w:val="24"/>
          <w:lang w:val="sq-AL"/>
        </w:rPr>
        <w:t>“Nd</w:t>
      </w:r>
      <w:r w:rsidR="00307DD4">
        <w:rPr>
          <w:sz w:val="24"/>
          <w:szCs w:val="24"/>
          <w:lang w:val="sq-AL"/>
        </w:rPr>
        <w:t>ë</w:t>
      </w:r>
      <w:r w:rsidR="004D7D6D">
        <w:rPr>
          <w:sz w:val="24"/>
          <w:szCs w:val="24"/>
          <w:lang w:val="sq-AL"/>
        </w:rPr>
        <w:t xml:space="preserve">rmarrjet dhe politikat industriale”. </w:t>
      </w:r>
      <w:r w:rsidRPr="004077DF">
        <w:rPr>
          <w:sz w:val="24"/>
          <w:szCs w:val="24"/>
          <w:lang w:val="sq-AL"/>
        </w:rPr>
        <w:t xml:space="preserve">apo </w:t>
      </w:r>
      <w:r w:rsidR="00B52BE0">
        <w:rPr>
          <w:sz w:val="24"/>
          <w:szCs w:val="24"/>
          <w:lang w:val="sq-AL"/>
        </w:rPr>
        <w:t>çështje t</w:t>
      </w:r>
      <w:r w:rsidR="00307DD4">
        <w:rPr>
          <w:sz w:val="24"/>
          <w:szCs w:val="24"/>
          <w:lang w:val="sq-AL"/>
        </w:rPr>
        <w:t>ë</w:t>
      </w:r>
      <w:r w:rsidR="00B52BE0">
        <w:rPr>
          <w:sz w:val="24"/>
          <w:szCs w:val="24"/>
          <w:lang w:val="sq-AL"/>
        </w:rPr>
        <w:t xml:space="preserve"> tjera q</w:t>
      </w:r>
      <w:r w:rsidR="00307DD4">
        <w:rPr>
          <w:sz w:val="24"/>
          <w:szCs w:val="24"/>
          <w:lang w:val="sq-AL"/>
        </w:rPr>
        <w:t>ë</w:t>
      </w:r>
      <w:r w:rsidR="00B52BE0">
        <w:rPr>
          <w:sz w:val="24"/>
          <w:szCs w:val="24"/>
          <w:lang w:val="sq-AL"/>
        </w:rPr>
        <w:t xml:space="preserve"> negociohen tek </w:t>
      </w:r>
      <w:r w:rsidRPr="004077DF">
        <w:rPr>
          <w:sz w:val="24"/>
          <w:szCs w:val="24"/>
          <w:lang w:val="sq-AL"/>
        </w:rPr>
        <w:t>Kapitulli 9 për shërbimet financiare), si dhe direktiva të tjera për raportimin financiar dhe mbrojtjen e konsumatorëve. Kjo do të kërkonte një përpjekje shumë më të gjerë dhe komplekse, duke tejkaluar objektivin e thjeshtë të harmonizimit me Direktivën 2017/1132.</w:t>
      </w:r>
    </w:p>
    <w:p w14:paraId="6D54EFEB" w14:textId="77777777" w:rsidR="004077DF" w:rsidRDefault="004077DF" w:rsidP="00D30D14">
      <w:pPr>
        <w:pStyle w:val="CommentText"/>
        <w:jc w:val="both"/>
        <w:rPr>
          <w:sz w:val="24"/>
          <w:szCs w:val="24"/>
          <w:lang w:val="sq-AL"/>
        </w:rPr>
      </w:pPr>
    </w:p>
    <w:p w14:paraId="43DBA43B" w14:textId="16C76840" w:rsidR="00D30D14" w:rsidRPr="00D30D14" w:rsidRDefault="00B52BE0" w:rsidP="00D30D14">
      <w:pPr>
        <w:pStyle w:val="CommentText"/>
        <w:jc w:val="both"/>
        <w:rPr>
          <w:sz w:val="24"/>
          <w:szCs w:val="24"/>
          <w:lang w:val="sq-AL"/>
        </w:rPr>
      </w:pPr>
      <w:r>
        <w:rPr>
          <w:sz w:val="24"/>
          <w:szCs w:val="24"/>
          <w:lang w:val="sq-AL"/>
        </w:rPr>
        <w:t xml:space="preserve">Nga ana institucionale ky opsion </w:t>
      </w:r>
      <w:r w:rsidR="00D30D14" w:rsidRPr="00D30D14">
        <w:rPr>
          <w:sz w:val="24"/>
          <w:szCs w:val="24"/>
          <w:lang w:val="sq-AL"/>
        </w:rPr>
        <w:t>do të ngarkonte rëndë institucionet ekzistuese të Shqipërisë, si Qendra Kombëtare e Biznesit (QKB), Ministri</w:t>
      </w:r>
      <w:r w:rsidR="00B62B53">
        <w:rPr>
          <w:sz w:val="24"/>
          <w:szCs w:val="24"/>
          <w:lang w:val="sq-AL"/>
        </w:rPr>
        <w:t>të</w:t>
      </w:r>
      <w:r w:rsidR="00D30D14" w:rsidRPr="00D30D14">
        <w:rPr>
          <w:sz w:val="24"/>
          <w:szCs w:val="24"/>
          <w:lang w:val="sq-AL"/>
        </w:rPr>
        <w:t xml:space="preserve"> </w:t>
      </w:r>
      <w:r w:rsidR="005F23C8">
        <w:rPr>
          <w:sz w:val="24"/>
          <w:szCs w:val="24"/>
          <w:lang w:val="sq-AL"/>
        </w:rPr>
        <w:t>përgjegjëse</w:t>
      </w:r>
      <w:r w:rsidR="0045487E">
        <w:rPr>
          <w:sz w:val="24"/>
          <w:szCs w:val="24"/>
          <w:lang w:val="sq-AL"/>
        </w:rPr>
        <w:t xml:space="preserve"> p</w:t>
      </w:r>
      <w:r w:rsidR="00F17944">
        <w:rPr>
          <w:sz w:val="24"/>
          <w:szCs w:val="24"/>
          <w:lang w:val="sq-AL"/>
        </w:rPr>
        <w:t>ë</w:t>
      </w:r>
      <w:r w:rsidR="0045487E">
        <w:rPr>
          <w:sz w:val="24"/>
          <w:szCs w:val="24"/>
          <w:lang w:val="sq-AL"/>
        </w:rPr>
        <w:t>r</w:t>
      </w:r>
      <w:r w:rsidR="00D30D14" w:rsidRPr="00D30D14">
        <w:rPr>
          <w:sz w:val="24"/>
          <w:szCs w:val="24"/>
          <w:lang w:val="sq-AL"/>
        </w:rPr>
        <w:t xml:space="preserve"> </w:t>
      </w:r>
      <w:r w:rsidR="0045487E">
        <w:rPr>
          <w:sz w:val="24"/>
          <w:szCs w:val="24"/>
          <w:lang w:val="sq-AL"/>
        </w:rPr>
        <w:t>e</w:t>
      </w:r>
      <w:r w:rsidR="00D30D14" w:rsidRPr="00D30D14">
        <w:rPr>
          <w:sz w:val="24"/>
          <w:szCs w:val="24"/>
          <w:lang w:val="sq-AL"/>
        </w:rPr>
        <w:t>konomi</w:t>
      </w:r>
      <w:r w:rsidR="0045487E">
        <w:rPr>
          <w:sz w:val="24"/>
          <w:szCs w:val="24"/>
          <w:lang w:val="sq-AL"/>
        </w:rPr>
        <w:t>n</w:t>
      </w:r>
      <w:r w:rsidR="00D30D14" w:rsidRPr="00D30D14">
        <w:rPr>
          <w:sz w:val="24"/>
          <w:szCs w:val="24"/>
          <w:lang w:val="sq-AL"/>
        </w:rPr>
        <w:t xml:space="preserve">ë </w:t>
      </w:r>
      <w:r w:rsidR="0045487E">
        <w:rPr>
          <w:sz w:val="24"/>
          <w:szCs w:val="24"/>
          <w:lang w:val="sq-AL"/>
        </w:rPr>
        <w:t>dhe aktor</w:t>
      </w:r>
      <w:r w:rsidR="00F17944">
        <w:rPr>
          <w:sz w:val="24"/>
          <w:szCs w:val="24"/>
          <w:lang w:val="sq-AL"/>
        </w:rPr>
        <w:t>ë</w:t>
      </w:r>
      <w:r w:rsidR="0045487E">
        <w:rPr>
          <w:sz w:val="24"/>
          <w:szCs w:val="24"/>
          <w:lang w:val="sq-AL"/>
        </w:rPr>
        <w:t>t e tjer</w:t>
      </w:r>
      <w:r w:rsidR="00F17944">
        <w:rPr>
          <w:sz w:val="24"/>
          <w:szCs w:val="24"/>
          <w:lang w:val="sq-AL"/>
        </w:rPr>
        <w:t>ë</w:t>
      </w:r>
      <w:r w:rsidR="0045487E">
        <w:rPr>
          <w:sz w:val="24"/>
          <w:szCs w:val="24"/>
          <w:lang w:val="sq-AL"/>
        </w:rPr>
        <w:t xml:space="preserve"> t</w:t>
      </w:r>
      <w:r w:rsidR="00F17944">
        <w:rPr>
          <w:sz w:val="24"/>
          <w:szCs w:val="24"/>
          <w:lang w:val="sq-AL"/>
        </w:rPr>
        <w:t>ë</w:t>
      </w:r>
      <w:r w:rsidR="0045487E">
        <w:rPr>
          <w:sz w:val="24"/>
          <w:szCs w:val="24"/>
          <w:lang w:val="sq-AL"/>
        </w:rPr>
        <w:t xml:space="preserve"> prekur</w:t>
      </w:r>
      <w:r w:rsidR="00D30D14" w:rsidRPr="00D30D14">
        <w:rPr>
          <w:sz w:val="24"/>
          <w:szCs w:val="24"/>
          <w:lang w:val="sq-AL"/>
        </w:rPr>
        <w:t xml:space="preserve"> Këto institucione do të kërkonin përpjekje të konsiderueshme për të trajtuar kompleksitetin e ligjit të ri. Kjo mund të jetë një sfidë, veçanërisht duke pasur </w:t>
      </w:r>
      <w:r w:rsidR="005F23C8">
        <w:rPr>
          <w:sz w:val="24"/>
          <w:szCs w:val="24"/>
          <w:lang w:val="sq-AL"/>
        </w:rPr>
        <w:t>ndërthurjen</w:t>
      </w:r>
      <w:r w:rsidR="000423ED">
        <w:rPr>
          <w:sz w:val="24"/>
          <w:szCs w:val="24"/>
          <w:lang w:val="sq-AL"/>
        </w:rPr>
        <w:t xml:space="preserve"> e gjer</w:t>
      </w:r>
      <w:r w:rsidR="00307DD4">
        <w:rPr>
          <w:sz w:val="24"/>
          <w:szCs w:val="24"/>
          <w:lang w:val="sq-AL"/>
        </w:rPr>
        <w:t>ë</w:t>
      </w:r>
      <w:r w:rsidR="000423ED">
        <w:rPr>
          <w:sz w:val="24"/>
          <w:szCs w:val="24"/>
          <w:lang w:val="sq-AL"/>
        </w:rPr>
        <w:t xml:space="preserve"> institucionale</w:t>
      </w:r>
      <w:r w:rsidR="00D30D14" w:rsidRPr="00D30D14">
        <w:rPr>
          <w:sz w:val="24"/>
          <w:szCs w:val="24"/>
          <w:lang w:val="sq-AL"/>
        </w:rPr>
        <w:t xml:space="preserve"> dhe nevojën për investime të mëtejshme në infrastrukturën digjitale.</w:t>
      </w:r>
    </w:p>
    <w:p w14:paraId="5C383649" w14:textId="77777777" w:rsidR="00D30D14" w:rsidRPr="00D30D14" w:rsidRDefault="00D30D14" w:rsidP="00D30D14">
      <w:pPr>
        <w:pStyle w:val="CommentText"/>
        <w:jc w:val="both"/>
        <w:rPr>
          <w:sz w:val="24"/>
          <w:szCs w:val="24"/>
          <w:lang w:val="sq-AL"/>
        </w:rPr>
      </w:pPr>
    </w:p>
    <w:p w14:paraId="2F5EE4B4" w14:textId="11A18CDB" w:rsidR="00D30D14" w:rsidRPr="00D30D14" w:rsidRDefault="00D30D14" w:rsidP="00D30D14">
      <w:pPr>
        <w:pStyle w:val="CommentText"/>
        <w:jc w:val="both"/>
        <w:rPr>
          <w:sz w:val="24"/>
          <w:szCs w:val="24"/>
          <w:lang w:val="sq-AL"/>
        </w:rPr>
      </w:pPr>
      <w:r w:rsidRPr="00D30D14">
        <w:rPr>
          <w:sz w:val="24"/>
          <w:szCs w:val="24"/>
          <w:lang w:val="sq-AL"/>
        </w:rPr>
        <w:t xml:space="preserve">Implementimi i një direktive të kodifikuar mund të </w:t>
      </w:r>
      <w:r w:rsidR="000423ED">
        <w:rPr>
          <w:sz w:val="24"/>
          <w:szCs w:val="24"/>
          <w:lang w:val="sq-AL"/>
        </w:rPr>
        <w:t>sjell</w:t>
      </w:r>
      <w:r w:rsidR="00307DD4">
        <w:rPr>
          <w:sz w:val="24"/>
          <w:szCs w:val="24"/>
          <w:lang w:val="sq-AL"/>
        </w:rPr>
        <w:t>ë</w:t>
      </w:r>
      <w:r w:rsidR="000423ED" w:rsidRPr="00D30D14">
        <w:rPr>
          <w:sz w:val="24"/>
          <w:szCs w:val="24"/>
          <w:lang w:val="sq-AL"/>
        </w:rPr>
        <w:t xml:space="preserve"> </w:t>
      </w:r>
      <w:r w:rsidRPr="00D30D14">
        <w:rPr>
          <w:sz w:val="24"/>
          <w:szCs w:val="24"/>
          <w:lang w:val="sq-AL"/>
        </w:rPr>
        <w:t xml:space="preserve">kundërshtim nga bizneset, veçanërisht ato të vogla dhe të mesme (SMEs). Shumë SMEs mund të hasin vështirësi në përputhjen me kërkesat më të rrepta të ligjit, të tilla si ato të lidhura me qeverisjen korporative, operacionet ndërkufitare dhe mbrojtjen e të drejtave të aksionarëve. </w:t>
      </w:r>
    </w:p>
    <w:p w14:paraId="2B7DAE1C" w14:textId="77777777" w:rsidR="00B75F16" w:rsidRDefault="00B75F16" w:rsidP="00D30D14">
      <w:pPr>
        <w:pStyle w:val="CommentText"/>
        <w:jc w:val="both"/>
        <w:rPr>
          <w:sz w:val="24"/>
          <w:szCs w:val="24"/>
          <w:lang w:val="sq-AL"/>
        </w:rPr>
      </w:pPr>
    </w:p>
    <w:p w14:paraId="02B0D253" w14:textId="4EBD9342" w:rsidR="00563378" w:rsidRDefault="00D30D14" w:rsidP="00F52D35">
      <w:pPr>
        <w:pStyle w:val="CommentText"/>
        <w:jc w:val="both"/>
        <w:rPr>
          <w:sz w:val="24"/>
          <w:szCs w:val="24"/>
          <w:lang w:val="sq-AL"/>
        </w:rPr>
      </w:pPr>
      <w:r w:rsidRPr="00D30D14">
        <w:rPr>
          <w:sz w:val="24"/>
          <w:szCs w:val="24"/>
          <w:lang w:val="sq-AL"/>
        </w:rPr>
        <w:t xml:space="preserve">Sistemi aktual ligjor i Shqipërisë mund të hasë sfida për të akomoduar transpozimin e plotë të rregulloreve të BE-së në një direktivë të vetme kodifikuar. Do të kërkohen ndryshime të rëndësishme </w:t>
      </w:r>
      <w:r w:rsidR="00B75F16">
        <w:rPr>
          <w:sz w:val="24"/>
          <w:szCs w:val="24"/>
          <w:lang w:val="sq-AL"/>
        </w:rPr>
        <w:t xml:space="preserve">ose shfuqizime </w:t>
      </w:r>
      <w:r w:rsidRPr="00D30D14">
        <w:rPr>
          <w:sz w:val="24"/>
          <w:szCs w:val="24"/>
          <w:lang w:val="sq-AL"/>
        </w:rPr>
        <w:t>në ligjet ekzistuese, përfshirë Ligjin nr. 9901/2008 dhe Ligjin nr. 110/2012 (për Bashkimet Ndërkufitare), për të siguruar përputhshmërinë me modelin e BE-së. Kjo mund të kërkojë kohë dhe burime të konsiderueshme për të integruar dhe pajtuar ligjet ekzistuese me direktivën e re</w:t>
      </w:r>
      <w:r w:rsidR="00B828FA">
        <w:rPr>
          <w:sz w:val="24"/>
          <w:szCs w:val="24"/>
          <w:lang w:val="sq-AL"/>
        </w:rPr>
        <w:t xml:space="preserve"> si dhe ti jap</w:t>
      </w:r>
      <w:r w:rsidR="00F17944">
        <w:rPr>
          <w:sz w:val="24"/>
          <w:szCs w:val="24"/>
          <w:lang w:val="sq-AL"/>
        </w:rPr>
        <w:t>ë</w:t>
      </w:r>
      <w:r w:rsidR="00B828FA">
        <w:rPr>
          <w:sz w:val="24"/>
          <w:szCs w:val="24"/>
          <w:lang w:val="sq-AL"/>
        </w:rPr>
        <w:t xml:space="preserve"> vendit nj</w:t>
      </w:r>
      <w:r w:rsidR="00F17944">
        <w:rPr>
          <w:sz w:val="24"/>
          <w:szCs w:val="24"/>
          <w:lang w:val="sq-AL"/>
        </w:rPr>
        <w:t>ë</w:t>
      </w:r>
      <w:r w:rsidR="00B828FA">
        <w:rPr>
          <w:sz w:val="24"/>
          <w:szCs w:val="24"/>
          <w:lang w:val="sq-AL"/>
        </w:rPr>
        <w:t xml:space="preserve"> ligj t</w:t>
      </w:r>
      <w:r w:rsidR="00F17944">
        <w:rPr>
          <w:sz w:val="24"/>
          <w:szCs w:val="24"/>
          <w:lang w:val="sq-AL"/>
        </w:rPr>
        <w:t>ë</w:t>
      </w:r>
      <w:r w:rsidR="00B828FA">
        <w:rPr>
          <w:sz w:val="24"/>
          <w:szCs w:val="24"/>
          <w:lang w:val="sq-AL"/>
        </w:rPr>
        <w:t xml:space="preserve"> gjat</w:t>
      </w:r>
      <w:r w:rsidR="00F17944">
        <w:rPr>
          <w:sz w:val="24"/>
          <w:szCs w:val="24"/>
          <w:lang w:val="sq-AL"/>
        </w:rPr>
        <w:t>ë</w:t>
      </w:r>
      <w:r w:rsidR="00B828FA">
        <w:rPr>
          <w:sz w:val="24"/>
          <w:szCs w:val="24"/>
          <w:lang w:val="sq-AL"/>
        </w:rPr>
        <w:t xml:space="preserve"> prej qindra faqesh dhe t</w:t>
      </w:r>
      <w:r w:rsidR="00F17944">
        <w:rPr>
          <w:sz w:val="24"/>
          <w:szCs w:val="24"/>
          <w:lang w:val="sq-AL"/>
        </w:rPr>
        <w:t>ë</w:t>
      </w:r>
      <w:r w:rsidR="00B828FA">
        <w:rPr>
          <w:sz w:val="24"/>
          <w:szCs w:val="24"/>
          <w:lang w:val="sq-AL"/>
        </w:rPr>
        <w:t xml:space="preserve"> r</w:t>
      </w:r>
      <w:r w:rsidR="00F17944">
        <w:rPr>
          <w:sz w:val="24"/>
          <w:szCs w:val="24"/>
          <w:lang w:val="sq-AL"/>
        </w:rPr>
        <w:t>ë</w:t>
      </w:r>
      <w:r w:rsidR="00B828FA">
        <w:rPr>
          <w:sz w:val="24"/>
          <w:szCs w:val="24"/>
          <w:lang w:val="sq-AL"/>
        </w:rPr>
        <w:t>nd</w:t>
      </w:r>
      <w:r w:rsidR="00F17944">
        <w:rPr>
          <w:sz w:val="24"/>
          <w:szCs w:val="24"/>
          <w:lang w:val="sq-AL"/>
        </w:rPr>
        <w:t>ë</w:t>
      </w:r>
      <w:r w:rsidR="00B828FA">
        <w:rPr>
          <w:sz w:val="24"/>
          <w:szCs w:val="24"/>
          <w:lang w:val="sq-AL"/>
        </w:rPr>
        <w:t xml:space="preserve"> p</w:t>
      </w:r>
      <w:r w:rsidR="00F17944">
        <w:rPr>
          <w:sz w:val="24"/>
          <w:szCs w:val="24"/>
          <w:lang w:val="sq-AL"/>
        </w:rPr>
        <w:t>ë</w:t>
      </w:r>
      <w:r w:rsidR="00B828FA">
        <w:rPr>
          <w:sz w:val="24"/>
          <w:szCs w:val="24"/>
          <w:lang w:val="sq-AL"/>
        </w:rPr>
        <w:t>r tu lexuar dhe zbatuar, n</w:t>
      </w:r>
      <w:r w:rsidR="00F17944">
        <w:rPr>
          <w:sz w:val="24"/>
          <w:szCs w:val="24"/>
          <w:lang w:val="sq-AL"/>
        </w:rPr>
        <w:t>ë</w:t>
      </w:r>
      <w:r w:rsidR="00B828FA">
        <w:rPr>
          <w:sz w:val="24"/>
          <w:szCs w:val="24"/>
          <w:lang w:val="sq-AL"/>
        </w:rPr>
        <w:t xml:space="preserve"> raport me nj</w:t>
      </w:r>
      <w:r w:rsidR="00F17944">
        <w:rPr>
          <w:sz w:val="24"/>
          <w:szCs w:val="24"/>
          <w:lang w:val="sq-AL"/>
        </w:rPr>
        <w:t>ë</w:t>
      </w:r>
      <w:r w:rsidR="00B828FA">
        <w:rPr>
          <w:sz w:val="24"/>
          <w:szCs w:val="24"/>
          <w:lang w:val="sq-AL"/>
        </w:rPr>
        <w:t xml:space="preserve"> sistem ligjor shqiptar i cili bazohet n</w:t>
      </w:r>
      <w:r w:rsidR="00F17944">
        <w:rPr>
          <w:sz w:val="24"/>
          <w:szCs w:val="24"/>
          <w:lang w:val="sq-AL"/>
        </w:rPr>
        <w:t>ë</w:t>
      </w:r>
      <w:r w:rsidR="00B828FA">
        <w:rPr>
          <w:sz w:val="24"/>
          <w:szCs w:val="24"/>
          <w:lang w:val="sq-AL"/>
        </w:rPr>
        <w:t xml:space="preserve"> ligje m</w:t>
      </w:r>
      <w:r w:rsidR="00F17944">
        <w:rPr>
          <w:sz w:val="24"/>
          <w:szCs w:val="24"/>
          <w:lang w:val="sq-AL"/>
        </w:rPr>
        <w:t>ë</w:t>
      </w:r>
      <w:r w:rsidR="00B828FA">
        <w:rPr>
          <w:sz w:val="24"/>
          <w:szCs w:val="24"/>
          <w:lang w:val="sq-AL"/>
        </w:rPr>
        <w:t xml:space="preserve"> t</w:t>
      </w:r>
      <w:r w:rsidR="00F17944">
        <w:rPr>
          <w:sz w:val="24"/>
          <w:szCs w:val="24"/>
          <w:lang w:val="sq-AL"/>
        </w:rPr>
        <w:t>ë</w:t>
      </w:r>
      <w:r w:rsidR="00B828FA">
        <w:rPr>
          <w:sz w:val="24"/>
          <w:szCs w:val="24"/>
          <w:lang w:val="sq-AL"/>
        </w:rPr>
        <w:t xml:space="preserve"> shkurtra dhe t</w:t>
      </w:r>
      <w:r w:rsidR="00F17944">
        <w:rPr>
          <w:sz w:val="24"/>
          <w:szCs w:val="24"/>
          <w:lang w:val="sq-AL"/>
        </w:rPr>
        <w:t>ë</w:t>
      </w:r>
      <w:r w:rsidR="00B828FA">
        <w:rPr>
          <w:sz w:val="24"/>
          <w:szCs w:val="24"/>
          <w:lang w:val="sq-AL"/>
        </w:rPr>
        <w:t xml:space="preserve"> kuptueshme.</w:t>
      </w:r>
      <w:r w:rsidRPr="00D30D14">
        <w:rPr>
          <w:sz w:val="24"/>
          <w:szCs w:val="24"/>
          <w:lang w:val="sq-AL"/>
        </w:rPr>
        <w:t>.</w:t>
      </w:r>
    </w:p>
    <w:p w14:paraId="6F2B1D95" w14:textId="77777777" w:rsidR="003542E0" w:rsidRDefault="003542E0" w:rsidP="00F52D35">
      <w:pPr>
        <w:pStyle w:val="CommentText"/>
        <w:jc w:val="both"/>
        <w:rPr>
          <w:sz w:val="24"/>
          <w:szCs w:val="24"/>
          <w:lang w:val="sq-AL"/>
        </w:rPr>
      </w:pPr>
    </w:p>
    <w:p w14:paraId="7434286F" w14:textId="76D90F30" w:rsidR="003542E0" w:rsidRPr="007854D4" w:rsidRDefault="003542E0" w:rsidP="00F52D35">
      <w:pPr>
        <w:pStyle w:val="CommentText"/>
        <w:jc w:val="both"/>
        <w:rPr>
          <w:b/>
          <w:bCs/>
          <w:sz w:val="24"/>
          <w:szCs w:val="24"/>
          <w:lang w:val="sq-AL"/>
        </w:rPr>
      </w:pPr>
      <w:r w:rsidRPr="007854D4">
        <w:rPr>
          <w:b/>
          <w:bCs/>
          <w:sz w:val="24"/>
          <w:szCs w:val="24"/>
          <w:lang w:val="sq-AL"/>
        </w:rPr>
        <w:t>Opsioni 3 (Jo rregullator)</w:t>
      </w:r>
    </w:p>
    <w:p w14:paraId="34BA681F" w14:textId="77777777" w:rsidR="003542E0" w:rsidRPr="007854D4" w:rsidRDefault="003542E0" w:rsidP="00F52D35">
      <w:pPr>
        <w:pStyle w:val="CommentText"/>
        <w:jc w:val="both"/>
        <w:rPr>
          <w:sz w:val="24"/>
          <w:szCs w:val="24"/>
          <w:lang w:val="sq-AL"/>
        </w:rPr>
      </w:pPr>
    </w:p>
    <w:p w14:paraId="073C3872" w14:textId="30009673" w:rsidR="003542E0" w:rsidRPr="007854D4" w:rsidRDefault="003542E0" w:rsidP="003542E0">
      <w:pPr>
        <w:pStyle w:val="CommentText"/>
        <w:jc w:val="both"/>
        <w:rPr>
          <w:sz w:val="24"/>
          <w:szCs w:val="24"/>
          <w:lang w:val="sq-AL"/>
        </w:rPr>
      </w:pPr>
      <w:r w:rsidRPr="007854D4">
        <w:rPr>
          <w:sz w:val="24"/>
          <w:szCs w:val="24"/>
          <w:lang w:val="sq-AL"/>
        </w:rPr>
        <w:t>Një qasje jo rregullatore do të nënkuptonte lejimin e bizneseve dhe aktorëve të tjerë relevantë të funksionojnë pa një kuadër të detajuar rregullator ose me ndërhyrje minimale nga shteti. Në këtë opsion, bizneset do të kishin lirinë për të vetë-</w:t>
      </w:r>
      <w:r w:rsidR="005F23C8" w:rsidRPr="007854D4">
        <w:rPr>
          <w:sz w:val="24"/>
          <w:szCs w:val="24"/>
          <w:lang w:val="sq-AL"/>
        </w:rPr>
        <w:t>rregulluar</w:t>
      </w:r>
      <w:r w:rsidRPr="007854D4">
        <w:rPr>
          <w:sz w:val="24"/>
          <w:szCs w:val="24"/>
          <w:lang w:val="sq-AL"/>
        </w:rPr>
        <w:t xml:space="preserve"> dhe për t’u pajtuar vullnetarisht me standardet bazë të BE-së, pa asnjë detyrim ligjor për të zbatuar rregulla të detajuara që lidhen me formimin e shoqërive, të drejtat e aksionarëve, operacionet ndërkufitare ose qeverisjen korporative.</w:t>
      </w:r>
    </w:p>
    <w:p w14:paraId="7E470039" w14:textId="77777777" w:rsidR="005815D5" w:rsidRPr="007854D4" w:rsidRDefault="005815D5" w:rsidP="003542E0">
      <w:pPr>
        <w:pStyle w:val="CommentText"/>
        <w:jc w:val="both"/>
        <w:rPr>
          <w:sz w:val="24"/>
          <w:szCs w:val="24"/>
          <w:lang w:val="sq-AL"/>
        </w:rPr>
      </w:pPr>
    </w:p>
    <w:p w14:paraId="4B2889D2" w14:textId="697BC035" w:rsidR="003542E0" w:rsidRPr="007854D4" w:rsidRDefault="003542E0" w:rsidP="003542E0">
      <w:pPr>
        <w:pStyle w:val="CommentText"/>
        <w:jc w:val="both"/>
        <w:rPr>
          <w:sz w:val="24"/>
          <w:szCs w:val="24"/>
          <w:lang w:val="sq-AL"/>
        </w:rPr>
      </w:pPr>
      <w:r w:rsidRPr="007854D4">
        <w:rPr>
          <w:sz w:val="24"/>
          <w:szCs w:val="24"/>
          <w:lang w:val="sq-AL"/>
        </w:rPr>
        <w:t xml:space="preserve">Në kontekstin e harmonizimit të  </w:t>
      </w:r>
      <w:r w:rsidR="00B3685D" w:rsidRPr="007854D4">
        <w:rPr>
          <w:sz w:val="24"/>
          <w:szCs w:val="24"/>
          <w:lang w:val="sq-AL"/>
        </w:rPr>
        <w:t>direktivë</w:t>
      </w:r>
      <w:r w:rsidR="00B3685D">
        <w:rPr>
          <w:sz w:val="24"/>
          <w:szCs w:val="24"/>
          <w:lang w:val="sq-AL"/>
        </w:rPr>
        <w:t>s</w:t>
      </w:r>
      <w:r w:rsidR="00B3685D" w:rsidRPr="007854D4">
        <w:rPr>
          <w:sz w:val="24"/>
          <w:szCs w:val="24"/>
          <w:lang w:val="sq-AL"/>
        </w:rPr>
        <w:t xml:space="preserve"> </w:t>
      </w:r>
      <w:r w:rsidR="005815D5" w:rsidRPr="007854D4">
        <w:rPr>
          <w:sz w:val="24"/>
          <w:szCs w:val="24"/>
          <w:lang w:val="sq-AL"/>
        </w:rPr>
        <w:t>2017/1132</w:t>
      </w:r>
      <w:r w:rsidRPr="007854D4">
        <w:rPr>
          <w:sz w:val="24"/>
          <w:szCs w:val="24"/>
          <w:lang w:val="sq-AL"/>
        </w:rPr>
        <w:t>, ky opsion jo rregullator do të sugjeronte që shoqëritë të veprojnë në mënyrë të pavarur pa detyrime ligjore të plota ose kufizime të qarta. Për shembull, shoqëritë nuk do të ishin të detyruara të miratonin mjete digjitale të standardizuara për operacione si formimi i shoqërive ose bashkimet, as nuk do të kishte kërkesa të detyrueshme për transparencën e aksionarëve, ose harmonizimin me kornizën e BE-së për operacionet ndërkufitare.</w:t>
      </w:r>
      <w:r w:rsidR="00AA063E" w:rsidRPr="007854D4">
        <w:rPr>
          <w:sz w:val="24"/>
          <w:szCs w:val="24"/>
          <w:lang w:val="sq-AL"/>
        </w:rPr>
        <w:t xml:space="preserve"> </w:t>
      </w:r>
      <w:r w:rsidRPr="007854D4">
        <w:rPr>
          <w:sz w:val="24"/>
          <w:szCs w:val="24"/>
          <w:lang w:val="sq-AL"/>
        </w:rPr>
        <w:t>Megjithatë, ky opsion nuk mund të konsiderohet si një mundësi e vlefshme për Shqipërinë për disa arsye:</w:t>
      </w:r>
    </w:p>
    <w:p w14:paraId="6D02B85E" w14:textId="77777777" w:rsidR="00AA063E" w:rsidRPr="007854D4" w:rsidRDefault="00AA063E" w:rsidP="003542E0">
      <w:pPr>
        <w:pStyle w:val="CommentText"/>
        <w:jc w:val="both"/>
        <w:rPr>
          <w:sz w:val="24"/>
          <w:szCs w:val="24"/>
          <w:lang w:val="sq-AL"/>
        </w:rPr>
      </w:pPr>
    </w:p>
    <w:p w14:paraId="6D3C1926" w14:textId="7B9F8242" w:rsidR="003542E0" w:rsidRPr="007854D4" w:rsidRDefault="003542E0" w:rsidP="003542E0">
      <w:pPr>
        <w:pStyle w:val="CommentText"/>
        <w:numPr>
          <w:ilvl w:val="0"/>
          <w:numId w:val="31"/>
        </w:numPr>
        <w:jc w:val="both"/>
        <w:rPr>
          <w:sz w:val="24"/>
          <w:szCs w:val="24"/>
          <w:lang w:val="sq-AL"/>
        </w:rPr>
      </w:pPr>
      <w:r w:rsidRPr="007854D4">
        <w:rPr>
          <w:sz w:val="24"/>
          <w:szCs w:val="24"/>
          <w:lang w:val="sq-AL"/>
        </w:rPr>
        <w:t xml:space="preserve">Si një shtet kandidat për në BE, </w:t>
      </w:r>
      <w:r w:rsidR="00AA063E" w:rsidRPr="007854D4">
        <w:rPr>
          <w:sz w:val="24"/>
          <w:szCs w:val="24"/>
          <w:lang w:val="sq-AL"/>
        </w:rPr>
        <w:t>dhe n</w:t>
      </w:r>
      <w:r w:rsidR="00F17944" w:rsidRPr="007854D4">
        <w:rPr>
          <w:sz w:val="24"/>
          <w:szCs w:val="24"/>
          <w:lang w:val="sq-AL"/>
        </w:rPr>
        <w:t>ë</w:t>
      </w:r>
      <w:r w:rsidR="00AA063E" w:rsidRPr="007854D4">
        <w:rPr>
          <w:sz w:val="24"/>
          <w:szCs w:val="24"/>
          <w:lang w:val="sq-AL"/>
        </w:rPr>
        <w:t xml:space="preserve"> zbatim t</w:t>
      </w:r>
      <w:r w:rsidR="00F17944" w:rsidRPr="007854D4">
        <w:rPr>
          <w:sz w:val="24"/>
          <w:szCs w:val="24"/>
          <w:lang w:val="sq-AL"/>
        </w:rPr>
        <w:t>ë</w:t>
      </w:r>
      <w:r w:rsidR="00AA063E" w:rsidRPr="007854D4">
        <w:rPr>
          <w:sz w:val="24"/>
          <w:szCs w:val="24"/>
          <w:lang w:val="sq-AL"/>
        </w:rPr>
        <w:t xml:space="preserve"> nenit 70 t</w:t>
      </w:r>
      <w:r w:rsidR="00F17944" w:rsidRPr="007854D4">
        <w:rPr>
          <w:sz w:val="24"/>
          <w:szCs w:val="24"/>
          <w:lang w:val="sq-AL"/>
        </w:rPr>
        <w:t>ë</w:t>
      </w:r>
      <w:r w:rsidR="00AA063E" w:rsidRPr="007854D4">
        <w:rPr>
          <w:sz w:val="24"/>
          <w:szCs w:val="24"/>
          <w:lang w:val="sq-AL"/>
        </w:rPr>
        <w:t xml:space="preserve"> MSA-s</w:t>
      </w:r>
      <w:r w:rsidR="00F17944" w:rsidRPr="007854D4">
        <w:rPr>
          <w:sz w:val="24"/>
          <w:szCs w:val="24"/>
          <w:lang w:val="sq-AL"/>
        </w:rPr>
        <w:t>ë</w:t>
      </w:r>
      <w:r w:rsidR="00AA063E" w:rsidRPr="007854D4">
        <w:rPr>
          <w:sz w:val="24"/>
          <w:szCs w:val="24"/>
          <w:lang w:val="sq-AL"/>
        </w:rPr>
        <w:t xml:space="preserve">, </w:t>
      </w:r>
      <w:r w:rsidRPr="007854D4">
        <w:rPr>
          <w:sz w:val="24"/>
          <w:szCs w:val="24"/>
          <w:lang w:val="sq-AL"/>
        </w:rPr>
        <w:t xml:space="preserve">Shqipëria është e detyruar ligjërisht të harmonizojë legjislacionin e saj kombëtar me rregulloret e BE-së si pjesë e procesit të integrimit në BE. Bashkimi </w:t>
      </w:r>
      <w:r w:rsidR="005F23C8" w:rsidRPr="007854D4">
        <w:rPr>
          <w:sz w:val="24"/>
          <w:szCs w:val="24"/>
          <w:lang w:val="sq-AL"/>
        </w:rPr>
        <w:t>Evropian</w:t>
      </w:r>
      <w:r w:rsidRPr="007854D4">
        <w:rPr>
          <w:sz w:val="24"/>
          <w:szCs w:val="24"/>
          <w:lang w:val="sq-AL"/>
        </w:rPr>
        <w:t xml:space="preserve"> ka vendosur një kuadër rregullator të detyrueshëm, në të cilin shtetet anëtare duhet të funksionojnë, veçanërisht në fushat e </w:t>
      </w:r>
      <w:r w:rsidR="00C671CA">
        <w:rPr>
          <w:sz w:val="24"/>
          <w:szCs w:val="24"/>
          <w:lang w:val="sq-AL"/>
        </w:rPr>
        <w:t>ligjit 9901/2008</w:t>
      </w:r>
      <w:r w:rsidRPr="007854D4">
        <w:rPr>
          <w:sz w:val="24"/>
          <w:szCs w:val="24"/>
          <w:lang w:val="sq-AL"/>
        </w:rPr>
        <w:t xml:space="preserve">, operacioneve ndërkufitare dhe qeverisjes korporative. </w:t>
      </w:r>
      <w:r w:rsidR="005F23C8">
        <w:rPr>
          <w:sz w:val="24"/>
          <w:szCs w:val="24"/>
          <w:lang w:val="sq-AL"/>
        </w:rPr>
        <w:t>Pa</w:t>
      </w:r>
      <w:r w:rsidRPr="007854D4">
        <w:rPr>
          <w:sz w:val="24"/>
          <w:szCs w:val="24"/>
          <w:lang w:val="sq-AL"/>
        </w:rPr>
        <w:t>pajtueshmëria me këto rregullore do të minonte procesin e integrimit të Shqipërisë dhe do ta shtynte më tej anëtarësimin e saj në BE.</w:t>
      </w:r>
    </w:p>
    <w:p w14:paraId="359DBB2B" w14:textId="54B95AB8" w:rsidR="003542E0" w:rsidRPr="007854D4" w:rsidRDefault="003542E0" w:rsidP="003542E0">
      <w:pPr>
        <w:pStyle w:val="CommentText"/>
        <w:numPr>
          <w:ilvl w:val="0"/>
          <w:numId w:val="31"/>
        </w:numPr>
        <w:jc w:val="both"/>
        <w:rPr>
          <w:sz w:val="24"/>
          <w:szCs w:val="24"/>
          <w:lang w:val="sq-AL"/>
        </w:rPr>
      </w:pPr>
      <w:r w:rsidRPr="007854D4">
        <w:rPr>
          <w:sz w:val="24"/>
          <w:szCs w:val="24"/>
          <w:lang w:val="sq-AL"/>
        </w:rPr>
        <w:t xml:space="preserve">Mungesa e një kuadri të qartë rregullator do të krijonte pasiguri të konsiderueshme për investitorët, bizneset dhe aktorët relevantë. Pa një grup të rregullave të detajuara në vend, Shqipëria nuk do të </w:t>
      </w:r>
      <w:r w:rsidRPr="007854D4">
        <w:rPr>
          <w:sz w:val="24"/>
          <w:szCs w:val="24"/>
          <w:lang w:val="sq-AL"/>
        </w:rPr>
        <w:lastRenderedPageBreak/>
        <w:t>mund të garantojë mbrojtjen e investimeve, funksionimin e duhur të tregut të brendshëm dhe konkurrencën e drejtë. Bizneset nuk do të kishin sigurinë se investimet e tyre janë të mbrojtura, veçanërisht në fusha si bashkimet, të drejtat e aksionarëve dhe transparenca e shoqërive. Ky skenar do të çonte në tërheqjen e pakët të investimeve të huaja, të cilat janë thelbësore për zhvillimin ekonomik të Shqipërisë.</w:t>
      </w:r>
    </w:p>
    <w:p w14:paraId="7F223DE7" w14:textId="0AF876FD" w:rsidR="003542E0" w:rsidRPr="007854D4" w:rsidRDefault="003542E0" w:rsidP="003542E0">
      <w:pPr>
        <w:pStyle w:val="CommentText"/>
        <w:numPr>
          <w:ilvl w:val="0"/>
          <w:numId w:val="31"/>
        </w:numPr>
        <w:jc w:val="both"/>
        <w:rPr>
          <w:sz w:val="24"/>
          <w:szCs w:val="24"/>
          <w:lang w:val="sq-AL"/>
        </w:rPr>
      </w:pPr>
      <w:r w:rsidRPr="007854D4">
        <w:rPr>
          <w:sz w:val="24"/>
          <w:szCs w:val="24"/>
          <w:lang w:val="sq-AL"/>
        </w:rPr>
        <w:t xml:space="preserve">Bashkimi </w:t>
      </w:r>
      <w:r w:rsidR="005F23C8" w:rsidRPr="007854D4">
        <w:rPr>
          <w:sz w:val="24"/>
          <w:szCs w:val="24"/>
          <w:lang w:val="sq-AL"/>
        </w:rPr>
        <w:t>Evropian</w:t>
      </w:r>
      <w:r w:rsidRPr="007854D4">
        <w:rPr>
          <w:sz w:val="24"/>
          <w:szCs w:val="24"/>
          <w:lang w:val="sq-AL"/>
        </w:rPr>
        <w:t xml:space="preserve"> kërkon masa specifike për të mbrojtur interesat e palëve të interesuara, për të siguruar transparencë dhe për të promovuar praktika të drejta biznesi. Një qasje jo rregullatore do të injoronte këto kërkesa dhe do të l</w:t>
      </w:r>
      <w:r w:rsidR="005F23C8">
        <w:rPr>
          <w:sz w:val="24"/>
          <w:szCs w:val="24"/>
          <w:lang w:val="sq-AL"/>
        </w:rPr>
        <w:t>i</w:t>
      </w:r>
      <w:r w:rsidRPr="007854D4">
        <w:rPr>
          <w:sz w:val="24"/>
          <w:szCs w:val="24"/>
          <w:lang w:val="sq-AL"/>
        </w:rPr>
        <w:t>nte Shqipërinë jashtë përputhshmërisë me BE-në. Një situatë e tillë do të pengonte Shqipërinë të merrte pjesë plotësisht në tregun e brendshëm të BE-së dhe mund të rezultonte në sanksione ose barriera tregtare me shtetet anëtare të BE-së.</w:t>
      </w:r>
    </w:p>
    <w:p w14:paraId="5FADCC97" w14:textId="242AED96" w:rsidR="003542E0" w:rsidRPr="007854D4" w:rsidRDefault="003542E0" w:rsidP="003542E0">
      <w:pPr>
        <w:pStyle w:val="CommentText"/>
        <w:numPr>
          <w:ilvl w:val="0"/>
          <w:numId w:val="31"/>
        </w:numPr>
        <w:jc w:val="both"/>
        <w:rPr>
          <w:sz w:val="24"/>
          <w:szCs w:val="24"/>
          <w:lang w:val="sq-AL"/>
        </w:rPr>
      </w:pPr>
      <w:r w:rsidRPr="007854D4">
        <w:rPr>
          <w:sz w:val="24"/>
          <w:szCs w:val="24"/>
          <w:lang w:val="sq-AL"/>
        </w:rPr>
        <w:t xml:space="preserve">Nëse do të lihen </w:t>
      </w:r>
      <w:r w:rsidR="00787159" w:rsidRPr="007854D4">
        <w:rPr>
          <w:sz w:val="24"/>
          <w:szCs w:val="24"/>
          <w:lang w:val="sq-AL"/>
        </w:rPr>
        <w:t>shoqër</w:t>
      </w:r>
      <w:r w:rsidRPr="007854D4">
        <w:rPr>
          <w:sz w:val="24"/>
          <w:szCs w:val="24"/>
          <w:lang w:val="sq-AL"/>
        </w:rPr>
        <w:t>itë dhe institucionet të vetë-</w:t>
      </w:r>
      <w:r w:rsidR="005F23C8" w:rsidRPr="007854D4">
        <w:rPr>
          <w:sz w:val="24"/>
          <w:szCs w:val="24"/>
          <w:lang w:val="sq-AL"/>
        </w:rPr>
        <w:t>rregullohen</w:t>
      </w:r>
      <w:r w:rsidRPr="007854D4">
        <w:rPr>
          <w:sz w:val="24"/>
          <w:szCs w:val="24"/>
          <w:lang w:val="sq-AL"/>
        </w:rPr>
        <w:t xml:space="preserve">, do të ketë një rrezik të madh për praktika të pasqaruara, ku disa biznese mund të përmbushin praktikat më të mira ndërkombëtare ndërsa të tjera jo. Ky skenar do të çonte në një treg të fragmentuar ku </w:t>
      </w:r>
      <w:r w:rsidR="00787159" w:rsidRPr="007854D4">
        <w:rPr>
          <w:sz w:val="24"/>
          <w:szCs w:val="24"/>
          <w:lang w:val="sq-AL"/>
        </w:rPr>
        <w:t>shoqër</w:t>
      </w:r>
      <w:r w:rsidRPr="007854D4">
        <w:rPr>
          <w:sz w:val="24"/>
          <w:szCs w:val="24"/>
          <w:lang w:val="sq-AL"/>
        </w:rPr>
        <w:t>itë që respektojnë standardet ndërkombëtare do të ishin në një pozitë disavantazhi krahasuar me ato që shmangin detyrimet rregullatore. Kjo gjithashtu do të dobësonte aftësinë e shtetit për të monitoruar dhe zbatuar përputhshmërinë ligjore në mënyrë efektive, duke çuar në mundësi të abuzimit dhe praktika të padrejta.</w:t>
      </w:r>
    </w:p>
    <w:p w14:paraId="298E987F" w14:textId="0F782A9D" w:rsidR="003542E0" w:rsidRPr="007854D4" w:rsidRDefault="003542E0" w:rsidP="003542E0">
      <w:pPr>
        <w:pStyle w:val="CommentText"/>
        <w:numPr>
          <w:ilvl w:val="0"/>
          <w:numId w:val="31"/>
        </w:numPr>
        <w:jc w:val="both"/>
        <w:rPr>
          <w:sz w:val="24"/>
          <w:szCs w:val="24"/>
          <w:lang w:val="sq-AL"/>
        </w:rPr>
      </w:pPr>
      <w:r w:rsidRPr="007854D4">
        <w:rPr>
          <w:sz w:val="24"/>
          <w:szCs w:val="24"/>
          <w:lang w:val="sq-AL"/>
        </w:rPr>
        <w:t xml:space="preserve">Qëllimi i strategjisë së integrimit të Shqipërisë në BE është harmonizimi i standardeve të saj me ato </w:t>
      </w:r>
      <w:r w:rsidR="005F23C8" w:rsidRPr="007854D4">
        <w:rPr>
          <w:sz w:val="24"/>
          <w:szCs w:val="24"/>
          <w:lang w:val="sq-AL"/>
        </w:rPr>
        <w:t>evropiane</w:t>
      </w:r>
      <w:r w:rsidRPr="007854D4">
        <w:rPr>
          <w:sz w:val="24"/>
          <w:szCs w:val="24"/>
          <w:lang w:val="sq-AL"/>
        </w:rPr>
        <w:t xml:space="preserve"> për të fituar akses në përfitimet e anëtarësimit, si rritja ekonomike, stabiliteti politik dhe integrimi në treg. Një qasje jo rregullatore do të shkelte këtë strategji dhe do të funksiononte kundër objektivave për miratimin e ligjeve dhe kuadrave përputhëse me BE-në.</w:t>
      </w:r>
    </w:p>
    <w:p w14:paraId="1B4D9C23" w14:textId="77777777" w:rsidR="00BE22F7" w:rsidRPr="007854D4" w:rsidRDefault="00BE22F7" w:rsidP="003542E0">
      <w:pPr>
        <w:pStyle w:val="CommentText"/>
        <w:jc w:val="both"/>
        <w:rPr>
          <w:sz w:val="24"/>
          <w:szCs w:val="24"/>
          <w:lang w:val="sq-AL"/>
        </w:rPr>
      </w:pPr>
    </w:p>
    <w:p w14:paraId="5E7CF93B" w14:textId="63BD1B30" w:rsidR="003542E0" w:rsidRPr="007854D4" w:rsidRDefault="003542E0" w:rsidP="003542E0">
      <w:pPr>
        <w:pStyle w:val="CommentText"/>
        <w:jc w:val="both"/>
        <w:rPr>
          <w:sz w:val="24"/>
          <w:szCs w:val="24"/>
          <w:lang w:val="sq-AL"/>
        </w:rPr>
      </w:pPr>
      <w:r w:rsidRPr="007854D4">
        <w:rPr>
          <w:sz w:val="24"/>
          <w:szCs w:val="24"/>
          <w:lang w:val="sq-AL"/>
        </w:rPr>
        <w:t xml:space="preserve">Për këto arsye, opsioni jo rregullator nuk mund të konsiderohet si një mundësi e vlefshme për harmonizimin e </w:t>
      </w:r>
      <w:r w:rsidR="00C671CA">
        <w:rPr>
          <w:sz w:val="24"/>
          <w:szCs w:val="24"/>
          <w:lang w:val="sq-AL"/>
        </w:rPr>
        <w:t>ligjit 9901/2008</w:t>
      </w:r>
      <w:r w:rsidRPr="007854D4">
        <w:rPr>
          <w:sz w:val="24"/>
          <w:szCs w:val="24"/>
          <w:lang w:val="sq-AL"/>
        </w:rPr>
        <w:t xml:space="preserve"> të Shqipërisë me rregulloret e BE-së. Vendi duhet të </w:t>
      </w:r>
      <w:r w:rsidR="005F23C8">
        <w:rPr>
          <w:sz w:val="24"/>
          <w:szCs w:val="24"/>
          <w:lang w:val="sq-AL"/>
        </w:rPr>
        <w:t>zbatojë</w:t>
      </w:r>
      <w:r w:rsidRPr="007854D4">
        <w:rPr>
          <w:sz w:val="24"/>
          <w:szCs w:val="24"/>
          <w:lang w:val="sq-AL"/>
        </w:rPr>
        <w:t xml:space="preserve"> masa rregullatore të plota për të përmbushur angazhimet e tij për integrimin në BE, për të promovuar besueshmërinë e investitorëve, për të siguruar kushte të drejta konkurruese dhe për të mbrojtur të drejtat e palëve të interesuara në një mënyrë që është në përputhje me standardet </w:t>
      </w:r>
      <w:r w:rsidR="005F23C8" w:rsidRPr="007854D4">
        <w:rPr>
          <w:sz w:val="24"/>
          <w:szCs w:val="24"/>
          <w:lang w:val="sq-AL"/>
        </w:rPr>
        <w:t>evropiane</w:t>
      </w:r>
      <w:r w:rsidRPr="007854D4">
        <w:rPr>
          <w:sz w:val="24"/>
          <w:szCs w:val="24"/>
          <w:lang w:val="sq-AL"/>
        </w:rPr>
        <w:t>.</w:t>
      </w:r>
    </w:p>
    <w:p w14:paraId="25C8895D" w14:textId="167FDDB9" w:rsidR="003542E0" w:rsidRPr="00F52D35" w:rsidRDefault="003542E0" w:rsidP="00F52D35">
      <w:pPr>
        <w:pStyle w:val="CommentText"/>
        <w:jc w:val="both"/>
        <w:rPr>
          <w:sz w:val="24"/>
          <w:szCs w:val="24"/>
          <w:lang w:val="sq-AL"/>
        </w:rPr>
      </w:pPr>
    </w:p>
    <w:p w14:paraId="54817259" w14:textId="77777777" w:rsidR="00D3286E" w:rsidRPr="00325A1F" w:rsidRDefault="002125B7" w:rsidP="009D13F4">
      <w:pPr>
        <w:pStyle w:val="Heading1"/>
        <w:spacing w:line="276" w:lineRule="auto"/>
        <w:rPr>
          <w:rFonts w:ascii="Times New Roman" w:hAnsi="Times New Roman" w:cs="Times New Roman"/>
          <w:sz w:val="24"/>
          <w:szCs w:val="24"/>
          <w:lang w:val="sq-AL"/>
        </w:rPr>
      </w:pPr>
      <w:bookmarkStart w:id="21" w:name="_Hlk191987130"/>
      <w:r w:rsidRPr="00325A1F">
        <w:rPr>
          <w:rFonts w:ascii="Times New Roman" w:hAnsi="Times New Roman" w:cs="Times New Roman"/>
          <w:sz w:val="24"/>
          <w:szCs w:val="24"/>
          <w:lang w:val="sq-AL"/>
        </w:rPr>
        <w:t>Vlerësimi i opsioneve/analizimi i ndikimeve</w:t>
      </w:r>
      <w:r w:rsidR="002005F1"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1155AF">
        <w:rPr>
          <w:rFonts w:ascii="Times New Roman" w:hAnsi="Times New Roman" w:cs="Times New Roman"/>
          <w:sz w:val="24"/>
          <w:szCs w:val="24"/>
          <w:lang w:val="it-IT"/>
        </w:rPr>
        <w:instrText xml:space="preserve"> FORMTEXT </w:instrText>
      </w:r>
      <w:r w:rsidR="002005F1" w:rsidRPr="00325A1F">
        <w:rPr>
          <w:rFonts w:ascii="Times New Roman" w:hAnsi="Times New Roman" w:cs="Times New Roman"/>
          <w:sz w:val="24"/>
          <w:szCs w:val="24"/>
        </w:rPr>
      </w:r>
      <w:r w:rsidR="002005F1"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2005F1" w:rsidRPr="00325A1F">
        <w:rPr>
          <w:rFonts w:ascii="Times New Roman" w:hAnsi="Times New Roman" w:cs="Times New Roman"/>
          <w:sz w:val="24"/>
          <w:szCs w:val="24"/>
        </w:rPr>
        <w:fldChar w:fldCharType="end"/>
      </w:r>
    </w:p>
    <w:sdt>
      <w:sdtPr>
        <w:rPr>
          <w:rFonts w:cs="Times New Roman"/>
          <w:i/>
          <w:iCs/>
          <w:sz w:val="24"/>
          <w:szCs w:val="24"/>
          <w:lang w:val="sq-AL"/>
        </w:rPr>
        <w:id w:val="1457907593"/>
        <w:lock w:val="contentLocked"/>
        <w:placeholder>
          <w:docPart w:val="DefaultPlaceholder_1081868574"/>
        </w:placeholder>
      </w:sdtPr>
      <w:sdtEndPr/>
      <w:sdtContent>
        <w:p w14:paraId="050CA305" w14:textId="77777777" w:rsidR="0097570D" w:rsidRPr="0032145B" w:rsidRDefault="0097570D" w:rsidP="006D0629">
          <w:pPr>
            <w:pStyle w:val="BodyText"/>
            <w:numPr>
              <w:ilvl w:val="0"/>
              <w:numId w:val="9"/>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50D6A366" w14:textId="77777777" w:rsidR="0097570D" w:rsidRPr="0032145B" w:rsidRDefault="0097570D" w:rsidP="006D0629">
          <w:pPr>
            <w:pStyle w:val="BodyText"/>
            <w:numPr>
              <w:ilvl w:val="0"/>
              <w:numId w:val="9"/>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14:paraId="55475CD1" w14:textId="77777777" w:rsidR="0097570D" w:rsidRPr="0032145B" w:rsidRDefault="0097570D" w:rsidP="006D0629">
          <w:pPr>
            <w:pStyle w:val="BodyText"/>
            <w:numPr>
              <w:ilvl w:val="0"/>
              <w:numId w:val="9"/>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2DC092D2" w14:textId="77777777" w:rsidR="0097570D" w:rsidRPr="0032145B" w:rsidRDefault="0097570D" w:rsidP="009D13F4">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4FCD5469" w14:textId="77777777" w:rsidR="0097570D" w:rsidRPr="0032145B" w:rsidRDefault="0097570D" w:rsidP="006D0629">
          <w:pPr>
            <w:pStyle w:val="BodyText"/>
            <w:numPr>
              <w:ilvl w:val="1"/>
              <w:numId w:val="9"/>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132C1CFC" w14:textId="77777777" w:rsidR="0097570D" w:rsidRPr="0032145B" w:rsidRDefault="0097570D" w:rsidP="006D0629">
          <w:pPr>
            <w:pStyle w:val="BodyText"/>
            <w:numPr>
              <w:ilvl w:val="1"/>
              <w:numId w:val="9"/>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1E60A50C" w14:textId="77777777" w:rsidR="0097570D" w:rsidRPr="0032145B" w:rsidRDefault="0097570D" w:rsidP="006D0629">
          <w:pPr>
            <w:pStyle w:val="BodyText"/>
            <w:numPr>
              <w:ilvl w:val="1"/>
              <w:numId w:val="9"/>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sidR="00BD1479">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7CA88B5B" w14:textId="77777777" w:rsidR="0097570D" w:rsidRPr="0032145B" w:rsidRDefault="0097570D" w:rsidP="006D0629">
          <w:pPr>
            <w:pStyle w:val="BodyText"/>
            <w:numPr>
              <w:ilvl w:val="1"/>
              <w:numId w:val="9"/>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68F725A1" w14:textId="77777777" w:rsidR="0097570D" w:rsidRPr="0032145B" w:rsidRDefault="0097570D" w:rsidP="006D0629">
          <w:pPr>
            <w:pStyle w:val="BodyText"/>
            <w:numPr>
              <w:ilvl w:val="0"/>
              <w:numId w:val="9"/>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6C6B9031" w14:textId="77777777" w:rsidR="0097570D" w:rsidRPr="0032145B" w:rsidRDefault="0097570D" w:rsidP="006D0629">
          <w:pPr>
            <w:pStyle w:val="BodyText"/>
            <w:numPr>
              <w:ilvl w:val="1"/>
              <w:numId w:val="9"/>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7587878E" w14:textId="77777777" w:rsidR="0097570D" w:rsidRPr="0032145B" w:rsidRDefault="0097570D" w:rsidP="006D0629">
          <w:pPr>
            <w:pStyle w:val="BodyText"/>
            <w:numPr>
              <w:ilvl w:val="1"/>
              <w:numId w:val="9"/>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6B68582E" w14:textId="77777777" w:rsidR="0097570D" w:rsidRPr="0032145B" w:rsidRDefault="0097570D" w:rsidP="006D0629">
          <w:pPr>
            <w:pStyle w:val="BodyText"/>
            <w:numPr>
              <w:ilvl w:val="0"/>
              <w:numId w:val="9"/>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1D0BD7D2" w14:textId="77777777" w:rsidR="0097570D" w:rsidRPr="0032145B" w:rsidRDefault="0097570D" w:rsidP="006D0629">
          <w:pPr>
            <w:pStyle w:val="BodyText"/>
            <w:numPr>
              <w:ilvl w:val="1"/>
              <w:numId w:val="9"/>
            </w:numPr>
            <w:tabs>
              <w:tab w:val="left" w:pos="567"/>
            </w:tabs>
            <w:spacing w:after="0" w:line="276" w:lineRule="auto"/>
            <w:jc w:val="both"/>
            <w:rPr>
              <w:rFonts w:cs="Times New Roman"/>
              <w:i/>
              <w:sz w:val="24"/>
              <w:szCs w:val="24"/>
              <w:lang w:val="sq-AL"/>
            </w:rPr>
          </w:pPr>
          <w:bookmarkStart w:id="22" w:name="_Hlk506917230"/>
          <w:r w:rsidRPr="0032145B">
            <w:rPr>
              <w:rFonts w:cs="Times New Roman"/>
              <w:i/>
              <w:sz w:val="24"/>
              <w:szCs w:val="24"/>
              <w:lang w:val="sq-AL"/>
            </w:rPr>
            <w:t>Jepni supozimet në të cilat janë bazuar parashikimet dhe risqet, të cilave ato u nënshtrohen.</w:t>
          </w:r>
        </w:p>
        <w:p w14:paraId="6A63578C" w14:textId="77777777" w:rsidR="0097570D" w:rsidRPr="0032145B" w:rsidRDefault="0097570D" w:rsidP="006D0629">
          <w:pPr>
            <w:pStyle w:val="BodyText"/>
            <w:numPr>
              <w:ilvl w:val="1"/>
              <w:numId w:val="9"/>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002281E9" w14:textId="77777777" w:rsidR="0097570D" w:rsidRPr="0032145B" w:rsidRDefault="0097570D" w:rsidP="006D0629">
          <w:pPr>
            <w:pStyle w:val="BodyText"/>
            <w:numPr>
              <w:ilvl w:val="0"/>
              <w:numId w:val="9"/>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46DE7846" w14:textId="77777777" w:rsidR="0097570D" w:rsidRPr="0032145B" w:rsidRDefault="0097570D" w:rsidP="006D0629">
          <w:pPr>
            <w:pStyle w:val="BodyText"/>
            <w:numPr>
              <w:ilvl w:val="1"/>
              <w:numId w:val="9"/>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5FB8EAD9" w14:textId="77777777" w:rsidR="0097570D" w:rsidRPr="0032145B" w:rsidRDefault="0097570D" w:rsidP="006D0629">
          <w:pPr>
            <w:pStyle w:val="BodyText"/>
            <w:numPr>
              <w:ilvl w:val="1"/>
              <w:numId w:val="9"/>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541671C1" w14:textId="77777777" w:rsidR="002125B7" w:rsidRPr="0032145B" w:rsidRDefault="0097570D" w:rsidP="006D0629">
          <w:pPr>
            <w:pStyle w:val="BodyText"/>
            <w:numPr>
              <w:ilvl w:val="1"/>
              <w:numId w:val="9"/>
            </w:numPr>
            <w:tabs>
              <w:tab w:val="left" w:pos="567"/>
            </w:tabs>
            <w:spacing w:after="0" w:line="276" w:lineRule="auto"/>
            <w:jc w:val="both"/>
            <w:rPr>
              <w:rFonts w:cs="Times New Roman"/>
              <w:i/>
              <w:sz w:val="24"/>
              <w:szCs w:val="24"/>
              <w:lang w:val="sq-AL"/>
            </w:rPr>
          </w:pPr>
          <w:r w:rsidRPr="0032145B">
            <w:rPr>
              <w:rFonts w:cs="Times New Roman"/>
              <w:i/>
              <w:sz w:val="24"/>
              <w:szCs w:val="24"/>
              <w:lang w:val="sq-AL"/>
            </w:rPr>
            <w:lastRenderedPageBreak/>
            <w:t xml:space="preserve">Paraqisni përllogaritjet më të mira të përgjithshme neto të ndikimit me vlerë monetare të përcaktuar për çdo opsion </w:t>
          </w:r>
          <w:r w:rsidR="00372979">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sdtContent>
    </w:sdt>
    <w:bookmarkStart w:id="23" w:name="_Toc506919738" w:displacedByCustomXml="prev"/>
    <w:bookmarkEnd w:id="21"/>
    <w:bookmarkEnd w:id="23"/>
    <w:p w14:paraId="35EE127F" w14:textId="77777777" w:rsidR="00274855" w:rsidRPr="00F74152" w:rsidRDefault="00274855" w:rsidP="00990D4F">
      <w:pPr>
        <w:pBdr>
          <w:top w:val="nil"/>
          <w:left w:val="nil"/>
          <w:bottom w:val="nil"/>
          <w:right w:val="nil"/>
          <w:between w:val="nil"/>
          <w:bar w:val="nil"/>
        </w:pBdr>
        <w:spacing w:line="276" w:lineRule="auto"/>
        <w:ind w:right="20"/>
        <w:jc w:val="both"/>
        <w:rPr>
          <w:color w:val="000000" w:themeColor="text1"/>
          <w:szCs w:val="24"/>
          <w:lang w:val="sq-AL"/>
        </w:rPr>
      </w:pPr>
    </w:p>
    <w:p w14:paraId="557DF894" w14:textId="311CF625" w:rsidR="00274855" w:rsidRDefault="00274855" w:rsidP="00274855">
      <w:pPr>
        <w:pBdr>
          <w:top w:val="nil"/>
          <w:left w:val="nil"/>
          <w:bottom w:val="nil"/>
          <w:right w:val="nil"/>
          <w:between w:val="nil"/>
          <w:bar w:val="nil"/>
        </w:pBdr>
        <w:spacing w:line="276" w:lineRule="auto"/>
        <w:ind w:right="20"/>
        <w:jc w:val="both"/>
        <w:rPr>
          <w:color w:val="000000" w:themeColor="text1"/>
          <w:szCs w:val="24"/>
          <w:u w:val="single"/>
          <w:lang w:val="it-IT"/>
        </w:rPr>
      </w:pPr>
      <w:r w:rsidRPr="00274855">
        <w:rPr>
          <w:color w:val="000000" w:themeColor="text1"/>
          <w:szCs w:val="24"/>
          <w:u w:val="single"/>
          <w:lang w:val="it-IT"/>
        </w:rPr>
        <w:t>Identifikimi i grupeve të prekura:</w:t>
      </w:r>
    </w:p>
    <w:p w14:paraId="2716D338" w14:textId="77777777" w:rsidR="00274855" w:rsidRPr="00274855" w:rsidRDefault="00274855" w:rsidP="00274855">
      <w:pPr>
        <w:pBdr>
          <w:top w:val="nil"/>
          <w:left w:val="nil"/>
          <w:bottom w:val="nil"/>
          <w:right w:val="nil"/>
          <w:between w:val="nil"/>
          <w:bar w:val="nil"/>
        </w:pBdr>
        <w:spacing w:line="276" w:lineRule="auto"/>
        <w:ind w:right="20"/>
        <w:jc w:val="both"/>
        <w:rPr>
          <w:color w:val="000000" w:themeColor="text1"/>
          <w:szCs w:val="24"/>
          <w:u w:val="single"/>
          <w:lang w:val="it-IT"/>
        </w:rPr>
      </w:pPr>
    </w:p>
    <w:p w14:paraId="5CB61C88" w14:textId="77777777" w:rsidR="00274855" w:rsidRPr="00274855" w:rsidRDefault="00274855" w:rsidP="006D0629">
      <w:pPr>
        <w:numPr>
          <w:ilvl w:val="0"/>
          <w:numId w:val="21"/>
        </w:numPr>
        <w:pBdr>
          <w:top w:val="nil"/>
          <w:left w:val="nil"/>
          <w:bottom w:val="nil"/>
          <w:right w:val="nil"/>
          <w:between w:val="nil"/>
          <w:bar w:val="nil"/>
        </w:pBdr>
        <w:spacing w:line="276" w:lineRule="auto"/>
        <w:ind w:right="20"/>
        <w:jc w:val="both"/>
        <w:rPr>
          <w:color w:val="000000" w:themeColor="text1"/>
          <w:szCs w:val="24"/>
          <w:lang w:val="it-IT"/>
        </w:rPr>
      </w:pPr>
      <w:r w:rsidRPr="00274855">
        <w:rPr>
          <w:color w:val="000000" w:themeColor="text1"/>
          <w:szCs w:val="24"/>
          <w:lang w:val="it-IT"/>
        </w:rPr>
        <w:t>Bizneset, veçanërisht ato të mëdha dhe të huaja</w:t>
      </w:r>
    </w:p>
    <w:p w14:paraId="51717448" w14:textId="77777777" w:rsidR="00274855" w:rsidRPr="00274855" w:rsidRDefault="00274855" w:rsidP="006D0629">
      <w:pPr>
        <w:numPr>
          <w:ilvl w:val="0"/>
          <w:numId w:val="21"/>
        </w:numPr>
        <w:pBdr>
          <w:top w:val="nil"/>
          <w:left w:val="nil"/>
          <w:bottom w:val="nil"/>
          <w:right w:val="nil"/>
          <w:between w:val="nil"/>
          <w:bar w:val="nil"/>
        </w:pBdr>
        <w:spacing w:line="276" w:lineRule="auto"/>
        <w:ind w:right="20"/>
        <w:jc w:val="both"/>
        <w:rPr>
          <w:color w:val="000000" w:themeColor="text1"/>
          <w:szCs w:val="24"/>
          <w:lang w:val="it-IT"/>
        </w:rPr>
      </w:pPr>
      <w:r w:rsidRPr="00274855">
        <w:rPr>
          <w:color w:val="000000" w:themeColor="text1"/>
          <w:szCs w:val="24"/>
          <w:lang w:val="it-IT"/>
        </w:rPr>
        <w:t>Ndërmarrjet e vogla dhe të mesme (SMEs)</w:t>
      </w:r>
    </w:p>
    <w:p w14:paraId="0886D70F" w14:textId="77777777" w:rsidR="00274855" w:rsidRPr="00274855" w:rsidRDefault="00274855" w:rsidP="006D0629">
      <w:pPr>
        <w:numPr>
          <w:ilvl w:val="0"/>
          <w:numId w:val="21"/>
        </w:numPr>
        <w:pBdr>
          <w:top w:val="nil"/>
          <w:left w:val="nil"/>
          <w:bottom w:val="nil"/>
          <w:right w:val="nil"/>
          <w:between w:val="nil"/>
          <w:bar w:val="nil"/>
        </w:pBdr>
        <w:spacing w:line="276" w:lineRule="auto"/>
        <w:ind w:right="20"/>
        <w:jc w:val="both"/>
        <w:rPr>
          <w:color w:val="000000" w:themeColor="text1"/>
          <w:szCs w:val="24"/>
          <w:lang w:val="en-US"/>
        </w:rPr>
      </w:pPr>
      <w:proofErr w:type="spellStart"/>
      <w:r w:rsidRPr="00274855">
        <w:rPr>
          <w:color w:val="000000" w:themeColor="text1"/>
          <w:szCs w:val="24"/>
          <w:lang w:val="en-US"/>
        </w:rPr>
        <w:t>Institucionet</w:t>
      </w:r>
      <w:proofErr w:type="spellEnd"/>
      <w:r w:rsidRPr="00274855">
        <w:rPr>
          <w:color w:val="000000" w:themeColor="text1"/>
          <w:szCs w:val="24"/>
          <w:lang w:val="en-US"/>
        </w:rPr>
        <w:t xml:space="preserve"> </w:t>
      </w:r>
      <w:proofErr w:type="spellStart"/>
      <w:r w:rsidRPr="00274855">
        <w:rPr>
          <w:color w:val="000000" w:themeColor="text1"/>
          <w:szCs w:val="24"/>
          <w:lang w:val="en-US"/>
        </w:rPr>
        <w:t>shtetërore</w:t>
      </w:r>
      <w:proofErr w:type="spellEnd"/>
    </w:p>
    <w:p w14:paraId="37F51951" w14:textId="6B9785BA" w:rsidR="00274855" w:rsidRPr="00274855" w:rsidRDefault="00274855" w:rsidP="006D0629">
      <w:pPr>
        <w:numPr>
          <w:ilvl w:val="0"/>
          <w:numId w:val="21"/>
        </w:numPr>
        <w:pBdr>
          <w:top w:val="nil"/>
          <w:left w:val="nil"/>
          <w:bottom w:val="nil"/>
          <w:right w:val="nil"/>
          <w:between w:val="nil"/>
          <w:bar w:val="nil"/>
        </w:pBdr>
        <w:spacing w:line="276" w:lineRule="auto"/>
        <w:ind w:right="20"/>
        <w:jc w:val="both"/>
        <w:rPr>
          <w:color w:val="000000" w:themeColor="text1"/>
          <w:szCs w:val="24"/>
          <w:lang w:val="it-IT"/>
        </w:rPr>
      </w:pPr>
      <w:r w:rsidRPr="00274855">
        <w:rPr>
          <w:color w:val="000000" w:themeColor="text1"/>
          <w:szCs w:val="24"/>
          <w:lang w:val="it-IT"/>
        </w:rPr>
        <w:t>Shoqëria civile dhe sektori i mbikëqyrjes</w:t>
      </w:r>
      <w:r w:rsidR="00426BB9">
        <w:rPr>
          <w:color w:val="000000" w:themeColor="text1"/>
          <w:szCs w:val="24"/>
          <w:lang w:val="it-IT"/>
        </w:rPr>
        <w:t xml:space="preserve"> </w:t>
      </w:r>
    </w:p>
    <w:p w14:paraId="50D8FB1C" w14:textId="77777777" w:rsidR="00274855" w:rsidRPr="00274855" w:rsidRDefault="00274855" w:rsidP="006D0629">
      <w:pPr>
        <w:numPr>
          <w:ilvl w:val="0"/>
          <w:numId w:val="21"/>
        </w:numPr>
        <w:pBdr>
          <w:top w:val="nil"/>
          <w:left w:val="nil"/>
          <w:bottom w:val="nil"/>
          <w:right w:val="nil"/>
          <w:between w:val="nil"/>
          <w:bar w:val="nil"/>
        </w:pBdr>
        <w:spacing w:line="276" w:lineRule="auto"/>
        <w:ind w:right="20"/>
        <w:jc w:val="both"/>
        <w:rPr>
          <w:color w:val="000000" w:themeColor="text1"/>
          <w:szCs w:val="24"/>
          <w:lang w:val="it-IT"/>
        </w:rPr>
      </w:pPr>
      <w:r w:rsidRPr="00274855">
        <w:rPr>
          <w:color w:val="000000" w:themeColor="text1"/>
          <w:szCs w:val="24"/>
          <w:lang w:val="it-IT"/>
        </w:rPr>
        <w:t>Investitorët e huaj dhe ata vendas</w:t>
      </w:r>
    </w:p>
    <w:p w14:paraId="2F265457" w14:textId="59C72019" w:rsidR="00274855" w:rsidRPr="00274855" w:rsidRDefault="00274855" w:rsidP="006D0629">
      <w:pPr>
        <w:numPr>
          <w:ilvl w:val="0"/>
          <w:numId w:val="21"/>
        </w:numPr>
        <w:pBdr>
          <w:top w:val="nil"/>
          <w:left w:val="nil"/>
          <w:bottom w:val="nil"/>
          <w:right w:val="nil"/>
          <w:between w:val="nil"/>
          <w:bar w:val="nil"/>
        </w:pBdr>
        <w:spacing w:line="276" w:lineRule="auto"/>
        <w:ind w:right="20"/>
        <w:jc w:val="both"/>
        <w:rPr>
          <w:color w:val="000000" w:themeColor="text1"/>
          <w:szCs w:val="24"/>
          <w:lang w:val="en-US"/>
        </w:rPr>
      </w:pPr>
      <w:proofErr w:type="spellStart"/>
      <w:r w:rsidRPr="00274855">
        <w:rPr>
          <w:color w:val="000000" w:themeColor="text1"/>
          <w:szCs w:val="24"/>
          <w:lang w:val="en-US"/>
        </w:rPr>
        <w:t>Profesionalët</w:t>
      </w:r>
      <w:proofErr w:type="spellEnd"/>
      <w:r w:rsidRPr="00274855">
        <w:rPr>
          <w:color w:val="000000" w:themeColor="text1"/>
          <w:szCs w:val="24"/>
          <w:lang w:val="en-US"/>
        </w:rPr>
        <w:t xml:space="preserve"> </w:t>
      </w:r>
      <w:proofErr w:type="spellStart"/>
      <w:r w:rsidRPr="00274855">
        <w:rPr>
          <w:color w:val="000000" w:themeColor="text1"/>
          <w:szCs w:val="24"/>
          <w:lang w:val="en-US"/>
        </w:rPr>
        <w:t>ligjorë</w:t>
      </w:r>
      <w:proofErr w:type="spellEnd"/>
      <w:r w:rsidRPr="00274855">
        <w:rPr>
          <w:color w:val="000000" w:themeColor="text1"/>
          <w:szCs w:val="24"/>
          <w:lang w:val="en-US"/>
        </w:rPr>
        <w:t xml:space="preserve"> </w:t>
      </w:r>
    </w:p>
    <w:p w14:paraId="6C7E480C" w14:textId="78C2B3CA" w:rsidR="00274855" w:rsidRDefault="00274855" w:rsidP="006D0629">
      <w:pPr>
        <w:numPr>
          <w:ilvl w:val="0"/>
          <w:numId w:val="21"/>
        </w:numPr>
        <w:pBdr>
          <w:top w:val="nil"/>
          <w:left w:val="nil"/>
          <w:bottom w:val="nil"/>
          <w:right w:val="nil"/>
          <w:between w:val="nil"/>
          <w:bar w:val="nil"/>
        </w:pBdr>
        <w:spacing w:line="276" w:lineRule="auto"/>
        <w:ind w:right="20"/>
        <w:jc w:val="both"/>
        <w:rPr>
          <w:color w:val="000000" w:themeColor="text1"/>
          <w:szCs w:val="24"/>
          <w:lang w:val="en-US"/>
        </w:rPr>
      </w:pPr>
      <w:proofErr w:type="spellStart"/>
      <w:r w:rsidRPr="00274855">
        <w:rPr>
          <w:color w:val="000000" w:themeColor="text1"/>
          <w:szCs w:val="24"/>
          <w:lang w:val="en-US"/>
        </w:rPr>
        <w:t>Aksionarët</w:t>
      </w:r>
      <w:proofErr w:type="spellEnd"/>
      <w:r>
        <w:rPr>
          <w:color w:val="000000" w:themeColor="text1"/>
          <w:szCs w:val="24"/>
          <w:lang w:val="en-US"/>
        </w:rPr>
        <w:t>/</w:t>
      </w:r>
      <w:proofErr w:type="spellStart"/>
      <w:r>
        <w:rPr>
          <w:color w:val="000000" w:themeColor="text1"/>
          <w:szCs w:val="24"/>
          <w:lang w:val="en-US"/>
        </w:rPr>
        <w:t>ortakët</w:t>
      </w:r>
      <w:proofErr w:type="spellEnd"/>
      <w:r>
        <w:rPr>
          <w:color w:val="000000" w:themeColor="text1"/>
          <w:szCs w:val="24"/>
          <w:lang w:val="en-US"/>
        </w:rPr>
        <w:t xml:space="preserve"> </w:t>
      </w:r>
      <w:r w:rsidRPr="00274855">
        <w:rPr>
          <w:color w:val="000000" w:themeColor="text1"/>
          <w:szCs w:val="24"/>
          <w:lang w:val="en-US"/>
        </w:rPr>
        <w:t>(</w:t>
      </w:r>
      <w:proofErr w:type="spellStart"/>
      <w:r w:rsidRPr="00274855">
        <w:rPr>
          <w:color w:val="000000" w:themeColor="text1"/>
          <w:szCs w:val="24"/>
          <w:lang w:val="en-US"/>
        </w:rPr>
        <w:t>përfshirë</w:t>
      </w:r>
      <w:proofErr w:type="spellEnd"/>
      <w:r w:rsidRPr="00274855">
        <w:rPr>
          <w:color w:val="000000" w:themeColor="text1"/>
          <w:szCs w:val="24"/>
          <w:lang w:val="en-US"/>
        </w:rPr>
        <w:t xml:space="preserve"> </w:t>
      </w:r>
      <w:proofErr w:type="spellStart"/>
      <w:r w:rsidRPr="00274855">
        <w:rPr>
          <w:color w:val="000000" w:themeColor="text1"/>
          <w:szCs w:val="24"/>
          <w:lang w:val="en-US"/>
        </w:rPr>
        <w:t>aksionarët</w:t>
      </w:r>
      <w:proofErr w:type="spellEnd"/>
      <w:r w:rsidRPr="00274855">
        <w:rPr>
          <w:color w:val="000000" w:themeColor="text1"/>
          <w:szCs w:val="24"/>
          <w:lang w:val="en-US"/>
        </w:rPr>
        <w:t xml:space="preserve"> e </w:t>
      </w:r>
      <w:proofErr w:type="spellStart"/>
      <w:r w:rsidRPr="00274855">
        <w:rPr>
          <w:color w:val="000000" w:themeColor="text1"/>
          <w:szCs w:val="24"/>
          <w:lang w:val="en-US"/>
        </w:rPr>
        <w:t>pakicës</w:t>
      </w:r>
      <w:proofErr w:type="spellEnd"/>
      <w:r w:rsidRPr="00274855">
        <w:rPr>
          <w:color w:val="000000" w:themeColor="text1"/>
          <w:szCs w:val="24"/>
          <w:lang w:val="en-US"/>
        </w:rPr>
        <w:t>)</w:t>
      </w:r>
    </w:p>
    <w:p w14:paraId="1C24033C" w14:textId="1D677467" w:rsidR="007E5591" w:rsidRDefault="007E5591" w:rsidP="006D0629">
      <w:pPr>
        <w:numPr>
          <w:ilvl w:val="0"/>
          <w:numId w:val="21"/>
        </w:numPr>
        <w:pBdr>
          <w:top w:val="nil"/>
          <w:left w:val="nil"/>
          <w:bottom w:val="nil"/>
          <w:right w:val="nil"/>
          <w:between w:val="nil"/>
          <w:bar w:val="nil"/>
        </w:pBdr>
        <w:spacing w:line="276" w:lineRule="auto"/>
        <w:ind w:right="20"/>
        <w:jc w:val="both"/>
        <w:rPr>
          <w:color w:val="000000" w:themeColor="text1"/>
          <w:szCs w:val="24"/>
          <w:lang w:val="en-US"/>
        </w:rPr>
      </w:pPr>
      <w:proofErr w:type="spellStart"/>
      <w:r>
        <w:rPr>
          <w:color w:val="000000" w:themeColor="text1"/>
          <w:szCs w:val="24"/>
          <w:lang w:val="en-US"/>
        </w:rPr>
        <w:t>Noterët</w:t>
      </w:r>
      <w:proofErr w:type="spellEnd"/>
    </w:p>
    <w:p w14:paraId="33E7F2DA" w14:textId="77777777" w:rsidR="00A510CA" w:rsidRDefault="00A510CA" w:rsidP="009E6C01">
      <w:pPr>
        <w:pBdr>
          <w:top w:val="nil"/>
          <w:left w:val="nil"/>
          <w:bottom w:val="nil"/>
          <w:right w:val="nil"/>
          <w:between w:val="nil"/>
          <w:bar w:val="nil"/>
        </w:pBdr>
        <w:spacing w:line="276" w:lineRule="auto"/>
        <w:ind w:right="20"/>
        <w:jc w:val="both"/>
        <w:rPr>
          <w:color w:val="000000" w:themeColor="text1"/>
          <w:szCs w:val="24"/>
          <w:lang w:val="en-US"/>
        </w:rPr>
      </w:pPr>
    </w:p>
    <w:p w14:paraId="17360C86" w14:textId="582F42EA" w:rsidR="009E6C01" w:rsidRDefault="009E6C01" w:rsidP="009E6C01">
      <w:pPr>
        <w:pBdr>
          <w:top w:val="nil"/>
          <w:left w:val="nil"/>
          <w:bottom w:val="nil"/>
          <w:right w:val="nil"/>
          <w:between w:val="nil"/>
          <w:bar w:val="nil"/>
        </w:pBdr>
        <w:spacing w:line="276" w:lineRule="auto"/>
        <w:ind w:right="20"/>
        <w:jc w:val="both"/>
        <w:rPr>
          <w:color w:val="000000" w:themeColor="text1"/>
          <w:szCs w:val="24"/>
          <w:lang w:val="en-US"/>
        </w:rPr>
      </w:pPr>
      <w:proofErr w:type="spellStart"/>
      <w:r w:rsidRPr="009E6C01">
        <w:rPr>
          <w:color w:val="000000" w:themeColor="text1"/>
          <w:szCs w:val="24"/>
          <w:lang w:val="en-US"/>
        </w:rPr>
        <w:t>Ndryshimet</w:t>
      </w:r>
      <w:proofErr w:type="spellEnd"/>
      <w:r w:rsidRPr="009E6C01">
        <w:rPr>
          <w:color w:val="000000" w:themeColor="text1"/>
          <w:szCs w:val="24"/>
          <w:lang w:val="en-US"/>
        </w:rPr>
        <w:t xml:space="preserve"> </w:t>
      </w:r>
      <w:proofErr w:type="spellStart"/>
      <w:r w:rsidRPr="009E6C01">
        <w:rPr>
          <w:color w:val="000000" w:themeColor="text1"/>
          <w:szCs w:val="24"/>
          <w:lang w:val="en-US"/>
        </w:rPr>
        <w:t>ligjore</w:t>
      </w:r>
      <w:proofErr w:type="spellEnd"/>
      <w:r w:rsidRPr="009E6C01">
        <w:rPr>
          <w:color w:val="000000" w:themeColor="text1"/>
          <w:szCs w:val="24"/>
          <w:lang w:val="en-US"/>
        </w:rPr>
        <w:t xml:space="preserve"> do </w:t>
      </w:r>
      <w:proofErr w:type="spellStart"/>
      <w:r w:rsidRPr="009E6C01">
        <w:rPr>
          <w:color w:val="000000" w:themeColor="text1"/>
          <w:szCs w:val="24"/>
          <w:lang w:val="en-US"/>
        </w:rPr>
        <w:t>të</w:t>
      </w:r>
      <w:proofErr w:type="spellEnd"/>
      <w:r w:rsidRPr="009E6C01">
        <w:rPr>
          <w:color w:val="000000" w:themeColor="text1"/>
          <w:szCs w:val="24"/>
          <w:lang w:val="en-US"/>
        </w:rPr>
        <w:t xml:space="preserve"> </w:t>
      </w:r>
      <w:proofErr w:type="spellStart"/>
      <w:r w:rsidRPr="009E6C01">
        <w:rPr>
          <w:color w:val="000000" w:themeColor="text1"/>
          <w:szCs w:val="24"/>
          <w:lang w:val="en-US"/>
        </w:rPr>
        <w:t>ndikojnë</w:t>
      </w:r>
      <w:proofErr w:type="spellEnd"/>
      <w:r w:rsidRPr="009E6C01">
        <w:rPr>
          <w:color w:val="000000" w:themeColor="text1"/>
          <w:szCs w:val="24"/>
          <w:lang w:val="en-US"/>
        </w:rPr>
        <w:t xml:space="preserve"> </w:t>
      </w:r>
      <w:proofErr w:type="spellStart"/>
      <w:r w:rsidRPr="009E6C01">
        <w:rPr>
          <w:color w:val="000000" w:themeColor="text1"/>
          <w:szCs w:val="24"/>
          <w:lang w:val="en-US"/>
        </w:rPr>
        <w:t>në</w:t>
      </w:r>
      <w:proofErr w:type="spellEnd"/>
      <w:r w:rsidRPr="009E6C01">
        <w:rPr>
          <w:color w:val="000000" w:themeColor="text1"/>
          <w:szCs w:val="24"/>
          <w:lang w:val="en-US"/>
        </w:rPr>
        <w:t xml:space="preserve"> </w:t>
      </w:r>
      <w:proofErr w:type="spellStart"/>
      <w:r w:rsidRPr="009E6C01">
        <w:rPr>
          <w:color w:val="000000" w:themeColor="text1"/>
          <w:szCs w:val="24"/>
          <w:lang w:val="en-US"/>
        </w:rPr>
        <w:t>mënyrë</w:t>
      </w:r>
      <w:proofErr w:type="spellEnd"/>
      <w:r w:rsidRPr="009E6C01">
        <w:rPr>
          <w:color w:val="000000" w:themeColor="text1"/>
          <w:szCs w:val="24"/>
          <w:lang w:val="en-US"/>
        </w:rPr>
        <w:t xml:space="preserve"> </w:t>
      </w:r>
      <w:proofErr w:type="spellStart"/>
      <w:r w:rsidRPr="009E6C01">
        <w:rPr>
          <w:color w:val="000000" w:themeColor="text1"/>
          <w:szCs w:val="24"/>
          <w:lang w:val="en-US"/>
        </w:rPr>
        <w:t>të</w:t>
      </w:r>
      <w:proofErr w:type="spellEnd"/>
      <w:r w:rsidRPr="009E6C01">
        <w:rPr>
          <w:color w:val="000000" w:themeColor="text1"/>
          <w:szCs w:val="24"/>
          <w:lang w:val="en-US"/>
        </w:rPr>
        <w:t xml:space="preserve"> </w:t>
      </w:r>
      <w:proofErr w:type="spellStart"/>
      <w:r w:rsidRPr="009E6C01">
        <w:rPr>
          <w:color w:val="000000" w:themeColor="text1"/>
          <w:szCs w:val="24"/>
          <w:lang w:val="en-US"/>
        </w:rPr>
        <w:t>drejtpërdrejtë</w:t>
      </w:r>
      <w:proofErr w:type="spellEnd"/>
      <w:r w:rsidRPr="009E6C01">
        <w:rPr>
          <w:color w:val="000000" w:themeColor="text1"/>
          <w:szCs w:val="24"/>
          <w:lang w:val="en-US"/>
        </w:rPr>
        <w:t xml:space="preserve"> </w:t>
      </w:r>
      <w:proofErr w:type="spellStart"/>
      <w:r w:rsidRPr="009E6C01">
        <w:rPr>
          <w:color w:val="000000" w:themeColor="text1"/>
          <w:szCs w:val="24"/>
          <w:lang w:val="en-US"/>
        </w:rPr>
        <w:t>dhe</w:t>
      </w:r>
      <w:proofErr w:type="spellEnd"/>
      <w:r w:rsidRPr="009E6C01">
        <w:rPr>
          <w:color w:val="000000" w:themeColor="text1"/>
          <w:szCs w:val="24"/>
          <w:lang w:val="en-US"/>
        </w:rPr>
        <w:t xml:space="preserve"> </w:t>
      </w:r>
      <w:proofErr w:type="spellStart"/>
      <w:r w:rsidRPr="009E6C01">
        <w:rPr>
          <w:color w:val="000000" w:themeColor="text1"/>
          <w:szCs w:val="24"/>
          <w:lang w:val="en-US"/>
        </w:rPr>
        <w:t>tërthorazi</w:t>
      </w:r>
      <w:proofErr w:type="spellEnd"/>
      <w:r w:rsidRPr="009E6C01">
        <w:rPr>
          <w:color w:val="000000" w:themeColor="text1"/>
          <w:szCs w:val="24"/>
          <w:lang w:val="en-US"/>
        </w:rPr>
        <w:t xml:space="preserve"> </w:t>
      </w:r>
      <w:proofErr w:type="spellStart"/>
      <w:r w:rsidRPr="009E6C01">
        <w:rPr>
          <w:color w:val="000000" w:themeColor="text1"/>
          <w:szCs w:val="24"/>
          <w:lang w:val="en-US"/>
        </w:rPr>
        <w:t>në</w:t>
      </w:r>
      <w:proofErr w:type="spellEnd"/>
      <w:r w:rsidRPr="009E6C01">
        <w:rPr>
          <w:color w:val="000000" w:themeColor="text1"/>
          <w:szCs w:val="24"/>
          <w:lang w:val="en-US"/>
        </w:rPr>
        <w:t xml:space="preserve"> </w:t>
      </w:r>
      <w:proofErr w:type="spellStart"/>
      <w:r w:rsidRPr="009E6C01">
        <w:rPr>
          <w:color w:val="000000" w:themeColor="text1"/>
          <w:szCs w:val="24"/>
          <w:lang w:val="en-US"/>
        </w:rPr>
        <w:t>këto</w:t>
      </w:r>
      <w:proofErr w:type="spellEnd"/>
      <w:r w:rsidRPr="009E6C01">
        <w:rPr>
          <w:color w:val="000000" w:themeColor="text1"/>
          <w:szCs w:val="24"/>
          <w:lang w:val="en-US"/>
        </w:rPr>
        <w:t xml:space="preserve"> </w:t>
      </w:r>
      <w:proofErr w:type="spellStart"/>
      <w:r w:rsidRPr="009E6C01">
        <w:rPr>
          <w:color w:val="000000" w:themeColor="text1"/>
          <w:szCs w:val="24"/>
          <w:lang w:val="en-US"/>
        </w:rPr>
        <w:t>grupe</w:t>
      </w:r>
      <w:proofErr w:type="spellEnd"/>
      <w:r w:rsidRPr="009E6C01">
        <w:rPr>
          <w:color w:val="000000" w:themeColor="text1"/>
          <w:szCs w:val="24"/>
          <w:lang w:val="en-US"/>
        </w:rPr>
        <w:t xml:space="preserve">. </w:t>
      </w:r>
      <w:proofErr w:type="spellStart"/>
      <w:r w:rsidRPr="009E6C01">
        <w:rPr>
          <w:color w:val="000000" w:themeColor="text1"/>
          <w:szCs w:val="24"/>
          <w:lang w:val="en-US"/>
        </w:rPr>
        <w:t>Ndërmarrjet</w:t>
      </w:r>
      <w:proofErr w:type="spellEnd"/>
      <w:r w:rsidRPr="009E6C01">
        <w:rPr>
          <w:color w:val="000000" w:themeColor="text1"/>
          <w:szCs w:val="24"/>
          <w:lang w:val="en-US"/>
        </w:rPr>
        <w:t xml:space="preserve"> </w:t>
      </w:r>
      <w:proofErr w:type="spellStart"/>
      <w:r w:rsidRPr="009E6C01">
        <w:rPr>
          <w:color w:val="000000" w:themeColor="text1"/>
          <w:szCs w:val="24"/>
          <w:lang w:val="en-US"/>
        </w:rPr>
        <w:t>dhe</w:t>
      </w:r>
      <w:proofErr w:type="spellEnd"/>
      <w:r w:rsidRPr="009E6C01">
        <w:rPr>
          <w:color w:val="000000" w:themeColor="text1"/>
          <w:szCs w:val="24"/>
          <w:lang w:val="en-US"/>
        </w:rPr>
        <w:t xml:space="preserve"> </w:t>
      </w:r>
      <w:proofErr w:type="spellStart"/>
      <w:r w:rsidRPr="009E6C01">
        <w:rPr>
          <w:color w:val="000000" w:themeColor="text1"/>
          <w:szCs w:val="24"/>
          <w:lang w:val="en-US"/>
        </w:rPr>
        <w:t>sektorët</w:t>
      </w:r>
      <w:proofErr w:type="spellEnd"/>
      <w:r w:rsidRPr="009E6C01">
        <w:rPr>
          <w:color w:val="000000" w:themeColor="text1"/>
          <w:szCs w:val="24"/>
          <w:lang w:val="en-US"/>
        </w:rPr>
        <w:t xml:space="preserve"> </w:t>
      </w:r>
      <w:proofErr w:type="spellStart"/>
      <w:r w:rsidRPr="009E6C01">
        <w:rPr>
          <w:color w:val="000000" w:themeColor="text1"/>
          <w:szCs w:val="24"/>
          <w:lang w:val="en-US"/>
        </w:rPr>
        <w:t>që</w:t>
      </w:r>
      <w:proofErr w:type="spellEnd"/>
      <w:r w:rsidRPr="009E6C01">
        <w:rPr>
          <w:color w:val="000000" w:themeColor="text1"/>
          <w:szCs w:val="24"/>
          <w:lang w:val="en-US"/>
        </w:rPr>
        <w:t xml:space="preserve"> </w:t>
      </w:r>
      <w:proofErr w:type="spellStart"/>
      <w:r w:rsidRPr="009E6C01">
        <w:rPr>
          <w:color w:val="000000" w:themeColor="text1"/>
          <w:szCs w:val="24"/>
          <w:lang w:val="en-US"/>
        </w:rPr>
        <w:t>operojnë</w:t>
      </w:r>
      <w:proofErr w:type="spellEnd"/>
      <w:r w:rsidRPr="009E6C01">
        <w:rPr>
          <w:color w:val="000000" w:themeColor="text1"/>
          <w:szCs w:val="24"/>
          <w:lang w:val="en-US"/>
        </w:rPr>
        <w:t xml:space="preserve"> </w:t>
      </w:r>
      <w:proofErr w:type="spellStart"/>
      <w:r w:rsidRPr="009E6C01">
        <w:rPr>
          <w:color w:val="000000" w:themeColor="text1"/>
          <w:szCs w:val="24"/>
          <w:lang w:val="en-US"/>
        </w:rPr>
        <w:t>në</w:t>
      </w:r>
      <w:proofErr w:type="spellEnd"/>
      <w:r w:rsidRPr="009E6C01">
        <w:rPr>
          <w:color w:val="000000" w:themeColor="text1"/>
          <w:szCs w:val="24"/>
          <w:lang w:val="en-US"/>
        </w:rPr>
        <w:t xml:space="preserve"> </w:t>
      </w:r>
      <w:proofErr w:type="spellStart"/>
      <w:r w:rsidRPr="009E6C01">
        <w:rPr>
          <w:color w:val="000000" w:themeColor="text1"/>
          <w:szCs w:val="24"/>
          <w:lang w:val="en-US"/>
        </w:rPr>
        <w:t>tregje</w:t>
      </w:r>
      <w:proofErr w:type="spellEnd"/>
      <w:r w:rsidRPr="009E6C01">
        <w:rPr>
          <w:color w:val="000000" w:themeColor="text1"/>
          <w:szCs w:val="24"/>
          <w:lang w:val="en-US"/>
        </w:rPr>
        <w:t xml:space="preserve"> </w:t>
      </w:r>
      <w:proofErr w:type="spellStart"/>
      <w:r w:rsidRPr="009E6C01">
        <w:rPr>
          <w:color w:val="000000" w:themeColor="text1"/>
          <w:szCs w:val="24"/>
          <w:lang w:val="en-US"/>
        </w:rPr>
        <w:t>ndërkombëtare</w:t>
      </w:r>
      <w:proofErr w:type="spellEnd"/>
      <w:r w:rsidRPr="009E6C01">
        <w:rPr>
          <w:color w:val="000000" w:themeColor="text1"/>
          <w:szCs w:val="24"/>
          <w:lang w:val="en-US"/>
        </w:rPr>
        <w:t xml:space="preserve">, </w:t>
      </w:r>
      <w:proofErr w:type="spellStart"/>
      <w:r w:rsidRPr="009E6C01">
        <w:rPr>
          <w:color w:val="000000" w:themeColor="text1"/>
          <w:szCs w:val="24"/>
          <w:lang w:val="en-US"/>
        </w:rPr>
        <w:t>si</w:t>
      </w:r>
      <w:proofErr w:type="spellEnd"/>
      <w:r w:rsidRPr="009E6C01">
        <w:rPr>
          <w:color w:val="000000" w:themeColor="text1"/>
          <w:szCs w:val="24"/>
          <w:lang w:val="en-US"/>
        </w:rPr>
        <w:t xml:space="preserve"> </w:t>
      </w:r>
      <w:proofErr w:type="spellStart"/>
      <w:r w:rsidRPr="009E6C01">
        <w:rPr>
          <w:color w:val="000000" w:themeColor="text1"/>
          <w:szCs w:val="24"/>
          <w:lang w:val="en-US"/>
        </w:rPr>
        <w:t>dhe</w:t>
      </w:r>
      <w:proofErr w:type="spellEnd"/>
      <w:r w:rsidRPr="009E6C01">
        <w:rPr>
          <w:color w:val="000000" w:themeColor="text1"/>
          <w:szCs w:val="24"/>
          <w:lang w:val="en-US"/>
        </w:rPr>
        <w:t xml:space="preserve"> </w:t>
      </w:r>
      <w:proofErr w:type="spellStart"/>
      <w:r w:rsidRPr="009E6C01">
        <w:rPr>
          <w:color w:val="000000" w:themeColor="text1"/>
          <w:szCs w:val="24"/>
          <w:lang w:val="en-US"/>
        </w:rPr>
        <w:t>institucionet</w:t>
      </w:r>
      <w:proofErr w:type="spellEnd"/>
      <w:r w:rsidRPr="009E6C01">
        <w:rPr>
          <w:color w:val="000000" w:themeColor="text1"/>
          <w:szCs w:val="24"/>
          <w:lang w:val="en-US"/>
        </w:rPr>
        <w:t xml:space="preserve"> </w:t>
      </w:r>
      <w:proofErr w:type="spellStart"/>
      <w:r w:rsidRPr="009E6C01">
        <w:rPr>
          <w:color w:val="000000" w:themeColor="text1"/>
          <w:szCs w:val="24"/>
          <w:lang w:val="en-US"/>
        </w:rPr>
        <w:t>që</w:t>
      </w:r>
      <w:proofErr w:type="spellEnd"/>
      <w:r w:rsidRPr="009E6C01">
        <w:rPr>
          <w:color w:val="000000" w:themeColor="text1"/>
          <w:szCs w:val="24"/>
          <w:lang w:val="en-US"/>
        </w:rPr>
        <w:t xml:space="preserve"> </w:t>
      </w:r>
      <w:proofErr w:type="spellStart"/>
      <w:r w:rsidRPr="009E6C01">
        <w:rPr>
          <w:color w:val="000000" w:themeColor="text1"/>
          <w:szCs w:val="24"/>
          <w:lang w:val="en-US"/>
        </w:rPr>
        <w:t>mbikëqyrin</w:t>
      </w:r>
      <w:proofErr w:type="spellEnd"/>
      <w:r w:rsidRPr="009E6C01">
        <w:rPr>
          <w:color w:val="000000" w:themeColor="text1"/>
          <w:szCs w:val="24"/>
          <w:lang w:val="en-US"/>
        </w:rPr>
        <w:t xml:space="preserve"> </w:t>
      </w:r>
      <w:proofErr w:type="spellStart"/>
      <w:r w:rsidRPr="009E6C01">
        <w:rPr>
          <w:color w:val="000000" w:themeColor="text1"/>
          <w:szCs w:val="24"/>
          <w:lang w:val="en-US"/>
        </w:rPr>
        <w:t>këto</w:t>
      </w:r>
      <w:proofErr w:type="spellEnd"/>
      <w:r w:rsidRPr="009E6C01">
        <w:rPr>
          <w:color w:val="000000" w:themeColor="text1"/>
          <w:szCs w:val="24"/>
          <w:lang w:val="en-US"/>
        </w:rPr>
        <w:t xml:space="preserve"> </w:t>
      </w:r>
      <w:proofErr w:type="spellStart"/>
      <w:r w:rsidRPr="009E6C01">
        <w:rPr>
          <w:color w:val="000000" w:themeColor="text1"/>
          <w:szCs w:val="24"/>
          <w:lang w:val="en-US"/>
        </w:rPr>
        <w:t>aktivitete</w:t>
      </w:r>
      <w:proofErr w:type="spellEnd"/>
      <w:r w:rsidRPr="009E6C01">
        <w:rPr>
          <w:color w:val="000000" w:themeColor="text1"/>
          <w:szCs w:val="24"/>
          <w:lang w:val="en-US"/>
        </w:rPr>
        <w:t xml:space="preserve">, do </w:t>
      </w:r>
      <w:proofErr w:type="spellStart"/>
      <w:r w:rsidRPr="009E6C01">
        <w:rPr>
          <w:color w:val="000000" w:themeColor="text1"/>
          <w:szCs w:val="24"/>
          <w:lang w:val="en-US"/>
        </w:rPr>
        <w:t>të</w:t>
      </w:r>
      <w:proofErr w:type="spellEnd"/>
      <w:r w:rsidRPr="009E6C01">
        <w:rPr>
          <w:color w:val="000000" w:themeColor="text1"/>
          <w:szCs w:val="24"/>
          <w:lang w:val="en-US"/>
        </w:rPr>
        <w:t xml:space="preserve"> </w:t>
      </w:r>
      <w:proofErr w:type="spellStart"/>
      <w:r w:rsidRPr="009E6C01">
        <w:rPr>
          <w:color w:val="000000" w:themeColor="text1"/>
          <w:szCs w:val="24"/>
          <w:lang w:val="en-US"/>
        </w:rPr>
        <w:t>përballen</w:t>
      </w:r>
      <w:proofErr w:type="spellEnd"/>
      <w:r w:rsidRPr="009E6C01">
        <w:rPr>
          <w:color w:val="000000" w:themeColor="text1"/>
          <w:szCs w:val="24"/>
          <w:lang w:val="en-US"/>
        </w:rPr>
        <w:t xml:space="preserve"> me </w:t>
      </w:r>
      <w:proofErr w:type="spellStart"/>
      <w:r w:rsidRPr="009E6C01">
        <w:rPr>
          <w:color w:val="000000" w:themeColor="text1"/>
          <w:szCs w:val="24"/>
          <w:lang w:val="en-US"/>
        </w:rPr>
        <w:t>sfida</w:t>
      </w:r>
      <w:proofErr w:type="spellEnd"/>
      <w:r w:rsidRPr="009E6C01">
        <w:rPr>
          <w:color w:val="000000" w:themeColor="text1"/>
          <w:szCs w:val="24"/>
          <w:lang w:val="en-US"/>
        </w:rPr>
        <w:t xml:space="preserve"> </w:t>
      </w:r>
      <w:proofErr w:type="spellStart"/>
      <w:r w:rsidRPr="009E6C01">
        <w:rPr>
          <w:color w:val="000000" w:themeColor="text1"/>
          <w:szCs w:val="24"/>
          <w:lang w:val="en-US"/>
        </w:rPr>
        <w:t>dhe</w:t>
      </w:r>
      <w:proofErr w:type="spellEnd"/>
      <w:r w:rsidRPr="009E6C01">
        <w:rPr>
          <w:color w:val="000000" w:themeColor="text1"/>
          <w:szCs w:val="24"/>
          <w:lang w:val="en-US"/>
        </w:rPr>
        <w:t xml:space="preserve"> </w:t>
      </w:r>
      <w:proofErr w:type="spellStart"/>
      <w:r w:rsidRPr="009E6C01">
        <w:rPr>
          <w:color w:val="000000" w:themeColor="text1"/>
          <w:szCs w:val="24"/>
          <w:lang w:val="en-US"/>
        </w:rPr>
        <w:t>mundësi</w:t>
      </w:r>
      <w:proofErr w:type="spellEnd"/>
      <w:r w:rsidRPr="009E6C01">
        <w:rPr>
          <w:color w:val="000000" w:themeColor="text1"/>
          <w:szCs w:val="24"/>
          <w:lang w:val="en-US"/>
        </w:rPr>
        <w:t xml:space="preserve"> </w:t>
      </w:r>
      <w:proofErr w:type="spellStart"/>
      <w:r w:rsidRPr="009E6C01">
        <w:rPr>
          <w:color w:val="000000" w:themeColor="text1"/>
          <w:szCs w:val="24"/>
          <w:lang w:val="en-US"/>
        </w:rPr>
        <w:t>për</w:t>
      </w:r>
      <w:proofErr w:type="spellEnd"/>
      <w:r w:rsidRPr="009E6C01">
        <w:rPr>
          <w:color w:val="000000" w:themeColor="text1"/>
          <w:szCs w:val="24"/>
          <w:lang w:val="en-US"/>
        </w:rPr>
        <w:t xml:space="preserve"> </w:t>
      </w:r>
      <w:proofErr w:type="spellStart"/>
      <w:r w:rsidRPr="009E6C01">
        <w:rPr>
          <w:color w:val="000000" w:themeColor="text1"/>
          <w:szCs w:val="24"/>
          <w:lang w:val="en-US"/>
        </w:rPr>
        <w:t>shkak</w:t>
      </w:r>
      <w:proofErr w:type="spellEnd"/>
      <w:r w:rsidRPr="009E6C01">
        <w:rPr>
          <w:color w:val="000000" w:themeColor="text1"/>
          <w:szCs w:val="24"/>
          <w:lang w:val="en-US"/>
        </w:rPr>
        <w:t xml:space="preserve"> </w:t>
      </w:r>
      <w:proofErr w:type="spellStart"/>
      <w:r w:rsidRPr="009E6C01">
        <w:rPr>
          <w:color w:val="000000" w:themeColor="text1"/>
          <w:szCs w:val="24"/>
          <w:lang w:val="en-US"/>
        </w:rPr>
        <w:t>të</w:t>
      </w:r>
      <w:proofErr w:type="spellEnd"/>
      <w:r w:rsidRPr="009E6C01">
        <w:rPr>
          <w:color w:val="000000" w:themeColor="text1"/>
          <w:szCs w:val="24"/>
          <w:lang w:val="en-US"/>
        </w:rPr>
        <w:t xml:space="preserve"> </w:t>
      </w:r>
      <w:proofErr w:type="spellStart"/>
      <w:r w:rsidRPr="009E6C01">
        <w:rPr>
          <w:color w:val="000000" w:themeColor="text1"/>
          <w:szCs w:val="24"/>
          <w:lang w:val="en-US"/>
        </w:rPr>
        <w:t>kërkesave</w:t>
      </w:r>
      <w:proofErr w:type="spellEnd"/>
      <w:r w:rsidRPr="009E6C01">
        <w:rPr>
          <w:color w:val="000000" w:themeColor="text1"/>
          <w:szCs w:val="24"/>
          <w:lang w:val="en-US"/>
        </w:rPr>
        <w:t xml:space="preserve"> </w:t>
      </w:r>
      <w:proofErr w:type="spellStart"/>
      <w:r w:rsidRPr="009E6C01">
        <w:rPr>
          <w:color w:val="000000" w:themeColor="text1"/>
          <w:szCs w:val="24"/>
          <w:lang w:val="en-US"/>
        </w:rPr>
        <w:t>të</w:t>
      </w:r>
      <w:proofErr w:type="spellEnd"/>
      <w:r w:rsidRPr="009E6C01">
        <w:rPr>
          <w:color w:val="000000" w:themeColor="text1"/>
          <w:szCs w:val="24"/>
          <w:lang w:val="en-US"/>
        </w:rPr>
        <w:t xml:space="preserve"> </w:t>
      </w:r>
      <w:proofErr w:type="spellStart"/>
      <w:r w:rsidRPr="009E6C01">
        <w:rPr>
          <w:color w:val="000000" w:themeColor="text1"/>
          <w:szCs w:val="24"/>
          <w:lang w:val="en-US"/>
        </w:rPr>
        <w:t>reja</w:t>
      </w:r>
      <w:proofErr w:type="spellEnd"/>
      <w:r w:rsidRPr="009E6C01">
        <w:rPr>
          <w:color w:val="000000" w:themeColor="text1"/>
          <w:szCs w:val="24"/>
          <w:lang w:val="en-US"/>
        </w:rPr>
        <w:t xml:space="preserve"> </w:t>
      </w:r>
      <w:proofErr w:type="spellStart"/>
      <w:r w:rsidRPr="009E6C01">
        <w:rPr>
          <w:color w:val="000000" w:themeColor="text1"/>
          <w:szCs w:val="24"/>
          <w:lang w:val="en-US"/>
        </w:rPr>
        <w:t>për</w:t>
      </w:r>
      <w:proofErr w:type="spellEnd"/>
      <w:r w:rsidRPr="009E6C01">
        <w:rPr>
          <w:color w:val="000000" w:themeColor="text1"/>
          <w:szCs w:val="24"/>
          <w:lang w:val="en-US"/>
        </w:rPr>
        <w:t xml:space="preserve"> </w:t>
      </w:r>
      <w:proofErr w:type="spellStart"/>
      <w:r w:rsidRPr="009E6C01">
        <w:rPr>
          <w:color w:val="000000" w:themeColor="text1"/>
          <w:szCs w:val="24"/>
          <w:lang w:val="en-US"/>
        </w:rPr>
        <w:t>transparencë</w:t>
      </w:r>
      <w:proofErr w:type="spellEnd"/>
      <w:r w:rsidRPr="009E6C01">
        <w:rPr>
          <w:color w:val="000000" w:themeColor="text1"/>
          <w:szCs w:val="24"/>
          <w:lang w:val="en-US"/>
        </w:rPr>
        <w:t xml:space="preserve">, </w:t>
      </w:r>
      <w:proofErr w:type="spellStart"/>
      <w:r w:rsidRPr="009E6C01">
        <w:rPr>
          <w:color w:val="000000" w:themeColor="text1"/>
          <w:szCs w:val="24"/>
          <w:lang w:val="en-US"/>
        </w:rPr>
        <w:t>qeverisje</w:t>
      </w:r>
      <w:proofErr w:type="spellEnd"/>
      <w:r w:rsidRPr="009E6C01">
        <w:rPr>
          <w:color w:val="000000" w:themeColor="text1"/>
          <w:szCs w:val="24"/>
          <w:lang w:val="en-US"/>
        </w:rPr>
        <w:t xml:space="preserve"> </w:t>
      </w:r>
      <w:proofErr w:type="spellStart"/>
      <w:r w:rsidRPr="009E6C01">
        <w:rPr>
          <w:color w:val="000000" w:themeColor="text1"/>
          <w:szCs w:val="24"/>
          <w:lang w:val="en-US"/>
        </w:rPr>
        <w:t>korporative</w:t>
      </w:r>
      <w:proofErr w:type="spellEnd"/>
      <w:r w:rsidRPr="009E6C01">
        <w:rPr>
          <w:color w:val="000000" w:themeColor="text1"/>
          <w:szCs w:val="24"/>
          <w:lang w:val="en-US"/>
        </w:rPr>
        <w:t xml:space="preserve"> </w:t>
      </w:r>
      <w:proofErr w:type="spellStart"/>
      <w:r w:rsidRPr="009E6C01">
        <w:rPr>
          <w:color w:val="000000" w:themeColor="text1"/>
          <w:szCs w:val="24"/>
          <w:lang w:val="en-US"/>
        </w:rPr>
        <w:t>dhe</w:t>
      </w:r>
      <w:proofErr w:type="spellEnd"/>
      <w:r w:rsidRPr="009E6C01">
        <w:rPr>
          <w:color w:val="000000" w:themeColor="text1"/>
          <w:szCs w:val="24"/>
          <w:lang w:val="en-US"/>
        </w:rPr>
        <w:t xml:space="preserve"> </w:t>
      </w:r>
      <w:proofErr w:type="spellStart"/>
      <w:r w:rsidRPr="009E6C01">
        <w:rPr>
          <w:color w:val="000000" w:themeColor="text1"/>
          <w:szCs w:val="24"/>
          <w:lang w:val="en-US"/>
        </w:rPr>
        <w:t>operacione</w:t>
      </w:r>
      <w:proofErr w:type="spellEnd"/>
      <w:r w:rsidRPr="009E6C01">
        <w:rPr>
          <w:color w:val="000000" w:themeColor="text1"/>
          <w:szCs w:val="24"/>
          <w:lang w:val="en-US"/>
        </w:rPr>
        <w:t xml:space="preserve"> </w:t>
      </w:r>
      <w:proofErr w:type="spellStart"/>
      <w:r w:rsidRPr="009E6C01">
        <w:rPr>
          <w:color w:val="000000" w:themeColor="text1"/>
          <w:szCs w:val="24"/>
          <w:lang w:val="en-US"/>
        </w:rPr>
        <w:t>ndërkufitare</w:t>
      </w:r>
      <w:proofErr w:type="spellEnd"/>
      <w:r w:rsidRPr="009E6C01">
        <w:rPr>
          <w:color w:val="000000" w:themeColor="text1"/>
          <w:szCs w:val="24"/>
          <w:lang w:val="en-US"/>
        </w:rPr>
        <w:t>.</w:t>
      </w:r>
    </w:p>
    <w:p w14:paraId="1FD3E942" w14:textId="77777777" w:rsidR="009E6C01" w:rsidRPr="00274855" w:rsidRDefault="009E6C01" w:rsidP="009E6C01">
      <w:pPr>
        <w:pBdr>
          <w:top w:val="nil"/>
          <w:left w:val="nil"/>
          <w:bottom w:val="nil"/>
          <w:right w:val="nil"/>
          <w:between w:val="nil"/>
          <w:bar w:val="nil"/>
        </w:pBdr>
        <w:spacing w:line="276" w:lineRule="auto"/>
        <w:ind w:right="20"/>
        <w:jc w:val="both"/>
        <w:rPr>
          <w:color w:val="000000" w:themeColor="text1"/>
          <w:szCs w:val="24"/>
          <w:lang w:val="en-US"/>
        </w:rPr>
      </w:pPr>
    </w:p>
    <w:p w14:paraId="439EE846" w14:textId="475D59D0" w:rsidR="00274855" w:rsidRPr="006D0DA9" w:rsidRDefault="00274855" w:rsidP="00274855">
      <w:pPr>
        <w:pBdr>
          <w:top w:val="nil"/>
          <w:left w:val="nil"/>
          <w:bottom w:val="nil"/>
          <w:right w:val="nil"/>
          <w:between w:val="nil"/>
          <w:bar w:val="nil"/>
        </w:pBdr>
        <w:spacing w:line="276" w:lineRule="auto"/>
        <w:ind w:right="20"/>
        <w:jc w:val="both"/>
        <w:rPr>
          <w:color w:val="000000" w:themeColor="text1"/>
          <w:szCs w:val="24"/>
          <w:u w:val="single"/>
          <w:lang w:val="it-IT"/>
        </w:rPr>
      </w:pPr>
      <w:r w:rsidRPr="006D0DA9">
        <w:rPr>
          <w:color w:val="000000" w:themeColor="text1"/>
          <w:szCs w:val="24"/>
          <w:u w:val="single"/>
          <w:lang w:val="it-IT"/>
        </w:rPr>
        <w:t>Identifikimi i llojeve të ndikimeve për secilin grup të prekur:</w:t>
      </w:r>
    </w:p>
    <w:p w14:paraId="0CBB5B67" w14:textId="77777777" w:rsidR="00274855" w:rsidRPr="006D0DA9" w:rsidRDefault="00274855" w:rsidP="00274855">
      <w:pPr>
        <w:pBdr>
          <w:top w:val="nil"/>
          <w:left w:val="nil"/>
          <w:bottom w:val="nil"/>
          <w:right w:val="nil"/>
          <w:between w:val="nil"/>
          <w:bar w:val="nil"/>
        </w:pBdr>
        <w:spacing w:line="276" w:lineRule="auto"/>
        <w:ind w:right="20"/>
        <w:jc w:val="both"/>
        <w:rPr>
          <w:color w:val="000000" w:themeColor="text1"/>
          <w:szCs w:val="24"/>
          <w:lang w:val="it-IT"/>
        </w:rPr>
      </w:pPr>
    </w:p>
    <w:p w14:paraId="3CB52C5F" w14:textId="77777777" w:rsidR="00755D84" w:rsidRPr="00755D84" w:rsidRDefault="00755D84" w:rsidP="00755D84">
      <w:pPr>
        <w:pBdr>
          <w:top w:val="nil"/>
          <w:left w:val="nil"/>
          <w:bottom w:val="nil"/>
          <w:right w:val="nil"/>
          <w:between w:val="nil"/>
          <w:bar w:val="nil"/>
        </w:pBdr>
        <w:spacing w:line="276" w:lineRule="auto"/>
        <w:ind w:right="20"/>
        <w:jc w:val="both"/>
        <w:rPr>
          <w:color w:val="000000" w:themeColor="text1"/>
          <w:szCs w:val="24"/>
          <w:lang w:val="it-IT"/>
        </w:rPr>
      </w:pPr>
      <w:r w:rsidRPr="00755D84">
        <w:rPr>
          <w:color w:val="000000" w:themeColor="text1"/>
          <w:szCs w:val="24"/>
          <w:lang w:val="it-IT"/>
        </w:rPr>
        <w:t>Ndryshimet e propozuara në Ligjin nr. 9901/2008 do të kenë ndikim të drejtpërdrejtë dhe të shumëfishtë mbi aktorët kryesorë të përfshirë në jetën ekonomike dhe institucionale të vendit. Këto ndërhyrje janë konceptuar për të përmirësuar sigurinë juridike, për të rritur besimin në tregun e brendshëm dhe për të përmbushur kërkesat për përafrim me acquis-in e BE-së në kuadër të Kapitullit 6 të negociatave.</w:t>
      </w:r>
    </w:p>
    <w:p w14:paraId="0D741FC4" w14:textId="77777777" w:rsidR="00755D84" w:rsidRPr="00755D84" w:rsidRDefault="00755D84" w:rsidP="00755D84">
      <w:pPr>
        <w:pBdr>
          <w:top w:val="nil"/>
          <w:left w:val="nil"/>
          <w:bottom w:val="nil"/>
          <w:right w:val="nil"/>
          <w:between w:val="nil"/>
          <w:bar w:val="nil"/>
        </w:pBdr>
        <w:spacing w:line="276" w:lineRule="auto"/>
        <w:ind w:right="20"/>
        <w:jc w:val="both"/>
        <w:rPr>
          <w:color w:val="000000" w:themeColor="text1"/>
          <w:szCs w:val="24"/>
          <w:lang w:val="it-IT"/>
        </w:rPr>
      </w:pPr>
    </w:p>
    <w:p w14:paraId="3AF36138" w14:textId="4F9BA058" w:rsidR="00755D84" w:rsidRDefault="00755D84" w:rsidP="00755D84">
      <w:pPr>
        <w:pBdr>
          <w:top w:val="nil"/>
          <w:left w:val="nil"/>
          <w:bottom w:val="nil"/>
          <w:right w:val="nil"/>
          <w:between w:val="nil"/>
          <w:bar w:val="nil"/>
        </w:pBdr>
        <w:spacing w:line="276" w:lineRule="auto"/>
        <w:ind w:right="20"/>
        <w:jc w:val="both"/>
        <w:rPr>
          <w:color w:val="000000" w:themeColor="text1"/>
          <w:szCs w:val="24"/>
          <w:lang w:val="it-IT"/>
        </w:rPr>
      </w:pPr>
      <w:r w:rsidRPr="00755D84">
        <w:rPr>
          <w:color w:val="000000" w:themeColor="text1"/>
          <w:szCs w:val="24"/>
          <w:lang w:val="it-IT"/>
        </w:rPr>
        <w:t>Për shoqëritë tregtare, ndryshimet do të sjellin një kuadër më të qartë dhe më të strukturuar në lidhje me shpërndarjen e fitimeve, zotërimin e aksioneve të veta, pranimin e tyre si garanci dhe ndalimin e mbështetjes financiare për blerjen e tyre nga palë të treta. Këto masa do të kërkojnë përshtatje të procedurave të brendshme dhe standardeve të qeverisjes korporative, si dhe raportim më të detajuar në pasqyrat vjetore. Shoqëritë që kalojnë nga forma e ofertës private në ofertë publike do të jenë të detyruara të respektojnë një sërë garancish shtesë që lidhen me transparencën, vlerësimin e aktiveve, dhe mbrojtjen e mbajtësve të instrumenteve financiare, gjë që mund të përkthehet në rritje të kostove administrative, por që njëkohësisht përforcon reputacionin dhe besueshmërinë e tyre në treg.</w:t>
      </w:r>
      <w:r w:rsidR="00D21DD8" w:rsidRPr="00D756B5">
        <w:rPr>
          <w:lang w:val="it-IT"/>
        </w:rPr>
        <w:t xml:space="preserve"> </w:t>
      </w:r>
      <w:r w:rsidR="00D21DD8" w:rsidRPr="00D21DD8">
        <w:rPr>
          <w:color w:val="000000" w:themeColor="text1"/>
          <w:szCs w:val="24"/>
          <w:lang w:val="it-IT"/>
        </w:rPr>
        <w:t>Nga ana tjetër, lidhur me ndërhyrjet ligjore me qëllim përafrimin Direktivës 2007/36/KE (e ndryshuar), nuk priten ndikime të menjëhershme pasi këto ndryshime kryesisht prekin shoqëritë që do të operojnë në tregje të rregulluara/shoqëri të listuara, dhe Shqipëria ende nuk ka të tilla. Në këndvështrim afatgjatë, përmirësimi i kuadrit rregullator me atë të BE, prezumohet që do të inkurarjojë listimin e shoqërive duke forcuar tregjet e rregullara.</w:t>
      </w:r>
    </w:p>
    <w:p w14:paraId="604D6A2B" w14:textId="77777777" w:rsidR="000D38C4" w:rsidRDefault="000D38C4" w:rsidP="000D38C4">
      <w:pPr>
        <w:pBdr>
          <w:top w:val="nil"/>
          <w:left w:val="nil"/>
          <w:bottom w:val="nil"/>
          <w:right w:val="nil"/>
          <w:between w:val="nil"/>
          <w:bar w:val="nil"/>
        </w:pBdr>
        <w:spacing w:line="276" w:lineRule="auto"/>
        <w:ind w:right="20"/>
        <w:jc w:val="both"/>
        <w:rPr>
          <w:noProof/>
          <w:color w:val="000000" w:themeColor="text1"/>
          <w:szCs w:val="24"/>
          <w:lang w:val="sq-AL"/>
        </w:rPr>
      </w:pPr>
    </w:p>
    <w:p w14:paraId="35A7F117" w14:textId="7B6156D7" w:rsidR="000D38C4" w:rsidRDefault="00277708" w:rsidP="30EE1AA0">
      <w:pPr>
        <w:pBdr>
          <w:top w:val="nil"/>
          <w:left w:val="nil"/>
          <w:bottom w:val="nil"/>
          <w:right w:val="nil"/>
          <w:between w:val="nil"/>
          <w:bar w:val="nil"/>
        </w:pBdr>
        <w:spacing w:line="276" w:lineRule="auto"/>
        <w:ind w:right="20"/>
        <w:jc w:val="both"/>
        <w:rPr>
          <w:noProof/>
          <w:color w:val="000000" w:themeColor="text1"/>
          <w:lang w:val="sq-AL"/>
        </w:rPr>
      </w:pPr>
      <w:r w:rsidRPr="30EE1AA0">
        <w:rPr>
          <w:noProof/>
          <w:color w:val="000000" w:themeColor="text1"/>
          <w:lang w:val="sq-AL"/>
        </w:rPr>
        <w:t>Kostot e pritshme</w:t>
      </w:r>
      <w:r w:rsidR="000D38C4" w:rsidRPr="30EE1AA0">
        <w:rPr>
          <w:noProof/>
          <w:color w:val="000000" w:themeColor="text1"/>
          <w:lang w:val="sq-AL"/>
        </w:rPr>
        <w:t>:</w:t>
      </w:r>
    </w:p>
    <w:p w14:paraId="73F1BDC7" w14:textId="77777777" w:rsidR="004E501B" w:rsidRDefault="004E501B" w:rsidP="000D38C4">
      <w:pPr>
        <w:pBdr>
          <w:top w:val="nil"/>
          <w:left w:val="nil"/>
          <w:bottom w:val="nil"/>
          <w:right w:val="nil"/>
          <w:between w:val="nil"/>
          <w:bar w:val="nil"/>
        </w:pBdr>
        <w:spacing w:line="276" w:lineRule="auto"/>
        <w:ind w:right="20"/>
        <w:jc w:val="both"/>
        <w:rPr>
          <w:noProof/>
          <w:color w:val="000000" w:themeColor="text1"/>
          <w:szCs w:val="24"/>
          <w:lang w:val="sq-AL"/>
        </w:rPr>
      </w:pPr>
    </w:p>
    <w:p w14:paraId="78DBE23B" w14:textId="35A01149" w:rsidR="00277708" w:rsidRPr="00C631BF" w:rsidRDefault="000D38C4" w:rsidP="00C631BF">
      <w:pPr>
        <w:pStyle w:val="ListParagraph"/>
        <w:numPr>
          <w:ilvl w:val="0"/>
          <w:numId w:val="58"/>
        </w:numPr>
        <w:pBdr>
          <w:top w:val="nil"/>
          <w:left w:val="nil"/>
          <w:bottom w:val="nil"/>
          <w:right w:val="nil"/>
          <w:between w:val="nil"/>
          <w:bar w:val="nil"/>
        </w:pBdr>
        <w:tabs>
          <w:tab w:val="clear" w:pos="720"/>
          <w:tab w:val="num" w:pos="993"/>
        </w:tabs>
        <w:spacing w:line="276" w:lineRule="auto"/>
        <w:ind w:right="20"/>
        <w:jc w:val="both"/>
        <w:rPr>
          <w:noProof/>
          <w:color w:val="000000" w:themeColor="text1"/>
          <w:szCs w:val="24"/>
          <w:lang w:val="sq-AL"/>
        </w:rPr>
      </w:pPr>
      <w:r>
        <w:rPr>
          <w:rFonts w:ascii="Times New Roman" w:hAnsi="Times New Roman"/>
          <w:noProof/>
          <w:color w:val="000000" w:themeColor="text1"/>
          <w:sz w:val="24"/>
          <w:szCs w:val="24"/>
          <w:lang w:val="sq-AL"/>
        </w:rPr>
        <w:t xml:space="preserve">  </w:t>
      </w:r>
      <w:r w:rsidR="00277708" w:rsidRPr="00C631BF">
        <w:rPr>
          <w:rFonts w:ascii="Times New Roman" w:hAnsi="Times New Roman"/>
          <w:noProof/>
          <w:color w:val="000000" w:themeColor="text1"/>
          <w:sz w:val="24"/>
          <w:szCs w:val="24"/>
          <w:lang w:val="sq-AL"/>
        </w:rPr>
        <w:t>Përshtatja e procedurave të brendshme dhe standardeve të qeverisjes korporative</w:t>
      </w:r>
    </w:p>
    <w:p w14:paraId="2682E5B9" w14:textId="77777777" w:rsidR="00277708" w:rsidRPr="00C631BF" w:rsidRDefault="00277708"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Hartimi dhe miratimi i rregulloreve të reja të brendshme.</w:t>
      </w:r>
    </w:p>
    <w:p w14:paraId="06B3C074" w14:textId="77777777" w:rsidR="00277708" w:rsidRPr="00C631BF" w:rsidRDefault="00277708"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Kosto këshillimi juridik dhe auditimi.</w:t>
      </w:r>
    </w:p>
    <w:p w14:paraId="10470B62" w14:textId="77777777" w:rsidR="000D38C4" w:rsidRDefault="00277708" w:rsidP="000D38C4">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Trajnim i administratorëve dhe anëtarëve të bordeve mbi standardet e reja.</w:t>
      </w:r>
    </w:p>
    <w:p w14:paraId="24767B8C" w14:textId="7E741B6C" w:rsidR="00277708" w:rsidRPr="00C631BF" w:rsidRDefault="000D38C4" w:rsidP="00C631BF">
      <w:pPr>
        <w:pStyle w:val="ListParagraph"/>
        <w:numPr>
          <w:ilvl w:val="0"/>
          <w:numId w:val="58"/>
        </w:numPr>
        <w:pBdr>
          <w:top w:val="nil"/>
          <w:left w:val="nil"/>
          <w:bottom w:val="nil"/>
          <w:right w:val="nil"/>
          <w:between w:val="nil"/>
          <w:bar w:val="nil"/>
        </w:pBdr>
        <w:spacing w:line="276" w:lineRule="auto"/>
        <w:ind w:right="20"/>
        <w:jc w:val="both"/>
        <w:rPr>
          <w:noProof/>
          <w:color w:val="000000" w:themeColor="text1"/>
          <w:szCs w:val="24"/>
          <w:lang w:val="sq-AL"/>
        </w:rPr>
      </w:pPr>
      <w:r>
        <w:rPr>
          <w:rFonts w:ascii="Times New Roman" w:hAnsi="Times New Roman"/>
          <w:noProof/>
          <w:color w:val="000000" w:themeColor="text1"/>
          <w:sz w:val="24"/>
          <w:szCs w:val="24"/>
          <w:lang w:val="sq-AL"/>
        </w:rPr>
        <w:t xml:space="preserve">  </w:t>
      </w:r>
      <w:r w:rsidR="00277708" w:rsidRPr="00C631BF">
        <w:rPr>
          <w:rFonts w:ascii="Times New Roman" w:hAnsi="Times New Roman"/>
          <w:noProof/>
          <w:color w:val="000000" w:themeColor="text1"/>
          <w:sz w:val="24"/>
          <w:szCs w:val="24"/>
          <w:lang w:val="sq-AL"/>
        </w:rPr>
        <w:t>Raportim më i detajuar në pasqyrat vjetore</w:t>
      </w:r>
    </w:p>
    <w:p w14:paraId="706E6619" w14:textId="77777777" w:rsidR="00277708" w:rsidRPr="00C631BF" w:rsidRDefault="00277708"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lastRenderedPageBreak/>
        <w:t>Kosto shtesë për shërbimet e kontabilitetit dhe auditimit.</w:t>
      </w:r>
    </w:p>
    <w:p w14:paraId="564FCEC8" w14:textId="77777777" w:rsidR="00277708" w:rsidRPr="00C631BF" w:rsidRDefault="00277708"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Përshtatje të softuerëve financiarë dhe sistemeve IT për raportim të zgjeruar.</w:t>
      </w:r>
    </w:p>
    <w:p w14:paraId="4EBCB8AE" w14:textId="3705A3C1" w:rsidR="00277708" w:rsidRPr="00C631BF" w:rsidRDefault="000D38C4" w:rsidP="00C631BF">
      <w:pPr>
        <w:pStyle w:val="ListParagraph"/>
        <w:numPr>
          <w:ilvl w:val="0"/>
          <w:numId w:val="58"/>
        </w:numPr>
        <w:pBdr>
          <w:top w:val="nil"/>
          <w:left w:val="nil"/>
          <w:bottom w:val="nil"/>
          <w:right w:val="nil"/>
          <w:between w:val="nil"/>
          <w:bar w:val="nil"/>
        </w:pBdr>
        <w:spacing w:line="276" w:lineRule="auto"/>
        <w:ind w:right="20"/>
        <w:jc w:val="both"/>
        <w:rPr>
          <w:noProof/>
          <w:color w:val="000000" w:themeColor="text1"/>
          <w:szCs w:val="24"/>
          <w:lang w:val="sq-AL"/>
        </w:rPr>
      </w:pPr>
      <w:r>
        <w:rPr>
          <w:rFonts w:ascii="Times New Roman" w:hAnsi="Times New Roman"/>
          <w:noProof/>
          <w:color w:val="000000" w:themeColor="text1"/>
          <w:sz w:val="24"/>
          <w:szCs w:val="24"/>
          <w:lang w:val="sq-AL"/>
        </w:rPr>
        <w:t xml:space="preserve">  </w:t>
      </w:r>
      <w:r w:rsidR="00277708" w:rsidRPr="00C631BF">
        <w:rPr>
          <w:rFonts w:ascii="Times New Roman" w:hAnsi="Times New Roman"/>
          <w:noProof/>
          <w:color w:val="000000" w:themeColor="text1"/>
          <w:sz w:val="24"/>
          <w:szCs w:val="24"/>
          <w:lang w:val="sq-AL"/>
        </w:rPr>
        <w:t>Shoqëritë që kalojnë nga ofertë private në ofertë publike</w:t>
      </w:r>
    </w:p>
    <w:p w14:paraId="3905C5E0" w14:textId="77777777" w:rsidR="00277708" w:rsidRPr="00C631BF" w:rsidRDefault="00277708"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Garanci shtesë ligjore dhe procedurale: transparencë, vlerësim i aktiveve, publikime më të detajuara.</w:t>
      </w:r>
    </w:p>
    <w:p w14:paraId="2D84F3F9" w14:textId="77777777" w:rsidR="00277708" w:rsidRPr="00C631BF" w:rsidRDefault="00277708"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Kosto për ekspertë të licencuar për vlerësimin e aktiveve.</w:t>
      </w:r>
    </w:p>
    <w:p w14:paraId="609069E0" w14:textId="77777777" w:rsidR="00277708" w:rsidRPr="00C631BF" w:rsidRDefault="00277708"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Tarifa për këshilltarë financiarë dhe ligjorë në procesin e ofertës publike.</w:t>
      </w:r>
    </w:p>
    <w:p w14:paraId="1F3AAF16" w14:textId="77777777" w:rsidR="00277708" w:rsidRPr="00C631BF" w:rsidRDefault="00277708"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Kosto administrative për përgatitjen e dokumentacionit të kërkuar nga autoritetet rregullatore.</w:t>
      </w:r>
    </w:p>
    <w:p w14:paraId="6E51FBA7" w14:textId="77777777" w:rsidR="00755D84" w:rsidRPr="003A44E3" w:rsidRDefault="00755D84" w:rsidP="00755D84">
      <w:pPr>
        <w:pBdr>
          <w:top w:val="nil"/>
          <w:left w:val="nil"/>
          <w:bottom w:val="nil"/>
          <w:right w:val="nil"/>
          <w:between w:val="nil"/>
          <w:bar w:val="nil"/>
        </w:pBdr>
        <w:spacing w:line="276" w:lineRule="auto"/>
        <w:ind w:right="20"/>
        <w:jc w:val="both"/>
        <w:rPr>
          <w:color w:val="000000" w:themeColor="text1"/>
          <w:szCs w:val="24"/>
          <w:lang w:val="sq-AL"/>
        </w:rPr>
      </w:pPr>
      <w:r w:rsidRPr="003A44E3">
        <w:rPr>
          <w:color w:val="000000" w:themeColor="text1"/>
          <w:szCs w:val="24"/>
          <w:lang w:val="sq-AL"/>
        </w:rPr>
        <w:t>Për aksionarët, ndryshimet sjellin përmirësim të ndjeshëm në nivelin e mbrojtjes juridike, sidomos në rastet e shpërndarjeve të paautorizuara, blerjeve të aksioneve nga shoqëria apo mospërputhjes me kërkesat për ruajtjen e kapitalit. Dispozitat për kthimin e fondeve të marra në kundërshtim me ligjin, përfshirë përgjegjësinë solidarë të aksionarëve dhe të anëtarëve të organeve drejtuese, krijojnë një sistem më të drejtë dhe të ekuilibruar në raport me interesat e kreditorëve dhe mbrojtjen e kapitalit të shoqërisë. Gjithashtu, mundësia për të ndjekur procedura ligjore në rast të pavlefshmërisë së bashkimeve rrit sigurinë procedurale dhe u jep aksionarëve mjete efektive për të kundërshtuar shkeljet e ligjit.</w:t>
      </w:r>
    </w:p>
    <w:p w14:paraId="5A301739" w14:textId="77777777" w:rsidR="00755D84" w:rsidRPr="003A44E3" w:rsidRDefault="00755D84" w:rsidP="00755D84">
      <w:pPr>
        <w:pBdr>
          <w:top w:val="nil"/>
          <w:left w:val="nil"/>
          <w:bottom w:val="nil"/>
          <w:right w:val="nil"/>
          <w:between w:val="nil"/>
          <w:bar w:val="nil"/>
        </w:pBdr>
        <w:spacing w:line="276" w:lineRule="auto"/>
        <w:ind w:right="20"/>
        <w:jc w:val="both"/>
        <w:rPr>
          <w:color w:val="000000" w:themeColor="text1"/>
          <w:szCs w:val="24"/>
          <w:lang w:val="sq-AL"/>
        </w:rPr>
      </w:pPr>
    </w:p>
    <w:p w14:paraId="01F7D2BB" w14:textId="77777777" w:rsidR="00755D84" w:rsidRPr="00C631BF" w:rsidRDefault="00755D84" w:rsidP="00755D84">
      <w:pPr>
        <w:pBdr>
          <w:top w:val="nil"/>
          <w:left w:val="nil"/>
          <w:bottom w:val="nil"/>
          <w:right w:val="nil"/>
          <w:between w:val="nil"/>
          <w:bar w:val="nil"/>
        </w:pBdr>
        <w:spacing w:line="276" w:lineRule="auto"/>
        <w:ind w:right="20"/>
        <w:jc w:val="both"/>
        <w:rPr>
          <w:color w:val="000000" w:themeColor="text1"/>
          <w:szCs w:val="24"/>
          <w:lang w:val="sq-AL"/>
        </w:rPr>
      </w:pPr>
      <w:r w:rsidRPr="003A44E3">
        <w:rPr>
          <w:color w:val="000000" w:themeColor="text1"/>
          <w:szCs w:val="24"/>
          <w:lang w:val="sq-AL"/>
        </w:rPr>
        <w:t xml:space="preserve">Institucionet shtetërore, kryesisht Qendra Kombëtare e Biznesit, do të kenë rol të zgjeruar në zbatimin e </w:t>
      </w:r>
      <w:r w:rsidRPr="00C631BF">
        <w:rPr>
          <w:noProof/>
          <w:color w:val="000000" w:themeColor="text1"/>
          <w:szCs w:val="24"/>
          <w:lang w:val="sq-AL"/>
        </w:rPr>
        <w:t>këtyre dispozitave, përfshirë ngritjen dhe administrimin e një regjistri të personave të ndaluar për ushtrimin e funksioneve drejtuese dhe mbikëqyrëse. QKB do të duhet të përpunojë dhe verifikojë deklaratat e vetëdeklarimit të administratorëve dhe të garantojë zbatimin e afateve të ruajtjes dhe fshirjes së të dhënave personale në përputhje me legjislacionin për mbrojtjen e të dhënave. Kjo do të kërkojë rishikim të infrastrukturës digjitale, trajnime të stafit dhe bashkërendim më të ngushtë me ministrinë përgjegjëse për ekonominë, e cila do të miratojë rregulloren për funksionimin e regjistrit. Gjykatat do të pajisen me kompetenca të reja për të shqyrtuar kërkesat për pavlefshmërinë e bashkimeve, duke imponuar trajnime të posaçme për gjyqtarët në fushën e së drejtës korporative dhe transformimeve</w:t>
      </w:r>
      <w:r w:rsidRPr="00C631BF">
        <w:rPr>
          <w:color w:val="000000" w:themeColor="text1"/>
          <w:szCs w:val="24"/>
          <w:lang w:val="sq-AL"/>
        </w:rPr>
        <w:t xml:space="preserve"> strukturore.</w:t>
      </w:r>
    </w:p>
    <w:p w14:paraId="747F5B72" w14:textId="77777777" w:rsidR="004B7BF3" w:rsidRPr="00C631BF" w:rsidRDefault="004B7BF3" w:rsidP="00755D84">
      <w:pPr>
        <w:pBdr>
          <w:top w:val="nil"/>
          <w:left w:val="nil"/>
          <w:bottom w:val="nil"/>
          <w:right w:val="nil"/>
          <w:between w:val="nil"/>
          <w:bar w:val="nil"/>
        </w:pBdr>
        <w:spacing w:line="276" w:lineRule="auto"/>
        <w:ind w:right="20"/>
        <w:jc w:val="both"/>
        <w:rPr>
          <w:color w:val="000000" w:themeColor="text1"/>
          <w:szCs w:val="24"/>
          <w:lang w:val="sq-AL"/>
        </w:rPr>
      </w:pPr>
    </w:p>
    <w:p w14:paraId="6EE3A04A" w14:textId="77777777" w:rsidR="004B7BF3" w:rsidRPr="00C631BF" w:rsidRDefault="004B7BF3" w:rsidP="004B7BF3">
      <w:p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Kostot e pritshme për institucionet shtetërore</w:t>
      </w:r>
    </w:p>
    <w:p w14:paraId="2D893836" w14:textId="77777777" w:rsidR="004B7BF3" w:rsidRPr="00C631BF" w:rsidRDefault="004B7BF3" w:rsidP="004B7BF3">
      <w:pPr>
        <w:numPr>
          <w:ilvl w:val="0"/>
          <w:numId w:val="61"/>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Qendra Kombëtare e Biznesit (QKB)</w:t>
      </w:r>
    </w:p>
    <w:p w14:paraId="043E36E1" w14:textId="7583A10F" w:rsidR="004B7BF3" w:rsidRPr="00C631BF" w:rsidRDefault="004B7BF3" w:rsidP="00C631BF">
      <w:pPr>
        <w:pBdr>
          <w:top w:val="nil"/>
          <w:left w:val="nil"/>
          <w:bottom w:val="nil"/>
          <w:right w:val="nil"/>
          <w:between w:val="nil"/>
          <w:bar w:val="nil"/>
        </w:pBdr>
        <w:spacing w:line="276" w:lineRule="auto"/>
        <w:ind w:right="20"/>
        <w:jc w:val="both"/>
        <w:rPr>
          <w:noProof/>
          <w:color w:val="000000" w:themeColor="text1"/>
          <w:szCs w:val="24"/>
          <w:lang w:val="sq-AL"/>
        </w:rPr>
      </w:pPr>
      <w:r>
        <w:rPr>
          <w:noProof/>
          <w:color w:val="000000" w:themeColor="text1"/>
          <w:szCs w:val="24"/>
          <w:lang w:val="sq-AL"/>
        </w:rPr>
        <w:t xml:space="preserve">            </w:t>
      </w:r>
      <w:r w:rsidRPr="00C631BF">
        <w:rPr>
          <w:noProof/>
          <w:color w:val="000000" w:themeColor="text1"/>
          <w:szCs w:val="24"/>
          <w:lang w:val="sq-AL"/>
        </w:rPr>
        <w:t>Ngritja dhe administrimi i regjistrit të persona</w:t>
      </w:r>
      <w:r w:rsidR="00FD09F4">
        <w:rPr>
          <w:noProof/>
          <w:color w:val="000000" w:themeColor="text1"/>
          <w:szCs w:val="24"/>
          <w:lang w:val="sq-AL"/>
        </w:rPr>
        <w:t>ve</w:t>
      </w:r>
      <w:r w:rsidRPr="00C631BF">
        <w:rPr>
          <w:noProof/>
          <w:color w:val="000000" w:themeColor="text1"/>
          <w:szCs w:val="24"/>
          <w:lang w:val="sq-AL"/>
        </w:rPr>
        <w:t>:</w:t>
      </w:r>
    </w:p>
    <w:p w14:paraId="61CBFF3F" w14:textId="77777777" w:rsidR="004B7BF3" w:rsidRPr="00C631BF" w:rsidRDefault="004B7BF3"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Kosto për zhvillimin ose përshtatjen e sistemit IT.</w:t>
      </w:r>
    </w:p>
    <w:p w14:paraId="6A0C05DA" w14:textId="77777777" w:rsidR="004B7BF3" w:rsidRPr="00C631BF" w:rsidRDefault="004B7BF3"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Siguria e të dhënave dhe integrimi me sistemet ekzistuese.</w:t>
      </w:r>
    </w:p>
    <w:p w14:paraId="6A496099" w14:textId="023BDC99" w:rsidR="004B7BF3" w:rsidRPr="00C631BF" w:rsidRDefault="004B7BF3" w:rsidP="00C631BF">
      <w:pPr>
        <w:pBdr>
          <w:top w:val="nil"/>
          <w:left w:val="nil"/>
          <w:bottom w:val="nil"/>
          <w:right w:val="nil"/>
          <w:between w:val="nil"/>
          <w:bar w:val="nil"/>
        </w:pBdr>
        <w:spacing w:line="276" w:lineRule="auto"/>
        <w:ind w:right="20"/>
        <w:jc w:val="both"/>
        <w:rPr>
          <w:noProof/>
          <w:color w:val="000000" w:themeColor="text1"/>
          <w:szCs w:val="24"/>
          <w:lang w:val="sq-AL"/>
        </w:rPr>
      </w:pPr>
      <w:r>
        <w:rPr>
          <w:noProof/>
          <w:color w:val="000000" w:themeColor="text1"/>
          <w:szCs w:val="24"/>
          <w:lang w:val="sq-AL"/>
        </w:rPr>
        <w:t xml:space="preserve">             </w:t>
      </w:r>
      <w:r w:rsidRPr="00C631BF">
        <w:rPr>
          <w:noProof/>
          <w:color w:val="000000" w:themeColor="text1"/>
          <w:szCs w:val="24"/>
          <w:lang w:val="sq-AL"/>
        </w:rPr>
        <w:t>Përpunimi dhe verifikimi i vetëdeklarimeve:</w:t>
      </w:r>
    </w:p>
    <w:p w14:paraId="1C0BB6B5" w14:textId="77777777" w:rsidR="004B7BF3" w:rsidRPr="00C631BF" w:rsidRDefault="004B7BF3"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Nevojë për staf shtesë dhe rritje të kapaciteteve administrative.</w:t>
      </w:r>
    </w:p>
    <w:p w14:paraId="086D1187" w14:textId="663B4D72" w:rsidR="004B7BF3" w:rsidRPr="00C631BF" w:rsidRDefault="004B7BF3" w:rsidP="00C631BF">
      <w:pPr>
        <w:pBdr>
          <w:top w:val="nil"/>
          <w:left w:val="nil"/>
          <w:bottom w:val="nil"/>
          <w:right w:val="nil"/>
          <w:between w:val="nil"/>
          <w:bar w:val="nil"/>
        </w:pBdr>
        <w:spacing w:line="276" w:lineRule="auto"/>
        <w:ind w:right="20"/>
        <w:jc w:val="both"/>
        <w:rPr>
          <w:noProof/>
          <w:color w:val="000000" w:themeColor="text1"/>
          <w:szCs w:val="24"/>
          <w:lang w:val="sq-AL"/>
        </w:rPr>
      </w:pPr>
      <w:r>
        <w:rPr>
          <w:noProof/>
          <w:color w:val="000000" w:themeColor="text1"/>
          <w:szCs w:val="24"/>
          <w:lang w:val="sq-AL"/>
        </w:rPr>
        <w:t xml:space="preserve">             </w:t>
      </w:r>
      <w:r w:rsidRPr="00C631BF">
        <w:rPr>
          <w:noProof/>
          <w:color w:val="000000" w:themeColor="text1"/>
          <w:szCs w:val="24"/>
          <w:lang w:val="sq-AL"/>
        </w:rPr>
        <w:t>Ruajtja dhe fshirja e të dhënave personale:</w:t>
      </w:r>
    </w:p>
    <w:p w14:paraId="5B461E5D" w14:textId="77777777" w:rsidR="004B7BF3" w:rsidRPr="00C631BF" w:rsidRDefault="004B7BF3"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Përshtatje me legjislacionin për mbrojtjen e të dhënave.</w:t>
      </w:r>
    </w:p>
    <w:p w14:paraId="2C07CA13" w14:textId="77777777" w:rsidR="004B7BF3" w:rsidRPr="00C631BF" w:rsidRDefault="004B7BF3"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Kosto për monitorim dhe auditim periodik.</w:t>
      </w:r>
    </w:p>
    <w:p w14:paraId="41E01125" w14:textId="52E06B83" w:rsidR="004B7BF3" w:rsidRPr="00C631BF" w:rsidRDefault="004B7BF3" w:rsidP="00C631BF">
      <w:pPr>
        <w:pBdr>
          <w:top w:val="nil"/>
          <w:left w:val="nil"/>
          <w:bottom w:val="nil"/>
          <w:right w:val="nil"/>
          <w:between w:val="nil"/>
          <w:bar w:val="nil"/>
        </w:pBdr>
        <w:spacing w:line="276" w:lineRule="auto"/>
        <w:ind w:right="20"/>
        <w:jc w:val="both"/>
        <w:rPr>
          <w:noProof/>
          <w:color w:val="000000" w:themeColor="text1"/>
          <w:szCs w:val="24"/>
          <w:lang w:val="sq-AL"/>
        </w:rPr>
      </w:pPr>
      <w:r>
        <w:rPr>
          <w:noProof/>
          <w:color w:val="000000" w:themeColor="text1"/>
          <w:szCs w:val="24"/>
          <w:lang w:val="sq-AL"/>
        </w:rPr>
        <w:t xml:space="preserve">             </w:t>
      </w:r>
      <w:r w:rsidRPr="00C631BF">
        <w:rPr>
          <w:noProof/>
          <w:color w:val="000000" w:themeColor="text1"/>
          <w:szCs w:val="24"/>
          <w:lang w:val="sq-AL"/>
        </w:rPr>
        <w:t>Trajnim i stafit:</w:t>
      </w:r>
    </w:p>
    <w:p w14:paraId="4BFE94E7" w14:textId="77777777" w:rsidR="004B7BF3" w:rsidRPr="00C631BF" w:rsidRDefault="004B7BF3"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Shpenzime për trajnime të specializuara mbi procedurat e reja dhe përdorimin e sistemeve digjitale.</w:t>
      </w:r>
    </w:p>
    <w:p w14:paraId="00A3414E" w14:textId="07FBACBE" w:rsidR="004B7BF3" w:rsidRPr="00C631BF" w:rsidRDefault="004B7BF3" w:rsidP="00C631BF">
      <w:pPr>
        <w:pBdr>
          <w:top w:val="nil"/>
          <w:left w:val="nil"/>
          <w:bottom w:val="nil"/>
          <w:right w:val="nil"/>
          <w:between w:val="nil"/>
          <w:bar w:val="nil"/>
        </w:pBdr>
        <w:spacing w:line="276" w:lineRule="auto"/>
        <w:ind w:right="20"/>
        <w:jc w:val="both"/>
        <w:rPr>
          <w:noProof/>
          <w:color w:val="000000" w:themeColor="text1"/>
          <w:szCs w:val="24"/>
          <w:lang w:val="sq-AL"/>
        </w:rPr>
      </w:pPr>
      <w:r>
        <w:rPr>
          <w:noProof/>
          <w:color w:val="000000" w:themeColor="text1"/>
          <w:szCs w:val="24"/>
          <w:lang w:val="sq-AL"/>
        </w:rPr>
        <w:t xml:space="preserve">             </w:t>
      </w:r>
      <w:r w:rsidRPr="00C631BF">
        <w:rPr>
          <w:noProof/>
          <w:color w:val="000000" w:themeColor="text1"/>
          <w:szCs w:val="24"/>
          <w:lang w:val="sq-AL"/>
        </w:rPr>
        <w:t>Koordinimi me ministrinë përgjegjëse:</w:t>
      </w:r>
    </w:p>
    <w:p w14:paraId="120D0995" w14:textId="77777777" w:rsidR="004B7BF3" w:rsidRPr="00C631BF" w:rsidRDefault="004B7BF3" w:rsidP="00C631BF">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Kosto administrative dhe burime njerëzore për përgatitjen e rregullores dhe zbatimin praktik.</w:t>
      </w:r>
    </w:p>
    <w:p w14:paraId="19354E1B" w14:textId="77777777" w:rsidR="004B7BF3" w:rsidRPr="00C631BF" w:rsidRDefault="004B7BF3" w:rsidP="004B7BF3">
      <w:pPr>
        <w:numPr>
          <w:ilvl w:val="0"/>
          <w:numId w:val="61"/>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Gjykatat</w:t>
      </w:r>
    </w:p>
    <w:p w14:paraId="2D0230E6" w14:textId="63D5195F" w:rsidR="004B7BF3" w:rsidRPr="00C631BF" w:rsidRDefault="00CD7437" w:rsidP="00C631BF">
      <w:pPr>
        <w:pBdr>
          <w:top w:val="nil"/>
          <w:left w:val="nil"/>
          <w:bottom w:val="nil"/>
          <w:right w:val="nil"/>
          <w:between w:val="nil"/>
          <w:bar w:val="nil"/>
        </w:pBdr>
        <w:spacing w:line="276" w:lineRule="auto"/>
        <w:ind w:right="20"/>
        <w:jc w:val="both"/>
        <w:rPr>
          <w:noProof/>
          <w:color w:val="000000" w:themeColor="text1"/>
          <w:szCs w:val="24"/>
          <w:lang w:val="sq-AL"/>
        </w:rPr>
      </w:pPr>
      <w:r>
        <w:rPr>
          <w:noProof/>
          <w:color w:val="000000" w:themeColor="text1"/>
          <w:szCs w:val="24"/>
          <w:lang w:val="sq-AL"/>
        </w:rPr>
        <w:t xml:space="preserve">             </w:t>
      </w:r>
      <w:r w:rsidR="004B7BF3" w:rsidRPr="00C631BF">
        <w:rPr>
          <w:noProof/>
          <w:color w:val="000000" w:themeColor="text1"/>
          <w:szCs w:val="24"/>
          <w:lang w:val="sq-AL"/>
        </w:rPr>
        <w:t>Kompetenca të reja për pavlefshmërinë e bashkimeve:</w:t>
      </w:r>
    </w:p>
    <w:p w14:paraId="481AA389" w14:textId="77777777" w:rsidR="004B7BF3" w:rsidRDefault="004B7BF3" w:rsidP="00A57C28">
      <w:pPr>
        <w:numPr>
          <w:ilvl w:val="1"/>
          <w:numId w:val="58"/>
        </w:numPr>
        <w:pBdr>
          <w:top w:val="nil"/>
          <w:left w:val="nil"/>
          <w:bottom w:val="nil"/>
          <w:right w:val="nil"/>
          <w:between w:val="nil"/>
          <w:bar w:val="nil"/>
        </w:pBdr>
        <w:spacing w:line="276" w:lineRule="auto"/>
        <w:ind w:right="20"/>
        <w:jc w:val="both"/>
        <w:rPr>
          <w:noProof/>
          <w:color w:val="000000" w:themeColor="text1"/>
          <w:szCs w:val="24"/>
          <w:lang w:val="sq-AL"/>
        </w:rPr>
      </w:pPr>
      <w:r w:rsidRPr="00C631BF">
        <w:rPr>
          <w:noProof/>
          <w:color w:val="000000" w:themeColor="text1"/>
          <w:szCs w:val="24"/>
          <w:lang w:val="sq-AL"/>
        </w:rPr>
        <w:t>Rritje e ngarkesës së punës gjyqësore.</w:t>
      </w:r>
    </w:p>
    <w:p w14:paraId="77A62DF3" w14:textId="77777777" w:rsidR="00A57C28" w:rsidRPr="00C631BF" w:rsidRDefault="00A57C28" w:rsidP="00C631BF">
      <w:pPr>
        <w:pBdr>
          <w:top w:val="nil"/>
          <w:left w:val="nil"/>
          <w:bottom w:val="nil"/>
          <w:right w:val="nil"/>
          <w:between w:val="nil"/>
          <w:bar w:val="nil"/>
        </w:pBdr>
        <w:spacing w:line="276" w:lineRule="auto"/>
        <w:ind w:left="1440" w:right="20"/>
        <w:jc w:val="both"/>
        <w:rPr>
          <w:noProof/>
          <w:color w:val="000000" w:themeColor="text1"/>
          <w:szCs w:val="24"/>
          <w:lang w:val="sq-AL"/>
        </w:rPr>
      </w:pPr>
    </w:p>
    <w:p w14:paraId="410094E6" w14:textId="47EAF688" w:rsidR="004B7BF3" w:rsidRPr="00C631BF" w:rsidRDefault="00CD7437" w:rsidP="00C631BF">
      <w:pPr>
        <w:pBdr>
          <w:top w:val="nil"/>
          <w:left w:val="nil"/>
          <w:bottom w:val="nil"/>
          <w:right w:val="nil"/>
          <w:between w:val="nil"/>
          <w:bar w:val="nil"/>
        </w:pBdr>
        <w:spacing w:line="276" w:lineRule="auto"/>
        <w:ind w:right="20"/>
        <w:jc w:val="both"/>
        <w:rPr>
          <w:noProof/>
          <w:color w:val="000000" w:themeColor="text1"/>
          <w:szCs w:val="24"/>
          <w:lang w:val="sq-AL"/>
        </w:rPr>
      </w:pPr>
      <w:r>
        <w:rPr>
          <w:noProof/>
          <w:color w:val="000000" w:themeColor="text1"/>
          <w:szCs w:val="24"/>
          <w:lang w:val="sq-AL"/>
        </w:rPr>
        <w:t xml:space="preserve">             </w:t>
      </w:r>
      <w:r w:rsidR="004B7BF3" w:rsidRPr="00C631BF">
        <w:rPr>
          <w:noProof/>
          <w:color w:val="000000" w:themeColor="text1"/>
          <w:szCs w:val="24"/>
          <w:lang w:val="sq-AL"/>
        </w:rPr>
        <w:t>Trajnime të posaçme për gjyqtarët:</w:t>
      </w:r>
    </w:p>
    <w:p w14:paraId="4E5D20B5" w14:textId="77777777" w:rsidR="004B7BF3" w:rsidRPr="00C631BF" w:rsidRDefault="004B7BF3" w:rsidP="30EE1AA0">
      <w:pPr>
        <w:numPr>
          <w:ilvl w:val="1"/>
          <w:numId w:val="58"/>
        </w:numPr>
        <w:pBdr>
          <w:top w:val="nil"/>
          <w:left w:val="nil"/>
          <w:bottom w:val="nil"/>
          <w:right w:val="nil"/>
          <w:between w:val="nil"/>
          <w:bar w:val="nil"/>
        </w:pBdr>
        <w:spacing w:line="276" w:lineRule="auto"/>
        <w:ind w:right="20"/>
        <w:jc w:val="both"/>
        <w:rPr>
          <w:noProof/>
          <w:color w:val="000000" w:themeColor="text1"/>
          <w:lang w:val="sq-AL"/>
        </w:rPr>
      </w:pPr>
      <w:r w:rsidRPr="30EE1AA0">
        <w:rPr>
          <w:noProof/>
          <w:color w:val="000000" w:themeColor="text1"/>
          <w:lang w:val="sq-AL"/>
        </w:rPr>
        <w:t>Shpenzime për programe trajnimi në fushën e së drejtës korporative dhe transformimeve strukturore.</w:t>
      </w:r>
    </w:p>
    <w:p w14:paraId="71EE49AA" w14:textId="77777777" w:rsidR="004B7BF3" w:rsidRPr="00755D84" w:rsidRDefault="004B7BF3" w:rsidP="00755D84">
      <w:pPr>
        <w:pBdr>
          <w:top w:val="nil"/>
          <w:left w:val="nil"/>
          <w:bottom w:val="nil"/>
          <w:right w:val="nil"/>
          <w:between w:val="nil"/>
          <w:bar w:val="nil"/>
        </w:pBdr>
        <w:spacing w:line="276" w:lineRule="auto"/>
        <w:ind w:right="20"/>
        <w:jc w:val="both"/>
        <w:rPr>
          <w:color w:val="000000" w:themeColor="text1"/>
          <w:szCs w:val="24"/>
          <w:lang w:val="it-IT"/>
        </w:rPr>
      </w:pPr>
    </w:p>
    <w:p w14:paraId="659CA373" w14:textId="48FD8A23" w:rsidR="002019CF" w:rsidRPr="00D756B5" w:rsidRDefault="002019CF" w:rsidP="002019CF">
      <w:pPr>
        <w:pBdr>
          <w:top w:val="nil"/>
          <w:left w:val="nil"/>
          <w:bottom w:val="nil"/>
          <w:right w:val="nil"/>
          <w:between w:val="nil"/>
          <w:bar w:val="nil"/>
        </w:pBdr>
        <w:spacing w:line="276" w:lineRule="auto"/>
        <w:ind w:right="20"/>
        <w:jc w:val="both"/>
        <w:rPr>
          <w:color w:val="000000" w:themeColor="text1"/>
          <w:szCs w:val="24"/>
          <w:lang w:val="it-IT"/>
        </w:rPr>
      </w:pPr>
      <w:r w:rsidRPr="00D756B5">
        <w:rPr>
          <w:color w:val="000000" w:themeColor="text1"/>
          <w:szCs w:val="24"/>
          <w:lang w:val="it-IT"/>
        </w:rPr>
        <w:t>Këto kosto janë të vështira për t’u matur me saktësi, pasi niveli i ndërhyrjeve në sistemet ekzistuese IT nuk është i njohur plotësisht. Megjithatë, në total vlerësohet se rreth 20,000,000 lekë për tre vitet e para do të jenë të nevojshme për përshtatjen me legjislacionin e ri</w:t>
      </w:r>
      <w:r w:rsidR="00331272">
        <w:rPr>
          <w:color w:val="000000" w:themeColor="text1"/>
          <w:szCs w:val="24"/>
          <w:lang w:val="it-IT"/>
        </w:rPr>
        <w:t>,</w:t>
      </w:r>
      <w:r w:rsidRPr="00D756B5">
        <w:rPr>
          <w:color w:val="000000" w:themeColor="text1"/>
          <w:szCs w:val="24"/>
          <w:lang w:val="it-IT"/>
        </w:rPr>
        <w:t xml:space="preserve"> si në aspektin teknologjik dhe të trajnimeve, ashtu edhe për përditësimin e dokumentacionit ekzistues.</w:t>
      </w:r>
    </w:p>
    <w:p w14:paraId="453763D8" w14:textId="77777777" w:rsidR="002019CF" w:rsidRPr="00331272" w:rsidRDefault="002019CF" w:rsidP="002019CF">
      <w:pPr>
        <w:pBdr>
          <w:top w:val="nil"/>
          <w:left w:val="nil"/>
          <w:bottom w:val="nil"/>
          <w:right w:val="nil"/>
          <w:between w:val="nil"/>
          <w:bar w:val="nil"/>
        </w:pBdr>
        <w:spacing w:line="276" w:lineRule="auto"/>
        <w:ind w:right="20"/>
        <w:jc w:val="both"/>
        <w:rPr>
          <w:color w:val="000000" w:themeColor="text1"/>
          <w:szCs w:val="24"/>
          <w:lang w:val="it-IT"/>
        </w:rPr>
      </w:pPr>
      <w:r w:rsidRPr="00331272">
        <w:rPr>
          <w:color w:val="000000" w:themeColor="text1"/>
          <w:szCs w:val="24"/>
          <w:lang w:val="it-IT"/>
        </w:rPr>
        <w:t xml:space="preserve">Vlerësimi është kryer duke ndjekur një qasje empirike, të bazuar në analiza rregullatore (RIA) të ngjashme, si dhe në të dhëna të publikuara në faqen </w:t>
      </w:r>
      <w:r>
        <w:fldChar w:fldCharType="begin"/>
      </w:r>
      <w:r w:rsidRPr="00331272">
        <w:rPr>
          <w:lang w:val="it-IT"/>
        </w:rPr>
        <w:instrText>HYPERLINK "https://openprocurement.al/sq/tender/list" \t "_new"</w:instrText>
      </w:r>
      <w:r>
        <w:fldChar w:fldCharType="separate"/>
      </w:r>
      <w:r w:rsidRPr="00331272">
        <w:rPr>
          <w:rStyle w:val="Hyperlink"/>
          <w:szCs w:val="24"/>
          <w:lang w:val="it-IT"/>
        </w:rPr>
        <w:t>https://openprocurement.al/sq/tender/list</w:t>
      </w:r>
      <w:r>
        <w:fldChar w:fldCharType="end"/>
      </w:r>
      <w:r w:rsidRPr="00331272">
        <w:rPr>
          <w:color w:val="000000" w:themeColor="text1"/>
          <w:szCs w:val="24"/>
          <w:lang w:val="it-IT"/>
        </w:rPr>
        <w:t>, që lidhen me tendera për krijimin ose shtimin e opsioneve në platformat e administruara nga Agjencia Kombëtare e Shoqërisë së Informacionit, apo për “upgrade” të sistemeve elektronike të institucioneve të ndryshme.</w:t>
      </w:r>
    </w:p>
    <w:p w14:paraId="78FE32FA" w14:textId="76034F2D" w:rsidR="002019CF" w:rsidRPr="002019CF" w:rsidRDefault="002019CF" w:rsidP="002019CF">
      <w:pPr>
        <w:pBdr>
          <w:top w:val="nil"/>
          <w:left w:val="nil"/>
          <w:bottom w:val="nil"/>
          <w:right w:val="nil"/>
          <w:between w:val="nil"/>
          <w:bar w:val="nil"/>
        </w:pBdr>
        <w:spacing w:line="276" w:lineRule="auto"/>
        <w:ind w:right="20"/>
        <w:jc w:val="both"/>
        <w:rPr>
          <w:color w:val="000000" w:themeColor="text1"/>
          <w:szCs w:val="24"/>
        </w:rPr>
      </w:pPr>
      <w:r w:rsidRPr="00331272">
        <w:rPr>
          <w:color w:val="000000" w:themeColor="text1"/>
          <w:szCs w:val="24"/>
          <w:lang w:val="it-IT"/>
        </w:rPr>
        <w:t xml:space="preserve">Vlerat e këtyre </w:t>
      </w:r>
      <w:r w:rsidR="00331272">
        <w:rPr>
          <w:color w:val="000000" w:themeColor="text1"/>
          <w:szCs w:val="24"/>
          <w:lang w:val="it-IT"/>
        </w:rPr>
        <w:t>prokurimeve</w:t>
      </w:r>
      <w:r w:rsidRPr="00331272">
        <w:rPr>
          <w:color w:val="000000" w:themeColor="text1"/>
          <w:szCs w:val="24"/>
          <w:lang w:val="it-IT"/>
        </w:rPr>
        <w:t xml:space="preserve"> për përmirësime IT variojnë nga 800,000 lekë deri në 56,000,000 lekë. </w:t>
      </w:r>
      <w:proofErr w:type="spellStart"/>
      <w:r w:rsidRPr="002019CF">
        <w:rPr>
          <w:color w:val="000000" w:themeColor="text1"/>
          <w:szCs w:val="24"/>
        </w:rPr>
        <w:t>Mesatarisht</w:t>
      </w:r>
      <w:proofErr w:type="spellEnd"/>
      <w:r w:rsidRPr="002019CF">
        <w:rPr>
          <w:color w:val="000000" w:themeColor="text1"/>
          <w:szCs w:val="24"/>
        </w:rPr>
        <w:t xml:space="preserve">, </w:t>
      </w:r>
      <w:proofErr w:type="spellStart"/>
      <w:r w:rsidRPr="002019CF">
        <w:rPr>
          <w:color w:val="000000" w:themeColor="text1"/>
          <w:szCs w:val="24"/>
        </w:rPr>
        <w:t>kostoja</w:t>
      </w:r>
      <w:proofErr w:type="spellEnd"/>
      <w:r w:rsidRPr="002019CF">
        <w:rPr>
          <w:color w:val="000000" w:themeColor="text1"/>
          <w:szCs w:val="24"/>
        </w:rPr>
        <w:t xml:space="preserve"> </w:t>
      </w:r>
      <w:proofErr w:type="spellStart"/>
      <w:r w:rsidRPr="002019CF">
        <w:rPr>
          <w:color w:val="000000" w:themeColor="text1"/>
          <w:szCs w:val="24"/>
        </w:rPr>
        <w:t>totale</w:t>
      </w:r>
      <w:proofErr w:type="spellEnd"/>
      <w:r w:rsidRPr="002019CF">
        <w:rPr>
          <w:color w:val="000000" w:themeColor="text1"/>
          <w:szCs w:val="24"/>
        </w:rPr>
        <w:t xml:space="preserve"> </w:t>
      </w:r>
      <w:proofErr w:type="spellStart"/>
      <w:r w:rsidRPr="002019CF">
        <w:rPr>
          <w:color w:val="000000" w:themeColor="text1"/>
          <w:szCs w:val="24"/>
        </w:rPr>
        <w:t>për</w:t>
      </w:r>
      <w:proofErr w:type="spellEnd"/>
      <w:r w:rsidRPr="002019CF">
        <w:rPr>
          <w:color w:val="000000" w:themeColor="text1"/>
          <w:szCs w:val="24"/>
        </w:rPr>
        <w:t xml:space="preserve"> </w:t>
      </w:r>
      <w:proofErr w:type="spellStart"/>
      <w:r w:rsidRPr="002019CF">
        <w:rPr>
          <w:color w:val="000000" w:themeColor="text1"/>
          <w:szCs w:val="24"/>
        </w:rPr>
        <w:t>një</w:t>
      </w:r>
      <w:proofErr w:type="spellEnd"/>
      <w:r w:rsidRPr="002019CF">
        <w:rPr>
          <w:color w:val="000000" w:themeColor="text1"/>
          <w:szCs w:val="24"/>
        </w:rPr>
        <w:t xml:space="preserve"> “upgrade” </w:t>
      </w:r>
      <w:proofErr w:type="spellStart"/>
      <w:r w:rsidRPr="002019CF">
        <w:rPr>
          <w:color w:val="000000" w:themeColor="text1"/>
          <w:szCs w:val="24"/>
        </w:rPr>
        <w:t>të</w:t>
      </w:r>
      <w:proofErr w:type="spellEnd"/>
      <w:r w:rsidRPr="002019CF">
        <w:rPr>
          <w:color w:val="000000" w:themeColor="text1"/>
          <w:szCs w:val="24"/>
        </w:rPr>
        <w:t xml:space="preserve"> </w:t>
      </w:r>
      <w:proofErr w:type="spellStart"/>
      <w:r w:rsidRPr="002019CF">
        <w:rPr>
          <w:color w:val="000000" w:themeColor="text1"/>
          <w:szCs w:val="24"/>
        </w:rPr>
        <w:t>sistemit</w:t>
      </w:r>
      <w:proofErr w:type="spellEnd"/>
      <w:r w:rsidRPr="002019CF">
        <w:rPr>
          <w:color w:val="000000" w:themeColor="text1"/>
          <w:szCs w:val="24"/>
        </w:rPr>
        <w:t xml:space="preserve"> IT </w:t>
      </w:r>
      <w:proofErr w:type="spellStart"/>
      <w:r w:rsidRPr="002019CF">
        <w:rPr>
          <w:color w:val="000000" w:themeColor="text1"/>
          <w:szCs w:val="24"/>
        </w:rPr>
        <w:t>arrin</w:t>
      </w:r>
      <w:proofErr w:type="spellEnd"/>
      <w:r w:rsidRPr="002019CF">
        <w:rPr>
          <w:color w:val="000000" w:themeColor="text1"/>
          <w:szCs w:val="24"/>
        </w:rPr>
        <w:t xml:space="preserve"> </w:t>
      </w:r>
      <w:proofErr w:type="spellStart"/>
      <w:r w:rsidRPr="002019CF">
        <w:rPr>
          <w:color w:val="000000" w:themeColor="text1"/>
          <w:szCs w:val="24"/>
        </w:rPr>
        <w:t>rreth</w:t>
      </w:r>
      <w:proofErr w:type="spellEnd"/>
      <w:r w:rsidRPr="002019CF">
        <w:rPr>
          <w:color w:val="000000" w:themeColor="text1"/>
          <w:szCs w:val="24"/>
        </w:rPr>
        <w:t xml:space="preserve"> </w:t>
      </w:r>
      <w:r w:rsidRPr="00D756B5">
        <w:rPr>
          <w:color w:val="000000" w:themeColor="text1"/>
          <w:szCs w:val="24"/>
        </w:rPr>
        <w:t xml:space="preserve">59,600,000 </w:t>
      </w:r>
      <w:proofErr w:type="spellStart"/>
      <w:r w:rsidRPr="00D756B5">
        <w:rPr>
          <w:color w:val="000000" w:themeColor="text1"/>
          <w:szCs w:val="24"/>
        </w:rPr>
        <w:t>lekë</w:t>
      </w:r>
      <w:proofErr w:type="spellEnd"/>
      <w:r w:rsidRPr="002019CF">
        <w:rPr>
          <w:color w:val="000000" w:themeColor="text1"/>
          <w:szCs w:val="24"/>
        </w:rPr>
        <w:t xml:space="preserve">, </w:t>
      </w:r>
      <w:proofErr w:type="spellStart"/>
      <w:r w:rsidRPr="002019CF">
        <w:rPr>
          <w:color w:val="000000" w:themeColor="text1"/>
          <w:szCs w:val="24"/>
        </w:rPr>
        <w:t>që</w:t>
      </w:r>
      <w:proofErr w:type="spellEnd"/>
      <w:r w:rsidRPr="002019CF">
        <w:rPr>
          <w:color w:val="000000" w:themeColor="text1"/>
          <w:szCs w:val="24"/>
        </w:rPr>
        <w:t xml:space="preserve">, </w:t>
      </w:r>
      <w:proofErr w:type="spellStart"/>
      <w:r w:rsidRPr="002019CF">
        <w:rPr>
          <w:color w:val="000000" w:themeColor="text1"/>
          <w:szCs w:val="24"/>
        </w:rPr>
        <w:t>nëse</w:t>
      </w:r>
      <w:proofErr w:type="spellEnd"/>
      <w:r w:rsidRPr="002019CF">
        <w:rPr>
          <w:color w:val="000000" w:themeColor="text1"/>
          <w:szCs w:val="24"/>
        </w:rPr>
        <w:t xml:space="preserve"> </w:t>
      </w:r>
      <w:proofErr w:type="spellStart"/>
      <w:r w:rsidRPr="002019CF">
        <w:rPr>
          <w:color w:val="000000" w:themeColor="text1"/>
          <w:szCs w:val="24"/>
        </w:rPr>
        <w:t>ndahet</w:t>
      </w:r>
      <w:proofErr w:type="spellEnd"/>
      <w:r w:rsidRPr="002019CF">
        <w:rPr>
          <w:color w:val="000000" w:themeColor="text1"/>
          <w:szCs w:val="24"/>
        </w:rPr>
        <w:t xml:space="preserve"> </w:t>
      </w:r>
      <w:proofErr w:type="spellStart"/>
      <w:r w:rsidRPr="002019CF">
        <w:rPr>
          <w:color w:val="000000" w:themeColor="text1"/>
          <w:szCs w:val="24"/>
        </w:rPr>
        <w:t>përgjatë</w:t>
      </w:r>
      <w:proofErr w:type="spellEnd"/>
      <w:r w:rsidRPr="002019CF">
        <w:rPr>
          <w:color w:val="000000" w:themeColor="text1"/>
          <w:szCs w:val="24"/>
        </w:rPr>
        <w:t xml:space="preserve"> </w:t>
      </w:r>
      <w:proofErr w:type="spellStart"/>
      <w:r w:rsidRPr="002019CF">
        <w:rPr>
          <w:color w:val="000000" w:themeColor="text1"/>
          <w:szCs w:val="24"/>
        </w:rPr>
        <w:t>tre</w:t>
      </w:r>
      <w:proofErr w:type="spellEnd"/>
      <w:r w:rsidRPr="002019CF">
        <w:rPr>
          <w:color w:val="000000" w:themeColor="text1"/>
          <w:szCs w:val="24"/>
        </w:rPr>
        <w:t xml:space="preserve"> </w:t>
      </w:r>
      <w:proofErr w:type="spellStart"/>
      <w:r w:rsidRPr="002019CF">
        <w:rPr>
          <w:color w:val="000000" w:themeColor="text1"/>
          <w:szCs w:val="24"/>
        </w:rPr>
        <w:t>viteve</w:t>
      </w:r>
      <w:proofErr w:type="spellEnd"/>
      <w:r w:rsidRPr="002019CF">
        <w:rPr>
          <w:color w:val="000000" w:themeColor="text1"/>
          <w:szCs w:val="24"/>
        </w:rPr>
        <w:t xml:space="preserve"> </w:t>
      </w:r>
      <w:proofErr w:type="spellStart"/>
      <w:r w:rsidRPr="002019CF">
        <w:rPr>
          <w:color w:val="000000" w:themeColor="text1"/>
          <w:szCs w:val="24"/>
        </w:rPr>
        <w:t>të</w:t>
      </w:r>
      <w:proofErr w:type="spellEnd"/>
      <w:r w:rsidRPr="002019CF">
        <w:rPr>
          <w:color w:val="000000" w:themeColor="text1"/>
          <w:szCs w:val="24"/>
        </w:rPr>
        <w:t xml:space="preserve"> para, </w:t>
      </w:r>
      <w:proofErr w:type="spellStart"/>
      <w:r w:rsidRPr="002019CF">
        <w:rPr>
          <w:color w:val="000000" w:themeColor="text1"/>
          <w:szCs w:val="24"/>
        </w:rPr>
        <w:t>rezulton</w:t>
      </w:r>
      <w:proofErr w:type="spellEnd"/>
      <w:r w:rsidRPr="002019CF">
        <w:rPr>
          <w:color w:val="000000" w:themeColor="text1"/>
          <w:szCs w:val="24"/>
        </w:rPr>
        <w:t xml:space="preserve"> </w:t>
      </w:r>
      <w:proofErr w:type="spellStart"/>
      <w:r w:rsidRPr="002019CF">
        <w:rPr>
          <w:color w:val="000000" w:themeColor="text1"/>
          <w:szCs w:val="24"/>
        </w:rPr>
        <w:t>në</w:t>
      </w:r>
      <w:proofErr w:type="spellEnd"/>
      <w:r w:rsidRPr="002019CF">
        <w:rPr>
          <w:color w:val="000000" w:themeColor="text1"/>
          <w:szCs w:val="24"/>
        </w:rPr>
        <w:t xml:space="preserve"> </w:t>
      </w:r>
      <w:proofErr w:type="spellStart"/>
      <w:r w:rsidRPr="002019CF">
        <w:rPr>
          <w:color w:val="000000" w:themeColor="text1"/>
          <w:szCs w:val="24"/>
        </w:rPr>
        <w:t>rreth</w:t>
      </w:r>
      <w:proofErr w:type="spellEnd"/>
      <w:r w:rsidRPr="002019CF">
        <w:rPr>
          <w:color w:val="000000" w:themeColor="text1"/>
          <w:szCs w:val="24"/>
        </w:rPr>
        <w:t xml:space="preserve"> </w:t>
      </w:r>
      <w:r w:rsidRPr="00D756B5">
        <w:rPr>
          <w:color w:val="000000" w:themeColor="text1"/>
          <w:szCs w:val="24"/>
        </w:rPr>
        <w:t xml:space="preserve">19,866,667 </w:t>
      </w:r>
      <w:proofErr w:type="spellStart"/>
      <w:r w:rsidRPr="00D756B5">
        <w:rPr>
          <w:color w:val="000000" w:themeColor="text1"/>
          <w:szCs w:val="24"/>
        </w:rPr>
        <w:t>lekë</w:t>
      </w:r>
      <w:proofErr w:type="spellEnd"/>
      <w:r w:rsidRPr="002019CF">
        <w:rPr>
          <w:color w:val="000000" w:themeColor="text1"/>
          <w:szCs w:val="24"/>
        </w:rPr>
        <w:t xml:space="preserve"> </w:t>
      </w:r>
      <w:proofErr w:type="spellStart"/>
      <w:r w:rsidRPr="002019CF">
        <w:rPr>
          <w:color w:val="000000" w:themeColor="text1"/>
          <w:szCs w:val="24"/>
        </w:rPr>
        <w:t>në</w:t>
      </w:r>
      <w:proofErr w:type="spellEnd"/>
      <w:r w:rsidRPr="002019CF">
        <w:rPr>
          <w:color w:val="000000" w:themeColor="text1"/>
          <w:szCs w:val="24"/>
        </w:rPr>
        <w:t xml:space="preserve"> vit. Duke </w:t>
      </w:r>
      <w:proofErr w:type="spellStart"/>
      <w:r w:rsidRPr="002019CF">
        <w:rPr>
          <w:color w:val="000000" w:themeColor="text1"/>
          <w:szCs w:val="24"/>
        </w:rPr>
        <w:t>shtuar</w:t>
      </w:r>
      <w:proofErr w:type="spellEnd"/>
      <w:r w:rsidRPr="002019CF">
        <w:rPr>
          <w:color w:val="000000" w:themeColor="text1"/>
          <w:szCs w:val="24"/>
        </w:rPr>
        <w:t xml:space="preserve"> </w:t>
      </w:r>
      <w:proofErr w:type="spellStart"/>
      <w:r w:rsidRPr="002019CF">
        <w:rPr>
          <w:color w:val="000000" w:themeColor="text1"/>
          <w:szCs w:val="24"/>
        </w:rPr>
        <w:t>kostot</w:t>
      </w:r>
      <w:proofErr w:type="spellEnd"/>
      <w:r w:rsidRPr="002019CF">
        <w:rPr>
          <w:color w:val="000000" w:themeColor="text1"/>
          <w:szCs w:val="24"/>
        </w:rPr>
        <w:t xml:space="preserve"> </w:t>
      </w:r>
      <w:proofErr w:type="spellStart"/>
      <w:r w:rsidRPr="002019CF">
        <w:rPr>
          <w:color w:val="000000" w:themeColor="text1"/>
          <w:szCs w:val="24"/>
        </w:rPr>
        <w:t>shtesë</w:t>
      </w:r>
      <w:proofErr w:type="spellEnd"/>
      <w:r w:rsidRPr="002019CF">
        <w:rPr>
          <w:color w:val="000000" w:themeColor="text1"/>
          <w:szCs w:val="24"/>
        </w:rPr>
        <w:t xml:space="preserve"> </w:t>
      </w:r>
      <w:proofErr w:type="spellStart"/>
      <w:r w:rsidRPr="002019CF">
        <w:rPr>
          <w:color w:val="000000" w:themeColor="text1"/>
          <w:szCs w:val="24"/>
        </w:rPr>
        <w:t>për</w:t>
      </w:r>
      <w:proofErr w:type="spellEnd"/>
      <w:r w:rsidRPr="002019CF">
        <w:rPr>
          <w:color w:val="000000" w:themeColor="text1"/>
          <w:szCs w:val="24"/>
        </w:rPr>
        <w:t xml:space="preserve"> </w:t>
      </w:r>
      <w:proofErr w:type="spellStart"/>
      <w:r w:rsidRPr="00D756B5">
        <w:rPr>
          <w:color w:val="000000" w:themeColor="text1"/>
          <w:szCs w:val="24"/>
        </w:rPr>
        <w:t>trajnime</w:t>
      </w:r>
      <w:proofErr w:type="spellEnd"/>
      <w:r w:rsidRPr="00D756B5">
        <w:rPr>
          <w:color w:val="000000" w:themeColor="text1"/>
          <w:szCs w:val="24"/>
        </w:rPr>
        <w:t xml:space="preserve"> </w:t>
      </w:r>
      <w:proofErr w:type="spellStart"/>
      <w:r w:rsidRPr="00D756B5">
        <w:rPr>
          <w:color w:val="000000" w:themeColor="text1"/>
          <w:szCs w:val="24"/>
        </w:rPr>
        <w:t>dhe</w:t>
      </w:r>
      <w:proofErr w:type="spellEnd"/>
      <w:r w:rsidRPr="00D756B5">
        <w:rPr>
          <w:color w:val="000000" w:themeColor="text1"/>
          <w:szCs w:val="24"/>
        </w:rPr>
        <w:t xml:space="preserve"> </w:t>
      </w:r>
      <w:proofErr w:type="spellStart"/>
      <w:r w:rsidRPr="00D756B5">
        <w:rPr>
          <w:color w:val="000000" w:themeColor="text1"/>
          <w:szCs w:val="24"/>
        </w:rPr>
        <w:t>përditësimin</w:t>
      </w:r>
      <w:proofErr w:type="spellEnd"/>
      <w:r w:rsidRPr="00D756B5">
        <w:rPr>
          <w:color w:val="000000" w:themeColor="text1"/>
          <w:szCs w:val="24"/>
        </w:rPr>
        <w:t xml:space="preserve"> e </w:t>
      </w:r>
      <w:proofErr w:type="spellStart"/>
      <w:r w:rsidRPr="00D756B5">
        <w:rPr>
          <w:color w:val="000000" w:themeColor="text1"/>
          <w:szCs w:val="24"/>
        </w:rPr>
        <w:t>dokumentacionit</w:t>
      </w:r>
      <w:proofErr w:type="spellEnd"/>
      <w:r w:rsidRPr="002019CF">
        <w:rPr>
          <w:color w:val="000000" w:themeColor="text1"/>
          <w:szCs w:val="24"/>
        </w:rPr>
        <w:t xml:space="preserve"> </w:t>
      </w:r>
      <w:proofErr w:type="spellStart"/>
      <w:r w:rsidRPr="002019CF">
        <w:rPr>
          <w:color w:val="000000" w:themeColor="text1"/>
          <w:szCs w:val="24"/>
        </w:rPr>
        <w:t>në</w:t>
      </w:r>
      <w:proofErr w:type="spellEnd"/>
      <w:r w:rsidRPr="002019CF">
        <w:rPr>
          <w:color w:val="000000" w:themeColor="text1"/>
          <w:szCs w:val="24"/>
        </w:rPr>
        <w:t xml:space="preserve"> </w:t>
      </w:r>
      <w:proofErr w:type="spellStart"/>
      <w:r w:rsidR="00331272">
        <w:rPr>
          <w:color w:val="000000" w:themeColor="text1"/>
          <w:szCs w:val="24"/>
        </w:rPr>
        <w:t>masën</w:t>
      </w:r>
      <w:proofErr w:type="spellEnd"/>
      <w:r w:rsidRPr="002019CF">
        <w:rPr>
          <w:color w:val="000000" w:themeColor="text1"/>
          <w:szCs w:val="24"/>
        </w:rPr>
        <w:t xml:space="preserve"> </w:t>
      </w:r>
      <w:r w:rsidRPr="00D756B5">
        <w:rPr>
          <w:color w:val="000000" w:themeColor="text1"/>
          <w:szCs w:val="24"/>
        </w:rPr>
        <w:t xml:space="preserve">130,000 – 150,000 </w:t>
      </w:r>
      <w:proofErr w:type="spellStart"/>
      <w:r w:rsidRPr="00D756B5">
        <w:rPr>
          <w:color w:val="000000" w:themeColor="text1"/>
          <w:szCs w:val="24"/>
        </w:rPr>
        <w:t>lekë</w:t>
      </w:r>
      <w:proofErr w:type="spellEnd"/>
      <w:r w:rsidRPr="002019CF">
        <w:rPr>
          <w:color w:val="000000" w:themeColor="text1"/>
          <w:szCs w:val="24"/>
        </w:rPr>
        <w:t xml:space="preserve">, </w:t>
      </w:r>
      <w:proofErr w:type="spellStart"/>
      <w:r w:rsidR="00331272">
        <w:rPr>
          <w:color w:val="000000" w:themeColor="text1"/>
          <w:szCs w:val="24"/>
        </w:rPr>
        <w:t>është</w:t>
      </w:r>
      <w:proofErr w:type="spellEnd"/>
      <w:r w:rsidR="00331272">
        <w:rPr>
          <w:color w:val="000000" w:themeColor="text1"/>
          <w:szCs w:val="24"/>
        </w:rPr>
        <w:t xml:space="preserve"> </w:t>
      </w:r>
      <w:proofErr w:type="spellStart"/>
      <w:r w:rsidRPr="002019CF">
        <w:rPr>
          <w:color w:val="000000" w:themeColor="text1"/>
          <w:szCs w:val="24"/>
        </w:rPr>
        <w:t>përllogarit</w:t>
      </w:r>
      <w:r w:rsidR="00331272">
        <w:rPr>
          <w:color w:val="000000" w:themeColor="text1"/>
          <w:szCs w:val="24"/>
        </w:rPr>
        <w:t>ur</w:t>
      </w:r>
      <w:proofErr w:type="spellEnd"/>
      <w:r w:rsidRPr="002019CF">
        <w:rPr>
          <w:color w:val="000000" w:themeColor="text1"/>
          <w:szCs w:val="24"/>
        </w:rPr>
        <w:t xml:space="preserve"> </w:t>
      </w:r>
      <w:proofErr w:type="spellStart"/>
      <w:r w:rsidRPr="002019CF">
        <w:rPr>
          <w:color w:val="000000" w:themeColor="text1"/>
          <w:szCs w:val="24"/>
        </w:rPr>
        <w:t>që</w:t>
      </w:r>
      <w:proofErr w:type="spellEnd"/>
      <w:r w:rsidRPr="002019CF">
        <w:rPr>
          <w:color w:val="000000" w:themeColor="text1"/>
          <w:szCs w:val="24"/>
        </w:rPr>
        <w:t xml:space="preserve"> </w:t>
      </w:r>
      <w:proofErr w:type="spellStart"/>
      <w:r w:rsidRPr="002019CF">
        <w:rPr>
          <w:color w:val="000000" w:themeColor="text1"/>
          <w:szCs w:val="24"/>
        </w:rPr>
        <w:t>totali</w:t>
      </w:r>
      <w:proofErr w:type="spellEnd"/>
      <w:r w:rsidRPr="002019CF">
        <w:rPr>
          <w:color w:val="000000" w:themeColor="text1"/>
          <w:szCs w:val="24"/>
        </w:rPr>
        <w:t xml:space="preserve"> </w:t>
      </w:r>
      <w:proofErr w:type="spellStart"/>
      <w:r w:rsidR="00331272">
        <w:rPr>
          <w:color w:val="000000" w:themeColor="text1"/>
          <w:szCs w:val="24"/>
        </w:rPr>
        <w:t>i</w:t>
      </w:r>
      <w:proofErr w:type="spellEnd"/>
      <w:r w:rsidR="00331272">
        <w:rPr>
          <w:color w:val="000000" w:themeColor="text1"/>
          <w:szCs w:val="24"/>
        </w:rPr>
        <w:t xml:space="preserve"> </w:t>
      </w:r>
      <w:proofErr w:type="spellStart"/>
      <w:r w:rsidR="00331272">
        <w:rPr>
          <w:color w:val="000000" w:themeColor="text1"/>
          <w:szCs w:val="24"/>
        </w:rPr>
        <w:t>kostove</w:t>
      </w:r>
      <w:proofErr w:type="spellEnd"/>
      <w:r w:rsidR="00331272">
        <w:rPr>
          <w:color w:val="000000" w:themeColor="text1"/>
          <w:szCs w:val="24"/>
        </w:rPr>
        <w:t xml:space="preserve"> </w:t>
      </w:r>
      <w:proofErr w:type="spellStart"/>
      <w:r w:rsidR="00331272">
        <w:rPr>
          <w:color w:val="000000" w:themeColor="text1"/>
          <w:szCs w:val="24"/>
        </w:rPr>
        <w:t>për</w:t>
      </w:r>
      <w:proofErr w:type="spellEnd"/>
      <w:r w:rsidR="00331272">
        <w:rPr>
          <w:color w:val="000000" w:themeColor="text1"/>
          <w:szCs w:val="24"/>
        </w:rPr>
        <w:t xml:space="preserve"> </w:t>
      </w:r>
      <w:proofErr w:type="spellStart"/>
      <w:r w:rsidR="00331272">
        <w:rPr>
          <w:color w:val="000000" w:themeColor="text1"/>
          <w:szCs w:val="24"/>
        </w:rPr>
        <w:t>buxhetin</w:t>
      </w:r>
      <w:proofErr w:type="spellEnd"/>
      <w:r w:rsidR="00331272">
        <w:rPr>
          <w:color w:val="000000" w:themeColor="text1"/>
          <w:szCs w:val="24"/>
        </w:rPr>
        <w:t xml:space="preserve"> e </w:t>
      </w:r>
      <w:proofErr w:type="spellStart"/>
      <w:r w:rsidR="00331272">
        <w:rPr>
          <w:color w:val="000000" w:themeColor="text1"/>
          <w:szCs w:val="24"/>
        </w:rPr>
        <w:t>shtetit</w:t>
      </w:r>
      <w:proofErr w:type="spellEnd"/>
      <w:r w:rsidR="00331272">
        <w:rPr>
          <w:color w:val="000000" w:themeColor="text1"/>
          <w:szCs w:val="24"/>
        </w:rPr>
        <w:t xml:space="preserve"> </w:t>
      </w:r>
      <w:proofErr w:type="spellStart"/>
      <w:r w:rsidRPr="002019CF">
        <w:rPr>
          <w:color w:val="000000" w:themeColor="text1"/>
          <w:szCs w:val="24"/>
        </w:rPr>
        <w:t>të</w:t>
      </w:r>
      <w:proofErr w:type="spellEnd"/>
      <w:r w:rsidRPr="002019CF">
        <w:rPr>
          <w:color w:val="000000" w:themeColor="text1"/>
          <w:szCs w:val="24"/>
        </w:rPr>
        <w:t xml:space="preserve"> </w:t>
      </w:r>
      <w:proofErr w:type="spellStart"/>
      <w:r w:rsidR="00331272">
        <w:rPr>
          <w:color w:val="000000" w:themeColor="text1"/>
          <w:szCs w:val="24"/>
        </w:rPr>
        <w:t>jetë</w:t>
      </w:r>
      <w:proofErr w:type="spellEnd"/>
      <w:r w:rsidRPr="002019CF">
        <w:rPr>
          <w:color w:val="000000" w:themeColor="text1"/>
          <w:szCs w:val="24"/>
        </w:rPr>
        <w:t xml:space="preserve"> </w:t>
      </w:r>
      <w:proofErr w:type="spellStart"/>
      <w:r w:rsidRPr="002019CF">
        <w:rPr>
          <w:color w:val="000000" w:themeColor="text1"/>
          <w:szCs w:val="24"/>
        </w:rPr>
        <w:t>në</w:t>
      </w:r>
      <w:proofErr w:type="spellEnd"/>
      <w:r w:rsidRPr="002019CF">
        <w:rPr>
          <w:color w:val="000000" w:themeColor="text1"/>
          <w:szCs w:val="24"/>
        </w:rPr>
        <w:t xml:space="preserve"> </w:t>
      </w:r>
      <w:proofErr w:type="spellStart"/>
      <w:r w:rsidR="00331272">
        <w:rPr>
          <w:color w:val="000000" w:themeColor="text1"/>
          <w:szCs w:val="24"/>
        </w:rPr>
        <w:t>vlerë</w:t>
      </w:r>
      <w:proofErr w:type="spellEnd"/>
      <w:r w:rsidR="00331272">
        <w:rPr>
          <w:color w:val="000000" w:themeColor="text1"/>
          <w:szCs w:val="24"/>
        </w:rPr>
        <w:t xml:space="preserve"> </w:t>
      </w:r>
      <w:proofErr w:type="spellStart"/>
      <w:r w:rsidR="00331272">
        <w:rPr>
          <w:color w:val="000000" w:themeColor="text1"/>
          <w:szCs w:val="24"/>
        </w:rPr>
        <w:t>të</w:t>
      </w:r>
      <w:proofErr w:type="spellEnd"/>
      <w:r w:rsidR="00331272">
        <w:rPr>
          <w:color w:val="000000" w:themeColor="text1"/>
          <w:szCs w:val="24"/>
        </w:rPr>
        <w:t xml:space="preserve"> </w:t>
      </w:r>
      <w:proofErr w:type="spellStart"/>
      <w:r w:rsidR="00331272">
        <w:rPr>
          <w:color w:val="000000" w:themeColor="text1"/>
          <w:szCs w:val="24"/>
        </w:rPr>
        <w:t>përafërt</w:t>
      </w:r>
      <w:proofErr w:type="spellEnd"/>
      <w:r w:rsidRPr="00D756B5">
        <w:rPr>
          <w:color w:val="000000" w:themeColor="text1"/>
          <w:szCs w:val="24"/>
        </w:rPr>
        <w:t xml:space="preserve"> 20,000,000 </w:t>
      </w:r>
      <w:proofErr w:type="spellStart"/>
      <w:r w:rsidRPr="00D756B5">
        <w:rPr>
          <w:color w:val="000000" w:themeColor="text1"/>
          <w:szCs w:val="24"/>
        </w:rPr>
        <w:t>lekë</w:t>
      </w:r>
      <w:proofErr w:type="spellEnd"/>
      <w:r w:rsidRPr="00D756B5">
        <w:rPr>
          <w:color w:val="000000" w:themeColor="text1"/>
          <w:szCs w:val="24"/>
        </w:rPr>
        <w:t xml:space="preserve"> </w:t>
      </w:r>
      <w:proofErr w:type="spellStart"/>
      <w:r w:rsidRPr="00D756B5">
        <w:rPr>
          <w:color w:val="000000" w:themeColor="text1"/>
          <w:szCs w:val="24"/>
        </w:rPr>
        <w:t>për</w:t>
      </w:r>
      <w:proofErr w:type="spellEnd"/>
      <w:r w:rsidRPr="00D756B5">
        <w:rPr>
          <w:color w:val="000000" w:themeColor="text1"/>
          <w:szCs w:val="24"/>
        </w:rPr>
        <w:t xml:space="preserve"> </w:t>
      </w:r>
      <w:proofErr w:type="spellStart"/>
      <w:r w:rsidRPr="00D756B5">
        <w:rPr>
          <w:color w:val="000000" w:themeColor="text1"/>
          <w:szCs w:val="24"/>
        </w:rPr>
        <w:t>secilin</w:t>
      </w:r>
      <w:proofErr w:type="spellEnd"/>
      <w:r w:rsidRPr="00D756B5">
        <w:rPr>
          <w:color w:val="000000" w:themeColor="text1"/>
          <w:szCs w:val="24"/>
        </w:rPr>
        <w:t xml:space="preserve"> </w:t>
      </w:r>
      <w:proofErr w:type="spellStart"/>
      <w:r w:rsidR="00331272">
        <w:rPr>
          <w:color w:val="000000" w:themeColor="text1"/>
          <w:szCs w:val="24"/>
        </w:rPr>
        <w:t>prej</w:t>
      </w:r>
      <w:proofErr w:type="spellEnd"/>
      <w:r w:rsidRPr="00D756B5">
        <w:rPr>
          <w:color w:val="000000" w:themeColor="text1"/>
          <w:szCs w:val="24"/>
        </w:rPr>
        <w:t xml:space="preserve"> </w:t>
      </w:r>
      <w:proofErr w:type="spellStart"/>
      <w:r w:rsidRPr="00D756B5">
        <w:rPr>
          <w:color w:val="000000" w:themeColor="text1"/>
          <w:szCs w:val="24"/>
        </w:rPr>
        <w:t>tre</w:t>
      </w:r>
      <w:proofErr w:type="spellEnd"/>
      <w:r w:rsidRPr="00D756B5">
        <w:rPr>
          <w:color w:val="000000" w:themeColor="text1"/>
          <w:szCs w:val="24"/>
        </w:rPr>
        <w:t xml:space="preserve"> </w:t>
      </w:r>
      <w:proofErr w:type="spellStart"/>
      <w:r w:rsidRPr="00D756B5">
        <w:rPr>
          <w:color w:val="000000" w:themeColor="text1"/>
          <w:szCs w:val="24"/>
        </w:rPr>
        <w:t>vitet</w:t>
      </w:r>
      <w:proofErr w:type="spellEnd"/>
      <w:r w:rsidRPr="00D756B5">
        <w:rPr>
          <w:color w:val="000000" w:themeColor="text1"/>
          <w:szCs w:val="24"/>
        </w:rPr>
        <w:t xml:space="preserve"> e para</w:t>
      </w:r>
      <w:r w:rsidRPr="002019CF">
        <w:rPr>
          <w:color w:val="000000" w:themeColor="text1"/>
          <w:szCs w:val="24"/>
        </w:rPr>
        <w:t xml:space="preserve">, me </w:t>
      </w:r>
      <w:proofErr w:type="spellStart"/>
      <w:r w:rsidRPr="002019CF">
        <w:rPr>
          <w:color w:val="000000" w:themeColor="text1"/>
          <w:szCs w:val="24"/>
        </w:rPr>
        <w:t>një</w:t>
      </w:r>
      <w:proofErr w:type="spellEnd"/>
      <w:r w:rsidRPr="002019CF">
        <w:rPr>
          <w:color w:val="000000" w:themeColor="text1"/>
          <w:szCs w:val="24"/>
        </w:rPr>
        <w:t xml:space="preserve"> </w:t>
      </w:r>
      <w:proofErr w:type="spellStart"/>
      <w:r w:rsidRPr="002019CF">
        <w:rPr>
          <w:color w:val="000000" w:themeColor="text1"/>
          <w:szCs w:val="24"/>
        </w:rPr>
        <w:t>vlerë</w:t>
      </w:r>
      <w:proofErr w:type="spellEnd"/>
      <w:r w:rsidRPr="002019CF">
        <w:rPr>
          <w:color w:val="000000" w:themeColor="text1"/>
          <w:szCs w:val="24"/>
        </w:rPr>
        <w:t xml:space="preserve"> </w:t>
      </w:r>
      <w:proofErr w:type="spellStart"/>
      <w:r w:rsidRPr="002019CF">
        <w:rPr>
          <w:color w:val="000000" w:themeColor="text1"/>
          <w:szCs w:val="24"/>
        </w:rPr>
        <w:t>të</w:t>
      </w:r>
      <w:proofErr w:type="spellEnd"/>
      <w:r w:rsidRPr="002019CF">
        <w:rPr>
          <w:color w:val="000000" w:themeColor="text1"/>
          <w:szCs w:val="24"/>
        </w:rPr>
        <w:t xml:space="preserve"> </w:t>
      </w:r>
      <w:proofErr w:type="spellStart"/>
      <w:r w:rsidRPr="002019CF">
        <w:rPr>
          <w:color w:val="000000" w:themeColor="text1"/>
          <w:szCs w:val="24"/>
        </w:rPr>
        <w:t>rrumbullakosur</w:t>
      </w:r>
      <w:proofErr w:type="spellEnd"/>
      <w:r w:rsidRPr="002019CF">
        <w:rPr>
          <w:color w:val="000000" w:themeColor="text1"/>
          <w:szCs w:val="24"/>
        </w:rPr>
        <w:t xml:space="preserve"> </w:t>
      </w:r>
      <w:proofErr w:type="spellStart"/>
      <w:r w:rsidRPr="002019CF">
        <w:rPr>
          <w:color w:val="000000" w:themeColor="text1"/>
          <w:szCs w:val="24"/>
        </w:rPr>
        <w:t>për</w:t>
      </w:r>
      <w:proofErr w:type="spellEnd"/>
      <w:r w:rsidRPr="002019CF">
        <w:rPr>
          <w:color w:val="000000" w:themeColor="text1"/>
          <w:szCs w:val="24"/>
        </w:rPr>
        <w:t xml:space="preserve"> </w:t>
      </w:r>
      <w:proofErr w:type="spellStart"/>
      <w:r w:rsidRPr="002019CF">
        <w:rPr>
          <w:color w:val="000000" w:themeColor="text1"/>
          <w:szCs w:val="24"/>
        </w:rPr>
        <w:t>efekt</w:t>
      </w:r>
      <w:proofErr w:type="spellEnd"/>
      <w:r w:rsidRPr="002019CF">
        <w:rPr>
          <w:color w:val="000000" w:themeColor="text1"/>
          <w:szCs w:val="24"/>
        </w:rPr>
        <w:t xml:space="preserve"> </w:t>
      </w:r>
      <w:proofErr w:type="spellStart"/>
      <w:r w:rsidRPr="002019CF">
        <w:rPr>
          <w:color w:val="000000" w:themeColor="text1"/>
          <w:szCs w:val="24"/>
        </w:rPr>
        <w:t>vlerësimi</w:t>
      </w:r>
      <w:proofErr w:type="spellEnd"/>
      <w:r w:rsidRPr="002019CF">
        <w:rPr>
          <w:color w:val="000000" w:themeColor="text1"/>
          <w:szCs w:val="24"/>
        </w:rPr>
        <w:t>.</w:t>
      </w:r>
    </w:p>
    <w:p w14:paraId="7C09CE4F" w14:textId="77777777" w:rsidR="00704A6B" w:rsidRPr="00D756B5" w:rsidRDefault="00704A6B" w:rsidP="00D31EA6">
      <w:pPr>
        <w:pBdr>
          <w:top w:val="nil"/>
          <w:left w:val="nil"/>
          <w:bottom w:val="nil"/>
          <w:right w:val="nil"/>
          <w:between w:val="nil"/>
          <w:bar w:val="nil"/>
        </w:pBdr>
        <w:spacing w:line="276" w:lineRule="auto"/>
        <w:ind w:right="20"/>
        <w:jc w:val="both"/>
        <w:rPr>
          <w:color w:val="000000" w:themeColor="text1"/>
          <w:szCs w:val="24"/>
        </w:rPr>
      </w:pPr>
    </w:p>
    <w:p w14:paraId="00ECE266" w14:textId="77777777" w:rsidR="006A585D" w:rsidRDefault="00755D84" w:rsidP="00D31EA6">
      <w:pPr>
        <w:pBdr>
          <w:top w:val="nil"/>
          <w:left w:val="nil"/>
          <w:bottom w:val="nil"/>
          <w:right w:val="nil"/>
          <w:between w:val="nil"/>
          <w:bar w:val="nil"/>
        </w:pBdr>
        <w:spacing w:line="276" w:lineRule="auto"/>
        <w:ind w:right="20"/>
        <w:jc w:val="both"/>
        <w:rPr>
          <w:color w:val="000000" w:themeColor="text1"/>
          <w:szCs w:val="24"/>
          <w:lang w:val="sq-AL"/>
        </w:rPr>
      </w:pPr>
      <w:r w:rsidRPr="00D756B5">
        <w:rPr>
          <w:color w:val="000000" w:themeColor="text1"/>
          <w:szCs w:val="24"/>
        </w:rPr>
        <w:t xml:space="preserve">Nga </w:t>
      </w:r>
      <w:proofErr w:type="spellStart"/>
      <w:r w:rsidRPr="00D756B5">
        <w:rPr>
          <w:color w:val="000000" w:themeColor="text1"/>
          <w:szCs w:val="24"/>
        </w:rPr>
        <w:t>këto</w:t>
      </w:r>
      <w:proofErr w:type="spellEnd"/>
      <w:r w:rsidRPr="00D756B5">
        <w:rPr>
          <w:color w:val="000000" w:themeColor="text1"/>
          <w:szCs w:val="24"/>
        </w:rPr>
        <w:t xml:space="preserve"> </w:t>
      </w:r>
      <w:proofErr w:type="spellStart"/>
      <w:r w:rsidRPr="00D756B5">
        <w:rPr>
          <w:color w:val="000000" w:themeColor="text1"/>
          <w:szCs w:val="24"/>
        </w:rPr>
        <w:t>ndërhyrje</w:t>
      </w:r>
      <w:proofErr w:type="spellEnd"/>
      <w:r w:rsidRPr="00D756B5">
        <w:rPr>
          <w:color w:val="000000" w:themeColor="text1"/>
          <w:szCs w:val="24"/>
        </w:rPr>
        <w:t xml:space="preserve"> </w:t>
      </w:r>
      <w:proofErr w:type="spellStart"/>
      <w:r w:rsidRPr="00D756B5">
        <w:rPr>
          <w:color w:val="000000" w:themeColor="text1"/>
          <w:szCs w:val="24"/>
        </w:rPr>
        <w:t>priten</w:t>
      </w:r>
      <w:proofErr w:type="spellEnd"/>
      <w:r w:rsidRPr="00D756B5">
        <w:rPr>
          <w:color w:val="000000" w:themeColor="text1"/>
          <w:szCs w:val="24"/>
        </w:rPr>
        <w:t xml:space="preserve"> </w:t>
      </w:r>
      <w:proofErr w:type="spellStart"/>
      <w:r w:rsidRPr="00D756B5">
        <w:rPr>
          <w:color w:val="000000" w:themeColor="text1"/>
          <w:szCs w:val="24"/>
        </w:rPr>
        <w:t>gjithashtu</w:t>
      </w:r>
      <w:proofErr w:type="spellEnd"/>
      <w:r w:rsidRPr="00D756B5">
        <w:rPr>
          <w:color w:val="000000" w:themeColor="text1"/>
          <w:szCs w:val="24"/>
        </w:rPr>
        <w:t xml:space="preserve"> </w:t>
      </w:r>
      <w:proofErr w:type="spellStart"/>
      <w:r w:rsidRPr="00D756B5">
        <w:rPr>
          <w:color w:val="000000" w:themeColor="text1"/>
          <w:szCs w:val="24"/>
        </w:rPr>
        <w:t>ndikime</w:t>
      </w:r>
      <w:proofErr w:type="spellEnd"/>
      <w:r w:rsidRPr="00D756B5">
        <w:rPr>
          <w:color w:val="000000" w:themeColor="text1"/>
          <w:szCs w:val="24"/>
        </w:rPr>
        <w:t xml:space="preserve"> </w:t>
      </w:r>
      <w:proofErr w:type="spellStart"/>
      <w:r w:rsidRPr="00D756B5">
        <w:rPr>
          <w:color w:val="000000" w:themeColor="text1"/>
          <w:szCs w:val="24"/>
        </w:rPr>
        <w:t>pozitive</w:t>
      </w:r>
      <w:proofErr w:type="spellEnd"/>
      <w:r w:rsidRPr="00D756B5">
        <w:rPr>
          <w:color w:val="000000" w:themeColor="text1"/>
          <w:szCs w:val="24"/>
        </w:rPr>
        <w:t xml:space="preserve"> </w:t>
      </w:r>
      <w:proofErr w:type="spellStart"/>
      <w:r w:rsidRPr="00D756B5">
        <w:rPr>
          <w:color w:val="000000" w:themeColor="text1"/>
          <w:szCs w:val="24"/>
        </w:rPr>
        <w:t>në</w:t>
      </w:r>
      <w:proofErr w:type="spellEnd"/>
      <w:r w:rsidRPr="00D756B5">
        <w:rPr>
          <w:color w:val="000000" w:themeColor="text1"/>
          <w:szCs w:val="24"/>
        </w:rPr>
        <w:t xml:space="preserve"> </w:t>
      </w:r>
      <w:proofErr w:type="spellStart"/>
      <w:r w:rsidRPr="00D756B5">
        <w:rPr>
          <w:color w:val="000000" w:themeColor="text1"/>
          <w:szCs w:val="24"/>
        </w:rPr>
        <w:t>nivel</w:t>
      </w:r>
      <w:proofErr w:type="spellEnd"/>
      <w:r w:rsidRPr="00D756B5">
        <w:rPr>
          <w:color w:val="000000" w:themeColor="text1"/>
          <w:szCs w:val="24"/>
        </w:rPr>
        <w:t xml:space="preserve"> </w:t>
      </w:r>
      <w:proofErr w:type="spellStart"/>
      <w:r w:rsidRPr="00D756B5">
        <w:rPr>
          <w:color w:val="000000" w:themeColor="text1"/>
          <w:szCs w:val="24"/>
        </w:rPr>
        <w:t>ekonomik</w:t>
      </w:r>
      <w:proofErr w:type="spellEnd"/>
      <w:r w:rsidRPr="00D756B5">
        <w:rPr>
          <w:color w:val="000000" w:themeColor="text1"/>
          <w:szCs w:val="24"/>
        </w:rPr>
        <w:t xml:space="preserve"> </w:t>
      </w:r>
      <w:proofErr w:type="spellStart"/>
      <w:r w:rsidRPr="00D756B5">
        <w:rPr>
          <w:color w:val="000000" w:themeColor="text1"/>
          <w:szCs w:val="24"/>
        </w:rPr>
        <w:t>dhe</w:t>
      </w:r>
      <w:proofErr w:type="spellEnd"/>
      <w:r w:rsidRPr="00D756B5">
        <w:rPr>
          <w:color w:val="000000" w:themeColor="text1"/>
          <w:szCs w:val="24"/>
        </w:rPr>
        <w:t xml:space="preserve"> </w:t>
      </w:r>
      <w:proofErr w:type="spellStart"/>
      <w:r w:rsidRPr="00D756B5">
        <w:rPr>
          <w:color w:val="000000" w:themeColor="text1"/>
          <w:szCs w:val="24"/>
        </w:rPr>
        <w:t>institucional</w:t>
      </w:r>
      <w:proofErr w:type="spellEnd"/>
      <w:r w:rsidRPr="00D756B5">
        <w:rPr>
          <w:color w:val="000000" w:themeColor="text1"/>
          <w:szCs w:val="24"/>
        </w:rPr>
        <w:t xml:space="preserve"> </w:t>
      </w:r>
      <w:proofErr w:type="spellStart"/>
      <w:r w:rsidRPr="00D756B5">
        <w:rPr>
          <w:color w:val="000000" w:themeColor="text1"/>
          <w:szCs w:val="24"/>
        </w:rPr>
        <w:t>afatmesëm</w:t>
      </w:r>
      <w:proofErr w:type="spellEnd"/>
      <w:r w:rsidRPr="00D756B5">
        <w:rPr>
          <w:color w:val="000000" w:themeColor="text1"/>
          <w:szCs w:val="24"/>
        </w:rPr>
        <w:t xml:space="preserve"> </w:t>
      </w:r>
      <w:proofErr w:type="spellStart"/>
      <w:r w:rsidRPr="00D756B5">
        <w:rPr>
          <w:color w:val="000000" w:themeColor="text1"/>
          <w:szCs w:val="24"/>
        </w:rPr>
        <w:t>dhe</w:t>
      </w:r>
      <w:proofErr w:type="spellEnd"/>
      <w:r w:rsidRPr="00D756B5">
        <w:rPr>
          <w:color w:val="000000" w:themeColor="text1"/>
          <w:szCs w:val="24"/>
        </w:rPr>
        <w:t xml:space="preserve"> </w:t>
      </w:r>
      <w:proofErr w:type="spellStart"/>
      <w:r w:rsidRPr="00D756B5">
        <w:rPr>
          <w:color w:val="000000" w:themeColor="text1"/>
          <w:szCs w:val="24"/>
        </w:rPr>
        <w:t>afatgjatë</w:t>
      </w:r>
      <w:proofErr w:type="spellEnd"/>
      <w:r w:rsidRPr="00D756B5">
        <w:rPr>
          <w:color w:val="000000" w:themeColor="text1"/>
          <w:szCs w:val="24"/>
        </w:rPr>
        <w:t xml:space="preserve">. </w:t>
      </w:r>
      <w:proofErr w:type="spellStart"/>
      <w:r w:rsidRPr="00D756B5">
        <w:rPr>
          <w:color w:val="000000" w:themeColor="text1"/>
          <w:szCs w:val="24"/>
        </w:rPr>
        <w:t>Forcimi</w:t>
      </w:r>
      <w:proofErr w:type="spellEnd"/>
      <w:r w:rsidRPr="00D756B5">
        <w:rPr>
          <w:color w:val="000000" w:themeColor="text1"/>
          <w:szCs w:val="24"/>
        </w:rPr>
        <w:t xml:space="preserve"> </w:t>
      </w:r>
      <w:proofErr w:type="spellStart"/>
      <w:r w:rsidRPr="00D756B5">
        <w:rPr>
          <w:color w:val="000000" w:themeColor="text1"/>
          <w:szCs w:val="24"/>
        </w:rPr>
        <w:t>i</w:t>
      </w:r>
      <w:proofErr w:type="spellEnd"/>
      <w:r w:rsidRPr="00D756B5">
        <w:rPr>
          <w:color w:val="000000" w:themeColor="text1"/>
          <w:szCs w:val="24"/>
        </w:rPr>
        <w:t xml:space="preserve"> </w:t>
      </w:r>
      <w:proofErr w:type="spellStart"/>
      <w:r w:rsidRPr="00D756B5">
        <w:rPr>
          <w:color w:val="000000" w:themeColor="text1"/>
          <w:szCs w:val="24"/>
        </w:rPr>
        <w:t>disiplinës</w:t>
      </w:r>
      <w:proofErr w:type="spellEnd"/>
      <w:r w:rsidRPr="00D756B5">
        <w:rPr>
          <w:color w:val="000000" w:themeColor="text1"/>
          <w:szCs w:val="24"/>
        </w:rPr>
        <w:t xml:space="preserve"> </w:t>
      </w:r>
      <w:proofErr w:type="spellStart"/>
      <w:r w:rsidRPr="00D756B5">
        <w:rPr>
          <w:color w:val="000000" w:themeColor="text1"/>
          <w:szCs w:val="24"/>
        </w:rPr>
        <w:t>korporative</w:t>
      </w:r>
      <w:proofErr w:type="spellEnd"/>
      <w:r w:rsidRPr="00D756B5">
        <w:rPr>
          <w:color w:val="000000" w:themeColor="text1"/>
          <w:szCs w:val="24"/>
        </w:rPr>
        <w:t xml:space="preserve">, </w:t>
      </w:r>
      <w:proofErr w:type="spellStart"/>
      <w:r w:rsidRPr="00D756B5">
        <w:rPr>
          <w:color w:val="000000" w:themeColor="text1"/>
          <w:szCs w:val="24"/>
        </w:rPr>
        <w:t>rritja</w:t>
      </w:r>
      <w:proofErr w:type="spellEnd"/>
      <w:r w:rsidRPr="00D756B5">
        <w:rPr>
          <w:color w:val="000000" w:themeColor="text1"/>
          <w:szCs w:val="24"/>
        </w:rPr>
        <w:t xml:space="preserve"> e </w:t>
      </w:r>
      <w:proofErr w:type="spellStart"/>
      <w:r w:rsidRPr="00D756B5">
        <w:rPr>
          <w:color w:val="000000" w:themeColor="text1"/>
          <w:szCs w:val="24"/>
        </w:rPr>
        <w:t>transparencës</w:t>
      </w:r>
      <w:proofErr w:type="spellEnd"/>
      <w:r w:rsidRPr="00D756B5">
        <w:rPr>
          <w:color w:val="000000" w:themeColor="text1"/>
          <w:szCs w:val="24"/>
        </w:rPr>
        <w:t xml:space="preserve"> </w:t>
      </w:r>
      <w:proofErr w:type="spellStart"/>
      <w:r w:rsidRPr="00D756B5">
        <w:rPr>
          <w:color w:val="000000" w:themeColor="text1"/>
          <w:szCs w:val="24"/>
        </w:rPr>
        <w:t>financiare</w:t>
      </w:r>
      <w:proofErr w:type="spellEnd"/>
      <w:r w:rsidRPr="00D756B5">
        <w:rPr>
          <w:color w:val="000000" w:themeColor="text1"/>
          <w:szCs w:val="24"/>
        </w:rPr>
        <w:t xml:space="preserve"> </w:t>
      </w:r>
      <w:proofErr w:type="spellStart"/>
      <w:r w:rsidRPr="00D756B5">
        <w:rPr>
          <w:color w:val="000000" w:themeColor="text1"/>
          <w:szCs w:val="24"/>
        </w:rPr>
        <w:t>dhe</w:t>
      </w:r>
      <w:proofErr w:type="spellEnd"/>
      <w:r w:rsidRPr="00D756B5">
        <w:rPr>
          <w:color w:val="000000" w:themeColor="text1"/>
          <w:szCs w:val="24"/>
        </w:rPr>
        <w:t xml:space="preserve"> </w:t>
      </w:r>
      <w:proofErr w:type="spellStart"/>
      <w:r w:rsidRPr="00D756B5">
        <w:rPr>
          <w:color w:val="000000" w:themeColor="text1"/>
          <w:szCs w:val="24"/>
        </w:rPr>
        <w:t>sigurimi</w:t>
      </w:r>
      <w:proofErr w:type="spellEnd"/>
      <w:r w:rsidRPr="00D756B5">
        <w:rPr>
          <w:color w:val="000000" w:themeColor="text1"/>
          <w:szCs w:val="24"/>
        </w:rPr>
        <w:t xml:space="preserve"> </w:t>
      </w:r>
      <w:proofErr w:type="spellStart"/>
      <w:r w:rsidRPr="00D756B5">
        <w:rPr>
          <w:color w:val="000000" w:themeColor="text1"/>
          <w:szCs w:val="24"/>
        </w:rPr>
        <w:t>i</w:t>
      </w:r>
      <w:proofErr w:type="spellEnd"/>
      <w:r w:rsidRPr="00D756B5">
        <w:rPr>
          <w:color w:val="000000" w:themeColor="text1"/>
          <w:szCs w:val="24"/>
        </w:rPr>
        <w:t xml:space="preserve"> </w:t>
      </w:r>
      <w:proofErr w:type="spellStart"/>
      <w:r w:rsidRPr="00D756B5">
        <w:rPr>
          <w:color w:val="000000" w:themeColor="text1"/>
          <w:szCs w:val="24"/>
        </w:rPr>
        <w:t>një</w:t>
      </w:r>
      <w:proofErr w:type="spellEnd"/>
      <w:r w:rsidRPr="00D756B5">
        <w:rPr>
          <w:color w:val="000000" w:themeColor="text1"/>
          <w:szCs w:val="24"/>
        </w:rPr>
        <w:t xml:space="preserve"> </w:t>
      </w:r>
      <w:proofErr w:type="spellStart"/>
      <w:r w:rsidRPr="00D756B5">
        <w:rPr>
          <w:color w:val="000000" w:themeColor="text1"/>
          <w:szCs w:val="24"/>
        </w:rPr>
        <w:t>mjedisi</w:t>
      </w:r>
      <w:proofErr w:type="spellEnd"/>
      <w:r w:rsidRPr="00D756B5">
        <w:rPr>
          <w:color w:val="000000" w:themeColor="text1"/>
          <w:szCs w:val="24"/>
        </w:rPr>
        <w:t xml:space="preserve"> </w:t>
      </w:r>
      <w:proofErr w:type="spellStart"/>
      <w:r w:rsidRPr="00D756B5">
        <w:rPr>
          <w:color w:val="000000" w:themeColor="text1"/>
          <w:szCs w:val="24"/>
        </w:rPr>
        <w:t>të</w:t>
      </w:r>
      <w:proofErr w:type="spellEnd"/>
      <w:r w:rsidRPr="00D756B5">
        <w:rPr>
          <w:color w:val="000000" w:themeColor="text1"/>
          <w:szCs w:val="24"/>
        </w:rPr>
        <w:t xml:space="preserve"> </w:t>
      </w:r>
      <w:proofErr w:type="spellStart"/>
      <w:r w:rsidRPr="00D756B5">
        <w:rPr>
          <w:color w:val="000000" w:themeColor="text1"/>
          <w:szCs w:val="24"/>
        </w:rPr>
        <w:t>rregullt</w:t>
      </w:r>
      <w:proofErr w:type="spellEnd"/>
      <w:r w:rsidRPr="00D756B5">
        <w:rPr>
          <w:color w:val="000000" w:themeColor="text1"/>
          <w:szCs w:val="24"/>
        </w:rPr>
        <w:t xml:space="preserve"> </w:t>
      </w:r>
      <w:proofErr w:type="spellStart"/>
      <w:r w:rsidRPr="00D756B5">
        <w:rPr>
          <w:color w:val="000000" w:themeColor="text1"/>
          <w:szCs w:val="24"/>
        </w:rPr>
        <w:t>për</w:t>
      </w:r>
      <w:proofErr w:type="spellEnd"/>
      <w:r w:rsidRPr="00D756B5">
        <w:rPr>
          <w:color w:val="000000" w:themeColor="text1"/>
          <w:szCs w:val="24"/>
        </w:rPr>
        <w:t xml:space="preserve"> </w:t>
      </w:r>
      <w:proofErr w:type="spellStart"/>
      <w:r w:rsidRPr="00D756B5">
        <w:rPr>
          <w:color w:val="000000" w:themeColor="text1"/>
          <w:szCs w:val="24"/>
        </w:rPr>
        <w:t>transformimet</w:t>
      </w:r>
      <w:proofErr w:type="spellEnd"/>
      <w:r w:rsidRPr="00D756B5">
        <w:rPr>
          <w:color w:val="000000" w:themeColor="text1"/>
          <w:szCs w:val="24"/>
        </w:rPr>
        <w:t xml:space="preserve"> e </w:t>
      </w:r>
      <w:proofErr w:type="spellStart"/>
      <w:r w:rsidRPr="00D756B5">
        <w:rPr>
          <w:color w:val="000000" w:themeColor="text1"/>
          <w:szCs w:val="24"/>
        </w:rPr>
        <w:t>shoqërive</w:t>
      </w:r>
      <w:proofErr w:type="spellEnd"/>
      <w:r w:rsidRPr="00D756B5">
        <w:rPr>
          <w:color w:val="000000" w:themeColor="text1"/>
          <w:szCs w:val="24"/>
        </w:rPr>
        <w:t xml:space="preserve">, do </w:t>
      </w:r>
      <w:proofErr w:type="spellStart"/>
      <w:r w:rsidRPr="00D756B5">
        <w:rPr>
          <w:color w:val="000000" w:themeColor="text1"/>
          <w:szCs w:val="24"/>
        </w:rPr>
        <w:t>të</w:t>
      </w:r>
      <w:proofErr w:type="spellEnd"/>
      <w:r w:rsidRPr="00D756B5">
        <w:rPr>
          <w:color w:val="000000" w:themeColor="text1"/>
          <w:szCs w:val="24"/>
        </w:rPr>
        <w:t xml:space="preserve"> </w:t>
      </w:r>
      <w:proofErr w:type="spellStart"/>
      <w:r w:rsidRPr="00D756B5">
        <w:rPr>
          <w:color w:val="000000" w:themeColor="text1"/>
          <w:szCs w:val="24"/>
        </w:rPr>
        <w:t>kontribuojnë</w:t>
      </w:r>
      <w:proofErr w:type="spellEnd"/>
      <w:r w:rsidRPr="00D756B5">
        <w:rPr>
          <w:color w:val="000000" w:themeColor="text1"/>
          <w:szCs w:val="24"/>
        </w:rPr>
        <w:t xml:space="preserve"> </w:t>
      </w:r>
      <w:proofErr w:type="spellStart"/>
      <w:r w:rsidRPr="00D756B5">
        <w:rPr>
          <w:color w:val="000000" w:themeColor="text1"/>
          <w:szCs w:val="24"/>
        </w:rPr>
        <w:t>në</w:t>
      </w:r>
      <w:proofErr w:type="spellEnd"/>
      <w:r w:rsidRPr="00D756B5">
        <w:rPr>
          <w:color w:val="000000" w:themeColor="text1"/>
          <w:szCs w:val="24"/>
        </w:rPr>
        <w:t xml:space="preserve"> </w:t>
      </w:r>
      <w:proofErr w:type="spellStart"/>
      <w:r w:rsidRPr="00D756B5">
        <w:rPr>
          <w:color w:val="000000" w:themeColor="text1"/>
          <w:szCs w:val="24"/>
        </w:rPr>
        <w:t>përmirësimin</w:t>
      </w:r>
      <w:proofErr w:type="spellEnd"/>
      <w:r w:rsidRPr="00D756B5">
        <w:rPr>
          <w:color w:val="000000" w:themeColor="text1"/>
          <w:szCs w:val="24"/>
        </w:rPr>
        <w:t xml:space="preserve"> e </w:t>
      </w:r>
      <w:proofErr w:type="spellStart"/>
      <w:r w:rsidRPr="00D756B5">
        <w:rPr>
          <w:color w:val="000000" w:themeColor="text1"/>
          <w:szCs w:val="24"/>
        </w:rPr>
        <w:t>klimës</w:t>
      </w:r>
      <w:proofErr w:type="spellEnd"/>
      <w:r w:rsidRPr="00D756B5">
        <w:rPr>
          <w:color w:val="000000" w:themeColor="text1"/>
          <w:szCs w:val="24"/>
        </w:rPr>
        <w:t xml:space="preserve"> </w:t>
      </w:r>
      <w:proofErr w:type="spellStart"/>
      <w:r w:rsidRPr="00D756B5">
        <w:rPr>
          <w:color w:val="000000" w:themeColor="text1"/>
          <w:szCs w:val="24"/>
        </w:rPr>
        <w:t>së</w:t>
      </w:r>
      <w:proofErr w:type="spellEnd"/>
      <w:r w:rsidRPr="00D756B5">
        <w:rPr>
          <w:color w:val="000000" w:themeColor="text1"/>
          <w:szCs w:val="24"/>
        </w:rPr>
        <w:t xml:space="preserve"> </w:t>
      </w:r>
      <w:proofErr w:type="spellStart"/>
      <w:r w:rsidRPr="00D756B5">
        <w:rPr>
          <w:color w:val="000000" w:themeColor="text1"/>
          <w:szCs w:val="24"/>
        </w:rPr>
        <w:t>investimeve</w:t>
      </w:r>
      <w:proofErr w:type="spellEnd"/>
      <w:r w:rsidRPr="00D756B5">
        <w:rPr>
          <w:color w:val="000000" w:themeColor="text1"/>
          <w:szCs w:val="24"/>
        </w:rPr>
        <w:t xml:space="preserve"> </w:t>
      </w:r>
      <w:proofErr w:type="spellStart"/>
      <w:r w:rsidRPr="00D756B5">
        <w:rPr>
          <w:color w:val="000000" w:themeColor="text1"/>
          <w:szCs w:val="24"/>
        </w:rPr>
        <w:t>dhe</w:t>
      </w:r>
      <w:proofErr w:type="spellEnd"/>
      <w:r w:rsidRPr="00D756B5">
        <w:rPr>
          <w:color w:val="000000" w:themeColor="text1"/>
          <w:szCs w:val="24"/>
        </w:rPr>
        <w:t xml:space="preserve"> </w:t>
      </w:r>
      <w:proofErr w:type="spellStart"/>
      <w:r w:rsidRPr="00D756B5">
        <w:rPr>
          <w:color w:val="000000" w:themeColor="text1"/>
          <w:szCs w:val="24"/>
        </w:rPr>
        <w:t>tërheqjen</w:t>
      </w:r>
      <w:proofErr w:type="spellEnd"/>
      <w:r w:rsidRPr="00D756B5">
        <w:rPr>
          <w:color w:val="000000" w:themeColor="text1"/>
          <w:szCs w:val="24"/>
        </w:rPr>
        <w:t xml:space="preserve"> e </w:t>
      </w:r>
      <w:proofErr w:type="spellStart"/>
      <w:r w:rsidRPr="00D756B5">
        <w:rPr>
          <w:color w:val="000000" w:themeColor="text1"/>
          <w:szCs w:val="24"/>
        </w:rPr>
        <w:t>kapitalit</w:t>
      </w:r>
      <w:proofErr w:type="spellEnd"/>
      <w:r w:rsidRPr="00D756B5">
        <w:rPr>
          <w:color w:val="000000" w:themeColor="text1"/>
          <w:szCs w:val="24"/>
        </w:rPr>
        <w:t xml:space="preserve"> </w:t>
      </w:r>
      <w:proofErr w:type="spellStart"/>
      <w:r w:rsidRPr="00D756B5">
        <w:rPr>
          <w:color w:val="000000" w:themeColor="text1"/>
          <w:szCs w:val="24"/>
        </w:rPr>
        <w:t>të</w:t>
      </w:r>
      <w:proofErr w:type="spellEnd"/>
      <w:r w:rsidRPr="00D756B5">
        <w:rPr>
          <w:color w:val="000000" w:themeColor="text1"/>
          <w:szCs w:val="24"/>
        </w:rPr>
        <w:t xml:space="preserve"> </w:t>
      </w:r>
      <w:proofErr w:type="spellStart"/>
      <w:r w:rsidRPr="00D756B5">
        <w:rPr>
          <w:color w:val="000000" w:themeColor="text1"/>
          <w:szCs w:val="24"/>
        </w:rPr>
        <w:t>huaj</w:t>
      </w:r>
      <w:proofErr w:type="spellEnd"/>
      <w:r w:rsidRPr="00D756B5">
        <w:rPr>
          <w:color w:val="000000" w:themeColor="text1"/>
          <w:szCs w:val="24"/>
        </w:rPr>
        <w:t xml:space="preserve">, </w:t>
      </w:r>
      <w:proofErr w:type="spellStart"/>
      <w:r w:rsidRPr="00D756B5">
        <w:rPr>
          <w:color w:val="000000" w:themeColor="text1"/>
          <w:szCs w:val="24"/>
        </w:rPr>
        <w:t>veçanërisht</w:t>
      </w:r>
      <w:proofErr w:type="spellEnd"/>
      <w:r w:rsidRPr="00D756B5">
        <w:rPr>
          <w:color w:val="000000" w:themeColor="text1"/>
          <w:szCs w:val="24"/>
        </w:rPr>
        <w:t xml:space="preserve"> </w:t>
      </w:r>
      <w:proofErr w:type="spellStart"/>
      <w:r w:rsidRPr="00D756B5">
        <w:rPr>
          <w:color w:val="000000" w:themeColor="text1"/>
          <w:szCs w:val="24"/>
        </w:rPr>
        <w:t>për</w:t>
      </w:r>
      <w:proofErr w:type="spellEnd"/>
      <w:r w:rsidRPr="00D756B5">
        <w:rPr>
          <w:color w:val="000000" w:themeColor="text1"/>
          <w:szCs w:val="24"/>
        </w:rPr>
        <w:t xml:space="preserve"> </w:t>
      </w:r>
      <w:proofErr w:type="spellStart"/>
      <w:r w:rsidRPr="00D756B5">
        <w:rPr>
          <w:color w:val="000000" w:themeColor="text1"/>
          <w:szCs w:val="24"/>
        </w:rPr>
        <w:t>sektorët</w:t>
      </w:r>
      <w:proofErr w:type="spellEnd"/>
      <w:r w:rsidRPr="00D756B5">
        <w:rPr>
          <w:color w:val="000000" w:themeColor="text1"/>
          <w:szCs w:val="24"/>
        </w:rPr>
        <w:t xml:space="preserve"> </w:t>
      </w:r>
      <w:proofErr w:type="spellStart"/>
      <w:r w:rsidRPr="00D756B5">
        <w:rPr>
          <w:color w:val="000000" w:themeColor="text1"/>
          <w:szCs w:val="24"/>
        </w:rPr>
        <w:t>që</w:t>
      </w:r>
      <w:proofErr w:type="spellEnd"/>
      <w:r w:rsidRPr="00D756B5">
        <w:rPr>
          <w:color w:val="000000" w:themeColor="text1"/>
          <w:szCs w:val="24"/>
        </w:rPr>
        <w:t xml:space="preserve"> </w:t>
      </w:r>
      <w:proofErr w:type="spellStart"/>
      <w:r w:rsidRPr="00D756B5">
        <w:rPr>
          <w:color w:val="000000" w:themeColor="text1"/>
          <w:szCs w:val="24"/>
        </w:rPr>
        <w:t>synojnë</w:t>
      </w:r>
      <w:proofErr w:type="spellEnd"/>
      <w:r w:rsidRPr="00D756B5">
        <w:rPr>
          <w:color w:val="000000" w:themeColor="text1"/>
          <w:szCs w:val="24"/>
        </w:rPr>
        <w:t xml:space="preserve"> </w:t>
      </w:r>
      <w:proofErr w:type="spellStart"/>
      <w:r w:rsidRPr="00D756B5">
        <w:rPr>
          <w:color w:val="000000" w:themeColor="text1"/>
          <w:szCs w:val="24"/>
        </w:rPr>
        <w:t>të</w:t>
      </w:r>
      <w:proofErr w:type="spellEnd"/>
      <w:r w:rsidRPr="00D756B5">
        <w:rPr>
          <w:color w:val="000000" w:themeColor="text1"/>
          <w:szCs w:val="24"/>
        </w:rPr>
        <w:t xml:space="preserve"> </w:t>
      </w:r>
      <w:proofErr w:type="spellStart"/>
      <w:r w:rsidRPr="00D756B5">
        <w:rPr>
          <w:color w:val="000000" w:themeColor="text1"/>
          <w:szCs w:val="24"/>
        </w:rPr>
        <w:t>aksesojnë</w:t>
      </w:r>
      <w:proofErr w:type="spellEnd"/>
      <w:r w:rsidRPr="00D756B5">
        <w:rPr>
          <w:color w:val="000000" w:themeColor="text1"/>
          <w:szCs w:val="24"/>
        </w:rPr>
        <w:t xml:space="preserve"> </w:t>
      </w:r>
      <w:proofErr w:type="spellStart"/>
      <w:r w:rsidRPr="00D756B5">
        <w:rPr>
          <w:color w:val="000000" w:themeColor="text1"/>
          <w:szCs w:val="24"/>
        </w:rPr>
        <w:t>tregjet</w:t>
      </w:r>
      <w:proofErr w:type="spellEnd"/>
      <w:r w:rsidRPr="00D756B5">
        <w:rPr>
          <w:color w:val="000000" w:themeColor="text1"/>
          <w:szCs w:val="24"/>
        </w:rPr>
        <w:t xml:space="preserve"> </w:t>
      </w:r>
      <w:proofErr w:type="spellStart"/>
      <w:r w:rsidRPr="00D756B5">
        <w:rPr>
          <w:color w:val="000000" w:themeColor="text1"/>
          <w:szCs w:val="24"/>
        </w:rPr>
        <w:t>publike</w:t>
      </w:r>
      <w:proofErr w:type="spellEnd"/>
      <w:r w:rsidRPr="00D756B5">
        <w:rPr>
          <w:color w:val="000000" w:themeColor="text1"/>
          <w:szCs w:val="24"/>
        </w:rPr>
        <w:t xml:space="preserve"> </w:t>
      </w:r>
      <w:proofErr w:type="spellStart"/>
      <w:r w:rsidRPr="00D756B5">
        <w:rPr>
          <w:color w:val="000000" w:themeColor="text1"/>
          <w:szCs w:val="24"/>
        </w:rPr>
        <w:t>të</w:t>
      </w:r>
      <w:proofErr w:type="spellEnd"/>
      <w:r w:rsidRPr="00D756B5">
        <w:rPr>
          <w:color w:val="000000" w:themeColor="text1"/>
          <w:szCs w:val="24"/>
        </w:rPr>
        <w:t xml:space="preserve"> </w:t>
      </w:r>
      <w:proofErr w:type="spellStart"/>
      <w:r w:rsidRPr="00D756B5">
        <w:rPr>
          <w:color w:val="000000" w:themeColor="text1"/>
          <w:szCs w:val="24"/>
        </w:rPr>
        <w:t>kapitalit</w:t>
      </w:r>
      <w:proofErr w:type="spellEnd"/>
      <w:r w:rsidRPr="00D756B5">
        <w:rPr>
          <w:color w:val="000000" w:themeColor="text1"/>
          <w:szCs w:val="24"/>
        </w:rPr>
        <w:t xml:space="preserve">. </w:t>
      </w:r>
      <w:proofErr w:type="spellStart"/>
      <w:r w:rsidRPr="00D756B5">
        <w:rPr>
          <w:color w:val="000000" w:themeColor="text1"/>
          <w:szCs w:val="24"/>
        </w:rPr>
        <w:t>Në</w:t>
      </w:r>
      <w:proofErr w:type="spellEnd"/>
      <w:r w:rsidRPr="00D756B5">
        <w:rPr>
          <w:color w:val="000000" w:themeColor="text1"/>
          <w:szCs w:val="24"/>
        </w:rPr>
        <w:t xml:space="preserve"> </w:t>
      </w:r>
      <w:proofErr w:type="spellStart"/>
      <w:r w:rsidRPr="00D756B5">
        <w:rPr>
          <w:color w:val="000000" w:themeColor="text1"/>
          <w:szCs w:val="24"/>
        </w:rPr>
        <w:t>aspektin</w:t>
      </w:r>
      <w:proofErr w:type="spellEnd"/>
      <w:r w:rsidRPr="00D756B5">
        <w:rPr>
          <w:color w:val="000000" w:themeColor="text1"/>
          <w:szCs w:val="24"/>
        </w:rPr>
        <w:t xml:space="preserve"> </w:t>
      </w:r>
      <w:proofErr w:type="spellStart"/>
      <w:r w:rsidRPr="00D756B5">
        <w:rPr>
          <w:color w:val="000000" w:themeColor="text1"/>
          <w:szCs w:val="24"/>
        </w:rPr>
        <w:t>institucional</w:t>
      </w:r>
      <w:proofErr w:type="spellEnd"/>
      <w:r w:rsidRPr="00D756B5">
        <w:rPr>
          <w:color w:val="000000" w:themeColor="text1"/>
          <w:szCs w:val="24"/>
        </w:rPr>
        <w:t xml:space="preserve">, </w:t>
      </w:r>
      <w:proofErr w:type="spellStart"/>
      <w:r w:rsidRPr="00D756B5">
        <w:rPr>
          <w:color w:val="000000" w:themeColor="text1"/>
          <w:szCs w:val="24"/>
        </w:rPr>
        <w:t>reforma</w:t>
      </w:r>
      <w:proofErr w:type="spellEnd"/>
      <w:r w:rsidRPr="00D756B5">
        <w:rPr>
          <w:color w:val="000000" w:themeColor="text1"/>
          <w:szCs w:val="24"/>
        </w:rPr>
        <w:t xml:space="preserve"> </w:t>
      </w:r>
      <w:proofErr w:type="spellStart"/>
      <w:r w:rsidRPr="00D756B5">
        <w:rPr>
          <w:color w:val="000000" w:themeColor="text1"/>
          <w:szCs w:val="24"/>
        </w:rPr>
        <w:t>forcon</w:t>
      </w:r>
      <w:proofErr w:type="spellEnd"/>
      <w:r w:rsidRPr="00D756B5">
        <w:rPr>
          <w:color w:val="000000" w:themeColor="text1"/>
          <w:szCs w:val="24"/>
        </w:rPr>
        <w:t xml:space="preserve"> </w:t>
      </w:r>
      <w:proofErr w:type="spellStart"/>
      <w:r w:rsidRPr="00D756B5">
        <w:rPr>
          <w:color w:val="000000" w:themeColor="text1"/>
          <w:szCs w:val="24"/>
        </w:rPr>
        <w:t>kapacitetin</w:t>
      </w:r>
      <w:proofErr w:type="spellEnd"/>
      <w:r w:rsidRPr="00D756B5">
        <w:rPr>
          <w:color w:val="000000" w:themeColor="text1"/>
          <w:szCs w:val="24"/>
        </w:rPr>
        <w:t xml:space="preserve"> e </w:t>
      </w:r>
      <w:proofErr w:type="spellStart"/>
      <w:r w:rsidRPr="00D756B5">
        <w:rPr>
          <w:color w:val="000000" w:themeColor="text1"/>
          <w:szCs w:val="24"/>
        </w:rPr>
        <w:t>shtetit</w:t>
      </w:r>
      <w:proofErr w:type="spellEnd"/>
      <w:r w:rsidRPr="00D756B5">
        <w:rPr>
          <w:color w:val="000000" w:themeColor="text1"/>
          <w:szCs w:val="24"/>
        </w:rPr>
        <w:t xml:space="preserve"> </w:t>
      </w:r>
      <w:proofErr w:type="spellStart"/>
      <w:r w:rsidRPr="00D756B5">
        <w:rPr>
          <w:color w:val="000000" w:themeColor="text1"/>
          <w:szCs w:val="24"/>
        </w:rPr>
        <w:t>për</w:t>
      </w:r>
      <w:proofErr w:type="spellEnd"/>
      <w:r w:rsidRPr="00D756B5">
        <w:rPr>
          <w:color w:val="000000" w:themeColor="text1"/>
          <w:szCs w:val="24"/>
        </w:rPr>
        <w:t xml:space="preserve"> </w:t>
      </w:r>
      <w:proofErr w:type="spellStart"/>
      <w:r w:rsidRPr="00D756B5">
        <w:rPr>
          <w:color w:val="000000" w:themeColor="text1"/>
          <w:szCs w:val="24"/>
        </w:rPr>
        <w:t>të</w:t>
      </w:r>
      <w:proofErr w:type="spellEnd"/>
      <w:r w:rsidRPr="00D756B5">
        <w:rPr>
          <w:color w:val="000000" w:themeColor="text1"/>
          <w:szCs w:val="24"/>
        </w:rPr>
        <w:t xml:space="preserve"> </w:t>
      </w:r>
      <w:proofErr w:type="spellStart"/>
      <w:r w:rsidRPr="00D756B5">
        <w:rPr>
          <w:color w:val="000000" w:themeColor="text1"/>
          <w:szCs w:val="24"/>
        </w:rPr>
        <w:t>mbikëqyrur</w:t>
      </w:r>
      <w:proofErr w:type="spellEnd"/>
      <w:r w:rsidRPr="00D756B5">
        <w:rPr>
          <w:color w:val="000000" w:themeColor="text1"/>
          <w:szCs w:val="24"/>
        </w:rPr>
        <w:t xml:space="preserve"> </w:t>
      </w:r>
      <w:proofErr w:type="spellStart"/>
      <w:r w:rsidRPr="00D756B5">
        <w:rPr>
          <w:color w:val="000000" w:themeColor="text1"/>
          <w:szCs w:val="24"/>
        </w:rPr>
        <w:t>në</w:t>
      </w:r>
      <w:proofErr w:type="spellEnd"/>
      <w:r w:rsidRPr="00D756B5">
        <w:rPr>
          <w:color w:val="000000" w:themeColor="text1"/>
          <w:szCs w:val="24"/>
        </w:rPr>
        <w:t xml:space="preserve"> </w:t>
      </w:r>
      <w:proofErr w:type="spellStart"/>
      <w:r w:rsidRPr="00D756B5">
        <w:rPr>
          <w:color w:val="000000" w:themeColor="text1"/>
          <w:szCs w:val="24"/>
        </w:rPr>
        <w:t>mënyrë</w:t>
      </w:r>
      <w:proofErr w:type="spellEnd"/>
      <w:r w:rsidRPr="00D756B5">
        <w:rPr>
          <w:color w:val="000000" w:themeColor="text1"/>
          <w:szCs w:val="24"/>
        </w:rPr>
        <w:t xml:space="preserve"> </w:t>
      </w:r>
      <w:proofErr w:type="spellStart"/>
      <w:r w:rsidRPr="00D756B5">
        <w:rPr>
          <w:color w:val="000000" w:themeColor="text1"/>
          <w:szCs w:val="24"/>
        </w:rPr>
        <w:t>të</w:t>
      </w:r>
      <w:proofErr w:type="spellEnd"/>
      <w:r w:rsidRPr="00D756B5">
        <w:rPr>
          <w:color w:val="000000" w:themeColor="text1"/>
          <w:szCs w:val="24"/>
        </w:rPr>
        <w:t xml:space="preserve"> </w:t>
      </w:r>
      <w:proofErr w:type="spellStart"/>
      <w:r w:rsidRPr="00D756B5">
        <w:rPr>
          <w:color w:val="000000" w:themeColor="text1"/>
          <w:szCs w:val="24"/>
        </w:rPr>
        <w:t>strukturuar</w:t>
      </w:r>
      <w:proofErr w:type="spellEnd"/>
      <w:r w:rsidRPr="00D756B5">
        <w:rPr>
          <w:color w:val="000000" w:themeColor="text1"/>
          <w:szCs w:val="24"/>
        </w:rPr>
        <w:t xml:space="preserve"> </w:t>
      </w:r>
      <w:proofErr w:type="spellStart"/>
      <w:r w:rsidRPr="00D756B5">
        <w:rPr>
          <w:color w:val="000000" w:themeColor="text1"/>
          <w:szCs w:val="24"/>
        </w:rPr>
        <w:t>tregun</w:t>
      </w:r>
      <w:proofErr w:type="spellEnd"/>
      <w:r w:rsidRPr="00D756B5">
        <w:rPr>
          <w:color w:val="000000" w:themeColor="text1"/>
          <w:szCs w:val="24"/>
        </w:rPr>
        <w:t xml:space="preserve"> e </w:t>
      </w:r>
      <w:proofErr w:type="spellStart"/>
      <w:r w:rsidRPr="00D756B5">
        <w:rPr>
          <w:color w:val="000000" w:themeColor="text1"/>
          <w:szCs w:val="24"/>
        </w:rPr>
        <w:t>korporatave</w:t>
      </w:r>
      <w:proofErr w:type="spellEnd"/>
      <w:r w:rsidRPr="00D756B5">
        <w:rPr>
          <w:color w:val="000000" w:themeColor="text1"/>
          <w:szCs w:val="24"/>
        </w:rPr>
        <w:t xml:space="preserve"> </w:t>
      </w:r>
      <w:proofErr w:type="spellStart"/>
      <w:r w:rsidRPr="00D756B5">
        <w:rPr>
          <w:color w:val="000000" w:themeColor="text1"/>
          <w:szCs w:val="24"/>
        </w:rPr>
        <w:t>dhe</w:t>
      </w:r>
      <w:proofErr w:type="spellEnd"/>
      <w:r w:rsidRPr="00D756B5">
        <w:rPr>
          <w:color w:val="000000" w:themeColor="text1"/>
          <w:szCs w:val="24"/>
        </w:rPr>
        <w:t xml:space="preserve"> </w:t>
      </w:r>
      <w:proofErr w:type="spellStart"/>
      <w:r w:rsidRPr="00D756B5">
        <w:rPr>
          <w:color w:val="000000" w:themeColor="text1"/>
          <w:szCs w:val="24"/>
        </w:rPr>
        <w:t>për</w:t>
      </w:r>
      <w:proofErr w:type="spellEnd"/>
      <w:r w:rsidRPr="00D756B5">
        <w:rPr>
          <w:color w:val="000000" w:themeColor="text1"/>
          <w:szCs w:val="24"/>
        </w:rPr>
        <w:t xml:space="preserve"> </w:t>
      </w:r>
      <w:proofErr w:type="spellStart"/>
      <w:r w:rsidRPr="00D756B5">
        <w:rPr>
          <w:color w:val="000000" w:themeColor="text1"/>
          <w:szCs w:val="24"/>
        </w:rPr>
        <w:t>të</w:t>
      </w:r>
      <w:proofErr w:type="spellEnd"/>
      <w:r w:rsidRPr="00D756B5">
        <w:rPr>
          <w:color w:val="000000" w:themeColor="text1"/>
          <w:szCs w:val="24"/>
        </w:rPr>
        <w:t xml:space="preserve"> </w:t>
      </w:r>
      <w:proofErr w:type="spellStart"/>
      <w:r w:rsidRPr="00D756B5">
        <w:rPr>
          <w:color w:val="000000" w:themeColor="text1"/>
          <w:szCs w:val="24"/>
        </w:rPr>
        <w:t>garantuar</w:t>
      </w:r>
      <w:proofErr w:type="spellEnd"/>
      <w:r w:rsidRPr="00D756B5">
        <w:rPr>
          <w:color w:val="000000" w:themeColor="text1"/>
          <w:szCs w:val="24"/>
        </w:rPr>
        <w:t xml:space="preserve"> </w:t>
      </w:r>
      <w:proofErr w:type="spellStart"/>
      <w:r w:rsidRPr="00D756B5">
        <w:rPr>
          <w:color w:val="000000" w:themeColor="text1"/>
          <w:szCs w:val="24"/>
        </w:rPr>
        <w:t>përputhshmëri</w:t>
      </w:r>
      <w:proofErr w:type="spellEnd"/>
      <w:r w:rsidRPr="00D756B5">
        <w:rPr>
          <w:color w:val="000000" w:themeColor="text1"/>
          <w:szCs w:val="24"/>
        </w:rPr>
        <w:t xml:space="preserve"> </w:t>
      </w:r>
      <w:proofErr w:type="spellStart"/>
      <w:r w:rsidRPr="00D756B5">
        <w:rPr>
          <w:color w:val="000000" w:themeColor="text1"/>
          <w:szCs w:val="24"/>
        </w:rPr>
        <w:t>të</w:t>
      </w:r>
      <w:proofErr w:type="spellEnd"/>
      <w:r w:rsidRPr="00D756B5">
        <w:rPr>
          <w:color w:val="000000" w:themeColor="text1"/>
          <w:szCs w:val="24"/>
        </w:rPr>
        <w:t xml:space="preserve"> </w:t>
      </w:r>
      <w:proofErr w:type="spellStart"/>
      <w:r w:rsidRPr="00D756B5">
        <w:rPr>
          <w:color w:val="000000" w:themeColor="text1"/>
          <w:szCs w:val="24"/>
        </w:rPr>
        <w:t>qëndrueshme</w:t>
      </w:r>
      <w:proofErr w:type="spellEnd"/>
      <w:r w:rsidRPr="00D756B5">
        <w:rPr>
          <w:color w:val="000000" w:themeColor="text1"/>
          <w:szCs w:val="24"/>
        </w:rPr>
        <w:t xml:space="preserve"> me </w:t>
      </w:r>
      <w:proofErr w:type="spellStart"/>
      <w:r w:rsidRPr="00D756B5">
        <w:rPr>
          <w:color w:val="000000" w:themeColor="text1"/>
          <w:szCs w:val="24"/>
        </w:rPr>
        <w:t>standardet</w:t>
      </w:r>
      <w:proofErr w:type="spellEnd"/>
      <w:r w:rsidRPr="00D756B5">
        <w:rPr>
          <w:color w:val="000000" w:themeColor="text1"/>
          <w:szCs w:val="24"/>
        </w:rPr>
        <w:t xml:space="preserve"> e BE-</w:t>
      </w:r>
      <w:proofErr w:type="spellStart"/>
      <w:r w:rsidRPr="00D756B5">
        <w:rPr>
          <w:color w:val="000000" w:themeColor="text1"/>
          <w:szCs w:val="24"/>
        </w:rPr>
        <w:t>së</w:t>
      </w:r>
      <w:proofErr w:type="spellEnd"/>
      <w:r w:rsidRPr="00D756B5">
        <w:rPr>
          <w:color w:val="000000" w:themeColor="text1"/>
          <w:szCs w:val="24"/>
        </w:rPr>
        <w:t>.</w:t>
      </w:r>
    </w:p>
    <w:p w14:paraId="68F48C86" w14:textId="77777777" w:rsidR="006A585D" w:rsidRDefault="006A585D" w:rsidP="00D31EA6">
      <w:pPr>
        <w:pBdr>
          <w:top w:val="nil"/>
          <w:left w:val="nil"/>
          <w:bottom w:val="nil"/>
          <w:right w:val="nil"/>
          <w:between w:val="nil"/>
          <w:bar w:val="nil"/>
        </w:pBdr>
        <w:spacing w:line="276" w:lineRule="auto"/>
        <w:ind w:right="20"/>
        <w:jc w:val="both"/>
        <w:rPr>
          <w:color w:val="000000" w:themeColor="text1"/>
          <w:szCs w:val="24"/>
          <w:lang w:val="sq-AL"/>
        </w:rPr>
      </w:pPr>
    </w:p>
    <w:p w14:paraId="03AF2CCF" w14:textId="1D88511A" w:rsidR="00D31EA6" w:rsidRPr="00990D4F" w:rsidRDefault="006A585D" w:rsidP="00D31EA6">
      <w:pPr>
        <w:pBdr>
          <w:top w:val="nil"/>
          <w:left w:val="nil"/>
          <w:bottom w:val="nil"/>
          <w:right w:val="nil"/>
          <w:between w:val="nil"/>
          <w:bar w:val="nil"/>
        </w:pBdr>
        <w:spacing w:line="276" w:lineRule="auto"/>
        <w:ind w:right="20"/>
        <w:jc w:val="both"/>
        <w:rPr>
          <w:color w:val="000000" w:themeColor="text1"/>
          <w:szCs w:val="24"/>
          <w:lang w:val="sq-AL"/>
        </w:rPr>
      </w:pPr>
      <w:r w:rsidRPr="00D756B5">
        <w:rPr>
          <w:lang w:val="sq-AL"/>
        </w:rPr>
        <w:t xml:space="preserve"> </w:t>
      </w:r>
      <w:r w:rsidRPr="006A585D">
        <w:rPr>
          <w:color w:val="000000" w:themeColor="text1"/>
          <w:szCs w:val="24"/>
          <w:lang w:val="sq-AL"/>
        </w:rPr>
        <w:t>Lidhur me ndërhyrjet ligjore me qëllim përafrimin Direktivës 2007/36/KE (e ndryshuar), institucion përgjegjës identifikohet AMF, e cila vepron si autoritet mbikqyrjës ndaj aktivitetit të shoqërive të listuara</w:t>
      </w:r>
    </w:p>
    <w:p w14:paraId="7256BA38" w14:textId="77777777"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p>
    <w:p w14:paraId="0432D8F4" w14:textId="77777777"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u w:val="single"/>
          <w:lang w:val="sq-AL"/>
        </w:rPr>
      </w:pPr>
      <w:r w:rsidRPr="00990D4F">
        <w:rPr>
          <w:color w:val="000000" w:themeColor="text1"/>
          <w:szCs w:val="24"/>
          <w:u w:val="single"/>
          <w:lang w:val="sq-AL"/>
        </w:rPr>
        <w:t>Ndikimi ekonomik</w:t>
      </w:r>
    </w:p>
    <w:p w14:paraId="2DB9BD9E" w14:textId="53C93569"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r w:rsidRPr="00990D4F">
        <w:rPr>
          <w:color w:val="000000" w:themeColor="text1"/>
          <w:szCs w:val="24"/>
          <w:lang w:val="sq-AL"/>
        </w:rPr>
        <w:br/>
        <w:t xml:space="preserve">Ndikimi ekonomik i harmonizimit të </w:t>
      </w:r>
      <w:r w:rsidR="00C671CA">
        <w:rPr>
          <w:color w:val="000000" w:themeColor="text1"/>
          <w:szCs w:val="24"/>
          <w:lang w:val="sq-AL"/>
        </w:rPr>
        <w:t>ligjit 9901/2008</w:t>
      </w:r>
      <w:r w:rsidR="003509F1">
        <w:rPr>
          <w:color w:val="000000" w:themeColor="text1"/>
          <w:szCs w:val="24"/>
          <w:lang w:val="sq-AL"/>
        </w:rPr>
        <w:t xml:space="preserve">9901/2008 </w:t>
      </w:r>
      <w:r w:rsidRPr="00990D4F">
        <w:rPr>
          <w:color w:val="000000" w:themeColor="text1"/>
          <w:szCs w:val="24"/>
          <w:lang w:val="sq-AL"/>
        </w:rPr>
        <w:t>me acquis-in e BE-së është i rëndësishëm, veçanërisht në krijimin e një mjedisi biznesi më të parashikueshëm dhe transparent. Një kuadër ligjor që është plotësisht në përputhje me rregulloret e BE-së do të ofrojë rregulla të qarta dhe të standardizuara për operacionet e biznesit, duke përmirësuar besimin e investitorëve, duke lehtësuar qasjen në financim dhe duke stimuluar rritjen ekonomike.</w:t>
      </w:r>
    </w:p>
    <w:p w14:paraId="49AC19FC" w14:textId="77777777"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p>
    <w:p w14:paraId="6A6DAC3D" w14:textId="5D805F70"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r w:rsidRPr="00990D4F">
        <w:rPr>
          <w:b/>
          <w:bCs/>
          <w:color w:val="000000" w:themeColor="text1"/>
          <w:szCs w:val="24"/>
          <w:lang w:val="sq-AL"/>
        </w:rPr>
        <w:t xml:space="preserve">Rritja e Investimeve të Huaja </w:t>
      </w:r>
      <w:r w:rsidR="006221F5">
        <w:rPr>
          <w:b/>
          <w:bCs/>
          <w:color w:val="000000" w:themeColor="text1"/>
          <w:szCs w:val="24"/>
          <w:lang w:val="sq-AL"/>
        </w:rPr>
        <w:t>të Drejtpërdrejta</w:t>
      </w:r>
      <w:r w:rsidRPr="00990D4F">
        <w:rPr>
          <w:b/>
          <w:bCs/>
          <w:color w:val="000000" w:themeColor="text1"/>
          <w:szCs w:val="24"/>
          <w:lang w:val="sq-AL"/>
        </w:rPr>
        <w:t xml:space="preserve"> (FDI)</w:t>
      </w:r>
      <w:r w:rsidRPr="00990D4F">
        <w:rPr>
          <w:color w:val="000000" w:themeColor="text1"/>
          <w:szCs w:val="24"/>
          <w:lang w:val="sq-AL"/>
        </w:rPr>
        <w:t xml:space="preserve">: Harmonizimi me </w:t>
      </w:r>
      <w:r w:rsidR="00AC3123">
        <w:rPr>
          <w:color w:val="000000" w:themeColor="text1"/>
          <w:szCs w:val="24"/>
          <w:lang w:val="sq-AL"/>
        </w:rPr>
        <w:t>Direktivën</w:t>
      </w:r>
      <w:r w:rsidRPr="00990D4F">
        <w:rPr>
          <w:color w:val="000000" w:themeColor="text1"/>
          <w:szCs w:val="24"/>
          <w:lang w:val="sq-AL"/>
        </w:rPr>
        <w:t xml:space="preserve"> do të rrisë tërheqjen e Shqipërisë si destinacion investimi. Krijimi i një mjedisi ligjor më të parashikueshëm dhe transparent do të tërheqë më shumë FDI, veçanërisht në sektorë si teknologjia, prodhimi dhe shërbimet, ku investitorët ndërkombëtarë kërkojnë qartësi për të drejtat e aksionarëve, qeverisjen korporative dhe mundësinë për të realizuar transaksione ndërkufitare.</w:t>
      </w:r>
    </w:p>
    <w:p w14:paraId="0C759C3F" w14:textId="77777777"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p>
    <w:p w14:paraId="16F7C893" w14:textId="6912DFAC"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r w:rsidRPr="00990D4F">
        <w:rPr>
          <w:b/>
          <w:bCs/>
          <w:color w:val="000000" w:themeColor="text1"/>
          <w:szCs w:val="24"/>
          <w:lang w:val="sq-AL"/>
        </w:rPr>
        <w:t>Përmirësimi i qasjes në tregjet e BE-së</w:t>
      </w:r>
      <w:r w:rsidRPr="00990D4F">
        <w:rPr>
          <w:color w:val="000000" w:themeColor="text1"/>
          <w:szCs w:val="24"/>
          <w:lang w:val="sq-AL"/>
        </w:rPr>
        <w:t xml:space="preserve">: Integrimi i Shqipërisë në tregun e brendshëm të BE-së do të forcohet përmes harmonizimit të </w:t>
      </w:r>
      <w:r w:rsidR="00C671CA">
        <w:rPr>
          <w:color w:val="000000" w:themeColor="text1"/>
          <w:szCs w:val="24"/>
          <w:lang w:val="sq-AL"/>
        </w:rPr>
        <w:t>ligjit 9901/2008</w:t>
      </w:r>
      <w:r w:rsidRPr="00990D4F">
        <w:rPr>
          <w:color w:val="000000" w:themeColor="text1"/>
          <w:szCs w:val="24"/>
          <w:lang w:val="sq-AL"/>
        </w:rPr>
        <w:t xml:space="preserve"> me rregulloret e BE-së, duke lejuar që bizneset shqiptare </w:t>
      </w:r>
      <w:r w:rsidRPr="00990D4F">
        <w:rPr>
          <w:color w:val="000000" w:themeColor="text1"/>
          <w:szCs w:val="24"/>
          <w:lang w:val="sq-AL"/>
        </w:rPr>
        <w:lastRenderedPageBreak/>
        <w:t xml:space="preserve">të operojnë </w:t>
      </w:r>
      <w:r w:rsidR="005D4BD9">
        <w:rPr>
          <w:color w:val="000000" w:themeColor="text1"/>
          <w:szCs w:val="24"/>
          <w:lang w:val="sq-AL"/>
        </w:rPr>
        <w:t>në disa juridiksione</w:t>
      </w:r>
      <w:r w:rsidR="005D4BD9" w:rsidRPr="00990D4F">
        <w:rPr>
          <w:color w:val="000000" w:themeColor="text1"/>
          <w:szCs w:val="24"/>
          <w:lang w:val="sq-AL"/>
        </w:rPr>
        <w:t xml:space="preserve"> </w:t>
      </w:r>
      <w:r w:rsidRPr="00990D4F">
        <w:rPr>
          <w:color w:val="000000" w:themeColor="text1"/>
          <w:szCs w:val="24"/>
          <w:lang w:val="sq-AL"/>
        </w:rPr>
        <w:t>me më pak pengesa ligjore. Kjo do të përmirësojë konkurrencën dhe do të lehtësojë qasjen në tregje më të mëdha.</w:t>
      </w:r>
    </w:p>
    <w:p w14:paraId="3AD65EE8" w14:textId="77777777"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p>
    <w:p w14:paraId="4D03CA44" w14:textId="07FC0CA8"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r w:rsidRPr="00990D4F">
        <w:rPr>
          <w:b/>
          <w:bCs/>
          <w:color w:val="000000" w:themeColor="text1"/>
          <w:szCs w:val="24"/>
          <w:lang w:val="sq-AL"/>
        </w:rPr>
        <w:t xml:space="preserve">Përmirësimi i </w:t>
      </w:r>
      <w:r>
        <w:rPr>
          <w:b/>
          <w:bCs/>
          <w:color w:val="000000" w:themeColor="text1"/>
          <w:szCs w:val="24"/>
          <w:lang w:val="sq-AL"/>
        </w:rPr>
        <w:t>klimës së</w:t>
      </w:r>
      <w:r w:rsidRPr="00990D4F">
        <w:rPr>
          <w:b/>
          <w:bCs/>
          <w:color w:val="000000" w:themeColor="text1"/>
          <w:szCs w:val="24"/>
          <w:lang w:val="sq-AL"/>
        </w:rPr>
        <w:t xml:space="preserve"> biznesit</w:t>
      </w:r>
      <w:r w:rsidRPr="00990D4F">
        <w:rPr>
          <w:color w:val="000000" w:themeColor="text1"/>
          <w:szCs w:val="24"/>
          <w:lang w:val="sq-AL"/>
        </w:rPr>
        <w:t>: Zbatimi i një kuadri ligjor të harmonizuar do të përmirësojë lehtësinë e zhvillimit të biznesit në Shqipëri duke thjeshtuar procedurat korporative, si regjistrimi, raportimi dhe qeverisja. Thjeshtësimi i këtyre proceseve do të inkurajojë sipërmarrësit dhe inovacionin, duke kontribuar në diversifikimin ekonomik dhe kriji</w:t>
      </w:r>
      <w:r>
        <w:rPr>
          <w:color w:val="000000" w:themeColor="text1"/>
          <w:szCs w:val="24"/>
          <w:lang w:val="sq-AL"/>
        </w:rPr>
        <w:t>m</w:t>
      </w:r>
      <w:r w:rsidRPr="00990D4F">
        <w:rPr>
          <w:color w:val="000000" w:themeColor="text1"/>
          <w:szCs w:val="24"/>
          <w:lang w:val="sq-AL"/>
        </w:rPr>
        <w:t xml:space="preserve">in e vendeve të punës. </w:t>
      </w:r>
    </w:p>
    <w:p w14:paraId="25736055" w14:textId="77777777"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p>
    <w:p w14:paraId="5643573F" w14:textId="0843600E"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r w:rsidRPr="00990D4F">
        <w:rPr>
          <w:b/>
          <w:bCs/>
          <w:color w:val="000000" w:themeColor="text1"/>
          <w:szCs w:val="24"/>
          <w:lang w:val="sq-AL"/>
        </w:rPr>
        <w:t>Kostot e mundshme ekonomike</w:t>
      </w:r>
      <w:r>
        <w:rPr>
          <w:b/>
          <w:bCs/>
          <w:color w:val="000000" w:themeColor="text1"/>
          <w:szCs w:val="24"/>
          <w:lang w:val="sq-AL"/>
        </w:rPr>
        <w:t>:</w:t>
      </w:r>
      <w:r>
        <w:rPr>
          <w:color w:val="000000" w:themeColor="text1"/>
          <w:szCs w:val="24"/>
          <w:lang w:val="sq-AL"/>
        </w:rPr>
        <w:t xml:space="preserve"> </w:t>
      </w:r>
      <w:r w:rsidRPr="00990D4F">
        <w:rPr>
          <w:color w:val="000000" w:themeColor="text1"/>
          <w:szCs w:val="24"/>
          <w:lang w:val="sq-AL"/>
        </w:rPr>
        <w:t xml:space="preserve">Kostot e menjëhershme që lidhen me harmonizimin përfshijnë kostot e </w:t>
      </w:r>
      <w:r w:rsidR="00353D1D">
        <w:rPr>
          <w:color w:val="000000" w:themeColor="text1"/>
          <w:szCs w:val="24"/>
          <w:lang w:val="sq-AL"/>
        </w:rPr>
        <w:t>rishikimit t</w:t>
      </w:r>
      <w:r w:rsidR="005F23C8">
        <w:rPr>
          <w:color w:val="000000" w:themeColor="text1"/>
          <w:szCs w:val="24"/>
          <w:lang w:val="sq-AL"/>
        </w:rPr>
        <w:t>ë</w:t>
      </w:r>
      <w:r w:rsidR="00353D1D">
        <w:rPr>
          <w:color w:val="000000" w:themeColor="text1"/>
          <w:szCs w:val="24"/>
          <w:lang w:val="sq-AL"/>
        </w:rPr>
        <w:t xml:space="preserve"> ligjit</w:t>
      </w:r>
      <w:r w:rsidRPr="00990D4F">
        <w:rPr>
          <w:color w:val="000000" w:themeColor="text1"/>
          <w:szCs w:val="24"/>
          <w:lang w:val="sq-AL"/>
        </w:rPr>
        <w:t>, përditësimin e proceseve institucionale, trajnimin e profesionistëve dhe implementimin e sistemeve të reja për monitorimin e përputhshmërisë. Mund të ketë disa përshtatje afatshkurtra pasi bizneset me rregullat dhe kërkesat e reja të përputhshmërisë, veçanërisht për ndërmarrjet e vogla dhe të mesme (SME). Megjithatë, këto  janë të përkohshme dhe përfitimet afatgjata do të tejkalojnë kostot e përshtatjes.</w:t>
      </w:r>
    </w:p>
    <w:p w14:paraId="7076F8D4" w14:textId="77777777"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p>
    <w:p w14:paraId="1F34E144" w14:textId="77777777"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u w:val="single"/>
          <w:lang w:val="sq-AL"/>
        </w:rPr>
      </w:pPr>
      <w:r w:rsidRPr="00990D4F">
        <w:rPr>
          <w:color w:val="000000" w:themeColor="text1"/>
          <w:szCs w:val="24"/>
          <w:u w:val="single"/>
          <w:lang w:val="sq-AL"/>
        </w:rPr>
        <w:t>Ndikimi social</w:t>
      </w:r>
    </w:p>
    <w:p w14:paraId="4AB2B81B" w14:textId="77777777"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p>
    <w:p w14:paraId="454DCBCF" w14:textId="0D4F9D21"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r w:rsidRPr="00990D4F">
        <w:rPr>
          <w:color w:val="000000" w:themeColor="text1"/>
          <w:szCs w:val="24"/>
          <w:lang w:val="sq-AL"/>
        </w:rPr>
        <w:t xml:space="preserve">Ndikimi social i harmonizimit të </w:t>
      </w:r>
      <w:r w:rsidR="00C671CA">
        <w:rPr>
          <w:color w:val="000000" w:themeColor="text1"/>
          <w:szCs w:val="24"/>
          <w:lang w:val="sq-AL"/>
        </w:rPr>
        <w:t>ligjit 9901/2008</w:t>
      </w:r>
      <w:r w:rsidR="003509F1">
        <w:rPr>
          <w:color w:val="000000" w:themeColor="text1"/>
          <w:szCs w:val="24"/>
          <w:lang w:val="sq-AL"/>
        </w:rPr>
        <w:t>9901/2008</w:t>
      </w:r>
      <w:r w:rsidRPr="00990D4F">
        <w:rPr>
          <w:color w:val="000000" w:themeColor="text1"/>
          <w:szCs w:val="24"/>
          <w:lang w:val="sq-AL"/>
        </w:rPr>
        <w:t xml:space="preserve"> me acquis-in e BE-së është gjithashtu i rëndësishëm. </w:t>
      </w:r>
      <w:r w:rsidR="007F47BE" w:rsidRPr="00C631BF">
        <w:rPr>
          <w:lang w:val="sq-AL"/>
        </w:rPr>
        <w:t xml:space="preserve"> </w:t>
      </w:r>
      <w:r w:rsidR="007F47BE" w:rsidRPr="007F47BE">
        <w:rPr>
          <w:color w:val="000000" w:themeColor="text1"/>
          <w:szCs w:val="24"/>
          <w:lang w:val="sq-AL"/>
        </w:rPr>
        <w:t>Harmonizimi me rregulloret e BE-së jo vetëm që përmirëson mjedisin ligjor për bizneset, por do t’i hapë rrugë në të ardhmen, për shembull, transpozimit të Direktivës 2022/2381, e cila synon balancën gjinore me të paktën 40% përfaqësim të grave në bordet e drejtorëve të shoqërive të listuara, duke promovuar kështu barazinë gjinore në sektorin korporativ të Shqipërisë. Kjo përbën një mundësi konkrete për të adresuar pabarazitë strukturore ndaj grave dhe grupeve vulnerabël, të cilat aktualisht mbeten të përjashtuara nga vendimmarrja ekonomike. Përfshirja e masave të posaçme për këto grupe në reformimin ligjor do të kishte ndikim afatgjatë në fuqizimin e tyre real dhe gjithëpërfshirjen sociale.</w:t>
      </w:r>
    </w:p>
    <w:p w14:paraId="5490A288" w14:textId="77777777" w:rsidR="00D31EA6" w:rsidRPr="00990D4F" w:rsidRDefault="00D31EA6" w:rsidP="00D31EA6">
      <w:pPr>
        <w:pBdr>
          <w:top w:val="nil"/>
          <w:left w:val="nil"/>
          <w:bottom w:val="nil"/>
          <w:right w:val="nil"/>
          <w:between w:val="nil"/>
          <w:bar w:val="nil"/>
        </w:pBdr>
        <w:spacing w:line="276" w:lineRule="auto"/>
        <w:ind w:right="20"/>
        <w:jc w:val="both"/>
        <w:rPr>
          <w:b/>
          <w:bCs/>
          <w:color w:val="000000" w:themeColor="text1"/>
          <w:szCs w:val="24"/>
          <w:lang w:val="sq-AL"/>
        </w:rPr>
      </w:pPr>
    </w:p>
    <w:p w14:paraId="4BB82F8B" w14:textId="77777777" w:rsidR="00D31EA6" w:rsidRPr="00990D4F"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r w:rsidRPr="00990D4F">
        <w:rPr>
          <w:color w:val="000000" w:themeColor="text1"/>
          <w:szCs w:val="24"/>
          <w:lang w:val="sq-AL"/>
        </w:rPr>
        <w:t>Po ashtu,</w:t>
      </w:r>
      <w:r w:rsidRPr="00990D4F">
        <w:rPr>
          <w:b/>
          <w:bCs/>
          <w:color w:val="000000" w:themeColor="text1"/>
          <w:szCs w:val="24"/>
          <w:lang w:val="sq-AL"/>
        </w:rPr>
        <w:t xml:space="preserve"> </w:t>
      </w:r>
      <w:r w:rsidRPr="00990D4F">
        <w:rPr>
          <w:color w:val="000000" w:themeColor="text1"/>
          <w:szCs w:val="24"/>
          <w:lang w:val="sq-AL"/>
        </w:rPr>
        <w:t>forcimi i të drejtave të aksionarëve, veçanërisht për aksionarët e pakicës, është në përputhje me objektivat më të gjerë të BE-së për të promovuar transparencën dhe përgjegjësinë më të madhe në praktikat e biznesit.</w:t>
      </w:r>
    </w:p>
    <w:p w14:paraId="1DEDD501" w14:textId="77777777" w:rsidR="00D31EA6" w:rsidRPr="00990D4F" w:rsidRDefault="00D31EA6" w:rsidP="00D31EA6">
      <w:pPr>
        <w:pBdr>
          <w:top w:val="nil"/>
          <w:left w:val="nil"/>
          <w:bottom w:val="nil"/>
          <w:right w:val="nil"/>
          <w:between w:val="nil"/>
          <w:bar w:val="nil"/>
        </w:pBdr>
        <w:spacing w:line="276" w:lineRule="auto"/>
        <w:ind w:right="20"/>
        <w:jc w:val="both"/>
        <w:rPr>
          <w:b/>
          <w:bCs/>
          <w:color w:val="000000" w:themeColor="text1"/>
          <w:szCs w:val="24"/>
          <w:lang w:val="sq-AL"/>
        </w:rPr>
      </w:pPr>
    </w:p>
    <w:p w14:paraId="48114AB9" w14:textId="4547730F" w:rsidR="00D31EA6" w:rsidRPr="00F74152"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r w:rsidRPr="00F74152">
        <w:rPr>
          <w:color w:val="000000" w:themeColor="text1"/>
          <w:szCs w:val="24"/>
          <w:lang w:val="sq-AL"/>
        </w:rPr>
        <w:t>Kalimi në një kuadër ligjor më të harmonizuar me BE-në mund të kërkojë nga disa biznese që të ristrukturohen. Megjithatë, këto kosto priten të tejkalohen nga përfitimet afatgjata. Ndërmarrjet e vogla dhe të mesme në Shqipëri mund të përballen me sfida në përshtatjen me kuadrin ligjor të ri. Këto biznese mund të kenë nevojë për mbështetje dhe trajnime shtesë për të siguruar përputhshmërinë me rregullat e reja. Kjo mund të zbutet përmes ndihmës teknike dhe programeve trajnimi nga qeveria dhe partnerët ndërkombëtarë.</w:t>
      </w:r>
      <w:r w:rsidR="002849FB" w:rsidRPr="002849FB">
        <w:rPr>
          <w:lang w:val="sq-AL"/>
        </w:rPr>
        <w:t xml:space="preserve"> </w:t>
      </w:r>
    </w:p>
    <w:p w14:paraId="5A6C805C" w14:textId="77777777" w:rsidR="00D31EA6" w:rsidRPr="00F74152" w:rsidRDefault="00D31EA6" w:rsidP="00D31EA6">
      <w:pPr>
        <w:pBdr>
          <w:top w:val="nil"/>
          <w:left w:val="nil"/>
          <w:bottom w:val="nil"/>
          <w:right w:val="nil"/>
          <w:between w:val="nil"/>
          <w:bar w:val="nil"/>
        </w:pBdr>
        <w:spacing w:line="276" w:lineRule="auto"/>
        <w:ind w:right="20"/>
        <w:jc w:val="both"/>
        <w:rPr>
          <w:b/>
          <w:bCs/>
          <w:color w:val="000000" w:themeColor="text1"/>
          <w:szCs w:val="24"/>
          <w:lang w:val="sq-AL"/>
        </w:rPr>
      </w:pPr>
    </w:p>
    <w:p w14:paraId="0F852B82" w14:textId="77777777" w:rsidR="00D31EA6" w:rsidRPr="00F74152" w:rsidRDefault="00D31EA6" w:rsidP="00D31EA6">
      <w:pPr>
        <w:pBdr>
          <w:top w:val="nil"/>
          <w:left w:val="nil"/>
          <w:bottom w:val="nil"/>
          <w:right w:val="nil"/>
          <w:between w:val="nil"/>
          <w:bar w:val="nil"/>
        </w:pBdr>
        <w:spacing w:line="276" w:lineRule="auto"/>
        <w:ind w:right="20"/>
        <w:jc w:val="both"/>
        <w:rPr>
          <w:color w:val="000000" w:themeColor="text1"/>
          <w:szCs w:val="24"/>
          <w:u w:val="single"/>
          <w:lang w:val="sq-AL"/>
        </w:rPr>
      </w:pPr>
      <w:r w:rsidRPr="00F74152">
        <w:rPr>
          <w:color w:val="000000" w:themeColor="text1"/>
          <w:szCs w:val="24"/>
          <w:u w:val="single"/>
          <w:lang w:val="sq-AL"/>
        </w:rPr>
        <w:t>Ndikimi institucional</w:t>
      </w:r>
    </w:p>
    <w:p w14:paraId="02E2C4CA" w14:textId="77777777" w:rsidR="00D31EA6" w:rsidRPr="00F74152"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p>
    <w:p w14:paraId="50A43374" w14:textId="49C40332" w:rsidR="00D31EA6" w:rsidRPr="00F74152" w:rsidRDefault="00D31EA6" w:rsidP="00D31EA6">
      <w:pPr>
        <w:pBdr>
          <w:top w:val="nil"/>
          <w:left w:val="nil"/>
          <w:bottom w:val="nil"/>
          <w:right w:val="nil"/>
          <w:between w:val="nil"/>
          <w:bar w:val="nil"/>
        </w:pBdr>
        <w:spacing w:line="276" w:lineRule="auto"/>
        <w:ind w:right="20"/>
        <w:jc w:val="both"/>
        <w:rPr>
          <w:color w:val="000000" w:themeColor="text1"/>
          <w:szCs w:val="24"/>
          <w:lang w:val="sq-AL"/>
        </w:rPr>
      </w:pPr>
      <w:r w:rsidRPr="00F74152">
        <w:rPr>
          <w:color w:val="000000" w:themeColor="text1"/>
          <w:szCs w:val="24"/>
          <w:lang w:val="sq-AL"/>
        </w:rPr>
        <w:t xml:space="preserve">Procesi i harmonizimit të </w:t>
      </w:r>
      <w:r w:rsidR="00C671CA">
        <w:rPr>
          <w:color w:val="000000" w:themeColor="text1"/>
          <w:szCs w:val="24"/>
          <w:lang w:val="sq-AL"/>
        </w:rPr>
        <w:t>ligjit 9901/2008</w:t>
      </w:r>
      <w:r w:rsidRPr="00F74152">
        <w:rPr>
          <w:color w:val="000000" w:themeColor="text1"/>
          <w:szCs w:val="24"/>
          <w:lang w:val="sq-AL"/>
        </w:rPr>
        <w:t xml:space="preserve"> të Shqipërisë me rregulloret e BE-së do të çojë në një forcim të konsiderueshëm të institucioneve ligjore dhe rregullatore të vendit. QKB, </w:t>
      </w:r>
      <w:r w:rsidR="003A44E3">
        <w:rPr>
          <w:color w:val="000000" w:themeColor="text1"/>
          <w:szCs w:val="24"/>
          <w:lang w:val="sq-AL"/>
        </w:rPr>
        <w:t>ME</w:t>
      </w:r>
      <w:r w:rsidR="00034A05">
        <w:rPr>
          <w:color w:val="000000" w:themeColor="text1"/>
          <w:szCs w:val="24"/>
          <w:lang w:val="sq-AL"/>
        </w:rPr>
        <w:t>I</w:t>
      </w:r>
      <w:r w:rsidR="009463EC">
        <w:rPr>
          <w:color w:val="000000" w:themeColor="text1"/>
          <w:szCs w:val="24"/>
          <w:lang w:val="sq-AL"/>
        </w:rPr>
        <w:t>, Autoriteti i Konkurrencës</w:t>
      </w:r>
      <w:r w:rsidRPr="00F74152">
        <w:rPr>
          <w:color w:val="000000" w:themeColor="text1"/>
          <w:szCs w:val="24"/>
          <w:lang w:val="sq-AL"/>
        </w:rPr>
        <w:t xml:space="preserve"> dhe</w:t>
      </w:r>
      <w:r w:rsidR="00A35515">
        <w:rPr>
          <w:color w:val="000000" w:themeColor="text1"/>
          <w:szCs w:val="24"/>
          <w:lang w:val="sq-AL"/>
        </w:rPr>
        <w:t xml:space="preserve"> t</w:t>
      </w:r>
      <w:r w:rsidR="00B60542">
        <w:rPr>
          <w:color w:val="000000" w:themeColor="text1"/>
          <w:szCs w:val="24"/>
          <w:lang w:val="sq-AL"/>
        </w:rPr>
        <w:t xml:space="preserve"> AMF</w:t>
      </w:r>
      <w:r w:rsidR="00034A05">
        <w:rPr>
          <w:color w:val="000000" w:themeColor="text1"/>
          <w:szCs w:val="24"/>
          <w:lang w:val="sq-AL"/>
        </w:rPr>
        <w:t xml:space="preserve"> </w:t>
      </w:r>
      <w:r w:rsidR="0050152C">
        <w:rPr>
          <w:color w:val="000000" w:themeColor="text1"/>
          <w:szCs w:val="24"/>
          <w:lang w:val="sq-AL"/>
        </w:rPr>
        <w:t>,</w:t>
      </w:r>
      <w:r w:rsidRPr="00F74152">
        <w:rPr>
          <w:color w:val="000000" w:themeColor="text1"/>
          <w:szCs w:val="24"/>
          <w:lang w:val="sq-AL"/>
        </w:rPr>
        <w:t xml:space="preserve">do të kërkojnë përpjekje ndihmëse për ndërtimin e kapaciteteve, gjë që do të përmirësojë aftësinë e tyre për të monitoruar përputhshmërinë me rregulloret e BE-së, për të zbatuar standardet e qeverisjes korporative dhe për të menaxhuar operacionet ndërkufitare. Me përputhshmëri të plotë me </w:t>
      </w:r>
      <w:r w:rsidR="00C671CA">
        <w:rPr>
          <w:color w:val="000000" w:themeColor="text1"/>
          <w:szCs w:val="24"/>
          <w:lang w:val="sq-AL"/>
        </w:rPr>
        <w:t>ligjin 9901/2008</w:t>
      </w:r>
      <w:r w:rsidRPr="00F74152">
        <w:rPr>
          <w:color w:val="000000" w:themeColor="text1"/>
          <w:szCs w:val="24"/>
          <w:lang w:val="sq-AL"/>
        </w:rPr>
        <w:t xml:space="preserve"> të BE-së, kuadri ligjor i Shqipërisë do të bëhet më të parashikueshëm, transparent dhe në përputhje me praktikat më të mira ndërkombëtare. Kjo do të sigurojë më shumë siguri ligjore për bizneset dhe sipërmarrësit, duke krijuar një mjedis biznesi më të qëndrueshëm dhe efikas. Ndërsa reforma institucionale zhvillohet, aftësia e Shqipërisë për të koordinuar përpjekjet ndërmjet institucioneve të </w:t>
      </w:r>
      <w:r w:rsidRPr="00F74152">
        <w:rPr>
          <w:color w:val="000000" w:themeColor="text1"/>
          <w:szCs w:val="24"/>
          <w:lang w:val="sq-AL"/>
        </w:rPr>
        <w:lastRenderedPageBreak/>
        <w:t xml:space="preserve">ndryshme rregullatore do të përmirësohet. Kjo do të çojë në një zbatim më efikas të rregullave të </w:t>
      </w:r>
      <w:r w:rsidR="00C671CA">
        <w:rPr>
          <w:color w:val="000000" w:themeColor="text1"/>
          <w:szCs w:val="24"/>
          <w:lang w:val="sq-AL"/>
        </w:rPr>
        <w:t>ligjit 9901/2008</w:t>
      </w:r>
      <w:r w:rsidRPr="00F74152">
        <w:rPr>
          <w:color w:val="000000" w:themeColor="text1"/>
          <w:szCs w:val="24"/>
          <w:lang w:val="sq-AL"/>
        </w:rPr>
        <w:t xml:space="preserve">, duke reduktuar pasiguritë burokratike dhe duke thjeshtësuar proceset rregullatore. Duke qenë se shumë institucione janë të përfshira në zbatimin dhe mbikëqyrjen e reformave të </w:t>
      </w:r>
      <w:r w:rsidR="00C671CA">
        <w:rPr>
          <w:color w:val="000000" w:themeColor="text1"/>
          <w:szCs w:val="24"/>
          <w:lang w:val="sq-AL"/>
        </w:rPr>
        <w:t>ligjit 9901/2008</w:t>
      </w:r>
      <w:r w:rsidRPr="00F74152">
        <w:rPr>
          <w:color w:val="000000" w:themeColor="text1"/>
          <w:szCs w:val="24"/>
          <w:lang w:val="sq-AL"/>
        </w:rPr>
        <w:t>, siguria e koordinimit të qartë dhe ndarjes së përgjegjësive është e rëndësishme. Nëse institucionet nuk janë plotësisht të pajisura për të menaxhuar ngarkesën e shtuar, mund të lindin paqartësi dhe vonesa. Megjithatë, këto sfida do të zvogëlohen ndërsa Shqipëria ndihmohet të zhvillojë kapacitetin dhe të rafinojë kuadrin e saj institucional.</w:t>
      </w:r>
    </w:p>
    <w:p w14:paraId="0F2F4249" w14:textId="77777777" w:rsidR="00823E38" w:rsidRDefault="00823E38" w:rsidP="00323394">
      <w:pPr>
        <w:pBdr>
          <w:top w:val="nil"/>
          <w:left w:val="nil"/>
          <w:bottom w:val="nil"/>
          <w:right w:val="nil"/>
          <w:between w:val="nil"/>
          <w:bar w:val="nil"/>
        </w:pBdr>
        <w:spacing w:line="276" w:lineRule="auto"/>
        <w:ind w:right="20"/>
        <w:jc w:val="both"/>
        <w:rPr>
          <w:color w:val="000000" w:themeColor="text1"/>
          <w:szCs w:val="24"/>
          <w:lang w:val="sq-AL"/>
        </w:rPr>
      </w:pPr>
    </w:p>
    <w:p w14:paraId="1665DFE0" w14:textId="77777777"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r w:rsidRPr="00823E38">
        <w:rPr>
          <w:color w:val="000000" w:themeColor="text1"/>
          <w:szCs w:val="24"/>
          <w:lang w:val="sq-AL"/>
        </w:rPr>
        <w:t>a. Përshkrimi cilësor i ndikimeve të drejtpërdrejta mbi grupet e prekura:</w:t>
      </w:r>
    </w:p>
    <w:p w14:paraId="5D4A5A95" w14:textId="77777777"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p>
    <w:p w14:paraId="0881E78A" w14:textId="49B5DCFA"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r w:rsidRPr="00823E38">
        <w:rPr>
          <w:color w:val="000000" w:themeColor="text1"/>
          <w:szCs w:val="24"/>
          <w:lang w:val="sq-AL"/>
        </w:rPr>
        <w:t xml:space="preserve">Për bizneset, përditësimi </w:t>
      </w:r>
      <w:r w:rsidR="00812694">
        <w:rPr>
          <w:color w:val="000000" w:themeColor="text1"/>
          <w:szCs w:val="24"/>
          <w:lang w:val="sq-AL"/>
        </w:rPr>
        <w:t>i</w:t>
      </w:r>
      <w:r w:rsidRPr="00823E38">
        <w:rPr>
          <w:color w:val="000000" w:themeColor="text1"/>
          <w:szCs w:val="24"/>
          <w:lang w:val="sq-AL"/>
        </w:rPr>
        <w:t xml:space="preserve"> rregullave të qeverisjes </w:t>
      </w:r>
      <w:r w:rsidR="00812694">
        <w:rPr>
          <w:color w:val="000000" w:themeColor="text1"/>
          <w:szCs w:val="24"/>
          <w:lang w:val="sq-AL"/>
        </w:rPr>
        <w:t xml:space="preserve">korporatave </w:t>
      </w:r>
      <w:r w:rsidRPr="00823E38">
        <w:rPr>
          <w:color w:val="000000" w:themeColor="text1"/>
          <w:szCs w:val="24"/>
          <w:lang w:val="sq-AL"/>
        </w:rPr>
        <w:t xml:space="preserve">do të krijojë mundësi për një mjedis më të qëndrueshëm dhe më të parashikueshëm, duke rritur besueshmërinë dhe </w:t>
      </w:r>
      <w:r w:rsidR="005F23C8">
        <w:rPr>
          <w:color w:val="000000" w:themeColor="text1"/>
          <w:szCs w:val="24"/>
          <w:lang w:val="sq-AL"/>
        </w:rPr>
        <w:t>tërheqjen</w:t>
      </w:r>
      <w:r w:rsidRPr="00823E38">
        <w:rPr>
          <w:color w:val="000000" w:themeColor="text1"/>
          <w:szCs w:val="24"/>
          <w:lang w:val="sq-AL"/>
        </w:rPr>
        <w:t xml:space="preserve"> për investitorët, sidomos ata ndërkombëtarë. Përshtatja e kërkesave ligjore për </w:t>
      </w:r>
      <w:r w:rsidR="0050152C">
        <w:rPr>
          <w:color w:val="000000" w:themeColor="text1"/>
          <w:szCs w:val="24"/>
          <w:lang w:val="sq-AL"/>
        </w:rPr>
        <w:t>publikimin e informacionit</w:t>
      </w:r>
      <w:r w:rsidRPr="00823E38">
        <w:rPr>
          <w:color w:val="000000" w:themeColor="text1"/>
          <w:szCs w:val="24"/>
          <w:lang w:val="sq-AL"/>
        </w:rPr>
        <w:t xml:space="preserve">, </w:t>
      </w:r>
      <w:r w:rsidR="009B5928">
        <w:rPr>
          <w:color w:val="000000" w:themeColor="text1"/>
          <w:szCs w:val="24"/>
          <w:lang w:val="sq-AL"/>
        </w:rPr>
        <w:t>p</w:t>
      </w:r>
      <w:r w:rsidR="00307DD4">
        <w:rPr>
          <w:color w:val="000000" w:themeColor="text1"/>
          <w:szCs w:val="24"/>
          <w:lang w:val="sq-AL"/>
        </w:rPr>
        <w:t>ë</w:t>
      </w:r>
      <w:r w:rsidR="009B5928">
        <w:rPr>
          <w:color w:val="000000" w:themeColor="text1"/>
          <w:szCs w:val="24"/>
          <w:lang w:val="sq-AL"/>
        </w:rPr>
        <w:t>rjashtimin e administrator</w:t>
      </w:r>
      <w:r w:rsidR="00307DD4">
        <w:rPr>
          <w:color w:val="000000" w:themeColor="text1"/>
          <w:szCs w:val="24"/>
          <w:lang w:val="sq-AL"/>
        </w:rPr>
        <w:t>ë</w:t>
      </w:r>
      <w:r w:rsidR="009B5928">
        <w:rPr>
          <w:color w:val="000000" w:themeColor="text1"/>
          <w:szCs w:val="24"/>
          <w:lang w:val="sq-AL"/>
        </w:rPr>
        <w:t xml:space="preserve">ve, </w:t>
      </w:r>
      <w:r w:rsidRPr="00823E38">
        <w:rPr>
          <w:color w:val="000000" w:themeColor="text1"/>
          <w:szCs w:val="24"/>
          <w:lang w:val="sq-AL"/>
        </w:rPr>
        <w:t>angazhimin afatgjatë të aksionarëve dhe mbrojtjen e interesave të aksionarëve të vegjël do të kontribuoni në një mjedis më të sigurt dhe më transparent për bizneset, duke rritur ndihmën për zhvillimin ekonomik dhe rritjen e konkurrencës.</w:t>
      </w:r>
    </w:p>
    <w:p w14:paraId="7A9C51B3" w14:textId="77777777"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p>
    <w:p w14:paraId="7E340012" w14:textId="77777777"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p>
    <w:p w14:paraId="2BF3A82E" w14:textId="77777777"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r w:rsidRPr="00823E38">
        <w:rPr>
          <w:color w:val="000000" w:themeColor="text1"/>
          <w:szCs w:val="24"/>
          <w:lang w:val="sq-AL"/>
        </w:rPr>
        <w:t>b. Analiza nga ana sasiore e ndikimeve të drejtpërdrejta:</w:t>
      </w:r>
    </w:p>
    <w:p w14:paraId="3D87A715" w14:textId="77777777"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p>
    <w:p w14:paraId="18219737" w14:textId="3C51648D"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r w:rsidRPr="00823E38">
        <w:rPr>
          <w:color w:val="000000" w:themeColor="text1"/>
          <w:szCs w:val="24"/>
          <w:lang w:val="sq-AL"/>
        </w:rPr>
        <w:t xml:space="preserve">Përfitimet ekonomike që lidhen me rritjen e investimeve të huaja mund të jenë të konsiderueshme. Shqipëria mund të tërheqë investime të huaja </w:t>
      </w:r>
      <w:r w:rsidR="0067070B">
        <w:rPr>
          <w:color w:val="000000" w:themeColor="text1"/>
          <w:szCs w:val="24"/>
          <w:lang w:val="sq-AL"/>
        </w:rPr>
        <w:t>të drejtpërdrejta</w:t>
      </w:r>
      <w:r w:rsidRPr="00823E38">
        <w:rPr>
          <w:color w:val="000000" w:themeColor="text1"/>
          <w:szCs w:val="24"/>
          <w:lang w:val="sq-AL"/>
        </w:rPr>
        <w:t xml:space="preserve">, të cilat mund të shkurtojnë periudhën e rikuperimit për disa vite dhe të kontribuojnë në rritjen e mundësive të punësimit dhe zhvillimin e sektorëve të ndryshëm ekonomikë. Sipas statistikave të INSTAT për vitin 2023, janë regjistruar rreth 150,000 </w:t>
      </w:r>
      <w:r w:rsidR="00787159">
        <w:rPr>
          <w:color w:val="000000" w:themeColor="text1"/>
          <w:szCs w:val="24"/>
          <w:lang w:val="sq-AL"/>
        </w:rPr>
        <w:t>shoqër</w:t>
      </w:r>
      <w:r w:rsidRPr="00823E38">
        <w:rPr>
          <w:color w:val="000000" w:themeColor="text1"/>
          <w:szCs w:val="24"/>
          <w:lang w:val="sq-AL"/>
        </w:rPr>
        <w:t>i, me një shumicë të madhe që përfaqësojnë SMEs, të cilat do të kenë mundësi për të rritur aktivitetet e tyre ndërkufitare.</w:t>
      </w:r>
    </w:p>
    <w:p w14:paraId="5BB2D080" w14:textId="77777777"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p>
    <w:p w14:paraId="75F5AF30" w14:textId="77777777" w:rsidR="00823E38" w:rsidRPr="00823E38" w:rsidRDefault="00823E38" w:rsidP="30EE1AA0">
      <w:pPr>
        <w:pBdr>
          <w:top w:val="nil"/>
          <w:left w:val="nil"/>
          <w:bottom w:val="nil"/>
          <w:right w:val="nil"/>
          <w:between w:val="nil"/>
          <w:bar w:val="nil"/>
        </w:pBdr>
        <w:spacing w:line="276" w:lineRule="auto"/>
        <w:ind w:right="20"/>
        <w:jc w:val="both"/>
        <w:rPr>
          <w:color w:val="000000" w:themeColor="text1"/>
          <w:lang w:val="sq-AL"/>
        </w:rPr>
      </w:pPr>
      <w:r w:rsidRPr="30EE1AA0">
        <w:rPr>
          <w:color w:val="000000" w:themeColor="text1"/>
          <w:lang w:val="sq-AL"/>
        </w:rPr>
        <w:t>c. Përcaktoni vlerën monetare të ndikimeve më të rëndësishme të drejtpërdrejta aty ku është e mundur:</w:t>
      </w:r>
    </w:p>
    <w:p w14:paraId="6D4ECBD5" w14:textId="77777777"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p>
    <w:p w14:paraId="1C9BF0A5" w14:textId="15C73ECF" w:rsidR="00DD29ED" w:rsidRDefault="00823E38" w:rsidP="00DD29ED">
      <w:pPr>
        <w:pBdr>
          <w:top w:val="nil"/>
          <w:left w:val="nil"/>
          <w:bottom w:val="nil"/>
          <w:right w:val="nil"/>
          <w:between w:val="nil"/>
          <w:bar w:val="nil"/>
        </w:pBdr>
        <w:spacing w:line="276" w:lineRule="auto"/>
        <w:ind w:right="20"/>
        <w:jc w:val="both"/>
        <w:rPr>
          <w:color w:val="000000" w:themeColor="text1"/>
          <w:szCs w:val="24"/>
          <w:lang w:val="sq-AL"/>
        </w:rPr>
      </w:pPr>
      <w:r w:rsidRPr="00823E38">
        <w:rPr>
          <w:color w:val="000000" w:themeColor="text1"/>
          <w:szCs w:val="24"/>
          <w:lang w:val="sq-AL"/>
        </w:rPr>
        <w:t xml:space="preserve">Përfitimet e mundshme nga investimet e huaja </w:t>
      </w:r>
      <w:r w:rsidR="0067070B">
        <w:rPr>
          <w:color w:val="000000" w:themeColor="text1"/>
          <w:szCs w:val="24"/>
          <w:lang w:val="sq-AL"/>
        </w:rPr>
        <w:t>të drejtpërdrejta</w:t>
      </w:r>
      <w:r w:rsidRPr="00823E38">
        <w:rPr>
          <w:color w:val="000000" w:themeColor="text1"/>
          <w:szCs w:val="24"/>
          <w:lang w:val="sq-AL"/>
        </w:rPr>
        <w:t xml:space="preserve"> dhe rritja e mundësive për operacione ndërkufitare mund të arrijnë disa milionë euro gjatë periudhës së parë pas implementimit të reformave. Ky investim do të kontribuo</w:t>
      </w:r>
      <w:r w:rsidR="00AF6C90">
        <w:rPr>
          <w:color w:val="000000" w:themeColor="text1"/>
          <w:szCs w:val="24"/>
          <w:lang w:val="sq-AL"/>
        </w:rPr>
        <w:t>jë</w:t>
      </w:r>
      <w:r w:rsidRPr="00823E38">
        <w:rPr>
          <w:color w:val="000000" w:themeColor="text1"/>
          <w:szCs w:val="24"/>
          <w:lang w:val="sq-AL"/>
        </w:rPr>
        <w:t xml:space="preserve"> në zhvillimin e tregjeve të brendshme dhe në mundësitë e përmirësimit të konkurueshmërisë për </w:t>
      </w:r>
      <w:r w:rsidR="00787159">
        <w:rPr>
          <w:color w:val="000000" w:themeColor="text1"/>
          <w:szCs w:val="24"/>
          <w:lang w:val="sq-AL"/>
        </w:rPr>
        <w:t>shoqër</w:t>
      </w:r>
      <w:r w:rsidRPr="00823E38">
        <w:rPr>
          <w:color w:val="000000" w:themeColor="text1"/>
          <w:szCs w:val="24"/>
          <w:lang w:val="sq-AL"/>
        </w:rPr>
        <w:t>itë shqiptare.</w:t>
      </w:r>
      <w:r w:rsidR="00DD29ED" w:rsidRPr="00DD29ED">
        <w:rPr>
          <w:color w:val="000000" w:themeColor="text1"/>
          <w:szCs w:val="24"/>
          <w:lang w:val="sq-AL"/>
        </w:rPr>
        <w:t xml:space="preserve"> </w:t>
      </w:r>
      <w:r w:rsidR="00DD29ED" w:rsidRPr="00F74152">
        <w:rPr>
          <w:color w:val="000000" w:themeColor="text1"/>
          <w:szCs w:val="24"/>
          <w:lang w:val="sq-AL"/>
        </w:rPr>
        <w:t xml:space="preserve">Përfitimet monetare mund të përllogariten bazuar në rritjen e investimeve të huaja dhe përmirësimin e aksesit në financa për bizneset lokale. Ndikimet financiare mund të përfshijnë rritjen e kapitalit të huaj, që mund të jetë nga 2% deri në 5% të PBB-së </w:t>
      </w:r>
      <w:r w:rsidR="00CD40A2" w:rsidRPr="00CD40A2">
        <w:rPr>
          <w:color w:val="000000" w:themeColor="text1"/>
          <w:szCs w:val="24"/>
          <w:lang w:val="sq-AL"/>
        </w:rPr>
        <w:t>që ishte rreth 23.6 miliardë euro (Burimi: INSTAT)</w:t>
      </w:r>
      <w:r w:rsidR="00991B52">
        <w:rPr>
          <w:color w:val="000000" w:themeColor="text1"/>
          <w:szCs w:val="24"/>
          <w:lang w:val="sq-AL"/>
        </w:rPr>
        <w:t xml:space="preserve">, </w:t>
      </w:r>
      <w:r w:rsidR="00DD29ED" w:rsidRPr="00F74152">
        <w:rPr>
          <w:color w:val="000000" w:themeColor="text1"/>
          <w:szCs w:val="24"/>
          <w:lang w:val="sq-AL"/>
        </w:rPr>
        <w:t>për periudhën e ardhshme.</w:t>
      </w:r>
    </w:p>
    <w:p w14:paraId="1783D8A6" w14:textId="77777777" w:rsidR="0062531E" w:rsidRPr="00F74152" w:rsidRDefault="0062531E" w:rsidP="00DD29ED">
      <w:pPr>
        <w:pBdr>
          <w:top w:val="nil"/>
          <w:left w:val="nil"/>
          <w:bottom w:val="nil"/>
          <w:right w:val="nil"/>
          <w:between w:val="nil"/>
          <w:bar w:val="nil"/>
        </w:pBdr>
        <w:spacing w:line="276" w:lineRule="auto"/>
        <w:ind w:right="20"/>
        <w:jc w:val="both"/>
        <w:rPr>
          <w:color w:val="000000" w:themeColor="text1"/>
          <w:szCs w:val="24"/>
          <w:lang w:val="sq-AL"/>
        </w:rPr>
      </w:pPr>
    </w:p>
    <w:p w14:paraId="3458B754" w14:textId="77777777" w:rsidR="0062531E" w:rsidRPr="0062531E" w:rsidRDefault="0062531E" w:rsidP="0062531E">
      <w:pPr>
        <w:pBdr>
          <w:top w:val="nil"/>
          <w:left w:val="nil"/>
          <w:bottom w:val="nil"/>
          <w:right w:val="nil"/>
          <w:between w:val="nil"/>
          <w:bar w:val="nil"/>
        </w:pBdr>
        <w:spacing w:line="276" w:lineRule="auto"/>
        <w:ind w:right="20"/>
        <w:jc w:val="both"/>
        <w:rPr>
          <w:color w:val="000000" w:themeColor="text1"/>
          <w:szCs w:val="24"/>
          <w:lang w:val="sq-AL"/>
        </w:rPr>
      </w:pPr>
      <w:r w:rsidRPr="0062531E">
        <w:rPr>
          <w:color w:val="000000" w:themeColor="text1"/>
          <w:szCs w:val="24"/>
          <w:lang w:val="sq-AL"/>
        </w:rPr>
        <w:t>Nga ana sasiore, përfitimet ekonomike që lidhen me zhvillimin e sektorëve të ndryshëm, si pasojë e rritjes së investimeve të huaja dhe përmirësimit të tregjeve të brendshme, mund të arrijnë një vlerë të përafërt prej 50 milionë euro në total. Kjo shumë jo vetëm që mbulon kostot e implementimit të reformës, e cila është relativisht e ulët dhe kryesisht lidhet me trajnimin e sektorit publik dhe privat, por gjithashtu krijon një bazë të fortë për rritje të mëtejshme ekonomike.</w:t>
      </w:r>
    </w:p>
    <w:p w14:paraId="4A7DF3BF" w14:textId="3CF2E083" w:rsidR="0062531E" w:rsidRPr="0062531E" w:rsidRDefault="0062531E" w:rsidP="0062531E">
      <w:pPr>
        <w:pBdr>
          <w:top w:val="nil"/>
          <w:left w:val="nil"/>
          <w:bottom w:val="nil"/>
          <w:right w:val="nil"/>
          <w:between w:val="nil"/>
          <w:bar w:val="nil"/>
        </w:pBdr>
        <w:spacing w:line="276" w:lineRule="auto"/>
        <w:ind w:right="20"/>
        <w:jc w:val="both"/>
        <w:rPr>
          <w:color w:val="000000" w:themeColor="text1"/>
          <w:szCs w:val="24"/>
          <w:lang w:val="sq-AL"/>
        </w:rPr>
      </w:pPr>
      <w:r w:rsidRPr="0062531E">
        <w:rPr>
          <w:color w:val="000000" w:themeColor="text1"/>
          <w:szCs w:val="24"/>
          <w:lang w:val="sq-AL"/>
        </w:rPr>
        <w:t xml:space="preserve">Sipas analizave të Bankës Botërore </w:t>
      </w:r>
      <w:r w:rsidR="00A24DCA">
        <w:rPr>
          <w:color w:val="000000" w:themeColor="text1"/>
          <w:szCs w:val="24"/>
          <w:lang w:val="sq-AL"/>
        </w:rPr>
        <w:t xml:space="preserve">të </w:t>
      </w:r>
      <w:r w:rsidR="005F23C8">
        <w:rPr>
          <w:color w:val="000000" w:themeColor="text1"/>
          <w:szCs w:val="24"/>
          <w:lang w:val="sq-AL"/>
        </w:rPr>
        <w:t>muajit</w:t>
      </w:r>
      <w:r w:rsidR="00A24DCA" w:rsidRPr="0062531E">
        <w:rPr>
          <w:color w:val="000000" w:themeColor="text1"/>
          <w:szCs w:val="24"/>
          <w:lang w:val="sq-AL"/>
        </w:rPr>
        <w:t xml:space="preserve"> </w:t>
      </w:r>
      <w:r w:rsidRPr="0062531E">
        <w:rPr>
          <w:color w:val="000000" w:themeColor="text1"/>
          <w:szCs w:val="24"/>
          <w:lang w:val="sq-AL"/>
        </w:rPr>
        <w:t>Nëntor 2024, kthimi nga investimet në Shqipëri është 10%, që do të thotë se për çdo 1 euro të investuar, përfitimi është 10 euro</w:t>
      </w:r>
      <w:r w:rsidR="005110CD">
        <w:rPr>
          <w:color w:val="000000" w:themeColor="text1"/>
          <w:szCs w:val="24"/>
          <w:lang w:val="sq-AL"/>
        </w:rPr>
        <w:t>.</w:t>
      </w:r>
    </w:p>
    <w:p w14:paraId="2132E21B" w14:textId="68E7138A" w:rsidR="00F55E33" w:rsidRPr="00D756B5" w:rsidRDefault="00F55E33" w:rsidP="00F55E33">
      <w:pPr>
        <w:pBdr>
          <w:top w:val="nil"/>
          <w:left w:val="nil"/>
          <w:bottom w:val="nil"/>
          <w:right w:val="nil"/>
          <w:between w:val="nil"/>
          <w:bar w:val="nil"/>
        </w:pBdr>
        <w:spacing w:line="276" w:lineRule="auto"/>
        <w:ind w:right="20"/>
        <w:jc w:val="both"/>
        <w:rPr>
          <w:color w:val="000000" w:themeColor="text1"/>
          <w:lang w:val="sq-AL"/>
        </w:rPr>
      </w:pPr>
      <w:r w:rsidRPr="00D756B5">
        <w:rPr>
          <w:color w:val="000000" w:themeColor="text1"/>
          <w:lang w:val="sq-AL"/>
        </w:rPr>
        <w:t xml:space="preserve">Sipas një studimi </w:t>
      </w:r>
      <w:r>
        <w:rPr>
          <w:color w:val="000000" w:themeColor="text1"/>
          <w:lang w:val="sq-AL"/>
        </w:rPr>
        <w:t>të titulluar</w:t>
      </w:r>
      <w:r w:rsidRPr="00D756B5">
        <w:rPr>
          <w:color w:val="000000" w:themeColor="text1"/>
          <w:lang w:val="sq-AL"/>
        </w:rPr>
        <w:t xml:space="preserve"> “The Effects of the Albania-EU Stabilization and Association Agreement: Economic Impact and Social Implications” nga Yiannis Zahariadis, theksohet se: “Nëse Shqipëria do të modernizonte administratën doganore dhe do të harmonizonte plotësisht legjislacionin e saj me acquis-in </w:t>
      </w:r>
      <w:r w:rsidRPr="00D756B5">
        <w:rPr>
          <w:color w:val="000000" w:themeColor="text1"/>
          <w:lang w:val="sq-AL"/>
        </w:rPr>
        <w:lastRenderedPageBreak/>
        <w:t>e BE-së për standardet dhe barrierat teknike të tregtisë, kjo mund të sillte një përfitim shtesë prej rreth 0.46% të PBB-së. Duke qenë se harmonizimi do të ecë gradualisht, këto përfitime nuk do të realizohen menjëherë, por me ecurinë e integrimit rregullator dhe duke bërë një llogaritje të thjeshtë:</w:t>
      </w:r>
      <w:r w:rsidRPr="00D756B5">
        <w:rPr>
          <w:color w:val="000000" w:themeColor="text1"/>
          <w:lang w:val="sq-AL"/>
        </w:rPr>
        <w:br/>
        <w:t>23.6 miliardë euro × 0.46% = 108,560,000 euro, ose përafërsisht 10,496,170,290 lekë.</w:t>
      </w:r>
    </w:p>
    <w:p w14:paraId="3333FCC0" w14:textId="77777777" w:rsidR="00C07597" w:rsidRPr="00D756B5" w:rsidRDefault="00C07597" w:rsidP="00F55E33">
      <w:pPr>
        <w:pBdr>
          <w:top w:val="nil"/>
          <w:left w:val="nil"/>
          <w:bottom w:val="nil"/>
          <w:right w:val="nil"/>
          <w:between w:val="nil"/>
          <w:bar w:val="nil"/>
        </w:pBdr>
        <w:spacing w:line="276" w:lineRule="auto"/>
        <w:ind w:right="20"/>
        <w:jc w:val="both"/>
        <w:rPr>
          <w:color w:val="000000" w:themeColor="text1"/>
          <w:lang w:val="sq-AL"/>
        </w:rPr>
      </w:pPr>
    </w:p>
    <w:p w14:paraId="2C1DF9A6" w14:textId="20E8DEED" w:rsidR="00F55E33" w:rsidRPr="00D756B5" w:rsidRDefault="00F55E33" w:rsidP="00F55E33">
      <w:pPr>
        <w:pBdr>
          <w:top w:val="nil"/>
          <w:left w:val="nil"/>
          <w:bottom w:val="nil"/>
          <w:right w:val="nil"/>
          <w:between w:val="nil"/>
          <w:bar w:val="nil"/>
        </w:pBdr>
        <w:spacing w:line="276" w:lineRule="auto"/>
        <w:ind w:right="20"/>
        <w:jc w:val="both"/>
        <w:rPr>
          <w:color w:val="000000" w:themeColor="text1"/>
          <w:lang w:val="sq-AL"/>
        </w:rPr>
      </w:pPr>
      <w:r w:rsidRPr="00D756B5">
        <w:rPr>
          <w:color w:val="000000" w:themeColor="text1"/>
          <w:lang w:val="sq-AL"/>
        </w:rPr>
        <w:t>Ky vlerësim përfshin përfitimin nga harmonizimi i plotë me BE-në. Për këtë arsye, duke ndjekur një qasje më konservatore dhe duke u fokusuar vetëm tek ndryshimet rregullatore të Ligjit “Për Shoqëritë Tregtare”, është e arsyeshme të merret në konsideratë një vlerësim më i kufizuar.</w:t>
      </w:r>
      <w:r w:rsidR="00C07597" w:rsidRPr="00D756B5">
        <w:rPr>
          <w:color w:val="000000" w:themeColor="text1"/>
          <w:lang w:val="sq-AL"/>
        </w:rPr>
        <w:t xml:space="preserve"> </w:t>
      </w:r>
      <w:r w:rsidRPr="00D756B5">
        <w:rPr>
          <w:color w:val="000000" w:themeColor="text1"/>
          <w:lang w:val="sq-AL"/>
        </w:rPr>
        <w:t>Prandaj, vlerësohet se një përfitim prej 472,000,000 – 500,000,000 lekë në vit, përgjatë një periudhe 10-vjeçare, përfaqëson një shifër të arsyeshme që reflekton vetëm efektet e ndryshimeve ligjore në fushën e shoqërive tregtare. Sigurisht, këto përfitime pritet të vazhdojnë edhe përtej kësaj periudhe.</w:t>
      </w:r>
    </w:p>
    <w:p w14:paraId="646194E8" w14:textId="77777777" w:rsidR="00F55E33" w:rsidRPr="00B45670" w:rsidRDefault="00F55E33" w:rsidP="30EE1AA0">
      <w:pPr>
        <w:pBdr>
          <w:top w:val="nil"/>
          <w:left w:val="nil"/>
          <w:bottom w:val="nil"/>
          <w:right w:val="nil"/>
          <w:between w:val="nil"/>
          <w:bar w:val="nil"/>
        </w:pBdr>
        <w:spacing w:line="276" w:lineRule="auto"/>
        <w:ind w:right="20"/>
        <w:jc w:val="both"/>
        <w:rPr>
          <w:color w:val="000000" w:themeColor="text1"/>
          <w:lang w:val="sq-AL"/>
        </w:rPr>
      </w:pPr>
    </w:p>
    <w:p w14:paraId="14A09B17" w14:textId="77777777"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p>
    <w:p w14:paraId="706A9008" w14:textId="77777777"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r w:rsidRPr="00823E38">
        <w:rPr>
          <w:color w:val="000000" w:themeColor="text1"/>
          <w:szCs w:val="24"/>
          <w:lang w:val="sq-AL"/>
        </w:rPr>
        <w:t>d. Analizoni ndikimin mbi ndërmarrjet e vogla dhe të mesme (nëse ka):</w:t>
      </w:r>
    </w:p>
    <w:p w14:paraId="4324691C" w14:textId="77777777" w:rsidR="00823E38" w:rsidRPr="00823E38"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p>
    <w:p w14:paraId="03572B3C" w14:textId="66E127B8" w:rsidR="00823E38" w:rsidRPr="0059302C" w:rsidRDefault="00823E38" w:rsidP="00823E38">
      <w:pPr>
        <w:pBdr>
          <w:top w:val="nil"/>
          <w:left w:val="nil"/>
          <w:bottom w:val="nil"/>
          <w:right w:val="nil"/>
          <w:between w:val="nil"/>
          <w:bar w:val="nil"/>
        </w:pBdr>
        <w:spacing w:line="276" w:lineRule="auto"/>
        <w:ind w:right="20"/>
        <w:jc w:val="both"/>
        <w:rPr>
          <w:color w:val="000000" w:themeColor="text1"/>
          <w:szCs w:val="24"/>
          <w:lang w:val="sq-AL"/>
        </w:rPr>
      </w:pPr>
      <w:r w:rsidRPr="00823E38">
        <w:rPr>
          <w:color w:val="000000" w:themeColor="text1"/>
          <w:szCs w:val="24"/>
          <w:lang w:val="sq-AL"/>
        </w:rPr>
        <w:t>SMEs do të preken drejtpërdrejt nga nevoja për të përditësuar dokumentet dhe procedurat për t'u përputhur me kërkesat e reja ligjore. Ky proces mund të kërkojë burime të konsiderueshme për trajnime dhe mbështetje ligjore, veçanërisht për ato që janë të angazhuara në tregje ndërkombëtare. Përshtatja mund të jetë një sfidë për ato që nuk kanë kapacitetin financiar dhe administrativ për të zbatuar këto ndryshime.</w:t>
      </w:r>
    </w:p>
    <w:p w14:paraId="5EA22CD9" w14:textId="77777777" w:rsidR="0059302C" w:rsidRPr="00781ED7" w:rsidRDefault="0059302C" w:rsidP="0059302C">
      <w:pPr>
        <w:pBdr>
          <w:top w:val="nil"/>
          <w:left w:val="nil"/>
          <w:bottom w:val="nil"/>
          <w:right w:val="nil"/>
          <w:between w:val="nil"/>
          <w:bar w:val="nil"/>
        </w:pBdr>
        <w:spacing w:line="276" w:lineRule="auto"/>
        <w:ind w:right="20"/>
        <w:jc w:val="both"/>
        <w:rPr>
          <w:color w:val="000000" w:themeColor="text1"/>
          <w:szCs w:val="24"/>
          <w:lang w:val="sq-AL"/>
        </w:rPr>
      </w:pPr>
    </w:p>
    <w:p w14:paraId="0E9F6B9C" w14:textId="77777777" w:rsidR="0059302C" w:rsidRPr="00781ED7" w:rsidRDefault="0059302C" w:rsidP="0059302C">
      <w:pPr>
        <w:pBdr>
          <w:top w:val="nil"/>
          <w:left w:val="nil"/>
          <w:bottom w:val="nil"/>
          <w:right w:val="nil"/>
          <w:between w:val="nil"/>
          <w:bar w:val="nil"/>
        </w:pBdr>
        <w:spacing w:line="276" w:lineRule="auto"/>
        <w:ind w:right="20"/>
        <w:jc w:val="both"/>
        <w:rPr>
          <w:color w:val="000000" w:themeColor="text1"/>
          <w:szCs w:val="24"/>
          <w:lang w:val="sq-AL"/>
        </w:rPr>
      </w:pPr>
      <w:r w:rsidRPr="00781ED7">
        <w:rPr>
          <w:color w:val="000000" w:themeColor="text1"/>
          <w:szCs w:val="24"/>
          <w:lang w:val="sq-AL"/>
        </w:rPr>
        <w:t>Në këtë mënyrë, ky opsion i reformës ligjore do të sjellë përfitime të ndjeshme për të gjitha grupet e prekura, duke përmirësuar mundësitë për investime dhe biznes, duke kontribuar në zhvillimin ekonomik dhe duke siguruar një mjedis ligjor të stabilizuar dhe të qëndrueshëm.</w:t>
      </w:r>
    </w:p>
    <w:p w14:paraId="16CA5A2E" w14:textId="65A6AAB0" w:rsidR="00274855" w:rsidRPr="00781ED7" w:rsidRDefault="00274855" w:rsidP="00274855">
      <w:pPr>
        <w:pBdr>
          <w:top w:val="nil"/>
          <w:left w:val="nil"/>
          <w:bottom w:val="nil"/>
          <w:right w:val="nil"/>
          <w:between w:val="nil"/>
          <w:bar w:val="nil"/>
        </w:pBdr>
        <w:spacing w:line="276" w:lineRule="auto"/>
        <w:ind w:right="20"/>
        <w:jc w:val="both"/>
        <w:rPr>
          <w:color w:val="000000" w:themeColor="text1"/>
          <w:szCs w:val="24"/>
          <w:lang w:val="sq-AL"/>
        </w:rPr>
      </w:pPr>
      <w:r w:rsidRPr="00781ED7">
        <w:rPr>
          <w:color w:val="000000" w:themeColor="text1"/>
          <w:szCs w:val="24"/>
          <w:lang w:val="sq-AL"/>
        </w:rPr>
        <w:br/>
        <w:t>Ndikimet jo të drejtpërdrejta do të shtrihen përtej mundësive të drejtpërdrejta për rritjen e besimit të investitorëve dhe zhvillimin e tregjeve. Me implementimin e këtyre ndryshimeve, Shqipëria mund të tërheqë investitorë të rinj, që do të kontribuojnë në zhvillimin e ekonomisë dhe mundësitë për bashkëpunim ndërkombëtar.</w:t>
      </w:r>
    </w:p>
    <w:p w14:paraId="0E5CF638" w14:textId="77777777" w:rsidR="00823B96" w:rsidRPr="00781ED7" w:rsidRDefault="00823B96" w:rsidP="00274855">
      <w:pPr>
        <w:pBdr>
          <w:top w:val="nil"/>
          <w:left w:val="nil"/>
          <w:bottom w:val="nil"/>
          <w:right w:val="nil"/>
          <w:between w:val="nil"/>
          <w:bar w:val="nil"/>
        </w:pBdr>
        <w:spacing w:line="276" w:lineRule="auto"/>
        <w:ind w:right="20"/>
        <w:jc w:val="both"/>
        <w:rPr>
          <w:color w:val="000000" w:themeColor="text1"/>
          <w:szCs w:val="24"/>
          <w:lang w:val="sq-AL"/>
        </w:rPr>
      </w:pPr>
    </w:p>
    <w:p w14:paraId="65BB0AD9" w14:textId="2C315CBA" w:rsidR="00823B96" w:rsidRPr="00781ED7" w:rsidRDefault="00823B96" w:rsidP="00823B96">
      <w:pPr>
        <w:pBdr>
          <w:top w:val="nil"/>
          <w:left w:val="nil"/>
          <w:bottom w:val="nil"/>
          <w:right w:val="nil"/>
          <w:between w:val="nil"/>
          <w:bar w:val="nil"/>
        </w:pBdr>
        <w:spacing w:line="276" w:lineRule="auto"/>
        <w:ind w:right="20"/>
        <w:jc w:val="both"/>
        <w:rPr>
          <w:color w:val="000000" w:themeColor="text1"/>
          <w:szCs w:val="24"/>
          <w:lang w:val="sq-AL"/>
        </w:rPr>
      </w:pPr>
      <w:r w:rsidRPr="00781ED7">
        <w:rPr>
          <w:color w:val="000000" w:themeColor="text1"/>
          <w:szCs w:val="24"/>
          <w:lang w:val="sq-AL"/>
        </w:rPr>
        <w:t>Për ndikimet jo të drejtpërdrejta:</w:t>
      </w:r>
    </w:p>
    <w:p w14:paraId="4B786569" w14:textId="77777777" w:rsidR="00C45839" w:rsidRPr="00781ED7" w:rsidRDefault="00C45839" w:rsidP="00823B96">
      <w:pPr>
        <w:pBdr>
          <w:top w:val="nil"/>
          <w:left w:val="nil"/>
          <w:bottom w:val="nil"/>
          <w:right w:val="nil"/>
          <w:between w:val="nil"/>
          <w:bar w:val="nil"/>
        </w:pBdr>
        <w:spacing w:line="276" w:lineRule="auto"/>
        <w:ind w:right="20"/>
        <w:jc w:val="both"/>
        <w:rPr>
          <w:color w:val="000000" w:themeColor="text1"/>
          <w:szCs w:val="24"/>
          <w:lang w:val="sq-AL"/>
        </w:rPr>
      </w:pPr>
    </w:p>
    <w:p w14:paraId="539C150D" w14:textId="77777777" w:rsidR="00823B96" w:rsidRPr="00781ED7" w:rsidRDefault="00823B96" w:rsidP="00823B96">
      <w:pPr>
        <w:pBdr>
          <w:top w:val="nil"/>
          <w:left w:val="nil"/>
          <w:bottom w:val="nil"/>
          <w:right w:val="nil"/>
          <w:between w:val="nil"/>
          <w:bar w:val="nil"/>
        </w:pBdr>
        <w:spacing w:line="276" w:lineRule="auto"/>
        <w:ind w:right="20"/>
        <w:jc w:val="both"/>
        <w:rPr>
          <w:color w:val="000000" w:themeColor="text1"/>
          <w:szCs w:val="24"/>
          <w:lang w:val="sq-AL"/>
        </w:rPr>
      </w:pPr>
      <w:r w:rsidRPr="00781ED7">
        <w:rPr>
          <w:color w:val="000000" w:themeColor="text1"/>
          <w:szCs w:val="24"/>
          <w:lang w:val="sq-AL"/>
        </w:rPr>
        <w:t>a. Përshkrimi nga ana cilësore i ndikimeve jo të drejtpërdrejta mbi grupet e prekura:</w:t>
      </w:r>
    </w:p>
    <w:p w14:paraId="25E074FB" w14:textId="77777777" w:rsidR="00823B96" w:rsidRPr="00781ED7" w:rsidRDefault="00823B96" w:rsidP="00823B96">
      <w:pPr>
        <w:pBdr>
          <w:top w:val="nil"/>
          <w:left w:val="nil"/>
          <w:bottom w:val="nil"/>
          <w:right w:val="nil"/>
          <w:between w:val="nil"/>
          <w:bar w:val="nil"/>
        </w:pBdr>
        <w:spacing w:line="276" w:lineRule="auto"/>
        <w:ind w:right="20"/>
        <w:jc w:val="both"/>
        <w:rPr>
          <w:color w:val="000000" w:themeColor="text1"/>
          <w:szCs w:val="24"/>
          <w:lang w:val="sq-AL"/>
        </w:rPr>
      </w:pPr>
    </w:p>
    <w:p w14:paraId="7798D61C" w14:textId="379E90CF" w:rsidR="00823B96" w:rsidRPr="00781ED7" w:rsidRDefault="0022590E" w:rsidP="00823B96">
      <w:pPr>
        <w:pBdr>
          <w:top w:val="nil"/>
          <w:left w:val="nil"/>
          <w:bottom w:val="nil"/>
          <w:right w:val="nil"/>
          <w:between w:val="nil"/>
          <w:bar w:val="nil"/>
        </w:pBdr>
        <w:spacing w:line="276" w:lineRule="auto"/>
        <w:ind w:right="20"/>
        <w:jc w:val="both"/>
        <w:rPr>
          <w:color w:val="000000" w:themeColor="text1"/>
          <w:szCs w:val="24"/>
          <w:lang w:val="sq-AL"/>
        </w:rPr>
      </w:pPr>
      <w:r w:rsidRPr="0022590E">
        <w:rPr>
          <w:color w:val="000000" w:themeColor="text1"/>
          <w:szCs w:val="24"/>
          <w:lang w:val="sq-AL"/>
        </w:rPr>
        <w:t>Zbatimi i ndryshimeve të propozuara në Ligjin nr. 9901/2008 pritet të ketë ndikime jo vetëm në planin teknik dhe formal të qeverisjes korporative, por edhe në mënyrë të tërthortë në perceptimin institucional të Shqipërisë si një vend me mjedis ligjor të sigurt dhe të harmonizuar me standardet evropiane. Kjo pritet të reflektohet në përmirësimin e imazhit të vendit si destinacion investimi, duke rritur besimin e investitorëve të huaj dhe të sektorëve financiarë ndërkombëtarë në stabilitetin ligjor dhe parashikueshmërinë e transaksioneve korporative në Shqipëri. Për më tepër, përmirësimi i infrastrukturës ligjore për funksionimin e tregut të kapitalit, transparencën e raportimeve dhe mbrojtjen e aksionarëve do të ndikojë në mënyrë të tërthortë në përmirësimin e qasjes në financim për shoqëritë aksionare, sidomos ato që synojnë transformimin drejt ofertës publike.</w:t>
      </w:r>
    </w:p>
    <w:p w14:paraId="3D5AE37D" w14:textId="77777777" w:rsidR="00823B96" w:rsidRPr="00525217" w:rsidRDefault="00823B96" w:rsidP="00823B96">
      <w:pPr>
        <w:pBdr>
          <w:top w:val="nil"/>
          <w:left w:val="nil"/>
          <w:bottom w:val="nil"/>
          <w:right w:val="nil"/>
          <w:between w:val="nil"/>
          <w:bar w:val="nil"/>
        </w:pBdr>
        <w:spacing w:line="276" w:lineRule="auto"/>
        <w:ind w:right="20"/>
        <w:jc w:val="both"/>
        <w:rPr>
          <w:color w:val="000000" w:themeColor="text1"/>
          <w:szCs w:val="24"/>
          <w:lang w:val="de-DE"/>
        </w:rPr>
      </w:pPr>
      <w:r w:rsidRPr="00525217">
        <w:rPr>
          <w:color w:val="000000" w:themeColor="text1"/>
          <w:szCs w:val="24"/>
          <w:lang w:val="de-DE"/>
        </w:rPr>
        <w:t>b. Analizoni ndikimin mbi konkurrencën:</w:t>
      </w:r>
    </w:p>
    <w:p w14:paraId="62D5FADD" w14:textId="77777777" w:rsidR="00823B96" w:rsidRPr="00525217" w:rsidRDefault="00823B96" w:rsidP="00823B96">
      <w:pPr>
        <w:pBdr>
          <w:top w:val="nil"/>
          <w:left w:val="nil"/>
          <w:bottom w:val="nil"/>
          <w:right w:val="nil"/>
          <w:between w:val="nil"/>
          <w:bar w:val="nil"/>
        </w:pBdr>
        <w:spacing w:line="276" w:lineRule="auto"/>
        <w:ind w:right="20"/>
        <w:jc w:val="both"/>
        <w:rPr>
          <w:color w:val="000000" w:themeColor="text1"/>
          <w:szCs w:val="24"/>
          <w:lang w:val="de-DE"/>
        </w:rPr>
      </w:pPr>
    </w:p>
    <w:p w14:paraId="6BF24743" w14:textId="2F8BD0B7" w:rsidR="00274855" w:rsidRPr="00525217" w:rsidRDefault="00823B96" w:rsidP="00274855">
      <w:pPr>
        <w:pBdr>
          <w:top w:val="nil"/>
          <w:left w:val="nil"/>
          <w:bottom w:val="nil"/>
          <w:right w:val="nil"/>
          <w:between w:val="nil"/>
          <w:bar w:val="nil"/>
        </w:pBdr>
        <w:spacing w:line="276" w:lineRule="auto"/>
        <w:ind w:right="20"/>
        <w:jc w:val="both"/>
        <w:rPr>
          <w:color w:val="000000" w:themeColor="text1"/>
          <w:szCs w:val="24"/>
          <w:lang w:val="de-DE"/>
        </w:rPr>
      </w:pPr>
      <w:r w:rsidRPr="00525217">
        <w:rPr>
          <w:color w:val="000000" w:themeColor="text1"/>
          <w:szCs w:val="24"/>
          <w:lang w:val="de-DE"/>
        </w:rPr>
        <w:t xml:space="preserve">Ndryshimet ligjore do të krijojnë një treg më të hapur dhe më konkurrues, duke lehtësuar operacionet ndërkufitare dhe duke rritur mundësitë për rritjen e konkurrencës në nivel ndërkombëtar. Implementimi i standardeve të BE-së për mbrojtjen e aksionarëve dhe transparencën do të mundësojë krijimin e një mjedisi </w:t>
      </w:r>
      <w:r w:rsidRPr="00525217">
        <w:rPr>
          <w:color w:val="000000" w:themeColor="text1"/>
          <w:szCs w:val="24"/>
          <w:lang w:val="de-DE"/>
        </w:rPr>
        <w:lastRenderedPageBreak/>
        <w:t>më të besueshëm për investitorët dhe bizneset.</w:t>
      </w:r>
      <w:r w:rsidR="00C45839" w:rsidRPr="00525217">
        <w:rPr>
          <w:color w:val="000000" w:themeColor="text1"/>
          <w:szCs w:val="24"/>
          <w:lang w:val="de-DE"/>
        </w:rPr>
        <w:t xml:space="preserve"> </w:t>
      </w:r>
      <w:r w:rsidR="00274855" w:rsidRPr="00525217">
        <w:rPr>
          <w:color w:val="000000" w:themeColor="text1"/>
          <w:szCs w:val="24"/>
          <w:lang w:val="de-DE"/>
        </w:rPr>
        <w:t>Harmonizimi i legjislacionit të Shqipërisë do të rrisë konkurrencën në tregun lokal, duke mundësuar që bizneset shqiptare të konkurrojnë në kushte të barabarta me ato të vendeve të BE-së. Për më tepër, krijimi i një tregu të hapur dhe të parashikueshëm për investitorët do të ndihmojë në diversifikimin e ekonomisë dhe përmirësimin e cilësisë së produkteve dhe shërbimeve.</w:t>
      </w:r>
    </w:p>
    <w:p w14:paraId="1C7B39F6" w14:textId="77777777" w:rsidR="00D957B1" w:rsidRPr="00525217" w:rsidRDefault="00D957B1" w:rsidP="00274855">
      <w:pPr>
        <w:pBdr>
          <w:top w:val="nil"/>
          <w:left w:val="nil"/>
          <w:bottom w:val="nil"/>
          <w:right w:val="nil"/>
          <w:between w:val="nil"/>
          <w:bar w:val="nil"/>
        </w:pBdr>
        <w:spacing w:line="276" w:lineRule="auto"/>
        <w:ind w:right="20"/>
        <w:jc w:val="both"/>
        <w:rPr>
          <w:color w:val="000000" w:themeColor="text1"/>
          <w:szCs w:val="24"/>
          <w:lang w:val="de-DE"/>
        </w:rPr>
      </w:pPr>
    </w:p>
    <w:p w14:paraId="48A4CA27" w14:textId="23A732BC" w:rsidR="00274855" w:rsidRPr="00525217" w:rsidRDefault="00274855" w:rsidP="00274855">
      <w:pPr>
        <w:pBdr>
          <w:top w:val="nil"/>
          <w:left w:val="nil"/>
          <w:bottom w:val="nil"/>
          <w:right w:val="nil"/>
          <w:between w:val="nil"/>
          <w:bar w:val="nil"/>
        </w:pBdr>
        <w:spacing w:line="276" w:lineRule="auto"/>
        <w:ind w:right="20"/>
        <w:jc w:val="both"/>
        <w:rPr>
          <w:color w:val="000000" w:themeColor="text1"/>
          <w:szCs w:val="24"/>
          <w:u w:val="single"/>
          <w:lang w:val="de-DE"/>
        </w:rPr>
      </w:pPr>
      <w:r w:rsidRPr="00525217">
        <w:rPr>
          <w:color w:val="000000" w:themeColor="text1"/>
          <w:szCs w:val="24"/>
          <w:u w:val="single"/>
          <w:lang w:val="de-DE"/>
        </w:rPr>
        <w:t>Diskutimi i kufizimit të analizës:</w:t>
      </w:r>
    </w:p>
    <w:p w14:paraId="246E47B8" w14:textId="77777777" w:rsidR="00D957B1" w:rsidRPr="00525217" w:rsidRDefault="00D957B1" w:rsidP="00274855">
      <w:pPr>
        <w:pBdr>
          <w:top w:val="nil"/>
          <w:left w:val="nil"/>
          <w:bottom w:val="nil"/>
          <w:right w:val="nil"/>
          <w:between w:val="nil"/>
          <w:bar w:val="nil"/>
        </w:pBdr>
        <w:spacing w:line="276" w:lineRule="auto"/>
        <w:ind w:right="20"/>
        <w:jc w:val="both"/>
        <w:rPr>
          <w:color w:val="000000" w:themeColor="text1"/>
          <w:szCs w:val="24"/>
          <w:lang w:val="de-DE"/>
        </w:rPr>
      </w:pPr>
    </w:p>
    <w:p w14:paraId="50C2C6A2" w14:textId="5B4B1E33" w:rsidR="00D957B1" w:rsidRPr="00D957B1" w:rsidRDefault="00274855" w:rsidP="006D0629">
      <w:pPr>
        <w:pStyle w:val="ListParagraph"/>
        <w:numPr>
          <w:ilvl w:val="0"/>
          <w:numId w:val="22"/>
        </w:numPr>
        <w:pBdr>
          <w:top w:val="nil"/>
          <w:left w:val="nil"/>
          <w:bottom w:val="nil"/>
          <w:right w:val="nil"/>
          <w:between w:val="nil"/>
          <w:bar w:val="nil"/>
        </w:pBdr>
        <w:spacing w:line="276" w:lineRule="auto"/>
        <w:ind w:right="20"/>
        <w:jc w:val="both"/>
        <w:rPr>
          <w:rFonts w:ascii="Times New Roman" w:hAnsi="Times New Roman"/>
          <w:color w:val="000000" w:themeColor="text1"/>
          <w:sz w:val="24"/>
          <w:szCs w:val="24"/>
          <w:lang w:val="it-IT"/>
        </w:rPr>
      </w:pPr>
      <w:r w:rsidRPr="00D957B1">
        <w:rPr>
          <w:rFonts w:ascii="Times New Roman" w:hAnsi="Times New Roman"/>
          <w:color w:val="000000" w:themeColor="text1"/>
          <w:sz w:val="24"/>
          <w:szCs w:val="24"/>
          <w:lang w:val="it-IT"/>
        </w:rPr>
        <w:t>Supozimet dhe risqet:</w:t>
      </w:r>
    </w:p>
    <w:p w14:paraId="74EC1AE6" w14:textId="514D29D6" w:rsidR="00274855" w:rsidRPr="00D957B1" w:rsidRDefault="00274855" w:rsidP="00D957B1">
      <w:pPr>
        <w:pBdr>
          <w:top w:val="nil"/>
          <w:left w:val="nil"/>
          <w:bottom w:val="nil"/>
          <w:right w:val="nil"/>
          <w:between w:val="nil"/>
          <w:bar w:val="nil"/>
        </w:pBdr>
        <w:spacing w:line="276" w:lineRule="auto"/>
        <w:ind w:right="20"/>
        <w:jc w:val="both"/>
        <w:rPr>
          <w:color w:val="000000" w:themeColor="text1"/>
          <w:szCs w:val="24"/>
          <w:lang w:val="it-IT"/>
        </w:rPr>
      </w:pPr>
      <w:r w:rsidRPr="00D957B1">
        <w:rPr>
          <w:color w:val="000000" w:themeColor="text1"/>
          <w:szCs w:val="24"/>
          <w:lang w:val="it-IT"/>
        </w:rPr>
        <w:t>Analiza është bazuar në supozimin që institucionet shtetërore do të kenë mundësinë të ndërtojnë kapacitetet e nevojshme për të implementuar ndryshimet e ligjit. Risqet lidhen me mundësinë që disa nga këto reforma të mos implementohen në mënyrë të duhur për shkak të mungesës së burimeve ose mbështetjes teknike të nevojshme.</w:t>
      </w:r>
      <w:r w:rsidR="007E3668" w:rsidRPr="007E3668">
        <w:rPr>
          <w:lang w:val="it-IT"/>
        </w:rPr>
        <w:t xml:space="preserve"> </w:t>
      </w:r>
      <w:r w:rsidR="007E3668" w:rsidRPr="007E3668">
        <w:rPr>
          <w:color w:val="000000" w:themeColor="text1"/>
          <w:szCs w:val="24"/>
          <w:lang w:val="it-IT"/>
        </w:rPr>
        <w:t>Parashikimet bazohen në premisa të besueshme për rritjen e investimeve dhe mundësitë për tërheqjen e investitorëve të huaj, bazuar në harmonizimin e ligjit shqiptar me normat e BE-së. Megjithatë, ka rrezik që ndarja e kapitalit dhe investimet e huaja të ndikohen nga sfida të papritura si mungesa e mbështetjes institucionale për të menaxhuar këtë kalim dhe mundësia e ndonjë vonese të theksuar në implementimin e teknologjisë së re</w:t>
      </w:r>
      <w:r w:rsidR="007E3668">
        <w:rPr>
          <w:color w:val="000000" w:themeColor="text1"/>
          <w:szCs w:val="24"/>
          <w:lang w:val="it-IT"/>
        </w:rPr>
        <w:t xml:space="preserve"> digjitale.</w:t>
      </w:r>
    </w:p>
    <w:p w14:paraId="166757AD" w14:textId="77777777" w:rsidR="00D957B1" w:rsidRPr="00D957B1" w:rsidRDefault="00D957B1" w:rsidP="00D957B1">
      <w:pPr>
        <w:pBdr>
          <w:top w:val="nil"/>
          <w:left w:val="nil"/>
          <w:bottom w:val="nil"/>
          <w:right w:val="nil"/>
          <w:between w:val="nil"/>
          <w:bar w:val="nil"/>
        </w:pBdr>
        <w:spacing w:line="276" w:lineRule="auto"/>
        <w:ind w:right="20"/>
        <w:jc w:val="both"/>
        <w:rPr>
          <w:color w:val="000000" w:themeColor="text1"/>
          <w:szCs w:val="24"/>
          <w:lang w:val="it-IT"/>
        </w:rPr>
      </w:pPr>
    </w:p>
    <w:p w14:paraId="2078681D" w14:textId="463EDB94" w:rsidR="00D957B1" w:rsidRPr="00D957B1" w:rsidRDefault="00274855" w:rsidP="006D0629">
      <w:pPr>
        <w:pStyle w:val="ListParagraph"/>
        <w:numPr>
          <w:ilvl w:val="0"/>
          <w:numId w:val="22"/>
        </w:numPr>
        <w:pBdr>
          <w:top w:val="nil"/>
          <w:left w:val="nil"/>
          <w:bottom w:val="nil"/>
          <w:right w:val="nil"/>
          <w:between w:val="nil"/>
          <w:bar w:val="nil"/>
        </w:pBdr>
        <w:spacing w:line="276" w:lineRule="auto"/>
        <w:ind w:right="20"/>
        <w:jc w:val="both"/>
        <w:rPr>
          <w:rFonts w:ascii="Times New Roman" w:hAnsi="Times New Roman"/>
          <w:color w:val="000000" w:themeColor="text1"/>
          <w:sz w:val="24"/>
          <w:szCs w:val="24"/>
          <w:lang w:val="it-IT"/>
        </w:rPr>
      </w:pPr>
      <w:r w:rsidRPr="00D957B1">
        <w:rPr>
          <w:rFonts w:ascii="Times New Roman" w:hAnsi="Times New Roman"/>
          <w:color w:val="000000" w:themeColor="text1"/>
          <w:sz w:val="24"/>
          <w:szCs w:val="24"/>
          <w:lang w:val="it-IT"/>
        </w:rPr>
        <w:t>Pengesat që mund të ndikojnë në realizimin e përfitimeve</w:t>
      </w:r>
      <w:r w:rsidRPr="00D957B1">
        <w:rPr>
          <w:rFonts w:ascii="Times New Roman" w:hAnsi="Times New Roman"/>
          <w:b/>
          <w:bCs/>
          <w:color w:val="000000" w:themeColor="text1"/>
          <w:sz w:val="24"/>
          <w:szCs w:val="24"/>
          <w:lang w:val="it-IT"/>
        </w:rPr>
        <w:t>:</w:t>
      </w:r>
    </w:p>
    <w:p w14:paraId="18436BC7" w14:textId="7EB47327" w:rsidR="00B273A2" w:rsidRDefault="00B273A2" w:rsidP="00B273A2">
      <w:pPr>
        <w:pStyle w:val="Heading1"/>
        <w:spacing w:line="276" w:lineRule="auto"/>
        <w:jc w:val="both"/>
        <w:rPr>
          <w:rFonts w:ascii="Times New Roman" w:hAnsi="Times New Roman" w:cs="Times New Roman"/>
          <w:b w:val="0"/>
          <w:bCs w:val="0"/>
          <w:color w:val="000000" w:themeColor="text1"/>
          <w:spacing w:val="0"/>
          <w:kern w:val="0"/>
          <w:sz w:val="24"/>
          <w:szCs w:val="24"/>
          <w:lang w:val="it-IT"/>
        </w:rPr>
      </w:pPr>
      <w:r w:rsidRPr="00B273A2">
        <w:rPr>
          <w:rFonts w:ascii="Times New Roman" w:hAnsi="Times New Roman" w:cs="Times New Roman"/>
          <w:b w:val="0"/>
          <w:bCs w:val="0"/>
          <w:color w:val="000000" w:themeColor="text1"/>
          <w:spacing w:val="0"/>
          <w:kern w:val="0"/>
          <w:sz w:val="24"/>
          <w:szCs w:val="24"/>
          <w:lang w:val="it-IT"/>
        </w:rPr>
        <w:t>Përfitimet që lidhen me krijimin e një mjedisi më të thjeshtë për SME mund të përkthehen në rritjen e numrit të biznesve të regjistruara dhe operacioneve të reja, duke ndikuar pozitivisht në punësimin dhe rritjen e produktivitetit.</w:t>
      </w:r>
      <w:r w:rsidR="00BC33DB" w:rsidRPr="00BC33DB">
        <w:rPr>
          <w:lang w:val="it-IT"/>
        </w:rPr>
        <w:t xml:space="preserve"> </w:t>
      </w:r>
      <w:r w:rsidR="00BC33DB" w:rsidRPr="00BC33DB">
        <w:rPr>
          <w:rFonts w:ascii="Times New Roman" w:hAnsi="Times New Roman" w:cs="Times New Roman"/>
          <w:b w:val="0"/>
          <w:bCs w:val="0"/>
          <w:color w:val="000000" w:themeColor="text1"/>
          <w:spacing w:val="0"/>
          <w:kern w:val="0"/>
          <w:sz w:val="24"/>
          <w:szCs w:val="24"/>
          <w:lang w:val="it-IT"/>
        </w:rPr>
        <w:t>Pengesat mund të përfshijnë vonesat në ndërtimin e kapaciteteve institucionale dhe implementimin e mjetëve digjitale, të cilat do të kërkojnë burime të konsiderueshme financiare. Gjithashtu, ka mundësi që SMEs të përballen me vështirësi për t’u përshtatur me këto ndryshime për shkak të kostos dhe nevojës për trajnime të mëtejshme.</w:t>
      </w:r>
    </w:p>
    <w:p w14:paraId="2C15737C" w14:textId="77777777" w:rsidR="00A90C97" w:rsidRDefault="00A90C97" w:rsidP="00A90C97">
      <w:pPr>
        <w:rPr>
          <w:lang w:val="it-IT"/>
        </w:rPr>
      </w:pPr>
    </w:p>
    <w:p w14:paraId="4C09B77A" w14:textId="77777777" w:rsidR="00A90C97" w:rsidRDefault="00A90C97" w:rsidP="00A90C97">
      <w:pPr>
        <w:rPr>
          <w:u w:val="single"/>
          <w:lang w:val="it-IT"/>
        </w:rPr>
      </w:pPr>
      <w:r w:rsidRPr="00A90C97">
        <w:rPr>
          <w:u w:val="single"/>
          <w:lang w:val="it-IT"/>
        </w:rPr>
        <w:t>Përmblidhni vlerësimin e opsioneve:</w:t>
      </w:r>
    </w:p>
    <w:p w14:paraId="0D31331C" w14:textId="77777777" w:rsidR="00A90C97" w:rsidRPr="00A90C97" w:rsidRDefault="00A90C97" w:rsidP="00A90C97">
      <w:pPr>
        <w:rPr>
          <w:u w:val="single"/>
          <w:lang w:val="it-IT"/>
        </w:rPr>
      </w:pPr>
    </w:p>
    <w:p w14:paraId="4FA17014" w14:textId="77777777" w:rsidR="00E87888" w:rsidRPr="00E87888" w:rsidRDefault="00E87888" w:rsidP="005F23C8">
      <w:pPr>
        <w:jc w:val="both"/>
        <w:rPr>
          <w:lang w:val="it-IT"/>
        </w:rPr>
      </w:pPr>
      <w:r w:rsidRPr="00E87888">
        <w:rPr>
          <w:lang w:val="it-IT"/>
        </w:rPr>
        <w:t>a) Pasqyrë përmbledhëse e ndikimeve të opsioneve të analizuara</w:t>
      </w:r>
    </w:p>
    <w:p w14:paraId="7F55A0A1" w14:textId="77777777" w:rsidR="00E87888" w:rsidRPr="00E87888" w:rsidRDefault="00E87888" w:rsidP="005F23C8">
      <w:pPr>
        <w:jc w:val="both"/>
        <w:rPr>
          <w:lang w:val="it-IT"/>
        </w:rPr>
      </w:pPr>
    </w:p>
    <w:p w14:paraId="130039E0" w14:textId="77777777" w:rsidR="00E87888" w:rsidRPr="00E87888" w:rsidRDefault="00E87888" w:rsidP="005F23C8">
      <w:pPr>
        <w:jc w:val="both"/>
        <w:rPr>
          <w:lang w:val="it-IT"/>
        </w:rPr>
      </w:pPr>
      <w:r w:rsidRPr="00E87888">
        <w:rPr>
          <w:lang w:val="it-IT"/>
        </w:rPr>
        <w:t>Ndikimet e parashikuara nga ndërhyrjet e propozuara në Ligjin nr. 9901/2008 pritet të jenë të shumanshme dhe të thella, me ndikim pozitiv në funksionimin e shoqërive tregtare dhe klimën e përgjithshme të të bërit biznes në Shqipëri. Ndryshimet do të çojnë në përmirësimin e mekanizmave të brendshëm të qeverisjes korporative, do të vendosin standarde të qarta mbi shpërndarjen e fitimit, mbrojtjen e kapitalit dhe transparencën në zotërimin dhe përdorimin e aksioneve të veta, si dhe do të përforcojnë kontrollin mbi përfaqësimin ligjor të shoqërive përmes ndalimeve për administratorët e papërshtatshëm. Këto masa synojnë të krijojnë një mjedis më të parashikueshëm dhe më të besueshëm për të gjithë pjesëmarrësit në treg, duke ndikuar pozitivisht në qasjen në financim, konkurrencën dhe tërheqjen e investimeve.</w:t>
      </w:r>
    </w:p>
    <w:p w14:paraId="0AB903BF" w14:textId="77777777" w:rsidR="00E87888" w:rsidRPr="00E87888" w:rsidRDefault="00E87888" w:rsidP="005F23C8">
      <w:pPr>
        <w:jc w:val="both"/>
        <w:rPr>
          <w:lang w:val="it-IT"/>
        </w:rPr>
      </w:pPr>
    </w:p>
    <w:p w14:paraId="76D160CB" w14:textId="77777777" w:rsidR="00E87888" w:rsidRPr="00E87888" w:rsidRDefault="00E87888" w:rsidP="005F23C8">
      <w:pPr>
        <w:jc w:val="both"/>
        <w:rPr>
          <w:lang w:val="it-IT"/>
        </w:rPr>
      </w:pPr>
      <w:r w:rsidRPr="00E87888">
        <w:rPr>
          <w:lang w:val="it-IT"/>
        </w:rPr>
        <w:t>Përfshirja e dispozitave të reja mbi pavlefshmërinë e bashkimeve dhe garantimi i mbrojtjes në rastet e transformimeve ndërmjet ofertës private dhe publike i afron mekanizmat mbrojtës shqiptarë me parimet themelore të së drejtës së BE-së, duke përmirësuar sigurinë juridike dhe duke ndihmuar në zhvillimin e një tregu të kapitalit më transparent dhe funksional. Këto reforma mbështesin një integrim më të thelluar të Shqipërisë në tregun e përbashkët të BE-së dhe përforcojnë pozitën e saj si një ekonomi në përafrim me rregullat evropiane.</w:t>
      </w:r>
    </w:p>
    <w:p w14:paraId="597B449B" w14:textId="77777777" w:rsidR="00E87888" w:rsidRPr="00E87888" w:rsidRDefault="00E87888" w:rsidP="005F23C8">
      <w:pPr>
        <w:jc w:val="both"/>
        <w:rPr>
          <w:lang w:val="it-IT"/>
        </w:rPr>
      </w:pPr>
    </w:p>
    <w:p w14:paraId="6903C7B2" w14:textId="77777777" w:rsidR="00E87888" w:rsidRPr="00E87888" w:rsidRDefault="00E87888" w:rsidP="005F23C8">
      <w:pPr>
        <w:jc w:val="both"/>
        <w:rPr>
          <w:lang w:val="it-IT"/>
        </w:rPr>
      </w:pPr>
      <w:r w:rsidRPr="00E87888">
        <w:rPr>
          <w:lang w:val="it-IT"/>
        </w:rPr>
        <w:t>b) Krahasimi i ndikimeve të opsioneve të analizuara</w:t>
      </w:r>
    </w:p>
    <w:p w14:paraId="5110EC40" w14:textId="77777777" w:rsidR="00E87888" w:rsidRPr="00E87888" w:rsidRDefault="00E87888" w:rsidP="005F23C8">
      <w:pPr>
        <w:jc w:val="both"/>
        <w:rPr>
          <w:lang w:val="it-IT"/>
        </w:rPr>
      </w:pPr>
    </w:p>
    <w:p w14:paraId="1144455E" w14:textId="154D9C9B" w:rsidR="00E87888" w:rsidRPr="00E87888" w:rsidRDefault="00E87888" w:rsidP="005F23C8">
      <w:pPr>
        <w:jc w:val="both"/>
        <w:rPr>
          <w:lang w:val="it-IT"/>
        </w:rPr>
      </w:pPr>
      <w:r w:rsidRPr="00E87888">
        <w:rPr>
          <w:lang w:val="it-IT"/>
        </w:rPr>
        <w:t xml:space="preserve">Në fazën e analizës janë marrë në shqyrtim tre opsione kryesore. Opsioni i parë – ndryshimi selektiv i Ligjit nr. 9901/2008 me qëllim harmonizimin e tij të plotë me kërkesat e Direktives (BE) 2017/1132 dhe </w:t>
      </w:r>
      <w:r w:rsidRPr="00E87888">
        <w:rPr>
          <w:lang w:val="it-IT"/>
        </w:rPr>
        <w:lastRenderedPageBreak/>
        <w:t>ndryshimeve të mëvonshme rezulton të jetë opsioni më praktik, më i arritshëm dhe më i lehtë për t’u implementuar nga institucionet dhe bizneset shqiptare. Ky opsion përfiton nga njohja dhe zbatimi tashmë i konsoliduar i ligjit ekzistues dhe mundëson integrimin e dispozitave të reja pa krijuar ngarkesë disproporcionale ose pasiguri interpretative për praktikuesit dhe autoritetet zbatuese.</w:t>
      </w:r>
    </w:p>
    <w:p w14:paraId="0325F321" w14:textId="77777777" w:rsidR="00E87888" w:rsidRPr="00E87888" w:rsidRDefault="00E87888" w:rsidP="005F23C8">
      <w:pPr>
        <w:jc w:val="both"/>
        <w:rPr>
          <w:lang w:val="it-IT"/>
        </w:rPr>
      </w:pPr>
    </w:p>
    <w:p w14:paraId="61ECF381" w14:textId="35B7C0E2" w:rsidR="00E87888" w:rsidRPr="00E87888" w:rsidRDefault="00E87888" w:rsidP="005F23C8">
      <w:pPr>
        <w:jc w:val="both"/>
        <w:rPr>
          <w:lang w:val="it-IT"/>
        </w:rPr>
      </w:pPr>
      <w:r w:rsidRPr="00E87888">
        <w:rPr>
          <w:lang w:val="it-IT"/>
        </w:rPr>
        <w:t>Opsioni i dytë miratimi i një ligji tërësisht të ri, të formuluar mbi modelin e drejtpërdrejtë të Direktives 2017/1132  ndonëse ofron një përputhshmëri tekstuale më të lartë, rezulton të jetë më pak efikas në praktikë. Kjo për shkak të nevojës për riformatim të plotë të arkitekturës ligjore, rikodifikim, rishikim të sistemit të referencave dhe trajnim të gjerë të aktorëve të përfshirë. Një ligj krejtësisht i ri do të kërkonte kohë të gjatë për tu përvetësuar, do të krijonte vështirësi të konsiderueshme të zbatimit dhe nuk do të siguronte një kalim të qetë institucional në afat të shkurtër.</w:t>
      </w:r>
    </w:p>
    <w:p w14:paraId="5A4696BF" w14:textId="77777777" w:rsidR="00E87888" w:rsidRPr="00E87888" w:rsidRDefault="00E87888" w:rsidP="005F23C8">
      <w:pPr>
        <w:jc w:val="both"/>
        <w:rPr>
          <w:lang w:val="it-IT"/>
        </w:rPr>
      </w:pPr>
    </w:p>
    <w:p w14:paraId="61120A08" w14:textId="77777777" w:rsidR="00E87888" w:rsidRPr="00E87888" w:rsidRDefault="00E87888" w:rsidP="005F23C8">
      <w:pPr>
        <w:jc w:val="both"/>
        <w:rPr>
          <w:lang w:val="it-IT"/>
        </w:rPr>
      </w:pPr>
      <w:r w:rsidRPr="00E87888">
        <w:rPr>
          <w:lang w:val="it-IT"/>
        </w:rPr>
        <w:t>Opsioni i mosndërhyrjes ose ruajtjes së status quo-së (opsioni zero) është përjashtuar që në fillim të analizës, pasi do të linte boshllëqe të mëdha në kuadrin ligjor dhe do të minonte detyrimet e Shqipërisë në kuadër të Marrëveshjes së Stabilizim-Asociimit dhe negociatave të anëtarësimit në BE.</w:t>
      </w:r>
    </w:p>
    <w:p w14:paraId="0C17BD49" w14:textId="77777777" w:rsidR="00E87888" w:rsidRPr="00E87888" w:rsidRDefault="00E87888" w:rsidP="00E87888">
      <w:pPr>
        <w:rPr>
          <w:lang w:val="it-IT"/>
        </w:rPr>
      </w:pPr>
    </w:p>
    <w:p w14:paraId="7CCEBD3E" w14:textId="424BB954" w:rsidR="00A90C97" w:rsidRPr="00A90C97" w:rsidRDefault="00A90C97" w:rsidP="00A90C97">
      <w:pPr>
        <w:rPr>
          <w:lang w:val="it-IT"/>
        </w:rPr>
      </w:pPr>
    </w:p>
    <w:p w14:paraId="223EECD6" w14:textId="77777777" w:rsidR="00A90C97" w:rsidRPr="00A90C97" w:rsidRDefault="00A90C97" w:rsidP="00A90C97">
      <w:pPr>
        <w:rPr>
          <w:lang w:val="it-IT"/>
        </w:rPr>
      </w:pPr>
      <w:r w:rsidRPr="00A90C97">
        <w:rPr>
          <w:lang w:val="it-IT"/>
        </w:rPr>
        <w:t>c. Përllogaritjet më të mira të përgjithshme neto të ndikimit me vlerë monetare të përcaktuar për çdo opsion:</w:t>
      </w:r>
    </w:p>
    <w:p w14:paraId="63108437" w14:textId="77777777" w:rsidR="00A90C97" w:rsidRPr="00A90C97" w:rsidRDefault="00A90C97" w:rsidP="00A90C97">
      <w:pPr>
        <w:rPr>
          <w:lang w:val="it-IT"/>
        </w:rPr>
      </w:pPr>
    </w:p>
    <w:p w14:paraId="5F6FB9DA" w14:textId="439EBA7F" w:rsidR="00A90C97" w:rsidRPr="00A90C97" w:rsidRDefault="00A90C97" w:rsidP="006D0DA9">
      <w:pPr>
        <w:jc w:val="both"/>
        <w:rPr>
          <w:lang w:val="it-IT"/>
        </w:rPr>
      </w:pPr>
      <w:r w:rsidRPr="00A90C97">
        <w:rPr>
          <w:lang w:val="it-IT"/>
        </w:rPr>
        <w:t xml:space="preserve">Përfitimet monetare nga implementimi i këtyre ndryshimeve ligjore mund të përkthehen në rritje të investimeve të huaja </w:t>
      </w:r>
      <w:r w:rsidR="0067070B">
        <w:rPr>
          <w:lang w:val="it-IT"/>
        </w:rPr>
        <w:t>të drejtpërdrejta</w:t>
      </w:r>
      <w:r w:rsidRPr="00A90C97">
        <w:rPr>
          <w:lang w:val="it-IT"/>
        </w:rPr>
        <w:t>, që mund të arrijnë disa milionë euro gjatë periudhës së parë pas implementimit të reformave. Ky investim do të kontribuoni në zhvillimin e sektorëve të shërbimeve, teknologjisë dhe prodhimit, duke sjellë rritje të mundshme të PBB-së dhe duke krijuar mundësi të reja për krijimin e vendeve të punës. Për më tepër, duke siguruar përputhshmëri të plotë me rregulloret e BE-së dhe duke përmirësuar konkurrencën, Shqipëria mund të rrisë pozicionin e saj si destinacion investimesh dhe të mundësojë operacione më të lehta dhe më të shpejta ndërkufitare.</w:t>
      </w:r>
    </w:p>
    <w:p w14:paraId="04C914F2" w14:textId="5C789044" w:rsidR="002125B7" w:rsidRPr="00325A1F" w:rsidRDefault="002125B7" w:rsidP="009D13F4">
      <w:pPr>
        <w:pStyle w:val="Heading1"/>
        <w:spacing w:line="276" w:lineRule="auto"/>
        <w:rPr>
          <w:rFonts w:ascii="Times New Roman" w:hAnsi="Times New Roman" w:cs="Times New Roman"/>
          <w:sz w:val="24"/>
          <w:szCs w:val="24"/>
          <w:lang w:val="sq-AL"/>
        </w:rPr>
      </w:pPr>
      <w:bookmarkStart w:id="24" w:name="_Hlk191987158"/>
      <w:r w:rsidRPr="00325A1F">
        <w:rPr>
          <w:rFonts w:ascii="Times New Roman" w:hAnsi="Times New Roman" w:cs="Times New Roman"/>
          <w:sz w:val="24"/>
          <w:szCs w:val="24"/>
          <w:lang w:val="sq-AL"/>
        </w:rPr>
        <w:t>Arsyetimi i opsionit të preferuar</w:t>
      </w:r>
    </w:p>
    <w:bookmarkEnd w:id="22"/>
    <w:p w14:paraId="31354DD3" w14:textId="1FA7A1C5" w:rsidR="0097570D" w:rsidRPr="0032145B" w:rsidRDefault="0097570D" w:rsidP="006D0629">
      <w:pPr>
        <w:pStyle w:val="ListParagraph"/>
        <w:numPr>
          <w:ilvl w:val="0"/>
          <w:numId w:val="13"/>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64F75D2F" w14:textId="175E81D6" w:rsidR="002125B7" w:rsidRDefault="0097570D" w:rsidP="006D0629">
      <w:pPr>
        <w:pStyle w:val="ListParagraph"/>
        <w:numPr>
          <w:ilvl w:val="0"/>
          <w:numId w:val="13"/>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bookmarkStart w:id="25" w:name="_Toc506919739"/>
    </w:p>
    <w:bookmarkEnd w:id="24"/>
    <w:p w14:paraId="2EDFED6F" w14:textId="77777777" w:rsidR="0043344E" w:rsidRDefault="0043344E" w:rsidP="00C60355">
      <w:pPr>
        <w:rPr>
          <w:b/>
          <w:bCs/>
          <w:color w:val="000000" w:themeColor="text1"/>
          <w:lang w:val="sq-AL"/>
        </w:rPr>
      </w:pPr>
    </w:p>
    <w:p w14:paraId="28258521" w14:textId="0CD39B90" w:rsidR="00C60355" w:rsidRPr="00EA2CCA" w:rsidRDefault="006624FC" w:rsidP="00C60355">
      <w:pPr>
        <w:rPr>
          <w:szCs w:val="24"/>
          <w:lang w:val="sq-AL"/>
        </w:rPr>
      </w:pPr>
      <w:r w:rsidRPr="006624FC">
        <w:rPr>
          <w:b/>
          <w:bCs/>
          <w:color w:val="000000" w:themeColor="text1"/>
          <w:lang w:val="sq-AL"/>
        </w:rPr>
        <w:t xml:space="preserve">Opsioni i preferuar është Opsioni </w:t>
      </w:r>
      <w:r w:rsidR="00181F2C">
        <w:rPr>
          <w:b/>
          <w:bCs/>
          <w:color w:val="000000" w:themeColor="text1"/>
          <w:lang w:val="sq-AL"/>
        </w:rPr>
        <w:t>1</w:t>
      </w:r>
      <w:r w:rsidRPr="006624FC">
        <w:rPr>
          <w:b/>
          <w:bCs/>
          <w:color w:val="000000" w:themeColor="text1"/>
          <w:lang w:val="sq-AL"/>
        </w:rPr>
        <w:t xml:space="preserve">- </w:t>
      </w:r>
      <w:r w:rsidR="00C60355" w:rsidRPr="00EA2CCA">
        <w:rPr>
          <w:b/>
          <w:bCs/>
          <w:szCs w:val="24"/>
          <w:u w:val="single"/>
          <w:lang w:val="sq-AL"/>
        </w:rPr>
        <w:t>Ndryshime në legjislacionin ekzistues</w:t>
      </w:r>
      <w:r w:rsidR="00C60355" w:rsidRPr="00EA2CCA">
        <w:rPr>
          <w:szCs w:val="24"/>
          <w:lang w:val="sq-AL"/>
        </w:rPr>
        <w:t xml:space="preserve">. </w:t>
      </w:r>
    </w:p>
    <w:p w14:paraId="427107B3" w14:textId="77777777" w:rsidR="00C60355" w:rsidRPr="00C60355" w:rsidRDefault="00C60355" w:rsidP="00C60355">
      <w:pPr>
        <w:rPr>
          <w:szCs w:val="24"/>
          <w:lang w:val="sq-AL"/>
        </w:rPr>
      </w:pPr>
    </w:p>
    <w:p w14:paraId="75EC1274" w14:textId="712AA782" w:rsidR="00E9319A" w:rsidRDefault="00E9319A" w:rsidP="00E9319A">
      <w:pPr>
        <w:jc w:val="both"/>
        <w:rPr>
          <w:bCs/>
          <w:szCs w:val="24"/>
          <w:lang w:val="sq-AL"/>
        </w:rPr>
      </w:pPr>
      <w:r w:rsidRPr="00E9319A">
        <w:rPr>
          <w:bCs/>
          <w:szCs w:val="24"/>
          <w:lang w:val="sq-AL"/>
        </w:rPr>
        <w:t>Ky opsion është zgjedhur si më i përshtatshmi për arsyet se ai ofron një qasje graduale, të kontrollueshme dhe të zbatueshme për përafrimin me acquis-in e Bashkimit Evropian, duke ndërtuar mbi një kuadër ligjor tashmë të konsoliduar dhe të njohur nga institucionet publike, bizneset dhe komuniteti i praktikuesve të ligjit. Ndryshimet e propozuara janë të fokusuara në adresimin e boshllëqeve specifike që janë identifikuar gjatë analizës së legjislacionit ekzistues në krahasim me kërkesat e Direktiv</w:t>
      </w:r>
      <w:r w:rsidR="00E260F6">
        <w:rPr>
          <w:bCs/>
          <w:szCs w:val="24"/>
          <w:lang w:val="sq-AL"/>
        </w:rPr>
        <w:t>ave të identifikuara në lart në këtë dokument</w:t>
      </w:r>
      <w:r w:rsidRPr="00E9319A">
        <w:rPr>
          <w:bCs/>
          <w:szCs w:val="24"/>
          <w:lang w:val="sq-AL"/>
        </w:rPr>
        <w:t>si dhe me zhvillimet e fundit të standardeve të qeverisjes korporative në nivel evropian.</w:t>
      </w:r>
      <w:r w:rsidR="008825DA">
        <w:rPr>
          <w:bCs/>
          <w:szCs w:val="24"/>
          <w:lang w:val="sq-AL"/>
        </w:rPr>
        <w:t xml:space="preserve"> </w:t>
      </w:r>
      <w:r w:rsidR="008825DA" w:rsidRPr="008825DA">
        <w:rPr>
          <w:bCs/>
          <w:szCs w:val="24"/>
          <w:lang w:val="sq-AL"/>
        </w:rPr>
        <w:t>Në përgjithësi, ndërhyrjet duhet të bëhen në një masë të plotë që i mundëson Shqipërisë të përmbushë plotësisht kërkesat e BE-së, duke i sjellë ato në legjislacionin aktual, pa krijuar ndryshime të panevojshme të strukturës ligjore të vendit. Ky proces duhet të përfshijë konsultime të vazhdueshme me aktorët e përfshirë, duke siguruar që ligji të jetë funksional dhe në përputhje me kërkesat e BE-së për transparencë, siguri dhe mundësi për zhvillim të qëndrueshëm ekonomik.</w:t>
      </w:r>
    </w:p>
    <w:p w14:paraId="4CAF7257" w14:textId="77777777" w:rsidR="00B44114" w:rsidRDefault="00B44114" w:rsidP="00E9319A">
      <w:pPr>
        <w:jc w:val="both"/>
        <w:rPr>
          <w:bCs/>
          <w:szCs w:val="24"/>
          <w:lang w:val="sq-AL"/>
        </w:rPr>
      </w:pPr>
    </w:p>
    <w:p w14:paraId="4597A520" w14:textId="4D1726F7" w:rsidR="00B44114" w:rsidRPr="00E9319A" w:rsidRDefault="00B44114" w:rsidP="00E9319A">
      <w:pPr>
        <w:jc w:val="both"/>
        <w:rPr>
          <w:bCs/>
          <w:szCs w:val="24"/>
          <w:lang w:val="sq-AL"/>
        </w:rPr>
      </w:pPr>
      <w:r w:rsidRPr="00B44114">
        <w:rPr>
          <w:bCs/>
          <w:szCs w:val="24"/>
          <w:lang w:val="sq-AL"/>
        </w:rPr>
        <w:t xml:space="preserve">Ky problem mund të trajtohet vetëm përmes ndryshimit të politikave, veçanërisht duke miratuar ligje dhe rregullore që do të adresojnë boshllëqet ligjore ekzistuese dhe do të krijojnë një mjedis ligjor të harmonizuar plotësisht me standardet e BE-së, detyrim ky sipas nenit 70 të MSA-së. Prandaj, trajtimi i këtij problemi kërkon domosdoshmërisht ndërhyrje rregullatore, si e vetmja mënyrë për të adresuar natyrën e tij dhe për të arritur harmonizimin me standardet e BE-së. Ndryshimi rregullator është i nevojshëm në dy drejtime kryesore. Së pari, politikisht, ai përfaqëson një angazhim të marrë në kuadër të negociatave të anëtarësimit në BE, ku përafrimi me acquis-in, përfshirë Direktivën (BE) 2017/1132, është një prioritet për mbylljen e Kapitullit 6 dhe avancimin e procesit të integrimit. Së dyti, ligjërisht, ky ndryshim rrjedh nga detyrimet e </w:t>
      </w:r>
      <w:r w:rsidRPr="00B44114">
        <w:rPr>
          <w:bCs/>
          <w:szCs w:val="24"/>
          <w:lang w:val="sq-AL"/>
        </w:rPr>
        <w:lastRenderedPageBreak/>
        <w:t>përcaktuara në Nenin 70 të Marrëveshjes së Stabilizim-Asociimit (MSA), e cila angazhon Shqipërinë për të harmonizuar gradualisht legjislacionin vendas me atë të BE-së. Prandaj, miratimi i ligjeve dhe rregulloreve të reja për të mbyllur boshllëqet ligjore ekzistuese duke përfshirë rregulla që forcojnë transparencën, mbrojnë të drejtat e aksionarëve dhe nxisin qeverisjen korporative të qëndrueshme përbën bazën e vetme për zgjidhjen efektive të problemit dhe krijimin e një mjedisi ligjor plotësisht të përafruar me standardet evropiane.</w:t>
      </w:r>
    </w:p>
    <w:p w14:paraId="7C8CF51B" w14:textId="77777777" w:rsidR="00E9319A" w:rsidRPr="00E9319A" w:rsidRDefault="00E9319A" w:rsidP="00E9319A">
      <w:pPr>
        <w:jc w:val="both"/>
        <w:rPr>
          <w:bCs/>
          <w:szCs w:val="24"/>
          <w:lang w:val="sq-AL"/>
        </w:rPr>
      </w:pPr>
    </w:p>
    <w:p w14:paraId="01DF864F" w14:textId="6E11AA26" w:rsidR="00C82FB8" w:rsidRPr="00C82FB8" w:rsidRDefault="00E9319A" w:rsidP="00C631BF">
      <w:pPr>
        <w:jc w:val="both"/>
        <w:rPr>
          <w:bCs/>
          <w:szCs w:val="24"/>
          <w:lang w:val="sq-AL"/>
        </w:rPr>
      </w:pPr>
      <w:r w:rsidRPr="00E9319A">
        <w:rPr>
          <w:bCs/>
          <w:szCs w:val="24"/>
          <w:lang w:val="sq-AL"/>
        </w:rPr>
        <w:t xml:space="preserve">Opsioni i ndryshimit të ligjit ekzistues është më realist dhe institucionalisht më i përballueshëm, pasi lejon përfshirjen e dispozitave të reja </w:t>
      </w:r>
      <w:r w:rsidR="00970FDC">
        <w:rPr>
          <w:bCs/>
          <w:szCs w:val="24"/>
          <w:lang w:val="sq-AL"/>
        </w:rPr>
        <w:t xml:space="preserve"> (</w:t>
      </w:r>
      <w:r w:rsidRPr="00E9319A">
        <w:rPr>
          <w:bCs/>
          <w:szCs w:val="24"/>
          <w:lang w:val="sq-AL"/>
        </w:rPr>
        <w:t>për shembull, rregullat mbi vetëdeklarimin dhe ndalimin e administratorëve të papërshtatshëm, përdorimin dhe kthimin e fitimit, kufizimet mbi aksionet e veta dhe garancitë në transformimet strukturore</w:t>
      </w:r>
      <w:r w:rsidR="00970FDC">
        <w:rPr>
          <w:bCs/>
          <w:szCs w:val="24"/>
          <w:lang w:val="sq-AL"/>
        </w:rPr>
        <w:t xml:space="preserve">) </w:t>
      </w:r>
      <w:r w:rsidRPr="00E9319A">
        <w:rPr>
          <w:bCs/>
          <w:szCs w:val="24"/>
          <w:lang w:val="sq-AL"/>
        </w:rPr>
        <w:t>pa cenuar koherencën sistematike të ligjit në fuqi dhe pa krijuar pasiguri apo mbingarkesë për subjektet zbatuese. Në vend që të rikonceptohet i gjithë ligji, kjo qasje përqendrohet në shtimin e dispozitave të qarta dhe të harmonizuara, që integrohen natyrshëm në strukturën ekzistuese të ligjit nr. 9901/2008</w:t>
      </w:r>
      <w:r w:rsidR="00C82FB8" w:rsidRPr="00C82FB8">
        <w:rPr>
          <w:bCs/>
          <w:szCs w:val="24"/>
          <w:lang w:val="sq-AL"/>
        </w:rPr>
        <w:t>. Përshtatjet duhet të bëhen në disa nivele siç është përshkruar në nën seksionin shkaqet e problemit.</w:t>
      </w:r>
    </w:p>
    <w:p w14:paraId="45236084" w14:textId="77777777" w:rsidR="00C82FB8" w:rsidRDefault="00C82FB8" w:rsidP="00E9319A">
      <w:pPr>
        <w:jc w:val="both"/>
        <w:rPr>
          <w:bCs/>
          <w:szCs w:val="24"/>
          <w:lang w:val="sq-AL"/>
        </w:rPr>
      </w:pPr>
    </w:p>
    <w:p w14:paraId="4BFE20EA" w14:textId="77777777" w:rsidR="00E9319A" w:rsidRPr="00E9319A" w:rsidRDefault="00E9319A" w:rsidP="00E9319A">
      <w:pPr>
        <w:jc w:val="both"/>
        <w:rPr>
          <w:bCs/>
          <w:szCs w:val="24"/>
          <w:lang w:val="sq-AL"/>
        </w:rPr>
      </w:pPr>
      <w:r w:rsidRPr="00E9319A">
        <w:rPr>
          <w:bCs/>
          <w:szCs w:val="24"/>
          <w:lang w:val="sq-AL"/>
        </w:rPr>
        <w:t>Për më tepër, kjo metodë ruan kohezionin institucional dhe shmang kostot dhe rezistencën që mund të lindin nga zëvendësimi i një ligji të konsoliduar me një instrument të ri juridik. Ajo lejon ndërhyrjen pa rritur barrën administrative për shoqëritë tregtare dhe ofron kohë për përshtatje, përfshirë mbështetje teknike për ndërmarrjet e vogla dhe të mesme që mund të përballen me vështirësi në zbatimin e detyrimeve të reja.</w:t>
      </w:r>
    </w:p>
    <w:p w14:paraId="6F41829A" w14:textId="77777777" w:rsidR="00E9319A" w:rsidRPr="00E9319A" w:rsidRDefault="00E9319A" w:rsidP="00E9319A">
      <w:pPr>
        <w:jc w:val="both"/>
        <w:rPr>
          <w:bCs/>
          <w:szCs w:val="24"/>
          <w:lang w:val="sq-AL"/>
        </w:rPr>
      </w:pPr>
    </w:p>
    <w:p w14:paraId="3F3C46BB" w14:textId="5055C6ED" w:rsidR="00E9319A" w:rsidRPr="00E9319A" w:rsidRDefault="00E9319A" w:rsidP="00E9319A">
      <w:pPr>
        <w:jc w:val="both"/>
        <w:rPr>
          <w:bCs/>
          <w:szCs w:val="24"/>
          <w:lang w:val="sq-AL"/>
        </w:rPr>
      </w:pPr>
      <w:r w:rsidRPr="00E9319A">
        <w:rPr>
          <w:bCs/>
          <w:szCs w:val="24"/>
          <w:lang w:val="sq-AL"/>
        </w:rPr>
        <w:t xml:space="preserve">Në aspektin financiar dhe operacional, ky opsion është më i përballueshëm për institucionet si Qendra Kombëtare e Biznesit (QKB) dhe </w:t>
      </w:r>
      <w:r w:rsidR="003A44E3">
        <w:rPr>
          <w:bCs/>
          <w:szCs w:val="24"/>
          <w:lang w:val="sq-AL"/>
        </w:rPr>
        <w:t>ME</w:t>
      </w:r>
      <w:r w:rsidRPr="00E9319A">
        <w:rPr>
          <w:bCs/>
          <w:szCs w:val="24"/>
          <w:lang w:val="sq-AL"/>
        </w:rPr>
        <w:t>, të cilat do të jenë të angazhuara në implementimin e dispozitave të reja për regjistrin e ndalimeve, verifikimin e deklaratave dhe përshtatjen e procedurave të regjistrimit dhe raportimit financiar. Këto institucione nuk kanë nevojë të krijojnë struktura të reja, por mund të përdorin infrastrukturën ekzistuese për të integruar zbatimin e ndryshimeve përmes rregulloreve nënligjore dhe përditësimit të sistemeve digjitale.</w:t>
      </w:r>
    </w:p>
    <w:p w14:paraId="06724649" w14:textId="77777777" w:rsidR="00E9319A" w:rsidRPr="00E9319A" w:rsidRDefault="00E9319A" w:rsidP="00E9319A">
      <w:pPr>
        <w:jc w:val="both"/>
        <w:rPr>
          <w:bCs/>
          <w:szCs w:val="24"/>
          <w:lang w:val="sq-AL"/>
        </w:rPr>
      </w:pPr>
    </w:p>
    <w:p w14:paraId="68FF0388" w14:textId="77777777" w:rsidR="00E9319A" w:rsidRPr="00E9319A" w:rsidRDefault="00E9319A" w:rsidP="00E9319A">
      <w:pPr>
        <w:jc w:val="both"/>
        <w:rPr>
          <w:bCs/>
          <w:szCs w:val="24"/>
          <w:lang w:val="sq-AL"/>
        </w:rPr>
      </w:pPr>
      <w:r w:rsidRPr="00E9319A">
        <w:rPr>
          <w:bCs/>
          <w:szCs w:val="24"/>
          <w:lang w:val="sq-AL"/>
        </w:rPr>
        <w:t>Nga këndvështrimi i harmonizimit ligjor, kjo qasje ofron gjithashtu fleksibilitet për të përfshirë në të ardhmen direktiva të tjera të BE-së që lidhen me qeverisjen e shoqërive, si ato mbi raportimin e qëndrueshmërisë apo reformat në të drejtën e falimentimit. Kjo do të mundësojë një përafrim të qëndrueshëm, dinamik dhe të kontrolluar të kuadrit kombëtar me evoluimin e standardeve evropiane, pa pasur nevojë për ndryshime rrënjësore çdo herë që acquis-i pëson rishikime.</w:t>
      </w:r>
    </w:p>
    <w:p w14:paraId="1A376E45" w14:textId="77777777" w:rsidR="00E9319A" w:rsidRPr="00E9319A" w:rsidRDefault="00E9319A" w:rsidP="00E9319A">
      <w:pPr>
        <w:jc w:val="both"/>
        <w:rPr>
          <w:bCs/>
          <w:szCs w:val="24"/>
          <w:lang w:val="sq-AL"/>
        </w:rPr>
      </w:pPr>
    </w:p>
    <w:p w14:paraId="705C630E" w14:textId="767F0908" w:rsidR="00C60355" w:rsidRPr="00C60355" w:rsidRDefault="00E9319A" w:rsidP="00C60355">
      <w:pPr>
        <w:jc w:val="both"/>
        <w:rPr>
          <w:bCs/>
          <w:szCs w:val="24"/>
          <w:lang w:val="sq-AL"/>
        </w:rPr>
      </w:pPr>
      <w:r w:rsidRPr="00E9319A">
        <w:rPr>
          <w:bCs/>
          <w:szCs w:val="24"/>
          <w:lang w:val="sq-AL"/>
        </w:rPr>
        <w:t>Përmbledhtas, Opsioni 1 është opsioni më i përshtatshëm në kushtet aktuale të Shqipërisë, sepse ndërton mbi një kuadër të qëndrueshëm, është më i lehtë për t’u implementuar, ofron përfitime të menjëhershme në aspektin e sigurisë ligjore dhe përputhshmërisë me BE-në, dhe minimizon kostot e adaptimit në krahasim me alternativa më radikale dhe të ngarkuara si kodifikimi i plotë nga e para (Opsioni 2).</w:t>
      </w:r>
    </w:p>
    <w:p w14:paraId="23510713" w14:textId="77777777" w:rsidR="00C60355" w:rsidRPr="00F447AA" w:rsidRDefault="00C60355" w:rsidP="00C60355">
      <w:pPr>
        <w:jc w:val="both"/>
        <w:rPr>
          <w:bCs/>
          <w:szCs w:val="24"/>
          <w:lang w:val="sq-AL"/>
        </w:rPr>
      </w:pPr>
      <w:r w:rsidRPr="00F447AA">
        <w:rPr>
          <w:bCs/>
          <w:szCs w:val="24"/>
          <w:lang w:val="sq-AL"/>
        </w:rPr>
        <w:t>Kostot Buxhetore</w:t>
      </w:r>
    </w:p>
    <w:p w14:paraId="5A580A5B" w14:textId="77777777" w:rsidR="008F2132" w:rsidRPr="00C631BF" w:rsidRDefault="008F2132" w:rsidP="00610F2D">
      <w:pPr>
        <w:tabs>
          <w:tab w:val="left" w:pos="454"/>
        </w:tabs>
        <w:jc w:val="both"/>
        <w:rPr>
          <w:szCs w:val="24"/>
          <w:highlight w:val="yellow"/>
          <w:lang w:val="sq-AL"/>
        </w:rPr>
      </w:pPr>
    </w:p>
    <w:p w14:paraId="30316793" w14:textId="161E428D" w:rsidR="007D4EDA" w:rsidRPr="00D756B5" w:rsidRDefault="007D4EDA" w:rsidP="00D756B5">
      <w:pPr>
        <w:tabs>
          <w:tab w:val="left" w:pos="454"/>
        </w:tabs>
        <w:spacing w:line="276" w:lineRule="auto"/>
        <w:jc w:val="both"/>
        <w:rPr>
          <w:noProof/>
          <w:szCs w:val="24"/>
          <w:lang w:val="sq-AL"/>
        </w:rPr>
      </w:pPr>
      <w:r w:rsidRPr="00D756B5">
        <w:rPr>
          <w:noProof/>
          <w:szCs w:val="24"/>
          <w:lang w:val="sq-AL"/>
        </w:rPr>
        <w:t>Duke qenë se kryerja e një analize sasiore të ndikimeve ekonomike për opsionin e preferuar rezulton e pamundur për shkak të mungesës së të dhënave të plota dhe të besueshme, si dhe për shkak të natyrës komplekse të ndërhyrjeve në sistemet ekzistuese IT, është konsideruar më e përshtatshme përdorimi i metodës së analizës me shumë kritere</w:t>
      </w:r>
      <w:r w:rsidR="00A651C0">
        <w:rPr>
          <w:noProof/>
          <w:szCs w:val="24"/>
          <w:lang w:val="sq-AL"/>
        </w:rPr>
        <w:t xml:space="preserve">. </w:t>
      </w:r>
      <w:r w:rsidRPr="00D756B5">
        <w:rPr>
          <w:noProof/>
          <w:szCs w:val="24"/>
          <w:lang w:val="sq-AL"/>
        </w:rPr>
        <w:t>Kjo qasje lejon vlerësimin e alternativave në bazë të kritereve cilësore dhe kuantitative të pjesshme, duke ofruar një pamje të balancuar të ndikimeve në kosto, efikasitet administrativ, ndikim në aktorët e prekur dhe qëndrueshmëri institucionale.</w:t>
      </w:r>
    </w:p>
    <w:p w14:paraId="725F3742" w14:textId="77777777" w:rsidR="007D4EDA" w:rsidRPr="00D756B5" w:rsidRDefault="007D4EDA" w:rsidP="00D756B5">
      <w:pPr>
        <w:tabs>
          <w:tab w:val="left" w:pos="454"/>
        </w:tabs>
        <w:spacing w:line="276" w:lineRule="auto"/>
        <w:jc w:val="both"/>
        <w:rPr>
          <w:noProof/>
          <w:szCs w:val="24"/>
          <w:lang w:val="sq-AL"/>
        </w:rPr>
      </w:pPr>
      <w:r w:rsidRPr="00D756B5">
        <w:rPr>
          <w:noProof/>
          <w:szCs w:val="24"/>
          <w:lang w:val="sq-AL"/>
        </w:rPr>
        <w:t>1. Kufizimet e analizës sasiore</w:t>
      </w:r>
    </w:p>
    <w:p w14:paraId="49D7DC68" w14:textId="77777777" w:rsidR="007D4EDA" w:rsidRPr="00D756B5" w:rsidRDefault="007D4EDA" w:rsidP="00D756B5">
      <w:pPr>
        <w:tabs>
          <w:tab w:val="left" w:pos="454"/>
        </w:tabs>
        <w:spacing w:line="276" w:lineRule="auto"/>
        <w:jc w:val="both"/>
        <w:rPr>
          <w:noProof/>
          <w:szCs w:val="24"/>
          <w:lang w:val="sq-AL"/>
        </w:rPr>
      </w:pPr>
      <w:r w:rsidRPr="00D756B5">
        <w:rPr>
          <w:noProof/>
          <w:szCs w:val="24"/>
          <w:lang w:val="sq-AL"/>
        </w:rPr>
        <w:t>Vlerësimi monetar i kostove dhe përfitimeve të ndryshimeve të parashikuara është i pjesshëm për disa arsye:</w:t>
      </w:r>
    </w:p>
    <w:p w14:paraId="20D71EB9" w14:textId="77777777" w:rsidR="00AC014C" w:rsidRPr="00D756B5" w:rsidRDefault="007D4EDA" w:rsidP="00D756B5">
      <w:pPr>
        <w:numPr>
          <w:ilvl w:val="0"/>
          <w:numId w:val="77"/>
        </w:numPr>
        <w:tabs>
          <w:tab w:val="left" w:pos="454"/>
        </w:tabs>
        <w:spacing w:line="276" w:lineRule="auto"/>
        <w:jc w:val="both"/>
        <w:rPr>
          <w:noProof/>
          <w:szCs w:val="24"/>
          <w:lang w:val="sq-AL"/>
        </w:rPr>
      </w:pPr>
      <w:r w:rsidRPr="00D756B5">
        <w:rPr>
          <w:noProof/>
          <w:szCs w:val="24"/>
          <w:lang w:val="sq-AL"/>
        </w:rPr>
        <w:t>Mungesa e informacionit të detajuar mbi arkitekturën e plotë të sistemeve IT ekzistuese dhe kapacitetet</w:t>
      </w:r>
    </w:p>
    <w:p w14:paraId="792F5E51" w14:textId="7BC071B5" w:rsidR="007D4EDA" w:rsidRPr="00D756B5" w:rsidRDefault="007D4EDA" w:rsidP="00D756B5">
      <w:pPr>
        <w:tabs>
          <w:tab w:val="left" w:pos="454"/>
        </w:tabs>
        <w:spacing w:line="276" w:lineRule="auto"/>
        <w:ind w:left="426"/>
        <w:jc w:val="both"/>
        <w:rPr>
          <w:noProof/>
          <w:szCs w:val="24"/>
          <w:lang w:val="sq-AL"/>
        </w:rPr>
      </w:pPr>
      <w:r w:rsidRPr="00D756B5">
        <w:rPr>
          <w:noProof/>
          <w:szCs w:val="24"/>
          <w:lang w:val="sq-AL"/>
        </w:rPr>
        <w:t>e tyre për t’u përshtatur me kërkesat e reja ligjore.</w:t>
      </w:r>
    </w:p>
    <w:p w14:paraId="6E915CBC" w14:textId="77777777" w:rsidR="00AC014C" w:rsidRPr="00D756B5" w:rsidRDefault="007D4EDA" w:rsidP="00D756B5">
      <w:pPr>
        <w:numPr>
          <w:ilvl w:val="0"/>
          <w:numId w:val="77"/>
        </w:numPr>
        <w:tabs>
          <w:tab w:val="left" w:pos="454"/>
        </w:tabs>
        <w:spacing w:line="276" w:lineRule="auto"/>
        <w:jc w:val="both"/>
        <w:rPr>
          <w:noProof/>
          <w:szCs w:val="24"/>
          <w:lang w:val="sq-AL"/>
        </w:rPr>
      </w:pPr>
      <w:r w:rsidRPr="00D756B5">
        <w:rPr>
          <w:noProof/>
          <w:szCs w:val="24"/>
          <w:lang w:val="sq-AL"/>
        </w:rPr>
        <w:t>Vështirësia në matjen e kostove indirekte, të tilla si trajnimi i stafit, adaptimi i dokumentacionit</w:t>
      </w:r>
    </w:p>
    <w:p w14:paraId="29422FC8" w14:textId="57EE5DCD" w:rsidR="007D4EDA" w:rsidRPr="00D756B5" w:rsidRDefault="007D4EDA" w:rsidP="00D756B5">
      <w:pPr>
        <w:tabs>
          <w:tab w:val="left" w:pos="454"/>
        </w:tabs>
        <w:spacing w:line="276" w:lineRule="auto"/>
        <w:ind w:left="426"/>
        <w:jc w:val="both"/>
        <w:rPr>
          <w:noProof/>
          <w:szCs w:val="24"/>
          <w:lang w:val="sq-AL"/>
        </w:rPr>
      </w:pPr>
      <w:r w:rsidRPr="00D756B5">
        <w:rPr>
          <w:noProof/>
          <w:szCs w:val="24"/>
          <w:lang w:val="sq-AL"/>
        </w:rPr>
        <w:lastRenderedPageBreak/>
        <w:t>procedural dhe ndikimet afatgjata në cilësinë e shërbimit.</w:t>
      </w:r>
    </w:p>
    <w:p w14:paraId="6B2FC3ED" w14:textId="54B97866" w:rsidR="007D4EDA" w:rsidRPr="00D756B5" w:rsidRDefault="007D4EDA" w:rsidP="00D756B5">
      <w:pPr>
        <w:tabs>
          <w:tab w:val="left" w:pos="454"/>
        </w:tabs>
        <w:spacing w:line="276" w:lineRule="auto"/>
        <w:ind w:left="426"/>
        <w:jc w:val="both"/>
        <w:rPr>
          <w:noProof/>
          <w:szCs w:val="24"/>
          <w:lang w:val="sq-AL"/>
        </w:rPr>
      </w:pPr>
    </w:p>
    <w:p w14:paraId="227C44C0" w14:textId="2E144090" w:rsidR="007D4EDA" w:rsidRPr="00D756B5" w:rsidRDefault="007D4EDA" w:rsidP="00D756B5">
      <w:pPr>
        <w:tabs>
          <w:tab w:val="left" w:pos="454"/>
        </w:tabs>
        <w:spacing w:line="276" w:lineRule="auto"/>
        <w:jc w:val="both"/>
        <w:rPr>
          <w:noProof/>
          <w:szCs w:val="24"/>
          <w:lang w:val="sq-AL"/>
        </w:rPr>
      </w:pPr>
      <w:r w:rsidRPr="00D756B5">
        <w:rPr>
          <w:noProof/>
          <w:szCs w:val="24"/>
          <w:lang w:val="sq-AL"/>
        </w:rPr>
        <w:t xml:space="preserve">Në këtë kontekst, çdo përpjekje për të llogaritur një </w:t>
      </w:r>
      <w:r w:rsidR="00A651C0">
        <w:rPr>
          <w:noProof/>
          <w:szCs w:val="24"/>
          <w:lang w:val="sq-AL"/>
        </w:rPr>
        <w:t>llogaritje kostosh</w:t>
      </w:r>
      <w:r w:rsidRPr="00D756B5">
        <w:rPr>
          <w:noProof/>
          <w:szCs w:val="24"/>
          <w:lang w:val="sq-AL"/>
        </w:rPr>
        <w:t xml:space="preserve"> do të prodhonte rezultate jo të plota dhe me shkallë të lartë pasigurie.</w:t>
      </w:r>
    </w:p>
    <w:p w14:paraId="146631B9" w14:textId="77777777" w:rsidR="007D4EDA" w:rsidRPr="00D756B5" w:rsidRDefault="007D4EDA" w:rsidP="00D756B5">
      <w:pPr>
        <w:tabs>
          <w:tab w:val="left" w:pos="454"/>
        </w:tabs>
        <w:spacing w:line="276" w:lineRule="auto"/>
        <w:jc w:val="both"/>
        <w:rPr>
          <w:noProof/>
          <w:szCs w:val="24"/>
          <w:lang w:val="sq-AL"/>
        </w:rPr>
      </w:pPr>
      <w:r w:rsidRPr="00D756B5">
        <w:rPr>
          <w:noProof/>
          <w:szCs w:val="24"/>
          <w:lang w:val="sq-AL"/>
        </w:rPr>
        <w:t>2. Qasja metodologjike dhe burimet e të dhënave</w:t>
      </w:r>
    </w:p>
    <w:p w14:paraId="2F8E53FC" w14:textId="77777777" w:rsidR="007D4EDA" w:rsidRPr="00D756B5" w:rsidRDefault="007D4EDA" w:rsidP="00D756B5">
      <w:pPr>
        <w:tabs>
          <w:tab w:val="left" w:pos="454"/>
        </w:tabs>
        <w:spacing w:line="276" w:lineRule="auto"/>
        <w:jc w:val="both"/>
        <w:rPr>
          <w:noProof/>
          <w:szCs w:val="24"/>
          <w:lang w:val="sq-AL"/>
        </w:rPr>
      </w:pPr>
      <w:r w:rsidRPr="00D756B5">
        <w:rPr>
          <w:noProof/>
          <w:szCs w:val="24"/>
          <w:lang w:val="sq-AL"/>
        </w:rPr>
        <w:t>Në vend të kësaj, është aplikuar një qasje empirike, e bazuar në:</w:t>
      </w:r>
    </w:p>
    <w:p w14:paraId="0238B2DB" w14:textId="3A9635FB" w:rsidR="007D4EDA" w:rsidRPr="00D756B5" w:rsidRDefault="007D4EDA" w:rsidP="00D756B5">
      <w:pPr>
        <w:numPr>
          <w:ilvl w:val="0"/>
          <w:numId w:val="78"/>
        </w:numPr>
        <w:tabs>
          <w:tab w:val="clear" w:pos="720"/>
          <w:tab w:val="left" w:pos="454"/>
          <w:tab w:val="num" w:pos="567"/>
        </w:tabs>
        <w:spacing w:line="276" w:lineRule="auto"/>
        <w:ind w:left="567" w:hanging="141"/>
        <w:jc w:val="both"/>
        <w:rPr>
          <w:noProof/>
          <w:szCs w:val="24"/>
          <w:lang w:val="sq-AL"/>
        </w:rPr>
      </w:pPr>
      <w:r w:rsidRPr="00D756B5">
        <w:rPr>
          <w:noProof/>
          <w:szCs w:val="24"/>
          <w:lang w:val="sq-AL"/>
        </w:rPr>
        <w:t>Analiza krahasimore të RIA-ve të ngjashme në sektorë të tjerë, ku janë vlerësuar kostot e përshtatjeve</w:t>
      </w:r>
      <w:r w:rsidR="00267D3B">
        <w:rPr>
          <w:noProof/>
          <w:szCs w:val="24"/>
          <w:lang w:val="sq-AL"/>
        </w:rPr>
        <w:t xml:space="preserve"> </w:t>
      </w:r>
      <w:r w:rsidRPr="00D756B5">
        <w:rPr>
          <w:noProof/>
          <w:szCs w:val="24"/>
          <w:lang w:val="sq-AL"/>
        </w:rPr>
        <w:t>ligjore dhe teknologjike;</w:t>
      </w:r>
    </w:p>
    <w:p w14:paraId="6C0DC48B" w14:textId="77777777" w:rsidR="00267D3B" w:rsidRPr="00A651C0" w:rsidRDefault="00267D3B" w:rsidP="00267D3B">
      <w:pPr>
        <w:tabs>
          <w:tab w:val="left" w:pos="454"/>
        </w:tabs>
        <w:spacing w:line="276" w:lineRule="auto"/>
        <w:jc w:val="both"/>
        <w:rPr>
          <w:noProof/>
          <w:szCs w:val="24"/>
          <w:lang w:val="sq-AL"/>
        </w:rPr>
      </w:pPr>
    </w:p>
    <w:p w14:paraId="543239E6" w14:textId="148276A1" w:rsidR="007D4EDA" w:rsidRPr="00D756B5" w:rsidRDefault="007D4EDA" w:rsidP="00D756B5">
      <w:pPr>
        <w:pStyle w:val="ListParagraph"/>
        <w:numPr>
          <w:ilvl w:val="0"/>
          <w:numId w:val="79"/>
        </w:numPr>
        <w:tabs>
          <w:tab w:val="left" w:pos="454"/>
        </w:tabs>
        <w:spacing w:line="276" w:lineRule="auto"/>
        <w:ind w:left="567"/>
        <w:jc w:val="both"/>
        <w:rPr>
          <w:noProof/>
          <w:szCs w:val="24"/>
          <w:lang w:val="sq-AL"/>
        </w:rPr>
      </w:pPr>
      <w:r w:rsidRPr="00D756B5">
        <w:rPr>
          <w:rFonts w:ascii="Times New Roman" w:hAnsi="Times New Roman"/>
          <w:noProof/>
          <w:szCs w:val="24"/>
          <w:lang w:val="sq-AL"/>
        </w:rPr>
        <w:t xml:space="preserve">Të dhëna të mbledhura nga platforma publike të prokurimeve, veçanërisht </w:t>
      </w:r>
      <w:hyperlink r:id="rId11" w:tgtFrame="_new" w:history="1">
        <w:r w:rsidRPr="00D756B5">
          <w:rPr>
            <w:rStyle w:val="Hyperlink"/>
            <w:rFonts w:ascii="Times New Roman" w:hAnsi="Times New Roman"/>
            <w:noProof/>
            <w:szCs w:val="24"/>
            <w:lang w:val="sq-AL"/>
          </w:rPr>
          <w:t>openprocurement.al</w:t>
        </w:r>
      </w:hyperlink>
      <w:r w:rsidRPr="00D756B5">
        <w:rPr>
          <w:rFonts w:ascii="Times New Roman" w:hAnsi="Times New Roman"/>
          <w:noProof/>
          <w:szCs w:val="24"/>
          <w:lang w:val="sq-AL"/>
        </w:rPr>
        <w:t>, për tendera që lidhen me zhvillimin dhe zgjerimin e platformave elektronike të administruara nga Agjencia Kombëtare e Shoqërisë së Informacionit (AKSHI);</w:t>
      </w:r>
    </w:p>
    <w:p w14:paraId="25E40B32" w14:textId="152EA57F" w:rsidR="007D4EDA" w:rsidRPr="00D756B5" w:rsidRDefault="007D4EDA" w:rsidP="00D756B5">
      <w:pPr>
        <w:numPr>
          <w:ilvl w:val="0"/>
          <w:numId w:val="78"/>
        </w:numPr>
        <w:tabs>
          <w:tab w:val="clear" w:pos="720"/>
          <w:tab w:val="num" w:pos="360"/>
          <w:tab w:val="left" w:pos="454"/>
        </w:tabs>
        <w:spacing w:line="276" w:lineRule="auto"/>
        <w:ind w:left="567" w:hanging="283"/>
        <w:jc w:val="both"/>
        <w:rPr>
          <w:noProof/>
          <w:szCs w:val="24"/>
          <w:lang w:val="sq-AL"/>
        </w:rPr>
      </w:pPr>
      <w:r w:rsidRPr="00D756B5">
        <w:rPr>
          <w:noProof/>
          <w:szCs w:val="24"/>
          <w:lang w:val="sq-AL"/>
        </w:rPr>
        <w:t>Informacione shtesë nga projekte publike të financuara për përmirësimin e infrastrukturës IT në</w:t>
      </w:r>
      <w:r w:rsidR="00267D3B" w:rsidRPr="00A651C0">
        <w:rPr>
          <w:noProof/>
          <w:szCs w:val="24"/>
          <w:lang w:val="sq-AL"/>
        </w:rPr>
        <w:t xml:space="preserve"> </w:t>
      </w:r>
      <w:r w:rsidRPr="00D756B5">
        <w:rPr>
          <w:noProof/>
          <w:szCs w:val="24"/>
          <w:lang w:val="sq-AL"/>
        </w:rPr>
        <w:t>institucione të ndryshme shtetërore.</w:t>
      </w:r>
    </w:p>
    <w:p w14:paraId="388E3117" w14:textId="37CD1338" w:rsidR="007D4EDA" w:rsidRPr="00D756B5" w:rsidRDefault="007D4EDA" w:rsidP="00D756B5">
      <w:pPr>
        <w:tabs>
          <w:tab w:val="left" w:pos="454"/>
        </w:tabs>
        <w:spacing w:line="276" w:lineRule="auto"/>
        <w:jc w:val="both"/>
        <w:rPr>
          <w:noProof/>
          <w:szCs w:val="24"/>
          <w:lang w:val="sq-AL"/>
        </w:rPr>
      </w:pPr>
      <w:r w:rsidRPr="00D756B5">
        <w:rPr>
          <w:noProof/>
          <w:szCs w:val="24"/>
          <w:lang w:val="sq-AL"/>
        </w:rPr>
        <w:t>Bazuar në këto të dhëna, është vlerësuar se tenderat për përmirësime të sistemeve IT kanë pasur vlera që variojnë nga 800,000 lekë</w:t>
      </w:r>
      <w:r w:rsidR="00A651C0">
        <w:rPr>
          <w:noProof/>
          <w:szCs w:val="24"/>
          <w:lang w:val="sq-AL"/>
        </w:rPr>
        <w:t>, 2,800,000 lekë e</w:t>
      </w:r>
      <w:r w:rsidRPr="00D756B5">
        <w:rPr>
          <w:noProof/>
          <w:szCs w:val="24"/>
          <w:lang w:val="sq-AL"/>
        </w:rPr>
        <w:t xml:space="preserve"> deri në 56,000,000 lekë, me një mesatare rreth </w:t>
      </w:r>
      <w:r w:rsidR="00A651C0">
        <w:rPr>
          <w:noProof/>
          <w:szCs w:val="24"/>
          <w:lang w:val="sq-AL"/>
        </w:rPr>
        <w:t>19</w:t>
      </w:r>
      <w:r w:rsidR="00A651C0" w:rsidRPr="0061627A">
        <w:rPr>
          <w:noProof/>
          <w:szCs w:val="24"/>
          <w:lang w:val="sq-AL"/>
        </w:rPr>
        <w:t>,</w:t>
      </w:r>
      <w:r w:rsidR="00A651C0">
        <w:rPr>
          <w:noProof/>
          <w:szCs w:val="24"/>
          <w:lang w:val="sq-AL"/>
        </w:rPr>
        <w:t>866</w:t>
      </w:r>
      <w:r w:rsidR="00A651C0" w:rsidRPr="0061627A">
        <w:rPr>
          <w:noProof/>
          <w:szCs w:val="24"/>
          <w:lang w:val="sq-AL"/>
        </w:rPr>
        <w:t>,</w:t>
      </w:r>
      <w:r w:rsidR="00A651C0">
        <w:rPr>
          <w:noProof/>
          <w:szCs w:val="24"/>
          <w:lang w:val="sq-AL"/>
        </w:rPr>
        <w:t>667</w:t>
      </w:r>
      <w:r w:rsidR="00A651C0" w:rsidRPr="0061627A">
        <w:rPr>
          <w:noProof/>
          <w:szCs w:val="24"/>
          <w:lang w:val="sq-AL"/>
        </w:rPr>
        <w:t xml:space="preserve"> lekë</w:t>
      </w:r>
      <w:r w:rsidR="00A651C0" w:rsidRPr="00A651C0">
        <w:rPr>
          <w:noProof/>
          <w:szCs w:val="24"/>
          <w:lang w:val="sq-AL"/>
        </w:rPr>
        <w:t xml:space="preserve"> </w:t>
      </w:r>
      <w:r w:rsidRPr="00D756B5">
        <w:rPr>
          <w:noProof/>
          <w:szCs w:val="24"/>
          <w:lang w:val="sq-AL"/>
        </w:rPr>
        <w:t>për një projekt tipik të përmirësimit të infrastrukturës teknologjike</w:t>
      </w:r>
      <w:r w:rsidR="00A651C0">
        <w:rPr>
          <w:noProof/>
          <w:szCs w:val="24"/>
          <w:lang w:val="sq-AL"/>
        </w:rPr>
        <w:t xml:space="preserve"> në vit.</w:t>
      </w:r>
    </w:p>
    <w:p w14:paraId="41FE1479" w14:textId="77777777" w:rsidR="007D4EDA" w:rsidRPr="00D756B5" w:rsidRDefault="007D4EDA" w:rsidP="00D756B5">
      <w:pPr>
        <w:tabs>
          <w:tab w:val="left" w:pos="454"/>
        </w:tabs>
        <w:spacing w:line="276" w:lineRule="auto"/>
        <w:jc w:val="both"/>
        <w:rPr>
          <w:noProof/>
          <w:szCs w:val="24"/>
          <w:lang w:val="sq-AL"/>
        </w:rPr>
      </w:pPr>
      <w:r w:rsidRPr="00D756B5">
        <w:rPr>
          <w:noProof/>
          <w:szCs w:val="24"/>
          <w:lang w:val="sq-AL"/>
        </w:rPr>
        <w:t>Shtuar kësaj, kostot për trajnime të stafit dhe përditësimin e dokumentacionit procedural vlerësohen në intervalin 130,000 – 150,000 lekë në vit. Duke marrë një vlerësim të rrumbullakosur dhe konservativ, totali për tre vitet e para përllogaritet në rreth 20,000,000 lekë.</w:t>
      </w:r>
    </w:p>
    <w:p w14:paraId="49BD6C70" w14:textId="77777777" w:rsidR="008F2132" w:rsidRPr="007D4EDA" w:rsidRDefault="008F2132" w:rsidP="30EE1AA0">
      <w:pPr>
        <w:tabs>
          <w:tab w:val="left" w:pos="454"/>
        </w:tabs>
        <w:jc w:val="both"/>
        <w:rPr>
          <w:lang w:val="sq-AL"/>
        </w:rPr>
      </w:pPr>
    </w:p>
    <w:p w14:paraId="11CA3B3E" w14:textId="77777777" w:rsidR="00610F2D" w:rsidRDefault="00610F2D" w:rsidP="00610F2D">
      <w:pPr>
        <w:tabs>
          <w:tab w:val="left" w:pos="454"/>
        </w:tabs>
        <w:jc w:val="both"/>
        <w:rPr>
          <w:szCs w:val="24"/>
          <w:lang w:val="sq-AL"/>
        </w:rPr>
      </w:pPr>
      <w:r w:rsidRPr="00821922">
        <w:rPr>
          <w:szCs w:val="24"/>
          <w:lang w:val="sq-AL"/>
        </w:rPr>
        <w:t xml:space="preserve">Si rezultat kemi identifikuar 5 kritere me rëndësi për të vlerësuar: </w:t>
      </w:r>
    </w:p>
    <w:p w14:paraId="2DF0AC82" w14:textId="77777777" w:rsidR="008F2132" w:rsidRPr="00821922" w:rsidRDefault="008F2132" w:rsidP="00610F2D">
      <w:pPr>
        <w:tabs>
          <w:tab w:val="left" w:pos="454"/>
        </w:tabs>
        <w:jc w:val="both"/>
        <w:rPr>
          <w:szCs w:val="24"/>
          <w:lang w:val="sq-AL"/>
        </w:rPr>
      </w:pPr>
    </w:p>
    <w:p w14:paraId="164F613D" w14:textId="6DB566D9" w:rsidR="00610F2D" w:rsidRPr="00821922" w:rsidRDefault="00610F2D" w:rsidP="30EE1AA0">
      <w:pPr>
        <w:numPr>
          <w:ilvl w:val="0"/>
          <w:numId w:val="15"/>
        </w:numPr>
        <w:tabs>
          <w:tab w:val="left" w:pos="454"/>
        </w:tabs>
        <w:spacing w:after="160" w:line="259" w:lineRule="auto"/>
        <w:contextualSpacing/>
        <w:jc w:val="both"/>
        <w:rPr>
          <w:lang w:val="sq-AL"/>
        </w:rPr>
      </w:pPr>
      <w:r w:rsidRPr="30EE1AA0">
        <w:rPr>
          <w:lang w:val="sq-AL"/>
        </w:rPr>
        <w:t xml:space="preserve">Përmirësimi, harmonizimi dhe qartësimi i kuadrit ligjor lidhur me </w:t>
      </w:r>
      <w:r w:rsidR="008F2132" w:rsidRPr="30EE1AA0">
        <w:rPr>
          <w:color w:val="000000" w:themeColor="text1"/>
          <w:lang w:val="sq-AL"/>
        </w:rPr>
        <w:t>shoqëritë tregtare</w:t>
      </w:r>
      <w:r w:rsidR="003416F3" w:rsidRPr="30EE1AA0">
        <w:rPr>
          <w:color w:val="000000" w:themeColor="text1"/>
          <w:lang w:val="sq-AL"/>
        </w:rPr>
        <w:t xml:space="preserve"> mbi bazën</w:t>
      </w:r>
      <w:r w:rsidR="00BE46BF" w:rsidRPr="30EE1AA0">
        <w:rPr>
          <w:color w:val="000000" w:themeColor="text1"/>
          <w:lang w:val="sq-AL"/>
        </w:rPr>
        <w:t xml:space="preserve"> e ligjeve ekzistuese</w:t>
      </w:r>
      <w:r w:rsidRPr="30EE1AA0">
        <w:rPr>
          <w:lang w:val="sq-AL"/>
        </w:rPr>
        <w:t xml:space="preserve"> - </w:t>
      </w:r>
      <w:r w:rsidR="24DB0952" w:rsidRPr="30EE1AA0">
        <w:rPr>
          <w:lang w:val="sq-AL"/>
        </w:rPr>
        <w:t>5</w:t>
      </w:r>
    </w:p>
    <w:p w14:paraId="7E521EF9" w14:textId="23611B0B" w:rsidR="00610F2D" w:rsidRPr="00821922" w:rsidRDefault="00610F2D" w:rsidP="006D0629">
      <w:pPr>
        <w:numPr>
          <w:ilvl w:val="0"/>
          <w:numId w:val="15"/>
        </w:numPr>
        <w:tabs>
          <w:tab w:val="left" w:pos="454"/>
        </w:tabs>
        <w:spacing w:after="160" w:line="259" w:lineRule="auto"/>
        <w:contextualSpacing/>
        <w:jc w:val="both"/>
        <w:rPr>
          <w:szCs w:val="24"/>
          <w:lang w:val="sq-AL"/>
        </w:rPr>
      </w:pPr>
      <w:r w:rsidRPr="3E6ACF77">
        <w:rPr>
          <w:szCs w:val="24"/>
          <w:lang w:val="sq-AL"/>
        </w:rPr>
        <w:t xml:space="preserve">Përfshirja </w:t>
      </w:r>
      <w:r w:rsidR="00D42082" w:rsidRPr="00D42082">
        <w:rPr>
          <w:szCs w:val="24"/>
          <w:lang w:val="sq-AL"/>
        </w:rPr>
        <w:t xml:space="preserve">e bashkimit, ndarjes ndërkufitare, mbrojtjes aksionare etj në ligje tashmë të njohura </w:t>
      </w:r>
      <w:r w:rsidRPr="3E6ACF77">
        <w:rPr>
          <w:szCs w:val="24"/>
          <w:lang w:val="sq-AL"/>
        </w:rPr>
        <w:t>–</w:t>
      </w:r>
      <w:r>
        <w:rPr>
          <w:szCs w:val="24"/>
          <w:lang w:val="sq-AL"/>
        </w:rPr>
        <w:t xml:space="preserve"> </w:t>
      </w:r>
      <w:r w:rsidRPr="3E6ACF77">
        <w:rPr>
          <w:szCs w:val="24"/>
          <w:lang w:val="sq-AL"/>
        </w:rPr>
        <w:t>3;</w:t>
      </w:r>
    </w:p>
    <w:p w14:paraId="2F7B310B" w14:textId="7C711E99" w:rsidR="00610F2D" w:rsidRDefault="00610F2D" w:rsidP="006D0629">
      <w:pPr>
        <w:numPr>
          <w:ilvl w:val="0"/>
          <w:numId w:val="15"/>
        </w:numPr>
        <w:tabs>
          <w:tab w:val="left" w:pos="454"/>
        </w:tabs>
        <w:spacing w:after="160" w:line="259" w:lineRule="auto"/>
        <w:contextualSpacing/>
        <w:jc w:val="both"/>
        <w:rPr>
          <w:szCs w:val="24"/>
          <w:lang w:val="sq-AL"/>
        </w:rPr>
      </w:pPr>
      <w:r w:rsidRPr="2F6D019E">
        <w:rPr>
          <w:szCs w:val="24"/>
          <w:lang w:val="sq-AL"/>
        </w:rPr>
        <w:t xml:space="preserve">Krijimi i mekanizmave për </w:t>
      </w:r>
      <w:r w:rsidR="00BE46BF">
        <w:rPr>
          <w:szCs w:val="24"/>
          <w:lang w:val="sq-AL"/>
        </w:rPr>
        <w:t>përafrim digjital</w:t>
      </w:r>
      <w:r w:rsidRPr="2F6D019E">
        <w:rPr>
          <w:szCs w:val="24"/>
          <w:lang w:val="sq-AL"/>
        </w:rPr>
        <w:t>; - 4</w:t>
      </w:r>
    </w:p>
    <w:p w14:paraId="24152CC5" w14:textId="3FA409EF" w:rsidR="00610F2D" w:rsidRPr="00821922" w:rsidRDefault="00610F2D" w:rsidP="006D0629">
      <w:pPr>
        <w:numPr>
          <w:ilvl w:val="0"/>
          <w:numId w:val="15"/>
        </w:numPr>
        <w:tabs>
          <w:tab w:val="left" w:pos="454"/>
        </w:tabs>
        <w:spacing w:after="160" w:line="259" w:lineRule="auto"/>
        <w:contextualSpacing/>
        <w:jc w:val="both"/>
        <w:rPr>
          <w:color w:val="000000" w:themeColor="text1"/>
          <w:szCs w:val="24"/>
          <w:lang w:val="sq-AL"/>
        </w:rPr>
      </w:pPr>
      <w:r>
        <w:rPr>
          <w:color w:val="000000" w:themeColor="text1"/>
          <w:szCs w:val="24"/>
          <w:lang w:val="sq-AL"/>
        </w:rPr>
        <w:t xml:space="preserve">Efikasiteti në </w:t>
      </w:r>
      <w:r w:rsidRPr="3E6ACF77">
        <w:rPr>
          <w:color w:val="000000" w:themeColor="text1"/>
          <w:szCs w:val="24"/>
          <w:lang w:val="sq-AL"/>
        </w:rPr>
        <w:t xml:space="preserve">nxitjen e zhvillimit ekonomik </w:t>
      </w:r>
      <w:r>
        <w:rPr>
          <w:color w:val="000000" w:themeColor="text1"/>
          <w:szCs w:val="24"/>
          <w:lang w:val="sq-AL"/>
        </w:rPr>
        <w:t xml:space="preserve">dhe </w:t>
      </w:r>
      <w:r w:rsidRPr="3E6ACF77">
        <w:rPr>
          <w:color w:val="000000" w:themeColor="text1"/>
          <w:szCs w:val="24"/>
          <w:lang w:val="sq-AL"/>
        </w:rPr>
        <w:t xml:space="preserve">shfrytëzimi me eficencë </w:t>
      </w:r>
      <w:r>
        <w:rPr>
          <w:color w:val="000000" w:themeColor="text1"/>
          <w:szCs w:val="24"/>
          <w:lang w:val="sq-AL"/>
        </w:rPr>
        <w:t xml:space="preserve">i </w:t>
      </w:r>
      <w:r w:rsidR="006D436A">
        <w:rPr>
          <w:color w:val="000000" w:themeColor="text1"/>
          <w:szCs w:val="24"/>
          <w:lang w:val="sq-AL"/>
        </w:rPr>
        <w:t>kuadrit ligjor</w:t>
      </w:r>
      <w:r w:rsidRPr="3E6ACF77">
        <w:rPr>
          <w:color w:val="000000" w:themeColor="text1"/>
          <w:szCs w:val="24"/>
          <w:lang w:val="sq-AL"/>
        </w:rPr>
        <w:t>.-3</w:t>
      </w:r>
    </w:p>
    <w:p w14:paraId="5B6336C4" w14:textId="2DA2DDBF" w:rsidR="00610F2D" w:rsidRDefault="00610F2D" w:rsidP="30EE1AA0">
      <w:pPr>
        <w:numPr>
          <w:ilvl w:val="0"/>
          <w:numId w:val="15"/>
        </w:numPr>
        <w:spacing w:after="160" w:line="259" w:lineRule="auto"/>
        <w:contextualSpacing/>
        <w:jc w:val="both"/>
        <w:rPr>
          <w:lang w:val="sq-AL"/>
        </w:rPr>
      </w:pPr>
      <w:r w:rsidRPr="30EE1AA0">
        <w:rPr>
          <w:lang w:val="sq-AL"/>
        </w:rPr>
        <w:t>Kosto</w:t>
      </w:r>
      <w:r w:rsidR="35B1C566" w:rsidRPr="30EE1AA0">
        <w:rPr>
          <w:lang w:val="sq-AL"/>
        </w:rPr>
        <w:t>-</w:t>
      </w:r>
      <w:r w:rsidR="000B2150" w:rsidRPr="30EE1AA0">
        <w:rPr>
          <w:lang w:val="sq-AL"/>
        </w:rPr>
        <w:t>e efektivi</w:t>
      </w:r>
      <w:r w:rsidR="00455285" w:rsidRPr="30EE1AA0">
        <w:rPr>
          <w:lang w:val="sq-AL"/>
        </w:rPr>
        <w:t>teti</w:t>
      </w:r>
      <w:r w:rsidRPr="30EE1AA0">
        <w:rPr>
          <w:lang w:val="sq-AL"/>
        </w:rPr>
        <w:t xml:space="preserve">; - </w:t>
      </w:r>
      <w:r w:rsidR="3CE7A007" w:rsidRPr="30EE1AA0">
        <w:rPr>
          <w:lang w:val="sq-AL"/>
        </w:rPr>
        <w:t>5</w:t>
      </w:r>
    </w:p>
    <w:p w14:paraId="0838D5B2" w14:textId="77777777" w:rsidR="00610F2D" w:rsidRDefault="00610F2D" w:rsidP="00610F2D">
      <w:pPr>
        <w:contextualSpacing/>
        <w:jc w:val="both"/>
        <w:rPr>
          <w:szCs w:val="24"/>
          <w:lang w:val="sq-AL"/>
        </w:rPr>
      </w:pPr>
    </w:p>
    <w:p w14:paraId="076AD500" w14:textId="77777777" w:rsidR="00610F2D" w:rsidRPr="00525217" w:rsidRDefault="00610F2D" w:rsidP="00610F2D">
      <w:pPr>
        <w:rPr>
          <w:szCs w:val="24"/>
          <w:lang w:val="sq-AL"/>
        </w:rPr>
      </w:pPr>
      <w:r w:rsidRPr="00525217">
        <w:rPr>
          <w:szCs w:val="24"/>
          <w:lang w:val="sq-AL"/>
        </w:rPr>
        <w:t xml:space="preserve">Këto kritere janë vlerësuar me pikë për secilin opsion si vijon: </w:t>
      </w:r>
    </w:p>
    <w:p w14:paraId="287A117B" w14:textId="77777777" w:rsidR="00610F2D" w:rsidRPr="00821922" w:rsidRDefault="00610F2D" w:rsidP="00610F2D">
      <w:pPr>
        <w:jc w:val="both"/>
        <w:rPr>
          <w:szCs w:val="24"/>
          <w:lang w:val="sq-AL"/>
        </w:rPr>
      </w:pPr>
    </w:p>
    <w:tbl>
      <w:tblPr>
        <w:tblStyle w:val="TableGrid111"/>
        <w:tblW w:w="0" w:type="auto"/>
        <w:jc w:val="center"/>
        <w:tblLook w:val="04A0" w:firstRow="1" w:lastRow="0" w:firstColumn="1" w:lastColumn="0" w:noHBand="0" w:noVBand="1"/>
      </w:tblPr>
      <w:tblGrid>
        <w:gridCol w:w="2688"/>
        <w:gridCol w:w="968"/>
        <w:gridCol w:w="1122"/>
        <w:gridCol w:w="1092"/>
        <w:gridCol w:w="1364"/>
        <w:gridCol w:w="1364"/>
      </w:tblGrid>
      <w:tr w:rsidR="002722A3" w:rsidRPr="00821922" w14:paraId="6B7633BA" w14:textId="3D56B925" w:rsidTr="00D756B5">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FD632A" w14:textId="77777777" w:rsidR="002722A3" w:rsidRPr="00821922" w:rsidRDefault="002722A3" w:rsidP="006D0629">
            <w:pPr>
              <w:jc w:val="both"/>
              <w:rPr>
                <w:rFonts w:ascii="Times New Roman" w:hAnsi="Times New Roman"/>
                <w:b/>
                <w:sz w:val="24"/>
                <w:szCs w:val="24"/>
                <w:lang w:val="sq-AL" w:eastAsia="en-GB"/>
              </w:rPr>
            </w:pPr>
            <w:r w:rsidRPr="00821922">
              <w:rPr>
                <w:rFonts w:ascii="Times New Roman" w:hAnsi="Times New Roman"/>
                <w:b/>
                <w:sz w:val="24"/>
                <w:szCs w:val="24"/>
                <w:lang w:val="sq-AL" w:eastAsia="en-GB"/>
              </w:rPr>
              <w:t xml:space="preserve">Kriteret </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2270A" w14:textId="77777777" w:rsidR="002722A3" w:rsidRPr="00821922" w:rsidRDefault="002722A3" w:rsidP="30EE1AA0">
            <w:pPr>
              <w:jc w:val="both"/>
              <w:rPr>
                <w:rFonts w:ascii="Times New Roman" w:hAnsi="Times New Roman"/>
                <w:b/>
                <w:bCs/>
                <w:sz w:val="24"/>
                <w:szCs w:val="24"/>
                <w:lang w:val="sq-AL" w:eastAsia="en-GB"/>
              </w:rPr>
            </w:pPr>
            <w:r w:rsidRPr="30EE1AA0">
              <w:rPr>
                <w:rFonts w:ascii="Times New Roman" w:hAnsi="Times New Roman"/>
                <w:b/>
                <w:bCs/>
                <w:sz w:val="24"/>
                <w:szCs w:val="24"/>
                <w:lang w:val="sq-AL" w:eastAsia="en-GB"/>
              </w:rPr>
              <w:t xml:space="preserve">Pesha </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3069F3" w14:textId="77777777" w:rsidR="002722A3" w:rsidRPr="00821922" w:rsidRDefault="002722A3" w:rsidP="006D0629">
            <w:pPr>
              <w:jc w:val="both"/>
              <w:rPr>
                <w:rFonts w:ascii="Times New Roman" w:hAnsi="Times New Roman"/>
                <w:b/>
                <w:sz w:val="24"/>
                <w:szCs w:val="24"/>
                <w:lang w:val="sq-AL" w:eastAsia="en-GB"/>
              </w:rPr>
            </w:pPr>
            <w:r w:rsidRPr="00821922">
              <w:rPr>
                <w:rFonts w:ascii="Times New Roman" w:hAnsi="Times New Roman"/>
                <w:b/>
                <w:sz w:val="24"/>
                <w:szCs w:val="24"/>
                <w:lang w:val="sq-AL" w:eastAsia="en-GB"/>
              </w:rPr>
              <w:t>Opsioni 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27796" w14:textId="5EA6B1EA" w:rsidR="002722A3" w:rsidRPr="00821922" w:rsidRDefault="002722A3" w:rsidP="006D0629">
            <w:pPr>
              <w:jc w:val="both"/>
              <w:rPr>
                <w:rFonts w:ascii="Times New Roman" w:hAnsi="Times New Roman"/>
                <w:b/>
                <w:sz w:val="24"/>
                <w:szCs w:val="24"/>
                <w:lang w:val="sq-AL" w:eastAsia="en-GB"/>
              </w:rPr>
            </w:pPr>
            <w:r w:rsidRPr="00821922">
              <w:rPr>
                <w:rFonts w:ascii="Times New Roman" w:hAnsi="Times New Roman"/>
                <w:b/>
                <w:sz w:val="24"/>
                <w:szCs w:val="24"/>
                <w:lang w:val="sq-AL" w:eastAsia="en-GB"/>
              </w:rPr>
              <w:t xml:space="preserve">Opsioni </w:t>
            </w:r>
            <w:r>
              <w:rPr>
                <w:rFonts w:ascii="Times New Roman" w:hAnsi="Times New Roman"/>
                <w:b/>
                <w:sz w:val="24"/>
                <w:szCs w:val="24"/>
                <w:lang w:val="sq-AL" w:eastAsia="en-GB"/>
              </w:rPr>
              <w:t>1</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38E44A5B" w14:textId="5D77689B" w:rsidR="002722A3" w:rsidRPr="00821922" w:rsidRDefault="002722A3" w:rsidP="30EE1AA0">
            <w:pPr>
              <w:jc w:val="both"/>
              <w:rPr>
                <w:b/>
                <w:bCs/>
                <w:lang w:val="sq-AL"/>
              </w:rPr>
            </w:pPr>
            <w:r w:rsidRPr="30EE1AA0">
              <w:rPr>
                <w:rFonts w:ascii="Times New Roman" w:hAnsi="Times New Roman"/>
                <w:b/>
                <w:bCs/>
                <w:sz w:val="24"/>
                <w:szCs w:val="24"/>
                <w:lang w:val="sq-AL" w:eastAsia="en-GB"/>
              </w:rPr>
              <w:t>Opsioni 2</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30989A6" w14:textId="65043C11" w:rsidR="002722A3" w:rsidRPr="00D756B5" w:rsidRDefault="009F6C7D" w:rsidP="30EE1AA0">
            <w:pPr>
              <w:jc w:val="both"/>
              <w:rPr>
                <w:rFonts w:ascii="Times New Roman" w:hAnsi="Times New Roman"/>
                <w:b/>
                <w:bCs/>
                <w:sz w:val="24"/>
                <w:szCs w:val="24"/>
                <w:lang w:val="sq-AL"/>
              </w:rPr>
            </w:pPr>
            <w:r w:rsidRPr="009F6C7D">
              <w:rPr>
                <w:b/>
                <w:bCs/>
                <w:szCs w:val="24"/>
                <w:lang w:val="sq-AL"/>
              </w:rPr>
              <w:t>Opsioni 3 (Jo rregullator)</w:t>
            </w:r>
          </w:p>
        </w:tc>
      </w:tr>
      <w:tr w:rsidR="002722A3" w:rsidRPr="00821922" w14:paraId="1FD0A72F" w14:textId="530FF1FE" w:rsidTr="00D756B5">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30AB6593" w14:textId="687BFADE" w:rsidR="002722A3" w:rsidRPr="00417404" w:rsidRDefault="002722A3" w:rsidP="006D0629">
            <w:pPr>
              <w:jc w:val="both"/>
              <w:rPr>
                <w:rFonts w:ascii="Times New Roman" w:hAnsi="Times New Roman"/>
                <w:sz w:val="24"/>
                <w:szCs w:val="24"/>
                <w:lang w:val="sq-AL"/>
              </w:rPr>
            </w:pPr>
            <w:r w:rsidRPr="000E0C37">
              <w:rPr>
                <w:rFonts w:ascii="Times New Roman" w:eastAsia="Times New Roman" w:hAnsi="Times New Roman"/>
                <w:sz w:val="24"/>
                <w:szCs w:val="24"/>
                <w:lang w:val="sq-AL" w:eastAsia="en-GB"/>
              </w:rPr>
              <w:t>Përmirësimi, harmonizimi dhe qartësimi i kuadrit ligjor lidhur me shoqëritë tregtare mbi bazën e ligjeve ekzistuese</w:t>
            </w:r>
          </w:p>
          <w:p w14:paraId="3A648DBF" w14:textId="77777777" w:rsidR="002722A3" w:rsidRPr="00821922" w:rsidRDefault="002722A3" w:rsidP="006D0629">
            <w:pPr>
              <w:jc w:val="both"/>
              <w:rPr>
                <w:rFonts w:ascii="Times New Roman" w:hAnsi="Times New Roman"/>
                <w:sz w:val="24"/>
                <w:szCs w:val="24"/>
                <w:lang w:val="sq-AL" w:eastAsia="en-GB"/>
              </w:rPr>
            </w:pP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3E9EADF5" w14:textId="5C21BEED" w:rsidR="002722A3" w:rsidRPr="00821922" w:rsidRDefault="002722A3" w:rsidP="006D0629">
            <w:pPr>
              <w:jc w:val="both"/>
              <w:rPr>
                <w:rFonts w:ascii="Times New Roman" w:hAnsi="Times New Roman"/>
                <w:sz w:val="24"/>
                <w:szCs w:val="24"/>
                <w:lang w:val="sq-AL" w:eastAsia="en-GB"/>
              </w:rPr>
            </w:pPr>
            <w:r w:rsidRPr="30EE1AA0">
              <w:rPr>
                <w:rFonts w:ascii="Times New Roman" w:hAnsi="Times New Roman"/>
                <w:sz w:val="24"/>
                <w:szCs w:val="24"/>
                <w:lang w:val="sq-AL" w:eastAsia="en-GB"/>
              </w:rPr>
              <w:t>5</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84541D" w14:textId="77777777" w:rsidR="002722A3" w:rsidRPr="00821922" w:rsidRDefault="002722A3" w:rsidP="006D0629">
            <w:pPr>
              <w:jc w:val="both"/>
              <w:rPr>
                <w:rFonts w:ascii="Times New Roman" w:hAnsi="Times New Roman"/>
                <w:sz w:val="24"/>
                <w:szCs w:val="24"/>
                <w:lang w:val="sq-AL" w:eastAsia="en-GB"/>
              </w:rPr>
            </w:pPr>
            <w:r w:rsidRPr="00821922">
              <w:rPr>
                <w:rFonts w:ascii="Times New Roman" w:hAnsi="Times New Roman"/>
                <w:sz w:val="24"/>
                <w:szCs w:val="24"/>
                <w:lang w:val="sq-AL" w:eastAsia="en-GB"/>
              </w:rPr>
              <w:t>0 (0)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6C542B2C" w14:textId="2FE6AB3A" w:rsidR="002722A3" w:rsidRPr="00821922" w:rsidRDefault="002722A3" w:rsidP="006D0629">
            <w:pPr>
              <w:jc w:val="both"/>
              <w:rPr>
                <w:rFonts w:ascii="Times New Roman" w:hAnsi="Times New Roman"/>
                <w:sz w:val="24"/>
                <w:szCs w:val="24"/>
                <w:lang w:val="sq-AL" w:eastAsia="en-GB"/>
              </w:rPr>
            </w:pPr>
            <w:r w:rsidRPr="30EE1AA0">
              <w:rPr>
                <w:rFonts w:ascii="Times New Roman" w:hAnsi="Times New Roman"/>
                <w:sz w:val="24"/>
                <w:szCs w:val="24"/>
                <w:lang w:val="sq-AL" w:eastAsia="en-GB"/>
              </w:rPr>
              <w:t>5 (25)</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0B3B111" w14:textId="1DA431D1" w:rsidR="002722A3" w:rsidRDefault="002722A3" w:rsidP="30EE1AA0">
            <w:pPr>
              <w:jc w:val="both"/>
              <w:rPr>
                <w:lang w:val="sq-AL"/>
              </w:rPr>
            </w:pPr>
            <w:r w:rsidRPr="30EE1AA0">
              <w:rPr>
                <w:rFonts w:ascii="Times New Roman" w:hAnsi="Times New Roman"/>
                <w:sz w:val="24"/>
                <w:szCs w:val="24"/>
                <w:lang w:val="sq-AL" w:eastAsia="en-GB"/>
              </w:rPr>
              <w:t>5 (25)</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5C377B7" w14:textId="12ED593D" w:rsidR="002722A3" w:rsidRPr="00D756B5" w:rsidRDefault="00A678BA" w:rsidP="30EE1AA0">
            <w:pPr>
              <w:jc w:val="both"/>
              <w:rPr>
                <w:rFonts w:ascii="Times New Roman" w:hAnsi="Times New Roman"/>
                <w:sz w:val="24"/>
                <w:szCs w:val="24"/>
                <w:lang w:val="sq-AL"/>
              </w:rPr>
            </w:pPr>
            <w:r>
              <w:rPr>
                <w:rFonts w:ascii="Times New Roman" w:hAnsi="Times New Roman"/>
                <w:sz w:val="24"/>
                <w:szCs w:val="24"/>
                <w:lang w:val="sq-AL"/>
              </w:rPr>
              <w:t>0 ( 0 )</w:t>
            </w:r>
          </w:p>
        </w:tc>
      </w:tr>
      <w:tr w:rsidR="002722A3" w:rsidRPr="00821922" w14:paraId="0A6D4536" w14:textId="6B56B8C9" w:rsidTr="00D756B5">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306E534" w14:textId="3DDB8EA8" w:rsidR="002722A3" w:rsidRDefault="002722A3" w:rsidP="006D0629">
            <w:pPr>
              <w:tabs>
                <w:tab w:val="left" w:pos="454"/>
              </w:tabs>
              <w:rPr>
                <w:rFonts w:ascii="Times New Roman" w:eastAsia="Times New Roman" w:hAnsi="Times New Roman"/>
                <w:sz w:val="24"/>
                <w:szCs w:val="24"/>
                <w:lang w:val="sq-AL" w:eastAsia="en-GB"/>
              </w:rPr>
            </w:pPr>
            <w:bookmarkStart w:id="26" w:name="_Hlk190176920"/>
            <w:r w:rsidRPr="000E0C37">
              <w:rPr>
                <w:rFonts w:ascii="Times New Roman" w:hAnsi="Times New Roman"/>
                <w:sz w:val="24"/>
                <w:szCs w:val="24"/>
                <w:lang w:val="sq-AL" w:eastAsia="en-GB"/>
              </w:rPr>
              <w:t>Përfshirja e bashkimit</w:t>
            </w:r>
            <w:r>
              <w:rPr>
                <w:rFonts w:ascii="Times New Roman" w:hAnsi="Times New Roman"/>
                <w:sz w:val="24"/>
                <w:szCs w:val="24"/>
                <w:lang w:val="sq-AL" w:eastAsia="en-GB"/>
              </w:rPr>
              <w:t>, ndarjes</w:t>
            </w:r>
            <w:r w:rsidRPr="000E0C37">
              <w:rPr>
                <w:rFonts w:ascii="Times New Roman" w:hAnsi="Times New Roman"/>
                <w:sz w:val="24"/>
                <w:szCs w:val="24"/>
                <w:lang w:val="sq-AL" w:eastAsia="en-GB"/>
              </w:rPr>
              <w:t xml:space="preserve"> ndërkufitar</w:t>
            </w:r>
            <w:r>
              <w:rPr>
                <w:rFonts w:ascii="Times New Roman" w:hAnsi="Times New Roman"/>
                <w:sz w:val="24"/>
                <w:szCs w:val="24"/>
                <w:lang w:val="sq-AL" w:eastAsia="en-GB"/>
              </w:rPr>
              <w:t>e, mbrojtjes aksionare etj në ligje tashmë të njohura</w:t>
            </w:r>
            <w:r w:rsidRPr="000E0C37">
              <w:rPr>
                <w:rFonts w:ascii="Times New Roman" w:hAnsi="Times New Roman"/>
                <w:sz w:val="24"/>
                <w:szCs w:val="24"/>
                <w:lang w:val="sq-AL" w:eastAsia="en-GB"/>
              </w:rPr>
              <w:t xml:space="preserve"> </w:t>
            </w:r>
          </w:p>
          <w:bookmarkEnd w:id="26"/>
          <w:p w14:paraId="3A93AAB9" w14:textId="77777777" w:rsidR="002722A3" w:rsidRPr="00821922" w:rsidRDefault="002722A3" w:rsidP="006D0629">
            <w:pPr>
              <w:jc w:val="both"/>
              <w:rPr>
                <w:rFonts w:ascii="Times New Roman" w:hAnsi="Times New Roman"/>
                <w:sz w:val="24"/>
                <w:szCs w:val="24"/>
                <w:lang w:val="sq-AL" w:eastAsia="en-GB"/>
              </w:rPr>
            </w:pP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0942D7" w14:textId="77777777" w:rsidR="002722A3" w:rsidRPr="00821922" w:rsidRDefault="002722A3" w:rsidP="006D0629">
            <w:pPr>
              <w:jc w:val="both"/>
              <w:rPr>
                <w:rFonts w:ascii="Times New Roman" w:hAnsi="Times New Roman"/>
                <w:sz w:val="24"/>
                <w:szCs w:val="24"/>
                <w:lang w:val="sq-AL" w:eastAsia="en-GB"/>
              </w:rPr>
            </w:pPr>
            <w:r w:rsidRPr="3E6ACF77">
              <w:rPr>
                <w:rFonts w:ascii="Times New Roman" w:hAnsi="Times New Roman"/>
                <w:sz w:val="24"/>
                <w:szCs w:val="24"/>
                <w:lang w:val="sq-AL" w:eastAsia="en-GB"/>
              </w:rPr>
              <w:t>3</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561576" w14:textId="77777777" w:rsidR="002722A3" w:rsidRPr="00821922" w:rsidRDefault="002722A3" w:rsidP="006D0629">
            <w:pPr>
              <w:jc w:val="both"/>
              <w:rPr>
                <w:rFonts w:ascii="Times New Roman" w:hAnsi="Times New Roman"/>
                <w:sz w:val="24"/>
                <w:szCs w:val="24"/>
                <w:lang w:val="sq-AL" w:eastAsia="en-GB"/>
              </w:rPr>
            </w:pPr>
            <w:r w:rsidRPr="00821922">
              <w:rPr>
                <w:rFonts w:ascii="Times New Roman" w:hAnsi="Times New Roman"/>
                <w:sz w:val="24"/>
                <w:szCs w:val="24"/>
                <w:lang w:val="sq-AL" w:eastAsia="en-GB"/>
              </w:rPr>
              <w:t>0 (0)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6CB21FFE" w14:textId="77777777" w:rsidR="002722A3" w:rsidRPr="00821922" w:rsidRDefault="002722A3" w:rsidP="006D0629">
            <w:pPr>
              <w:jc w:val="both"/>
              <w:rPr>
                <w:rFonts w:ascii="Times New Roman" w:hAnsi="Times New Roman"/>
                <w:sz w:val="24"/>
                <w:szCs w:val="24"/>
                <w:lang w:val="sq-AL" w:eastAsia="en-GB"/>
              </w:rPr>
            </w:pPr>
            <w:r w:rsidRPr="3E6ACF77">
              <w:rPr>
                <w:rFonts w:ascii="Times New Roman" w:hAnsi="Times New Roman"/>
                <w:sz w:val="24"/>
                <w:szCs w:val="24"/>
                <w:lang w:val="sq-AL" w:eastAsia="en-GB"/>
              </w:rPr>
              <w:t>3 (9)</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6469057" w14:textId="117F191E" w:rsidR="002722A3" w:rsidRPr="3E6ACF77" w:rsidRDefault="002722A3" w:rsidP="30EE1AA0">
            <w:pPr>
              <w:jc w:val="both"/>
              <w:rPr>
                <w:lang w:val="sq-AL"/>
              </w:rPr>
            </w:pPr>
            <w:r w:rsidRPr="30EE1AA0">
              <w:rPr>
                <w:rFonts w:ascii="Times New Roman" w:hAnsi="Times New Roman"/>
                <w:sz w:val="24"/>
                <w:szCs w:val="24"/>
                <w:lang w:val="sq-AL" w:eastAsia="en-GB"/>
              </w:rPr>
              <w:t>3(9)</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8FBF353" w14:textId="6F91FAEC" w:rsidR="002722A3" w:rsidRPr="30EE1AA0" w:rsidRDefault="00A678BA" w:rsidP="30EE1AA0">
            <w:pPr>
              <w:jc w:val="both"/>
              <w:rPr>
                <w:szCs w:val="24"/>
                <w:lang w:val="sq-AL"/>
              </w:rPr>
            </w:pPr>
            <w:r w:rsidRPr="00821922">
              <w:rPr>
                <w:rFonts w:ascii="Times New Roman" w:hAnsi="Times New Roman"/>
                <w:sz w:val="24"/>
                <w:szCs w:val="24"/>
                <w:lang w:val="sq-AL" w:eastAsia="en-GB"/>
              </w:rPr>
              <w:t>0 (0)</w:t>
            </w:r>
          </w:p>
        </w:tc>
      </w:tr>
      <w:tr w:rsidR="002722A3" w:rsidRPr="00821922" w14:paraId="494D278B" w14:textId="3F019702" w:rsidTr="00D756B5">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1D04CD09" w14:textId="292101F7" w:rsidR="002722A3" w:rsidRPr="00821922" w:rsidRDefault="002722A3" w:rsidP="006D0629">
            <w:pPr>
              <w:jc w:val="both"/>
              <w:rPr>
                <w:rFonts w:ascii="Times New Roman" w:eastAsia="Times New Roman" w:hAnsi="Times New Roman"/>
                <w:sz w:val="24"/>
                <w:szCs w:val="24"/>
                <w:lang w:val="sq-AL" w:eastAsia="en-GB"/>
              </w:rPr>
            </w:pPr>
            <w:r w:rsidRPr="2F6D019E">
              <w:rPr>
                <w:rFonts w:ascii="Times New Roman" w:eastAsia="Times New Roman" w:hAnsi="Times New Roman"/>
                <w:sz w:val="24"/>
                <w:szCs w:val="24"/>
                <w:lang w:val="sq-AL" w:eastAsia="en-GB"/>
              </w:rPr>
              <w:t xml:space="preserve"> Krijimi i mekanizmave për </w:t>
            </w:r>
            <w:r>
              <w:rPr>
                <w:rFonts w:ascii="Times New Roman" w:eastAsia="Times New Roman" w:hAnsi="Times New Roman"/>
                <w:sz w:val="24"/>
                <w:szCs w:val="24"/>
                <w:lang w:val="sq-AL" w:eastAsia="en-GB"/>
              </w:rPr>
              <w:t xml:space="preserve">përafrim digjital </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3A9062" w14:textId="77777777" w:rsidR="002722A3" w:rsidRPr="00821922" w:rsidRDefault="002722A3" w:rsidP="006D0629">
            <w:pPr>
              <w:jc w:val="both"/>
              <w:rPr>
                <w:rFonts w:ascii="Times New Roman" w:hAnsi="Times New Roman"/>
                <w:sz w:val="24"/>
                <w:szCs w:val="24"/>
                <w:lang w:val="sq-AL" w:eastAsia="en-GB"/>
              </w:rPr>
            </w:pPr>
            <w:r w:rsidRPr="00821922">
              <w:rPr>
                <w:rFonts w:ascii="Times New Roman" w:hAnsi="Times New Roman"/>
                <w:sz w:val="24"/>
                <w:szCs w:val="24"/>
                <w:lang w:val="sq-AL" w:eastAsia="en-GB"/>
              </w:rPr>
              <w:t>4</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DC1EFB2" w14:textId="77777777" w:rsidR="002722A3" w:rsidRPr="00821922" w:rsidRDefault="002722A3" w:rsidP="006D0629">
            <w:pPr>
              <w:jc w:val="both"/>
              <w:rPr>
                <w:rFonts w:ascii="Times New Roman" w:hAnsi="Times New Roman"/>
                <w:sz w:val="24"/>
                <w:szCs w:val="24"/>
                <w:lang w:val="sq-AL" w:eastAsia="en-GB"/>
              </w:rPr>
            </w:pPr>
            <w:r w:rsidRPr="00821922">
              <w:rPr>
                <w:rFonts w:ascii="Times New Roman" w:hAnsi="Times New Roman"/>
                <w:sz w:val="24"/>
                <w:szCs w:val="24"/>
                <w:lang w:val="sq-AL" w:eastAsia="en-GB"/>
              </w:rPr>
              <w:t>0 (0)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60908D1F" w14:textId="77777777" w:rsidR="002722A3" w:rsidRPr="00821922" w:rsidRDefault="002722A3" w:rsidP="006D0629">
            <w:pPr>
              <w:jc w:val="both"/>
              <w:rPr>
                <w:rFonts w:ascii="Times New Roman" w:hAnsi="Times New Roman"/>
                <w:sz w:val="24"/>
                <w:szCs w:val="24"/>
                <w:lang w:val="sq-AL" w:eastAsia="en-GB"/>
              </w:rPr>
            </w:pPr>
            <w:r w:rsidRPr="3E6ACF77">
              <w:rPr>
                <w:rFonts w:ascii="Times New Roman" w:hAnsi="Times New Roman"/>
                <w:sz w:val="24"/>
                <w:szCs w:val="24"/>
                <w:lang w:val="sq-AL" w:eastAsia="en-GB"/>
              </w:rPr>
              <w:t>4 (16)</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1BEC8" w14:textId="37595BCC" w:rsidR="002722A3" w:rsidRPr="3E6ACF77" w:rsidRDefault="002722A3" w:rsidP="30EE1AA0">
            <w:pPr>
              <w:jc w:val="both"/>
              <w:rPr>
                <w:lang w:val="sq-AL"/>
              </w:rPr>
            </w:pPr>
            <w:r w:rsidRPr="30EE1AA0">
              <w:rPr>
                <w:rFonts w:ascii="Times New Roman" w:hAnsi="Times New Roman"/>
                <w:sz w:val="24"/>
                <w:szCs w:val="24"/>
                <w:lang w:val="sq-AL" w:eastAsia="en-GB"/>
              </w:rPr>
              <w:t>4(16)</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3B0AEE03" w14:textId="7EFEC53A" w:rsidR="002722A3" w:rsidRPr="30EE1AA0" w:rsidRDefault="00A678BA" w:rsidP="30EE1AA0">
            <w:pPr>
              <w:jc w:val="both"/>
              <w:rPr>
                <w:szCs w:val="24"/>
                <w:lang w:val="sq-AL"/>
              </w:rPr>
            </w:pPr>
            <w:r w:rsidRPr="00821922">
              <w:rPr>
                <w:rFonts w:ascii="Times New Roman" w:hAnsi="Times New Roman"/>
                <w:sz w:val="24"/>
                <w:szCs w:val="24"/>
                <w:lang w:val="sq-AL" w:eastAsia="en-GB"/>
              </w:rPr>
              <w:t>0 (0)</w:t>
            </w:r>
          </w:p>
        </w:tc>
      </w:tr>
      <w:tr w:rsidR="002722A3" w:rsidRPr="00821922" w14:paraId="75AE0ADB" w14:textId="5052C682" w:rsidTr="00D756B5">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2FF2DDD5" w14:textId="165BC280" w:rsidR="002722A3" w:rsidRPr="00821922" w:rsidRDefault="002722A3" w:rsidP="006D0629">
            <w:pPr>
              <w:jc w:val="both"/>
              <w:rPr>
                <w:rFonts w:ascii="Times New Roman" w:eastAsia="Times New Roman" w:hAnsi="Times New Roman"/>
                <w:color w:val="000000" w:themeColor="text1"/>
                <w:sz w:val="24"/>
                <w:szCs w:val="24"/>
                <w:lang w:val="sq-AL" w:eastAsia="en-GB"/>
              </w:rPr>
            </w:pPr>
            <w:r w:rsidRPr="00D42082">
              <w:rPr>
                <w:rFonts w:ascii="Times New Roman" w:eastAsia="Times New Roman" w:hAnsi="Times New Roman"/>
                <w:color w:val="000000" w:themeColor="text1"/>
                <w:sz w:val="24"/>
                <w:szCs w:val="24"/>
                <w:lang w:val="sq-AL" w:eastAsia="en-GB"/>
              </w:rPr>
              <w:lastRenderedPageBreak/>
              <w:t>Efikasiteti në nxitjen e zhvillimit ekonomik dhe shfrytëzimi me eficencë i kuadrit ligjor</w:t>
            </w:r>
            <w:r>
              <w:rPr>
                <w:rFonts w:ascii="Times New Roman" w:eastAsia="Times New Roman" w:hAnsi="Times New Roman"/>
                <w:color w:val="000000" w:themeColor="text1"/>
                <w:sz w:val="24"/>
                <w:szCs w:val="24"/>
                <w:lang w:val="sq-AL" w:eastAsia="en-GB"/>
              </w:rPr>
              <w:t>.</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13350228" w14:textId="77777777" w:rsidR="002722A3" w:rsidRPr="00821922" w:rsidRDefault="002722A3" w:rsidP="006D0629">
            <w:pPr>
              <w:jc w:val="both"/>
              <w:rPr>
                <w:rFonts w:ascii="Times New Roman" w:hAnsi="Times New Roman"/>
                <w:sz w:val="24"/>
                <w:szCs w:val="24"/>
                <w:lang w:val="sq-AL" w:eastAsia="en-GB"/>
              </w:rPr>
            </w:pPr>
            <w:r w:rsidRPr="00821922">
              <w:rPr>
                <w:rFonts w:ascii="Times New Roman" w:hAnsi="Times New Roman"/>
                <w:sz w:val="24"/>
                <w:szCs w:val="24"/>
                <w:lang w:val="sq-AL" w:eastAsia="en-GB"/>
              </w:rPr>
              <w:t>3</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080D6" w14:textId="3D75B65B" w:rsidR="002722A3" w:rsidRPr="00821922" w:rsidRDefault="002722A3" w:rsidP="006D0629">
            <w:pPr>
              <w:jc w:val="both"/>
              <w:rPr>
                <w:rFonts w:ascii="Times New Roman" w:hAnsi="Times New Roman"/>
                <w:sz w:val="24"/>
                <w:szCs w:val="24"/>
                <w:lang w:val="sq-AL" w:eastAsia="en-GB"/>
              </w:rPr>
            </w:pPr>
            <w:r w:rsidRPr="30EE1AA0">
              <w:rPr>
                <w:rFonts w:ascii="Times New Roman" w:hAnsi="Times New Roman"/>
                <w:sz w:val="24"/>
                <w:szCs w:val="24"/>
                <w:lang w:val="sq-AL" w:eastAsia="en-GB"/>
              </w:rPr>
              <w:t>1 (3)</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7BD20C" w14:textId="77777777" w:rsidR="002722A3" w:rsidRPr="00821922" w:rsidRDefault="002722A3" w:rsidP="006D0629">
            <w:pPr>
              <w:jc w:val="both"/>
              <w:rPr>
                <w:rFonts w:ascii="Times New Roman" w:hAnsi="Times New Roman"/>
                <w:sz w:val="24"/>
                <w:szCs w:val="24"/>
                <w:lang w:val="sq-AL" w:eastAsia="en-GB"/>
              </w:rPr>
            </w:pPr>
            <w:r w:rsidRPr="3E6ACF77">
              <w:rPr>
                <w:rFonts w:ascii="Times New Roman" w:hAnsi="Times New Roman"/>
                <w:sz w:val="24"/>
                <w:szCs w:val="24"/>
                <w:lang w:val="sq-AL" w:eastAsia="en-GB"/>
              </w:rPr>
              <w:t>3 (9)</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5E5BCB34" w14:textId="2F54581D" w:rsidR="002722A3" w:rsidRPr="3E6ACF77" w:rsidRDefault="002722A3" w:rsidP="006D0629">
            <w:pPr>
              <w:jc w:val="both"/>
              <w:rPr>
                <w:szCs w:val="24"/>
                <w:lang w:val="sq-AL"/>
              </w:rPr>
            </w:pPr>
            <w:r w:rsidRPr="3E6ACF77">
              <w:rPr>
                <w:rFonts w:ascii="Times New Roman" w:hAnsi="Times New Roman"/>
                <w:sz w:val="24"/>
                <w:szCs w:val="24"/>
                <w:lang w:val="sq-AL" w:eastAsia="en-GB"/>
              </w:rPr>
              <w:t>2 (6)</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29659C6" w14:textId="54D7FD09" w:rsidR="002722A3" w:rsidRPr="00D756B5" w:rsidRDefault="00674D96" w:rsidP="006D0629">
            <w:pPr>
              <w:jc w:val="both"/>
              <w:rPr>
                <w:rFonts w:ascii="Times New Roman" w:hAnsi="Times New Roman"/>
                <w:sz w:val="24"/>
                <w:szCs w:val="24"/>
                <w:lang w:val="sq-AL"/>
              </w:rPr>
            </w:pPr>
            <w:r>
              <w:rPr>
                <w:szCs w:val="24"/>
                <w:lang w:val="sq-AL"/>
              </w:rPr>
              <w:t>2</w:t>
            </w:r>
            <w:r w:rsidR="00A678BA" w:rsidRPr="00A678BA">
              <w:rPr>
                <w:szCs w:val="24"/>
                <w:lang w:val="sq-AL"/>
              </w:rPr>
              <w:t xml:space="preserve"> ( </w:t>
            </w:r>
            <w:r>
              <w:rPr>
                <w:szCs w:val="24"/>
                <w:lang w:val="sq-AL"/>
              </w:rPr>
              <w:t>6</w:t>
            </w:r>
            <w:r w:rsidR="00A678BA" w:rsidRPr="00A678BA">
              <w:rPr>
                <w:szCs w:val="24"/>
                <w:lang w:val="sq-AL"/>
              </w:rPr>
              <w:t xml:space="preserve"> )</w:t>
            </w:r>
          </w:p>
        </w:tc>
      </w:tr>
      <w:tr w:rsidR="002722A3" w:rsidRPr="00821922" w14:paraId="060FA07A" w14:textId="11D7C060" w:rsidTr="00D756B5">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30E35C9C" w14:textId="37CA8775" w:rsidR="002722A3" w:rsidRPr="00821922" w:rsidRDefault="002722A3" w:rsidP="006D0629">
            <w:pPr>
              <w:jc w:val="both"/>
              <w:rPr>
                <w:rFonts w:ascii="Times New Roman" w:hAnsi="Times New Roman"/>
                <w:sz w:val="24"/>
                <w:szCs w:val="24"/>
                <w:lang w:val="sq-AL" w:eastAsia="en-GB"/>
              </w:rPr>
            </w:pPr>
            <w:r w:rsidRPr="30EE1AA0">
              <w:rPr>
                <w:rFonts w:ascii="Times New Roman" w:hAnsi="Times New Roman"/>
                <w:sz w:val="24"/>
                <w:szCs w:val="24"/>
                <w:lang w:val="sq-AL" w:eastAsia="en-GB"/>
              </w:rPr>
              <w:t>Kosto- efektiviteti</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6499A0" w14:textId="6FBB5AFC" w:rsidR="002722A3" w:rsidRPr="00821922" w:rsidRDefault="002722A3" w:rsidP="006D0629">
            <w:pPr>
              <w:jc w:val="both"/>
              <w:rPr>
                <w:rFonts w:ascii="Times New Roman" w:hAnsi="Times New Roman"/>
                <w:sz w:val="24"/>
                <w:szCs w:val="24"/>
                <w:lang w:val="sq-AL" w:eastAsia="en-GB"/>
              </w:rPr>
            </w:pPr>
            <w:r w:rsidRPr="30EE1AA0">
              <w:rPr>
                <w:rFonts w:ascii="Times New Roman" w:hAnsi="Times New Roman"/>
                <w:sz w:val="24"/>
                <w:szCs w:val="24"/>
                <w:lang w:val="sq-AL" w:eastAsia="en-GB"/>
              </w:rPr>
              <w:t>5</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665782" w14:textId="09C53C84" w:rsidR="002722A3" w:rsidRPr="00821922" w:rsidRDefault="00674D96" w:rsidP="006D0629">
            <w:pPr>
              <w:jc w:val="both"/>
              <w:rPr>
                <w:rFonts w:ascii="Times New Roman" w:hAnsi="Times New Roman"/>
                <w:sz w:val="24"/>
                <w:szCs w:val="24"/>
                <w:lang w:val="sq-AL" w:eastAsia="en-GB"/>
              </w:rPr>
            </w:pPr>
            <w:r>
              <w:rPr>
                <w:rFonts w:ascii="Times New Roman" w:hAnsi="Times New Roman"/>
                <w:sz w:val="24"/>
                <w:szCs w:val="24"/>
                <w:lang w:val="sq-AL" w:eastAsia="en-GB"/>
              </w:rPr>
              <w:t>1</w:t>
            </w:r>
            <w:r w:rsidR="002722A3" w:rsidRPr="30EE1AA0">
              <w:rPr>
                <w:rFonts w:ascii="Times New Roman" w:hAnsi="Times New Roman"/>
                <w:sz w:val="24"/>
                <w:szCs w:val="24"/>
                <w:lang w:val="sq-AL" w:eastAsia="en-GB"/>
              </w:rPr>
              <w:t xml:space="preserve"> (</w:t>
            </w:r>
            <w:r>
              <w:rPr>
                <w:rFonts w:ascii="Times New Roman" w:hAnsi="Times New Roman"/>
                <w:sz w:val="24"/>
                <w:szCs w:val="24"/>
                <w:lang w:val="sq-AL" w:eastAsia="en-GB"/>
              </w:rPr>
              <w:t>5</w:t>
            </w:r>
            <w:r w:rsidR="002722A3" w:rsidRPr="30EE1AA0">
              <w:rPr>
                <w:rFonts w:ascii="Times New Roman" w:hAnsi="Times New Roman"/>
                <w:sz w:val="24"/>
                <w:szCs w:val="24"/>
                <w:lang w:val="sq-AL" w:eastAsia="en-GB"/>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EDF149" w14:textId="572453BF" w:rsidR="002722A3" w:rsidRPr="00821922" w:rsidRDefault="002722A3" w:rsidP="006D0629">
            <w:pPr>
              <w:jc w:val="both"/>
              <w:rPr>
                <w:rFonts w:ascii="Times New Roman" w:hAnsi="Times New Roman"/>
                <w:sz w:val="24"/>
                <w:szCs w:val="24"/>
                <w:lang w:val="sq-AL" w:eastAsia="en-GB"/>
              </w:rPr>
            </w:pPr>
            <w:r w:rsidRPr="30EE1AA0">
              <w:rPr>
                <w:rFonts w:ascii="Times New Roman" w:hAnsi="Times New Roman"/>
                <w:sz w:val="24"/>
                <w:szCs w:val="24"/>
                <w:lang w:val="sq-AL" w:eastAsia="en-GB"/>
              </w:rPr>
              <w:t>5 (25)</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869090E" w14:textId="4BB7996E" w:rsidR="002722A3" w:rsidRPr="3E6ACF77" w:rsidRDefault="002722A3" w:rsidP="30EE1AA0">
            <w:pPr>
              <w:jc w:val="both"/>
              <w:rPr>
                <w:lang w:val="sq-AL"/>
              </w:rPr>
            </w:pPr>
            <w:r w:rsidRPr="30EE1AA0">
              <w:rPr>
                <w:rFonts w:ascii="Times New Roman" w:hAnsi="Times New Roman"/>
                <w:sz w:val="24"/>
                <w:szCs w:val="24"/>
                <w:lang w:val="sq-AL" w:eastAsia="en-GB"/>
              </w:rPr>
              <w:t>3 (15)</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CFBCF63" w14:textId="75E0F486" w:rsidR="002722A3" w:rsidRPr="00D756B5" w:rsidRDefault="00A678BA" w:rsidP="30EE1AA0">
            <w:pPr>
              <w:jc w:val="both"/>
              <w:rPr>
                <w:rFonts w:ascii="Times New Roman" w:hAnsi="Times New Roman"/>
                <w:sz w:val="24"/>
                <w:szCs w:val="24"/>
                <w:lang w:val="sq-AL"/>
              </w:rPr>
            </w:pPr>
            <w:r w:rsidRPr="00A678BA">
              <w:rPr>
                <w:szCs w:val="24"/>
                <w:lang w:val="sq-AL"/>
              </w:rPr>
              <w:t>2 (10)</w:t>
            </w:r>
          </w:p>
        </w:tc>
      </w:tr>
      <w:tr w:rsidR="002722A3" w:rsidRPr="00821922" w14:paraId="180D2FE1" w14:textId="58039880" w:rsidTr="00D756B5">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8C1461" w14:textId="77777777" w:rsidR="002722A3" w:rsidRPr="00821922" w:rsidRDefault="002722A3" w:rsidP="006D0629">
            <w:pPr>
              <w:jc w:val="both"/>
              <w:rPr>
                <w:rFonts w:ascii="Times New Roman" w:hAnsi="Times New Roman"/>
                <w:b/>
                <w:bCs/>
                <w:sz w:val="24"/>
                <w:szCs w:val="24"/>
                <w:lang w:val="sq-AL" w:eastAsia="en-GB"/>
              </w:rPr>
            </w:pPr>
            <w:r w:rsidRPr="00821922">
              <w:rPr>
                <w:rFonts w:ascii="Times New Roman" w:hAnsi="Times New Roman"/>
                <w:b/>
                <w:bCs/>
                <w:sz w:val="24"/>
                <w:szCs w:val="24"/>
                <w:lang w:val="sq-AL" w:eastAsia="en-GB"/>
              </w:rPr>
              <w:t>Pikët</w:t>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38F69F96" w14:textId="77777777" w:rsidR="002722A3" w:rsidRPr="00821922" w:rsidRDefault="002722A3" w:rsidP="006D0629">
            <w:pPr>
              <w:jc w:val="both"/>
              <w:rPr>
                <w:rFonts w:ascii="Times New Roman" w:hAnsi="Times New Roman"/>
                <w:b/>
                <w:sz w:val="24"/>
                <w:szCs w:val="24"/>
                <w:lang w:val="sq-AL" w:eastAsia="en-GB"/>
              </w:rPr>
            </w:pP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5508DE" w14:textId="5208069E" w:rsidR="002722A3" w:rsidRPr="00821922" w:rsidRDefault="00674D96" w:rsidP="006D0629">
            <w:pPr>
              <w:jc w:val="both"/>
              <w:rPr>
                <w:rFonts w:ascii="Times New Roman" w:hAnsi="Times New Roman"/>
                <w:b/>
                <w:bCs/>
                <w:sz w:val="24"/>
                <w:szCs w:val="24"/>
                <w:lang w:val="sq-AL" w:eastAsia="en-GB"/>
              </w:rPr>
            </w:pPr>
            <w:r>
              <w:rPr>
                <w:rFonts w:ascii="Times New Roman" w:hAnsi="Times New Roman"/>
                <w:b/>
                <w:bCs/>
                <w:sz w:val="24"/>
                <w:szCs w:val="24"/>
                <w:lang w:val="sq-AL" w:eastAsia="en-GB"/>
              </w:rPr>
              <w:t>8</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32CAB8" w14:textId="31F1B8E7" w:rsidR="002722A3" w:rsidRPr="00821922" w:rsidRDefault="002722A3" w:rsidP="006D0629">
            <w:pPr>
              <w:jc w:val="both"/>
              <w:rPr>
                <w:rFonts w:ascii="Times New Roman" w:hAnsi="Times New Roman"/>
                <w:b/>
                <w:bCs/>
                <w:sz w:val="24"/>
                <w:szCs w:val="24"/>
                <w:lang w:val="sq-AL" w:eastAsia="en-GB"/>
              </w:rPr>
            </w:pPr>
            <w:r w:rsidRPr="30EE1AA0">
              <w:rPr>
                <w:rFonts w:ascii="Times New Roman" w:hAnsi="Times New Roman"/>
                <w:b/>
                <w:bCs/>
                <w:sz w:val="24"/>
                <w:szCs w:val="24"/>
                <w:lang w:val="sq-AL" w:eastAsia="en-GB"/>
              </w:rPr>
              <w:t>84</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8163E6A" w14:textId="214F4485" w:rsidR="002722A3" w:rsidRPr="3E6ACF77" w:rsidRDefault="002722A3" w:rsidP="30EE1AA0">
            <w:pPr>
              <w:jc w:val="both"/>
              <w:rPr>
                <w:b/>
                <w:bCs/>
                <w:lang w:val="sq-AL"/>
              </w:rPr>
            </w:pPr>
            <w:r w:rsidRPr="30EE1AA0">
              <w:rPr>
                <w:rFonts w:ascii="Times New Roman" w:hAnsi="Times New Roman"/>
                <w:b/>
                <w:bCs/>
                <w:sz w:val="24"/>
                <w:szCs w:val="24"/>
                <w:lang w:val="sq-AL" w:eastAsia="en-GB"/>
              </w:rPr>
              <w:t>71</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CFE5DDD" w14:textId="79046A8B" w:rsidR="002722A3" w:rsidRPr="00D756B5" w:rsidRDefault="00A678BA" w:rsidP="30EE1AA0">
            <w:pPr>
              <w:jc w:val="both"/>
              <w:rPr>
                <w:rFonts w:ascii="Times New Roman" w:hAnsi="Times New Roman"/>
                <w:b/>
                <w:bCs/>
                <w:sz w:val="24"/>
                <w:szCs w:val="24"/>
                <w:lang w:val="sq-AL"/>
              </w:rPr>
            </w:pPr>
            <w:r>
              <w:rPr>
                <w:rFonts w:ascii="Times New Roman" w:hAnsi="Times New Roman"/>
                <w:b/>
                <w:bCs/>
                <w:sz w:val="24"/>
                <w:szCs w:val="24"/>
                <w:lang w:val="sq-AL"/>
              </w:rPr>
              <w:t>1</w:t>
            </w:r>
            <w:r w:rsidR="00674D96">
              <w:rPr>
                <w:rFonts w:ascii="Times New Roman" w:hAnsi="Times New Roman"/>
                <w:b/>
                <w:bCs/>
                <w:sz w:val="24"/>
                <w:szCs w:val="24"/>
                <w:lang w:val="sq-AL"/>
              </w:rPr>
              <w:t>6</w:t>
            </w:r>
          </w:p>
        </w:tc>
      </w:tr>
    </w:tbl>
    <w:p w14:paraId="4CF29541" w14:textId="77777777" w:rsidR="00610F2D" w:rsidRDefault="00610F2D" w:rsidP="00610F2D">
      <w:pPr>
        <w:pStyle w:val="Style1-BodyText"/>
        <w:spacing w:before="240" w:after="0" w:line="276" w:lineRule="auto"/>
        <w:rPr>
          <w:rFonts w:cs="Times New Roman"/>
          <w:b/>
          <w:sz w:val="24"/>
          <w:szCs w:val="24"/>
          <w:lang w:val="sq-AL"/>
        </w:rPr>
      </w:pPr>
    </w:p>
    <w:p w14:paraId="1154BDE3" w14:textId="6230289A" w:rsidR="00610F2D" w:rsidRPr="00DE53BA" w:rsidRDefault="00610F2D" w:rsidP="00610F2D">
      <w:pPr>
        <w:rPr>
          <w:szCs w:val="24"/>
          <w:lang w:val="sq-AL"/>
        </w:rPr>
      </w:pPr>
      <w:r w:rsidRPr="00DE53BA">
        <w:rPr>
          <w:szCs w:val="24"/>
          <w:lang w:val="sq-AL"/>
        </w:rPr>
        <w:t xml:space="preserve">Nga analiza e kryer, bazuar në kriteret e përmendura si më lart, duke vlerësuar secilin opsion, rezulton se opsioni </w:t>
      </w:r>
      <w:r w:rsidR="006D0629">
        <w:rPr>
          <w:szCs w:val="24"/>
          <w:lang w:val="sq-AL"/>
        </w:rPr>
        <w:t>1</w:t>
      </w:r>
      <w:r w:rsidRPr="00DE53BA">
        <w:rPr>
          <w:szCs w:val="24"/>
          <w:lang w:val="sq-AL"/>
        </w:rPr>
        <w:t xml:space="preserve"> ka numrin më të lartë të pikëve me </w:t>
      </w:r>
      <w:r w:rsidR="00674D96">
        <w:rPr>
          <w:szCs w:val="24"/>
          <w:lang w:val="sq-AL"/>
        </w:rPr>
        <w:t>84,</w:t>
      </w:r>
      <w:r w:rsidR="00674D96" w:rsidRPr="00DE53BA">
        <w:rPr>
          <w:szCs w:val="24"/>
          <w:lang w:val="sq-AL"/>
        </w:rPr>
        <w:t xml:space="preserve"> </w:t>
      </w:r>
      <w:r w:rsidRPr="00DE53BA">
        <w:rPr>
          <w:szCs w:val="24"/>
          <w:lang w:val="sq-AL"/>
        </w:rPr>
        <w:t xml:space="preserve">krahasuar me opsionet e tjera. </w:t>
      </w:r>
    </w:p>
    <w:p w14:paraId="315E966F" w14:textId="61C2B010"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25"/>
    </w:p>
    <w:sdt>
      <w:sdtPr>
        <w:rPr>
          <w:rFonts w:cs="Times New Roman"/>
          <w:i/>
          <w:iCs/>
          <w:sz w:val="24"/>
          <w:szCs w:val="24"/>
          <w:lang w:val="sq-AL"/>
        </w:rPr>
        <w:id w:val="686721506"/>
        <w:lock w:val="contentLocked"/>
        <w:placeholder>
          <w:docPart w:val="DefaultPlaceholder_1081868574"/>
        </w:placeholder>
      </w:sdtPr>
      <w:sdtEndPr>
        <w:rPr>
          <w:i w:val="0"/>
          <w:iCs w:val="0"/>
        </w:rPr>
      </w:sdtEndPr>
      <w:sdtContent>
        <w:p w14:paraId="14BDFC1E" w14:textId="77777777" w:rsidR="0097570D" w:rsidRPr="0032145B" w:rsidRDefault="0097570D" w:rsidP="006D0629">
          <w:pPr>
            <w:pStyle w:val="Style1-BodyText"/>
            <w:numPr>
              <w:ilvl w:val="0"/>
              <w:numId w:val="14"/>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577DB711" w14:textId="77777777" w:rsidR="0097570D" w:rsidRPr="0032145B" w:rsidRDefault="0097570D" w:rsidP="006D0629">
          <w:pPr>
            <w:pStyle w:val="Style1-BodyText"/>
            <w:numPr>
              <w:ilvl w:val="0"/>
              <w:numId w:val="14"/>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0CE4F729" w14:textId="77777777" w:rsidR="0097570D" w:rsidRPr="00325A1F" w:rsidRDefault="0097570D" w:rsidP="006D0629">
          <w:pPr>
            <w:pStyle w:val="Style1-BodyText"/>
            <w:numPr>
              <w:ilvl w:val="0"/>
              <w:numId w:val="14"/>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p w14:paraId="6EEB8790" w14:textId="77777777" w:rsidR="00AF51D7" w:rsidRDefault="00AF51D7" w:rsidP="00AF51D7">
      <w:pPr>
        <w:rPr>
          <w:rStyle w:val="Strong"/>
          <w:rFonts w:eastAsiaTheme="majorEastAsia"/>
          <w:b w:val="0"/>
          <w:bCs w:val="0"/>
          <w:u w:val="single"/>
          <w:lang w:val="sq-AL"/>
        </w:rPr>
      </w:pPr>
      <w:bookmarkStart w:id="27" w:name="_Toc465267003"/>
    </w:p>
    <w:p w14:paraId="450EBAB1" w14:textId="0B4EF3CC" w:rsidR="00E31A86" w:rsidRDefault="009A4828" w:rsidP="00AF51D7">
      <w:pPr>
        <w:rPr>
          <w:lang w:val="sq-AL"/>
        </w:rPr>
      </w:pPr>
      <w:r w:rsidRPr="00E31A86">
        <w:rPr>
          <w:rStyle w:val="Strong"/>
          <w:rFonts w:eastAsiaTheme="majorEastAsia"/>
          <w:b w:val="0"/>
          <w:bCs w:val="0"/>
          <w:u w:val="single"/>
          <w:lang w:val="sq-AL"/>
        </w:rPr>
        <w:t>Struktura përgjegjëse për zbatimin e opsionit të zgjedhur</w:t>
      </w:r>
      <w:r w:rsidRPr="00E31A86">
        <w:rPr>
          <w:lang w:val="sq-AL"/>
        </w:rPr>
        <w:br/>
      </w:r>
    </w:p>
    <w:p w14:paraId="596A696F" w14:textId="77777777" w:rsidR="000A757B" w:rsidRPr="000A757B" w:rsidRDefault="000A757B" w:rsidP="000A757B">
      <w:pPr>
        <w:jc w:val="both"/>
        <w:rPr>
          <w:lang w:val="sq-AL"/>
        </w:rPr>
      </w:pPr>
      <w:r w:rsidRPr="000A757B">
        <w:rPr>
          <w:b/>
          <w:u w:val="single"/>
          <w:lang w:val="sq-AL"/>
        </w:rPr>
        <w:t>Ministria përgjegjëse për</w:t>
      </w:r>
      <w:r w:rsidRPr="000A757B">
        <w:rPr>
          <w:b/>
          <w:bCs/>
          <w:u w:val="single"/>
          <w:lang w:val="sq-AL"/>
        </w:rPr>
        <w:t xml:space="preserve"> ekonominë</w:t>
      </w:r>
      <w:r w:rsidRPr="000A757B">
        <w:rPr>
          <w:lang w:val="sq-AL"/>
        </w:rPr>
        <w:t xml:space="preserve">. Si institucioni kryesor që mbikëqyr politikën ekonomike dhe reformën rregullatore, ministria përgjegjëse për ekonominë do të luajë një rol kyç në sigurimin e miratimit dhe integrimit të ndryshimeve ligjore në kuadrin ligjor kombëtar. Ajo do të mbikëqyr harmonizimin me direktivat e BE-së dhe do të punojë me institucione të tjera për të zhvilluar strategjitë e implementimit. </w:t>
      </w:r>
    </w:p>
    <w:p w14:paraId="625BAD3A" w14:textId="77777777" w:rsidR="000A757B" w:rsidRPr="000A757B" w:rsidRDefault="000A757B" w:rsidP="000A757B">
      <w:pPr>
        <w:jc w:val="both"/>
        <w:rPr>
          <w:lang w:val="sq-AL"/>
        </w:rPr>
      </w:pPr>
    </w:p>
    <w:p w14:paraId="54353AF0" w14:textId="48D62BC7" w:rsidR="00BD4409" w:rsidRDefault="000A757B" w:rsidP="000A757B">
      <w:pPr>
        <w:jc w:val="both"/>
        <w:rPr>
          <w:lang w:val="sq-AL"/>
        </w:rPr>
      </w:pPr>
      <w:r w:rsidRPr="000A757B">
        <w:rPr>
          <w:b/>
          <w:bCs/>
          <w:u w:val="single"/>
          <w:lang w:val="sq-AL"/>
        </w:rPr>
        <w:t xml:space="preserve">Ministria përgjegjëse për </w:t>
      </w:r>
      <w:r w:rsidR="005F23C8" w:rsidRPr="000A757B">
        <w:rPr>
          <w:b/>
          <w:bCs/>
          <w:u w:val="single"/>
          <w:lang w:val="sq-AL"/>
        </w:rPr>
        <w:t>financat</w:t>
      </w:r>
      <w:r w:rsidRPr="000A757B">
        <w:rPr>
          <w:lang w:val="sq-AL"/>
        </w:rPr>
        <w:t xml:space="preserve"> nga ana tjetër do të jetë gjithashtu përgjegjëse për lidhjen me BE-në dhe monitorimin e përputhshmërisë me kërkesat fiskale dhe ligjore të BE-së</w:t>
      </w:r>
      <w:r w:rsidR="00300197">
        <w:rPr>
          <w:lang w:val="sq-AL"/>
        </w:rPr>
        <w:t>, çka do të fusë në lojë edhe administratën tatimore.</w:t>
      </w:r>
    </w:p>
    <w:p w14:paraId="6E298E09" w14:textId="77777777" w:rsidR="00BD4409" w:rsidRPr="00BD4409" w:rsidRDefault="00BD4409" w:rsidP="00BD4409">
      <w:pPr>
        <w:jc w:val="both"/>
        <w:rPr>
          <w:lang w:val="sq-AL"/>
        </w:rPr>
      </w:pPr>
    </w:p>
    <w:p w14:paraId="4B3ADCE4" w14:textId="77777777" w:rsidR="00BD4409" w:rsidRPr="00BD4409" w:rsidRDefault="00BD4409" w:rsidP="00BD4409">
      <w:pPr>
        <w:jc w:val="both"/>
        <w:rPr>
          <w:b/>
          <w:u w:val="single"/>
          <w:lang w:val="sq-AL"/>
        </w:rPr>
      </w:pPr>
      <w:r w:rsidRPr="00BD4409">
        <w:rPr>
          <w:b/>
          <w:lang w:val="sq-AL"/>
        </w:rPr>
        <w:t>Autoriteti i Mbikqyrjes Financiare (AMF)</w:t>
      </w:r>
      <w:r w:rsidRPr="00BD4409">
        <w:rPr>
          <w:bCs/>
          <w:lang w:val="sq-AL"/>
        </w:rPr>
        <w:t xml:space="preserve">: rregullimi dhe mbikëqyrja tregut të titujve dhe të veprimtarisë së këtij tregu, ku përfshihen veprimtaritë e subjekteve të lidhura me investime në tituj e që veprojnë në këtë treg, është përgjegjësi e AMF. Rrjedhimisht, në kuadër të ndryshimeve ligjore të cilat prekin qeverisjen korporative të shoqërive të listuara, AMF luan rol kyç. </w:t>
      </w:r>
    </w:p>
    <w:p w14:paraId="2060B140" w14:textId="77777777" w:rsidR="000A757B" w:rsidRPr="000A757B" w:rsidRDefault="000A757B" w:rsidP="000A757B">
      <w:pPr>
        <w:jc w:val="both"/>
        <w:rPr>
          <w:b/>
          <w:bCs/>
          <w:u w:val="single"/>
          <w:lang w:val="sq-AL"/>
        </w:rPr>
      </w:pPr>
    </w:p>
    <w:p w14:paraId="387CA237" w14:textId="58BC6E81" w:rsidR="000A757B" w:rsidRPr="000A757B" w:rsidRDefault="000A757B" w:rsidP="000A757B">
      <w:pPr>
        <w:jc w:val="both"/>
        <w:rPr>
          <w:b/>
          <w:u w:val="single"/>
          <w:lang w:val="sq-AL"/>
        </w:rPr>
      </w:pPr>
      <w:r w:rsidRPr="000A757B">
        <w:rPr>
          <w:b/>
          <w:u w:val="single"/>
          <w:lang w:val="sq-AL"/>
        </w:rPr>
        <w:t xml:space="preserve">Qendra Kombëtare e Biznesit (QKB): </w:t>
      </w:r>
      <w:r w:rsidRPr="000A757B">
        <w:rPr>
          <w:bCs/>
          <w:lang w:val="sq-AL"/>
        </w:rPr>
        <w:t xml:space="preserve">QKB do të jetë përgjegjëse për menaxhimin e procesit të regjistrimit të bizneseve dhe implementimin e mjeteve digjitale për të siguruar përputhshmërinë me rregullat e reja të qeverisjes korporative dhe standardet për operacionet ndërkufitare. Ajo do të punojë me ministrinë përgjegjëse për ekonominë dhe institucione të tjera, të tilla si AKSHI dhe AKCESK për të siguruar që procedurat e regjistrimit të bizneseve dhe rregulloret të jenë të thjeshtuara dhe në përputhje me kërkesat e BE-së. QKB do të luajë një rol kyç në digitalizimin e regjistrave dhe përdorimin e platformave digjitale për të lehtësuar regjistrimin dhe proceset e përputhshmërisë me standardet ndërkombëtare. </w:t>
      </w:r>
      <w:r w:rsidRPr="000A757B">
        <w:rPr>
          <w:lang w:val="sq-AL"/>
        </w:rPr>
        <w:t xml:space="preserve"> P</w:t>
      </w:r>
      <w:r w:rsidRPr="000A757B">
        <w:rPr>
          <w:bCs/>
          <w:lang w:val="sq-AL"/>
        </w:rPr>
        <w:t xml:space="preserve">asi specifikimet teknike të regjistrave të biznesit që do të lidhën </w:t>
      </w:r>
      <w:r w:rsidR="005F23C8">
        <w:rPr>
          <w:bCs/>
          <w:lang w:val="sq-AL"/>
        </w:rPr>
        <w:t>midis tyre</w:t>
      </w:r>
      <w:r w:rsidRPr="000A757B">
        <w:rPr>
          <w:bCs/>
          <w:lang w:val="sq-AL"/>
        </w:rPr>
        <w:t xml:space="preserve"> të rishikohen nga Agjencia Kombëtare për Shoqërinë e Informacionit (AKSHI) dhe Qendra Kombëtare e Biznesit, mund të vazhdohet me hapat e nevojshëm që duhet të ndërmerren për të mundësuar lidhjen e regjistrit të biznesit të Shqipërisë me BRIS.</w:t>
      </w:r>
    </w:p>
    <w:p w14:paraId="5B2F5E9E" w14:textId="77777777" w:rsidR="000A757B" w:rsidRPr="000A757B" w:rsidRDefault="000A757B" w:rsidP="000A757B">
      <w:pPr>
        <w:jc w:val="both"/>
        <w:rPr>
          <w:lang w:val="sq-AL"/>
        </w:rPr>
      </w:pPr>
    </w:p>
    <w:p w14:paraId="434DCB35" w14:textId="352CD71D" w:rsidR="000A757B" w:rsidRPr="000A757B" w:rsidRDefault="000A757B" w:rsidP="000A757B">
      <w:pPr>
        <w:jc w:val="both"/>
        <w:rPr>
          <w:lang w:val="sq-AL"/>
        </w:rPr>
      </w:pPr>
      <w:r w:rsidRPr="000A757B">
        <w:rPr>
          <w:b/>
          <w:bCs/>
          <w:u w:val="single"/>
          <w:lang w:val="sq-AL"/>
        </w:rPr>
        <w:t>Instituti i Statistikave (INSTAT</w:t>
      </w:r>
      <w:r w:rsidRPr="000A757B">
        <w:rPr>
          <w:b/>
          <w:bCs/>
          <w:lang w:val="sq-AL"/>
        </w:rPr>
        <w:t>)</w:t>
      </w:r>
      <w:r w:rsidRPr="000A757B">
        <w:rPr>
          <w:lang w:val="sq-AL"/>
        </w:rPr>
        <w:t xml:space="preserve">: INSTAT do të mbledhë dhe analizojë të dhëna për të matur ndikimin e reformave. Ajo do të ndjekë tregues ekonomikë si rritja e biznesit, investimet e huaja </w:t>
      </w:r>
      <w:r w:rsidR="0067070B">
        <w:rPr>
          <w:lang w:val="sq-AL"/>
        </w:rPr>
        <w:t>të drejtpërdrejta</w:t>
      </w:r>
      <w:r w:rsidRPr="000A757B">
        <w:rPr>
          <w:lang w:val="sq-AL"/>
        </w:rPr>
        <w:t xml:space="preserve"> dhe standardet e qeverisjes korporative. INSTAT do të ofrojë të dhëna </w:t>
      </w:r>
      <w:r w:rsidR="007F47BE">
        <w:rPr>
          <w:lang w:val="sq-AL"/>
        </w:rPr>
        <w:t xml:space="preserve">të ndara edhe sipas gjinisë </w:t>
      </w:r>
      <w:r w:rsidRPr="000A757B">
        <w:rPr>
          <w:lang w:val="sq-AL"/>
        </w:rPr>
        <w:t>që do të udhëheqin rregullimet dhe përmirësimet e ardhshme në kuadrin rregullator.</w:t>
      </w:r>
    </w:p>
    <w:p w14:paraId="1A799B1B" w14:textId="77777777" w:rsidR="000A757B" w:rsidRPr="000A757B" w:rsidRDefault="000A757B" w:rsidP="000A757B">
      <w:pPr>
        <w:jc w:val="both"/>
        <w:rPr>
          <w:lang w:val="sq-AL"/>
        </w:rPr>
      </w:pPr>
    </w:p>
    <w:p w14:paraId="1A98FD30" w14:textId="46400F09" w:rsidR="00A56385" w:rsidRDefault="000A757B" w:rsidP="000A757B">
      <w:pPr>
        <w:jc w:val="both"/>
        <w:rPr>
          <w:lang w:val="sq-AL"/>
        </w:rPr>
      </w:pPr>
      <w:r w:rsidRPr="00EA2CCA">
        <w:rPr>
          <w:b/>
          <w:bCs/>
          <w:u w:val="single"/>
          <w:lang w:val="sq-AL"/>
        </w:rPr>
        <w:t>Ministria e Shtetit për Mbrojtjen e Sipërmarrjes</w:t>
      </w:r>
      <w:r w:rsidRPr="00EA2CCA">
        <w:rPr>
          <w:lang w:val="sq-AL"/>
        </w:rPr>
        <w:t xml:space="preserve">: Kjo ministri do të përqendrohet në mbështetje të bizneseve, veçanërisht SME-ve, për t'u përshtatur me kërkesat e reja ligjore. Ajo do të ofrojë trajnim, asistencë financiare dhe shërbime këshillimore për të ndihmuar bizneset të përmbushin ligjin e përditësuar </w:t>
      </w:r>
      <w:r w:rsidRPr="00EA2CCA">
        <w:rPr>
          <w:lang w:val="sq-AL"/>
        </w:rPr>
        <w:lastRenderedPageBreak/>
        <w:t>të shoqërive. Ministria gjithashtu do të monitorojë ndikimin social të reformave, veçanërisht për ndërmarrjet më të vogla.</w:t>
      </w:r>
    </w:p>
    <w:p w14:paraId="7458D5EE" w14:textId="77777777" w:rsidR="000860E6" w:rsidRDefault="000860E6" w:rsidP="000A757B">
      <w:pPr>
        <w:jc w:val="both"/>
        <w:rPr>
          <w:lang w:val="sq-AL"/>
        </w:rPr>
      </w:pPr>
    </w:p>
    <w:p w14:paraId="0B9AF257" w14:textId="3E2E435D" w:rsidR="000860E6" w:rsidRPr="00C82E7F" w:rsidRDefault="000860E6" w:rsidP="000A757B">
      <w:pPr>
        <w:jc w:val="both"/>
        <w:rPr>
          <w:lang w:val="sq-AL"/>
        </w:rPr>
      </w:pPr>
      <w:r w:rsidRPr="00C82E7F">
        <w:rPr>
          <w:b/>
          <w:bCs/>
          <w:u w:val="single"/>
          <w:lang w:val="sq-AL"/>
        </w:rPr>
        <w:t xml:space="preserve">Autoriteti i Konkurrencës: </w:t>
      </w:r>
      <w:r w:rsidR="00292300" w:rsidRPr="00777DFA">
        <w:rPr>
          <w:lang w:val="sq-AL"/>
        </w:rPr>
        <w:t>Ligji Nr. 9121, datë 28.7.2003 “Për mbrojtjen e konkurrencës”, i ndryshuar parashikon se, nëse shoqëritë e bashkuara përmbushin nivelet e xhirove apo nivelet e tjera të caktuara në lidhje me pjesën e tregut dhe të ardhurat, ato duhet të njoftojnë Autoritetin e Konkurrencës për miratimin e transaksionit</w:t>
      </w:r>
      <w:r w:rsidRPr="00C82E7F">
        <w:rPr>
          <w:lang w:val="sq-AL"/>
        </w:rPr>
        <w:t xml:space="preserve"> për të shmangur pasojat ligjore dhe financiare që mund të lindin nga mosnjoftimi.</w:t>
      </w:r>
      <w:r w:rsidR="00E20C25" w:rsidRPr="00C82E7F">
        <w:rPr>
          <w:lang w:val="sq-AL"/>
        </w:rPr>
        <w:t xml:space="preserve"> </w:t>
      </w:r>
      <w:r w:rsidR="000B21FC" w:rsidRPr="00777DFA">
        <w:rPr>
          <w:lang w:val="sq-AL"/>
        </w:rPr>
        <w:t xml:space="preserve">Autoriteti do të vlerësojë ndikimin e bashkimit në konkurrencë, duke u fokusuar te mundësia që ky bashkim të krijojë ose forcojë një pozicion dominues që mund të prishë konkurrencën në treg. Këto rregulla do të ndikojnë jo vetëm te shoqëritë që operojnë brenda tregut të brendshëm, por edhe te ato që janë të përfshira në operacione ndërkufitare, duke kërkuar që të përputhen me kërkesat e bashkimit dhe konkurrencës të harmonizuara me rregullat e BE-së. </w:t>
      </w:r>
      <w:r w:rsidR="00E20C25" w:rsidRPr="00C82E7F">
        <w:rPr>
          <w:lang w:val="sq-AL"/>
        </w:rPr>
        <w:t xml:space="preserve">Harmonizimi i do të rrisë konkurrencën në tregun lokal, duke mundësuar që bizneset shqiptare të konkurrojnë në kushte të barabarta me ato të vendeve të BE-së. Për më tepër, krijimi i një tregu të hapur dhe të parashikueshëm për investitorët do të ndihmojë në diversifikimin e ekonomisë dhe përmirësimin e cilësisë së produkteve dhe shërbimeve. Autoriteti i </w:t>
      </w:r>
      <w:r w:rsidR="005F23C8" w:rsidRPr="00C82E7F">
        <w:rPr>
          <w:lang w:val="sq-AL"/>
        </w:rPr>
        <w:t>Konkurrencës</w:t>
      </w:r>
      <w:r w:rsidR="00E20C25" w:rsidRPr="00C82E7F">
        <w:rPr>
          <w:lang w:val="sq-AL"/>
        </w:rPr>
        <w:t xml:space="preserve"> </w:t>
      </w:r>
      <w:r w:rsidR="005D5779" w:rsidRPr="00C82E7F">
        <w:rPr>
          <w:lang w:val="sq-AL"/>
        </w:rPr>
        <w:t>do t</w:t>
      </w:r>
      <w:r w:rsidR="00F17944" w:rsidRPr="00C82E7F">
        <w:rPr>
          <w:lang w:val="sq-AL"/>
        </w:rPr>
        <w:t>ë</w:t>
      </w:r>
      <w:r w:rsidR="005D5779" w:rsidRPr="00C82E7F">
        <w:rPr>
          <w:lang w:val="sq-AL"/>
        </w:rPr>
        <w:t xml:space="preserve"> </w:t>
      </w:r>
      <w:r w:rsidR="00E20C25" w:rsidRPr="00C82E7F">
        <w:rPr>
          <w:lang w:val="sq-AL"/>
        </w:rPr>
        <w:t>duhet t</w:t>
      </w:r>
      <w:r w:rsidR="00F17944" w:rsidRPr="00C82E7F">
        <w:rPr>
          <w:lang w:val="sq-AL"/>
        </w:rPr>
        <w:t>ë</w:t>
      </w:r>
      <w:r w:rsidR="00E20C25" w:rsidRPr="00C82E7F">
        <w:rPr>
          <w:lang w:val="sq-AL"/>
        </w:rPr>
        <w:t xml:space="preserve"> jet</w:t>
      </w:r>
      <w:r w:rsidR="00F17944" w:rsidRPr="00C82E7F">
        <w:rPr>
          <w:lang w:val="sq-AL"/>
        </w:rPr>
        <w:t>ë</w:t>
      </w:r>
      <w:r w:rsidR="00E20C25" w:rsidRPr="00C82E7F">
        <w:rPr>
          <w:lang w:val="sq-AL"/>
        </w:rPr>
        <w:t xml:space="preserve"> m</w:t>
      </w:r>
      <w:r w:rsidR="00F17944" w:rsidRPr="00C82E7F">
        <w:rPr>
          <w:lang w:val="sq-AL"/>
        </w:rPr>
        <w:t>ë</w:t>
      </w:r>
      <w:r w:rsidR="00E20C25" w:rsidRPr="00C82E7F">
        <w:rPr>
          <w:lang w:val="sq-AL"/>
        </w:rPr>
        <w:t xml:space="preserve"> i v</w:t>
      </w:r>
      <w:r w:rsidR="00F17944" w:rsidRPr="00C82E7F">
        <w:rPr>
          <w:lang w:val="sq-AL"/>
        </w:rPr>
        <w:t>ë</w:t>
      </w:r>
      <w:r w:rsidR="00E20C25" w:rsidRPr="00C82E7F">
        <w:rPr>
          <w:lang w:val="sq-AL"/>
        </w:rPr>
        <w:t>mendsh</w:t>
      </w:r>
      <w:r w:rsidR="00F17944" w:rsidRPr="00C82E7F">
        <w:rPr>
          <w:lang w:val="sq-AL"/>
        </w:rPr>
        <w:t>ë</w:t>
      </w:r>
      <w:r w:rsidR="00E20C25" w:rsidRPr="00C82E7F">
        <w:rPr>
          <w:lang w:val="sq-AL"/>
        </w:rPr>
        <w:t>m</w:t>
      </w:r>
      <w:r w:rsidR="005D5779" w:rsidRPr="00C82E7F">
        <w:rPr>
          <w:lang w:val="sq-AL"/>
        </w:rPr>
        <w:t xml:space="preserve"> p</w:t>
      </w:r>
      <w:r w:rsidR="00F17944" w:rsidRPr="00C82E7F">
        <w:rPr>
          <w:lang w:val="sq-AL"/>
        </w:rPr>
        <w:t>ë</w:t>
      </w:r>
      <w:r w:rsidR="005D5779" w:rsidRPr="00C82E7F">
        <w:rPr>
          <w:lang w:val="sq-AL"/>
        </w:rPr>
        <w:t xml:space="preserve">r </w:t>
      </w:r>
      <w:r w:rsidR="005F23C8" w:rsidRPr="00C82E7F">
        <w:rPr>
          <w:lang w:val="sq-AL"/>
        </w:rPr>
        <w:t>përqendrime</w:t>
      </w:r>
      <w:r w:rsidR="005D5779" w:rsidRPr="00C82E7F">
        <w:rPr>
          <w:lang w:val="sq-AL"/>
        </w:rPr>
        <w:t xml:space="preserve"> t</w:t>
      </w:r>
      <w:r w:rsidR="00F17944" w:rsidRPr="00C82E7F">
        <w:rPr>
          <w:lang w:val="sq-AL"/>
        </w:rPr>
        <w:t>ë</w:t>
      </w:r>
      <w:r w:rsidR="005D5779" w:rsidRPr="00C82E7F">
        <w:rPr>
          <w:lang w:val="sq-AL"/>
        </w:rPr>
        <w:t xml:space="preserve"> reja q</w:t>
      </w:r>
      <w:r w:rsidR="00F17944" w:rsidRPr="00C82E7F">
        <w:rPr>
          <w:lang w:val="sq-AL"/>
        </w:rPr>
        <w:t>ë</w:t>
      </w:r>
      <w:r w:rsidR="005D5779" w:rsidRPr="00C82E7F">
        <w:rPr>
          <w:lang w:val="sq-AL"/>
        </w:rPr>
        <w:t xml:space="preserve"> mund t</w:t>
      </w:r>
      <w:r w:rsidR="00F17944" w:rsidRPr="00C82E7F">
        <w:rPr>
          <w:lang w:val="sq-AL"/>
        </w:rPr>
        <w:t>ë</w:t>
      </w:r>
      <w:r w:rsidR="005D5779" w:rsidRPr="00C82E7F">
        <w:rPr>
          <w:lang w:val="sq-AL"/>
        </w:rPr>
        <w:t xml:space="preserve"> krijohen n</w:t>
      </w:r>
      <w:r w:rsidR="00F17944" w:rsidRPr="00C82E7F">
        <w:rPr>
          <w:lang w:val="sq-AL"/>
        </w:rPr>
        <w:t>ë</w:t>
      </w:r>
      <w:r w:rsidR="005D5779" w:rsidRPr="00C82E7F">
        <w:rPr>
          <w:lang w:val="sq-AL"/>
        </w:rPr>
        <w:t xml:space="preserve"> treg apo mbrojtjen e konkurrenc</w:t>
      </w:r>
      <w:r w:rsidR="00F17944" w:rsidRPr="00C82E7F">
        <w:rPr>
          <w:lang w:val="sq-AL"/>
        </w:rPr>
        <w:t>ë</w:t>
      </w:r>
      <w:r w:rsidR="005D5779" w:rsidRPr="00C82E7F">
        <w:rPr>
          <w:lang w:val="sq-AL"/>
        </w:rPr>
        <w:t>s s</w:t>
      </w:r>
      <w:r w:rsidR="00F17944" w:rsidRPr="00C82E7F">
        <w:rPr>
          <w:lang w:val="sq-AL"/>
        </w:rPr>
        <w:t>ë</w:t>
      </w:r>
      <w:r w:rsidR="005D5779" w:rsidRPr="00C82E7F">
        <w:rPr>
          <w:lang w:val="sq-AL"/>
        </w:rPr>
        <w:t xml:space="preserve"> pandershme n</w:t>
      </w:r>
      <w:r w:rsidR="00F17944" w:rsidRPr="00C82E7F">
        <w:rPr>
          <w:lang w:val="sq-AL"/>
        </w:rPr>
        <w:t>ë</w:t>
      </w:r>
      <w:r w:rsidR="005D5779" w:rsidRPr="00C82E7F">
        <w:rPr>
          <w:lang w:val="sq-AL"/>
        </w:rPr>
        <w:t xml:space="preserve"> p</w:t>
      </w:r>
      <w:r w:rsidR="00F17944" w:rsidRPr="00C82E7F">
        <w:rPr>
          <w:lang w:val="sq-AL"/>
        </w:rPr>
        <w:t>ë</w:t>
      </w:r>
      <w:r w:rsidR="005D5779" w:rsidRPr="00C82E7F">
        <w:rPr>
          <w:lang w:val="sq-AL"/>
        </w:rPr>
        <w:t>rgjith</w:t>
      </w:r>
      <w:r w:rsidR="00F17944" w:rsidRPr="00C82E7F">
        <w:rPr>
          <w:lang w:val="sq-AL"/>
        </w:rPr>
        <w:t>ë</w:t>
      </w:r>
      <w:r w:rsidR="005D5779" w:rsidRPr="00C82E7F">
        <w:rPr>
          <w:lang w:val="sq-AL"/>
        </w:rPr>
        <w:t>si</w:t>
      </w:r>
      <w:r w:rsidR="00777DFA">
        <w:rPr>
          <w:lang w:val="sq-AL"/>
        </w:rPr>
        <w:t>.</w:t>
      </w:r>
    </w:p>
    <w:p w14:paraId="2BFFB4D3" w14:textId="77777777" w:rsidR="0083590D" w:rsidRPr="00C82E7F" w:rsidRDefault="0083590D" w:rsidP="000A757B">
      <w:pPr>
        <w:jc w:val="both"/>
        <w:rPr>
          <w:lang w:val="sq-AL"/>
        </w:rPr>
      </w:pPr>
    </w:p>
    <w:p w14:paraId="4DA0EF82" w14:textId="77777777" w:rsidR="000A757B" w:rsidRPr="00A56385" w:rsidRDefault="000A757B" w:rsidP="00AF51D7">
      <w:pPr>
        <w:jc w:val="both"/>
        <w:rPr>
          <w:lang w:val="sq-AL"/>
        </w:rPr>
      </w:pPr>
    </w:p>
    <w:p w14:paraId="414EC0C8" w14:textId="1DA55186" w:rsidR="00A56385" w:rsidRPr="00A56385" w:rsidRDefault="009A4828" w:rsidP="00A56385">
      <w:pPr>
        <w:rPr>
          <w:rFonts w:eastAsiaTheme="majorEastAsia"/>
          <w:u w:val="single"/>
          <w:lang w:val="sq-AL"/>
        </w:rPr>
      </w:pPr>
      <w:r w:rsidRPr="00A56385">
        <w:rPr>
          <w:rFonts w:eastAsiaTheme="majorEastAsia"/>
          <w:u w:val="single"/>
          <w:lang w:val="sq-AL"/>
        </w:rPr>
        <w:t xml:space="preserve">Pengesat e </w:t>
      </w:r>
      <w:r w:rsidR="00A56385" w:rsidRPr="00A56385">
        <w:rPr>
          <w:rFonts w:eastAsiaTheme="majorEastAsia"/>
          <w:u w:val="single"/>
          <w:lang w:val="sq-AL"/>
        </w:rPr>
        <w:t>m</w:t>
      </w:r>
      <w:r w:rsidRPr="00A56385">
        <w:rPr>
          <w:rFonts w:eastAsiaTheme="majorEastAsia"/>
          <w:u w:val="single"/>
          <w:lang w:val="sq-AL"/>
        </w:rPr>
        <w:t xml:space="preserve">undshme për </w:t>
      </w:r>
      <w:r w:rsidR="00A56385">
        <w:rPr>
          <w:rFonts w:eastAsiaTheme="majorEastAsia"/>
          <w:u w:val="single"/>
          <w:lang w:val="sq-AL"/>
        </w:rPr>
        <w:t>z</w:t>
      </w:r>
      <w:r w:rsidRPr="00A56385">
        <w:rPr>
          <w:rFonts w:eastAsiaTheme="majorEastAsia"/>
          <w:u w:val="single"/>
          <w:lang w:val="sq-AL"/>
        </w:rPr>
        <w:t xml:space="preserve">batimin e </w:t>
      </w:r>
      <w:r w:rsidR="00A56385">
        <w:rPr>
          <w:rFonts w:eastAsiaTheme="majorEastAsia"/>
          <w:u w:val="single"/>
          <w:lang w:val="sq-AL"/>
        </w:rPr>
        <w:t>o</w:t>
      </w:r>
      <w:r w:rsidRPr="00A56385">
        <w:rPr>
          <w:rFonts w:eastAsiaTheme="majorEastAsia"/>
          <w:u w:val="single"/>
          <w:lang w:val="sq-AL"/>
        </w:rPr>
        <w:t xml:space="preserve">psionit të </w:t>
      </w:r>
      <w:r w:rsidR="00A56385">
        <w:rPr>
          <w:rFonts w:eastAsiaTheme="majorEastAsia"/>
          <w:u w:val="single"/>
          <w:lang w:val="sq-AL"/>
        </w:rPr>
        <w:t>z</w:t>
      </w:r>
      <w:r w:rsidRPr="00A56385">
        <w:rPr>
          <w:rFonts w:eastAsiaTheme="majorEastAsia"/>
          <w:u w:val="single"/>
          <w:lang w:val="sq-AL"/>
        </w:rPr>
        <w:t>gjedhur</w:t>
      </w:r>
    </w:p>
    <w:p w14:paraId="431F0708" w14:textId="13903600" w:rsidR="009A4828" w:rsidRPr="00F74152" w:rsidRDefault="009A4828" w:rsidP="00B33342">
      <w:pPr>
        <w:jc w:val="both"/>
        <w:rPr>
          <w:lang w:val="sq-AL"/>
        </w:rPr>
      </w:pPr>
      <w:r w:rsidRPr="00A56385">
        <w:rPr>
          <w:lang w:val="sq-AL"/>
        </w:rPr>
        <w:br/>
      </w:r>
      <w:r w:rsidRPr="00F74152">
        <w:rPr>
          <w:lang w:val="sq-AL"/>
        </w:rPr>
        <w:t xml:space="preserve">Për zbatimin e plotë të opsionit të zgjedhur mund të ketë disa pengesa të mundshme. Një pengesë mund të jetë mungesa e kapaciteteve institucionale për të përballuar ngarkesën e shtuar që lidhet me zbatimin e </w:t>
      </w:r>
      <w:r w:rsidR="00C472C8">
        <w:rPr>
          <w:lang w:val="sq-AL"/>
        </w:rPr>
        <w:t>ndryshimeve</w:t>
      </w:r>
      <w:r w:rsidR="00C472C8" w:rsidRPr="00F74152">
        <w:rPr>
          <w:lang w:val="sq-AL"/>
        </w:rPr>
        <w:t xml:space="preserve"> </w:t>
      </w:r>
      <w:r w:rsidRPr="00F74152">
        <w:rPr>
          <w:lang w:val="sq-AL"/>
        </w:rPr>
        <w:t xml:space="preserve">të reja. Përshtatja e institucioneve shtetërore dhe forcimi i kapaciteteve për të monitoruar dhe </w:t>
      </w:r>
      <w:r w:rsidR="005F23C8">
        <w:rPr>
          <w:lang w:val="sq-AL"/>
        </w:rPr>
        <w:t>zbatuar</w:t>
      </w:r>
      <w:r w:rsidRPr="00F74152">
        <w:rPr>
          <w:lang w:val="sq-AL"/>
        </w:rPr>
        <w:t xml:space="preserve"> </w:t>
      </w:r>
      <w:r w:rsidR="00935A5E">
        <w:rPr>
          <w:lang w:val="sq-AL"/>
        </w:rPr>
        <w:t>ndryshimet</w:t>
      </w:r>
      <w:r w:rsidR="00935A5E" w:rsidRPr="00F74152">
        <w:rPr>
          <w:lang w:val="sq-AL"/>
        </w:rPr>
        <w:t xml:space="preserve"> </w:t>
      </w:r>
      <w:r w:rsidRPr="00F74152">
        <w:rPr>
          <w:lang w:val="sq-AL"/>
        </w:rPr>
        <w:t xml:space="preserve">kërkon investime në trajnim dhe infrastrukturë. </w:t>
      </w:r>
      <w:r w:rsidR="00C065BE" w:rsidRPr="00DA728F">
        <w:rPr>
          <w:lang w:val="sq-AL"/>
        </w:rPr>
        <w:t>Implementimi i mjeteve digjitale për njoftimet nëpërmjet sistemeve të ndërlidhjes do duhet të sjellin përshtatje të sistemit të mbajtur nga QKB.</w:t>
      </w:r>
      <w:r w:rsidRPr="00F74152">
        <w:rPr>
          <w:rStyle w:val="Strong"/>
          <w:rFonts w:eastAsiaTheme="majorEastAsia"/>
          <w:b w:val="0"/>
          <w:bCs w:val="0"/>
          <w:lang w:val="sq-AL"/>
        </w:rPr>
        <w:t xml:space="preserve">Ndërmarrjet e vogla dhe të mesme </w:t>
      </w:r>
      <w:r w:rsidRPr="00F74152">
        <w:rPr>
          <w:lang w:val="sq-AL"/>
        </w:rPr>
        <w:t xml:space="preserve">mund të kenë vështirësi për t’u përshtatur me kërkesat e reja ligjore dhe mund të kërkojnë mbështetje shtesë për të siguruar përputhshmërinë. </w:t>
      </w:r>
      <w:r w:rsidR="00DA728F" w:rsidRPr="00DA728F">
        <w:rPr>
          <w:lang w:val="sq-AL"/>
        </w:rPr>
        <w:t xml:space="preserve">Shoqëritë do të duhet të përditësojnë statutet dhe dokumentet e tyre organizative për të siguruar që ato përputhen me kërkesat e reja. Ato do të duhet të zbatojnë masa shtesë transparence në lidhje me të drejtat e aksionarëve dhe qeverisjen korporative. </w:t>
      </w:r>
      <w:r w:rsidRPr="00F74152">
        <w:rPr>
          <w:lang w:val="sq-AL"/>
        </w:rPr>
        <w:t>Për më tepër, mungesa e burimeve për të mbështetur ndryshimet në infrastrukturën digjitale dhe proceset administrative mund të ngadalësojë implementimin. Një pengesë tjetër mund të jetë mungesa e transparencës dhe komunikimit të qartë me bizneset për rregullat dhe procedurat e reja.</w:t>
      </w:r>
    </w:p>
    <w:p w14:paraId="6EFDC9B4" w14:textId="77777777" w:rsidR="00B33342" w:rsidRPr="00F74152" w:rsidRDefault="009A4828" w:rsidP="00B33342">
      <w:pPr>
        <w:pStyle w:val="NormalWeb"/>
        <w:rPr>
          <w:lang w:val="sq-AL"/>
        </w:rPr>
      </w:pPr>
      <w:r w:rsidRPr="00F74152">
        <w:rPr>
          <w:rStyle w:val="Strong"/>
          <w:rFonts w:eastAsiaTheme="majorEastAsia"/>
          <w:b w:val="0"/>
          <w:bCs w:val="0"/>
          <w:u w:val="single"/>
          <w:lang w:val="sq-AL"/>
        </w:rPr>
        <w:t>Masat që do të ndërmerren gjatë zbatimit për të arritur qëllimet e politikës</w:t>
      </w:r>
    </w:p>
    <w:p w14:paraId="185D9F9E" w14:textId="64CDE655" w:rsidR="009A4828" w:rsidRPr="005F23C8" w:rsidRDefault="009A4828" w:rsidP="00B33342">
      <w:pPr>
        <w:rPr>
          <w:lang w:val="sq-AL"/>
        </w:rPr>
      </w:pPr>
      <w:r w:rsidRPr="00F74152">
        <w:rPr>
          <w:lang w:val="sq-AL"/>
        </w:rPr>
        <w:t xml:space="preserve">Për të siguruar qëllimet e politikës dhe për të mundësuar zbatimin e suksesshëm të opsionit të zgjedhur, </w:t>
      </w:r>
      <w:r w:rsidRPr="005F23C8">
        <w:rPr>
          <w:lang w:val="sq-AL"/>
        </w:rPr>
        <w:t>do të ndërmerren disa masa kyçe. Këto përfshijnë:</w:t>
      </w:r>
    </w:p>
    <w:p w14:paraId="5AC11E7A" w14:textId="2685BEF3" w:rsidR="009A4828" w:rsidRPr="005F23C8" w:rsidRDefault="009A4828" w:rsidP="00835DDA">
      <w:pPr>
        <w:pStyle w:val="NormalWeb"/>
        <w:numPr>
          <w:ilvl w:val="0"/>
          <w:numId w:val="24"/>
        </w:numPr>
        <w:jc w:val="both"/>
        <w:rPr>
          <w:lang w:val="sq-AL"/>
        </w:rPr>
      </w:pPr>
      <w:r w:rsidRPr="005F23C8">
        <w:rPr>
          <w:lang w:val="sq-AL"/>
        </w:rPr>
        <w:t>Sigurimi i trajnimeve të vazhdueshme për punonjësit e institucioneve shtetërore, për t’u njohur me kërkesat e reja ligjore dhe për të siguruar implementimin e duhur të ndryshimeve. Pjesëmarrja në trajnime ndërkombëtare dhe bashkëpunimi me ekspertë do të rrisin aftësitë e këtyre institucioneve.</w:t>
      </w:r>
    </w:p>
    <w:p w14:paraId="3DBB235C" w14:textId="09593FCF" w:rsidR="009A4828" w:rsidRPr="005F23C8" w:rsidRDefault="009A4828" w:rsidP="00835DDA">
      <w:pPr>
        <w:pStyle w:val="NormalWeb"/>
        <w:numPr>
          <w:ilvl w:val="0"/>
          <w:numId w:val="24"/>
        </w:numPr>
        <w:jc w:val="both"/>
        <w:rPr>
          <w:lang w:val="sq-AL"/>
        </w:rPr>
      </w:pPr>
      <w:r w:rsidRPr="005F23C8">
        <w:rPr>
          <w:lang w:val="sq-AL"/>
        </w:rPr>
        <w:t xml:space="preserve">Ofrimi i mbështetjes teknike dhe financiare për </w:t>
      </w:r>
      <w:r w:rsidR="004646E7" w:rsidRPr="005F23C8">
        <w:rPr>
          <w:lang w:val="sq-AL"/>
        </w:rPr>
        <w:t>bizneset</w:t>
      </w:r>
      <w:r w:rsidRPr="005F23C8">
        <w:rPr>
          <w:lang w:val="sq-AL"/>
        </w:rPr>
        <w:t xml:space="preserve"> për t’i ndihmuar të përmbushin kërkesat e reja ligjore. Kjo mund të përfshijë mundësi për trajnime, udhëzime dhe asistencë për të përmbushur rregullat e reja të regjistrimit dhe të qeverisjes korporative. Po ashtu, mund të krijohen lehtësira për SME për të reduktuar ngarkesat administrative gjatë fazës </w:t>
      </w:r>
      <w:r w:rsidR="00007D9B" w:rsidRPr="005F23C8">
        <w:rPr>
          <w:lang w:val="sq-AL"/>
        </w:rPr>
        <w:t>transpozimit t</w:t>
      </w:r>
      <w:r w:rsidR="005F23C8" w:rsidRPr="005F23C8">
        <w:rPr>
          <w:lang w:val="sq-AL"/>
        </w:rPr>
        <w:t>ë</w:t>
      </w:r>
      <w:r w:rsidR="00007D9B" w:rsidRPr="005F23C8">
        <w:rPr>
          <w:lang w:val="sq-AL"/>
        </w:rPr>
        <w:t xml:space="preserve"> ndryshimeve</w:t>
      </w:r>
      <w:r w:rsidRPr="005F23C8">
        <w:rPr>
          <w:lang w:val="sq-AL"/>
        </w:rPr>
        <w:t>.</w:t>
      </w:r>
    </w:p>
    <w:p w14:paraId="24236061" w14:textId="2EF22C89" w:rsidR="009A4828" w:rsidRPr="005F23C8" w:rsidRDefault="009A4828" w:rsidP="00835DDA">
      <w:pPr>
        <w:pStyle w:val="NormalWeb"/>
        <w:numPr>
          <w:ilvl w:val="0"/>
          <w:numId w:val="24"/>
        </w:numPr>
        <w:jc w:val="both"/>
        <w:rPr>
          <w:lang w:val="sq-AL"/>
        </w:rPr>
      </w:pPr>
      <w:r w:rsidRPr="005F23C8">
        <w:rPr>
          <w:lang w:val="sq-AL"/>
        </w:rPr>
        <w:t>Përdorimi i mekanizmave të përhershëm për të monitoruar implementimin dhe për të vlerësuar ndikimet e reformës. Ky mekanizëm do të ndihmojë për të siguruar që ligjet të zbatohet siç duhet dhe që të gjithë aktorët e përfshirë të marrin mbështetje të nevojshme për të përmbushur kërkesat e reja.</w:t>
      </w:r>
    </w:p>
    <w:p w14:paraId="4881B068" w14:textId="1DD8EC3E" w:rsidR="00AB1056" w:rsidRPr="005F23C8" w:rsidRDefault="009A4828" w:rsidP="00835DDA">
      <w:pPr>
        <w:pStyle w:val="NormalWeb"/>
        <w:numPr>
          <w:ilvl w:val="0"/>
          <w:numId w:val="24"/>
        </w:numPr>
        <w:jc w:val="both"/>
        <w:rPr>
          <w:lang w:val="sq-AL"/>
        </w:rPr>
      </w:pPr>
      <w:r w:rsidRPr="005F23C8">
        <w:rPr>
          <w:lang w:val="sq-AL"/>
        </w:rPr>
        <w:t>Përdorimi i platformave të komunikimit për të informuar dhe ndihmuar bizneset dhe investitorët për rregullat dhe ndryshimet e reja ligjore. Kjo do të ndihmojë në lehtësimin e kalimit dhe do të sigurojë që të gjitha palët të kenë informacion të qartë dhe të azhurnuar për ndryshimet ligjore dhe procedurat e reja.</w:t>
      </w:r>
    </w:p>
    <w:p w14:paraId="351EB709" w14:textId="2496CEA1" w:rsidR="002125B7" w:rsidRPr="00325A1F" w:rsidRDefault="002125B7" w:rsidP="009D13F4">
      <w:pPr>
        <w:pStyle w:val="Style1-BodyText"/>
        <w:spacing w:before="240" w:after="0" w:line="276" w:lineRule="auto"/>
        <w:rPr>
          <w:rFonts w:cs="Times New Roman"/>
          <w:b/>
          <w:sz w:val="24"/>
          <w:szCs w:val="24"/>
          <w:lang w:val="sq-AL"/>
        </w:rPr>
      </w:pPr>
      <w:r w:rsidRPr="00325A1F">
        <w:rPr>
          <w:rFonts w:cs="Times New Roman"/>
          <w:b/>
          <w:sz w:val="24"/>
          <w:szCs w:val="24"/>
          <w:lang w:val="sq-AL"/>
        </w:rPr>
        <w:lastRenderedPageBreak/>
        <w:t>Faza e monitorimit dhe vlerësimit</w:t>
      </w:r>
    </w:p>
    <w:sdt>
      <w:sdtPr>
        <w:rPr>
          <w:rFonts w:cs="Times New Roman"/>
          <w:b/>
          <w:bCs/>
          <w:i/>
          <w:iCs/>
          <w:sz w:val="24"/>
          <w:szCs w:val="24"/>
          <w:lang w:val="sq-AL"/>
        </w:rPr>
        <w:id w:val="1311365965"/>
        <w:lock w:val="contentLocked"/>
        <w:placeholder>
          <w:docPart w:val="DefaultPlaceholder_1081868574"/>
        </w:placeholder>
      </w:sdtPr>
      <w:sdtEndPr/>
      <w:sdtContent>
        <w:p w14:paraId="7660A6D6" w14:textId="77777777" w:rsidR="009E64A4" w:rsidRPr="0032145B" w:rsidRDefault="009E64A4" w:rsidP="006D0629">
          <w:pPr>
            <w:pStyle w:val="Style1-BodyText"/>
            <w:numPr>
              <w:ilvl w:val="0"/>
              <w:numId w:val="14"/>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74ED6663" w14:textId="77777777" w:rsidR="002125B7" w:rsidRPr="0032145B" w:rsidRDefault="009E64A4" w:rsidP="006D0629">
          <w:pPr>
            <w:pStyle w:val="Style1-BodyText"/>
            <w:numPr>
              <w:ilvl w:val="0"/>
              <w:numId w:val="14"/>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bookmarkEnd w:id="27"/>
    <w:p w14:paraId="5FF3B60A" w14:textId="77777777" w:rsidR="00225F7F" w:rsidRDefault="00225F7F" w:rsidP="009D13F4">
      <w:pPr>
        <w:spacing w:line="276" w:lineRule="auto"/>
        <w:jc w:val="both"/>
        <w:rPr>
          <w:b/>
          <w:szCs w:val="24"/>
          <w:lang w:val="sq-AL"/>
        </w:rPr>
      </w:pPr>
    </w:p>
    <w:p w14:paraId="6A54B94D" w14:textId="1595F0A3" w:rsidR="006C1C3F" w:rsidRPr="006C1C3F" w:rsidRDefault="006C1C3F" w:rsidP="006C1C3F">
      <w:pPr>
        <w:spacing w:line="276" w:lineRule="auto"/>
        <w:jc w:val="both"/>
        <w:rPr>
          <w:szCs w:val="24"/>
          <w:lang w:val="sq-AL"/>
        </w:rPr>
      </w:pPr>
      <w:r w:rsidRPr="006C1C3F">
        <w:rPr>
          <w:szCs w:val="24"/>
          <w:lang w:val="sq-AL"/>
        </w:rPr>
        <w:t xml:space="preserve">Në përputhje me raportin e progresit të Komisionit Evropian për vitin 2024, Shqipëria inkurajohet të përmirësojë kapacitetet e saj institucionale për monitorimin dhe zbatimin e reformave në </w:t>
      </w:r>
      <w:r w:rsidR="00C671CA">
        <w:rPr>
          <w:szCs w:val="24"/>
          <w:lang w:val="sq-AL"/>
        </w:rPr>
        <w:t>ligjin 9901/2008</w:t>
      </w:r>
      <w:r w:rsidRPr="006C1C3F">
        <w:rPr>
          <w:szCs w:val="24"/>
          <w:lang w:val="sq-AL"/>
        </w:rPr>
        <w:t xml:space="preserve">. Raporti thekson se përparimi aktual në harmonizimin e legjislacionit shqiptar me direktivat e BE-sëka qenë i ngadaltë, me disa boshllëqe në transpozim dhe zbatim. Qeverisë shqiptare i sugjerohet forcimi i mekanizmave për monitorimin e implementimit të ndryshimeve ligjore dhe sigurinë që ato të zbatohen në mënyrë efektive. Në këtë kontekst, Shqipëria duhet të fokusohet në përmirësimin e koordinimit ndërmjet institucioneve kyçe. Për të adresuar këto boshllëqe, Shqipëria do të duhet të investojë në ndërtimin e kapaciteteve për këto institucione, duke siguruar që ato të kenë ekspertizën dhe burimet e nevojshme për të zbatuar në mënyrë efektive kuadrin ligjor të përditësuar. Gjithashtu, është thelbësore të krijohen sisteme të qarta monitorimi dhe vlerësimi për të ndjekur përparimin e reformave dhe për të vlerësuar ndikimin e tyre, duke siguruar që Shqipëria të përmbushë detyrimet e saj ndaj BE-së dhe të mundësojë një integrim më të lehtë në tregun e brendshëm të BE-së. Këto hapa do ta ndihmojnë Shqipërinë të arrijë përputhshmërinë e plotë me standardet e BE-së në </w:t>
      </w:r>
      <w:r w:rsidR="00C671CA">
        <w:rPr>
          <w:szCs w:val="24"/>
          <w:lang w:val="sq-AL"/>
        </w:rPr>
        <w:t>ligjin 9901/2008</w:t>
      </w:r>
      <w:r w:rsidRPr="006C1C3F">
        <w:rPr>
          <w:szCs w:val="24"/>
          <w:lang w:val="sq-AL"/>
        </w:rPr>
        <w:t xml:space="preserve"> dhe të përmirësojë mjedisin e biznesit, duke nxitur rritjen ekonomike dhe qëndrueshmërinë afatgjatë.</w:t>
      </w:r>
    </w:p>
    <w:p w14:paraId="7DA962E8" w14:textId="77777777" w:rsidR="006C1C3F" w:rsidRPr="006C1C3F" w:rsidRDefault="006C1C3F" w:rsidP="0054621A">
      <w:pPr>
        <w:spacing w:line="276" w:lineRule="auto"/>
        <w:jc w:val="both"/>
        <w:rPr>
          <w:szCs w:val="24"/>
          <w:u w:val="single"/>
          <w:lang w:val="sq-AL"/>
        </w:rPr>
      </w:pPr>
    </w:p>
    <w:p w14:paraId="6E14D9C6" w14:textId="485EF352" w:rsidR="0054621A" w:rsidRPr="0054621A" w:rsidRDefault="0054621A" w:rsidP="0054621A">
      <w:pPr>
        <w:spacing w:line="276" w:lineRule="auto"/>
        <w:jc w:val="both"/>
        <w:rPr>
          <w:szCs w:val="24"/>
          <w:u w:val="single"/>
          <w:lang w:val="it-IT"/>
        </w:rPr>
      </w:pPr>
      <w:r w:rsidRPr="0054621A">
        <w:rPr>
          <w:szCs w:val="24"/>
          <w:u w:val="single"/>
          <w:lang w:val="it-IT"/>
        </w:rPr>
        <w:t>Përshkrimi i masave të monitorimit dhe të vlerësimit:</w:t>
      </w:r>
    </w:p>
    <w:p w14:paraId="5902747D" w14:textId="77777777" w:rsidR="0054621A" w:rsidRPr="0054621A" w:rsidRDefault="0054621A" w:rsidP="0054621A">
      <w:pPr>
        <w:spacing w:line="276" w:lineRule="auto"/>
        <w:jc w:val="both"/>
        <w:rPr>
          <w:b/>
          <w:szCs w:val="24"/>
          <w:lang w:val="it-IT"/>
        </w:rPr>
      </w:pPr>
    </w:p>
    <w:p w14:paraId="3676159A" w14:textId="2D44C8BE" w:rsidR="0052744F" w:rsidRDefault="0054621A" w:rsidP="0054621A">
      <w:pPr>
        <w:spacing w:line="276" w:lineRule="auto"/>
        <w:jc w:val="both"/>
        <w:rPr>
          <w:bCs/>
          <w:szCs w:val="24"/>
          <w:lang w:val="it-IT"/>
        </w:rPr>
      </w:pPr>
      <w:r w:rsidRPr="0054621A">
        <w:rPr>
          <w:bCs/>
          <w:szCs w:val="24"/>
          <w:lang w:val="it-IT"/>
        </w:rPr>
        <w:t xml:space="preserve">Për të siguruar që zbatimi i </w:t>
      </w:r>
      <w:r w:rsidR="00856794">
        <w:rPr>
          <w:bCs/>
          <w:szCs w:val="24"/>
          <w:lang w:val="it-IT"/>
        </w:rPr>
        <w:t>dispozitave</w:t>
      </w:r>
      <w:r w:rsidR="00856794" w:rsidRPr="0054621A">
        <w:rPr>
          <w:bCs/>
          <w:szCs w:val="24"/>
          <w:lang w:val="it-IT"/>
        </w:rPr>
        <w:t xml:space="preserve"> </w:t>
      </w:r>
      <w:r w:rsidRPr="0054621A">
        <w:rPr>
          <w:bCs/>
          <w:szCs w:val="24"/>
          <w:lang w:val="it-IT"/>
        </w:rPr>
        <w:t xml:space="preserve">të reja të ketë sukses, do të krijohet një mekanizëm i monitorimit dhe vlerësimit të vazhdueshëm. Ky mekanizëm do të mbikëqyrë implementimin e reformave dhe do të sigurojë që masat e ndërmarra për të arritur objektivat e politikës të realizohen siç është planifikuar. </w:t>
      </w:r>
      <w:r w:rsidR="00662F4E" w:rsidRPr="00662F4E">
        <w:rPr>
          <w:bCs/>
          <w:szCs w:val="24"/>
          <w:lang w:val="it-IT"/>
        </w:rPr>
        <w:t xml:space="preserve">Për këtë qëllim, institucionet përgjegjëse do të vlerësojnë progresin dhe </w:t>
      </w:r>
      <w:r w:rsidRPr="0054621A">
        <w:rPr>
          <w:bCs/>
          <w:szCs w:val="24"/>
          <w:lang w:val="it-IT"/>
        </w:rPr>
        <w:t xml:space="preserve">do të sigurojnë që rregulloret dhe praktikat të zbatohen në përputhje me standardet e BE-së. </w:t>
      </w:r>
    </w:p>
    <w:p w14:paraId="337CDBA9" w14:textId="77777777" w:rsidR="0052744F" w:rsidRPr="00A56BCA" w:rsidRDefault="0052744F" w:rsidP="0054621A">
      <w:pPr>
        <w:spacing w:line="276" w:lineRule="auto"/>
        <w:jc w:val="both"/>
        <w:rPr>
          <w:bCs/>
          <w:szCs w:val="24"/>
          <w:lang w:val="it-IT"/>
        </w:rPr>
      </w:pPr>
    </w:p>
    <w:p w14:paraId="6505AEF7" w14:textId="1A49E229" w:rsidR="0052744F" w:rsidRPr="00A56BCA" w:rsidRDefault="0052744F" w:rsidP="00C631BF">
      <w:pPr>
        <w:pStyle w:val="ListParagraph"/>
        <w:numPr>
          <w:ilvl w:val="0"/>
          <w:numId w:val="55"/>
        </w:numPr>
        <w:spacing w:line="276" w:lineRule="auto"/>
        <w:jc w:val="both"/>
        <w:rPr>
          <w:bCs/>
          <w:szCs w:val="24"/>
          <w:lang w:val="it-IT"/>
        </w:rPr>
      </w:pPr>
      <w:r w:rsidRPr="00A56BCA">
        <w:rPr>
          <w:rFonts w:ascii="Times New Roman" w:hAnsi="Times New Roman"/>
          <w:bCs/>
          <w:sz w:val="24"/>
          <w:szCs w:val="24"/>
          <w:lang w:val="it-IT"/>
        </w:rPr>
        <w:t>Ministria përgjegjëse për ekonominë: Do të mbikëqyrë implementimin e ndryshimeve ligjore dhe harmonizimin e kuadrit kombëtar me direktivat e BE-së. Do të sigurojë integrimin e reformave në politikën ekonomike dhe do të bashkëpunojë me institucionet e tjera për zhvillimin e strategjive të zbatimit.</w:t>
      </w:r>
    </w:p>
    <w:p w14:paraId="26163570" w14:textId="77777777" w:rsidR="0052744F" w:rsidRPr="00A56BCA" w:rsidRDefault="0052744F" w:rsidP="0052744F">
      <w:pPr>
        <w:spacing w:line="276" w:lineRule="auto"/>
        <w:jc w:val="both"/>
        <w:rPr>
          <w:bCs/>
          <w:szCs w:val="24"/>
          <w:lang w:val="it-IT"/>
        </w:rPr>
      </w:pPr>
    </w:p>
    <w:p w14:paraId="3D0CDF42" w14:textId="7459FD67" w:rsidR="0052744F" w:rsidRPr="00D756B5" w:rsidRDefault="0052744F" w:rsidP="00C631BF">
      <w:pPr>
        <w:pStyle w:val="ListParagraph"/>
        <w:numPr>
          <w:ilvl w:val="0"/>
          <w:numId w:val="55"/>
        </w:numPr>
        <w:spacing w:line="276" w:lineRule="auto"/>
        <w:jc w:val="both"/>
        <w:rPr>
          <w:bCs/>
          <w:szCs w:val="24"/>
          <w:lang w:val="it-IT"/>
        </w:rPr>
      </w:pPr>
      <w:r w:rsidRPr="00A56BCA">
        <w:rPr>
          <w:rFonts w:ascii="Times New Roman" w:hAnsi="Times New Roman"/>
          <w:bCs/>
          <w:sz w:val="24"/>
          <w:szCs w:val="24"/>
          <w:lang w:val="it-IT"/>
        </w:rPr>
        <w:t>Ministria përgjegjëse për financat: Do të monitorojë përputhshmërinë me kërkesat fiskale dhe ligjore të BE-së, duke përfshirë administratën tatimore, për të siguruar që politikat dhe procedurat financiare të jenë në përputhje me standardet ndërkombëtare.</w:t>
      </w:r>
    </w:p>
    <w:p w14:paraId="4877C112" w14:textId="77777777" w:rsidR="0097617F" w:rsidRPr="0097617F" w:rsidRDefault="0097617F" w:rsidP="00D756B5">
      <w:pPr>
        <w:spacing w:line="276" w:lineRule="auto"/>
        <w:jc w:val="both"/>
        <w:rPr>
          <w:bCs/>
          <w:szCs w:val="24"/>
          <w:lang w:val="it-IT"/>
        </w:rPr>
      </w:pPr>
    </w:p>
    <w:p w14:paraId="2290B790" w14:textId="734D5FAD" w:rsidR="0097617F" w:rsidRPr="00D756B5" w:rsidRDefault="0097617F" w:rsidP="0097617F">
      <w:pPr>
        <w:pStyle w:val="ListParagraph"/>
        <w:numPr>
          <w:ilvl w:val="0"/>
          <w:numId w:val="55"/>
        </w:numPr>
        <w:spacing w:line="276" w:lineRule="auto"/>
        <w:jc w:val="both"/>
        <w:rPr>
          <w:rFonts w:ascii="Times New Roman" w:hAnsi="Times New Roman"/>
          <w:bCs/>
          <w:sz w:val="24"/>
          <w:szCs w:val="28"/>
          <w:lang w:val="it-IT"/>
        </w:rPr>
      </w:pPr>
      <w:r w:rsidRPr="00D756B5">
        <w:rPr>
          <w:rFonts w:ascii="Times New Roman" w:hAnsi="Times New Roman"/>
          <w:bCs/>
          <w:sz w:val="24"/>
          <w:szCs w:val="28"/>
          <w:lang w:val="it-IT"/>
        </w:rPr>
        <w:t xml:space="preserve">AMF, si insitution mbikqyrës, do të zgjerojë aspekte të punës së saj mbi subjektet e rregulluara, duke zbatuar edhe sanksionet për mospërmbushje sipas ligjit. </w:t>
      </w:r>
    </w:p>
    <w:p w14:paraId="31DDAB16" w14:textId="77777777" w:rsidR="0052744F" w:rsidRPr="00A56BCA" w:rsidRDefault="0052744F" w:rsidP="0052744F">
      <w:pPr>
        <w:spacing w:line="276" w:lineRule="auto"/>
        <w:jc w:val="both"/>
        <w:rPr>
          <w:bCs/>
          <w:szCs w:val="24"/>
          <w:lang w:val="it-IT"/>
        </w:rPr>
      </w:pPr>
    </w:p>
    <w:p w14:paraId="1FF9491B" w14:textId="6E821FE6" w:rsidR="0052744F" w:rsidRPr="00A56BCA" w:rsidRDefault="0052744F" w:rsidP="00C631BF">
      <w:pPr>
        <w:pStyle w:val="ListParagraph"/>
        <w:numPr>
          <w:ilvl w:val="0"/>
          <w:numId w:val="55"/>
        </w:numPr>
        <w:spacing w:line="276" w:lineRule="auto"/>
        <w:jc w:val="both"/>
        <w:rPr>
          <w:bCs/>
          <w:szCs w:val="24"/>
          <w:lang w:val="it-IT"/>
        </w:rPr>
      </w:pPr>
      <w:r w:rsidRPr="00A56BCA">
        <w:rPr>
          <w:rFonts w:ascii="Times New Roman" w:hAnsi="Times New Roman"/>
          <w:bCs/>
          <w:sz w:val="24"/>
          <w:szCs w:val="24"/>
          <w:lang w:val="it-IT"/>
        </w:rPr>
        <w:t>Qendra Kombëtare e Biznesit (QKB): Do të mbikëqyrë regjistrimin e shoqërive dhe përdorimin e mjeteve digjitale për përputhshmërinë me rregullat e qeverisjes korporative dhe standardet ndërkufitare. QKB do të sigurojë që regjistrat e biznesit të jenë të lidhur dhe të thjeshtuar, duke punuar së bashku me AKSHI dhe AKCESK për lidhjen e regjistrave me BRIS.</w:t>
      </w:r>
    </w:p>
    <w:p w14:paraId="397649AE" w14:textId="77777777" w:rsidR="0052744F" w:rsidRPr="00A56BCA" w:rsidRDefault="0052744F" w:rsidP="0052744F">
      <w:pPr>
        <w:spacing w:line="276" w:lineRule="auto"/>
        <w:jc w:val="both"/>
        <w:rPr>
          <w:bCs/>
          <w:szCs w:val="24"/>
          <w:lang w:val="it-IT"/>
        </w:rPr>
      </w:pPr>
    </w:p>
    <w:p w14:paraId="09F56CE2" w14:textId="4D3608F8" w:rsidR="0052744F" w:rsidRPr="00A56BCA" w:rsidRDefault="0052744F" w:rsidP="00C631BF">
      <w:pPr>
        <w:pStyle w:val="ListParagraph"/>
        <w:numPr>
          <w:ilvl w:val="0"/>
          <w:numId w:val="55"/>
        </w:numPr>
        <w:spacing w:line="276" w:lineRule="auto"/>
        <w:jc w:val="both"/>
        <w:rPr>
          <w:bCs/>
          <w:szCs w:val="24"/>
          <w:lang w:val="it-IT"/>
        </w:rPr>
      </w:pPr>
      <w:r w:rsidRPr="00A56BCA">
        <w:rPr>
          <w:rFonts w:ascii="Times New Roman" w:hAnsi="Times New Roman"/>
          <w:bCs/>
          <w:sz w:val="24"/>
          <w:szCs w:val="24"/>
          <w:lang w:val="it-IT"/>
        </w:rPr>
        <w:lastRenderedPageBreak/>
        <w:t>Instituti i Statistikave (INSTAT): Do të monitorojë dhe analizojë tregues ekonomikë dhe tregues të qeverisjes korporative</w:t>
      </w:r>
      <w:r w:rsidR="007F47BE">
        <w:rPr>
          <w:rFonts w:ascii="Times New Roman" w:hAnsi="Times New Roman"/>
          <w:bCs/>
          <w:sz w:val="24"/>
          <w:szCs w:val="24"/>
          <w:lang w:val="it-IT"/>
        </w:rPr>
        <w:t xml:space="preserve"> të ndara edhe sipas gjinisë</w:t>
      </w:r>
      <w:r w:rsidRPr="00A56BCA">
        <w:rPr>
          <w:rFonts w:ascii="Times New Roman" w:hAnsi="Times New Roman"/>
          <w:bCs/>
          <w:sz w:val="24"/>
          <w:szCs w:val="24"/>
          <w:lang w:val="it-IT"/>
        </w:rPr>
        <w:t xml:space="preserve"> për të matur ndikimin e reformave, duke ofruar të dhëna që do të udhëheqin përmirësime të ardhshme në kuadrin ligjor.</w:t>
      </w:r>
    </w:p>
    <w:p w14:paraId="275ED752" w14:textId="77777777" w:rsidR="0052744F" w:rsidRPr="00A56BCA" w:rsidRDefault="0052744F" w:rsidP="0052744F">
      <w:pPr>
        <w:spacing w:line="276" w:lineRule="auto"/>
        <w:jc w:val="both"/>
        <w:rPr>
          <w:bCs/>
          <w:szCs w:val="24"/>
          <w:lang w:val="it-IT"/>
        </w:rPr>
      </w:pPr>
    </w:p>
    <w:p w14:paraId="7C77279F" w14:textId="4D15853C" w:rsidR="0052744F" w:rsidRPr="00A56BCA" w:rsidRDefault="0052744F" w:rsidP="00C631BF">
      <w:pPr>
        <w:pStyle w:val="ListParagraph"/>
        <w:numPr>
          <w:ilvl w:val="0"/>
          <w:numId w:val="55"/>
        </w:numPr>
        <w:spacing w:line="276" w:lineRule="auto"/>
        <w:jc w:val="both"/>
        <w:rPr>
          <w:bCs/>
          <w:szCs w:val="24"/>
          <w:lang w:val="it-IT"/>
        </w:rPr>
      </w:pPr>
      <w:r w:rsidRPr="00A56BCA">
        <w:rPr>
          <w:rFonts w:ascii="Times New Roman" w:hAnsi="Times New Roman"/>
          <w:bCs/>
          <w:sz w:val="24"/>
          <w:szCs w:val="24"/>
          <w:lang w:val="it-IT"/>
        </w:rPr>
        <w:t>Ministria e Shtetit për Mbrojtjen e Sipërmarrjes: Do të monitorojë ndikimin social të reformave mbi bizneset, veçanërisht mbi SME-të, duke ofruar asistencë, trajnim dhe këshillim për përputhshmërinë me ligjin e përditësuar të shoqërive.</w:t>
      </w:r>
    </w:p>
    <w:p w14:paraId="0237FFDE" w14:textId="77777777" w:rsidR="0052744F" w:rsidRPr="00A56BCA" w:rsidRDefault="0052744F" w:rsidP="0052744F">
      <w:pPr>
        <w:spacing w:line="276" w:lineRule="auto"/>
        <w:jc w:val="both"/>
        <w:rPr>
          <w:bCs/>
          <w:szCs w:val="24"/>
          <w:lang w:val="it-IT"/>
        </w:rPr>
      </w:pPr>
    </w:p>
    <w:p w14:paraId="43E25B5B" w14:textId="6B342AB9" w:rsidR="0052744F" w:rsidRPr="00A56BCA" w:rsidRDefault="0052744F" w:rsidP="00C631BF">
      <w:pPr>
        <w:pStyle w:val="ListParagraph"/>
        <w:numPr>
          <w:ilvl w:val="0"/>
          <w:numId w:val="55"/>
        </w:numPr>
        <w:spacing w:line="276" w:lineRule="auto"/>
        <w:jc w:val="both"/>
        <w:rPr>
          <w:bCs/>
          <w:szCs w:val="24"/>
          <w:lang w:val="it-IT"/>
        </w:rPr>
      </w:pPr>
      <w:r w:rsidRPr="00A56BCA">
        <w:rPr>
          <w:rFonts w:ascii="Times New Roman" w:hAnsi="Times New Roman"/>
          <w:bCs/>
          <w:sz w:val="24"/>
          <w:szCs w:val="24"/>
          <w:lang w:val="it-IT"/>
        </w:rPr>
        <w:t>Autoriteti i Konkurrencës: Do të monitorojë përputhshmërinë e shoqërive me rregullat e konkurrencës, do të shqyrtojë përqendrimet e reja në treg dhe do të sigurojë që konkurrenca të jetë e ndershme, duke parandaluar praktikat anti-konkurruese dhe abuzive.</w:t>
      </w:r>
    </w:p>
    <w:p w14:paraId="4A109936" w14:textId="77777777" w:rsidR="0052744F" w:rsidRDefault="0052744F" w:rsidP="0054621A">
      <w:pPr>
        <w:spacing w:line="276" w:lineRule="auto"/>
        <w:jc w:val="both"/>
        <w:rPr>
          <w:bCs/>
          <w:szCs w:val="24"/>
          <w:lang w:val="it-IT"/>
        </w:rPr>
      </w:pPr>
    </w:p>
    <w:p w14:paraId="7268BFEF" w14:textId="77777777" w:rsidR="0052744F" w:rsidRDefault="0052744F" w:rsidP="0054621A">
      <w:pPr>
        <w:spacing w:line="276" w:lineRule="auto"/>
        <w:jc w:val="both"/>
        <w:rPr>
          <w:bCs/>
          <w:szCs w:val="24"/>
          <w:lang w:val="it-IT"/>
        </w:rPr>
      </w:pPr>
    </w:p>
    <w:p w14:paraId="30F37CCA" w14:textId="1FF76EF7" w:rsidR="0054621A" w:rsidRPr="0054621A" w:rsidRDefault="0054621A" w:rsidP="0054621A">
      <w:pPr>
        <w:spacing w:line="276" w:lineRule="auto"/>
        <w:jc w:val="both"/>
        <w:rPr>
          <w:bCs/>
          <w:szCs w:val="24"/>
          <w:lang w:val="it-IT"/>
        </w:rPr>
      </w:pPr>
      <w:r w:rsidRPr="0054621A">
        <w:rPr>
          <w:bCs/>
          <w:szCs w:val="24"/>
          <w:lang w:val="it-IT"/>
        </w:rPr>
        <w:t>Pjesë e rëndësishme e këtij procesi do të jetë përfshirja e aktorëve të ndryshëm, përfshirë bizneset dhe shoqërinë civile, për të siguruar një vlerësim të plotë dhe transparent të ndikimeve dhe progresit të masave të reja. Për më tepër, do të realizohet një monitorim i vazhdueshëm i ndikimit të masave në sektorë të ndryshëm të ekonomisë, për të identifikuar sfida dhe mundësi për përmirësim.</w:t>
      </w:r>
    </w:p>
    <w:p w14:paraId="146A057A" w14:textId="77777777" w:rsidR="0045452E" w:rsidRPr="00F74152" w:rsidRDefault="0045452E" w:rsidP="0045452E">
      <w:pPr>
        <w:spacing w:line="276" w:lineRule="auto"/>
        <w:jc w:val="both"/>
        <w:rPr>
          <w:bCs/>
          <w:szCs w:val="24"/>
          <w:lang w:val="it-IT"/>
        </w:rPr>
      </w:pPr>
    </w:p>
    <w:p w14:paraId="08070E9A" w14:textId="50CF2A92" w:rsidR="0054621A" w:rsidRPr="00F74152" w:rsidRDefault="0054621A" w:rsidP="0045452E">
      <w:pPr>
        <w:spacing w:line="276" w:lineRule="auto"/>
        <w:jc w:val="both"/>
        <w:rPr>
          <w:bCs/>
          <w:szCs w:val="24"/>
          <w:u w:val="single"/>
          <w:lang w:val="it-IT"/>
        </w:rPr>
      </w:pPr>
      <w:r w:rsidRPr="00F74152">
        <w:rPr>
          <w:bCs/>
          <w:szCs w:val="24"/>
          <w:u w:val="single"/>
          <w:lang w:val="it-IT"/>
        </w:rPr>
        <w:t>Kriteret/</w:t>
      </w:r>
      <w:r w:rsidR="0045452E" w:rsidRPr="00F74152">
        <w:rPr>
          <w:bCs/>
          <w:szCs w:val="24"/>
          <w:u w:val="single"/>
          <w:lang w:val="it-IT"/>
        </w:rPr>
        <w:t>t</w:t>
      </w:r>
      <w:r w:rsidRPr="00F74152">
        <w:rPr>
          <w:bCs/>
          <w:szCs w:val="24"/>
          <w:u w:val="single"/>
          <w:lang w:val="it-IT"/>
        </w:rPr>
        <w:t xml:space="preserve">reguesit për të </w:t>
      </w:r>
      <w:r w:rsidR="0045452E" w:rsidRPr="00F74152">
        <w:rPr>
          <w:bCs/>
          <w:szCs w:val="24"/>
          <w:u w:val="single"/>
          <w:lang w:val="it-IT"/>
        </w:rPr>
        <w:t>m</w:t>
      </w:r>
      <w:r w:rsidRPr="00F74152">
        <w:rPr>
          <w:bCs/>
          <w:szCs w:val="24"/>
          <w:u w:val="single"/>
          <w:lang w:val="it-IT"/>
        </w:rPr>
        <w:t xml:space="preserve">atur </w:t>
      </w:r>
      <w:r w:rsidR="0045452E" w:rsidRPr="00F74152">
        <w:rPr>
          <w:bCs/>
          <w:szCs w:val="24"/>
          <w:u w:val="single"/>
          <w:lang w:val="it-IT"/>
        </w:rPr>
        <w:t>a</w:t>
      </w:r>
      <w:r w:rsidRPr="00F74152">
        <w:rPr>
          <w:bCs/>
          <w:szCs w:val="24"/>
          <w:u w:val="single"/>
          <w:lang w:val="it-IT"/>
        </w:rPr>
        <w:t xml:space="preserve">rritjen e </w:t>
      </w:r>
      <w:r w:rsidR="0045452E" w:rsidRPr="00F74152">
        <w:rPr>
          <w:bCs/>
          <w:szCs w:val="24"/>
          <w:u w:val="single"/>
          <w:lang w:val="it-IT"/>
        </w:rPr>
        <w:t>o</w:t>
      </w:r>
      <w:r w:rsidRPr="00F74152">
        <w:rPr>
          <w:bCs/>
          <w:szCs w:val="24"/>
          <w:u w:val="single"/>
          <w:lang w:val="it-IT"/>
        </w:rPr>
        <w:t xml:space="preserve">bjektivave ose </w:t>
      </w:r>
      <w:r w:rsidR="0045452E" w:rsidRPr="00F74152">
        <w:rPr>
          <w:bCs/>
          <w:szCs w:val="24"/>
          <w:u w:val="single"/>
          <w:lang w:val="it-IT"/>
        </w:rPr>
        <w:t>p</w:t>
      </w:r>
      <w:r w:rsidRPr="00F74152">
        <w:rPr>
          <w:bCs/>
          <w:szCs w:val="24"/>
          <w:u w:val="single"/>
          <w:lang w:val="it-IT"/>
        </w:rPr>
        <w:t xml:space="preserve">rogresin </w:t>
      </w:r>
      <w:r w:rsidR="0045452E" w:rsidRPr="00F74152">
        <w:rPr>
          <w:bCs/>
          <w:szCs w:val="24"/>
          <w:u w:val="single"/>
          <w:lang w:val="it-IT"/>
        </w:rPr>
        <w:t>d</w:t>
      </w:r>
      <w:r w:rsidRPr="00F74152">
        <w:rPr>
          <w:bCs/>
          <w:szCs w:val="24"/>
          <w:u w:val="single"/>
          <w:lang w:val="it-IT"/>
        </w:rPr>
        <w:t xml:space="preserve">rejt </w:t>
      </w:r>
      <w:r w:rsidR="0045452E" w:rsidRPr="00F74152">
        <w:rPr>
          <w:bCs/>
          <w:szCs w:val="24"/>
          <w:u w:val="single"/>
          <w:lang w:val="it-IT"/>
        </w:rPr>
        <w:t>t</w:t>
      </w:r>
      <w:r w:rsidRPr="00F74152">
        <w:rPr>
          <w:bCs/>
          <w:szCs w:val="24"/>
          <w:u w:val="single"/>
          <w:lang w:val="it-IT"/>
        </w:rPr>
        <w:t>yre</w:t>
      </w:r>
    </w:p>
    <w:p w14:paraId="40E988D0" w14:textId="77777777" w:rsidR="0045452E" w:rsidRPr="00F74152" w:rsidRDefault="0045452E" w:rsidP="0045452E">
      <w:pPr>
        <w:spacing w:line="276" w:lineRule="auto"/>
        <w:jc w:val="both"/>
        <w:rPr>
          <w:bCs/>
          <w:szCs w:val="24"/>
          <w:lang w:val="it-IT"/>
        </w:rPr>
      </w:pPr>
    </w:p>
    <w:p w14:paraId="11C7ECC9" w14:textId="739CBC70" w:rsidR="0054621A" w:rsidRPr="005F23C8" w:rsidRDefault="0054621A" w:rsidP="0054621A">
      <w:pPr>
        <w:spacing w:line="276" w:lineRule="auto"/>
        <w:jc w:val="both"/>
        <w:rPr>
          <w:bCs/>
          <w:szCs w:val="24"/>
          <w:lang w:val="it-IT"/>
        </w:rPr>
      </w:pPr>
      <w:r w:rsidRPr="00F74152">
        <w:rPr>
          <w:bCs/>
          <w:szCs w:val="24"/>
          <w:lang w:val="it-IT"/>
        </w:rPr>
        <w:t xml:space="preserve">Për të matur arritjen e objektivave të politikës dhe progresin në implementimin e </w:t>
      </w:r>
      <w:r w:rsidR="00856794">
        <w:rPr>
          <w:bCs/>
          <w:szCs w:val="24"/>
          <w:lang w:val="it-IT"/>
        </w:rPr>
        <w:t>dispozitave</w:t>
      </w:r>
      <w:r w:rsidR="00856794" w:rsidRPr="00F74152">
        <w:rPr>
          <w:bCs/>
          <w:szCs w:val="24"/>
          <w:lang w:val="it-IT"/>
        </w:rPr>
        <w:t xml:space="preserve"> </w:t>
      </w:r>
      <w:r w:rsidRPr="00F74152">
        <w:rPr>
          <w:bCs/>
          <w:szCs w:val="24"/>
          <w:lang w:val="it-IT"/>
        </w:rPr>
        <w:t>të harmonizuar</w:t>
      </w:r>
      <w:r w:rsidR="0045452E" w:rsidRPr="00F74152">
        <w:rPr>
          <w:bCs/>
          <w:szCs w:val="24"/>
          <w:lang w:val="it-IT"/>
        </w:rPr>
        <w:t>a</w:t>
      </w:r>
      <w:r w:rsidRPr="00F74152">
        <w:rPr>
          <w:bCs/>
          <w:szCs w:val="24"/>
          <w:lang w:val="it-IT"/>
        </w:rPr>
        <w:t xml:space="preserve"> me acquis-in e BE-së, do të përdoren disa kritere dhe tregues të qartë. </w:t>
      </w:r>
      <w:r w:rsidRPr="005F23C8">
        <w:rPr>
          <w:bCs/>
          <w:szCs w:val="24"/>
          <w:lang w:val="it-IT"/>
        </w:rPr>
        <w:t>Këto përfshijnë:</w:t>
      </w:r>
    </w:p>
    <w:p w14:paraId="2C8A7448" w14:textId="77777777" w:rsidR="00072AA6" w:rsidRPr="005F23C8" w:rsidRDefault="00072AA6" w:rsidP="0054621A">
      <w:pPr>
        <w:spacing w:line="276" w:lineRule="auto"/>
        <w:jc w:val="both"/>
        <w:rPr>
          <w:bCs/>
          <w:szCs w:val="24"/>
          <w:lang w:val="it-IT"/>
        </w:rPr>
      </w:pPr>
    </w:p>
    <w:p w14:paraId="3DD38F65" w14:textId="1F0E1D4A" w:rsidR="0054621A" w:rsidRPr="005F23C8" w:rsidRDefault="0054621A" w:rsidP="0054621A">
      <w:pPr>
        <w:numPr>
          <w:ilvl w:val="0"/>
          <w:numId w:val="27"/>
        </w:numPr>
        <w:spacing w:line="276" w:lineRule="auto"/>
        <w:jc w:val="both"/>
        <w:rPr>
          <w:bCs/>
          <w:szCs w:val="24"/>
          <w:lang w:val="it-IT"/>
        </w:rPr>
      </w:pPr>
      <w:r w:rsidRPr="005F23C8">
        <w:rPr>
          <w:b/>
          <w:szCs w:val="24"/>
          <w:lang w:val="it-IT"/>
        </w:rPr>
        <w:t>Përputhshmëria</w:t>
      </w:r>
      <w:r w:rsidRPr="005F23C8">
        <w:rPr>
          <w:bCs/>
          <w:szCs w:val="24"/>
          <w:lang w:val="it-IT"/>
        </w:rPr>
        <w:t xml:space="preserve">: Një nga kriteret kryesore do të jetë vlerësimi i nivelit të përputhshmërisë , duke siguruar që të gjitha </w:t>
      </w:r>
      <w:r w:rsidR="003E197B" w:rsidRPr="005F23C8">
        <w:rPr>
          <w:bCs/>
          <w:szCs w:val="24"/>
          <w:lang w:val="it-IT"/>
        </w:rPr>
        <w:t xml:space="preserve">amendimet she </w:t>
      </w:r>
      <w:r w:rsidR="003E197B">
        <w:rPr>
          <w:bCs/>
          <w:szCs w:val="24"/>
          <w:lang w:val="it-IT"/>
        </w:rPr>
        <w:t>shtesat</w:t>
      </w:r>
      <w:r w:rsidR="003E197B" w:rsidRPr="005F23C8">
        <w:rPr>
          <w:bCs/>
          <w:szCs w:val="24"/>
          <w:lang w:val="it-IT"/>
        </w:rPr>
        <w:t xml:space="preserve"> </w:t>
      </w:r>
      <w:r w:rsidRPr="005F23C8">
        <w:rPr>
          <w:bCs/>
          <w:szCs w:val="24"/>
          <w:lang w:val="it-IT"/>
        </w:rPr>
        <w:t>e nevojshme janë miratuar dhe implementuar plotësisht.</w:t>
      </w:r>
    </w:p>
    <w:p w14:paraId="7830EE41" w14:textId="1FEED614" w:rsidR="0054621A" w:rsidRPr="00C631BF" w:rsidRDefault="0054621A" w:rsidP="0054621A">
      <w:pPr>
        <w:numPr>
          <w:ilvl w:val="0"/>
          <w:numId w:val="27"/>
        </w:numPr>
        <w:spacing w:line="276" w:lineRule="auto"/>
        <w:jc w:val="both"/>
        <w:rPr>
          <w:bCs/>
          <w:szCs w:val="24"/>
          <w:lang w:val="it-IT"/>
        </w:rPr>
      </w:pPr>
      <w:r w:rsidRPr="005F23C8">
        <w:rPr>
          <w:b/>
          <w:szCs w:val="24"/>
          <w:lang w:val="it-IT"/>
        </w:rPr>
        <w:t xml:space="preserve">Rritja e </w:t>
      </w:r>
      <w:r w:rsidR="0045452E" w:rsidRPr="005F23C8">
        <w:rPr>
          <w:b/>
          <w:szCs w:val="24"/>
          <w:lang w:val="it-IT"/>
        </w:rPr>
        <w:t>FDI</w:t>
      </w:r>
      <w:r w:rsidR="0045452E" w:rsidRPr="005F23C8">
        <w:rPr>
          <w:bCs/>
          <w:szCs w:val="24"/>
          <w:lang w:val="it-IT"/>
        </w:rPr>
        <w:t>:</w:t>
      </w:r>
      <w:r w:rsidRPr="005F23C8">
        <w:rPr>
          <w:bCs/>
          <w:szCs w:val="24"/>
          <w:lang w:val="it-IT"/>
        </w:rPr>
        <w:t xml:space="preserve"> Një tregues tjetër i rëndësishëm është vlerësimi i rritjes së investimeve të huaja </w:t>
      </w:r>
      <w:r w:rsidR="0067070B" w:rsidRPr="005F23C8">
        <w:rPr>
          <w:bCs/>
          <w:szCs w:val="24"/>
          <w:lang w:val="it-IT"/>
        </w:rPr>
        <w:t>të drejtpërdrejta</w:t>
      </w:r>
      <w:r w:rsidRPr="005F23C8">
        <w:rPr>
          <w:bCs/>
          <w:szCs w:val="24"/>
          <w:lang w:val="it-IT"/>
        </w:rPr>
        <w:t xml:space="preserve"> pas implementimit të ndryshimeve ligjore, si dhe ndikimi i tyre në zhvillimin e sektorëve të ndryshëm ekonomikë. </w:t>
      </w:r>
      <w:r w:rsidRPr="00C631BF">
        <w:rPr>
          <w:bCs/>
          <w:szCs w:val="24"/>
          <w:lang w:val="it-IT"/>
        </w:rPr>
        <w:t>Ky tregues do të matet nëpërmjet raporteve të institucioneve financiare dhe statistikave zyrtare</w:t>
      </w:r>
      <w:r w:rsidR="005D42F7" w:rsidRPr="00C631BF">
        <w:rPr>
          <w:bCs/>
          <w:szCs w:val="24"/>
          <w:lang w:val="it-IT"/>
        </w:rPr>
        <w:t xml:space="preserve"> </w:t>
      </w:r>
      <w:r w:rsidR="007D478D" w:rsidRPr="00C631BF">
        <w:rPr>
          <w:bCs/>
          <w:szCs w:val="24"/>
          <w:lang w:val="it-IT"/>
        </w:rPr>
        <w:t>t</w:t>
      </w:r>
      <w:r w:rsidR="00594C42">
        <w:rPr>
          <w:bCs/>
          <w:szCs w:val="24"/>
          <w:lang w:val="it-IT"/>
        </w:rPr>
        <w:t>ë</w:t>
      </w:r>
      <w:r w:rsidR="007D478D" w:rsidRPr="00C631BF">
        <w:rPr>
          <w:bCs/>
          <w:szCs w:val="24"/>
          <w:lang w:val="it-IT"/>
        </w:rPr>
        <w:t xml:space="preserve"> hartuara nga I</w:t>
      </w:r>
      <w:r w:rsidR="007D478D">
        <w:rPr>
          <w:bCs/>
          <w:szCs w:val="24"/>
          <w:lang w:val="it-IT"/>
        </w:rPr>
        <w:t>NSTAT</w:t>
      </w:r>
      <w:r w:rsidR="00664050">
        <w:rPr>
          <w:bCs/>
          <w:szCs w:val="24"/>
          <w:lang w:val="it-IT"/>
        </w:rPr>
        <w:t xml:space="preserve"> dhe Banka e Shqip</w:t>
      </w:r>
      <w:r w:rsidR="00594C42">
        <w:rPr>
          <w:bCs/>
          <w:szCs w:val="24"/>
          <w:lang w:val="it-IT"/>
        </w:rPr>
        <w:t>ë</w:t>
      </w:r>
      <w:r w:rsidR="00664050">
        <w:rPr>
          <w:bCs/>
          <w:szCs w:val="24"/>
          <w:lang w:val="it-IT"/>
        </w:rPr>
        <w:t>ris</w:t>
      </w:r>
      <w:r w:rsidR="00594C42">
        <w:rPr>
          <w:bCs/>
          <w:szCs w:val="24"/>
          <w:lang w:val="it-IT"/>
        </w:rPr>
        <w:t>ë</w:t>
      </w:r>
      <w:r w:rsidRPr="00C631BF">
        <w:rPr>
          <w:bCs/>
          <w:szCs w:val="24"/>
          <w:lang w:val="it-IT"/>
        </w:rPr>
        <w:t>.</w:t>
      </w:r>
    </w:p>
    <w:p w14:paraId="28EC783E" w14:textId="77777777" w:rsidR="00B77852" w:rsidRPr="00B77852" w:rsidRDefault="0054621A" w:rsidP="00B77852">
      <w:pPr>
        <w:numPr>
          <w:ilvl w:val="0"/>
          <w:numId w:val="27"/>
        </w:numPr>
        <w:spacing w:line="276" w:lineRule="auto"/>
        <w:jc w:val="both"/>
        <w:rPr>
          <w:bCs/>
          <w:szCs w:val="24"/>
          <w:lang w:val="it-IT"/>
        </w:rPr>
      </w:pPr>
      <w:r w:rsidRPr="00C631BF">
        <w:rPr>
          <w:b/>
          <w:szCs w:val="24"/>
          <w:lang w:val="it-IT"/>
        </w:rPr>
        <w:t xml:space="preserve">Përmirësimi i </w:t>
      </w:r>
      <w:r w:rsidR="0045452E" w:rsidRPr="00C631BF">
        <w:rPr>
          <w:b/>
          <w:szCs w:val="24"/>
          <w:lang w:val="it-IT"/>
        </w:rPr>
        <w:t>klimës së biznesit</w:t>
      </w:r>
      <w:r w:rsidRPr="00C631BF">
        <w:rPr>
          <w:bCs/>
          <w:szCs w:val="24"/>
          <w:lang w:val="it-IT"/>
        </w:rPr>
        <w:t>: Ky tregues do të matet nëpërmjet vlerësimeve dhe raportimeve mbi përmirësimin e klimës së biznesit, si dhe nga ecuria e procedurave për regjistrimin e bizneseve dhe lehtësimin e procedurave administrative.</w:t>
      </w:r>
      <w:r w:rsidR="007F0FDF" w:rsidRPr="00C631BF">
        <w:rPr>
          <w:bCs/>
          <w:szCs w:val="24"/>
          <w:lang w:val="it-IT"/>
        </w:rPr>
        <w:t xml:space="preserve"> </w:t>
      </w:r>
      <w:r w:rsidR="00B77852" w:rsidRPr="00B77852">
        <w:rPr>
          <w:bCs/>
          <w:szCs w:val="24"/>
          <w:lang w:val="it-IT"/>
        </w:rPr>
        <w:t>Ky tregues do të matet përmes të dhënave të matshme dhe raporteve mbi përmirësimin e klimës së biznesit. Konkretisht:</w:t>
      </w:r>
    </w:p>
    <w:p w14:paraId="12CDA24A" w14:textId="07F7F56F" w:rsidR="00B77852" w:rsidRPr="00B77852" w:rsidRDefault="00B77852" w:rsidP="00C631BF">
      <w:pPr>
        <w:pStyle w:val="ListParagraph"/>
        <w:numPr>
          <w:ilvl w:val="0"/>
          <w:numId w:val="55"/>
        </w:numPr>
        <w:spacing w:line="276" w:lineRule="auto"/>
        <w:ind w:left="1080"/>
        <w:jc w:val="both"/>
        <w:rPr>
          <w:bCs/>
          <w:szCs w:val="24"/>
          <w:lang w:val="it-IT"/>
        </w:rPr>
      </w:pPr>
      <w:r w:rsidRPr="00B77852">
        <w:rPr>
          <w:rFonts w:ascii="Times New Roman" w:hAnsi="Times New Roman"/>
          <w:bCs/>
          <w:sz w:val="24"/>
          <w:szCs w:val="24"/>
          <w:lang w:val="it-IT"/>
        </w:rPr>
        <w:t>Numri i bizneseve të regjistruara dhe koha mesatare e nevojshme për regjistrimin e një dege.</w:t>
      </w:r>
    </w:p>
    <w:p w14:paraId="75D7BA76" w14:textId="4CE2E5F9" w:rsidR="00B77852" w:rsidRPr="00B77852" w:rsidRDefault="00B77852" w:rsidP="00C631BF">
      <w:pPr>
        <w:pStyle w:val="ListParagraph"/>
        <w:numPr>
          <w:ilvl w:val="0"/>
          <w:numId w:val="55"/>
        </w:numPr>
        <w:spacing w:line="276" w:lineRule="auto"/>
        <w:ind w:left="1080"/>
        <w:jc w:val="both"/>
        <w:rPr>
          <w:bCs/>
          <w:szCs w:val="24"/>
          <w:lang w:val="it-IT"/>
        </w:rPr>
      </w:pPr>
      <w:r w:rsidRPr="00B77852">
        <w:rPr>
          <w:rFonts w:ascii="Times New Roman" w:hAnsi="Times New Roman"/>
          <w:bCs/>
          <w:sz w:val="24"/>
          <w:szCs w:val="24"/>
          <w:lang w:val="it-IT"/>
        </w:rPr>
        <w:t>Kohëzgjatja mesatare dhe reduktimi i procedurave për kontrollin e personave të ndaluar për t’u emëruar në pozicione të rëndësishme në Shoqëri.</w:t>
      </w:r>
    </w:p>
    <w:p w14:paraId="701928F1" w14:textId="2B8897DE" w:rsidR="00B77852" w:rsidRPr="00B77852" w:rsidRDefault="00B77852" w:rsidP="00C631BF">
      <w:pPr>
        <w:pStyle w:val="ListParagraph"/>
        <w:numPr>
          <w:ilvl w:val="0"/>
          <w:numId w:val="55"/>
        </w:numPr>
        <w:spacing w:line="276" w:lineRule="auto"/>
        <w:ind w:left="1080"/>
        <w:jc w:val="both"/>
        <w:rPr>
          <w:bCs/>
          <w:szCs w:val="24"/>
          <w:lang w:val="it-IT"/>
        </w:rPr>
      </w:pPr>
      <w:r w:rsidRPr="00B77852">
        <w:rPr>
          <w:rFonts w:ascii="Times New Roman" w:hAnsi="Times New Roman"/>
          <w:bCs/>
          <w:sz w:val="24"/>
          <w:szCs w:val="24"/>
          <w:lang w:val="it-IT"/>
        </w:rPr>
        <w:t>Numri i shoqërive aksionare që zbatojnë procedurën e qartë për shpërndarjen e fitimit dhe kthimin e shpërndarjeve të paligjshme.</w:t>
      </w:r>
    </w:p>
    <w:p w14:paraId="10448AEF" w14:textId="1FC1BC92" w:rsidR="00B77852" w:rsidRPr="00B77852" w:rsidRDefault="00B77852" w:rsidP="00C631BF">
      <w:pPr>
        <w:pStyle w:val="ListParagraph"/>
        <w:numPr>
          <w:ilvl w:val="0"/>
          <w:numId w:val="55"/>
        </w:numPr>
        <w:spacing w:line="276" w:lineRule="auto"/>
        <w:ind w:left="1080"/>
        <w:jc w:val="both"/>
        <w:rPr>
          <w:bCs/>
          <w:szCs w:val="24"/>
          <w:lang w:val="it-IT"/>
        </w:rPr>
      </w:pPr>
      <w:r w:rsidRPr="00B77852">
        <w:rPr>
          <w:rFonts w:ascii="Times New Roman" w:hAnsi="Times New Roman"/>
          <w:bCs/>
          <w:sz w:val="24"/>
          <w:szCs w:val="24"/>
          <w:lang w:val="it-IT"/>
        </w:rPr>
        <w:t>Numri i shoqërive aksionare që nënshkruajnë aksionet e veta sipas kritereve të përcaktuara dhe pranimi i aksioneve si garanci për detyrime ndaj palëve të treta.</w:t>
      </w:r>
    </w:p>
    <w:p w14:paraId="30929D29" w14:textId="0A3C51FC" w:rsidR="00B77852" w:rsidRPr="00B77852" w:rsidRDefault="00B77852" w:rsidP="00C631BF">
      <w:pPr>
        <w:pStyle w:val="ListParagraph"/>
        <w:numPr>
          <w:ilvl w:val="0"/>
          <w:numId w:val="55"/>
        </w:numPr>
        <w:spacing w:line="276" w:lineRule="auto"/>
        <w:ind w:left="1080"/>
        <w:jc w:val="both"/>
        <w:rPr>
          <w:bCs/>
          <w:szCs w:val="24"/>
          <w:lang w:val="it-IT"/>
        </w:rPr>
      </w:pPr>
      <w:r w:rsidRPr="00B77852">
        <w:rPr>
          <w:rFonts w:ascii="Times New Roman" w:hAnsi="Times New Roman"/>
          <w:bCs/>
          <w:sz w:val="24"/>
          <w:szCs w:val="24"/>
          <w:lang w:val="it-IT"/>
        </w:rPr>
        <w:t>Numri i bashkimeve të shoqërive që janë shpallur të pavlefshme përmes procedurave të përcaktuara.</w:t>
      </w:r>
    </w:p>
    <w:p w14:paraId="03A3F96D" w14:textId="27CF0EB5" w:rsidR="00B77852" w:rsidRPr="00C631BF" w:rsidRDefault="00B77852">
      <w:pPr>
        <w:pStyle w:val="ListParagraph"/>
        <w:numPr>
          <w:ilvl w:val="0"/>
          <w:numId w:val="55"/>
        </w:numPr>
        <w:spacing w:line="276" w:lineRule="auto"/>
        <w:ind w:left="1080"/>
        <w:jc w:val="both"/>
        <w:rPr>
          <w:bCs/>
          <w:szCs w:val="24"/>
          <w:lang w:val="it-IT"/>
        </w:rPr>
      </w:pPr>
      <w:r w:rsidRPr="00B77852">
        <w:rPr>
          <w:rFonts w:ascii="Times New Roman" w:hAnsi="Times New Roman"/>
          <w:bCs/>
          <w:sz w:val="24"/>
          <w:szCs w:val="24"/>
          <w:lang w:val="it-IT"/>
        </w:rPr>
        <w:t>Numri i shoqërive aksionare që kanë zbatuar garancitë e qarta për shndërrimin e shoqërive me ofertë private në shoqëri me ofertë publike dhe anasjelltas.</w:t>
      </w:r>
    </w:p>
    <w:p w14:paraId="4D73F13F" w14:textId="1A894219" w:rsidR="0056261F" w:rsidRDefault="0056261F">
      <w:pPr>
        <w:pStyle w:val="ListParagraph"/>
        <w:numPr>
          <w:ilvl w:val="0"/>
          <w:numId w:val="55"/>
        </w:numPr>
        <w:spacing w:line="276" w:lineRule="auto"/>
        <w:ind w:left="1080"/>
        <w:jc w:val="both"/>
        <w:rPr>
          <w:rFonts w:ascii="Times New Roman" w:hAnsi="Times New Roman"/>
          <w:bCs/>
          <w:sz w:val="24"/>
          <w:szCs w:val="24"/>
          <w:lang w:val="it-IT"/>
        </w:rPr>
      </w:pPr>
      <w:r w:rsidRPr="00C631BF">
        <w:rPr>
          <w:rFonts w:ascii="Times New Roman" w:hAnsi="Times New Roman"/>
          <w:bCs/>
          <w:sz w:val="24"/>
          <w:szCs w:val="24"/>
          <w:lang w:val="it-IT"/>
        </w:rPr>
        <w:lastRenderedPageBreak/>
        <w:t>Numri i bizneseve të reja të regjistruara nga gra ose nga individë që i përkasin grupeve vulnerabël.</w:t>
      </w:r>
    </w:p>
    <w:p w14:paraId="1EB982D0" w14:textId="06BE4C64" w:rsidR="0056261F" w:rsidRPr="0056261F" w:rsidRDefault="0056261F" w:rsidP="00C631BF">
      <w:pPr>
        <w:pStyle w:val="ListParagraph"/>
        <w:numPr>
          <w:ilvl w:val="0"/>
          <w:numId w:val="55"/>
        </w:numPr>
        <w:spacing w:line="276" w:lineRule="auto"/>
        <w:ind w:left="1080"/>
        <w:jc w:val="both"/>
        <w:rPr>
          <w:bCs/>
          <w:szCs w:val="24"/>
          <w:lang w:val="it-IT"/>
        </w:rPr>
      </w:pPr>
      <w:r w:rsidRPr="0056261F">
        <w:rPr>
          <w:rFonts w:ascii="Times New Roman" w:hAnsi="Times New Roman"/>
          <w:bCs/>
          <w:sz w:val="24"/>
          <w:szCs w:val="24"/>
          <w:lang w:val="it-IT"/>
        </w:rPr>
        <w:t>Koha mesatare e nevojshme për gratë për të përfunduar regjistrimin e një biznesi krahasuar me burrat.</w:t>
      </w:r>
    </w:p>
    <w:p w14:paraId="08312848" w14:textId="44A481AC" w:rsidR="0054621A" w:rsidRPr="00C631BF" w:rsidRDefault="0054621A" w:rsidP="00C631BF">
      <w:pPr>
        <w:spacing w:line="276" w:lineRule="auto"/>
        <w:ind w:left="720"/>
        <w:jc w:val="both"/>
        <w:rPr>
          <w:bCs/>
          <w:szCs w:val="24"/>
          <w:lang w:val="it-IT"/>
        </w:rPr>
      </w:pPr>
    </w:p>
    <w:p w14:paraId="60E2FE96" w14:textId="64F2BB42" w:rsidR="0054621A" w:rsidRPr="00C631BF" w:rsidRDefault="0054621A" w:rsidP="0054621A">
      <w:pPr>
        <w:numPr>
          <w:ilvl w:val="0"/>
          <w:numId w:val="27"/>
        </w:numPr>
        <w:spacing w:line="276" w:lineRule="auto"/>
        <w:jc w:val="both"/>
        <w:rPr>
          <w:bCs/>
          <w:szCs w:val="24"/>
          <w:lang w:val="it-IT"/>
        </w:rPr>
      </w:pPr>
      <w:r w:rsidRPr="00C631BF">
        <w:rPr>
          <w:b/>
          <w:szCs w:val="24"/>
          <w:lang w:val="it-IT"/>
        </w:rPr>
        <w:t xml:space="preserve">Ndikimi </w:t>
      </w:r>
      <w:r w:rsidR="00072AA6" w:rsidRPr="00C631BF">
        <w:rPr>
          <w:b/>
          <w:szCs w:val="24"/>
          <w:lang w:val="it-IT"/>
        </w:rPr>
        <w:t>tek bizneset n</w:t>
      </w:r>
      <w:r w:rsidR="00F17944" w:rsidRPr="00C631BF">
        <w:rPr>
          <w:b/>
          <w:szCs w:val="24"/>
          <w:lang w:val="it-IT"/>
        </w:rPr>
        <w:t>ë</w:t>
      </w:r>
      <w:r w:rsidR="00072AA6" w:rsidRPr="00C631BF">
        <w:rPr>
          <w:b/>
          <w:szCs w:val="24"/>
          <w:lang w:val="it-IT"/>
        </w:rPr>
        <w:t xml:space="preserve"> p</w:t>
      </w:r>
      <w:r w:rsidR="00F17944" w:rsidRPr="00C631BF">
        <w:rPr>
          <w:b/>
          <w:szCs w:val="24"/>
          <w:lang w:val="it-IT"/>
        </w:rPr>
        <w:t>ë</w:t>
      </w:r>
      <w:r w:rsidR="00072AA6" w:rsidRPr="00C631BF">
        <w:rPr>
          <w:b/>
          <w:szCs w:val="24"/>
          <w:lang w:val="it-IT"/>
        </w:rPr>
        <w:t>rgjith</w:t>
      </w:r>
      <w:r w:rsidR="00F17944" w:rsidRPr="00C631BF">
        <w:rPr>
          <w:b/>
          <w:szCs w:val="24"/>
          <w:lang w:val="it-IT"/>
        </w:rPr>
        <w:t>ë</w:t>
      </w:r>
      <w:r w:rsidR="00072AA6" w:rsidRPr="00C631BF">
        <w:rPr>
          <w:b/>
          <w:szCs w:val="24"/>
          <w:lang w:val="it-IT"/>
        </w:rPr>
        <w:t>si dhe NMV-t</w:t>
      </w:r>
      <w:r w:rsidR="00F17944" w:rsidRPr="00C631BF">
        <w:rPr>
          <w:b/>
          <w:szCs w:val="24"/>
          <w:lang w:val="it-IT"/>
        </w:rPr>
        <w:t>ë</w:t>
      </w:r>
      <w:r w:rsidR="00072AA6" w:rsidRPr="00C631BF">
        <w:rPr>
          <w:b/>
          <w:szCs w:val="24"/>
          <w:lang w:val="it-IT"/>
        </w:rPr>
        <w:t xml:space="preserve"> n</w:t>
      </w:r>
      <w:r w:rsidR="00F17944" w:rsidRPr="00C631BF">
        <w:rPr>
          <w:b/>
          <w:szCs w:val="24"/>
          <w:lang w:val="it-IT"/>
        </w:rPr>
        <w:t>ë</w:t>
      </w:r>
      <w:r w:rsidR="00072AA6" w:rsidRPr="00C631BF">
        <w:rPr>
          <w:b/>
          <w:szCs w:val="24"/>
          <w:lang w:val="it-IT"/>
        </w:rPr>
        <w:t xml:space="preserve"> veçanti</w:t>
      </w:r>
      <w:r w:rsidRPr="00C631BF">
        <w:rPr>
          <w:bCs/>
          <w:szCs w:val="24"/>
          <w:lang w:val="it-IT"/>
        </w:rPr>
        <w:t xml:space="preserve">: Tregues të tjerë do të përfshijnë vlerësimin e ndikimit në </w:t>
      </w:r>
      <w:r w:rsidR="00072AA6" w:rsidRPr="00C631BF">
        <w:rPr>
          <w:bCs/>
          <w:szCs w:val="24"/>
          <w:lang w:val="it-IT"/>
        </w:rPr>
        <w:t>shoq</w:t>
      </w:r>
      <w:r w:rsidR="00F17944" w:rsidRPr="00C631BF">
        <w:rPr>
          <w:bCs/>
          <w:szCs w:val="24"/>
          <w:lang w:val="it-IT"/>
        </w:rPr>
        <w:t>ë</w:t>
      </w:r>
      <w:r w:rsidR="00072AA6" w:rsidRPr="00C631BF">
        <w:rPr>
          <w:bCs/>
          <w:szCs w:val="24"/>
          <w:lang w:val="it-IT"/>
        </w:rPr>
        <w:t>rit</w:t>
      </w:r>
      <w:r w:rsidR="00F17944" w:rsidRPr="00C631BF">
        <w:rPr>
          <w:bCs/>
          <w:szCs w:val="24"/>
          <w:lang w:val="it-IT"/>
        </w:rPr>
        <w:t>ë</w:t>
      </w:r>
      <w:r w:rsidR="00072AA6" w:rsidRPr="00C631BF">
        <w:rPr>
          <w:bCs/>
          <w:szCs w:val="24"/>
          <w:lang w:val="it-IT"/>
        </w:rPr>
        <w:t xml:space="preserve"> tregtare</w:t>
      </w:r>
      <w:r w:rsidRPr="00C631BF">
        <w:rPr>
          <w:bCs/>
          <w:szCs w:val="24"/>
          <w:lang w:val="it-IT"/>
        </w:rPr>
        <w:t>, duke marrë parasysh se sa mirë këto biznese kanë mundur të përshtaten me ligjet e reja dhe sa lehtë kanë mundur të hyjnë në tregje të reja</w:t>
      </w:r>
      <w:r w:rsidR="0056261F">
        <w:rPr>
          <w:bCs/>
          <w:szCs w:val="24"/>
          <w:lang w:val="it-IT"/>
        </w:rPr>
        <w:t>, duke bërë edhe ndarjen gjinore për të parë suksesin e grave në këtë sektor</w:t>
      </w:r>
      <w:r w:rsidRPr="00C631BF">
        <w:rPr>
          <w:bCs/>
          <w:szCs w:val="24"/>
          <w:lang w:val="it-IT"/>
        </w:rPr>
        <w:t>.</w:t>
      </w:r>
      <w:r w:rsidR="00D1473C">
        <w:rPr>
          <w:bCs/>
          <w:szCs w:val="24"/>
          <w:lang w:val="it-IT"/>
        </w:rPr>
        <w:t xml:space="preserve"> </w:t>
      </w:r>
      <w:r w:rsidR="005E7039">
        <w:rPr>
          <w:bCs/>
          <w:szCs w:val="24"/>
          <w:lang w:val="it-IT"/>
        </w:rPr>
        <w:t>Nj</w:t>
      </w:r>
      <w:r w:rsidR="00041326">
        <w:rPr>
          <w:bCs/>
          <w:szCs w:val="24"/>
          <w:lang w:val="it-IT"/>
        </w:rPr>
        <w:t>ë</w:t>
      </w:r>
      <w:r w:rsidR="005E7039">
        <w:rPr>
          <w:bCs/>
          <w:szCs w:val="24"/>
          <w:lang w:val="it-IT"/>
        </w:rPr>
        <w:t xml:space="preserve"> tregues i ndikimit n</w:t>
      </w:r>
      <w:r w:rsidR="00041326">
        <w:rPr>
          <w:bCs/>
          <w:szCs w:val="24"/>
          <w:lang w:val="it-IT"/>
        </w:rPr>
        <w:t>ë</w:t>
      </w:r>
      <w:r w:rsidR="005E7039">
        <w:rPr>
          <w:bCs/>
          <w:szCs w:val="24"/>
          <w:lang w:val="it-IT"/>
        </w:rPr>
        <w:t xml:space="preserve"> k</w:t>
      </w:r>
      <w:r w:rsidR="00041326">
        <w:rPr>
          <w:bCs/>
          <w:szCs w:val="24"/>
          <w:lang w:val="it-IT"/>
        </w:rPr>
        <w:t>ë</w:t>
      </w:r>
      <w:r w:rsidR="005E7039">
        <w:rPr>
          <w:bCs/>
          <w:szCs w:val="24"/>
          <w:lang w:val="it-IT"/>
        </w:rPr>
        <w:t>t</w:t>
      </w:r>
      <w:r w:rsidR="00041326">
        <w:rPr>
          <w:bCs/>
          <w:szCs w:val="24"/>
          <w:lang w:val="it-IT"/>
        </w:rPr>
        <w:t>ë</w:t>
      </w:r>
      <w:r w:rsidR="005E7039">
        <w:rPr>
          <w:bCs/>
          <w:szCs w:val="24"/>
          <w:lang w:val="it-IT"/>
        </w:rPr>
        <w:t xml:space="preserve"> aspekt</w:t>
      </w:r>
      <w:r w:rsidR="00333A62">
        <w:rPr>
          <w:bCs/>
          <w:szCs w:val="24"/>
          <w:lang w:val="it-IT"/>
        </w:rPr>
        <w:t xml:space="preserve"> </w:t>
      </w:r>
      <w:r w:rsidR="00041326">
        <w:rPr>
          <w:bCs/>
          <w:szCs w:val="24"/>
          <w:lang w:val="it-IT"/>
        </w:rPr>
        <w:t>ë</w:t>
      </w:r>
      <w:r w:rsidR="00333A62">
        <w:rPr>
          <w:bCs/>
          <w:szCs w:val="24"/>
          <w:lang w:val="it-IT"/>
        </w:rPr>
        <w:t>sht</w:t>
      </w:r>
      <w:r w:rsidR="00041326">
        <w:rPr>
          <w:bCs/>
          <w:szCs w:val="24"/>
          <w:lang w:val="it-IT"/>
        </w:rPr>
        <w:t>ë</w:t>
      </w:r>
      <w:r w:rsidR="00333A62">
        <w:rPr>
          <w:bCs/>
          <w:szCs w:val="24"/>
          <w:lang w:val="it-IT"/>
        </w:rPr>
        <w:t xml:space="preserve"> shtimi i numrit t</w:t>
      </w:r>
      <w:r w:rsidR="00041326">
        <w:rPr>
          <w:bCs/>
          <w:szCs w:val="24"/>
          <w:lang w:val="it-IT"/>
        </w:rPr>
        <w:t>ë</w:t>
      </w:r>
      <w:r w:rsidR="00333A62">
        <w:rPr>
          <w:bCs/>
          <w:szCs w:val="24"/>
          <w:lang w:val="it-IT"/>
        </w:rPr>
        <w:t xml:space="preserve"> bizneseve t</w:t>
      </w:r>
      <w:r w:rsidR="00041326">
        <w:rPr>
          <w:bCs/>
          <w:szCs w:val="24"/>
          <w:lang w:val="it-IT"/>
        </w:rPr>
        <w:t>ë</w:t>
      </w:r>
      <w:r w:rsidR="00333A62">
        <w:rPr>
          <w:bCs/>
          <w:szCs w:val="24"/>
          <w:lang w:val="it-IT"/>
        </w:rPr>
        <w:t xml:space="preserve"> regjistruara, koha e </w:t>
      </w:r>
      <w:r w:rsidR="002A6BCF">
        <w:rPr>
          <w:bCs/>
          <w:szCs w:val="24"/>
          <w:lang w:val="it-IT"/>
        </w:rPr>
        <w:t>shqyrtimit t</w:t>
      </w:r>
      <w:r w:rsidR="00041326">
        <w:rPr>
          <w:bCs/>
          <w:szCs w:val="24"/>
          <w:lang w:val="it-IT"/>
        </w:rPr>
        <w:t>ë</w:t>
      </w:r>
      <w:r w:rsidR="002A6BCF">
        <w:rPr>
          <w:bCs/>
          <w:szCs w:val="24"/>
          <w:lang w:val="it-IT"/>
        </w:rPr>
        <w:t xml:space="preserve"> c</w:t>
      </w:r>
      <w:r w:rsidR="00041326">
        <w:rPr>
          <w:bCs/>
          <w:szCs w:val="24"/>
          <w:lang w:val="it-IT"/>
        </w:rPr>
        <w:t>ë</w:t>
      </w:r>
      <w:r w:rsidR="002A6BCF">
        <w:rPr>
          <w:bCs/>
          <w:szCs w:val="24"/>
          <w:lang w:val="it-IT"/>
        </w:rPr>
        <w:t>shtjeve q</w:t>
      </w:r>
      <w:r w:rsidR="00041326">
        <w:rPr>
          <w:bCs/>
          <w:szCs w:val="24"/>
          <w:lang w:val="it-IT"/>
        </w:rPr>
        <w:t>ë</w:t>
      </w:r>
      <w:r w:rsidR="002A6BCF">
        <w:rPr>
          <w:bCs/>
          <w:szCs w:val="24"/>
          <w:lang w:val="it-IT"/>
        </w:rPr>
        <w:t xml:space="preserve"> trajtojn</w:t>
      </w:r>
      <w:r w:rsidR="00041326">
        <w:rPr>
          <w:bCs/>
          <w:szCs w:val="24"/>
          <w:lang w:val="it-IT"/>
        </w:rPr>
        <w:t>ë</w:t>
      </w:r>
      <w:r w:rsidR="002A6BCF">
        <w:rPr>
          <w:bCs/>
          <w:szCs w:val="24"/>
          <w:lang w:val="it-IT"/>
        </w:rPr>
        <w:t xml:space="preserve"> </w:t>
      </w:r>
      <w:r w:rsidR="00041326">
        <w:rPr>
          <w:bCs/>
          <w:szCs w:val="24"/>
          <w:lang w:val="it-IT"/>
        </w:rPr>
        <w:t xml:space="preserve">nenet e ndryshuara të ligjit 9901/2008 dhe eventualisht edhe sondazhe të bëra me biznese apo dhoma tregtie. </w:t>
      </w:r>
    </w:p>
    <w:p w14:paraId="4F6F67D6" w14:textId="3C352D2A" w:rsidR="00A17816" w:rsidRPr="00A17816" w:rsidRDefault="0054621A" w:rsidP="00A17816">
      <w:pPr>
        <w:numPr>
          <w:ilvl w:val="0"/>
          <w:numId w:val="27"/>
        </w:numPr>
        <w:spacing w:line="276" w:lineRule="auto"/>
        <w:jc w:val="both"/>
        <w:rPr>
          <w:bCs/>
          <w:szCs w:val="24"/>
          <w:lang w:val="en-US"/>
        </w:rPr>
      </w:pPr>
      <w:r w:rsidRPr="00C631BF">
        <w:rPr>
          <w:b/>
          <w:szCs w:val="24"/>
          <w:lang w:val="it-IT"/>
        </w:rPr>
        <w:t xml:space="preserve">Përmirësimi i </w:t>
      </w:r>
      <w:r w:rsidR="00072AA6" w:rsidRPr="00C631BF">
        <w:rPr>
          <w:b/>
          <w:szCs w:val="24"/>
          <w:lang w:val="it-IT"/>
        </w:rPr>
        <w:t>k</w:t>
      </w:r>
      <w:r w:rsidRPr="00C631BF">
        <w:rPr>
          <w:b/>
          <w:szCs w:val="24"/>
          <w:lang w:val="it-IT"/>
        </w:rPr>
        <w:t xml:space="preserve">apaciteteve </w:t>
      </w:r>
      <w:r w:rsidR="00072AA6" w:rsidRPr="00C631BF">
        <w:rPr>
          <w:b/>
          <w:szCs w:val="24"/>
          <w:lang w:val="it-IT"/>
        </w:rPr>
        <w:t>i</w:t>
      </w:r>
      <w:r w:rsidRPr="00C631BF">
        <w:rPr>
          <w:b/>
          <w:szCs w:val="24"/>
          <w:lang w:val="it-IT"/>
        </w:rPr>
        <w:t>nstitucionale</w:t>
      </w:r>
      <w:r w:rsidRPr="00C631BF">
        <w:rPr>
          <w:bCs/>
          <w:szCs w:val="24"/>
          <w:lang w:val="it-IT"/>
        </w:rPr>
        <w:t>: Do të maten përpjekjet për ndërtimin e kapaciteteve në institucione si QKB</w:t>
      </w:r>
      <w:r w:rsidR="00EC25F4" w:rsidRPr="00C631BF">
        <w:rPr>
          <w:bCs/>
          <w:szCs w:val="24"/>
          <w:lang w:val="it-IT"/>
        </w:rPr>
        <w:t xml:space="preserve"> dhe</w:t>
      </w:r>
      <w:r w:rsidRPr="00C631BF">
        <w:rPr>
          <w:bCs/>
          <w:szCs w:val="24"/>
          <w:lang w:val="it-IT"/>
        </w:rPr>
        <w:t xml:space="preserve"> </w:t>
      </w:r>
      <w:r w:rsidR="003A44E3">
        <w:rPr>
          <w:bCs/>
          <w:szCs w:val="24"/>
          <w:lang w:val="it-IT"/>
        </w:rPr>
        <w:t>ME</w:t>
      </w:r>
      <w:r w:rsidR="002561A0" w:rsidRPr="00C631BF">
        <w:rPr>
          <w:bCs/>
          <w:szCs w:val="24"/>
          <w:lang w:val="it-IT"/>
        </w:rPr>
        <w:t xml:space="preserve">, </w:t>
      </w:r>
      <w:r w:rsidRPr="00C631BF">
        <w:rPr>
          <w:bCs/>
          <w:szCs w:val="24"/>
          <w:lang w:val="it-IT"/>
        </w:rPr>
        <w:t>përmes trajnimeve dhe përmirësimit të infrastrukturës për zbatimin e rregulloreve të reja. Kjo do të ndikojë drejtpërdrejt në mundësinë e mbikëqyrjes efektive të ligjeve të reja.</w:t>
      </w:r>
      <w:r w:rsidR="00A17816" w:rsidRPr="00C631BF">
        <w:rPr>
          <w:lang w:val="it-IT"/>
        </w:rPr>
        <w:t xml:space="preserve"> </w:t>
      </w:r>
      <w:r w:rsidR="00A17816" w:rsidRPr="00A17816">
        <w:rPr>
          <w:bCs/>
          <w:szCs w:val="24"/>
          <w:lang w:val="en-US"/>
        </w:rPr>
        <w:t xml:space="preserve">Ky </w:t>
      </w:r>
      <w:proofErr w:type="spellStart"/>
      <w:r w:rsidR="00A17816" w:rsidRPr="00A17816">
        <w:rPr>
          <w:bCs/>
          <w:szCs w:val="24"/>
          <w:lang w:val="en-US"/>
        </w:rPr>
        <w:t>tregues</w:t>
      </w:r>
      <w:proofErr w:type="spellEnd"/>
      <w:r w:rsidR="00A17816" w:rsidRPr="00A17816">
        <w:rPr>
          <w:bCs/>
          <w:szCs w:val="24"/>
          <w:lang w:val="en-US"/>
        </w:rPr>
        <w:t xml:space="preserve"> do </w:t>
      </w:r>
      <w:proofErr w:type="spellStart"/>
      <w:r w:rsidR="00A17816" w:rsidRPr="00A17816">
        <w:rPr>
          <w:bCs/>
          <w:szCs w:val="24"/>
          <w:lang w:val="en-US"/>
        </w:rPr>
        <w:t>të</w:t>
      </w:r>
      <w:proofErr w:type="spellEnd"/>
      <w:r w:rsidR="00A17816" w:rsidRPr="00A17816">
        <w:rPr>
          <w:bCs/>
          <w:szCs w:val="24"/>
          <w:lang w:val="en-US"/>
        </w:rPr>
        <w:t xml:space="preserve"> </w:t>
      </w:r>
      <w:proofErr w:type="spellStart"/>
      <w:r w:rsidR="00A17816" w:rsidRPr="00A17816">
        <w:rPr>
          <w:bCs/>
          <w:szCs w:val="24"/>
          <w:lang w:val="en-US"/>
        </w:rPr>
        <w:t>matet</w:t>
      </w:r>
      <w:proofErr w:type="spellEnd"/>
      <w:r w:rsidR="00A17816" w:rsidRPr="00A17816">
        <w:rPr>
          <w:bCs/>
          <w:szCs w:val="24"/>
          <w:lang w:val="en-US"/>
        </w:rPr>
        <w:t xml:space="preserve"> </w:t>
      </w:r>
      <w:proofErr w:type="spellStart"/>
      <w:r w:rsidR="00A17816" w:rsidRPr="00A17816">
        <w:rPr>
          <w:bCs/>
          <w:szCs w:val="24"/>
          <w:lang w:val="en-US"/>
        </w:rPr>
        <w:t>përmes</w:t>
      </w:r>
      <w:proofErr w:type="spellEnd"/>
      <w:r w:rsidR="00A17816" w:rsidRPr="00A17816">
        <w:rPr>
          <w:bCs/>
          <w:szCs w:val="24"/>
          <w:lang w:val="en-US"/>
        </w:rPr>
        <w:t xml:space="preserve"> </w:t>
      </w:r>
      <w:proofErr w:type="spellStart"/>
      <w:r w:rsidR="00A17816" w:rsidRPr="00A17816">
        <w:rPr>
          <w:bCs/>
          <w:szCs w:val="24"/>
          <w:lang w:val="en-US"/>
        </w:rPr>
        <w:t>indikatorëve</w:t>
      </w:r>
      <w:proofErr w:type="spellEnd"/>
      <w:r w:rsidR="00A17816" w:rsidRPr="00A17816">
        <w:rPr>
          <w:bCs/>
          <w:szCs w:val="24"/>
          <w:lang w:val="en-US"/>
        </w:rPr>
        <w:t xml:space="preserve"> </w:t>
      </w:r>
      <w:proofErr w:type="spellStart"/>
      <w:r w:rsidR="00A17816" w:rsidRPr="00A17816">
        <w:rPr>
          <w:bCs/>
          <w:szCs w:val="24"/>
          <w:lang w:val="en-US"/>
        </w:rPr>
        <w:t>konkretë</w:t>
      </w:r>
      <w:proofErr w:type="spellEnd"/>
      <w:r w:rsidR="00A17816" w:rsidRPr="00A17816">
        <w:rPr>
          <w:bCs/>
          <w:szCs w:val="24"/>
          <w:lang w:val="en-US"/>
        </w:rPr>
        <w:t>:</w:t>
      </w:r>
    </w:p>
    <w:p w14:paraId="7FEF5A53" w14:textId="61D8A9A2" w:rsidR="00A17816" w:rsidRPr="00A17816" w:rsidRDefault="00A17816" w:rsidP="00C631BF">
      <w:pPr>
        <w:pStyle w:val="ListParagraph"/>
        <w:numPr>
          <w:ilvl w:val="0"/>
          <w:numId w:val="55"/>
        </w:numPr>
        <w:tabs>
          <w:tab w:val="left" w:pos="990"/>
        </w:tabs>
        <w:spacing w:line="276" w:lineRule="auto"/>
        <w:ind w:firstLine="360"/>
        <w:jc w:val="both"/>
        <w:rPr>
          <w:bCs/>
          <w:szCs w:val="24"/>
          <w:lang w:val="en-US"/>
        </w:rPr>
      </w:pPr>
      <w:proofErr w:type="spellStart"/>
      <w:r w:rsidRPr="00A17816">
        <w:rPr>
          <w:rFonts w:ascii="Times New Roman" w:hAnsi="Times New Roman"/>
          <w:bCs/>
          <w:sz w:val="24"/>
          <w:szCs w:val="24"/>
          <w:lang w:val="en-US"/>
        </w:rPr>
        <w:t>Numri</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i</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trajnimeve</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të</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kryera</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gjatë</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një</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viti</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kalendarik</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për</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stafin</w:t>
      </w:r>
      <w:proofErr w:type="spellEnd"/>
      <w:r w:rsidRPr="00A17816">
        <w:rPr>
          <w:rFonts w:ascii="Times New Roman" w:hAnsi="Times New Roman"/>
          <w:bCs/>
          <w:sz w:val="24"/>
          <w:szCs w:val="24"/>
          <w:lang w:val="en-US"/>
        </w:rPr>
        <w:t xml:space="preserve"> e QKB </w:t>
      </w:r>
      <w:proofErr w:type="spellStart"/>
      <w:r w:rsidRPr="00A17816">
        <w:rPr>
          <w:rFonts w:ascii="Times New Roman" w:hAnsi="Times New Roman"/>
          <w:bCs/>
          <w:sz w:val="24"/>
          <w:szCs w:val="24"/>
          <w:lang w:val="en-US"/>
        </w:rPr>
        <w:t>dhe</w:t>
      </w:r>
      <w:proofErr w:type="spellEnd"/>
      <w:r w:rsidRPr="00A17816">
        <w:rPr>
          <w:rFonts w:ascii="Times New Roman" w:hAnsi="Times New Roman"/>
          <w:bCs/>
          <w:sz w:val="24"/>
          <w:szCs w:val="24"/>
          <w:lang w:val="en-US"/>
        </w:rPr>
        <w:t xml:space="preserve"> </w:t>
      </w:r>
      <w:r w:rsidR="003A44E3">
        <w:rPr>
          <w:rFonts w:ascii="Times New Roman" w:hAnsi="Times New Roman"/>
          <w:bCs/>
          <w:sz w:val="24"/>
          <w:szCs w:val="24"/>
          <w:lang w:val="en-US"/>
        </w:rPr>
        <w:t>ME</w:t>
      </w:r>
      <w:r w:rsidR="0056261F">
        <w:rPr>
          <w:rFonts w:ascii="Times New Roman" w:hAnsi="Times New Roman"/>
          <w:bCs/>
          <w:sz w:val="24"/>
          <w:szCs w:val="24"/>
          <w:lang w:val="en-US"/>
        </w:rPr>
        <w:t xml:space="preserve"> (duke </w:t>
      </w:r>
      <w:proofErr w:type="spellStart"/>
      <w:r w:rsidR="0056261F">
        <w:rPr>
          <w:rFonts w:ascii="Times New Roman" w:hAnsi="Times New Roman"/>
          <w:bCs/>
          <w:sz w:val="24"/>
          <w:szCs w:val="24"/>
          <w:lang w:val="en-US"/>
        </w:rPr>
        <w:t>përfshirë</w:t>
      </w:r>
      <w:proofErr w:type="spellEnd"/>
      <w:r w:rsidR="0056261F">
        <w:rPr>
          <w:rFonts w:ascii="Times New Roman" w:hAnsi="Times New Roman"/>
          <w:bCs/>
          <w:sz w:val="24"/>
          <w:szCs w:val="24"/>
          <w:lang w:val="en-US"/>
        </w:rPr>
        <w:t xml:space="preserve"> </w:t>
      </w:r>
      <w:proofErr w:type="spellStart"/>
      <w:r w:rsidR="0056261F">
        <w:rPr>
          <w:rFonts w:ascii="Times New Roman" w:hAnsi="Times New Roman"/>
          <w:bCs/>
          <w:sz w:val="24"/>
          <w:szCs w:val="24"/>
          <w:lang w:val="en-US"/>
        </w:rPr>
        <w:t>edhe</w:t>
      </w:r>
      <w:proofErr w:type="spellEnd"/>
      <w:r w:rsidR="0056261F">
        <w:rPr>
          <w:rFonts w:ascii="Times New Roman" w:hAnsi="Times New Roman"/>
          <w:bCs/>
          <w:sz w:val="24"/>
          <w:szCs w:val="24"/>
          <w:lang w:val="en-US"/>
        </w:rPr>
        <w:t xml:space="preserve"> </w:t>
      </w:r>
      <w:proofErr w:type="spellStart"/>
      <w:r w:rsidR="0056261F">
        <w:rPr>
          <w:rFonts w:ascii="Times New Roman" w:hAnsi="Times New Roman"/>
          <w:bCs/>
          <w:sz w:val="24"/>
          <w:szCs w:val="24"/>
          <w:lang w:val="en-US"/>
        </w:rPr>
        <w:t>trajnimet</w:t>
      </w:r>
      <w:proofErr w:type="spellEnd"/>
      <w:r w:rsidR="0056261F">
        <w:rPr>
          <w:rFonts w:ascii="Times New Roman" w:hAnsi="Times New Roman"/>
          <w:bCs/>
          <w:sz w:val="24"/>
          <w:szCs w:val="24"/>
          <w:lang w:val="en-US"/>
        </w:rPr>
        <w:t xml:space="preserve"> </w:t>
      </w:r>
      <w:proofErr w:type="spellStart"/>
      <w:r w:rsidR="0056261F">
        <w:rPr>
          <w:rFonts w:ascii="Times New Roman" w:hAnsi="Times New Roman"/>
          <w:bCs/>
          <w:sz w:val="24"/>
          <w:szCs w:val="24"/>
          <w:lang w:val="en-US"/>
        </w:rPr>
        <w:t>specifike</w:t>
      </w:r>
      <w:proofErr w:type="spellEnd"/>
      <w:r w:rsidR="0056261F">
        <w:rPr>
          <w:rFonts w:ascii="Times New Roman" w:hAnsi="Times New Roman"/>
          <w:bCs/>
          <w:sz w:val="24"/>
          <w:szCs w:val="24"/>
          <w:lang w:val="en-US"/>
        </w:rPr>
        <w:t xml:space="preserve"> </w:t>
      </w:r>
      <w:proofErr w:type="spellStart"/>
      <w:r w:rsidR="0056261F">
        <w:rPr>
          <w:rFonts w:ascii="Times New Roman" w:hAnsi="Times New Roman"/>
          <w:bCs/>
          <w:sz w:val="24"/>
          <w:szCs w:val="24"/>
          <w:lang w:val="en-US"/>
        </w:rPr>
        <w:t>për</w:t>
      </w:r>
      <w:proofErr w:type="spellEnd"/>
      <w:r w:rsidR="0056261F">
        <w:rPr>
          <w:rFonts w:ascii="Times New Roman" w:hAnsi="Times New Roman"/>
          <w:bCs/>
          <w:sz w:val="24"/>
          <w:szCs w:val="24"/>
          <w:lang w:val="en-US"/>
        </w:rPr>
        <w:t xml:space="preserve"> </w:t>
      </w:r>
      <w:proofErr w:type="spellStart"/>
      <w:r w:rsidR="0056261F">
        <w:rPr>
          <w:rFonts w:ascii="Times New Roman" w:hAnsi="Times New Roman"/>
          <w:bCs/>
          <w:sz w:val="24"/>
          <w:szCs w:val="24"/>
          <w:lang w:val="en-US"/>
        </w:rPr>
        <w:t>përfshirjen</w:t>
      </w:r>
      <w:proofErr w:type="spellEnd"/>
      <w:r w:rsidR="0056261F">
        <w:rPr>
          <w:rFonts w:ascii="Times New Roman" w:hAnsi="Times New Roman"/>
          <w:bCs/>
          <w:sz w:val="24"/>
          <w:szCs w:val="24"/>
          <w:lang w:val="en-US"/>
        </w:rPr>
        <w:t xml:space="preserve"> </w:t>
      </w:r>
      <w:proofErr w:type="spellStart"/>
      <w:r w:rsidR="0056261F">
        <w:rPr>
          <w:rFonts w:ascii="Times New Roman" w:hAnsi="Times New Roman"/>
          <w:bCs/>
          <w:sz w:val="24"/>
          <w:szCs w:val="24"/>
          <w:lang w:val="en-US"/>
        </w:rPr>
        <w:t>sociale</w:t>
      </w:r>
      <w:proofErr w:type="spellEnd"/>
      <w:r w:rsidR="0056261F">
        <w:rPr>
          <w:rFonts w:ascii="Times New Roman" w:hAnsi="Times New Roman"/>
          <w:bCs/>
          <w:sz w:val="24"/>
          <w:szCs w:val="24"/>
          <w:lang w:val="en-US"/>
        </w:rPr>
        <w:t xml:space="preserve"> </w:t>
      </w:r>
      <w:proofErr w:type="spellStart"/>
      <w:r w:rsidR="0056261F">
        <w:rPr>
          <w:rFonts w:ascii="Times New Roman" w:hAnsi="Times New Roman"/>
          <w:bCs/>
          <w:sz w:val="24"/>
          <w:szCs w:val="24"/>
          <w:lang w:val="en-US"/>
        </w:rPr>
        <w:t>dhe</w:t>
      </w:r>
      <w:proofErr w:type="spellEnd"/>
      <w:r w:rsidR="0056261F">
        <w:rPr>
          <w:rFonts w:ascii="Times New Roman" w:hAnsi="Times New Roman"/>
          <w:bCs/>
          <w:sz w:val="24"/>
          <w:szCs w:val="24"/>
          <w:lang w:val="en-US"/>
        </w:rPr>
        <w:t xml:space="preserve"> </w:t>
      </w:r>
      <w:proofErr w:type="spellStart"/>
      <w:r w:rsidR="0056261F">
        <w:rPr>
          <w:rFonts w:ascii="Times New Roman" w:hAnsi="Times New Roman"/>
          <w:bCs/>
          <w:sz w:val="24"/>
          <w:szCs w:val="24"/>
          <w:lang w:val="en-US"/>
        </w:rPr>
        <w:t>barazinë</w:t>
      </w:r>
      <w:proofErr w:type="spellEnd"/>
      <w:r w:rsidR="0056261F">
        <w:rPr>
          <w:rFonts w:ascii="Times New Roman" w:hAnsi="Times New Roman"/>
          <w:bCs/>
          <w:sz w:val="24"/>
          <w:szCs w:val="24"/>
          <w:lang w:val="en-US"/>
        </w:rPr>
        <w:t xml:space="preserve"> </w:t>
      </w:r>
      <w:proofErr w:type="spellStart"/>
      <w:r w:rsidR="0056261F">
        <w:rPr>
          <w:rFonts w:ascii="Times New Roman" w:hAnsi="Times New Roman"/>
          <w:bCs/>
          <w:sz w:val="24"/>
          <w:szCs w:val="24"/>
          <w:lang w:val="en-US"/>
        </w:rPr>
        <w:t>gjinore</w:t>
      </w:r>
      <w:proofErr w:type="spellEnd"/>
      <w:r w:rsidR="0056261F">
        <w:rPr>
          <w:rFonts w:ascii="Times New Roman" w:hAnsi="Times New Roman"/>
          <w:bCs/>
          <w:sz w:val="24"/>
          <w:szCs w:val="24"/>
          <w:lang w:val="en-US"/>
        </w:rPr>
        <w:t>)</w:t>
      </w:r>
      <w:r w:rsidRPr="00A17816">
        <w:rPr>
          <w:rFonts w:ascii="Times New Roman" w:hAnsi="Times New Roman"/>
          <w:bCs/>
          <w:sz w:val="24"/>
          <w:szCs w:val="24"/>
          <w:lang w:val="en-US"/>
        </w:rPr>
        <w:t>.</w:t>
      </w:r>
    </w:p>
    <w:p w14:paraId="633FB158" w14:textId="7B59A9EF" w:rsidR="0054621A" w:rsidRPr="0056261F" w:rsidRDefault="00A17816" w:rsidP="00C631BF">
      <w:pPr>
        <w:pStyle w:val="ListParagraph"/>
        <w:numPr>
          <w:ilvl w:val="0"/>
          <w:numId w:val="55"/>
        </w:numPr>
        <w:tabs>
          <w:tab w:val="left" w:pos="990"/>
        </w:tabs>
        <w:spacing w:line="276" w:lineRule="auto"/>
        <w:ind w:firstLine="360"/>
        <w:jc w:val="both"/>
        <w:rPr>
          <w:bCs/>
          <w:szCs w:val="24"/>
          <w:lang w:val="en-US"/>
        </w:rPr>
      </w:pPr>
      <w:proofErr w:type="spellStart"/>
      <w:r w:rsidRPr="00A17816">
        <w:rPr>
          <w:rFonts w:ascii="Times New Roman" w:hAnsi="Times New Roman"/>
          <w:bCs/>
          <w:sz w:val="24"/>
          <w:szCs w:val="24"/>
          <w:lang w:val="en-US"/>
        </w:rPr>
        <w:t>Numri</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i</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punonjësve</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të</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trajnuar</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dhe</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certifikuar</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mbi</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zbatimin</w:t>
      </w:r>
      <w:proofErr w:type="spellEnd"/>
      <w:r w:rsidRPr="00A17816">
        <w:rPr>
          <w:rFonts w:ascii="Times New Roman" w:hAnsi="Times New Roman"/>
          <w:bCs/>
          <w:sz w:val="24"/>
          <w:szCs w:val="24"/>
          <w:lang w:val="en-US"/>
        </w:rPr>
        <w:t xml:space="preserve"> e </w:t>
      </w:r>
      <w:proofErr w:type="spellStart"/>
      <w:r>
        <w:rPr>
          <w:rFonts w:ascii="Times New Roman" w:hAnsi="Times New Roman"/>
          <w:bCs/>
          <w:sz w:val="24"/>
          <w:szCs w:val="24"/>
          <w:lang w:val="en-US"/>
        </w:rPr>
        <w:t>parashikimeve</w:t>
      </w:r>
      <w:proofErr w:type="spellEnd"/>
      <w:r>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të</w:t>
      </w:r>
      <w:proofErr w:type="spellEnd"/>
      <w:r w:rsidRPr="00A17816">
        <w:rPr>
          <w:rFonts w:ascii="Times New Roman" w:hAnsi="Times New Roman"/>
          <w:bCs/>
          <w:sz w:val="24"/>
          <w:szCs w:val="24"/>
          <w:lang w:val="en-US"/>
        </w:rPr>
        <w:t xml:space="preserve"> </w:t>
      </w:r>
      <w:proofErr w:type="spellStart"/>
      <w:r w:rsidRPr="00A17816">
        <w:rPr>
          <w:rFonts w:ascii="Times New Roman" w:hAnsi="Times New Roman"/>
          <w:bCs/>
          <w:sz w:val="24"/>
          <w:szCs w:val="24"/>
          <w:lang w:val="en-US"/>
        </w:rPr>
        <w:t>reja</w:t>
      </w:r>
      <w:proofErr w:type="spellEnd"/>
      <w:r w:rsidRPr="00A17816">
        <w:rPr>
          <w:rFonts w:ascii="Times New Roman" w:hAnsi="Times New Roman"/>
          <w:bCs/>
          <w:sz w:val="24"/>
          <w:szCs w:val="24"/>
          <w:lang w:val="en-US"/>
        </w:rPr>
        <w:t>.</w:t>
      </w:r>
    </w:p>
    <w:p w14:paraId="61339E9D" w14:textId="77777777" w:rsidR="00072AA6" w:rsidRDefault="00072AA6" w:rsidP="0054621A">
      <w:pPr>
        <w:spacing w:line="276" w:lineRule="auto"/>
        <w:jc w:val="both"/>
        <w:rPr>
          <w:bCs/>
          <w:szCs w:val="24"/>
          <w:lang w:val="en-US"/>
        </w:rPr>
      </w:pPr>
    </w:p>
    <w:p w14:paraId="1D8374C8" w14:textId="48C24DE8" w:rsidR="0054621A" w:rsidRPr="0054621A" w:rsidRDefault="0054621A" w:rsidP="0054621A">
      <w:pPr>
        <w:spacing w:line="276" w:lineRule="auto"/>
        <w:jc w:val="both"/>
        <w:rPr>
          <w:bCs/>
          <w:szCs w:val="24"/>
          <w:lang w:val="en-US"/>
        </w:rPr>
      </w:pPr>
      <w:proofErr w:type="spellStart"/>
      <w:r w:rsidRPr="0054621A">
        <w:rPr>
          <w:bCs/>
          <w:szCs w:val="24"/>
          <w:lang w:val="en-US"/>
        </w:rPr>
        <w:t>Këto</w:t>
      </w:r>
      <w:proofErr w:type="spellEnd"/>
      <w:r w:rsidRPr="0054621A">
        <w:rPr>
          <w:bCs/>
          <w:szCs w:val="24"/>
          <w:lang w:val="en-US"/>
        </w:rPr>
        <w:t xml:space="preserve"> </w:t>
      </w:r>
      <w:proofErr w:type="spellStart"/>
      <w:r w:rsidRPr="0054621A">
        <w:rPr>
          <w:bCs/>
          <w:szCs w:val="24"/>
          <w:lang w:val="en-US"/>
        </w:rPr>
        <w:t>tregues</w:t>
      </w:r>
      <w:proofErr w:type="spellEnd"/>
      <w:r w:rsidRPr="0054621A">
        <w:rPr>
          <w:bCs/>
          <w:szCs w:val="24"/>
          <w:lang w:val="en-US"/>
        </w:rPr>
        <w:t xml:space="preserve"> do </w:t>
      </w:r>
      <w:proofErr w:type="spellStart"/>
      <w:r w:rsidRPr="0054621A">
        <w:rPr>
          <w:bCs/>
          <w:szCs w:val="24"/>
          <w:lang w:val="en-US"/>
        </w:rPr>
        <w:t>të</w:t>
      </w:r>
      <w:proofErr w:type="spellEnd"/>
      <w:r w:rsidRPr="0054621A">
        <w:rPr>
          <w:bCs/>
          <w:szCs w:val="24"/>
          <w:lang w:val="en-US"/>
        </w:rPr>
        <w:t xml:space="preserve"> </w:t>
      </w:r>
      <w:proofErr w:type="spellStart"/>
      <w:r w:rsidRPr="0054621A">
        <w:rPr>
          <w:bCs/>
          <w:szCs w:val="24"/>
          <w:lang w:val="en-US"/>
        </w:rPr>
        <w:t>përdoren</w:t>
      </w:r>
      <w:proofErr w:type="spellEnd"/>
      <w:r w:rsidRPr="0054621A">
        <w:rPr>
          <w:bCs/>
          <w:szCs w:val="24"/>
          <w:lang w:val="en-US"/>
        </w:rPr>
        <w:t xml:space="preserve"> </w:t>
      </w:r>
      <w:proofErr w:type="spellStart"/>
      <w:r w:rsidRPr="0054621A">
        <w:rPr>
          <w:bCs/>
          <w:szCs w:val="24"/>
          <w:lang w:val="en-US"/>
        </w:rPr>
        <w:t>për</w:t>
      </w:r>
      <w:proofErr w:type="spellEnd"/>
      <w:r w:rsidRPr="0054621A">
        <w:rPr>
          <w:bCs/>
          <w:szCs w:val="24"/>
          <w:lang w:val="en-US"/>
        </w:rPr>
        <w:t xml:space="preserve"> </w:t>
      </w:r>
      <w:proofErr w:type="spellStart"/>
      <w:r w:rsidRPr="0054621A">
        <w:rPr>
          <w:bCs/>
          <w:szCs w:val="24"/>
          <w:lang w:val="en-US"/>
        </w:rPr>
        <w:t>të</w:t>
      </w:r>
      <w:proofErr w:type="spellEnd"/>
      <w:r w:rsidRPr="0054621A">
        <w:rPr>
          <w:bCs/>
          <w:szCs w:val="24"/>
          <w:lang w:val="en-US"/>
        </w:rPr>
        <w:t xml:space="preserve"> </w:t>
      </w:r>
      <w:proofErr w:type="spellStart"/>
      <w:r w:rsidRPr="0054621A">
        <w:rPr>
          <w:bCs/>
          <w:szCs w:val="24"/>
          <w:lang w:val="en-US"/>
        </w:rPr>
        <w:t>monitoruar</w:t>
      </w:r>
      <w:proofErr w:type="spellEnd"/>
      <w:r w:rsidRPr="0054621A">
        <w:rPr>
          <w:bCs/>
          <w:szCs w:val="24"/>
          <w:lang w:val="en-US"/>
        </w:rPr>
        <w:t xml:space="preserve"> </w:t>
      </w:r>
      <w:proofErr w:type="spellStart"/>
      <w:r w:rsidRPr="0054621A">
        <w:rPr>
          <w:bCs/>
          <w:szCs w:val="24"/>
          <w:lang w:val="en-US"/>
        </w:rPr>
        <w:t>dhe</w:t>
      </w:r>
      <w:proofErr w:type="spellEnd"/>
      <w:r w:rsidRPr="0054621A">
        <w:rPr>
          <w:bCs/>
          <w:szCs w:val="24"/>
          <w:lang w:val="en-US"/>
        </w:rPr>
        <w:t xml:space="preserve"> </w:t>
      </w:r>
      <w:proofErr w:type="spellStart"/>
      <w:r w:rsidRPr="0054621A">
        <w:rPr>
          <w:bCs/>
          <w:szCs w:val="24"/>
          <w:lang w:val="en-US"/>
        </w:rPr>
        <w:t>vlerësuar</w:t>
      </w:r>
      <w:proofErr w:type="spellEnd"/>
      <w:r w:rsidRPr="0054621A">
        <w:rPr>
          <w:bCs/>
          <w:szCs w:val="24"/>
          <w:lang w:val="en-US"/>
        </w:rPr>
        <w:t xml:space="preserve"> </w:t>
      </w:r>
      <w:proofErr w:type="spellStart"/>
      <w:r w:rsidRPr="0054621A">
        <w:rPr>
          <w:bCs/>
          <w:szCs w:val="24"/>
          <w:lang w:val="en-US"/>
        </w:rPr>
        <w:t>progresin</w:t>
      </w:r>
      <w:proofErr w:type="spellEnd"/>
      <w:r w:rsidRPr="0054621A">
        <w:rPr>
          <w:bCs/>
          <w:szCs w:val="24"/>
          <w:lang w:val="en-US"/>
        </w:rPr>
        <w:t xml:space="preserve"> </w:t>
      </w:r>
      <w:proofErr w:type="spellStart"/>
      <w:r w:rsidRPr="0054621A">
        <w:rPr>
          <w:bCs/>
          <w:szCs w:val="24"/>
          <w:lang w:val="en-US"/>
        </w:rPr>
        <w:t>dhe</w:t>
      </w:r>
      <w:proofErr w:type="spellEnd"/>
      <w:r w:rsidRPr="0054621A">
        <w:rPr>
          <w:bCs/>
          <w:szCs w:val="24"/>
          <w:lang w:val="en-US"/>
        </w:rPr>
        <w:t xml:space="preserve"> </w:t>
      </w:r>
      <w:proofErr w:type="spellStart"/>
      <w:r w:rsidRPr="0054621A">
        <w:rPr>
          <w:bCs/>
          <w:szCs w:val="24"/>
          <w:lang w:val="en-US"/>
        </w:rPr>
        <w:t>për</w:t>
      </w:r>
      <w:proofErr w:type="spellEnd"/>
      <w:r w:rsidRPr="0054621A">
        <w:rPr>
          <w:bCs/>
          <w:szCs w:val="24"/>
          <w:lang w:val="en-US"/>
        </w:rPr>
        <w:t xml:space="preserve"> </w:t>
      </w:r>
      <w:proofErr w:type="spellStart"/>
      <w:r w:rsidRPr="0054621A">
        <w:rPr>
          <w:bCs/>
          <w:szCs w:val="24"/>
          <w:lang w:val="en-US"/>
        </w:rPr>
        <w:t>të</w:t>
      </w:r>
      <w:proofErr w:type="spellEnd"/>
      <w:r w:rsidRPr="0054621A">
        <w:rPr>
          <w:bCs/>
          <w:szCs w:val="24"/>
          <w:lang w:val="en-US"/>
        </w:rPr>
        <w:t xml:space="preserve"> </w:t>
      </w:r>
      <w:proofErr w:type="spellStart"/>
      <w:r w:rsidRPr="0054621A">
        <w:rPr>
          <w:bCs/>
          <w:szCs w:val="24"/>
          <w:lang w:val="en-US"/>
        </w:rPr>
        <w:t>identifikuar</w:t>
      </w:r>
      <w:proofErr w:type="spellEnd"/>
      <w:r w:rsidRPr="0054621A">
        <w:rPr>
          <w:bCs/>
          <w:szCs w:val="24"/>
          <w:lang w:val="en-US"/>
        </w:rPr>
        <w:t xml:space="preserve"> </w:t>
      </w:r>
      <w:proofErr w:type="spellStart"/>
      <w:r w:rsidRPr="0054621A">
        <w:rPr>
          <w:bCs/>
          <w:szCs w:val="24"/>
          <w:lang w:val="en-US"/>
        </w:rPr>
        <w:t>nevojën</w:t>
      </w:r>
      <w:proofErr w:type="spellEnd"/>
      <w:r w:rsidRPr="0054621A">
        <w:rPr>
          <w:bCs/>
          <w:szCs w:val="24"/>
          <w:lang w:val="en-US"/>
        </w:rPr>
        <w:t xml:space="preserve"> </w:t>
      </w:r>
      <w:proofErr w:type="spellStart"/>
      <w:r w:rsidRPr="0054621A">
        <w:rPr>
          <w:bCs/>
          <w:szCs w:val="24"/>
          <w:lang w:val="en-US"/>
        </w:rPr>
        <w:t>për</w:t>
      </w:r>
      <w:proofErr w:type="spellEnd"/>
      <w:r w:rsidRPr="0054621A">
        <w:rPr>
          <w:bCs/>
          <w:szCs w:val="24"/>
          <w:lang w:val="en-US"/>
        </w:rPr>
        <w:t xml:space="preserve"> </w:t>
      </w:r>
      <w:proofErr w:type="spellStart"/>
      <w:r w:rsidRPr="0054621A">
        <w:rPr>
          <w:bCs/>
          <w:szCs w:val="24"/>
          <w:lang w:val="en-US"/>
        </w:rPr>
        <w:t>përmirësime</w:t>
      </w:r>
      <w:proofErr w:type="spellEnd"/>
      <w:r w:rsidRPr="0054621A">
        <w:rPr>
          <w:bCs/>
          <w:szCs w:val="24"/>
          <w:lang w:val="en-US"/>
        </w:rPr>
        <w:t xml:space="preserve"> </w:t>
      </w:r>
      <w:proofErr w:type="spellStart"/>
      <w:r w:rsidRPr="0054621A">
        <w:rPr>
          <w:bCs/>
          <w:szCs w:val="24"/>
          <w:lang w:val="en-US"/>
        </w:rPr>
        <w:t>në</w:t>
      </w:r>
      <w:proofErr w:type="spellEnd"/>
      <w:r w:rsidRPr="0054621A">
        <w:rPr>
          <w:bCs/>
          <w:szCs w:val="24"/>
          <w:lang w:val="en-US"/>
        </w:rPr>
        <w:t xml:space="preserve"> </w:t>
      </w:r>
      <w:proofErr w:type="spellStart"/>
      <w:r w:rsidRPr="0054621A">
        <w:rPr>
          <w:bCs/>
          <w:szCs w:val="24"/>
          <w:lang w:val="en-US"/>
        </w:rPr>
        <w:t>masat</w:t>
      </w:r>
      <w:proofErr w:type="spellEnd"/>
      <w:r w:rsidRPr="0054621A">
        <w:rPr>
          <w:bCs/>
          <w:szCs w:val="24"/>
          <w:lang w:val="en-US"/>
        </w:rPr>
        <w:t xml:space="preserve"> e </w:t>
      </w:r>
      <w:proofErr w:type="spellStart"/>
      <w:r w:rsidRPr="0054621A">
        <w:rPr>
          <w:bCs/>
          <w:szCs w:val="24"/>
          <w:lang w:val="en-US"/>
        </w:rPr>
        <w:t>ndërmarra</w:t>
      </w:r>
      <w:proofErr w:type="spellEnd"/>
      <w:r w:rsidRPr="0054621A">
        <w:rPr>
          <w:bCs/>
          <w:szCs w:val="24"/>
          <w:lang w:val="en-US"/>
        </w:rPr>
        <w:t xml:space="preserve">, duke </w:t>
      </w:r>
      <w:proofErr w:type="spellStart"/>
      <w:r w:rsidRPr="0054621A">
        <w:rPr>
          <w:bCs/>
          <w:szCs w:val="24"/>
          <w:lang w:val="en-US"/>
        </w:rPr>
        <w:t>siguruar</w:t>
      </w:r>
      <w:proofErr w:type="spellEnd"/>
      <w:r w:rsidRPr="0054621A">
        <w:rPr>
          <w:bCs/>
          <w:szCs w:val="24"/>
          <w:lang w:val="en-US"/>
        </w:rPr>
        <w:t xml:space="preserve"> </w:t>
      </w:r>
      <w:proofErr w:type="spellStart"/>
      <w:r w:rsidRPr="0054621A">
        <w:rPr>
          <w:bCs/>
          <w:szCs w:val="24"/>
          <w:lang w:val="en-US"/>
        </w:rPr>
        <w:t>që</w:t>
      </w:r>
      <w:proofErr w:type="spellEnd"/>
      <w:r w:rsidRPr="0054621A">
        <w:rPr>
          <w:bCs/>
          <w:szCs w:val="24"/>
          <w:lang w:val="en-US"/>
        </w:rPr>
        <w:t xml:space="preserve"> </w:t>
      </w:r>
      <w:proofErr w:type="spellStart"/>
      <w:r w:rsidRPr="0054621A">
        <w:rPr>
          <w:bCs/>
          <w:szCs w:val="24"/>
          <w:lang w:val="en-US"/>
        </w:rPr>
        <w:t>objektivat</w:t>
      </w:r>
      <w:proofErr w:type="spellEnd"/>
      <w:r w:rsidRPr="0054621A">
        <w:rPr>
          <w:bCs/>
          <w:szCs w:val="24"/>
          <w:lang w:val="en-US"/>
        </w:rPr>
        <w:t xml:space="preserve"> e </w:t>
      </w:r>
      <w:proofErr w:type="spellStart"/>
      <w:r w:rsidRPr="0054621A">
        <w:rPr>
          <w:bCs/>
          <w:szCs w:val="24"/>
          <w:lang w:val="en-US"/>
        </w:rPr>
        <w:t>politikës</w:t>
      </w:r>
      <w:proofErr w:type="spellEnd"/>
      <w:r w:rsidRPr="0054621A">
        <w:rPr>
          <w:bCs/>
          <w:szCs w:val="24"/>
          <w:lang w:val="en-US"/>
        </w:rPr>
        <w:t xml:space="preserve"> </w:t>
      </w:r>
      <w:proofErr w:type="spellStart"/>
      <w:r w:rsidRPr="0054621A">
        <w:rPr>
          <w:bCs/>
          <w:szCs w:val="24"/>
          <w:lang w:val="en-US"/>
        </w:rPr>
        <w:t>të</w:t>
      </w:r>
      <w:proofErr w:type="spellEnd"/>
      <w:r w:rsidRPr="0054621A">
        <w:rPr>
          <w:bCs/>
          <w:szCs w:val="24"/>
          <w:lang w:val="en-US"/>
        </w:rPr>
        <w:t xml:space="preserve"> </w:t>
      </w:r>
      <w:proofErr w:type="spellStart"/>
      <w:r w:rsidRPr="0054621A">
        <w:rPr>
          <w:bCs/>
          <w:szCs w:val="24"/>
          <w:lang w:val="en-US"/>
        </w:rPr>
        <w:t>realizohen</w:t>
      </w:r>
      <w:proofErr w:type="spellEnd"/>
      <w:r w:rsidRPr="0054621A">
        <w:rPr>
          <w:bCs/>
          <w:szCs w:val="24"/>
          <w:lang w:val="en-US"/>
        </w:rPr>
        <w:t xml:space="preserve"> </w:t>
      </w:r>
      <w:proofErr w:type="spellStart"/>
      <w:r w:rsidRPr="0054621A">
        <w:rPr>
          <w:bCs/>
          <w:szCs w:val="24"/>
          <w:lang w:val="en-US"/>
        </w:rPr>
        <w:t>në</w:t>
      </w:r>
      <w:proofErr w:type="spellEnd"/>
      <w:r w:rsidRPr="0054621A">
        <w:rPr>
          <w:bCs/>
          <w:szCs w:val="24"/>
          <w:lang w:val="en-US"/>
        </w:rPr>
        <w:t xml:space="preserve"> </w:t>
      </w:r>
      <w:proofErr w:type="spellStart"/>
      <w:r w:rsidRPr="0054621A">
        <w:rPr>
          <w:bCs/>
          <w:szCs w:val="24"/>
          <w:lang w:val="en-US"/>
        </w:rPr>
        <w:t>kohë</w:t>
      </w:r>
      <w:proofErr w:type="spellEnd"/>
      <w:r w:rsidRPr="0054621A">
        <w:rPr>
          <w:bCs/>
          <w:szCs w:val="24"/>
          <w:lang w:val="en-US"/>
        </w:rPr>
        <w:t xml:space="preserve"> </w:t>
      </w:r>
      <w:proofErr w:type="spellStart"/>
      <w:r w:rsidRPr="0054621A">
        <w:rPr>
          <w:bCs/>
          <w:szCs w:val="24"/>
          <w:lang w:val="en-US"/>
        </w:rPr>
        <w:t>dhe</w:t>
      </w:r>
      <w:proofErr w:type="spellEnd"/>
      <w:r w:rsidRPr="0054621A">
        <w:rPr>
          <w:bCs/>
          <w:szCs w:val="24"/>
          <w:lang w:val="en-US"/>
        </w:rPr>
        <w:t xml:space="preserve"> me </w:t>
      </w:r>
      <w:proofErr w:type="spellStart"/>
      <w:r w:rsidRPr="0054621A">
        <w:rPr>
          <w:bCs/>
          <w:szCs w:val="24"/>
          <w:lang w:val="en-US"/>
        </w:rPr>
        <w:t>efektivitet</w:t>
      </w:r>
      <w:proofErr w:type="spellEnd"/>
      <w:r w:rsidRPr="0054621A">
        <w:rPr>
          <w:bCs/>
          <w:szCs w:val="24"/>
          <w:lang w:val="en-US"/>
        </w:rPr>
        <w:t>.</w:t>
      </w:r>
    </w:p>
    <w:p w14:paraId="6FE3F67E" w14:textId="77777777" w:rsidR="003A2861" w:rsidRPr="0054621A" w:rsidRDefault="003A2861" w:rsidP="009D13F4">
      <w:pPr>
        <w:spacing w:line="276" w:lineRule="auto"/>
        <w:jc w:val="both"/>
        <w:rPr>
          <w:b/>
          <w:szCs w:val="24"/>
          <w:lang w:val="en-US"/>
        </w:rPr>
        <w:sectPr w:rsidR="003A2861" w:rsidRPr="0054621A" w:rsidSect="00F219AD">
          <w:headerReference w:type="even" r:id="rId12"/>
          <w:footerReference w:type="default" r:id="rId13"/>
          <w:footnotePr>
            <w:numRestart w:val="eachSect"/>
          </w:footnotePr>
          <w:type w:val="continuous"/>
          <w:pgSz w:w="11907" w:h="16840" w:code="9"/>
          <w:pgMar w:top="680" w:right="851" w:bottom="680" w:left="851" w:header="284" w:footer="284" w:gutter="0"/>
          <w:cols w:space="708"/>
          <w:docGrid w:linePitch="360"/>
        </w:sectPr>
      </w:pPr>
    </w:p>
    <w:p w14:paraId="17743D48" w14:textId="77777777" w:rsidR="002125B7" w:rsidRPr="00325A1F" w:rsidRDefault="002125B7" w:rsidP="009D13F4">
      <w:pPr>
        <w:spacing w:line="276" w:lineRule="auto"/>
        <w:jc w:val="both"/>
        <w:rPr>
          <w:szCs w:val="24"/>
          <w:lang w:val="sq-AL"/>
        </w:rPr>
      </w:pPr>
      <w:r w:rsidRPr="00325A1F">
        <w:rPr>
          <w:b/>
          <w:szCs w:val="24"/>
          <w:lang w:val="sq-AL"/>
        </w:rPr>
        <w:lastRenderedPageBreak/>
        <w:t>Raporti i vlerësimit të ndikimit - Shtojca 2/a</w:t>
      </w:r>
    </w:p>
    <w:p w14:paraId="615FB039" w14:textId="77777777" w:rsidR="002125B7" w:rsidRPr="00325A1F" w:rsidRDefault="002125B7" w:rsidP="009D13F4">
      <w:pPr>
        <w:spacing w:line="276" w:lineRule="auto"/>
        <w:rPr>
          <w:rStyle w:val="Strong"/>
          <w:b w:val="0"/>
          <w:szCs w:val="24"/>
          <w:lang w:val="sq-AL"/>
        </w:rPr>
      </w:pPr>
    </w:p>
    <w:p w14:paraId="69B47805" w14:textId="39D91EF3" w:rsidR="00E463E6" w:rsidRPr="00C631BF" w:rsidRDefault="002125B7" w:rsidP="584B7111">
      <w:pPr>
        <w:spacing w:line="276" w:lineRule="auto"/>
        <w:rPr>
          <w:rStyle w:val="Strong"/>
          <w:lang w:val="sq-AL"/>
        </w:rPr>
      </w:pPr>
      <w:r w:rsidRPr="00C631BF">
        <w:rPr>
          <w:rStyle w:val="Strong"/>
          <w:i/>
          <w:lang w:val="sq-AL"/>
        </w:rPr>
        <w:t>Tabela: Vlera aktuale neto në total (VAN) - kostot dhe përfitimet me vlerë monetare të përcaktuar në milionë lekë e zbritur për 10 vjet (Vlera aktuale e kostos dhe vlera aktuale e përfitimit); krahasuar me status quo-në</w:t>
      </w:r>
      <w:r w:rsidRPr="00C631BF">
        <w:rPr>
          <w:rStyle w:val="Strong"/>
          <w:lang w:val="sq-AL"/>
        </w:rPr>
        <w:t xml:space="preserve">. </w:t>
      </w:r>
    </w:p>
    <w:p w14:paraId="3C60AECB" w14:textId="77777777" w:rsidR="00E463E6" w:rsidRDefault="00E463E6" w:rsidP="584B7111">
      <w:pPr>
        <w:spacing w:line="276" w:lineRule="auto"/>
        <w:rPr>
          <w:rStyle w:val="Strong"/>
          <w:lang w:val="sq-AL"/>
        </w:rPr>
      </w:pPr>
    </w:p>
    <w:p w14:paraId="4B739A8B" w14:textId="7EAE3A2D" w:rsidR="003C7FC8" w:rsidRDefault="00E463E6" w:rsidP="00E463E6">
      <w:pPr>
        <w:spacing w:line="276" w:lineRule="auto"/>
        <w:rPr>
          <w:rStyle w:val="Strong"/>
          <w:b w:val="0"/>
          <w:bCs w:val="0"/>
          <w:lang w:val="sq-AL"/>
        </w:rPr>
      </w:pPr>
      <w:r w:rsidRPr="00BA100C">
        <w:rPr>
          <w:rStyle w:val="Strong"/>
          <w:b w:val="0"/>
          <w:bCs w:val="0"/>
          <w:lang w:val="sq-AL"/>
        </w:rPr>
        <w:t xml:space="preserve">Në analizën e mëposhtme janë marrë në konsideratë </w:t>
      </w:r>
      <w:r w:rsidR="00320F8D">
        <w:rPr>
          <w:rStyle w:val="Strong"/>
          <w:b w:val="0"/>
          <w:bCs w:val="0"/>
          <w:lang w:val="sq-AL"/>
        </w:rPr>
        <w:t>kryesisht</w:t>
      </w:r>
      <w:r w:rsidR="00320F8D" w:rsidRPr="00BA100C">
        <w:rPr>
          <w:rStyle w:val="Strong"/>
          <w:b w:val="0"/>
          <w:bCs w:val="0"/>
          <w:lang w:val="sq-AL"/>
        </w:rPr>
        <w:t xml:space="preserve"> </w:t>
      </w:r>
      <w:r w:rsidRPr="00BA100C">
        <w:rPr>
          <w:rStyle w:val="Strong"/>
          <w:b w:val="0"/>
          <w:bCs w:val="0"/>
          <w:lang w:val="sq-AL"/>
        </w:rPr>
        <w:t>përfitimet për arsye se kostot janë jo vetëm të papërcaktueshme me besueshmëri, por edhe sepse vlera e tyre është jo e rëndësishme krahasimisht me përfitimet.</w:t>
      </w:r>
      <w:r w:rsidR="00320F8D">
        <w:rPr>
          <w:rStyle w:val="Strong"/>
          <w:b w:val="0"/>
          <w:bCs w:val="0"/>
          <w:lang w:val="sq-AL"/>
        </w:rPr>
        <w:t xml:space="preserve"> Megjithatë vlerësohet se një kosto prej 20,000,000 lekë për secilin nga tre vitet e para do të jetë e nevojshme për buxhetin e shtetit.</w:t>
      </w:r>
    </w:p>
    <w:p w14:paraId="33A0EFFF" w14:textId="77777777" w:rsidR="003C7FC8" w:rsidRPr="005F23C8" w:rsidRDefault="003C7FC8" w:rsidP="003C7FC8">
      <w:pPr>
        <w:spacing w:line="276" w:lineRule="auto"/>
        <w:rPr>
          <w:b/>
          <w:bCs/>
          <w:szCs w:val="24"/>
          <w:lang w:val="sq-AL"/>
        </w:rPr>
      </w:pPr>
      <w:r w:rsidRPr="005F23C8">
        <w:rPr>
          <w:rStyle w:val="Strong"/>
          <w:lang w:val="sq-AL"/>
        </w:rPr>
        <w:t>Shifrat në tabelë janë të shprehura në milionë (000 000) Lekë.</w:t>
      </w:r>
      <w:r w:rsidRPr="003C7FC8">
        <w:rPr>
          <w:b/>
          <w:bCs/>
          <w:szCs w:val="24"/>
          <w:lang w:val="sq-AL"/>
        </w:rPr>
        <w:fldChar w:fldCharType="begin"/>
      </w:r>
      <w:r w:rsidRPr="005F23C8">
        <w:rPr>
          <w:b/>
          <w:bCs/>
          <w:szCs w:val="24"/>
          <w:lang w:val="sq-AL"/>
        </w:rPr>
        <w:instrText xml:space="preserve"> LINK Excel.SheetBinaryMacroEnabled.12 "C:\\Users\\nako\\Downloads\\Shembull i llogaritjes se Costo  perfitimeve  te RIAs - CBA calculation alb.xlsb" "Tabela Perfundimtare !R2C1:R21C11" \a \f 5 \h  \* MERGEFORMAT </w:instrText>
      </w:r>
      <w:r w:rsidRPr="003C7FC8">
        <w:rPr>
          <w:szCs w:val="24"/>
          <w:lang w:val="sq-AL"/>
        </w:rPr>
        <w:fldChar w:fldCharType="end"/>
      </w:r>
    </w:p>
    <w:p w14:paraId="641E6448" w14:textId="7EBA4846" w:rsidR="00E463E6" w:rsidRPr="00BA100C" w:rsidRDefault="00E463E6" w:rsidP="00E463E6">
      <w:pPr>
        <w:spacing w:line="276" w:lineRule="auto"/>
        <w:rPr>
          <w:b/>
          <w:lang w:val="sq-AL"/>
        </w:rPr>
      </w:pPr>
      <w:r w:rsidRPr="00BA100C">
        <w:rPr>
          <w:rStyle w:val="Strong"/>
          <w:b w:val="0"/>
          <w:bCs w:val="0"/>
          <w:szCs w:val="24"/>
          <w:lang w:val="sq-AL"/>
        </w:rPr>
        <w:fldChar w:fldCharType="begin"/>
      </w:r>
      <w:r w:rsidRPr="00BA100C">
        <w:rPr>
          <w:rStyle w:val="Strong"/>
          <w:b w:val="0"/>
          <w:bCs w:val="0"/>
          <w:szCs w:val="24"/>
          <w:lang w:val="sq-AL"/>
        </w:rPr>
        <w:instrText xml:space="preserve"> LINK Excel.SheetBinaryMacroEnabled.12 "C:\\Users\\nako\\Downloads\\Shembull i llogaritjes se Costo  perfitimeve  te RIAs - CBA calculation alb.xlsb" "Tabela Perfundimtare !R2C1:R21C11" \a \f 5 \h  \* MERGEFORMAT </w:instrText>
      </w:r>
      <w:r w:rsidRPr="00BA100C">
        <w:rPr>
          <w:rStyle w:val="Strong"/>
          <w:b w:val="0"/>
          <w:bCs w:val="0"/>
          <w:szCs w:val="24"/>
          <w:lang w:val="sq-AL"/>
        </w:rPr>
        <w:fldChar w:fldCharType="end"/>
      </w:r>
    </w:p>
    <w:p w14:paraId="7CFA0362" w14:textId="77777777" w:rsidR="00E463E6" w:rsidRPr="001155AF" w:rsidRDefault="00E463E6" w:rsidP="00E463E6">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E463E6" w:rsidRPr="00E139C5" w14:paraId="7B47D2FC" w14:textId="77777777" w:rsidTr="30EE1AA0">
        <w:trPr>
          <w:trHeight w:val="255"/>
        </w:trPr>
        <w:tc>
          <w:tcPr>
            <w:tcW w:w="3145" w:type="dxa"/>
            <w:shd w:val="clear" w:color="auto" w:fill="F2F2F2" w:themeFill="background1" w:themeFillShade="F2"/>
            <w:hideMark/>
          </w:tcPr>
          <w:p w14:paraId="1E60AFA7" w14:textId="77777777" w:rsidR="00E463E6" w:rsidRPr="001155AF" w:rsidRDefault="00E463E6" w:rsidP="00257F20">
            <w:pPr>
              <w:spacing w:line="276" w:lineRule="auto"/>
              <w:rPr>
                <w:szCs w:val="24"/>
                <w:lang w:val="sq-AL"/>
              </w:rPr>
            </w:pPr>
            <w:r w:rsidRPr="001155AF">
              <w:rPr>
                <w:szCs w:val="24"/>
                <w:lang w:val="sq-AL"/>
              </w:rPr>
              <w:t> </w:t>
            </w:r>
          </w:p>
        </w:tc>
        <w:tc>
          <w:tcPr>
            <w:tcW w:w="1350" w:type="dxa"/>
            <w:shd w:val="clear" w:color="auto" w:fill="F2F2F2" w:themeFill="background1" w:themeFillShade="F2"/>
            <w:hideMark/>
          </w:tcPr>
          <w:p w14:paraId="7E3F669E" w14:textId="77777777" w:rsidR="00E463E6" w:rsidRPr="00E139C5" w:rsidRDefault="00E463E6" w:rsidP="00257F20">
            <w:pPr>
              <w:spacing w:line="276" w:lineRule="auto"/>
              <w:ind w:left="-108" w:firstLine="108"/>
              <w:rPr>
                <w:b/>
                <w:bCs/>
                <w:szCs w:val="24"/>
              </w:rPr>
            </w:pPr>
            <w:r w:rsidRPr="001155AF">
              <w:rPr>
                <w:b/>
                <w:bCs/>
                <w:szCs w:val="24"/>
                <w:lang w:val="sq-AL"/>
              </w:rPr>
              <w:t xml:space="preserve"> </w:t>
            </w:r>
            <w:proofErr w:type="gramStart"/>
            <w:r w:rsidRPr="00E139C5">
              <w:rPr>
                <w:b/>
                <w:bCs/>
                <w:szCs w:val="24"/>
              </w:rPr>
              <w:t>Viti  1</w:t>
            </w:r>
            <w:proofErr w:type="gramEnd"/>
            <w:r w:rsidRPr="00E139C5">
              <w:rPr>
                <w:b/>
                <w:bCs/>
                <w:szCs w:val="24"/>
              </w:rPr>
              <w:t xml:space="preserve"> </w:t>
            </w:r>
          </w:p>
        </w:tc>
        <w:tc>
          <w:tcPr>
            <w:tcW w:w="1170" w:type="dxa"/>
            <w:shd w:val="clear" w:color="auto" w:fill="F2F2F2" w:themeFill="background1" w:themeFillShade="F2"/>
            <w:hideMark/>
          </w:tcPr>
          <w:p w14:paraId="6150AA24" w14:textId="77777777" w:rsidR="00E463E6" w:rsidRPr="00E139C5" w:rsidRDefault="00E463E6" w:rsidP="00257F20">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14:paraId="6E9C12E6" w14:textId="77777777" w:rsidR="00E463E6" w:rsidRPr="00E139C5" w:rsidRDefault="00E463E6" w:rsidP="00257F20">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14:paraId="748DEA00" w14:textId="77777777" w:rsidR="00E463E6" w:rsidRPr="00E139C5" w:rsidRDefault="00E463E6" w:rsidP="00257F20">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14:paraId="03570A4C" w14:textId="77777777" w:rsidR="00E463E6" w:rsidRPr="00E139C5" w:rsidRDefault="00E463E6" w:rsidP="00257F20">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14:paraId="3D32C8AC" w14:textId="77777777" w:rsidR="00E463E6" w:rsidRPr="00E139C5" w:rsidRDefault="00E463E6" w:rsidP="00257F20">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14:paraId="604937C3" w14:textId="77777777" w:rsidR="00E463E6" w:rsidRPr="00E139C5" w:rsidRDefault="00E463E6" w:rsidP="00257F20">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14:paraId="73ED2667" w14:textId="77777777" w:rsidR="00E463E6" w:rsidRPr="00E139C5" w:rsidRDefault="00E463E6" w:rsidP="00257F20">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14:paraId="6BE73334" w14:textId="77777777" w:rsidR="00E463E6" w:rsidRPr="00E139C5" w:rsidRDefault="00E463E6" w:rsidP="00257F20">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14:paraId="1FA4406A" w14:textId="77777777" w:rsidR="00E463E6" w:rsidRPr="00E139C5" w:rsidRDefault="00E463E6" w:rsidP="00257F20">
            <w:pPr>
              <w:spacing w:line="276" w:lineRule="auto"/>
              <w:rPr>
                <w:b/>
                <w:bCs/>
                <w:szCs w:val="24"/>
              </w:rPr>
            </w:pPr>
            <w:r w:rsidRPr="00E139C5">
              <w:rPr>
                <w:b/>
                <w:bCs/>
                <w:szCs w:val="24"/>
              </w:rPr>
              <w:t xml:space="preserve"> Viti 10 </w:t>
            </w:r>
          </w:p>
        </w:tc>
      </w:tr>
      <w:tr w:rsidR="00E463E6" w:rsidRPr="00E139C5" w14:paraId="2C452D68" w14:textId="77777777" w:rsidTr="30EE1AA0">
        <w:trPr>
          <w:trHeight w:val="255"/>
        </w:trPr>
        <w:tc>
          <w:tcPr>
            <w:tcW w:w="3145" w:type="dxa"/>
            <w:shd w:val="clear" w:color="auto" w:fill="F2F2F2" w:themeFill="background1" w:themeFillShade="F2"/>
            <w:hideMark/>
          </w:tcPr>
          <w:p w14:paraId="0D75FB65" w14:textId="77777777" w:rsidR="00E463E6" w:rsidRPr="00E139C5" w:rsidRDefault="00E463E6" w:rsidP="00257F20">
            <w:pPr>
              <w:spacing w:line="276" w:lineRule="auto"/>
              <w:rPr>
                <w:b/>
                <w:bCs/>
                <w:szCs w:val="24"/>
              </w:rPr>
            </w:pPr>
            <w:proofErr w:type="spellStart"/>
            <w:r w:rsidRPr="00E139C5">
              <w:rPr>
                <w:b/>
                <w:bCs/>
                <w:szCs w:val="24"/>
              </w:rPr>
              <w:t>Faktori</w:t>
            </w:r>
            <w:proofErr w:type="spellEnd"/>
            <w:r w:rsidRPr="00E139C5">
              <w:rPr>
                <w:b/>
                <w:bCs/>
                <w:szCs w:val="24"/>
              </w:rPr>
              <w:t xml:space="preserve"> </w:t>
            </w:r>
            <w:proofErr w:type="spellStart"/>
            <w:r w:rsidRPr="00E139C5">
              <w:rPr>
                <w:b/>
                <w:bCs/>
                <w:szCs w:val="24"/>
              </w:rPr>
              <w:t>zbritës</w:t>
            </w:r>
            <w:proofErr w:type="spellEnd"/>
            <w:r w:rsidRPr="00E139C5">
              <w:rPr>
                <w:b/>
                <w:bCs/>
                <w:szCs w:val="24"/>
              </w:rPr>
              <w:t xml:space="preserve"> </w:t>
            </w:r>
          </w:p>
        </w:tc>
        <w:tc>
          <w:tcPr>
            <w:tcW w:w="1350" w:type="dxa"/>
            <w:shd w:val="clear" w:color="auto" w:fill="F2F2F2" w:themeFill="background1" w:themeFillShade="F2"/>
            <w:hideMark/>
          </w:tcPr>
          <w:p w14:paraId="023A1043" w14:textId="77777777" w:rsidR="00E463E6" w:rsidRPr="00E139C5" w:rsidRDefault="00E463E6" w:rsidP="00257F20">
            <w:pPr>
              <w:spacing w:line="276" w:lineRule="auto"/>
              <w:ind w:left="-108" w:firstLine="108"/>
              <w:jc w:val="right"/>
              <w:rPr>
                <w:szCs w:val="24"/>
              </w:rPr>
            </w:pPr>
            <w:r w:rsidRPr="00E139C5">
              <w:rPr>
                <w:szCs w:val="24"/>
              </w:rPr>
              <w:t xml:space="preserve">                    1.00 </w:t>
            </w:r>
          </w:p>
        </w:tc>
        <w:tc>
          <w:tcPr>
            <w:tcW w:w="1170" w:type="dxa"/>
            <w:shd w:val="clear" w:color="auto" w:fill="F2F2F2" w:themeFill="background1" w:themeFillShade="F2"/>
            <w:hideMark/>
          </w:tcPr>
          <w:p w14:paraId="088E8128" w14:textId="77777777" w:rsidR="00E463E6" w:rsidRPr="00E139C5" w:rsidRDefault="00E463E6" w:rsidP="00257F20">
            <w:pPr>
              <w:spacing w:line="276" w:lineRule="auto"/>
              <w:ind w:left="-108" w:firstLine="108"/>
              <w:jc w:val="right"/>
              <w:rPr>
                <w:szCs w:val="24"/>
              </w:rPr>
            </w:pPr>
            <w:r w:rsidRPr="00E139C5">
              <w:rPr>
                <w:szCs w:val="24"/>
              </w:rPr>
              <w:t xml:space="preserve">                 0.95 </w:t>
            </w:r>
          </w:p>
        </w:tc>
        <w:tc>
          <w:tcPr>
            <w:tcW w:w="1080" w:type="dxa"/>
            <w:shd w:val="clear" w:color="auto" w:fill="F2F2F2" w:themeFill="background1" w:themeFillShade="F2"/>
            <w:hideMark/>
          </w:tcPr>
          <w:p w14:paraId="5DFD9274" w14:textId="77777777" w:rsidR="00E463E6" w:rsidRPr="00E139C5" w:rsidRDefault="00E463E6" w:rsidP="00257F20">
            <w:pPr>
              <w:spacing w:line="276" w:lineRule="auto"/>
              <w:jc w:val="right"/>
              <w:rPr>
                <w:szCs w:val="24"/>
              </w:rPr>
            </w:pPr>
            <w:r w:rsidRPr="00E139C5">
              <w:rPr>
                <w:szCs w:val="24"/>
              </w:rPr>
              <w:t xml:space="preserve">                  0.91 </w:t>
            </w:r>
          </w:p>
        </w:tc>
        <w:tc>
          <w:tcPr>
            <w:tcW w:w="1170" w:type="dxa"/>
            <w:shd w:val="clear" w:color="auto" w:fill="F2F2F2" w:themeFill="background1" w:themeFillShade="F2"/>
            <w:hideMark/>
          </w:tcPr>
          <w:p w14:paraId="63E86271" w14:textId="77777777" w:rsidR="00E463E6" w:rsidRPr="00E139C5" w:rsidRDefault="00E463E6" w:rsidP="00257F20">
            <w:pPr>
              <w:spacing w:line="276" w:lineRule="auto"/>
              <w:jc w:val="right"/>
              <w:rPr>
                <w:szCs w:val="24"/>
              </w:rPr>
            </w:pPr>
            <w:r w:rsidRPr="00E139C5">
              <w:rPr>
                <w:szCs w:val="24"/>
              </w:rPr>
              <w:t xml:space="preserve">                 0.87 </w:t>
            </w:r>
          </w:p>
        </w:tc>
        <w:tc>
          <w:tcPr>
            <w:tcW w:w="1080" w:type="dxa"/>
            <w:shd w:val="clear" w:color="auto" w:fill="F2F2F2" w:themeFill="background1" w:themeFillShade="F2"/>
            <w:hideMark/>
          </w:tcPr>
          <w:p w14:paraId="651572B3" w14:textId="77777777" w:rsidR="00E463E6" w:rsidRPr="00E139C5" w:rsidRDefault="00E463E6" w:rsidP="00257F20">
            <w:pPr>
              <w:spacing w:line="276" w:lineRule="auto"/>
              <w:jc w:val="right"/>
              <w:rPr>
                <w:szCs w:val="24"/>
              </w:rPr>
            </w:pPr>
            <w:r w:rsidRPr="00E139C5">
              <w:rPr>
                <w:szCs w:val="24"/>
              </w:rPr>
              <w:t xml:space="preserve">                 0.82 </w:t>
            </w:r>
          </w:p>
        </w:tc>
        <w:tc>
          <w:tcPr>
            <w:tcW w:w="1260" w:type="dxa"/>
            <w:shd w:val="clear" w:color="auto" w:fill="F2F2F2" w:themeFill="background1" w:themeFillShade="F2"/>
            <w:hideMark/>
          </w:tcPr>
          <w:p w14:paraId="02DE1B37" w14:textId="77777777" w:rsidR="00E463E6" w:rsidRPr="00E139C5" w:rsidRDefault="00E463E6" w:rsidP="00257F20">
            <w:pPr>
              <w:spacing w:line="276" w:lineRule="auto"/>
              <w:jc w:val="right"/>
              <w:rPr>
                <w:szCs w:val="24"/>
              </w:rPr>
            </w:pPr>
            <w:r w:rsidRPr="00E139C5">
              <w:rPr>
                <w:szCs w:val="24"/>
              </w:rPr>
              <w:t xml:space="preserve">                 0.79 </w:t>
            </w:r>
          </w:p>
        </w:tc>
        <w:tc>
          <w:tcPr>
            <w:tcW w:w="1080" w:type="dxa"/>
            <w:shd w:val="clear" w:color="auto" w:fill="F2F2F2" w:themeFill="background1" w:themeFillShade="F2"/>
            <w:hideMark/>
          </w:tcPr>
          <w:p w14:paraId="1DC6CCD2" w14:textId="77777777" w:rsidR="00E463E6" w:rsidRPr="00E139C5" w:rsidRDefault="00E463E6" w:rsidP="00257F20">
            <w:pPr>
              <w:spacing w:line="276" w:lineRule="auto"/>
              <w:jc w:val="right"/>
              <w:rPr>
                <w:szCs w:val="24"/>
              </w:rPr>
            </w:pPr>
            <w:r w:rsidRPr="00E139C5">
              <w:rPr>
                <w:szCs w:val="24"/>
              </w:rPr>
              <w:t xml:space="preserve">                 0.75 </w:t>
            </w:r>
          </w:p>
        </w:tc>
        <w:tc>
          <w:tcPr>
            <w:tcW w:w="1260" w:type="dxa"/>
            <w:shd w:val="clear" w:color="auto" w:fill="F2F2F2" w:themeFill="background1" w:themeFillShade="F2"/>
            <w:hideMark/>
          </w:tcPr>
          <w:p w14:paraId="6EAC64D6" w14:textId="77777777" w:rsidR="00E463E6" w:rsidRPr="00E139C5" w:rsidRDefault="00E463E6" w:rsidP="00257F20">
            <w:pPr>
              <w:spacing w:line="276" w:lineRule="auto"/>
              <w:jc w:val="right"/>
              <w:rPr>
                <w:szCs w:val="24"/>
              </w:rPr>
            </w:pPr>
            <w:r w:rsidRPr="00E139C5">
              <w:rPr>
                <w:szCs w:val="24"/>
              </w:rPr>
              <w:t xml:space="preserve">                   0.71 </w:t>
            </w:r>
          </w:p>
        </w:tc>
        <w:tc>
          <w:tcPr>
            <w:tcW w:w="1260" w:type="dxa"/>
            <w:shd w:val="clear" w:color="auto" w:fill="F2F2F2" w:themeFill="background1" w:themeFillShade="F2"/>
            <w:hideMark/>
          </w:tcPr>
          <w:p w14:paraId="66A560B3" w14:textId="77777777" w:rsidR="00E463E6" w:rsidRPr="00E139C5" w:rsidRDefault="00E463E6" w:rsidP="00257F20">
            <w:pPr>
              <w:spacing w:line="276" w:lineRule="auto"/>
              <w:jc w:val="right"/>
              <w:rPr>
                <w:szCs w:val="24"/>
              </w:rPr>
            </w:pPr>
            <w:r w:rsidRPr="00E139C5">
              <w:rPr>
                <w:szCs w:val="24"/>
              </w:rPr>
              <w:t xml:space="preserve">                  0.68 </w:t>
            </w:r>
          </w:p>
        </w:tc>
        <w:tc>
          <w:tcPr>
            <w:tcW w:w="1260" w:type="dxa"/>
            <w:shd w:val="clear" w:color="auto" w:fill="F2F2F2" w:themeFill="background1" w:themeFillShade="F2"/>
            <w:hideMark/>
          </w:tcPr>
          <w:p w14:paraId="717B8FB6" w14:textId="77777777" w:rsidR="00E463E6" w:rsidRPr="00E139C5" w:rsidRDefault="00E463E6" w:rsidP="00257F20">
            <w:pPr>
              <w:spacing w:line="276" w:lineRule="auto"/>
              <w:jc w:val="right"/>
              <w:rPr>
                <w:szCs w:val="24"/>
              </w:rPr>
            </w:pPr>
            <w:r w:rsidRPr="00E139C5">
              <w:rPr>
                <w:szCs w:val="24"/>
              </w:rPr>
              <w:t xml:space="preserve">                    0.65 </w:t>
            </w:r>
          </w:p>
        </w:tc>
      </w:tr>
      <w:tr w:rsidR="00E463E6" w:rsidRPr="00E139C5" w14:paraId="42D0B434" w14:textId="77777777" w:rsidTr="30EE1AA0">
        <w:trPr>
          <w:trHeight w:val="255"/>
        </w:trPr>
        <w:tc>
          <w:tcPr>
            <w:tcW w:w="3145" w:type="dxa"/>
            <w:hideMark/>
          </w:tcPr>
          <w:p w14:paraId="74EBC505" w14:textId="77777777" w:rsidR="00E463E6" w:rsidRPr="00E139C5" w:rsidRDefault="00E463E6" w:rsidP="00257F20">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tcPr>
          <w:p w14:paraId="13F253A5" w14:textId="77777777" w:rsidR="00E463E6" w:rsidRPr="00E139C5" w:rsidRDefault="00E463E6" w:rsidP="00257F20">
            <w:pPr>
              <w:spacing w:line="276" w:lineRule="auto"/>
              <w:ind w:left="-108" w:firstLine="108"/>
              <w:jc w:val="right"/>
              <w:rPr>
                <w:szCs w:val="24"/>
              </w:rPr>
            </w:pPr>
          </w:p>
        </w:tc>
        <w:tc>
          <w:tcPr>
            <w:tcW w:w="1170" w:type="dxa"/>
          </w:tcPr>
          <w:p w14:paraId="527F9A1C" w14:textId="77777777" w:rsidR="00E463E6" w:rsidRPr="00E139C5" w:rsidRDefault="00E463E6" w:rsidP="00257F20">
            <w:pPr>
              <w:spacing w:line="276" w:lineRule="auto"/>
              <w:ind w:left="-108" w:firstLine="108"/>
              <w:jc w:val="right"/>
              <w:rPr>
                <w:szCs w:val="24"/>
              </w:rPr>
            </w:pPr>
          </w:p>
        </w:tc>
        <w:tc>
          <w:tcPr>
            <w:tcW w:w="1080" w:type="dxa"/>
          </w:tcPr>
          <w:p w14:paraId="044814B8" w14:textId="77777777" w:rsidR="00E463E6" w:rsidRPr="00E139C5" w:rsidRDefault="00E463E6" w:rsidP="00257F20">
            <w:pPr>
              <w:spacing w:line="276" w:lineRule="auto"/>
              <w:jc w:val="right"/>
              <w:rPr>
                <w:szCs w:val="24"/>
              </w:rPr>
            </w:pPr>
          </w:p>
        </w:tc>
        <w:tc>
          <w:tcPr>
            <w:tcW w:w="1170" w:type="dxa"/>
          </w:tcPr>
          <w:p w14:paraId="5C4F8393" w14:textId="77777777" w:rsidR="00E463E6" w:rsidRPr="00E139C5" w:rsidRDefault="00E463E6" w:rsidP="00257F20">
            <w:pPr>
              <w:spacing w:line="276" w:lineRule="auto"/>
              <w:jc w:val="right"/>
              <w:rPr>
                <w:szCs w:val="24"/>
              </w:rPr>
            </w:pPr>
          </w:p>
        </w:tc>
        <w:tc>
          <w:tcPr>
            <w:tcW w:w="1080" w:type="dxa"/>
          </w:tcPr>
          <w:p w14:paraId="71778919" w14:textId="77777777" w:rsidR="00E463E6" w:rsidRPr="00E139C5" w:rsidRDefault="00E463E6" w:rsidP="00257F20">
            <w:pPr>
              <w:spacing w:line="276" w:lineRule="auto"/>
              <w:jc w:val="right"/>
              <w:rPr>
                <w:szCs w:val="24"/>
              </w:rPr>
            </w:pPr>
          </w:p>
        </w:tc>
        <w:tc>
          <w:tcPr>
            <w:tcW w:w="1260" w:type="dxa"/>
          </w:tcPr>
          <w:p w14:paraId="11D3771A" w14:textId="77777777" w:rsidR="00E463E6" w:rsidRPr="00E139C5" w:rsidRDefault="00E463E6" w:rsidP="00257F20">
            <w:pPr>
              <w:spacing w:line="276" w:lineRule="auto"/>
              <w:jc w:val="right"/>
              <w:rPr>
                <w:szCs w:val="24"/>
              </w:rPr>
            </w:pPr>
          </w:p>
        </w:tc>
        <w:tc>
          <w:tcPr>
            <w:tcW w:w="1080" w:type="dxa"/>
          </w:tcPr>
          <w:p w14:paraId="788CCD06" w14:textId="77777777" w:rsidR="00E463E6" w:rsidRPr="00E139C5" w:rsidRDefault="00E463E6" w:rsidP="00257F20">
            <w:pPr>
              <w:spacing w:line="276" w:lineRule="auto"/>
              <w:jc w:val="right"/>
              <w:rPr>
                <w:szCs w:val="24"/>
              </w:rPr>
            </w:pPr>
          </w:p>
        </w:tc>
        <w:tc>
          <w:tcPr>
            <w:tcW w:w="1260" w:type="dxa"/>
          </w:tcPr>
          <w:p w14:paraId="4CA2624E" w14:textId="77777777" w:rsidR="00E463E6" w:rsidRPr="00E139C5" w:rsidRDefault="00E463E6" w:rsidP="00257F20">
            <w:pPr>
              <w:spacing w:line="276" w:lineRule="auto"/>
              <w:jc w:val="right"/>
              <w:rPr>
                <w:szCs w:val="24"/>
              </w:rPr>
            </w:pPr>
          </w:p>
        </w:tc>
        <w:tc>
          <w:tcPr>
            <w:tcW w:w="1260" w:type="dxa"/>
          </w:tcPr>
          <w:p w14:paraId="0CA21F62" w14:textId="77777777" w:rsidR="00E463E6" w:rsidRPr="00E139C5" w:rsidRDefault="00E463E6" w:rsidP="00257F20">
            <w:pPr>
              <w:spacing w:line="276" w:lineRule="auto"/>
              <w:jc w:val="right"/>
              <w:rPr>
                <w:szCs w:val="24"/>
              </w:rPr>
            </w:pPr>
          </w:p>
        </w:tc>
        <w:tc>
          <w:tcPr>
            <w:tcW w:w="1260" w:type="dxa"/>
          </w:tcPr>
          <w:p w14:paraId="429AAC4C" w14:textId="77777777" w:rsidR="00E463E6" w:rsidRPr="00E139C5" w:rsidRDefault="00E463E6" w:rsidP="00257F20">
            <w:pPr>
              <w:spacing w:line="276" w:lineRule="auto"/>
              <w:jc w:val="right"/>
              <w:rPr>
                <w:szCs w:val="24"/>
              </w:rPr>
            </w:pPr>
          </w:p>
        </w:tc>
      </w:tr>
      <w:tr w:rsidR="00E463E6" w:rsidRPr="00E139C5" w14:paraId="5FDE8B06" w14:textId="77777777" w:rsidTr="30EE1AA0">
        <w:trPr>
          <w:trHeight w:val="255"/>
        </w:trPr>
        <w:tc>
          <w:tcPr>
            <w:tcW w:w="3145" w:type="dxa"/>
            <w:hideMark/>
          </w:tcPr>
          <w:p w14:paraId="5B9E0B80" w14:textId="77777777" w:rsidR="00E463E6" w:rsidRPr="00E139C5" w:rsidRDefault="00E463E6" w:rsidP="00257F20">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buxhetin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vAlign w:val="bottom"/>
          </w:tcPr>
          <w:p w14:paraId="592C1AD2" w14:textId="4AF4B4D7" w:rsidR="00E463E6" w:rsidRPr="00E139C5" w:rsidRDefault="00300EAD" w:rsidP="00257F20">
            <w:pPr>
              <w:spacing w:line="276" w:lineRule="auto"/>
              <w:ind w:left="-108" w:firstLine="108"/>
              <w:jc w:val="right"/>
              <w:rPr>
                <w:szCs w:val="24"/>
              </w:rPr>
            </w:pPr>
            <w:r>
              <w:rPr>
                <w:szCs w:val="24"/>
              </w:rPr>
              <w:t>20</w:t>
            </w:r>
          </w:p>
        </w:tc>
        <w:tc>
          <w:tcPr>
            <w:tcW w:w="1170" w:type="dxa"/>
            <w:vAlign w:val="bottom"/>
          </w:tcPr>
          <w:p w14:paraId="0C0DC4A8" w14:textId="5B1D9C81" w:rsidR="00E463E6" w:rsidRPr="00E139C5" w:rsidRDefault="00300EAD" w:rsidP="00257F20">
            <w:pPr>
              <w:spacing w:line="276" w:lineRule="auto"/>
              <w:ind w:left="-108" w:firstLine="108"/>
              <w:jc w:val="right"/>
              <w:rPr>
                <w:szCs w:val="24"/>
              </w:rPr>
            </w:pPr>
            <w:r>
              <w:rPr>
                <w:szCs w:val="24"/>
              </w:rPr>
              <w:t>20</w:t>
            </w:r>
          </w:p>
        </w:tc>
        <w:tc>
          <w:tcPr>
            <w:tcW w:w="1080" w:type="dxa"/>
            <w:vAlign w:val="bottom"/>
          </w:tcPr>
          <w:p w14:paraId="073E16C2" w14:textId="5923F7FD" w:rsidR="00E463E6" w:rsidRPr="00E139C5" w:rsidRDefault="00300EAD" w:rsidP="00257F20">
            <w:pPr>
              <w:spacing w:line="276" w:lineRule="auto"/>
              <w:jc w:val="right"/>
              <w:rPr>
                <w:szCs w:val="24"/>
              </w:rPr>
            </w:pPr>
            <w:r>
              <w:rPr>
                <w:szCs w:val="24"/>
              </w:rPr>
              <w:t>20</w:t>
            </w:r>
          </w:p>
        </w:tc>
        <w:tc>
          <w:tcPr>
            <w:tcW w:w="1170" w:type="dxa"/>
            <w:vAlign w:val="bottom"/>
          </w:tcPr>
          <w:p w14:paraId="73FBCD04" w14:textId="77777777" w:rsidR="00E463E6" w:rsidRPr="00E139C5" w:rsidRDefault="00E463E6" w:rsidP="00257F20">
            <w:pPr>
              <w:spacing w:line="276" w:lineRule="auto"/>
              <w:jc w:val="right"/>
              <w:rPr>
                <w:szCs w:val="24"/>
              </w:rPr>
            </w:pPr>
          </w:p>
        </w:tc>
        <w:tc>
          <w:tcPr>
            <w:tcW w:w="1080" w:type="dxa"/>
            <w:vAlign w:val="bottom"/>
          </w:tcPr>
          <w:p w14:paraId="1DF509AB" w14:textId="77777777" w:rsidR="00E463E6" w:rsidRPr="00E139C5" w:rsidRDefault="00E463E6" w:rsidP="00257F20">
            <w:pPr>
              <w:spacing w:line="276" w:lineRule="auto"/>
              <w:jc w:val="right"/>
              <w:rPr>
                <w:szCs w:val="24"/>
              </w:rPr>
            </w:pPr>
          </w:p>
        </w:tc>
        <w:tc>
          <w:tcPr>
            <w:tcW w:w="1260" w:type="dxa"/>
            <w:vAlign w:val="bottom"/>
          </w:tcPr>
          <w:p w14:paraId="5C80984C" w14:textId="77777777" w:rsidR="00E463E6" w:rsidRPr="00E139C5" w:rsidRDefault="00E463E6" w:rsidP="00257F20">
            <w:pPr>
              <w:spacing w:line="276" w:lineRule="auto"/>
              <w:jc w:val="right"/>
              <w:rPr>
                <w:szCs w:val="24"/>
              </w:rPr>
            </w:pPr>
          </w:p>
        </w:tc>
        <w:tc>
          <w:tcPr>
            <w:tcW w:w="1080" w:type="dxa"/>
            <w:vAlign w:val="bottom"/>
          </w:tcPr>
          <w:p w14:paraId="4C5F77C5" w14:textId="77777777" w:rsidR="00E463E6" w:rsidRPr="00E139C5" w:rsidRDefault="00E463E6" w:rsidP="00257F20">
            <w:pPr>
              <w:spacing w:line="276" w:lineRule="auto"/>
              <w:jc w:val="right"/>
              <w:rPr>
                <w:szCs w:val="24"/>
              </w:rPr>
            </w:pPr>
          </w:p>
        </w:tc>
        <w:tc>
          <w:tcPr>
            <w:tcW w:w="1260" w:type="dxa"/>
            <w:vAlign w:val="bottom"/>
          </w:tcPr>
          <w:p w14:paraId="0582AA72" w14:textId="77777777" w:rsidR="00E463E6" w:rsidRPr="00E139C5" w:rsidRDefault="00E463E6" w:rsidP="00257F20">
            <w:pPr>
              <w:spacing w:line="276" w:lineRule="auto"/>
              <w:jc w:val="right"/>
              <w:rPr>
                <w:szCs w:val="24"/>
              </w:rPr>
            </w:pPr>
          </w:p>
        </w:tc>
        <w:tc>
          <w:tcPr>
            <w:tcW w:w="1260" w:type="dxa"/>
            <w:vAlign w:val="bottom"/>
          </w:tcPr>
          <w:p w14:paraId="00D17DC8" w14:textId="77777777" w:rsidR="00E463E6" w:rsidRPr="00E139C5" w:rsidRDefault="00E463E6" w:rsidP="00257F20">
            <w:pPr>
              <w:spacing w:line="276" w:lineRule="auto"/>
              <w:jc w:val="right"/>
              <w:rPr>
                <w:szCs w:val="24"/>
              </w:rPr>
            </w:pPr>
          </w:p>
        </w:tc>
        <w:tc>
          <w:tcPr>
            <w:tcW w:w="1260" w:type="dxa"/>
            <w:vAlign w:val="bottom"/>
          </w:tcPr>
          <w:p w14:paraId="7FD31521" w14:textId="77777777" w:rsidR="00E463E6" w:rsidRPr="00E139C5" w:rsidRDefault="00E463E6" w:rsidP="00257F20">
            <w:pPr>
              <w:spacing w:line="276" w:lineRule="auto"/>
              <w:jc w:val="right"/>
              <w:rPr>
                <w:szCs w:val="24"/>
              </w:rPr>
            </w:pPr>
          </w:p>
        </w:tc>
      </w:tr>
      <w:tr w:rsidR="00E463E6" w:rsidRPr="00E139C5" w14:paraId="1B11A447" w14:textId="77777777" w:rsidTr="30EE1AA0">
        <w:trPr>
          <w:trHeight w:val="255"/>
        </w:trPr>
        <w:tc>
          <w:tcPr>
            <w:tcW w:w="3145" w:type="dxa"/>
            <w:hideMark/>
          </w:tcPr>
          <w:p w14:paraId="77884A1B" w14:textId="77777777" w:rsidR="00E463E6" w:rsidRPr="00E139C5" w:rsidRDefault="00E463E6" w:rsidP="00257F20">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r w:rsidRPr="00E139C5">
              <w:rPr>
                <w:szCs w:val="24"/>
              </w:rPr>
              <w:t xml:space="preserve"> </w:t>
            </w:r>
          </w:p>
        </w:tc>
        <w:tc>
          <w:tcPr>
            <w:tcW w:w="1350" w:type="dxa"/>
            <w:vAlign w:val="bottom"/>
          </w:tcPr>
          <w:p w14:paraId="428FE159" w14:textId="77777777" w:rsidR="00E463E6" w:rsidRPr="00E139C5" w:rsidRDefault="00E463E6" w:rsidP="00257F20">
            <w:pPr>
              <w:spacing w:line="276" w:lineRule="auto"/>
              <w:ind w:left="-108" w:firstLine="108"/>
              <w:jc w:val="right"/>
              <w:rPr>
                <w:szCs w:val="24"/>
              </w:rPr>
            </w:pPr>
          </w:p>
        </w:tc>
        <w:tc>
          <w:tcPr>
            <w:tcW w:w="1170" w:type="dxa"/>
            <w:vAlign w:val="bottom"/>
          </w:tcPr>
          <w:p w14:paraId="24C4F0C5" w14:textId="77777777" w:rsidR="00E463E6" w:rsidRPr="00E139C5" w:rsidRDefault="00E463E6" w:rsidP="00257F20">
            <w:pPr>
              <w:spacing w:line="276" w:lineRule="auto"/>
              <w:ind w:left="-108" w:firstLine="108"/>
              <w:jc w:val="right"/>
              <w:rPr>
                <w:szCs w:val="24"/>
              </w:rPr>
            </w:pPr>
          </w:p>
        </w:tc>
        <w:tc>
          <w:tcPr>
            <w:tcW w:w="1080" w:type="dxa"/>
            <w:vAlign w:val="bottom"/>
          </w:tcPr>
          <w:p w14:paraId="32557C73" w14:textId="77777777" w:rsidR="00E463E6" w:rsidRPr="00E139C5" w:rsidRDefault="00E463E6" w:rsidP="00257F20">
            <w:pPr>
              <w:spacing w:line="276" w:lineRule="auto"/>
              <w:jc w:val="right"/>
              <w:rPr>
                <w:szCs w:val="24"/>
              </w:rPr>
            </w:pPr>
          </w:p>
        </w:tc>
        <w:tc>
          <w:tcPr>
            <w:tcW w:w="1170" w:type="dxa"/>
            <w:vAlign w:val="bottom"/>
          </w:tcPr>
          <w:p w14:paraId="14941B2D" w14:textId="77777777" w:rsidR="00E463E6" w:rsidRPr="00E139C5" w:rsidRDefault="00E463E6" w:rsidP="00257F20">
            <w:pPr>
              <w:spacing w:line="276" w:lineRule="auto"/>
              <w:jc w:val="right"/>
              <w:rPr>
                <w:szCs w:val="24"/>
              </w:rPr>
            </w:pPr>
          </w:p>
        </w:tc>
        <w:tc>
          <w:tcPr>
            <w:tcW w:w="1080" w:type="dxa"/>
            <w:vAlign w:val="bottom"/>
          </w:tcPr>
          <w:p w14:paraId="10E34732" w14:textId="77777777" w:rsidR="00E463E6" w:rsidRPr="00E139C5" w:rsidRDefault="00E463E6" w:rsidP="00257F20">
            <w:pPr>
              <w:spacing w:line="276" w:lineRule="auto"/>
              <w:jc w:val="right"/>
              <w:rPr>
                <w:szCs w:val="24"/>
              </w:rPr>
            </w:pPr>
          </w:p>
        </w:tc>
        <w:tc>
          <w:tcPr>
            <w:tcW w:w="1260" w:type="dxa"/>
            <w:vAlign w:val="bottom"/>
          </w:tcPr>
          <w:p w14:paraId="7A2F0554" w14:textId="77777777" w:rsidR="00E463E6" w:rsidRPr="00E139C5" w:rsidRDefault="00E463E6" w:rsidP="00257F20">
            <w:pPr>
              <w:spacing w:line="276" w:lineRule="auto"/>
              <w:jc w:val="right"/>
              <w:rPr>
                <w:szCs w:val="24"/>
              </w:rPr>
            </w:pPr>
          </w:p>
        </w:tc>
        <w:tc>
          <w:tcPr>
            <w:tcW w:w="1080" w:type="dxa"/>
            <w:vAlign w:val="bottom"/>
          </w:tcPr>
          <w:p w14:paraId="78EC623F" w14:textId="77777777" w:rsidR="00E463E6" w:rsidRPr="00E139C5" w:rsidRDefault="00E463E6" w:rsidP="00257F20">
            <w:pPr>
              <w:spacing w:line="276" w:lineRule="auto"/>
              <w:jc w:val="right"/>
              <w:rPr>
                <w:szCs w:val="24"/>
              </w:rPr>
            </w:pPr>
          </w:p>
        </w:tc>
        <w:tc>
          <w:tcPr>
            <w:tcW w:w="1260" w:type="dxa"/>
            <w:vAlign w:val="bottom"/>
          </w:tcPr>
          <w:p w14:paraId="1F81F91C" w14:textId="77777777" w:rsidR="00E463E6" w:rsidRPr="00E139C5" w:rsidRDefault="00E463E6" w:rsidP="00257F20">
            <w:pPr>
              <w:spacing w:line="276" w:lineRule="auto"/>
              <w:jc w:val="right"/>
              <w:rPr>
                <w:szCs w:val="24"/>
              </w:rPr>
            </w:pPr>
          </w:p>
        </w:tc>
        <w:tc>
          <w:tcPr>
            <w:tcW w:w="1260" w:type="dxa"/>
            <w:vAlign w:val="bottom"/>
          </w:tcPr>
          <w:p w14:paraId="583E6224" w14:textId="77777777" w:rsidR="00E463E6" w:rsidRPr="00E139C5" w:rsidRDefault="00E463E6" w:rsidP="00257F20">
            <w:pPr>
              <w:spacing w:line="276" w:lineRule="auto"/>
              <w:jc w:val="right"/>
              <w:rPr>
                <w:szCs w:val="24"/>
              </w:rPr>
            </w:pPr>
          </w:p>
        </w:tc>
        <w:tc>
          <w:tcPr>
            <w:tcW w:w="1260" w:type="dxa"/>
            <w:vAlign w:val="bottom"/>
          </w:tcPr>
          <w:p w14:paraId="6C47D70B" w14:textId="77777777" w:rsidR="00E463E6" w:rsidRPr="00E139C5" w:rsidRDefault="00E463E6" w:rsidP="00257F20">
            <w:pPr>
              <w:spacing w:line="276" w:lineRule="auto"/>
              <w:jc w:val="right"/>
              <w:rPr>
                <w:szCs w:val="24"/>
              </w:rPr>
            </w:pPr>
          </w:p>
        </w:tc>
      </w:tr>
      <w:tr w:rsidR="00E463E6" w:rsidRPr="00E139C5" w14:paraId="3EF6CB41" w14:textId="77777777" w:rsidTr="30EE1AA0">
        <w:trPr>
          <w:trHeight w:val="255"/>
        </w:trPr>
        <w:tc>
          <w:tcPr>
            <w:tcW w:w="3145" w:type="dxa"/>
            <w:hideMark/>
          </w:tcPr>
          <w:p w14:paraId="0ED80532" w14:textId="77777777" w:rsidR="00E463E6" w:rsidRPr="00E139C5" w:rsidRDefault="00E463E6" w:rsidP="00257F20">
            <w:pPr>
              <w:spacing w:line="276" w:lineRule="auto"/>
              <w:rPr>
                <w:szCs w:val="24"/>
              </w:rPr>
            </w:pPr>
            <w:r w:rsidRPr="00E139C5">
              <w:rPr>
                <w:szCs w:val="24"/>
              </w:rPr>
              <w:t xml:space="preserve">Kosto </w:t>
            </w:r>
            <w:proofErr w:type="spellStart"/>
            <w:r w:rsidRPr="00E139C5">
              <w:rPr>
                <w:szCs w:val="24"/>
              </w:rPr>
              <w:t>për</w:t>
            </w:r>
            <w:proofErr w:type="spellEnd"/>
            <w:r w:rsidRPr="00E139C5">
              <w:rPr>
                <w:szCs w:val="24"/>
              </w:rPr>
              <w:t xml:space="preserve"> </w:t>
            </w:r>
            <w:proofErr w:type="spellStart"/>
            <w:r w:rsidRPr="00E139C5">
              <w:rPr>
                <w:szCs w:val="24"/>
              </w:rPr>
              <w:t>bizneset</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vAlign w:val="bottom"/>
          </w:tcPr>
          <w:p w14:paraId="104C1AFF" w14:textId="77777777" w:rsidR="00E463E6" w:rsidRPr="00E139C5" w:rsidRDefault="00E463E6" w:rsidP="00257F20">
            <w:pPr>
              <w:spacing w:line="276" w:lineRule="auto"/>
              <w:ind w:left="-108" w:firstLine="108"/>
              <w:jc w:val="right"/>
              <w:rPr>
                <w:szCs w:val="24"/>
              </w:rPr>
            </w:pPr>
          </w:p>
        </w:tc>
        <w:tc>
          <w:tcPr>
            <w:tcW w:w="1170" w:type="dxa"/>
            <w:vAlign w:val="bottom"/>
          </w:tcPr>
          <w:p w14:paraId="52B45538" w14:textId="77777777" w:rsidR="00E463E6" w:rsidRPr="00E139C5" w:rsidRDefault="00E463E6" w:rsidP="00257F20">
            <w:pPr>
              <w:spacing w:line="276" w:lineRule="auto"/>
              <w:ind w:left="-108" w:firstLine="108"/>
              <w:jc w:val="right"/>
              <w:rPr>
                <w:szCs w:val="24"/>
              </w:rPr>
            </w:pPr>
          </w:p>
        </w:tc>
        <w:tc>
          <w:tcPr>
            <w:tcW w:w="1080" w:type="dxa"/>
            <w:vAlign w:val="bottom"/>
          </w:tcPr>
          <w:p w14:paraId="6B36221A" w14:textId="77777777" w:rsidR="00E463E6" w:rsidRPr="00E139C5" w:rsidRDefault="00E463E6" w:rsidP="00257F20">
            <w:pPr>
              <w:spacing w:line="276" w:lineRule="auto"/>
              <w:jc w:val="right"/>
              <w:rPr>
                <w:szCs w:val="24"/>
              </w:rPr>
            </w:pPr>
          </w:p>
        </w:tc>
        <w:tc>
          <w:tcPr>
            <w:tcW w:w="1170" w:type="dxa"/>
            <w:vAlign w:val="bottom"/>
          </w:tcPr>
          <w:p w14:paraId="16C73AB5" w14:textId="77777777" w:rsidR="00E463E6" w:rsidRPr="00E139C5" w:rsidRDefault="00E463E6" w:rsidP="00257F20">
            <w:pPr>
              <w:spacing w:line="276" w:lineRule="auto"/>
              <w:jc w:val="right"/>
              <w:rPr>
                <w:szCs w:val="24"/>
              </w:rPr>
            </w:pPr>
          </w:p>
        </w:tc>
        <w:tc>
          <w:tcPr>
            <w:tcW w:w="1080" w:type="dxa"/>
            <w:vAlign w:val="bottom"/>
          </w:tcPr>
          <w:p w14:paraId="7423DD96" w14:textId="77777777" w:rsidR="00E463E6" w:rsidRPr="00E139C5" w:rsidRDefault="00E463E6" w:rsidP="00257F20">
            <w:pPr>
              <w:spacing w:line="276" w:lineRule="auto"/>
              <w:jc w:val="right"/>
              <w:rPr>
                <w:szCs w:val="24"/>
              </w:rPr>
            </w:pPr>
          </w:p>
        </w:tc>
        <w:tc>
          <w:tcPr>
            <w:tcW w:w="1260" w:type="dxa"/>
            <w:vAlign w:val="bottom"/>
          </w:tcPr>
          <w:p w14:paraId="1EF8A74D" w14:textId="77777777" w:rsidR="00E463E6" w:rsidRPr="00E139C5" w:rsidRDefault="00E463E6" w:rsidP="00257F20">
            <w:pPr>
              <w:spacing w:line="276" w:lineRule="auto"/>
              <w:jc w:val="right"/>
              <w:rPr>
                <w:szCs w:val="24"/>
              </w:rPr>
            </w:pPr>
          </w:p>
        </w:tc>
        <w:tc>
          <w:tcPr>
            <w:tcW w:w="1080" w:type="dxa"/>
            <w:vAlign w:val="bottom"/>
          </w:tcPr>
          <w:p w14:paraId="4436E65A" w14:textId="77777777" w:rsidR="00E463E6" w:rsidRPr="00E139C5" w:rsidRDefault="00E463E6" w:rsidP="00257F20">
            <w:pPr>
              <w:spacing w:line="276" w:lineRule="auto"/>
              <w:jc w:val="right"/>
              <w:rPr>
                <w:szCs w:val="24"/>
              </w:rPr>
            </w:pPr>
          </w:p>
        </w:tc>
        <w:tc>
          <w:tcPr>
            <w:tcW w:w="1260" w:type="dxa"/>
            <w:vAlign w:val="bottom"/>
          </w:tcPr>
          <w:p w14:paraId="092FD913" w14:textId="77777777" w:rsidR="00E463E6" w:rsidRPr="00E139C5" w:rsidRDefault="00E463E6" w:rsidP="00257F20">
            <w:pPr>
              <w:spacing w:line="276" w:lineRule="auto"/>
              <w:jc w:val="right"/>
              <w:rPr>
                <w:szCs w:val="24"/>
              </w:rPr>
            </w:pPr>
          </w:p>
        </w:tc>
        <w:tc>
          <w:tcPr>
            <w:tcW w:w="1260" w:type="dxa"/>
            <w:vAlign w:val="bottom"/>
          </w:tcPr>
          <w:p w14:paraId="0BA7613B" w14:textId="77777777" w:rsidR="00E463E6" w:rsidRPr="00E139C5" w:rsidRDefault="00E463E6" w:rsidP="00257F20">
            <w:pPr>
              <w:spacing w:line="276" w:lineRule="auto"/>
              <w:jc w:val="right"/>
              <w:rPr>
                <w:szCs w:val="24"/>
              </w:rPr>
            </w:pPr>
          </w:p>
        </w:tc>
        <w:tc>
          <w:tcPr>
            <w:tcW w:w="1260" w:type="dxa"/>
            <w:vAlign w:val="bottom"/>
          </w:tcPr>
          <w:p w14:paraId="2F49D82C" w14:textId="77777777" w:rsidR="00E463E6" w:rsidRPr="00E139C5" w:rsidRDefault="00E463E6" w:rsidP="00257F20">
            <w:pPr>
              <w:spacing w:line="276" w:lineRule="auto"/>
              <w:jc w:val="right"/>
              <w:rPr>
                <w:szCs w:val="24"/>
              </w:rPr>
            </w:pPr>
          </w:p>
        </w:tc>
      </w:tr>
      <w:tr w:rsidR="00E463E6" w:rsidRPr="00331272" w14:paraId="46C404C4" w14:textId="77777777" w:rsidTr="30EE1AA0">
        <w:trPr>
          <w:trHeight w:val="255"/>
        </w:trPr>
        <w:tc>
          <w:tcPr>
            <w:tcW w:w="3145" w:type="dxa"/>
            <w:hideMark/>
          </w:tcPr>
          <w:p w14:paraId="1CE04A17" w14:textId="77777777" w:rsidR="00E463E6" w:rsidRPr="006D0DA9" w:rsidRDefault="00E463E6" w:rsidP="00257F20">
            <w:pPr>
              <w:spacing w:line="276" w:lineRule="auto"/>
              <w:rPr>
                <w:szCs w:val="24"/>
                <w:lang w:val="it-IT"/>
              </w:rPr>
            </w:pPr>
            <w:r w:rsidRPr="006D0DA9">
              <w:rPr>
                <w:szCs w:val="24"/>
                <w:lang w:val="it-IT"/>
              </w:rPr>
              <w:t>Kosto për grupet e tjera - një herë</w:t>
            </w:r>
          </w:p>
        </w:tc>
        <w:tc>
          <w:tcPr>
            <w:tcW w:w="1350" w:type="dxa"/>
            <w:vAlign w:val="bottom"/>
          </w:tcPr>
          <w:p w14:paraId="63872726" w14:textId="77777777" w:rsidR="00E463E6" w:rsidRPr="006D0DA9" w:rsidRDefault="00E463E6" w:rsidP="00257F20">
            <w:pPr>
              <w:spacing w:line="276" w:lineRule="auto"/>
              <w:ind w:left="-108" w:firstLine="108"/>
              <w:jc w:val="right"/>
              <w:rPr>
                <w:szCs w:val="24"/>
                <w:lang w:val="it-IT"/>
              </w:rPr>
            </w:pPr>
          </w:p>
        </w:tc>
        <w:tc>
          <w:tcPr>
            <w:tcW w:w="1170" w:type="dxa"/>
            <w:vAlign w:val="bottom"/>
          </w:tcPr>
          <w:p w14:paraId="52F5D1FE" w14:textId="77777777" w:rsidR="00E463E6" w:rsidRPr="006D0DA9" w:rsidRDefault="00E463E6" w:rsidP="00257F20">
            <w:pPr>
              <w:spacing w:line="276" w:lineRule="auto"/>
              <w:ind w:left="-108" w:firstLine="108"/>
              <w:jc w:val="right"/>
              <w:rPr>
                <w:szCs w:val="24"/>
                <w:lang w:val="it-IT"/>
              </w:rPr>
            </w:pPr>
          </w:p>
        </w:tc>
        <w:tc>
          <w:tcPr>
            <w:tcW w:w="1080" w:type="dxa"/>
            <w:vAlign w:val="bottom"/>
          </w:tcPr>
          <w:p w14:paraId="3B85DA69" w14:textId="77777777" w:rsidR="00E463E6" w:rsidRPr="006D0DA9" w:rsidRDefault="00E463E6" w:rsidP="00257F20">
            <w:pPr>
              <w:spacing w:line="276" w:lineRule="auto"/>
              <w:jc w:val="right"/>
              <w:rPr>
                <w:szCs w:val="24"/>
                <w:lang w:val="it-IT"/>
              </w:rPr>
            </w:pPr>
          </w:p>
        </w:tc>
        <w:tc>
          <w:tcPr>
            <w:tcW w:w="1170" w:type="dxa"/>
            <w:vAlign w:val="bottom"/>
          </w:tcPr>
          <w:p w14:paraId="1918BF85" w14:textId="77777777" w:rsidR="00E463E6" w:rsidRPr="006D0DA9" w:rsidRDefault="00E463E6" w:rsidP="00257F20">
            <w:pPr>
              <w:spacing w:line="276" w:lineRule="auto"/>
              <w:jc w:val="right"/>
              <w:rPr>
                <w:szCs w:val="24"/>
                <w:lang w:val="it-IT"/>
              </w:rPr>
            </w:pPr>
          </w:p>
        </w:tc>
        <w:tc>
          <w:tcPr>
            <w:tcW w:w="1080" w:type="dxa"/>
            <w:vAlign w:val="bottom"/>
          </w:tcPr>
          <w:p w14:paraId="65780ED5" w14:textId="77777777" w:rsidR="00E463E6" w:rsidRPr="006D0DA9" w:rsidRDefault="00E463E6" w:rsidP="00257F20">
            <w:pPr>
              <w:jc w:val="right"/>
              <w:rPr>
                <w:szCs w:val="24"/>
                <w:lang w:val="it-IT"/>
              </w:rPr>
            </w:pPr>
          </w:p>
        </w:tc>
        <w:tc>
          <w:tcPr>
            <w:tcW w:w="1260" w:type="dxa"/>
            <w:vAlign w:val="bottom"/>
          </w:tcPr>
          <w:p w14:paraId="49DDE017" w14:textId="77777777" w:rsidR="00E463E6" w:rsidRPr="006D0DA9" w:rsidRDefault="00E463E6" w:rsidP="00257F20">
            <w:pPr>
              <w:spacing w:line="276" w:lineRule="auto"/>
              <w:jc w:val="right"/>
              <w:rPr>
                <w:szCs w:val="24"/>
                <w:lang w:val="it-IT"/>
              </w:rPr>
            </w:pPr>
          </w:p>
        </w:tc>
        <w:tc>
          <w:tcPr>
            <w:tcW w:w="1080" w:type="dxa"/>
            <w:vAlign w:val="bottom"/>
          </w:tcPr>
          <w:p w14:paraId="5FEA9C9C" w14:textId="77777777" w:rsidR="00E463E6" w:rsidRPr="006D0DA9" w:rsidRDefault="00E463E6" w:rsidP="00257F20">
            <w:pPr>
              <w:spacing w:line="276" w:lineRule="auto"/>
              <w:jc w:val="right"/>
              <w:rPr>
                <w:szCs w:val="24"/>
                <w:lang w:val="it-IT"/>
              </w:rPr>
            </w:pPr>
          </w:p>
        </w:tc>
        <w:tc>
          <w:tcPr>
            <w:tcW w:w="1260" w:type="dxa"/>
            <w:vAlign w:val="bottom"/>
          </w:tcPr>
          <w:p w14:paraId="4686E6BC" w14:textId="77777777" w:rsidR="00E463E6" w:rsidRPr="006D0DA9" w:rsidRDefault="00E463E6" w:rsidP="00257F20">
            <w:pPr>
              <w:spacing w:line="276" w:lineRule="auto"/>
              <w:jc w:val="right"/>
              <w:rPr>
                <w:szCs w:val="24"/>
                <w:lang w:val="it-IT"/>
              </w:rPr>
            </w:pPr>
          </w:p>
        </w:tc>
        <w:tc>
          <w:tcPr>
            <w:tcW w:w="1260" w:type="dxa"/>
            <w:vAlign w:val="bottom"/>
          </w:tcPr>
          <w:p w14:paraId="404EA0E0" w14:textId="77777777" w:rsidR="00E463E6" w:rsidRPr="006D0DA9" w:rsidRDefault="00E463E6" w:rsidP="00257F20">
            <w:pPr>
              <w:spacing w:line="276" w:lineRule="auto"/>
              <w:jc w:val="right"/>
              <w:rPr>
                <w:szCs w:val="24"/>
                <w:lang w:val="it-IT"/>
              </w:rPr>
            </w:pPr>
          </w:p>
        </w:tc>
        <w:tc>
          <w:tcPr>
            <w:tcW w:w="1260" w:type="dxa"/>
            <w:vAlign w:val="bottom"/>
          </w:tcPr>
          <w:p w14:paraId="237E7E67" w14:textId="77777777" w:rsidR="00E463E6" w:rsidRPr="006D0DA9" w:rsidRDefault="00E463E6" w:rsidP="00257F20">
            <w:pPr>
              <w:spacing w:line="276" w:lineRule="auto"/>
              <w:jc w:val="right"/>
              <w:rPr>
                <w:szCs w:val="24"/>
                <w:lang w:val="it-IT"/>
              </w:rPr>
            </w:pPr>
          </w:p>
        </w:tc>
      </w:tr>
      <w:tr w:rsidR="00E463E6" w:rsidRPr="00331272" w14:paraId="2C233765" w14:textId="77777777" w:rsidTr="30EE1AA0">
        <w:trPr>
          <w:trHeight w:val="270"/>
        </w:trPr>
        <w:tc>
          <w:tcPr>
            <w:tcW w:w="3145" w:type="dxa"/>
            <w:hideMark/>
          </w:tcPr>
          <w:p w14:paraId="68F7BAC0" w14:textId="77777777" w:rsidR="00E463E6" w:rsidRPr="006D0DA9" w:rsidRDefault="00E463E6" w:rsidP="00257F20">
            <w:pPr>
              <w:spacing w:line="276" w:lineRule="auto"/>
              <w:rPr>
                <w:szCs w:val="24"/>
                <w:lang w:val="it-IT"/>
              </w:rPr>
            </w:pPr>
            <w:r w:rsidRPr="006D0DA9">
              <w:rPr>
                <w:szCs w:val="24"/>
                <w:lang w:val="it-IT"/>
              </w:rPr>
              <w:t>Kosto për grupet e tjera - në vazhdimësi</w:t>
            </w:r>
          </w:p>
        </w:tc>
        <w:tc>
          <w:tcPr>
            <w:tcW w:w="1350" w:type="dxa"/>
            <w:vAlign w:val="bottom"/>
          </w:tcPr>
          <w:p w14:paraId="02C45901" w14:textId="77777777" w:rsidR="00E463E6" w:rsidRPr="006D0DA9" w:rsidRDefault="00E463E6" w:rsidP="00257F20">
            <w:pPr>
              <w:spacing w:line="276" w:lineRule="auto"/>
              <w:ind w:left="-108" w:firstLine="108"/>
              <w:jc w:val="right"/>
              <w:rPr>
                <w:szCs w:val="24"/>
                <w:lang w:val="it-IT"/>
              </w:rPr>
            </w:pPr>
          </w:p>
        </w:tc>
        <w:tc>
          <w:tcPr>
            <w:tcW w:w="1170" w:type="dxa"/>
            <w:vAlign w:val="bottom"/>
          </w:tcPr>
          <w:p w14:paraId="41973B81" w14:textId="77777777" w:rsidR="00E463E6" w:rsidRPr="006D0DA9" w:rsidRDefault="00E463E6" w:rsidP="00257F20">
            <w:pPr>
              <w:spacing w:line="276" w:lineRule="auto"/>
              <w:ind w:left="-108" w:firstLine="108"/>
              <w:jc w:val="right"/>
              <w:rPr>
                <w:szCs w:val="24"/>
                <w:lang w:val="it-IT"/>
              </w:rPr>
            </w:pPr>
          </w:p>
        </w:tc>
        <w:tc>
          <w:tcPr>
            <w:tcW w:w="1080" w:type="dxa"/>
            <w:vAlign w:val="bottom"/>
          </w:tcPr>
          <w:p w14:paraId="61D289EC" w14:textId="77777777" w:rsidR="00E463E6" w:rsidRPr="006D0DA9" w:rsidRDefault="00E463E6" w:rsidP="00257F20">
            <w:pPr>
              <w:spacing w:line="276" w:lineRule="auto"/>
              <w:jc w:val="right"/>
              <w:rPr>
                <w:szCs w:val="24"/>
                <w:lang w:val="it-IT"/>
              </w:rPr>
            </w:pPr>
          </w:p>
        </w:tc>
        <w:tc>
          <w:tcPr>
            <w:tcW w:w="1170" w:type="dxa"/>
            <w:vAlign w:val="bottom"/>
          </w:tcPr>
          <w:p w14:paraId="65020D35" w14:textId="77777777" w:rsidR="00E463E6" w:rsidRPr="006D0DA9" w:rsidRDefault="00E463E6" w:rsidP="00257F20">
            <w:pPr>
              <w:spacing w:line="276" w:lineRule="auto"/>
              <w:jc w:val="right"/>
              <w:rPr>
                <w:szCs w:val="24"/>
                <w:lang w:val="it-IT"/>
              </w:rPr>
            </w:pPr>
          </w:p>
        </w:tc>
        <w:tc>
          <w:tcPr>
            <w:tcW w:w="1080" w:type="dxa"/>
            <w:vAlign w:val="bottom"/>
          </w:tcPr>
          <w:p w14:paraId="1AC1885E" w14:textId="77777777" w:rsidR="00E463E6" w:rsidRPr="006D0DA9" w:rsidRDefault="00E463E6" w:rsidP="00257F20">
            <w:pPr>
              <w:spacing w:line="276" w:lineRule="auto"/>
              <w:jc w:val="right"/>
              <w:rPr>
                <w:szCs w:val="24"/>
                <w:lang w:val="it-IT"/>
              </w:rPr>
            </w:pPr>
          </w:p>
        </w:tc>
        <w:tc>
          <w:tcPr>
            <w:tcW w:w="1260" w:type="dxa"/>
            <w:vAlign w:val="bottom"/>
          </w:tcPr>
          <w:p w14:paraId="0D993706" w14:textId="77777777" w:rsidR="00E463E6" w:rsidRPr="006D0DA9" w:rsidRDefault="00E463E6" w:rsidP="00257F20">
            <w:pPr>
              <w:spacing w:line="276" w:lineRule="auto"/>
              <w:jc w:val="right"/>
              <w:rPr>
                <w:szCs w:val="24"/>
                <w:lang w:val="it-IT"/>
              </w:rPr>
            </w:pPr>
          </w:p>
        </w:tc>
        <w:tc>
          <w:tcPr>
            <w:tcW w:w="1080" w:type="dxa"/>
            <w:vAlign w:val="bottom"/>
          </w:tcPr>
          <w:p w14:paraId="49E08F7C" w14:textId="77777777" w:rsidR="00E463E6" w:rsidRPr="006D0DA9" w:rsidRDefault="00E463E6" w:rsidP="00257F20">
            <w:pPr>
              <w:spacing w:line="276" w:lineRule="auto"/>
              <w:jc w:val="right"/>
              <w:rPr>
                <w:szCs w:val="24"/>
                <w:lang w:val="it-IT"/>
              </w:rPr>
            </w:pPr>
          </w:p>
        </w:tc>
        <w:tc>
          <w:tcPr>
            <w:tcW w:w="1260" w:type="dxa"/>
            <w:vAlign w:val="bottom"/>
          </w:tcPr>
          <w:p w14:paraId="46ED6BA0" w14:textId="77777777" w:rsidR="00E463E6" w:rsidRPr="006D0DA9" w:rsidRDefault="00E463E6" w:rsidP="00257F20">
            <w:pPr>
              <w:spacing w:line="276" w:lineRule="auto"/>
              <w:jc w:val="right"/>
              <w:rPr>
                <w:szCs w:val="24"/>
                <w:lang w:val="it-IT"/>
              </w:rPr>
            </w:pPr>
          </w:p>
        </w:tc>
        <w:tc>
          <w:tcPr>
            <w:tcW w:w="1260" w:type="dxa"/>
            <w:vAlign w:val="bottom"/>
          </w:tcPr>
          <w:p w14:paraId="1D46C254" w14:textId="77777777" w:rsidR="00E463E6" w:rsidRPr="006D0DA9" w:rsidRDefault="00E463E6" w:rsidP="00257F20">
            <w:pPr>
              <w:spacing w:line="276" w:lineRule="auto"/>
              <w:jc w:val="right"/>
              <w:rPr>
                <w:szCs w:val="24"/>
                <w:lang w:val="it-IT"/>
              </w:rPr>
            </w:pPr>
          </w:p>
        </w:tc>
        <w:tc>
          <w:tcPr>
            <w:tcW w:w="1260" w:type="dxa"/>
            <w:vAlign w:val="bottom"/>
          </w:tcPr>
          <w:p w14:paraId="3E99C4E4" w14:textId="77777777" w:rsidR="00E463E6" w:rsidRPr="006D0DA9" w:rsidRDefault="00E463E6" w:rsidP="00257F20">
            <w:pPr>
              <w:spacing w:line="276" w:lineRule="auto"/>
              <w:jc w:val="right"/>
              <w:rPr>
                <w:szCs w:val="24"/>
                <w:lang w:val="it-IT"/>
              </w:rPr>
            </w:pPr>
          </w:p>
        </w:tc>
      </w:tr>
      <w:tr w:rsidR="00E463E6" w:rsidRPr="00E139C5" w14:paraId="3A1BC726" w14:textId="77777777" w:rsidTr="30EE1AA0">
        <w:trPr>
          <w:trHeight w:val="285"/>
        </w:trPr>
        <w:tc>
          <w:tcPr>
            <w:tcW w:w="3145" w:type="dxa"/>
            <w:hideMark/>
          </w:tcPr>
          <w:p w14:paraId="5E10EBFD" w14:textId="77777777" w:rsidR="00E463E6" w:rsidRPr="00E139C5" w:rsidRDefault="00E463E6" w:rsidP="00257F20">
            <w:pPr>
              <w:spacing w:line="276" w:lineRule="auto"/>
              <w:rPr>
                <w:b/>
                <w:bCs/>
                <w:szCs w:val="24"/>
              </w:rPr>
            </w:pPr>
            <w:r w:rsidRPr="00E139C5">
              <w:rPr>
                <w:b/>
                <w:bCs/>
                <w:szCs w:val="24"/>
              </w:rPr>
              <w:t xml:space="preserve">Kosto </w:t>
            </w:r>
            <w:proofErr w:type="spellStart"/>
            <w:r w:rsidRPr="00E139C5">
              <w:rPr>
                <w:b/>
                <w:bCs/>
                <w:szCs w:val="24"/>
              </w:rPr>
              <w:t>në</w:t>
            </w:r>
            <w:proofErr w:type="spellEnd"/>
            <w:r w:rsidRPr="00E139C5">
              <w:rPr>
                <w:b/>
                <w:bCs/>
                <w:szCs w:val="24"/>
              </w:rPr>
              <w:t xml:space="preserve"> total </w:t>
            </w:r>
          </w:p>
        </w:tc>
        <w:tc>
          <w:tcPr>
            <w:tcW w:w="1350" w:type="dxa"/>
            <w:vAlign w:val="bottom"/>
          </w:tcPr>
          <w:p w14:paraId="4A3A41FE" w14:textId="3CB44882" w:rsidR="00E463E6" w:rsidRPr="00E139C5" w:rsidRDefault="00300EAD" w:rsidP="00257F20">
            <w:pPr>
              <w:spacing w:line="276" w:lineRule="auto"/>
              <w:ind w:left="-108" w:firstLine="108"/>
              <w:jc w:val="right"/>
              <w:rPr>
                <w:szCs w:val="24"/>
              </w:rPr>
            </w:pPr>
            <w:r>
              <w:rPr>
                <w:szCs w:val="24"/>
              </w:rPr>
              <w:t>20</w:t>
            </w:r>
          </w:p>
        </w:tc>
        <w:tc>
          <w:tcPr>
            <w:tcW w:w="1170" w:type="dxa"/>
          </w:tcPr>
          <w:p w14:paraId="38029B7E" w14:textId="62A939E0" w:rsidR="00E463E6" w:rsidRPr="00E139C5" w:rsidRDefault="00300EAD" w:rsidP="00257F20">
            <w:pPr>
              <w:spacing w:line="276" w:lineRule="auto"/>
              <w:ind w:left="-108" w:firstLine="108"/>
              <w:jc w:val="right"/>
              <w:rPr>
                <w:szCs w:val="24"/>
              </w:rPr>
            </w:pPr>
            <w:r>
              <w:rPr>
                <w:szCs w:val="24"/>
              </w:rPr>
              <w:t>20</w:t>
            </w:r>
          </w:p>
        </w:tc>
        <w:tc>
          <w:tcPr>
            <w:tcW w:w="1080" w:type="dxa"/>
          </w:tcPr>
          <w:p w14:paraId="57141207" w14:textId="1753285A" w:rsidR="00E463E6" w:rsidRPr="00E139C5" w:rsidRDefault="00300EAD" w:rsidP="00257F20">
            <w:pPr>
              <w:spacing w:line="276" w:lineRule="auto"/>
              <w:jc w:val="right"/>
              <w:rPr>
                <w:szCs w:val="24"/>
              </w:rPr>
            </w:pPr>
            <w:r>
              <w:rPr>
                <w:szCs w:val="24"/>
              </w:rPr>
              <w:t>20</w:t>
            </w:r>
          </w:p>
        </w:tc>
        <w:tc>
          <w:tcPr>
            <w:tcW w:w="1170" w:type="dxa"/>
          </w:tcPr>
          <w:p w14:paraId="38048DE8" w14:textId="77777777" w:rsidR="00E463E6" w:rsidRPr="00E139C5" w:rsidRDefault="00E463E6" w:rsidP="00257F20">
            <w:pPr>
              <w:spacing w:line="276" w:lineRule="auto"/>
              <w:jc w:val="right"/>
              <w:rPr>
                <w:szCs w:val="24"/>
              </w:rPr>
            </w:pPr>
          </w:p>
        </w:tc>
        <w:tc>
          <w:tcPr>
            <w:tcW w:w="1080" w:type="dxa"/>
          </w:tcPr>
          <w:p w14:paraId="21C4BE52" w14:textId="77777777" w:rsidR="00E463E6" w:rsidRPr="00E139C5" w:rsidRDefault="00E463E6" w:rsidP="00257F20">
            <w:pPr>
              <w:spacing w:line="276" w:lineRule="auto"/>
              <w:jc w:val="right"/>
              <w:rPr>
                <w:szCs w:val="24"/>
              </w:rPr>
            </w:pPr>
          </w:p>
        </w:tc>
        <w:tc>
          <w:tcPr>
            <w:tcW w:w="1260" w:type="dxa"/>
          </w:tcPr>
          <w:p w14:paraId="13C61CBE" w14:textId="77777777" w:rsidR="00E463E6" w:rsidRPr="00E139C5" w:rsidRDefault="00E463E6" w:rsidP="00257F20">
            <w:pPr>
              <w:spacing w:line="276" w:lineRule="auto"/>
              <w:jc w:val="right"/>
              <w:rPr>
                <w:szCs w:val="24"/>
              </w:rPr>
            </w:pPr>
          </w:p>
        </w:tc>
        <w:tc>
          <w:tcPr>
            <w:tcW w:w="1080" w:type="dxa"/>
          </w:tcPr>
          <w:p w14:paraId="32496D68" w14:textId="77777777" w:rsidR="00E463E6" w:rsidRPr="00E139C5" w:rsidRDefault="00E463E6" w:rsidP="00257F20">
            <w:pPr>
              <w:spacing w:line="276" w:lineRule="auto"/>
              <w:jc w:val="right"/>
              <w:rPr>
                <w:szCs w:val="24"/>
              </w:rPr>
            </w:pPr>
          </w:p>
        </w:tc>
        <w:tc>
          <w:tcPr>
            <w:tcW w:w="1260" w:type="dxa"/>
          </w:tcPr>
          <w:p w14:paraId="45F6F417" w14:textId="77777777" w:rsidR="00E463E6" w:rsidRPr="00E139C5" w:rsidRDefault="00E463E6" w:rsidP="00257F20">
            <w:pPr>
              <w:spacing w:line="276" w:lineRule="auto"/>
              <w:jc w:val="right"/>
              <w:rPr>
                <w:szCs w:val="24"/>
              </w:rPr>
            </w:pPr>
          </w:p>
        </w:tc>
        <w:tc>
          <w:tcPr>
            <w:tcW w:w="1260" w:type="dxa"/>
          </w:tcPr>
          <w:p w14:paraId="2DFEF0DF" w14:textId="77777777" w:rsidR="00E463E6" w:rsidRPr="00E139C5" w:rsidRDefault="00E463E6" w:rsidP="00257F20">
            <w:pPr>
              <w:spacing w:line="276" w:lineRule="auto"/>
              <w:jc w:val="right"/>
              <w:rPr>
                <w:szCs w:val="24"/>
              </w:rPr>
            </w:pPr>
          </w:p>
        </w:tc>
        <w:tc>
          <w:tcPr>
            <w:tcW w:w="1260" w:type="dxa"/>
          </w:tcPr>
          <w:p w14:paraId="286B5EAC" w14:textId="77777777" w:rsidR="00E463E6" w:rsidRPr="00E139C5" w:rsidRDefault="00E463E6" w:rsidP="00257F20">
            <w:pPr>
              <w:spacing w:line="276" w:lineRule="auto"/>
              <w:jc w:val="right"/>
              <w:rPr>
                <w:szCs w:val="24"/>
              </w:rPr>
            </w:pPr>
          </w:p>
        </w:tc>
      </w:tr>
      <w:tr w:rsidR="00E463E6" w:rsidRPr="00F47FD1" w14:paraId="26C8C131" w14:textId="77777777" w:rsidTr="30EE1AA0">
        <w:trPr>
          <w:trHeight w:val="375"/>
        </w:trPr>
        <w:tc>
          <w:tcPr>
            <w:tcW w:w="3145" w:type="dxa"/>
            <w:hideMark/>
          </w:tcPr>
          <w:p w14:paraId="56B3CE67" w14:textId="77777777" w:rsidR="00E463E6" w:rsidRPr="00525217" w:rsidRDefault="00E463E6" w:rsidP="00257F20">
            <w:pPr>
              <w:spacing w:line="276" w:lineRule="auto"/>
              <w:rPr>
                <w:bCs/>
                <w:szCs w:val="24"/>
                <w:lang w:val="de-DE"/>
              </w:rPr>
            </w:pPr>
            <w:r w:rsidRPr="00525217">
              <w:rPr>
                <w:b/>
                <w:bCs/>
                <w:szCs w:val="24"/>
                <w:lang w:val="de-DE"/>
              </w:rPr>
              <w:t>Kosto e zbritur</w:t>
            </w:r>
            <w:r w:rsidRPr="00525217">
              <w:rPr>
                <w:szCs w:val="24"/>
                <w:lang w:val="de-DE"/>
              </w:rPr>
              <w:t>= Kosto në total x Faktori zbritës</w:t>
            </w:r>
          </w:p>
        </w:tc>
        <w:tc>
          <w:tcPr>
            <w:tcW w:w="1350" w:type="dxa"/>
            <w:vAlign w:val="bottom"/>
          </w:tcPr>
          <w:p w14:paraId="4B0217D7" w14:textId="66B02C4A" w:rsidR="00E463E6" w:rsidRPr="00525217" w:rsidRDefault="00300EAD" w:rsidP="00257F20">
            <w:pPr>
              <w:spacing w:line="276" w:lineRule="auto"/>
              <w:ind w:left="-108" w:firstLine="108"/>
              <w:jc w:val="right"/>
              <w:rPr>
                <w:szCs w:val="24"/>
                <w:lang w:val="de-DE"/>
              </w:rPr>
            </w:pPr>
            <w:r>
              <w:rPr>
                <w:szCs w:val="24"/>
                <w:lang w:val="de-DE"/>
              </w:rPr>
              <w:t>20</w:t>
            </w:r>
          </w:p>
        </w:tc>
        <w:tc>
          <w:tcPr>
            <w:tcW w:w="1170" w:type="dxa"/>
            <w:vAlign w:val="bottom"/>
          </w:tcPr>
          <w:p w14:paraId="2A596574" w14:textId="4F282ABA" w:rsidR="00E463E6" w:rsidRPr="00525217" w:rsidRDefault="00300EAD" w:rsidP="00257F20">
            <w:pPr>
              <w:spacing w:line="276" w:lineRule="auto"/>
              <w:ind w:left="-108" w:firstLine="108"/>
              <w:jc w:val="right"/>
              <w:rPr>
                <w:szCs w:val="24"/>
                <w:lang w:val="de-DE"/>
              </w:rPr>
            </w:pPr>
            <w:r>
              <w:rPr>
                <w:szCs w:val="24"/>
                <w:lang w:val="de-DE"/>
              </w:rPr>
              <w:t>19</w:t>
            </w:r>
          </w:p>
        </w:tc>
        <w:tc>
          <w:tcPr>
            <w:tcW w:w="1080" w:type="dxa"/>
            <w:vAlign w:val="bottom"/>
          </w:tcPr>
          <w:p w14:paraId="4295DE85" w14:textId="11459017" w:rsidR="00E463E6" w:rsidRPr="00525217" w:rsidRDefault="00300EAD" w:rsidP="00257F20">
            <w:pPr>
              <w:spacing w:line="276" w:lineRule="auto"/>
              <w:jc w:val="right"/>
              <w:rPr>
                <w:szCs w:val="24"/>
                <w:lang w:val="de-DE"/>
              </w:rPr>
            </w:pPr>
            <w:r>
              <w:rPr>
                <w:szCs w:val="24"/>
                <w:lang w:val="de-DE"/>
              </w:rPr>
              <w:t>18</w:t>
            </w:r>
          </w:p>
        </w:tc>
        <w:tc>
          <w:tcPr>
            <w:tcW w:w="1170" w:type="dxa"/>
            <w:vAlign w:val="bottom"/>
          </w:tcPr>
          <w:p w14:paraId="0A8663D2" w14:textId="77777777" w:rsidR="00E463E6" w:rsidRPr="00525217" w:rsidRDefault="00E463E6" w:rsidP="00257F20">
            <w:pPr>
              <w:spacing w:line="276" w:lineRule="auto"/>
              <w:jc w:val="right"/>
              <w:rPr>
                <w:szCs w:val="24"/>
                <w:lang w:val="de-DE"/>
              </w:rPr>
            </w:pPr>
          </w:p>
        </w:tc>
        <w:tc>
          <w:tcPr>
            <w:tcW w:w="1080" w:type="dxa"/>
            <w:vAlign w:val="bottom"/>
          </w:tcPr>
          <w:p w14:paraId="60B0180C" w14:textId="77777777" w:rsidR="00E463E6" w:rsidRPr="00525217" w:rsidRDefault="00E463E6" w:rsidP="00257F20">
            <w:pPr>
              <w:spacing w:line="276" w:lineRule="auto"/>
              <w:jc w:val="right"/>
              <w:rPr>
                <w:szCs w:val="24"/>
                <w:lang w:val="de-DE"/>
              </w:rPr>
            </w:pPr>
          </w:p>
        </w:tc>
        <w:tc>
          <w:tcPr>
            <w:tcW w:w="1260" w:type="dxa"/>
            <w:vAlign w:val="bottom"/>
          </w:tcPr>
          <w:p w14:paraId="5E977D5E" w14:textId="77777777" w:rsidR="00E463E6" w:rsidRPr="00525217" w:rsidRDefault="00E463E6" w:rsidP="00257F20">
            <w:pPr>
              <w:spacing w:line="276" w:lineRule="auto"/>
              <w:jc w:val="right"/>
              <w:rPr>
                <w:szCs w:val="24"/>
                <w:lang w:val="de-DE"/>
              </w:rPr>
            </w:pPr>
          </w:p>
        </w:tc>
        <w:tc>
          <w:tcPr>
            <w:tcW w:w="1080" w:type="dxa"/>
            <w:vAlign w:val="bottom"/>
          </w:tcPr>
          <w:p w14:paraId="74B16666" w14:textId="77777777" w:rsidR="00E463E6" w:rsidRPr="00525217" w:rsidRDefault="00E463E6" w:rsidP="00257F20">
            <w:pPr>
              <w:spacing w:line="276" w:lineRule="auto"/>
              <w:jc w:val="right"/>
              <w:rPr>
                <w:szCs w:val="24"/>
                <w:lang w:val="de-DE"/>
              </w:rPr>
            </w:pPr>
          </w:p>
        </w:tc>
        <w:tc>
          <w:tcPr>
            <w:tcW w:w="1260" w:type="dxa"/>
            <w:vAlign w:val="bottom"/>
          </w:tcPr>
          <w:p w14:paraId="54B23C6F" w14:textId="77777777" w:rsidR="00E463E6" w:rsidRPr="00525217" w:rsidRDefault="00E463E6" w:rsidP="00257F20">
            <w:pPr>
              <w:spacing w:line="276" w:lineRule="auto"/>
              <w:jc w:val="right"/>
              <w:rPr>
                <w:szCs w:val="24"/>
                <w:lang w:val="de-DE"/>
              </w:rPr>
            </w:pPr>
          </w:p>
        </w:tc>
        <w:tc>
          <w:tcPr>
            <w:tcW w:w="1260" w:type="dxa"/>
            <w:vAlign w:val="bottom"/>
          </w:tcPr>
          <w:p w14:paraId="54C53F05" w14:textId="77777777" w:rsidR="00E463E6" w:rsidRPr="00525217" w:rsidRDefault="00E463E6" w:rsidP="00257F20">
            <w:pPr>
              <w:spacing w:line="276" w:lineRule="auto"/>
              <w:jc w:val="right"/>
              <w:rPr>
                <w:szCs w:val="24"/>
                <w:lang w:val="de-DE"/>
              </w:rPr>
            </w:pPr>
          </w:p>
        </w:tc>
        <w:tc>
          <w:tcPr>
            <w:tcW w:w="1260" w:type="dxa"/>
            <w:vAlign w:val="bottom"/>
          </w:tcPr>
          <w:p w14:paraId="2E0F94B5" w14:textId="77777777" w:rsidR="00E463E6" w:rsidRPr="00525217" w:rsidRDefault="00E463E6" w:rsidP="00257F20">
            <w:pPr>
              <w:spacing w:line="276" w:lineRule="auto"/>
              <w:jc w:val="right"/>
              <w:rPr>
                <w:szCs w:val="24"/>
                <w:lang w:val="de-DE"/>
              </w:rPr>
            </w:pPr>
          </w:p>
        </w:tc>
      </w:tr>
      <w:tr w:rsidR="00E463E6" w:rsidRPr="00777DFA" w14:paraId="29A54C43" w14:textId="77777777" w:rsidTr="30EE1AA0">
        <w:trPr>
          <w:trHeight w:val="255"/>
        </w:trPr>
        <w:tc>
          <w:tcPr>
            <w:tcW w:w="3145" w:type="dxa"/>
            <w:hideMark/>
          </w:tcPr>
          <w:p w14:paraId="7EA83BAE" w14:textId="77777777" w:rsidR="00E463E6" w:rsidRPr="00525217" w:rsidRDefault="00E463E6" w:rsidP="00257F20">
            <w:pPr>
              <w:spacing w:line="276" w:lineRule="auto"/>
              <w:rPr>
                <w:szCs w:val="24"/>
                <w:lang w:val="de-DE"/>
              </w:rPr>
            </w:pPr>
            <w:r w:rsidRPr="00525217">
              <w:rPr>
                <w:szCs w:val="24"/>
                <w:lang w:val="de-DE"/>
              </w:rPr>
              <w:t>Përfitimet për buxhetin – një herë</w:t>
            </w:r>
          </w:p>
        </w:tc>
        <w:tc>
          <w:tcPr>
            <w:tcW w:w="1350" w:type="dxa"/>
            <w:vAlign w:val="bottom"/>
          </w:tcPr>
          <w:p w14:paraId="17067BF9" w14:textId="77777777" w:rsidR="00E463E6" w:rsidRPr="00525217" w:rsidRDefault="00E463E6" w:rsidP="00257F20">
            <w:pPr>
              <w:spacing w:line="276" w:lineRule="auto"/>
              <w:ind w:left="-108" w:firstLine="108"/>
              <w:jc w:val="right"/>
              <w:rPr>
                <w:szCs w:val="24"/>
                <w:lang w:val="de-DE"/>
              </w:rPr>
            </w:pPr>
          </w:p>
        </w:tc>
        <w:tc>
          <w:tcPr>
            <w:tcW w:w="1170" w:type="dxa"/>
            <w:vAlign w:val="bottom"/>
          </w:tcPr>
          <w:p w14:paraId="6ECEB960" w14:textId="77777777" w:rsidR="00E463E6" w:rsidRPr="00525217" w:rsidRDefault="00E463E6" w:rsidP="00257F20">
            <w:pPr>
              <w:spacing w:line="276" w:lineRule="auto"/>
              <w:ind w:left="-108" w:firstLine="108"/>
              <w:jc w:val="right"/>
              <w:rPr>
                <w:szCs w:val="24"/>
                <w:lang w:val="de-DE"/>
              </w:rPr>
            </w:pPr>
          </w:p>
        </w:tc>
        <w:tc>
          <w:tcPr>
            <w:tcW w:w="1080" w:type="dxa"/>
            <w:vAlign w:val="bottom"/>
          </w:tcPr>
          <w:p w14:paraId="0BAA8161" w14:textId="77777777" w:rsidR="00E463E6" w:rsidRPr="00525217" w:rsidRDefault="00E463E6" w:rsidP="00257F20">
            <w:pPr>
              <w:spacing w:line="276" w:lineRule="auto"/>
              <w:jc w:val="right"/>
              <w:rPr>
                <w:szCs w:val="24"/>
                <w:lang w:val="de-DE"/>
              </w:rPr>
            </w:pPr>
          </w:p>
        </w:tc>
        <w:tc>
          <w:tcPr>
            <w:tcW w:w="1170" w:type="dxa"/>
            <w:vAlign w:val="bottom"/>
          </w:tcPr>
          <w:p w14:paraId="27321020" w14:textId="77777777" w:rsidR="00E463E6" w:rsidRPr="00525217" w:rsidRDefault="00E463E6" w:rsidP="00257F20">
            <w:pPr>
              <w:spacing w:line="276" w:lineRule="auto"/>
              <w:jc w:val="right"/>
              <w:rPr>
                <w:szCs w:val="24"/>
                <w:lang w:val="de-DE"/>
              </w:rPr>
            </w:pPr>
          </w:p>
        </w:tc>
        <w:tc>
          <w:tcPr>
            <w:tcW w:w="1080" w:type="dxa"/>
            <w:vAlign w:val="bottom"/>
          </w:tcPr>
          <w:p w14:paraId="46A163B5" w14:textId="77777777" w:rsidR="00E463E6" w:rsidRPr="00525217" w:rsidRDefault="00E463E6" w:rsidP="00257F20">
            <w:pPr>
              <w:spacing w:line="276" w:lineRule="auto"/>
              <w:jc w:val="right"/>
              <w:rPr>
                <w:szCs w:val="24"/>
                <w:lang w:val="de-DE"/>
              </w:rPr>
            </w:pPr>
          </w:p>
        </w:tc>
        <w:tc>
          <w:tcPr>
            <w:tcW w:w="1260" w:type="dxa"/>
            <w:vAlign w:val="bottom"/>
          </w:tcPr>
          <w:p w14:paraId="387AE68E" w14:textId="77777777" w:rsidR="00E463E6" w:rsidRPr="00525217" w:rsidRDefault="00E463E6" w:rsidP="00257F20">
            <w:pPr>
              <w:spacing w:line="276" w:lineRule="auto"/>
              <w:jc w:val="right"/>
              <w:rPr>
                <w:szCs w:val="24"/>
                <w:lang w:val="de-DE"/>
              </w:rPr>
            </w:pPr>
          </w:p>
        </w:tc>
        <w:tc>
          <w:tcPr>
            <w:tcW w:w="1080" w:type="dxa"/>
            <w:vAlign w:val="bottom"/>
          </w:tcPr>
          <w:p w14:paraId="5DEB9A38" w14:textId="77777777" w:rsidR="00E463E6" w:rsidRPr="00525217" w:rsidRDefault="00E463E6" w:rsidP="00257F20">
            <w:pPr>
              <w:spacing w:line="276" w:lineRule="auto"/>
              <w:jc w:val="right"/>
              <w:rPr>
                <w:szCs w:val="24"/>
                <w:lang w:val="de-DE"/>
              </w:rPr>
            </w:pPr>
          </w:p>
        </w:tc>
        <w:tc>
          <w:tcPr>
            <w:tcW w:w="1260" w:type="dxa"/>
            <w:vAlign w:val="bottom"/>
          </w:tcPr>
          <w:p w14:paraId="32883EDF" w14:textId="77777777" w:rsidR="00E463E6" w:rsidRPr="00525217" w:rsidRDefault="00E463E6" w:rsidP="00257F20">
            <w:pPr>
              <w:spacing w:line="276" w:lineRule="auto"/>
              <w:jc w:val="right"/>
              <w:rPr>
                <w:szCs w:val="24"/>
                <w:lang w:val="de-DE"/>
              </w:rPr>
            </w:pPr>
          </w:p>
        </w:tc>
        <w:tc>
          <w:tcPr>
            <w:tcW w:w="1260" w:type="dxa"/>
            <w:vAlign w:val="bottom"/>
          </w:tcPr>
          <w:p w14:paraId="2FE0B366" w14:textId="77777777" w:rsidR="00E463E6" w:rsidRPr="00525217" w:rsidRDefault="00E463E6" w:rsidP="00257F20">
            <w:pPr>
              <w:spacing w:line="276" w:lineRule="auto"/>
              <w:jc w:val="right"/>
              <w:rPr>
                <w:szCs w:val="24"/>
                <w:lang w:val="de-DE"/>
              </w:rPr>
            </w:pPr>
          </w:p>
        </w:tc>
        <w:tc>
          <w:tcPr>
            <w:tcW w:w="1260" w:type="dxa"/>
            <w:vAlign w:val="bottom"/>
          </w:tcPr>
          <w:p w14:paraId="5A4F2758" w14:textId="77777777" w:rsidR="00E463E6" w:rsidRPr="00525217" w:rsidRDefault="00E463E6" w:rsidP="00257F20">
            <w:pPr>
              <w:spacing w:line="276" w:lineRule="auto"/>
              <w:jc w:val="right"/>
              <w:rPr>
                <w:szCs w:val="24"/>
                <w:lang w:val="de-DE"/>
              </w:rPr>
            </w:pPr>
          </w:p>
        </w:tc>
      </w:tr>
      <w:tr w:rsidR="00E463E6" w:rsidRPr="00E139C5" w14:paraId="7F40719E" w14:textId="77777777" w:rsidTr="30EE1AA0">
        <w:trPr>
          <w:trHeight w:val="255"/>
        </w:trPr>
        <w:tc>
          <w:tcPr>
            <w:tcW w:w="3145" w:type="dxa"/>
            <w:hideMark/>
          </w:tcPr>
          <w:p w14:paraId="456B7264" w14:textId="77777777" w:rsidR="00E463E6" w:rsidRPr="00525217" w:rsidRDefault="00E463E6" w:rsidP="00257F20">
            <w:pPr>
              <w:spacing w:line="276" w:lineRule="auto"/>
              <w:rPr>
                <w:szCs w:val="24"/>
                <w:lang w:val="de-DE"/>
              </w:rPr>
            </w:pPr>
            <w:r w:rsidRPr="00525217">
              <w:rPr>
                <w:szCs w:val="24"/>
                <w:lang w:val="de-DE"/>
              </w:rPr>
              <w:t>Përfitimet për buxhetin – në vazhdimësi</w:t>
            </w:r>
          </w:p>
        </w:tc>
        <w:tc>
          <w:tcPr>
            <w:tcW w:w="1350" w:type="dxa"/>
            <w:vAlign w:val="bottom"/>
          </w:tcPr>
          <w:p w14:paraId="46104E2E" w14:textId="77777777" w:rsidR="00E463E6" w:rsidRPr="00E139C5" w:rsidRDefault="00E463E6" w:rsidP="30EE1AA0">
            <w:pPr>
              <w:spacing w:line="276" w:lineRule="auto"/>
              <w:ind w:left="-108" w:firstLine="108"/>
              <w:jc w:val="right"/>
              <w:rPr>
                <w:color w:val="000000" w:themeColor="text1"/>
              </w:rPr>
            </w:pPr>
            <w:r w:rsidRPr="30EE1AA0">
              <w:rPr>
                <w:color w:val="000000" w:themeColor="text1"/>
              </w:rPr>
              <w:t>472</w:t>
            </w:r>
          </w:p>
        </w:tc>
        <w:tc>
          <w:tcPr>
            <w:tcW w:w="1170" w:type="dxa"/>
            <w:vAlign w:val="bottom"/>
          </w:tcPr>
          <w:p w14:paraId="7A940B1B" w14:textId="77777777" w:rsidR="00E463E6" w:rsidRPr="00E139C5" w:rsidRDefault="00E463E6" w:rsidP="00257F20">
            <w:pPr>
              <w:spacing w:line="276" w:lineRule="auto"/>
              <w:ind w:left="-108" w:firstLine="108"/>
              <w:jc w:val="right"/>
              <w:rPr>
                <w:szCs w:val="24"/>
              </w:rPr>
            </w:pPr>
            <w:r>
              <w:rPr>
                <w:color w:val="000000"/>
              </w:rPr>
              <w:t>472</w:t>
            </w:r>
          </w:p>
        </w:tc>
        <w:tc>
          <w:tcPr>
            <w:tcW w:w="1080" w:type="dxa"/>
            <w:vAlign w:val="bottom"/>
          </w:tcPr>
          <w:p w14:paraId="1C7B0731" w14:textId="77777777" w:rsidR="00E463E6" w:rsidRPr="00E139C5" w:rsidRDefault="00E463E6" w:rsidP="00257F20">
            <w:pPr>
              <w:spacing w:line="276" w:lineRule="auto"/>
              <w:jc w:val="right"/>
              <w:rPr>
                <w:szCs w:val="24"/>
              </w:rPr>
            </w:pPr>
            <w:r>
              <w:rPr>
                <w:color w:val="000000"/>
              </w:rPr>
              <w:t>472</w:t>
            </w:r>
          </w:p>
        </w:tc>
        <w:tc>
          <w:tcPr>
            <w:tcW w:w="1170" w:type="dxa"/>
            <w:vAlign w:val="bottom"/>
          </w:tcPr>
          <w:p w14:paraId="36CFAA5C" w14:textId="77777777" w:rsidR="00E463E6" w:rsidRPr="00E139C5" w:rsidRDefault="00E463E6" w:rsidP="00257F20">
            <w:pPr>
              <w:spacing w:line="276" w:lineRule="auto"/>
              <w:jc w:val="right"/>
              <w:rPr>
                <w:szCs w:val="24"/>
              </w:rPr>
            </w:pPr>
            <w:r>
              <w:rPr>
                <w:color w:val="000000"/>
              </w:rPr>
              <w:t>472</w:t>
            </w:r>
          </w:p>
        </w:tc>
        <w:tc>
          <w:tcPr>
            <w:tcW w:w="1080" w:type="dxa"/>
            <w:vAlign w:val="bottom"/>
          </w:tcPr>
          <w:p w14:paraId="57C750CE" w14:textId="77777777" w:rsidR="00E463E6" w:rsidRPr="00E139C5" w:rsidRDefault="00E463E6" w:rsidP="00257F20">
            <w:pPr>
              <w:spacing w:line="276" w:lineRule="auto"/>
              <w:jc w:val="right"/>
              <w:rPr>
                <w:szCs w:val="24"/>
              </w:rPr>
            </w:pPr>
            <w:r>
              <w:rPr>
                <w:color w:val="000000"/>
              </w:rPr>
              <w:t>472</w:t>
            </w:r>
          </w:p>
        </w:tc>
        <w:tc>
          <w:tcPr>
            <w:tcW w:w="1260" w:type="dxa"/>
            <w:vAlign w:val="bottom"/>
          </w:tcPr>
          <w:p w14:paraId="1473D052" w14:textId="77777777" w:rsidR="00E463E6" w:rsidRPr="00E139C5" w:rsidRDefault="00E463E6" w:rsidP="00257F20">
            <w:pPr>
              <w:spacing w:line="276" w:lineRule="auto"/>
              <w:jc w:val="right"/>
              <w:rPr>
                <w:szCs w:val="24"/>
              </w:rPr>
            </w:pPr>
            <w:r>
              <w:rPr>
                <w:color w:val="000000"/>
              </w:rPr>
              <w:t>472</w:t>
            </w:r>
          </w:p>
        </w:tc>
        <w:tc>
          <w:tcPr>
            <w:tcW w:w="1080" w:type="dxa"/>
            <w:vAlign w:val="bottom"/>
          </w:tcPr>
          <w:p w14:paraId="3A0B9954" w14:textId="77777777" w:rsidR="00E463E6" w:rsidRPr="00E139C5" w:rsidRDefault="00E463E6" w:rsidP="00257F20">
            <w:pPr>
              <w:spacing w:line="276" w:lineRule="auto"/>
              <w:jc w:val="right"/>
              <w:rPr>
                <w:szCs w:val="24"/>
              </w:rPr>
            </w:pPr>
            <w:r>
              <w:rPr>
                <w:color w:val="000000"/>
              </w:rPr>
              <w:t>472</w:t>
            </w:r>
          </w:p>
        </w:tc>
        <w:tc>
          <w:tcPr>
            <w:tcW w:w="1260" w:type="dxa"/>
            <w:vAlign w:val="bottom"/>
          </w:tcPr>
          <w:p w14:paraId="6A06068D" w14:textId="77777777" w:rsidR="00E463E6" w:rsidRPr="00E139C5" w:rsidRDefault="00E463E6" w:rsidP="00257F20">
            <w:pPr>
              <w:spacing w:line="276" w:lineRule="auto"/>
              <w:jc w:val="right"/>
              <w:rPr>
                <w:szCs w:val="24"/>
              </w:rPr>
            </w:pPr>
            <w:r>
              <w:rPr>
                <w:color w:val="000000"/>
              </w:rPr>
              <w:t>472</w:t>
            </w:r>
          </w:p>
        </w:tc>
        <w:tc>
          <w:tcPr>
            <w:tcW w:w="1260" w:type="dxa"/>
            <w:vAlign w:val="bottom"/>
          </w:tcPr>
          <w:p w14:paraId="043643AA" w14:textId="77777777" w:rsidR="00E463E6" w:rsidRPr="00E139C5" w:rsidRDefault="00E463E6" w:rsidP="00257F20">
            <w:pPr>
              <w:spacing w:line="276" w:lineRule="auto"/>
              <w:jc w:val="right"/>
              <w:rPr>
                <w:szCs w:val="24"/>
              </w:rPr>
            </w:pPr>
            <w:r>
              <w:rPr>
                <w:color w:val="000000"/>
              </w:rPr>
              <w:t>472</w:t>
            </w:r>
          </w:p>
        </w:tc>
        <w:tc>
          <w:tcPr>
            <w:tcW w:w="1260" w:type="dxa"/>
            <w:vAlign w:val="bottom"/>
          </w:tcPr>
          <w:p w14:paraId="30CE8E93" w14:textId="77777777" w:rsidR="00E463E6" w:rsidRPr="00E139C5" w:rsidRDefault="00E463E6" w:rsidP="30EE1AA0">
            <w:pPr>
              <w:spacing w:line="276" w:lineRule="auto"/>
              <w:jc w:val="right"/>
              <w:rPr>
                <w:color w:val="000000" w:themeColor="text1"/>
              </w:rPr>
            </w:pPr>
            <w:r w:rsidRPr="30EE1AA0">
              <w:rPr>
                <w:color w:val="000000" w:themeColor="text1"/>
              </w:rPr>
              <w:t>472</w:t>
            </w:r>
          </w:p>
        </w:tc>
      </w:tr>
      <w:tr w:rsidR="00E463E6" w:rsidRPr="00E139C5" w14:paraId="7FBFA169" w14:textId="77777777" w:rsidTr="30EE1AA0">
        <w:trPr>
          <w:trHeight w:val="255"/>
        </w:trPr>
        <w:tc>
          <w:tcPr>
            <w:tcW w:w="3145" w:type="dxa"/>
            <w:hideMark/>
          </w:tcPr>
          <w:p w14:paraId="6653C0E5" w14:textId="77777777" w:rsidR="00E463E6" w:rsidRPr="00E139C5" w:rsidRDefault="00E463E6" w:rsidP="00257F20">
            <w:pPr>
              <w:spacing w:line="276" w:lineRule="auto"/>
              <w:rPr>
                <w:szCs w:val="24"/>
              </w:rPr>
            </w:pPr>
            <w:proofErr w:type="spellStart"/>
            <w:r w:rsidRPr="00E139C5">
              <w:rPr>
                <w:szCs w:val="24"/>
              </w:rPr>
              <w:lastRenderedPageBreak/>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grupet</w:t>
            </w:r>
            <w:proofErr w:type="spellEnd"/>
            <w:r w:rsidRPr="00E139C5">
              <w:rPr>
                <w:szCs w:val="24"/>
              </w:rPr>
              <w:t xml:space="preserve"> e </w:t>
            </w:r>
            <w:proofErr w:type="spellStart"/>
            <w:r w:rsidRPr="00E139C5">
              <w:rPr>
                <w:szCs w:val="24"/>
              </w:rPr>
              <w:t>tjera</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vAlign w:val="bottom"/>
          </w:tcPr>
          <w:p w14:paraId="361BECD4" w14:textId="77777777" w:rsidR="00E463E6" w:rsidRPr="00E139C5" w:rsidRDefault="00E463E6" w:rsidP="00257F20">
            <w:pPr>
              <w:spacing w:line="276" w:lineRule="auto"/>
              <w:ind w:left="-108" w:firstLine="108"/>
              <w:jc w:val="right"/>
              <w:rPr>
                <w:szCs w:val="24"/>
              </w:rPr>
            </w:pPr>
            <w:r>
              <w:rPr>
                <w:color w:val="000000"/>
              </w:rPr>
              <w:t> </w:t>
            </w:r>
          </w:p>
        </w:tc>
        <w:tc>
          <w:tcPr>
            <w:tcW w:w="1170" w:type="dxa"/>
            <w:vAlign w:val="bottom"/>
          </w:tcPr>
          <w:p w14:paraId="68596079" w14:textId="77777777" w:rsidR="00E463E6" w:rsidRPr="00E139C5" w:rsidRDefault="00E463E6" w:rsidP="00257F20">
            <w:pPr>
              <w:spacing w:line="276" w:lineRule="auto"/>
              <w:ind w:left="-108" w:firstLine="108"/>
              <w:jc w:val="right"/>
              <w:rPr>
                <w:szCs w:val="24"/>
              </w:rPr>
            </w:pPr>
            <w:r>
              <w:rPr>
                <w:color w:val="000000"/>
              </w:rPr>
              <w:t> </w:t>
            </w:r>
          </w:p>
        </w:tc>
        <w:tc>
          <w:tcPr>
            <w:tcW w:w="1080" w:type="dxa"/>
            <w:vAlign w:val="bottom"/>
          </w:tcPr>
          <w:p w14:paraId="47D6EB88" w14:textId="77777777" w:rsidR="00E463E6" w:rsidRPr="00E139C5" w:rsidRDefault="00E463E6" w:rsidP="00257F20">
            <w:pPr>
              <w:spacing w:line="276" w:lineRule="auto"/>
              <w:jc w:val="right"/>
              <w:rPr>
                <w:szCs w:val="24"/>
              </w:rPr>
            </w:pPr>
            <w:r>
              <w:rPr>
                <w:color w:val="000000"/>
              </w:rPr>
              <w:t> </w:t>
            </w:r>
          </w:p>
        </w:tc>
        <w:tc>
          <w:tcPr>
            <w:tcW w:w="1170" w:type="dxa"/>
            <w:vAlign w:val="bottom"/>
          </w:tcPr>
          <w:p w14:paraId="1B1697A0" w14:textId="77777777" w:rsidR="00E463E6" w:rsidRPr="00E139C5" w:rsidRDefault="00E463E6" w:rsidP="00257F20">
            <w:pPr>
              <w:spacing w:line="276" w:lineRule="auto"/>
              <w:jc w:val="right"/>
              <w:rPr>
                <w:szCs w:val="24"/>
              </w:rPr>
            </w:pPr>
            <w:r>
              <w:rPr>
                <w:color w:val="000000"/>
              </w:rPr>
              <w:t> </w:t>
            </w:r>
          </w:p>
        </w:tc>
        <w:tc>
          <w:tcPr>
            <w:tcW w:w="1080" w:type="dxa"/>
            <w:vAlign w:val="bottom"/>
          </w:tcPr>
          <w:p w14:paraId="4CC39916"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06D4B12B" w14:textId="77777777" w:rsidR="00E463E6" w:rsidRPr="00E139C5" w:rsidRDefault="00E463E6" w:rsidP="00257F20">
            <w:pPr>
              <w:spacing w:line="276" w:lineRule="auto"/>
              <w:jc w:val="right"/>
              <w:rPr>
                <w:szCs w:val="24"/>
              </w:rPr>
            </w:pPr>
            <w:r>
              <w:rPr>
                <w:color w:val="000000"/>
              </w:rPr>
              <w:t> </w:t>
            </w:r>
          </w:p>
        </w:tc>
        <w:tc>
          <w:tcPr>
            <w:tcW w:w="1080" w:type="dxa"/>
            <w:vAlign w:val="bottom"/>
          </w:tcPr>
          <w:p w14:paraId="289D7FBC"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3D3A2338"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7A65DF9A"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314002FE" w14:textId="77777777" w:rsidR="00E463E6" w:rsidRPr="00E139C5" w:rsidRDefault="00E463E6" w:rsidP="00257F20">
            <w:pPr>
              <w:spacing w:line="276" w:lineRule="auto"/>
              <w:jc w:val="right"/>
              <w:rPr>
                <w:szCs w:val="24"/>
              </w:rPr>
            </w:pPr>
            <w:r>
              <w:rPr>
                <w:color w:val="000000"/>
              </w:rPr>
              <w:t> </w:t>
            </w:r>
          </w:p>
        </w:tc>
      </w:tr>
      <w:tr w:rsidR="00E463E6" w:rsidRPr="00E139C5" w14:paraId="4102753C" w14:textId="77777777" w:rsidTr="30EE1AA0">
        <w:trPr>
          <w:trHeight w:val="255"/>
        </w:trPr>
        <w:tc>
          <w:tcPr>
            <w:tcW w:w="3145" w:type="dxa"/>
            <w:hideMark/>
          </w:tcPr>
          <w:p w14:paraId="75A042DC" w14:textId="77777777" w:rsidR="00E463E6" w:rsidRPr="00E139C5" w:rsidRDefault="00E463E6" w:rsidP="00257F20">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grupet</w:t>
            </w:r>
            <w:proofErr w:type="spellEnd"/>
            <w:r w:rsidRPr="00E139C5">
              <w:rPr>
                <w:szCs w:val="24"/>
              </w:rPr>
              <w:t xml:space="preserve"> e </w:t>
            </w:r>
            <w:proofErr w:type="spellStart"/>
            <w:r w:rsidRPr="00E139C5">
              <w:rPr>
                <w:szCs w:val="24"/>
              </w:rPr>
              <w:t>tjera</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vAlign w:val="bottom"/>
          </w:tcPr>
          <w:p w14:paraId="2031ECBB" w14:textId="77777777" w:rsidR="00E463E6" w:rsidRPr="00E139C5" w:rsidRDefault="00E463E6" w:rsidP="00257F20">
            <w:pPr>
              <w:spacing w:line="276" w:lineRule="auto"/>
              <w:ind w:left="-108" w:firstLine="108"/>
              <w:jc w:val="right"/>
              <w:rPr>
                <w:szCs w:val="24"/>
              </w:rPr>
            </w:pPr>
            <w:r>
              <w:rPr>
                <w:color w:val="000000"/>
              </w:rPr>
              <w:t> </w:t>
            </w:r>
          </w:p>
        </w:tc>
        <w:tc>
          <w:tcPr>
            <w:tcW w:w="1170" w:type="dxa"/>
            <w:vAlign w:val="bottom"/>
          </w:tcPr>
          <w:p w14:paraId="365390AF" w14:textId="77777777" w:rsidR="00E463E6" w:rsidRPr="00E139C5" w:rsidRDefault="00E463E6" w:rsidP="00257F20">
            <w:pPr>
              <w:spacing w:line="276" w:lineRule="auto"/>
              <w:ind w:left="-108" w:firstLine="108"/>
              <w:jc w:val="right"/>
              <w:rPr>
                <w:szCs w:val="24"/>
              </w:rPr>
            </w:pPr>
            <w:r>
              <w:rPr>
                <w:color w:val="000000"/>
              </w:rPr>
              <w:t> </w:t>
            </w:r>
          </w:p>
        </w:tc>
        <w:tc>
          <w:tcPr>
            <w:tcW w:w="1080" w:type="dxa"/>
            <w:vAlign w:val="bottom"/>
          </w:tcPr>
          <w:p w14:paraId="3EE25FBE" w14:textId="77777777" w:rsidR="00E463E6" w:rsidRPr="00E139C5" w:rsidRDefault="00E463E6" w:rsidP="00257F20">
            <w:pPr>
              <w:spacing w:line="276" w:lineRule="auto"/>
              <w:jc w:val="right"/>
              <w:rPr>
                <w:szCs w:val="24"/>
              </w:rPr>
            </w:pPr>
            <w:r>
              <w:rPr>
                <w:color w:val="000000"/>
              </w:rPr>
              <w:t> </w:t>
            </w:r>
          </w:p>
        </w:tc>
        <w:tc>
          <w:tcPr>
            <w:tcW w:w="1170" w:type="dxa"/>
            <w:vAlign w:val="bottom"/>
          </w:tcPr>
          <w:p w14:paraId="0D7FD185" w14:textId="77777777" w:rsidR="00E463E6" w:rsidRPr="00E139C5" w:rsidRDefault="00E463E6" w:rsidP="00257F20">
            <w:pPr>
              <w:spacing w:line="276" w:lineRule="auto"/>
              <w:jc w:val="right"/>
              <w:rPr>
                <w:szCs w:val="24"/>
              </w:rPr>
            </w:pPr>
            <w:r>
              <w:rPr>
                <w:color w:val="000000"/>
              </w:rPr>
              <w:t> </w:t>
            </w:r>
          </w:p>
        </w:tc>
        <w:tc>
          <w:tcPr>
            <w:tcW w:w="1080" w:type="dxa"/>
            <w:vAlign w:val="bottom"/>
          </w:tcPr>
          <w:p w14:paraId="7B959874"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3506A2BC" w14:textId="77777777" w:rsidR="00E463E6" w:rsidRPr="00E139C5" w:rsidRDefault="00E463E6" w:rsidP="00257F20">
            <w:pPr>
              <w:spacing w:line="276" w:lineRule="auto"/>
              <w:jc w:val="right"/>
              <w:rPr>
                <w:szCs w:val="24"/>
              </w:rPr>
            </w:pPr>
            <w:r>
              <w:rPr>
                <w:color w:val="000000"/>
              </w:rPr>
              <w:t> </w:t>
            </w:r>
          </w:p>
        </w:tc>
        <w:tc>
          <w:tcPr>
            <w:tcW w:w="1080" w:type="dxa"/>
            <w:vAlign w:val="bottom"/>
          </w:tcPr>
          <w:p w14:paraId="5A9DE53B"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766FE797"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3E147FEB"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337C4226" w14:textId="77777777" w:rsidR="00E463E6" w:rsidRPr="00E139C5" w:rsidRDefault="00E463E6" w:rsidP="00257F20">
            <w:pPr>
              <w:spacing w:line="276" w:lineRule="auto"/>
              <w:jc w:val="right"/>
              <w:rPr>
                <w:szCs w:val="24"/>
              </w:rPr>
            </w:pPr>
            <w:r>
              <w:rPr>
                <w:color w:val="000000"/>
              </w:rPr>
              <w:t> </w:t>
            </w:r>
          </w:p>
        </w:tc>
      </w:tr>
      <w:tr w:rsidR="00E463E6" w:rsidRPr="00E139C5" w14:paraId="4A1B90EB" w14:textId="77777777" w:rsidTr="30EE1AA0">
        <w:trPr>
          <w:trHeight w:val="255"/>
        </w:trPr>
        <w:tc>
          <w:tcPr>
            <w:tcW w:w="3145" w:type="dxa"/>
            <w:hideMark/>
          </w:tcPr>
          <w:p w14:paraId="165858F0" w14:textId="77777777" w:rsidR="00E463E6" w:rsidRPr="00E139C5" w:rsidRDefault="00E463E6" w:rsidP="00257F20">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një</w:t>
            </w:r>
            <w:proofErr w:type="spellEnd"/>
            <w:r w:rsidRPr="00E139C5">
              <w:rPr>
                <w:szCs w:val="24"/>
              </w:rPr>
              <w:t xml:space="preserve"> </w:t>
            </w:r>
            <w:proofErr w:type="spellStart"/>
            <w:r w:rsidRPr="00E139C5">
              <w:rPr>
                <w:szCs w:val="24"/>
              </w:rPr>
              <w:t>herë</w:t>
            </w:r>
            <w:proofErr w:type="spellEnd"/>
          </w:p>
        </w:tc>
        <w:tc>
          <w:tcPr>
            <w:tcW w:w="1350" w:type="dxa"/>
            <w:vAlign w:val="bottom"/>
          </w:tcPr>
          <w:p w14:paraId="5658B65E" w14:textId="77777777" w:rsidR="00E463E6" w:rsidRPr="00E139C5" w:rsidRDefault="00E463E6" w:rsidP="00257F20">
            <w:pPr>
              <w:spacing w:line="276" w:lineRule="auto"/>
              <w:ind w:left="-108" w:firstLine="108"/>
              <w:jc w:val="right"/>
              <w:rPr>
                <w:szCs w:val="24"/>
              </w:rPr>
            </w:pPr>
            <w:r>
              <w:rPr>
                <w:color w:val="000000"/>
              </w:rPr>
              <w:t> </w:t>
            </w:r>
          </w:p>
        </w:tc>
        <w:tc>
          <w:tcPr>
            <w:tcW w:w="1170" w:type="dxa"/>
            <w:vAlign w:val="bottom"/>
          </w:tcPr>
          <w:p w14:paraId="2459236B" w14:textId="77777777" w:rsidR="00E463E6" w:rsidRPr="00E139C5" w:rsidRDefault="00E463E6" w:rsidP="00257F20">
            <w:pPr>
              <w:spacing w:line="276" w:lineRule="auto"/>
              <w:ind w:left="-108" w:firstLine="108"/>
              <w:jc w:val="right"/>
              <w:rPr>
                <w:szCs w:val="24"/>
              </w:rPr>
            </w:pPr>
            <w:r>
              <w:rPr>
                <w:color w:val="000000"/>
              </w:rPr>
              <w:t> </w:t>
            </w:r>
          </w:p>
        </w:tc>
        <w:tc>
          <w:tcPr>
            <w:tcW w:w="1080" w:type="dxa"/>
            <w:vAlign w:val="bottom"/>
          </w:tcPr>
          <w:p w14:paraId="0AB08F99" w14:textId="77777777" w:rsidR="00E463E6" w:rsidRPr="00E139C5" w:rsidRDefault="00E463E6" w:rsidP="00257F20">
            <w:pPr>
              <w:spacing w:line="276" w:lineRule="auto"/>
              <w:jc w:val="right"/>
              <w:rPr>
                <w:szCs w:val="24"/>
              </w:rPr>
            </w:pPr>
            <w:r>
              <w:rPr>
                <w:color w:val="000000"/>
              </w:rPr>
              <w:t> </w:t>
            </w:r>
          </w:p>
        </w:tc>
        <w:tc>
          <w:tcPr>
            <w:tcW w:w="1170" w:type="dxa"/>
            <w:vAlign w:val="bottom"/>
          </w:tcPr>
          <w:p w14:paraId="32819E40" w14:textId="77777777" w:rsidR="00E463E6" w:rsidRPr="00E139C5" w:rsidRDefault="00E463E6" w:rsidP="00257F20">
            <w:pPr>
              <w:spacing w:line="276" w:lineRule="auto"/>
              <w:jc w:val="right"/>
              <w:rPr>
                <w:szCs w:val="24"/>
              </w:rPr>
            </w:pPr>
            <w:r>
              <w:rPr>
                <w:color w:val="000000"/>
              </w:rPr>
              <w:t> </w:t>
            </w:r>
          </w:p>
        </w:tc>
        <w:tc>
          <w:tcPr>
            <w:tcW w:w="1080" w:type="dxa"/>
            <w:vAlign w:val="bottom"/>
          </w:tcPr>
          <w:p w14:paraId="31A0C389"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7F7A20C7" w14:textId="77777777" w:rsidR="00E463E6" w:rsidRPr="00E139C5" w:rsidRDefault="00E463E6" w:rsidP="00257F20">
            <w:pPr>
              <w:spacing w:line="276" w:lineRule="auto"/>
              <w:jc w:val="right"/>
              <w:rPr>
                <w:szCs w:val="24"/>
              </w:rPr>
            </w:pPr>
            <w:r>
              <w:rPr>
                <w:color w:val="000000"/>
              </w:rPr>
              <w:t> </w:t>
            </w:r>
          </w:p>
        </w:tc>
        <w:tc>
          <w:tcPr>
            <w:tcW w:w="1080" w:type="dxa"/>
            <w:vAlign w:val="bottom"/>
          </w:tcPr>
          <w:p w14:paraId="0B487379"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7582A220"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2F92962B"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2597C2DE" w14:textId="77777777" w:rsidR="00E463E6" w:rsidRPr="00E139C5" w:rsidRDefault="00E463E6" w:rsidP="00257F20">
            <w:pPr>
              <w:spacing w:line="276" w:lineRule="auto"/>
              <w:jc w:val="right"/>
              <w:rPr>
                <w:szCs w:val="24"/>
              </w:rPr>
            </w:pPr>
            <w:r>
              <w:rPr>
                <w:color w:val="000000"/>
              </w:rPr>
              <w:t> </w:t>
            </w:r>
          </w:p>
        </w:tc>
      </w:tr>
      <w:tr w:rsidR="00E463E6" w:rsidRPr="00E139C5" w14:paraId="3C11CBDC" w14:textId="77777777" w:rsidTr="30EE1AA0">
        <w:trPr>
          <w:trHeight w:val="270"/>
        </w:trPr>
        <w:tc>
          <w:tcPr>
            <w:tcW w:w="3145" w:type="dxa"/>
            <w:hideMark/>
          </w:tcPr>
          <w:p w14:paraId="1E937225" w14:textId="77777777" w:rsidR="00E463E6" w:rsidRPr="00E139C5" w:rsidRDefault="00E463E6" w:rsidP="00257F20">
            <w:pPr>
              <w:spacing w:line="276" w:lineRule="auto"/>
              <w:rPr>
                <w:szCs w:val="24"/>
              </w:rPr>
            </w:pPr>
            <w:proofErr w:type="spellStart"/>
            <w:r w:rsidRPr="00E139C5">
              <w:rPr>
                <w:szCs w:val="24"/>
              </w:rPr>
              <w:t>Përfitimet</w:t>
            </w:r>
            <w:proofErr w:type="spellEnd"/>
            <w:r w:rsidRPr="00E139C5">
              <w:rPr>
                <w:szCs w:val="24"/>
              </w:rPr>
              <w:t xml:space="preserve"> </w:t>
            </w:r>
            <w:proofErr w:type="spellStart"/>
            <w:r w:rsidRPr="00E139C5">
              <w:rPr>
                <w:szCs w:val="24"/>
              </w:rPr>
              <w:t>për</w:t>
            </w:r>
            <w:proofErr w:type="spellEnd"/>
            <w:r w:rsidRPr="00E139C5">
              <w:rPr>
                <w:szCs w:val="24"/>
              </w:rPr>
              <w:t xml:space="preserve"> </w:t>
            </w:r>
            <w:proofErr w:type="spellStart"/>
            <w:r w:rsidRPr="00E139C5">
              <w:rPr>
                <w:szCs w:val="24"/>
              </w:rPr>
              <w:t>biznesin</w:t>
            </w:r>
            <w:proofErr w:type="spellEnd"/>
            <w:r w:rsidRPr="00E139C5">
              <w:rPr>
                <w:szCs w:val="24"/>
              </w:rPr>
              <w:t xml:space="preserve"> – </w:t>
            </w:r>
            <w:proofErr w:type="spellStart"/>
            <w:r w:rsidRPr="00E139C5">
              <w:rPr>
                <w:szCs w:val="24"/>
              </w:rPr>
              <w:t>në</w:t>
            </w:r>
            <w:proofErr w:type="spellEnd"/>
            <w:r w:rsidRPr="00E139C5">
              <w:rPr>
                <w:szCs w:val="24"/>
              </w:rPr>
              <w:t xml:space="preserve"> </w:t>
            </w:r>
            <w:proofErr w:type="spellStart"/>
            <w:r w:rsidRPr="00E139C5">
              <w:rPr>
                <w:szCs w:val="24"/>
              </w:rPr>
              <w:t>vazhdimësi</w:t>
            </w:r>
            <w:proofErr w:type="spellEnd"/>
          </w:p>
        </w:tc>
        <w:tc>
          <w:tcPr>
            <w:tcW w:w="1350" w:type="dxa"/>
            <w:vAlign w:val="bottom"/>
          </w:tcPr>
          <w:p w14:paraId="198EC910" w14:textId="77777777" w:rsidR="00E463E6" w:rsidRPr="00E139C5" w:rsidRDefault="00E463E6" w:rsidP="00257F20">
            <w:pPr>
              <w:spacing w:line="276" w:lineRule="auto"/>
              <w:ind w:left="-108" w:firstLine="108"/>
              <w:jc w:val="right"/>
              <w:rPr>
                <w:szCs w:val="24"/>
              </w:rPr>
            </w:pPr>
            <w:r>
              <w:rPr>
                <w:color w:val="000000"/>
              </w:rPr>
              <w:t> </w:t>
            </w:r>
          </w:p>
        </w:tc>
        <w:tc>
          <w:tcPr>
            <w:tcW w:w="1170" w:type="dxa"/>
            <w:vAlign w:val="bottom"/>
          </w:tcPr>
          <w:p w14:paraId="15C43991" w14:textId="77777777" w:rsidR="00E463E6" w:rsidRPr="00E139C5" w:rsidRDefault="00E463E6" w:rsidP="00257F20">
            <w:pPr>
              <w:spacing w:line="276" w:lineRule="auto"/>
              <w:ind w:left="-108" w:firstLine="108"/>
              <w:jc w:val="right"/>
              <w:rPr>
                <w:szCs w:val="24"/>
              </w:rPr>
            </w:pPr>
            <w:r>
              <w:rPr>
                <w:color w:val="000000"/>
              </w:rPr>
              <w:t> </w:t>
            </w:r>
          </w:p>
        </w:tc>
        <w:tc>
          <w:tcPr>
            <w:tcW w:w="1080" w:type="dxa"/>
            <w:vAlign w:val="bottom"/>
          </w:tcPr>
          <w:p w14:paraId="23E11F7B" w14:textId="77777777" w:rsidR="00E463E6" w:rsidRPr="00E139C5" w:rsidRDefault="00E463E6" w:rsidP="00257F20">
            <w:pPr>
              <w:spacing w:line="276" w:lineRule="auto"/>
              <w:jc w:val="right"/>
              <w:rPr>
                <w:szCs w:val="24"/>
              </w:rPr>
            </w:pPr>
            <w:r>
              <w:rPr>
                <w:color w:val="000000"/>
              </w:rPr>
              <w:t> </w:t>
            </w:r>
          </w:p>
        </w:tc>
        <w:tc>
          <w:tcPr>
            <w:tcW w:w="1170" w:type="dxa"/>
            <w:vAlign w:val="bottom"/>
          </w:tcPr>
          <w:p w14:paraId="0E81872E" w14:textId="77777777" w:rsidR="00E463E6" w:rsidRPr="00E139C5" w:rsidRDefault="00E463E6" w:rsidP="00257F20">
            <w:pPr>
              <w:spacing w:line="276" w:lineRule="auto"/>
              <w:jc w:val="right"/>
              <w:rPr>
                <w:szCs w:val="24"/>
              </w:rPr>
            </w:pPr>
            <w:r>
              <w:rPr>
                <w:color w:val="000000"/>
              </w:rPr>
              <w:t> </w:t>
            </w:r>
          </w:p>
        </w:tc>
        <w:tc>
          <w:tcPr>
            <w:tcW w:w="1080" w:type="dxa"/>
            <w:vAlign w:val="bottom"/>
          </w:tcPr>
          <w:p w14:paraId="1A2BACDB"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1893096E" w14:textId="77777777" w:rsidR="00E463E6" w:rsidRPr="00E139C5" w:rsidRDefault="00E463E6" w:rsidP="00257F20">
            <w:pPr>
              <w:spacing w:line="276" w:lineRule="auto"/>
              <w:jc w:val="right"/>
              <w:rPr>
                <w:szCs w:val="24"/>
              </w:rPr>
            </w:pPr>
            <w:r>
              <w:rPr>
                <w:color w:val="000000"/>
              </w:rPr>
              <w:t> </w:t>
            </w:r>
          </w:p>
        </w:tc>
        <w:tc>
          <w:tcPr>
            <w:tcW w:w="1080" w:type="dxa"/>
            <w:vAlign w:val="bottom"/>
          </w:tcPr>
          <w:p w14:paraId="5BDD7975"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5A8955B1"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61A95F7C" w14:textId="77777777" w:rsidR="00E463E6" w:rsidRPr="00E139C5" w:rsidRDefault="00E463E6" w:rsidP="00257F20">
            <w:pPr>
              <w:spacing w:line="276" w:lineRule="auto"/>
              <w:jc w:val="right"/>
              <w:rPr>
                <w:szCs w:val="24"/>
              </w:rPr>
            </w:pPr>
            <w:r>
              <w:rPr>
                <w:color w:val="000000"/>
              </w:rPr>
              <w:t> </w:t>
            </w:r>
          </w:p>
        </w:tc>
        <w:tc>
          <w:tcPr>
            <w:tcW w:w="1260" w:type="dxa"/>
            <w:vAlign w:val="bottom"/>
          </w:tcPr>
          <w:p w14:paraId="39C0FF60" w14:textId="77777777" w:rsidR="00E463E6" w:rsidRPr="00E139C5" w:rsidRDefault="00E463E6" w:rsidP="00257F20">
            <w:pPr>
              <w:spacing w:line="276" w:lineRule="auto"/>
              <w:jc w:val="right"/>
              <w:rPr>
                <w:szCs w:val="24"/>
              </w:rPr>
            </w:pPr>
            <w:r>
              <w:rPr>
                <w:color w:val="000000"/>
              </w:rPr>
              <w:t> </w:t>
            </w:r>
          </w:p>
        </w:tc>
      </w:tr>
      <w:tr w:rsidR="00E463E6" w:rsidRPr="00E139C5" w14:paraId="04089200" w14:textId="77777777" w:rsidTr="30EE1AA0">
        <w:trPr>
          <w:trHeight w:val="285"/>
        </w:trPr>
        <w:tc>
          <w:tcPr>
            <w:tcW w:w="3145" w:type="dxa"/>
            <w:hideMark/>
          </w:tcPr>
          <w:p w14:paraId="11C6836D" w14:textId="77777777" w:rsidR="00E463E6" w:rsidRPr="00E139C5" w:rsidRDefault="00E463E6" w:rsidP="00257F20">
            <w:pPr>
              <w:spacing w:line="276" w:lineRule="auto"/>
              <w:rPr>
                <w:b/>
                <w:bCs/>
                <w:szCs w:val="24"/>
              </w:rPr>
            </w:pPr>
            <w:proofErr w:type="spellStart"/>
            <w:r w:rsidRPr="00E139C5">
              <w:rPr>
                <w:b/>
                <w:bCs/>
                <w:szCs w:val="24"/>
              </w:rPr>
              <w:t>Përfitimet</w:t>
            </w:r>
            <w:proofErr w:type="spellEnd"/>
            <w:r w:rsidRPr="00E139C5">
              <w:rPr>
                <w:b/>
                <w:bCs/>
                <w:szCs w:val="24"/>
              </w:rPr>
              <w:t xml:space="preserve"> </w:t>
            </w:r>
            <w:proofErr w:type="spellStart"/>
            <w:r w:rsidRPr="00E139C5">
              <w:rPr>
                <w:b/>
                <w:bCs/>
                <w:szCs w:val="24"/>
              </w:rPr>
              <w:t>totale</w:t>
            </w:r>
            <w:proofErr w:type="spellEnd"/>
          </w:p>
        </w:tc>
        <w:tc>
          <w:tcPr>
            <w:tcW w:w="1350" w:type="dxa"/>
            <w:tcBorders>
              <w:bottom w:val="single" w:sz="4" w:space="0" w:color="auto"/>
            </w:tcBorders>
            <w:vAlign w:val="bottom"/>
          </w:tcPr>
          <w:p w14:paraId="07ACB189" w14:textId="77777777" w:rsidR="00E463E6" w:rsidRPr="00E139C5" w:rsidRDefault="00E463E6" w:rsidP="00257F20">
            <w:pPr>
              <w:spacing w:line="276" w:lineRule="auto"/>
              <w:ind w:left="-108" w:firstLine="108"/>
              <w:jc w:val="right"/>
              <w:rPr>
                <w:szCs w:val="24"/>
              </w:rPr>
            </w:pPr>
            <w:r>
              <w:rPr>
                <w:color w:val="000000"/>
              </w:rPr>
              <w:t>472</w:t>
            </w:r>
          </w:p>
        </w:tc>
        <w:tc>
          <w:tcPr>
            <w:tcW w:w="1170" w:type="dxa"/>
            <w:tcBorders>
              <w:bottom w:val="single" w:sz="4" w:space="0" w:color="auto"/>
            </w:tcBorders>
            <w:vAlign w:val="bottom"/>
          </w:tcPr>
          <w:p w14:paraId="07238C72" w14:textId="77777777" w:rsidR="00E463E6" w:rsidRPr="00E139C5" w:rsidRDefault="00E463E6" w:rsidP="00257F20">
            <w:pPr>
              <w:spacing w:line="276" w:lineRule="auto"/>
              <w:ind w:left="-108" w:firstLine="108"/>
              <w:jc w:val="right"/>
              <w:rPr>
                <w:szCs w:val="24"/>
              </w:rPr>
            </w:pPr>
            <w:r>
              <w:rPr>
                <w:color w:val="000000"/>
              </w:rPr>
              <w:t>472</w:t>
            </w:r>
          </w:p>
        </w:tc>
        <w:tc>
          <w:tcPr>
            <w:tcW w:w="1080" w:type="dxa"/>
            <w:tcBorders>
              <w:bottom w:val="single" w:sz="4" w:space="0" w:color="auto"/>
            </w:tcBorders>
            <w:vAlign w:val="bottom"/>
          </w:tcPr>
          <w:p w14:paraId="79CFA350" w14:textId="77777777" w:rsidR="00E463E6" w:rsidRPr="00E139C5" w:rsidRDefault="00E463E6" w:rsidP="00257F20">
            <w:pPr>
              <w:spacing w:line="276" w:lineRule="auto"/>
              <w:jc w:val="right"/>
              <w:rPr>
                <w:szCs w:val="24"/>
              </w:rPr>
            </w:pPr>
            <w:r>
              <w:rPr>
                <w:color w:val="000000"/>
              </w:rPr>
              <w:t>472</w:t>
            </w:r>
          </w:p>
        </w:tc>
        <w:tc>
          <w:tcPr>
            <w:tcW w:w="1170" w:type="dxa"/>
            <w:tcBorders>
              <w:bottom w:val="single" w:sz="4" w:space="0" w:color="auto"/>
            </w:tcBorders>
            <w:vAlign w:val="bottom"/>
          </w:tcPr>
          <w:p w14:paraId="2DB93338" w14:textId="77777777" w:rsidR="00E463E6" w:rsidRPr="00E139C5" w:rsidRDefault="00E463E6" w:rsidP="00257F20">
            <w:pPr>
              <w:spacing w:line="276" w:lineRule="auto"/>
              <w:jc w:val="right"/>
              <w:rPr>
                <w:szCs w:val="24"/>
              </w:rPr>
            </w:pPr>
            <w:r>
              <w:rPr>
                <w:color w:val="000000"/>
              </w:rPr>
              <w:t>472</w:t>
            </w:r>
          </w:p>
        </w:tc>
        <w:tc>
          <w:tcPr>
            <w:tcW w:w="1080" w:type="dxa"/>
            <w:tcBorders>
              <w:bottom w:val="single" w:sz="4" w:space="0" w:color="auto"/>
            </w:tcBorders>
            <w:vAlign w:val="bottom"/>
          </w:tcPr>
          <w:p w14:paraId="34EEA843" w14:textId="77777777" w:rsidR="00E463E6" w:rsidRPr="00E139C5" w:rsidRDefault="00E463E6" w:rsidP="00257F20">
            <w:pPr>
              <w:spacing w:line="276" w:lineRule="auto"/>
              <w:jc w:val="right"/>
              <w:rPr>
                <w:szCs w:val="24"/>
              </w:rPr>
            </w:pPr>
            <w:r>
              <w:rPr>
                <w:color w:val="000000"/>
              </w:rPr>
              <w:t>472</w:t>
            </w:r>
          </w:p>
        </w:tc>
        <w:tc>
          <w:tcPr>
            <w:tcW w:w="1260" w:type="dxa"/>
            <w:tcBorders>
              <w:bottom w:val="single" w:sz="4" w:space="0" w:color="auto"/>
            </w:tcBorders>
            <w:vAlign w:val="bottom"/>
          </w:tcPr>
          <w:p w14:paraId="42B9DFAA" w14:textId="77777777" w:rsidR="00E463E6" w:rsidRPr="00E139C5" w:rsidRDefault="00E463E6" w:rsidP="00257F20">
            <w:pPr>
              <w:spacing w:line="276" w:lineRule="auto"/>
              <w:jc w:val="right"/>
              <w:rPr>
                <w:szCs w:val="24"/>
              </w:rPr>
            </w:pPr>
            <w:r>
              <w:rPr>
                <w:color w:val="000000"/>
              </w:rPr>
              <w:t>472</w:t>
            </w:r>
          </w:p>
        </w:tc>
        <w:tc>
          <w:tcPr>
            <w:tcW w:w="1080" w:type="dxa"/>
            <w:tcBorders>
              <w:bottom w:val="single" w:sz="4" w:space="0" w:color="auto"/>
            </w:tcBorders>
            <w:vAlign w:val="bottom"/>
          </w:tcPr>
          <w:p w14:paraId="6FC667FA" w14:textId="77777777" w:rsidR="00E463E6" w:rsidRPr="00E139C5" w:rsidRDefault="00E463E6" w:rsidP="00257F20">
            <w:pPr>
              <w:spacing w:line="276" w:lineRule="auto"/>
              <w:jc w:val="right"/>
              <w:rPr>
                <w:szCs w:val="24"/>
              </w:rPr>
            </w:pPr>
            <w:r>
              <w:rPr>
                <w:color w:val="000000"/>
              </w:rPr>
              <w:t>472</w:t>
            </w:r>
          </w:p>
        </w:tc>
        <w:tc>
          <w:tcPr>
            <w:tcW w:w="1260" w:type="dxa"/>
            <w:tcBorders>
              <w:bottom w:val="single" w:sz="4" w:space="0" w:color="auto"/>
            </w:tcBorders>
            <w:vAlign w:val="bottom"/>
          </w:tcPr>
          <w:p w14:paraId="298FDF41" w14:textId="77777777" w:rsidR="00E463E6" w:rsidRPr="00E139C5" w:rsidRDefault="00E463E6" w:rsidP="00257F20">
            <w:pPr>
              <w:spacing w:line="276" w:lineRule="auto"/>
              <w:jc w:val="right"/>
              <w:rPr>
                <w:szCs w:val="24"/>
              </w:rPr>
            </w:pPr>
            <w:r>
              <w:rPr>
                <w:color w:val="000000"/>
              </w:rPr>
              <w:t>472</w:t>
            </w:r>
          </w:p>
        </w:tc>
        <w:tc>
          <w:tcPr>
            <w:tcW w:w="1260" w:type="dxa"/>
            <w:tcBorders>
              <w:bottom w:val="single" w:sz="4" w:space="0" w:color="auto"/>
            </w:tcBorders>
            <w:vAlign w:val="bottom"/>
          </w:tcPr>
          <w:p w14:paraId="0F7476CA" w14:textId="77777777" w:rsidR="00E463E6" w:rsidRPr="00E139C5" w:rsidRDefault="00E463E6" w:rsidP="00257F20">
            <w:pPr>
              <w:spacing w:line="276" w:lineRule="auto"/>
              <w:jc w:val="right"/>
              <w:rPr>
                <w:szCs w:val="24"/>
              </w:rPr>
            </w:pPr>
            <w:r>
              <w:rPr>
                <w:color w:val="000000"/>
              </w:rPr>
              <w:t>472</w:t>
            </w:r>
          </w:p>
        </w:tc>
        <w:tc>
          <w:tcPr>
            <w:tcW w:w="1260" w:type="dxa"/>
            <w:tcBorders>
              <w:bottom w:val="single" w:sz="4" w:space="0" w:color="auto"/>
            </w:tcBorders>
            <w:vAlign w:val="bottom"/>
          </w:tcPr>
          <w:p w14:paraId="01FDE360" w14:textId="77777777" w:rsidR="00E463E6" w:rsidRPr="00E139C5" w:rsidRDefault="00E463E6" w:rsidP="00257F20">
            <w:pPr>
              <w:spacing w:line="276" w:lineRule="auto"/>
              <w:jc w:val="right"/>
              <w:rPr>
                <w:szCs w:val="24"/>
              </w:rPr>
            </w:pPr>
            <w:r>
              <w:rPr>
                <w:color w:val="000000"/>
              </w:rPr>
              <w:t>472</w:t>
            </w:r>
          </w:p>
        </w:tc>
      </w:tr>
      <w:tr w:rsidR="00E463E6" w:rsidRPr="00E139C5" w14:paraId="1A5E7A27" w14:textId="77777777" w:rsidTr="30EE1AA0">
        <w:trPr>
          <w:trHeight w:val="390"/>
        </w:trPr>
        <w:tc>
          <w:tcPr>
            <w:tcW w:w="3145" w:type="dxa"/>
            <w:hideMark/>
          </w:tcPr>
          <w:p w14:paraId="57D5BF5A" w14:textId="77777777" w:rsidR="00E463E6" w:rsidRPr="00E139C5" w:rsidRDefault="00E463E6" w:rsidP="00257F20">
            <w:pPr>
              <w:spacing w:line="276" w:lineRule="auto"/>
              <w:rPr>
                <w:bCs/>
                <w:szCs w:val="24"/>
              </w:rPr>
            </w:pPr>
            <w:proofErr w:type="spellStart"/>
            <w:r w:rsidRPr="00E139C5">
              <w:rPr>
                <w:b/>
                <w:bCs/>
                <w:szCs w:val="24"/>
              </w:rPr>
              <w:t>Përfitimi</w:t>
            </w:r>
            <w:proofErr w:type="spellEnd"/>
            <w:r w:rsidRPr="00E139C5">
              <w:rPr>
                <w:b/>
                <w:bCs/>
                <w:szCs w:val="24"/>
              </w:rPr>
              <w:t xml:space="preserve"> </w:t>
            </w:r>
            <w:proofErr w:type="spellStart"/>
            <w:r w:rsidRPr="00E139C5">
              <w:rPr>
                <w:b/>
                <w:bCs/>
                <w:szCs w:val="24"/>
              </w:rPr>
              <w:t>i</w:t>
            </w:r>
            <w:proofErr w:type="spellEnd"/>
            <w:r w:rsidRPr="00E139C5">
              <w:rPr>
                <w:b/>
                <w:bCs/>
                <w:szCs w:val="24"/>
              </w:rPr>
              <w:t xml:space="preserve"> </w:t>
            </w:r>
            <w:proofErr w:type="spellStart"/>
            <w:r w:rsidRPr="00E139C5">
              <w:rPr>
                <w:b/>
                <w:bCs/>
                <w:szCs w:val="24"/>
              </w:rPr>
              <w:t>zbritur</w:t>
            </w:r>
            <w:proofErr w:type="spellEnd"/>
            <w:r w:rsidRPr="00E139C5">
              <w:rPr>
                <w:szCs w:val="24"/>
              </w:rPr>
              <w:t xml:space="preserve">= </w:t>
            </w:r>
            <w:proofErr w:type="spellStart"/>
            <w:r w:rsidRPr="00E139C5">
              <w:rPr>
                <w:szCs w:val="24"/>
              </w:rPr>
              <w:t>Përfitimi</w:t>
            </w:r>
            <w:proofErr w:type="spellEnd"/>
            <w:r w:rsidRPr="00E139C5">
              <w:rPr>
                <w:szCs w:val="24"/>
              </w:rPr>
              <w:t xml:space="preserve"> </w:t>
            </w:r>
            <w:proofErr w:type="spellStart"/>
            <w:r w:rsidRPr="00E139C5">
              <w:rPr>
                <w:szCs w:val="24"/>
              </w:rPr>
              <w:t>në</w:t>
            </w:r>
            <w:proofErr w:type="spellEnd"/>
            <w:r w:rsidRPr="00E139C5">
              <w:rPr>
                <w:szCs w:val="24"/>
              </w:rPr>
              <w:t xml:space="preserve"> total x </w:t>
            </w:r>
            <w:proofErr w:type="spellStart"/>
            <w:r w:rsidRPr="00E139C5">
              <w:rPr>
                <w:szCs w:val="24"/>
              </w:rPr>
              <w:t>faktori</w:t>
            </w:r>
            <w:proofErr w:type="spellEnd"/>
            <w:r w:rsidRPr="00E139C5">
              <w:rPr>
                <w:szCs w:val="24"/>
              </w:rPr>
              <w:t xml:space="preserve"> </w:t>
            </w:r>
            <w:proofErr w:type="spellStart"/>
            <w:r w:rsidRPr="00E139C5">
              <w:rPr>
                <w:szCs w:val="24"/>
              </w:rPr>
              <w:t>zbritës</w:t>
            </w:r>
            <w:proofErr w:type="spellEnd"/>
          </w:p>
        </w:tc>
        <w:tc>
          <w:tcPr>
            <w:tcW w:w="1350" w:type="dxa"/>
            <w:tcBorders>
              <w:bottom w:val="single" w:sz="4" w:space="0" w:color="auto"/>
            </w:tcBorders>
            <w:vAlign w:val="bottom"/>
          </w:tcPr>
          <w:p w14:paraId="3E1AB6C1" w14:textId="77777777" w:rsidR="00E463E6" w:rsidRPr="00E139C5" w:rsidRDefault="00E463E6" w:rsidP="00257F20">
            <w:pPr>
              <w:spacing w:line="276" w:lineRule="auto"/>
              <w:ind w:left="-108" w:firstLine="108"/>
              <w:jc w:val="right"/>
              <w:rPr>
                <w:szCs w:val="24"/>
              </w:rPr>
            </w:pPr>
            <w:r>
              <w:rPr>
                <w:color w:val="000000"/>
              </w:rPr>
              <w:t>472</w:t>
            </w:r>
          </w:p>
        </w:tc>
        <w:tc>
          <w:tcPr>
            <w:tcW w:w="1170" w:type="dxa"/>
            <w:tcBorders>
              <w:bottom w:val="single" w:sz="4" w:space="0" w:color="auto"/>
            </w:tcBorders>
            <w:vAlign w:val="bottom"/>
          </w:tcPr>
          <w:p w14:paraId="21E1D737" w14:textId="77777777" w:rsidR="00E463E6" w:rsidRPr="00E139C5" w:rsidRDefault="00E463E6" w:rsidP="00257F20">
            <w:pPr>
              <w:spacing w:line="276" w:lineRule="auto"/>
              <w:ind w:left="-108" w:firstLine="108"/>
              <w:jc w:val="right"/>
              <w:rPr>
                <w:szCs w:val="24"/>
              </w:rPr>
            </w:pPr>
            <w:r>
              <w:rPr>
                <w:color w:val="000000"/>
              </w:rPr>
              <w:t>448.4</w:t>
            </w:r>
          </w:p>
        </w:tc>
        <w:tc>
          <w:tcPr>
            <w:tcW w:w="1080" w:type="dxa"/>
            <w:tcBorders>
              <w:bottom w:val="single" w:sz="4" w:space="0" w:color="auto"/>
            </w:tcBorders>
            <w:vAlign w:val="bottom"/>
          </w:tcPr>
          <w:p w14:paraId="700A2F4C" w14:textId="77777777" w:rsidR="00E463E6" w:rsidRPr="00E139C5" w:rsidRDefault="00E463E6" w:rsidP="00257F20">
            <w:pPr>
              <w:spacing w:line="276" w:lineRule="auto"/>
              <w:jc w:val="right"/>
              <w:rPr>
                <w:szCs w:val="24"/>
              </w:rPr>
            </w:pPr>
            <w:r>
              <w:rPr>
                <w:color w:val="000000"/>
              </w:rPr>
              <w:t>429.52</w:t>
            </w:r>
          </w:p>
        </w:tc>
        <w:tc>
          <w:tcPr>
            <w:tcW w:w="1170" w:type="dxa"/>
            <w:tcBorders>
              <w:bottom w:val="single" w:sz="4" w:space="0" w:color="auto"/>
            </w:tcBorders>
            <w:vAlign w:val="bottom"/>
          </w:tcPr>
          <w:p w14:paraId="51C55A0A" w14:textId="77777777" w:rsidR="00E463E6" w:rsidRPr="00E139C5" w:rsidRDefault="00E463E6" w:rsidP="00257F20">
            <w:pPr>
              <w:spacing w:line="276" w:lineRule="auto"/>
              <w:jc w:val="right"/>
              <w:rPr>
                <w:szCs w:val="24"/>
              </w:rPr>
            </w:pPr>
            <w:r>
              <w:rPr>
                <w:color w:val="000000"/>
              </w:rPr>
              <w:t>410.64</w:t>
            </w:r>
          </w:p>
        </w:tc>
        <w:tc>
          <w:tcPr>
            <w:tcW w:w="1080" w:type="dxa"/>
            <w:tcBorders>
              <w:bottom w:val="single" w:sz="4" w:space="0" w:color="auto"/>
            </w:tcBorders>
            <w:vAlign w:val="bottom"/>
          </w:tcPr>
          <w:p w14:paraId="1B1C0CF9" w14:textId="77777777" w:rsidR="00E463E6" w:rsidRPr="00E139C5" w:rsidRDefault="00E463E6" w:rsidP="00257F20">
            <w:pPr>
              <w:spacing w:line="276" w:lineRule="auto"/>
              <w:jc w:val="right"/>
              <w:rPr>
                <w:szCs w:val="24"/>
              </w:rPr>
            </w:pPr>
            <w:r>
              <w:rPr>
                <w:color w:val="000000"/>
              </w:rPr>
              <w:t>387.04</w:t>
            </w:r>
          </w:p>
        </w:tc>
        <w:tc>
          <w:tcPr>
            <w:tcW w:w="1260" w:type="dxa"/>
            <w:tcBorders>
              <w:bottom w:val="single" w:sz="4" w:space="0" w:color="auto"/>
            </w:tcBorders>
            <w:vAlign w:val="bottom"/>
          </w:tcPr>
          <w:p w14:paraId="1E2A700B" w14:textId="77777777" w:rsidR="00E463E6" w:rsidRPr="00E139C5" w:rsidRDefault="00E463E6" w:rsidP="00257F20">
            <w:pPr>
              <w:spacing w:line="276" w:lineRule="auto"/>
              <w:jc w:val="right"/>
              <w:rPr>
                <w:szCs w:val="24"/>
              </w:rPr>
            </w:pPr>
            <w:r>
              <w:rPr>
                <w:color w:val="000000"/>
              </w:rPr>
              <w:t>372.88</w:t>
            </w:r>
          </w:p>
        </w:tc>
        <w:tc>
          <w:tcPr>
            <w:tcW w:w="1080" w:type="dxa"/>
            <w:tcBorders>
              <w:bottom w:val="single" w:sz="4" w:space="0" w:color="auto"/>
            </w:tcBorders>
            <w:vAlign w:val="bottom"/>
          </w:tcPr>
          <w:p w14:paraId="5D1929B1" w14:textId="77777777" w:rsidR="00E463E6" w:rsidRPr="00E139C5" w:rsidRDefault="00E463E6" w:rsidP="00257F20">
            <w:pPr>
              <w:spacing w:line="276" w:lineRule="auto"/>
              <w:jc w:val="right"/>
              <w:rPr>
                <w:szCs w:val="24"/>
              </w:rPr>
            </w:pPr>
            <w:r>
              <w:rPr>
                <w:color w:val="000000"/>
              </w:rPr>
              <w:t>354</w:t>
            </w:r>
          </w:p>
        </w:tc>
        <w:tc>
          <w:tcPr>
            <w:tcW w:w="1260" w:type="dxa"/>
            <w:tcBorders>
              <w:bottom w:val="single" w:sz="4" w:space="0" w:color="auto"/>
            </w:tcBorders>
            <w:vAlign w:val="bottom"/>
          </w:tcPr>
          <w:p w14:paraId="29614105" w14:textId="77777777" w:rsidR="00E463E6" w:rsidRPr="00E139C5" w:rsidRDefault="00E463E6" w:rsidP="00257F20">
            <w:pPr>
              <w:spacing w:line="276" w:lineRule="auto"/>
              <w:jc w:val="right"/>
              <w:rPr>
                <w:szCs w:val="24"/>
              </w:rPr>
            </w:pPr>
            <w:r>
              <w:rPr>
                <w:color w:val="000000"/>
              </w:rPr>
              <w:t>335.12</w:t>
            </w:r>
          </w:p>
        </w:tc>
        <w:tc>
          <w:tcPr>
            <w:tcW w:w="1260" w:type="dxa"/>
            <w:tcBorders>
              <w:bottom w:val="single" w:sz="4" w:space="0" w:color="auto"/>
            </w:tcBorders>
            <w:vAlign w:val="bottom"/>
          </w:tcPr>
          <w:p w14:paraId="13082EDE" w14:textId="77777777" w:rsidR="00E463E6" w:rsidRPr="00E139C5" w:rsidRDefault="00E463E6" w:rsidP="00257F20">
            <w:pPr>
              <w:spacing w:line="276" w:lineRule="auto"/>
              <w:jc w:val="right"/>
              <w:rPr>
                <w:szCs w:val="24"/>
              </w:rPr>
            </w:pPr>
            <w:r>
              <w:rPr>
                <w:color w:val="000000"/>
              </w:rPr>
              <w:t>320.96</w:t>
            </w:r>
          </w:p>
        </w:tc>
        <w:tc>
          <w:tcPr>
            <w:tcW w:w="1260" w:type="dxa"/>
            <w:tcBorders>
              <w:bottom w:val="single" w:sz="4" w:space="0" w:color="auto"/>
            </w:tcBorders>
            <w:vAlign w:val="bottom"/>
          </w:tcPr>
          <w:p w14:paraId="3BFAAA27" w14:textId="77777777" w:rsidR="00E463E6" w:rsidRPr="00E139C5" w:rsidRDefault="00E463E6" w:rsidP="00257F20">
            <w:pPr>
              <w:spacing w:line="276" w:lineRule="auto"/>
              <w:jc w:val="right"/>
              <w:rPr>
                <w:szCs w:val="24"/>
              </w:rPr>
            </w:pPr>
            <w:r>
              <w:rPr>
                <w:color w:val="000000"/>
              </w:rPr>
              <w:t>306.8</w:t>
            </w:r>
          </w:p>
        </w:tc>
      </w:tr>
      <w:tr w:rsidR="00E463E6" w:rsidRPr="00C367DE" w14:paraId="78E2CE96" w14:textId="77777777" w:rsidTr="30EE1AA0">
        <w:trPr>
          <w:trHeight w:val="375"/>
        </w:trPr>
        <w:tc>
          <w:tcPr>
            <w:tcW w:w="3145" w:type="dxa"/>
            <w:shd w:val="clear" w:color="auto" w:fill="F2F2F2" w:themeFill="background1" w:themeFillShade="F2"/>
            <w:hideMark/>
          </w:tcPr>
          <w:p w14:paraId="3580F7CB" w14:textId="77777777" w:rsidR="00E463E6" w:rsidRPr="001155AF" w:rsidRDefault="00E463E6" w:rsidP="00257F20">
            <w:pPr>
              <w:spacing w:line="276" w:lineRule="auto"/>
              <w:rPr>
                <w:b/>
                <w:bCs/>
                <w:szCs w:val="24"/>
                <w:lang w:val="it-IT"/>
              </w:rPr>
            </w:pPr>
            <w:r w:rsidRPr="001155AF">
              <w:rPr>
                <w:b/>
                <w:bCs/>
                <w:szCs w:val="24"/>
                <w:lang w:val="it-IT"/>
              </w:rPr>
              <w:t>Vlera prezente aktuale e përfitimit në total</w:t>
            </w:r>
          </w:p>
        </w:tc>
        <w:tc>
          <w:tcPr>
            <w:tcW w:w="1350" w:type="dxa"/>
            <w:tcBorders>
              <w:top w:val="single" w:sz="4" w:space="0" w:color="auto"/>
              <w:right w:val="single" w:sz="4" w:space="0" w:color="auto"/>
            </w:tcBorders>
            <w:shd w:val="clear" w:color="auto" w:fill="F2F2F2" w:themeFill="background1" w:themeFillShade="F2"/>
          </w:tcPr>
          <w:p w14:paraId="2FAF077B" w14:textId="77777777" w:rsidR="00E463E6" w:rsidRPr="00DE53BA" w:rsidRDefault="00E463E6" w:rsidP="00257F20">
            <w:pPr>
              <w:spacing w:line="276" w:lineRule="auto"/>
              <w:ind w:left="-108" w:firstLine="108"/>
              <w:jc w:val="right"/>
              <w:rPr>
                <w:bCs/>
                <w:szCs w:val="24"/>
                <w:lang w:val="it-IT"/>
              </w:rPr>
            </w:pPr>
            <w:r w:rsidRPr="00A90B99">
              <w:rPr>
                <w:bCs/>
                <w:szCs w:val="24"/>
                <w:lang w:val="it-IT"/>
              </w:rPr>
              <w:t>3,837</w:t>
            </w:r>
          </w:p>
        </w:tc>
        <w:tc>
          <w:tcPr>
            <w:tcW w:w="10620" w:type="dxa"/>
            <w:gridSpan w:val="9"/>
            <w:tcBorders>
              <w:top w:val="single" w:sz="4" w:space="0" w:color="auto"/>
              <w:left w:val="single" w:sz="4" w:space="0" w:color="auto"/>
              <w:bottom w:val="nil"/>
              <w:right w:val="nil"/>
            </w:tcBorders>
            <w:hideMark/>
          </w:tcPr>
          <w:p w14:paraId="68BEC044" w14:textId="77777777" w:rsidR="00E463E6" w:rsidRPr="00DE53BA" w:rsidRDefault="00E463E6" w:rsidP="00257F20">
            <w:pPr>
              <w:spacing w:line="276" w:lineRule="auto"/>
              <w:ind w:left="-108" w:firstLine="108"/>
              <w:jc w:val="right"/>
              <w:rPr>
                <w:szCs w:val="24"/>
                <w:lang w:val="it-IT"/>
              </w:rPr>
            </w:pPr>
            <w:r w:rsidRPr="00DE53BA">
              <w:rPr>
                <w:szCs w:val="24"/>
                <w:lang w:val="it-IT"/>
              </w:rPr>
              <w:t> </w:t>
            </w:r>
          </w:p>
        </w:tc>
      </w:tr>
      <w:tr w:rsidR="00E463E6" w:rsidRPr="00276AD7" w14:paraId="15C7051B" w14:textId="77777777" w:rsidTr="30EE1AA0">
        <w:trPr>
          <w:trHeight w:val="270"/>
        </w:trPr>
        <w:tc>
          <w:tcPr>
            <w:tcW w:w="3145" w:type="dxa"/>
            <w:shd w:val="clear" w:color="auto" w:fill="F2F2F2" w:themeFill="background1" w:themeFillShade="F2"/>
            <w:hideMark/>
          </w:tcPr>
          <w:p w14:paraId="301C4130" w14:textId="77777777" w:rsidR="00E463E6" w:rsidRPr="001155AF" w:rsidRDefault="00E463E6" w:rsidP="00257F20">
            <w:pPr>
              <w:spacing w:line="276" w:lineRule="auto"/>
              <w:rPr>
                <w:b/>
                <w:bCs/>
                <w:szCs w:val="24"/>
                <w:lang w:val="it-IT"/>
              </w:rPr>
            </w:pPr>
            <w:r w:rsidRPr="001155AF">
              <w:rPr>
                <w:b/>
                <w:bCs/>
                <w:szCs w:val="24"/>
                <w:lang w:val="it-IT"/>
              </w:rPr>
              <w:t>Vlera prezente aktuale e kostos në total</w:t>
            </w:r>
          </w:p>
        </w:tc>
        <w:tc>
          <w:tcPr>
            <w:tcW w:w="1350" w:type="dxa"/>
            <w:tcBorders>
              <w:right w:val="single" w:sz="4" w:space="0" w:color="auto"/>
            </w:tcBorders>
            <w:shd w:val="clear" w:color="auto" w:fill="F2F2F2" w:themeFill="background1" w:themeFillShade="F2"/>
          </w:tcPr>
          <w:p w14:paraId="46FD891B" w14:textId="3D418755" w:rsidR="00E463E6" w:rsidRPr="00DE53BA" w:rsidRDefault="00320F8D" w:rsidP="00257F20">
            <w:pPr>
              <w:spacing w:line="276" w:lineRule="auto"/>
              <w:ind w:left="-108" w:firstLine="108"/>
              <w:jc w:val="right"/>
              <w:rPr>
                <w:bCs/>
                <w:szCs w:val="24"/>
                <w:lang w:val="it-IT"/>
              </w:rPr>
            </w:pPr>
            <w:r>
              <w:rPr>
                <w:bCs/>
                <w:szCs w:val="24"/>
                <w:lang w:val="it-IT"/>
              </w:rPr>
              <w:t>57</w:t>
            </w:r>
          </w:p>
        </w:tc>
        <w:tc>
          <w:tcPr>
            <w:tcW w:w="10620" w:type="dxa"/>
            <w:gridSpan w:val="9"/>
            <w:tcBorders>
              <w:top w:val="nil"/>
              <w:left w:val="single" w:sz="4" w:space="0" w:color="auto"/>
              <w:bottom w:val="nil"/>
              <w:right w:val="nil"/>
            </w:tcBorders>
            <w:hideMark/>
          </w:tcPr>
          <w:p w14:paraId="0781B345" w14:textId="77777777" w:rsidR="00E463E6" w:rsidRPr="00DE53BA" w:rsidRDefault="00E463E6" w:rsidP="00257F20">
            <w:pPr>
              <w:spacing w:line="276" w:lineRule="auto"/>
              <w:ind w:left="-108" w:firstLine="108"/>
              <w:jc w:val="right"/>
              <w:rPr>
                <w:szCs w:val="24"/>
                <w:lang w:val="it-IT"/>
              </w:rPr>
            </w:pPr>
            <w:r w:rsidRPr="00DE53BA">
              <w:rPr>
                <w:szCs w:val="24"/>
                <w:lang w:val="it-IT"/>
              </w:rPr>
              <w:t> </w:t>
            </w:r>
          </w:p>
        </w:tc>
      </w:tr>
      <w:tr w:rsidR="00E463E6" w:rsidRPr="00C367DE" w14:paraId="327CE6ED" w14:textId="77777777" w:rsidTr="30EE1AA0">
        <w:trPr>
          <w:trHeight w:val="555"/>
        </w:trPr>
        <w:tc>
          <w:tcPr>
            <w:tcW w:w="3145" w:type="dxa"/>
            <w:shd w:val="clear" w:color="auto" w:fill="F2F2F2" w:themeFill="background1" w:themeFillShade="F2"/>
            <w:hideMark/>
          </w:tcPr>
          <w:p w14:paraId="0F1BA8A4" w14:textId="77777777" w:rsidR="00E463E6" w:rsidRPr="001155AF" w:rsidRDefault="00E463E6" w:rsidP="00257F20">
            <w:pPr>
              <w:spacing w:line="276" w:lineRule="auto"/>
              <w:rPr>
                <w:bCs/>
                <w:szCs w:val="24"/>
                <w:lang w:val="it-IT"/>
              </w:rPr>
            </w:pPr>
            <w:r w:rsidRPr="001155AF">
              <w:rPr>
                <w:b/>
                <w:bCs/>
                <w:szCs w:val="24"/>
                <w:lang w:val="it-IT"/>
              </w:rPr>
              <w:t>Vlera Prezente Neto Aktuale (VAN)</w:t>
            </w:r>
            <w:r w:rsidRPr="001155AF">
              <w:rPr>
                <w:bCs/>
                <w:szCs w:val="24"/>
                <w:lang w:val="it-IT"/>
              </w:rPr>
              <w:t xml:space="preserve"> =</w:t>
            </w:r>
            <w:r w:rsidRPr="001155AF">
              <w:rPr>
                <w:szCs w:val="24"/>
                <w:lang w:val="it-IT"/>
              </w:rPr>
              <w:t xml:space="preserve"> Vlera aktuale e përfitimit në total – Vlera aktuale e kostos në total</w:t>
            </w:r>
          </w:p>
        </w:tc>
        <w:tc>
          <w:tcPr>
            <w:tcW w:w="1350" w:type="dxa"/>
            <w:tcBorders>
              <w:right w:val="single" w:sz="4" w:space="0" w:color="auto"/>
            </w:tcBorders>
            <w:shd w:val="clear" w:color="auto" w:fill="F2F2F2" w:themeFill="background1" w:themeFillShade="F2"/>
          </w:tcPr>
          <w:p w14:paraId="33214829" w14:textId="3C8D0092" w:rsidR="00E463E6" w:rsidRPr="00DE53BA" w:rsidRDefault="00E463E6" w:rsidP="00257F20">
            <w:pPr>
              <w:spacing w:line="276" w:lineRule="auto"/>
              <w:ind w:left="-108" w:firstLine="108"/>
              <w:jc w:val="right"/>
              <w:rPr>
                <w:bCs/>
                <w:szCs w:val="24"/>
                <w:lang w:val="it-IT"/>
              </w:rPr>
            </w:pPr>
            <w:r w:rsidRPr="00A90B99">
              <w:rPr>
                <w:bCs/>
                <w:szCs w:val="24"/>
                <w:lang w:val="it-IT"/>
              </w:rPr>
              <w:t>3,</w:t>
            </w:r>
            <w:r w:rsidR="00320F8D">
              <w:rPr>
                <w:bCs/>
                <w:szCs w:val="24"/>
                <w:lang w:val="it-IT"/>
              </w:rPr>
              <w:t>780</w:t>
            </w:r>
          </w:p>
        </w:tc>
        <w:tc>
          <w:tcPr>
            <w:tcW w:w="10620" w:type="dxa"/>
            <w:gridSpan w:val="9"/>
            <w:tcBorders>
              <w:top w:val="nil"/>
              <w:left w:val="single" w:sz="4" w:space="0" w:color="auto"/>
              <w:bottom w:val="nil"/>
              <w:right w:val="nil"/>
            </w:tcBorders>
            <w:hideMark/>
          </w:tcPr>
          <w:p w14:paraId="1EDA29A8" w14:textId="77777777" w:rsidR="00E463E6" w:rsidRPr="00DE53BA" w:rsidRDefault="00E463E6" w:rsidP="00257F20">
            <w:pPr>
              <w:spacing w:line="276" w:lineRule="auto"/>
              <w:ind w:left="-108" w:firstLine="108"/>
              <w:jc w:val="right"/>
              <w:rPr>
                <w:szCs w:val="24"/>
                <w:lang w:val="it-IT"/>
              </w:rPr>
            </w:pPr>
            <w:r w:rsidRPr="00DE53BA">
              <w:rPr>
                <w:szCs w:val="24"/>
                <w:lang w:val="it-IT"/>
              </w:rPr>
              <w:t> </w:t>
            </w:r>
          </w:p>
        </w:tc>
      </w:tr>
    </w:tbl>
    <w:p w14:paraId="7CB3E437" w14:textId="77777777" w:rsidR="00E463E6" w:rsidRDefault="00E463E6" w:rsidP="00E463E6">
      <w:pPr>
        <w:spacing w:line="276" w:lineRule="auto"/>
        <w:rPr>
          <w:b/>
          <w:szCs w:val="24"/>
          <w:lang w:val="sq-AL"/>
        </w:rPr>
        <w:sectPr w:rsidR="00E463E6" w:rsidSect="00E463E6">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p>
    <w:p w14:paraId="1A7D2ED8" w14:textId="77777777" w:rsidR="00E463E6" w:rsidRPr="006624FC" w:rsidRDefault="00E463E6" w:rsidP="00E463E6">
      <w:pPr>
        <w:spacing w:line="276" w:lineRule="auto"/>
        <w:jc w:val="center"/>
        <w:rPr>
          <w:b/>
          <w:szCs w:val="24"/>
          <w:lang w:val="sq-AL"/>
        </w:rPr>
      </w:pPr>
    </w:p>
    <w:p w14:paraId="4F7AC1BA" w14:textId="77777777" w:rsidR="00E463E6" w:rsidRPr="00325A1F" w:rsidRDefault="00E463E6" w:rsidP="00E463E6">
      <w:pPr>
        <w:pStyle w:val="IASpacer"/>
        <w:spacing w:line="276" w:lineRule="auto"/>
        <w:rPr>
          <w:sz w:val="24"/>
          <w:szCs w:val="24"/>
        </w:rPr>
      </w:pPr>
    </w:p>
    <w:p w14:paraId="3366CB52" w14:textId="77777777" w:rsidR="00E463E6" w:rsidRPr="00325A1F" w:rsidRDefault="00E463E6" w:rsidP="00E463E6">
      <w:pPr>
        <w:spacing w:line="276" w:lineRule="auto"/>
        <w:rPr>
          <w:szCs w:val="24"/>
        </w:rPr>
      </w:pPr>
    </w:p>
    <w:p w14:paraId="2EF855F9" w14:textId="0992DEF6" w:rsidR="00225F7F" w:rsidRPr="00DE53BA" w:rsidRDefault="002005F1" w:rsidP="584B7111">
      <w:pPr>
        <w:spacing w:line="276" w:lineRule="auto"/>
        <w:rPr>
          <w:lang w:val="sq-AL"/>
        </w:rPr>
      </w:pPr>
      <w:r w:rsidRPr="00225F7F">
        <w:rPr>
          <w:rStyle w:val="Strong"/>
          <w:szCs w:val="24"/>
          <w:lang w:val="sq-AL"/>
        </w:rPr>
        <w:fldChar w:fldCharType="begin"/>
      </w:r>
      <w:r w:rsidR="002125B7"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Pr="00225F7F">
        <w:rPr>
          <w:rStyle w:val="Strong"/>
          <w:szCs w:val="24"/>
          <w:lang w:val="sq-AL"/>
        </w:rPr>
        <w:fldChar w:fldCharType="end"/>
      </w:r>
    </w:p>
    <w:p w14:paraId="0806EE14" w14:textId="77777777" w:rsidR="00E139C5" w:rsidRPr="001155AF" w:rsidRDefault="002005F1" w:rsidP="009D13F4">
      <w:pPr>
        <w:spacing w:line="276" w:lineRule="auto"/>
        <w:rPr>
          <w:lang w:val="sq-AL"/>
        </w:rPr>
      </w:pPr>
      <w:r>
        <w:rPr>
          <w:b/>
          <w:szCs w:val="24"/>
          <w:lang w:val="sq-AL"/>
        </w:rPr>
        <w:fldChar w:fldCharType="begin"/>
      </w:r>
      <w:r w:rsidR="009F625C">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p w14:paraId="0DA50FED" w14:textId="77777777" w:rsidR="00225F7F" w:rsidRDefault="002005F1" w:rsidP="009D13F4">
      <w:pPr>
        <w:spacing w:line="276" w:lineRule="auto"/>
        <w:rPr>
          <w:b/>
          <w:szCs w:val="24"/>
          <w:lang w:val="sq-AL"/>
        </w:rPr>
        <w:sectPr w:rsidR="00225F7F" w:rsidSect="00225F7F">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p>
    <w:p w14:paraId="7BC48F2A" w14:textId="77777777" w:rsidR="006624FC" w:rsidRPr="006624FC" w:rsidRDefault="006624FC" w:rsidP="006624FC">
      <w:pPr>
        <w:spacing w:line="276" w:lineRule="auto"/>
        <w:jc w:val="center"/>
        <w:rPr>
          <w:b/>
          <w:szCs w:val="24"/>
          <w:lang w:val="sq-AL"/>
        </w:rPr>
      </w:pPr>
    </w:p>
    <w:p w14:paraId="70989480" w14:textId="77777777" w:rsidR="002125B7" w:rsidRPr="00325A1F" w:rsidRDefault="002125B7" w:rsidP="009D13F4">
      <w:pPr>
        <w:pStyle w:val="IASpacer"/>
        <w:spacing w:line="276" w:lineRule="auto"/>
        <w:rPr>
          <w:sz w:val="24"/>
          <w:szCs w:val="24"/>
        </w:rPr>
      </w:pPr>
    </w:p>
    <w:p w14:paraId="382B5935" w14:textId="77777777" w:rsidR="00E463E6" w:rsidRPr="00325A1F" w:rsidRDefault="00E463E6" w:rsidP="00E463E6">
      <w:pPr>
        <w:spacing w:line="276" w:lineRule="auto"/>
        <w:rPr>
          <w:rStyle w:val="Strong"/>
          <w:szCs w:val="24"/>
          <w:lang w:val="sq-AL"/>
        </w:rPr>
      </w:pPr>
      <w:r w:rsidRPr="00325A1F">
        <w:rPr>
          <w:b/>
          <w:szCs w:val="24"/>
          <w:lang w:val="sq-AL"/>
        </w:rPr>
        <w:t xml:space="preserve">Raporti i vlerësimit të ndikimit - Shtojca 2/b </w:t>
      </w:r>
    </w:p>
    <w:p w14:paraId="720A1E71" w14:textId="77777777" w:rsidR="00E463E6" w:rsidRPr="00325A1F" w:rsidRDefault="00E463E6" w:rsidP="00E463E6">
      <w:pPr>
        <w:spacing w:line="276" w:lineRule="auto"/>
        <w:rPr>
          <w:rStyle w:val="Strong"/>
          <w:b w:val="0"/>
          <w:szCs w:val="24"/>
          <w:lang w:val="sq-AL"/>
        </w:rPr>
      </w:pPr>
    </w:p>
    <w:p w14:paraId="093ECD3D" w14:textId="77777777" w:rsidR="00E463E6" w:rsidRPr="00325A1F" w:rsidRDefault="00E463E6" w:rsidP="00E463E6">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p>
    <w:p w14:paraId="49545E1F" w14:textId="77777777" w:rsidR="00E463E6" w:rsidRPr="00325A1F" w:rsidRDefault="00E463E6" w:rsidP="00E463E6">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E463E6" w:rsidRPr="00331272" w14:paraId="41932731" w14:textId="77777777" w:rsidTr="00257F20">
        <w:tc>
          <w:tcPr>
            <w:tcW w:w="1698" w:type="dxa"/>
            <w:vMerge w:val="restart"/>
          </w:tcPr>
          <w:p w14:paraId="44ABB79C" w14:textId="77777777" w:rsidR="00E463E6" w:rsidRPr="00325A1F" w:rsidRDefault="00E463E6" w:rsidP="00257F20">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0AAFA82D" w14:textId="77777777" w:rsidR="00E463E6" w:rsidRPr="00325A1F" w:rsidRDefault="00E463E6" w:rsidP="00257F20">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0FD38B49" w14:textId="77777777" w:rsidR="00E463E6" w:rsidRPr="00325A1F" w:rsidRDefault="00E463E6" w:rsidP="00257F20">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E463E6" w:rsidRPr="00325A1F" w14:paraId="7EF741D6" w14:textId="77777777" w:rsidTr="00257F20">
        <w:tc>
          <w:tcPr>
            <w:tcW w:w="1698" w:type="dxa"/>
            <w:vMerge/>
          </w:tcPr>
          <w:p w14:paraId="45535B11" w14:textId="77777777" w:rsidR="00E463E6" w:rsidRPr="00325A1F" w:rsidRDefault="00E463E6" w:rsidP="00257F20">
            <w:pPr>
              <w:autoSpaceDE w:val="0"/>
              <w:autoSpaceDN w:val="0"/>
              <w:adjustRightInd w:val="0"/>
              <w:spacing w:line="276" w:lineRule="auto"/>
              <w:jc w:val="both"/>
              <w:rPr>
                <w:szCs w:val="24"/>
                <w:lang w:val="sq-AL"/>
              </w:rPr>
            </w:pPr>
          </w:p>
        </w:tc>
        <w:tc>
          <w:tcPr>
            <w:tcW w:w="2258" w:type="dxa"/>
          </w:tcPr>
          <w:p w14:paraId="29D973F8" w14:textId="77777777" w:rsidR="00E463E6" w:rsidRPr="00325A1F" w:rsidRDefault="00E463E6" w:rsidP="00257F20">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1642ADF0" w14:textId="77777777" w:rsidR="00E463E6" w:rsidRPr="00325A1F" w:rsidRDefault="00E463E6" w:rsidP="00257F20">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1717968C" w14:textId="77777777" w:rsidR="00E463E6" w:rsidRPr="00325A1F" w:rsidRDefault="00E463E6" w:rsidP="00257F20">
            <w:pPr>
              <w:autoSpaceDE w:val="0"/>
              <w:autoSpaceDN w:val="0"/>
              <w:adjustRightInd w:val="0"/>
              <w:spacing w:line="276" w:lineRule="auto"/>
              <w:jc w:val="center"/>
              <w:rPr>
                <w:color w:val="000000"/>
                <w:szCs w:val="24"/>
                <w:lang w:val="sq-AL"/>
              </w:rPr>
            </w:pPr>
          </w:p>
        </w:tc>
      </w:tr>
      <w:tr w:rsidR="00E463E6" w:rsidRPr="00325A1F" w14:paraId="016AE4DE" w14:textId="77777777" w:rsidTr="00257F20">
        <w:tc>
          <w:tcPr>
            <w:tcW w:w="1698" w:type="dxa"/>
          </w:tcPr>
          <w:p w14:paraId="6EA5ABCC" w14:textId="77777777" w:rsidR="00E463E6" w:rsidRPr="00325A1F" w:rsidRDefault="00E463E6" w:rsidP="00257F20">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14:paraId="64BC9117" w14:textId="085BA467" w:rsidR="00E463E6" w:rsidRPr="00325A1F" w:rsidRDefault="00320F8D" w:rsidP="00257F20">
            <w:pPr>
              <w:autoSpaceDE w:val="0"/>
              <w:autoSpaceDN w:val="0"/>
              <w:adjustRightInd w:val="0"/>
              <w:spacing w:line="276" w:lineRule="auto"/>
              <w:jc w:val="right"/>
              <w:rPr>
                <w:color w:val="000000"/>
                <w:szCs w:val="24"/>
                <w:lang w:val="sq-AL"/>
              </w:rPr>
            </w:pPr>
            <w:r>
              <w:rPr>
                <w:color w:val="808080" w:themeColor="background1" w:themeShade="80"/>
                <w:szCs w:val="24"/>
              </w:rPr>
              <w:t>57</w:t>
            </w:r>
          </w:p>
        </w:tc>
        <w:tc>
          <w:tcPr>
            <w:tcW w:w="2410" w:type="dxa"/>
          </w:tcPr>
          <w:p w14:paraId="3117136C" w14:textId="77777777" w:rsidR="00E463E6" w:rsidRPr="00325A1F" w:rsidRDefault="00E463E6" w:rsidP="00257F20">
            <w:pPr>
              <w:autoSpaceDE w:val="0"/>
              <w:autoSpaceDN w:val="0"/>
              <w:adjustRightInd w:val="0"/>
              <w:spacing w:line="276" w:lineRule="auto"/>
              <w:jc w:val="right"/>
              <w:rPr>
                <w:color w:val="000000"/>
                <w:szCs w:val="24"/>
                <w:lang w:val="sq-AL"/>
              </w:rPr>
            </w:pPr>
            <w:r>
              <w:rPr>
                <w:color w:val="808080" w:themeColor="background1" w:themeShade="80"/>
                <w:szCs w:val="24"/>
              </w:rPr>
              <w:t>3,837</w:t>
            </w:r>
          </w:p>
        </w:tc>
        <w:tc>
          <w:tcPr>
            <w:tcW w:w="3444" w:type="dxa"/>
          </w:tcPr>
          <w:p w14:paraId="5D50D792" w14:textId="3EBEC235" w:rsidR="00E463E6" w:rsidRPr="00325A1F" w:rsidRDefault="00320F8D" w:rsidP="00257F20">
            <w:pPr>
              <w:autoSpaceDE w:val="0"/>
              <w:autoSpaceDN w:val="0"/>
              <w:adjustRightInd w:val="0"/>
              <w:spacing w:line="276" w:lineRule="auto"/>
              <w:jc w:val="right"/>
              <w:rPr>
                <w:color w:val="000000"/>
                <w:szCs w:val="24"/>
                <w:lang w:val="sq-AL"/>
              </w:rPr>
            </w:pPr>
            <w:r>
              <w:rPr>
                <w:color w:val="808080" w:themeColor="background1" w:themeShade="80"/>
                <w:szCs w:val="24"/>
              </w:rPr>
              <w:t>3780</w:t>
            </w:r>
          </w:p>
        </w:tc>
      </w:tr>
      <w:tr w:rsidR="00E463E6" w:rsidRPr="00325A1F" w14:paraId="76CC7484" w14:textId="77777777" w:rsidTr="00257F20">
        <w:tc>
          <w:tcPr>
            <w:tcW w:w="1698" w:type="dxa"/>
          </w:tcPr>
          <w:p w14:paraId="7CDAD08B" w14:textId="77777777" w:rsidR="00E463E6" w:rsidRPr="00325A1F" w:rsidRDefault="00E463E6" w:rsidP="00257F20">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14:paraId="717F51AA" w14:textId="77777777" w:rsidR="00E463E6" w:rsidRPr="00325A1F" w:rsidRDefault="00E463E6" w:rsidP="00257F20">
            <w:pPr>
              <w:autoSpaceDE w:val="0"/>
              <w:autoSpaceDN w:val="0"/>
              <w:adjustRightInd w:val="0"/>
              <w:spacing w:line="276" w:lineRule="auto"/>
              <w:jc w:val="right"/>
              <w:rPr>
                <w:color w:val="000000"/>
                <w:szCs w:val="24"/>
                <w:lang w:val="sq-AL"/>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14:paraId="3C6CE52A" w14:textId="77777777" w:rsidR="00E463E6" w:rsidRPr="00325A1F" w:rsidRDefault="00E463E6" w:rsidP="00257F20">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38A04038" w14:textId="77777777" w:rsidR="00E463E6" w:rsidRPr="00325A1F" w:rsidRDefault="00E463E6" w:rsidP="00257F20">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E463E6" w:rsidRPr="00325A1F" w14:paraId="400DE3DD" w14:textId="77777777" w:rsidTr="00257F20">
        <w:tc>
          <w:tcPr>
            <w:tcW w:w="1698" w:type="dxa"/>
          </w:tcPr>
          <w:p w14:paraId="1C9ED36E" w14:textId="77777777" w:rsidR="00E463E6" w:rsidRPr="00325A1F" w:rsidRDefault="00E463E6" w:rsidP="00257F20">
            <w:pPr>
              <w:autoSpaceDE w:val="0"/>
              <w:autoSpaceDN w:val="0"/>
              <w:adjustRightInd w:val="0"/>
              <w:spacing w:line="276" w:lineRule="auto"/>
              <w:jc w:val="both"/>
              <w:rPr>
                <w:szCs w:val="24"/>
                <w:lang w:val="sq-AL"/>
              </w:rPr>
            </w:pPr>
            <w:r w:rsidRPr="00325A1F">
              <w:rPr>
                <w:szCs w:val="24"/>
                <w:lang w:val="sq-AL"/>
              </w:rPr>
              <w:t xml:space="preserve">Opsioni </w:t>
            </w:r>
            <w:r>
              <w:rPr>
                <w:szCs w:val="24"/>
                <w:lang w:val="sq-AL"/>
              </w:rPr>
              <w:t>3</w:t>
            </w:r>
          </w:p>
        </w:tc>
        <w:tc>
          <w:tcPr>
            <w:tcW w:w="2258" w:type="dxa"/>
          </w:tcPr>
          <w:p w14:paraId="1421F6F5" w14:textId="77777777" w:rsidR="00E463E6" w:rsidRDefault="00E463E6" w:rsidP="00257F20">
            <w:pPr>
              <w:autoSpaceDE w:val="0"/>
              <w:autoSpaceDN w:val="0"/>
              <w:adjustRightInd w:val="0"/>
              <w:spacing w:line="276" w:lineRule="auto"/>
              <w:jc w:val="right"/>
              <w:rPr>
                <w:color w:val="808080" w:themeColor="background1" w:themeShade="80"/>
                <w:szCs w:val="24"/>
              </w:rPr>
            </w:pPr>
          </w:p>
        </w:tc>
        <w:tc>
          <w:tcPr>
            <w:tcW w:w="2410" w:type="dxa"/>
          </w:tcPr>
          <w:p w14:paraId="760BE03B" w14:textId="77777777" w:rsidR="00E463E6" w:rsidRPr="003A12EA" w:rsidRDefault="00E463E6" w:rsidP="00257F20">
            <w:pPr>
              <w:autoSpaceDE w:val="0"/>
              <w:autoSpaceDN w:val="0"/>
              <w:adjustRightInd w:val="0"/>
              <w:spacing w:line="276" w:lineRule="auto"/>
              <w:jc w:val="right"/>
              <w:rPr>
                <w:color w:val="808080" w:themeColor="background1" w:themeShade="80"/>
                <w:szCs w:val="24"/>
              </w:rPr>
            </w:pPr>
          </w:p>
        </w:tc>
        <w:tc>
          <w:tcPr>
            <w:tcW w:w="3444" w:type="dxa"/>
          </w:tcPr>
          <w:p w14:paraId="40A61F5C" w14:textId="77777777" w:rsidR="00E463E6" w:rsidRPr="003A12EA" w:rsidRDefault="00E463E6" w:rsidP="00257F20">
            <w:pPr>
              <w:autoSpaceDE w:val="0"/>
              <w:autoSpaceDN w:val="0"/>
              <w:adjustRightInd w:val="0"/>
              <w:spacing w:line="276" w:lineRule="auto"/>
              <w:jc w:val="right"/>
              <w:rPr>
                <w:color w:val="808080" w:themeColor="background1" w:themeShade="80"/>
                <w:szCs w:val="24"/>
              </w:rPr>
            </w:pPr>
          </w:p>
        </w:tc>
      </w:tr>
    </w:tbl>
    <w:p w14:paraId="6FEB6E26" w14:textId="77777777" w:rsidR="00E463E6" w:rsidRPr="00325A1F" w:rsidRDefault="00E463E6" w:rsidP="00E463E6">
      <w:pPr>
        <w:spacing w:line="276" w:lineRule="auto"/>
        <w:rPr>
          <w:b/>
          <w:szCs w:val="24"/>
          <w:lang w:val="sq-AL"/>
        </w:rPr>
      </w:pPr>
    </w:p>
    <w:p w14:paraId="35ED91FB" w14:textId="77777777" w:rsidR="00E463E6" w:rsidRPr="00325A1F" w:rsidRDefault="00E463E6" w:rsidP="00E463E6">
      <w:pPr>
        <w:spacing w:line="276" w:lineRule="auto"/>
        <w:rPr>
          <w:b/>
          <w:szCs w:val="24"/>
          <w:lang w:val="sq-AL"/>
        </w:rPr>
      </w:pPr>
    </w:p>
    <w:p w14:paraId="76060C7E" w14:textId="77777777" w:rsidR="00E463E6" w:rsidRPr="00325A1F" w:rsidRDefault="00E463E6" w:rsidP="00E463E6">
      <w:pPr>
        <w:spacing w:line="276" w:lineRule="auto"/>
        <w:jc w:val="center"/>
        <w:rPr>
          <w:b/>
          <w:szCs w:val="24"/>
          <w:lang w:val="sq-AL"/>
        </w:rPr>
      </w:pPr>
      <w:r w:rsidRPr="00325A1F">
        <w:rPr>
          <w:b/>
          <w:szCs w:val="24"/>
          <w:lang w:val="sq-AL"/>
        </w:rPr>
        <w:t>MINISTËR</w:t>
      </w:r>
    </w:p>
    <w:p w14:paraId="611A3475" w14:textId="77777777" w:rsidR="00E463E6" w:rsidRPr="00325A1F" w:rsidRDefault="00E463E6" w:rsidP="00E463E6">
      <w:pPr>
        <w:spacing w:line="276" w:lineRule="auto"/>
        <w:jc w:val="center"/>
        <w:rPr>
          <w:b/>
          <w:szCs w:val="24"/>
          <w:lang w:val="sq-AL"/>
        </w:rPr>
      </w:pPr>
    </w:p>
    <w:p w14:paraId="455B61EB" w14:textId="77777777" w:rsidR="00E463E6" w:rsidRPr="006624FC" w:rsidRDefault="00E463E6" w:rsidP="00E463E6">
      <w:pPr>
        <w:spacing w:line="276" w:lineRule="auto"/>
        <w:jc w:val="center"/>
        <w:rPr>
          <w:b/>
          <w:szCs w:val="24"/>
          <w:lang w:val="sq-AL"/>
        </w:rPr>
      </w:pPr>
      <w:r w:rsidRPr="006624FC">
        <w:rPr>
          <w:b/>
          <w:szCs w:val="24"/>
          <w:lang w:val="sq-AL"/>
        </w:rPr>
        <w:t xml:space="preserve">BLENDI GONXHJA </w:t>
      </w:r>
    </w:p>
    <w:p w14:paraId="2885F76D" w14:textId="77777777" w:rsidR="001F5DD9" w:rsidRPr="00325A1F" w:rsidRDefault="001F5DD9" w:rsidP="009D13F4">
      <w:pPr>
        <w:spacing w:line="276" w:lineRule="auto"/>
        <w:rPr>
          <w:szCs w:val="24"/>
        </w:rPr>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2BE7" w14:textId="77777777" w:rsidR="00CF7744" w:rsidRDefault="00CF7744">
      <w:r>
        <w:separator/>
      </w:r>
    </w:p>
  </w:endnote>
  <w:endnote w:type="continuationSeparator" w:id="0">
    <w:p w14:paraId="5E5A246B" w14:textId="77777777" w:rsidR="00CF7744" w:rsidRDefault="00CF7744">
      <w:r>
        <w:continuationSeparator/>
      </w:r>
    </w:p>
  </w:endnote>
  <w:endnote w:type="continuationNotice" w:id="1">
    <w:p w14:paraId="3E2A37A8" w14:textId="77777777" w:rsidR="00CF7744" w:rsidRDefault="00CF7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BD9D" w14:textId="77777777" w:rsidR="000E0733" w:rsidRPr="00EB43FD" w:rsidRDefault="000E0733"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Pr>
        <w:rStyle w:val="PageNumber"/>
        <w:b w:val="0"/>
        <w:noProof/>
        <w:szCs w:val="18"/>
      </w:rPr>
      <w:t>20</w:t>
    </w:r>
    <w:r w:rsidRPr="00EB43FD">
      <w:rPr>
        <w:rStyle w:val="PageNumber"/>
        <w:b w:val="0"/>
        <w:szCs w:val="18"/>
      </w:rPr>
      <w:fldChar w:fldCharType="end"/>
    </w:r>
  </w:p>
  <w:p w14:paraId="03EF0755" w14:textId="77777777" w:rsidR="000E0733" w:rsidRDefault="000E0733"/>
  <w:p w14:paraId="03F8EC73" w14:textId="77777777" w:rsidR="000E0733" w:rsidRDefault="000E07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5BEA" w14:textId="77777777" w:rsidR="00CF7744" w:rsidRDefault="00CF7744">
      <w:r>
        <w:separator/>
      </w:r>
    </w:p>
  </w:footnote>
  <w:footnote w:type="continuationSeparator" w:id="0">
    <w:p w14:paraId="79B55554" w14:textId="77777777" w:rsidR="00CF7744" w:rsidRDefault="00CF7744">
      <w:r>
        <w:continuationSeparator/>
      </w:r>
    </w:p>
  </w:footnote>
  <w:footnote w:type="continuationNotice" w:id="1">
    <w:p w14:paraId="1AB8D581" w14:textId="77777777" w:rsidR="00CF7744" w:rsidRDefault="00CF7744"/>
  </w:footnote>
  <w:footnote w:id="2">
    <w:p w14:paraId="7A8C1E9F" w14:textId="77777777" w:rsidR="000E0733" w:rsidRPr="007270B4" w:rsidRDefault="000E0733" w:rsidP="00C035DC">
      <w:pPr>
        <w:pStyle w:val="FootnoteText"/>
        <w:rPr>
          <w:lang w:val="en-US"/>
        </w:rPr>
      </w:pPr>
      <w:r>
        <w:rPr>
          <w:rStyle w:val="FootnoteReference"/>
        </w:rPr>
        <w:footnoteRef/>
      </w:r>
      <w:r>
        <w:t xml:space="preserve"> </w:t>
      </w:r>
      <w:r>
        <w:rPr>
          <w:lang w:val="en-US"/>
        </w:rPr>
        <w:t>Shih me tep</w:t>
      </w:r>
      <w:r w:rsidRPr="00B07673">
        <w:rPr>
          <w:lang w:val="en-US"/>
        </w:rPr>
        <w:t>ë</w:t>
      </w:r>
      <w:r>
        <w:rPr>
          <w:lang w:val="en-US"/>
        </w:rPr>
        <w:t xml:space="preserve">r: </w:t>
      </w:r>
      <w:hyperlink r:id="rId1" w:history="1">
        <w:r>
          <w:rPr>
            <w:rStyle w:val="Hyperlink"/>
          </w:rPr>
          <w:t>EU</w:t>
        </w:r>
      </w:hyperlink>
      <w:r>
        <w:rPr>
          <w:lang w:val="en-US"/>
        </w:rPr>
        <w:t xml:space="preserve"> Common Position – Cluster 2: Internal Market </w:t>
      </w:r>
    </w:p>
  </w:footnote>
  <w:footnote w:id="3">
    <w:p w14:paraId="4F52811E" w14:textId="77777777" w:rsidR="000E0733" w:rsidRPr="00DA1068" w:rsidRDefault="000E0733" w:rsidP="005B11C4">
      <w:pPr>
        <w:pStyle w:val="FootnoteText"/>
        <w:rPr>
          <w:lang w:val="sq-AL"/>
        </w:rPr>
      </w:pPr>
      <w:r w:rsidRPr="00DA1068">
        <w:rPr>
          <w:rStyle w:val="FootnoteReference"/>
          <w:lang w:val="sq-AL"/>
        </w:rPr>
        <w:footnoteRef/>
      </w:r>
      <w:r w:rsidRPr="00DA1068">
        <w:rPr>
          <w:lang w:val="sq-AL"/>
        </w:rPr>
        <w:t xml:space="preserve"> Vendim Nr. 266, datë 27.4.2023 Për Miratimin e Dokumentit Politik “Për Krijimin e një Mjedisi Mundësues për Zhvillimin e Tregjeve të Kapitalit në Shqipëri, 2023–2027”</w:t>
      </w:r>
    </w:p>
    <w:p w14:paraId="2B303EBB" w14:textId="77777777" w:rsidR="000E0733" w:rsidRPr="00DA1068" w:rsidRDefault="000E0733" w:rsidP="005B11C4">
      <w:pPr>
        <w:pStyle w:val="FootnoteText"/>
        <w:rPr>
          <w:lang w:val="en-US"/>
        </w:rPr>
      </w:pPr>
    </w:p>
  </w:footnote>
  <w:footnote w:id="4">
    <w:p w14:paraId="0C2D7025" w14:textId="77777777" w:rsidR="000E0733" w:rsidRPr="005F23C8" w:rsidRDefault="000E0733" w:rsidP="00D22151">
      <w:pPr>
        <w:pStyle w:val="FootnoteText"/>
        <w:rPr>
          <w:lang w:val="fr-FR"/>
        </w:rPr>
      </w:pPr>
      <w:r>
        <w:rPr>
          <w:rStyle w:val="FootnoteReference"/>
        </w:rPr>
        <w:footnoteRef/>
      </w:r>
      <w:r w:rsidRPr="005F23C8">
        <w:rPr>
          <w:lang w:val="fr-FR"/>
        </w:rPr>
        <w:t xml:space="preserve"> Shih faqet 12 dhe 67 të Progress Raportit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7777" w14:textId="77777777" w:rsidR="000E0733" w:rsidRDefault="000E0733"/>
  <w:p w14:paraId="01460918" w14:textId="77777777" w:rsidR="000E0733" w:rsidRDefault="000E0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9BF"/>
    <w:multiLevelType w:val="multilevel"/>
    <w:tmpl w:val="B41E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35773"/>
    <w:multiLevelType w:val="hybridMultilevel"/>
    <w:tmpl w:val="A7EA61F4"/>
    <w:lvl w:ilvl="0" w:tplc="D9CADC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56384"/>
    <w:multiLevelType w:val="hybridMultilevel"/>
    <w:tmpl w:val="1160DFA2"/>
    <w:lvl w:ilvl="0" w:tplc="E2F677A6">
      <w:start w:val="1"/>
      <w:numFmt w:val="bullet"/>
      <w:lvlText w:val=""/>
      <w:lvlJc w:val="left"/>
      <w:pPr>
        <w:ind w:left="1440" w:hanging="360"/>
      </w:pPr>
      <w:rPr>
        <w:rFonts w:ascii="Symbol" w:hAnsi="Symbol"/>
      </w:rPr>
    </w:lvl>
    <w:lvl w:ilvl="1" w:tplc="8D465B10">
      <w:start w:val="1"/>
      <w:numFmt w:val="bullet"/>
      <w:lvlText w:val=""/>
      <w:lvlJc w:val="left"/>
      <w:pPr>
        <w:ind w:left="1440" w:hanging="360"/>
      </w:pPr>
      <w:rPr>
        <w:rFonts w:ascii="Symbol" w:hAnsi="Symbol"/>
      </w:rPr>
    </w:lvl>
    <w:lvl w:ilvl="2" w:tplc="EA240B2C">
      <w:start w:val="1"/>
      <w:numFmt w:val="bullet"/>
      <w:lvlText w:val=""/>
      <w:lvlJc w:val="left"/>
      <w:pPr>
        <w:ind w:left="1440" w:hanging="360"/>
      </w:pPr>
      <w:rPr>
        <w:rFonts w:ascii="Symbol" w:hAnsi="Symbol"/>
      </w:rPr>
    </w:lvl>
    <w:lvl w:ilvl="3" w:tplc="EC6A20F2">
      <w:start w:val="1"/>
      <w:numFmt w:val="bullet"/>
      <w:lvlText w:val=""/>
      <w:lvlJc w:val="left"/>
      <w:pPr>
        <w:ind w:left="1440" w:hanging="360"/>
      </w:pPr>
      <w:rPr>
        <w:rFonts w:ascii="Symbol" w:hAnsi="Symbol"/>
      </w:rPr>
    </w:lvl>
    <w:lvl w:ilvl="4" w:tplc="25DCDA38">
      <w:start w:val="1"/>
      <w:numFmt w:val="bullet"/>
      <w:lvlText w:val=""/>
      <w:lvlJc w:val="left"/>
      <w:pPr>
        <w:ind w:left="1440" w:hanging="360"/>
      </w:pPr>
      <w:rPr>
        <w:rFonts w:ascii="Symbol" w:hAnsi="Symbol"/>
      </w:rPr>
    </w:lvl>
    <w:lvl w:ilvl="5" w:tplc="4CBC23A2">
      <w:start w:val="1"/>
      <w:numFmt w:val="bullet"/>
      <w:lvlText w:val=""/>
      <w:lvlJc w:val="left"/>
      <w:pPr>
        <w:ind w:left="1440" w:hanging="360"/>
      </w:pPr>
      <w:rPr>
        <w:rFonts w:ascii="Symbol" w:hAnsi="Symbol"/>
      </w:rPr>
    </w:lvl>
    <w:lvl w:ilvl="6" w:tplc="7D523EB6">
      <w:start w:val="1"/>
      <w:numFmt w:val="bullet"/>
      <w:lvlText w:val=""/>
      <w:lvlJc w:val="left"/>
      <w:pPr>
        <w:ind w:left="1440" w:hanging="360"/>
      </w:pPr>
      <w:rPr>
        <w:rFonts w:ascii="Symbol" w:hAnsi="Symbol"/>
      </w:rPr>
    </w:lvl>
    <w:lvl w:ilvl="7" w:tplc="3AA0581E">
      <w:start w:val="1"/>
      <w:numFmt w:val="bullet"/>
      <w:lvlText w:val=""/>
      <w:lvlJc w:val="left"/>
      <w:pPr>
        <w:ind w:left="1440" w:hanging="360"/>
      </w:pPr>
      <w:rPr>
        <w:rFonts w:ascii="Symbol" w:hAnsi="Symbol"/>
      </w:rPr>
    </w:lvl>
    <w:lvl w:ilvl="8" w:tplc="FE4076C8">
      <w:start w:val="1"/>
      <w:numFmt w:val="bullet"/>
      <w:lvlText w:val=""/>
      <w:lvlJc w:val="left"/>
      <w:pPr>
        <w:ind w:left="1440" w:hanging="360"/>
      </w:pPr>
      <w:rPr>
        <w:rFonts w:ascii="Symbol" w:hAnsi="Symbol"/>
      </w:rPr>
    </w:lvl>
  </w:abstractNum>
  <w:abstractNum w:abstractNumId="3" w15:restartNumberingAfterBreak="0">
    <w:nsid w:val="06800F56"/>
    <w:multiLevelType w:val="multilevel"/>
    <w:tmpl w:val="F6A8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A6790"/>
    <w:multiLevelType w:val="multilevel"/>
    <w:tmpl w:val="B2D4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87621"/>
    <w:multiLevelType w:val="multilevel"/>
    <w:tmpl w:val="68DC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F2C1F"/>
    <w:multiLevelType w:val="hybridMultilevel"/>
    <w:tmpl w:val="9DD4672A"/>
    <w:lvl w:ilvl="0" w:tplc="2B444192">
      <w:start w:val="1"/>
      <w:numFmt w:val="bullet"/>
      <w:lvlText w:val=""/>
      <w:lvlJc w:val="left"/>
      <w:pPr>
        <w:ind w:left="1440" w:hanging="360"/>
      </w:pPr>
      <w:rPr>
        <w:rFonts w:ascii="Symbol" w:hAnsi="Symbol"/>
      </w:rPr>
    </w:lvl>
    <w:lvl w:ilvl="1" w:tplc="FB68791C">
      <w:start w:val="1"/>
      <w:numFmt w:val="bullet"/>
      <w:lvlText w:val=""/>
      <w:lvlJc w:val="left"/>
      <w:pPr>
        <w:ind w:left="1440" w:hanging="360"/>
      </w:pPr>
      <w:rPr>
        <w:rFonts w:ascii="Symbol" w:hAnsi="Symbol"/>
      </w:rPr>
    </w:lvl>
    <w:lvl w:ilvl="2" w:tplc="C64AB54C">
      <w:start w:val="1"/>
      <w:numFmt w:val="bullet"/>
      <w:lvlText w:val=""/>
      <w:lvlJc w:val="left"/>
      <w:pPr>
        <w:ind w:left="1440" w:hanging="360"/>
      </w:pPr>
      <w:rPr>
        <w:rFonts w:ascii="Symbol" w:hAnsi="Symbol"/>
      </w:rPr>
    </w:lvl>
    <w:lvl w:ilvl="3" w:tplc="96B8B694">
      <w:start w:val="1"/>
      <w:numFmt w:val="bullet"/>
      <w:lvlText w:val=""/>
      <w:lvlJc w:val="left"/>
      <w:pPr>
        <w:ind w:left="1440" w:hanging="360"/>
      </w:pPr>
      <w:rPr>
        <w:rFonts w:ascii="Symbol" w:hAnsi="Symbol"/>
      </w:rPr>
    </w:lvl>
    <w:lvl w:ilvl="4" w:tplc="E0560876">
      <w:start w:val="1"/>
      <w:numFmt w:val="bullet"/>
      <w:lvlText w:val=""/>
      <w:lvlJc w:val="left"/>
      <w:pPr>
        <w:ind w:left="1440" w:hanging="360"/>
      </w:pPr>
      <w:rPr>
        <w:rFonts w:ascii="Symbol" w:hAnsi="Symbol"/>
      </w:rPr>
    </w:lvl>
    <w:lvl w:ilvl="5" w:tplc="12A0D9E2">
      <w:start w:val="1"/>
      <w:numFmt w:val="bullet"/>
      <w:lvlText w:val=""/>
      <w:lvlJc w:val="left"/>
      <w:pPr>
        <w:ind w:left="1440" w:hanging="360"/>
      </w:pPr>
      <w:rPr>
        <w:rFonts w:ascii="Symbol" w:hAnsi="Symbol"/>
      </w:rPr>
    </w:lvl>
    <w:lvl w:ilvl="6" w:tplc="3046690A">
      <w:start w:val="1"/>
      <w:numFmt w:val="bullet"/>
      <w:lvlText w:val=""/>
      <w:lvlJc w:val="left"/>
      <w:pPr>
        <w:ind w:left="1440" w:hanging="360"/>
      </w:pPr>
      <w:rPr>
        <w:rFonts w:ascii="Symbol" w:hAnsi="Symbol"/>
      </w:rPr>
    </w:lvl>
    <w:lvl w:ilvl="7" w:tplc="FAF42EEC">
      <w:start w:val="1"/>
      <w:numFmt w:val="bullet"/>
      <w:lvlText w:val=""/>
      <w:lvlJc w:val="left"/>
      <w:pPr>
        <w:ind w:left="1440" w:hanging="360"/>
      </w:pPr>
      <w:rPr>
        <w:rFonts w:ascii="Symbol" w:hAnsi="Symbol"/>
      </w:rPr>
    </w:lvl>
    <w:lvl w:ilvl="8" w:tplc="9E965B88">
      <w:start w:val="1"/>
      <w:numFmt w:val="bullet"/>
      <w:lvlText w:val=""/>
      <w:lvlJc w:val="left"/>
      <w:pPr>
        <w:ind w:left="1440" w:hanging="360"/>
      </w:pPr>
      <w:rPr>
        <w:rFonts w:ascii="Symbol" w:hAnsi="Symbol"/>
      </w:rPr>
    </w:lvl>
  </w:abstractNum>
  <w:abstractNum w:abstractNumId="7" w15:restartNumberingAfterBreak="0">
    <w:nsid w:val="0A8D00B5"/>
    <w:multiLevelType w:val="hybridMultilevel"/>
    <w:tmpl w:val="7F3A56B6"/>
    <w:lvl w:ilvl="0" w:tplc="0BFC0B3A">
      <w:start w:val="1"/>
      <w:numFmt w:val="bullet"/>
      <w:lvlText w:val=""/>
      <w:lvlJc w:val="left"/>
      <w:pPr>
        <w:ind w:left="1440" w:hanging="360"/>
      </w:pPr>
      <w:rPr>
        <w:rFonts w:ascii="Symbol" w:hAnsi="Symbol"/>
      </w:rPr>
    </w:lvl>
    <w:lvl w:ilvl="1" w:tplc="0700EDC8">
      <w:start w:val="1"/>
      <w:numFmt w:val="bullet"/>
      <w:lvlText w:val=""/>
      <w:lvlJc w:val="left"/>
      <w:pPr>
        <w:ind w:left="1440" w:hanging="360"/>
      </w:pPr>
      <w:rPr>
        <w:rFonts w:ascii="Symbol" w:hAnsi="Symbol"/>
      </w:rPr>
    </w:lvl>
    <w:lvl w:ilvl="2" w:tplc="A5C2A570">
      <w:start w:val="1"/>
      <w:numFmt w:val="bullet"/>
      <w:lvlText w:val=""/>
      <w:lvlJc w:val="left"/>
      <w:pPr>
        <w:ind w:left="1440" w:hanging="360"/>
      </w:pPr>
      <w:rPr>
        <w:rFonts w:ascii="Symbol" w:hAnsi="Symbol"/>
      </w:rPr>
    </w:lvl>
    <w:lvl w:ilvl="3" w:tplc="3D5C3DBC">
      <w:start w:val="1"/>
      <w:numFmt w:val="bullet"/>
      <w:lvlText w:val=""/>
      <w:lvlJc w:val="left"/>
      <w:pPr>
        <w:ind w:left="1440" w:hanging="360"/>
      </w:pPr>
      <w:rPr>
        <w:rFonts w:ascii="Symbol" w:hAnsi="Symbol"/>
      </w:rPr>
    </w:lvl>
    <w:lvl w:ilvl="4" w:tplc="CCD81552">
      <w:start w:val="1"/>
      <w:numFmt w:val="bullet"/>
      <w:lvlText w:val=""/>
      <w:lvlJc w:val="left"/>
      <w:pPr>
        <w:ind w:left="1440" w:hanging="360"/>
      </w:pPr>
      <w:rPr>
        <w:rFonts w:ascii="Symbol" w:hAnsi="Symbol"/>
      </w:rPr>
    </w:lvl>
    <w:lvl w:ilvl="5" w:tplc="4BBE4B32">
      <w:start w:val="1"/>
      <w:numFmt w:val="bullet"/>
      <w:lvlText w:val=""/>
      <w:lvlJc w:val="left"/>
      <w:pPr>
        <w:ind w:left="1440" w:hanging="360"/>
      </w:pPr>
      <w:rPr>
        <w:rFonts w:ascii="Symbol" w:hAnsi="Symbol"/>
      </w:rPr>
    </w:lvl>
    <w:lvl w:ilvl="6" w:tplc="449204CE">
      <w:start w:val="1"/>
      <w:numFmt w:val="bullet"/>
      <w:lvlText w:val=""/>
      <w:lvlJc w:val="left"/>
      <w:pPr>
        <w:ind w:left="1440" w:hanging="360"/>
      </w:pPr>
      <w:rPr>
        <w:rFonts w:ascii="Symbol" w:hAnsi="Symbol"/>
      </w:rPr>
    </w:lvl>
    <w:lvl w:ilvl="7" w:tplc="9CAE497C">
      <w:start w:val="1"/>
      <w:numFmt w:val="bullet"/>
      <w:lvlText w:val=""/>
      <w:lvlJc w:val="left"/>
      <w:pPr>
        <w:ind w:left="1440" w:hanging="360"/>
      </w:pPr>
      <w:rPr>
        <w:rFonts w:ascii="Symbol" w:hAnsi="Symbol"/>
      </w:rPr>
    </w:lvl>
    <w:lvl w:ilvl="8" w:tplc="B05C35B4">
      <w:start w:val="1"/>
      <w:numFmt w:val="bullet"/>
      <w:lvlText w:val=""/>
      <w:lvlJc w:val="left"/>
      <w:pPr>
        <w:ind w:left="1440" w:hanging="360"/>
      </w:pPr>
      <w:rPr>
        <w:rFonts w:ascii="Symbol" w:hAnsi="Symbol"/>
      </w:rPr>
    </w:lvl>
  </w:abstractNum>
  <w:abstractNum w:abstractNumId="8" w15:restartNumberingAfterBreak="0">
    <w:nsid w:val="1314263C"/>
    <w:multiLevelType w:val="multilevel"/>
    <w:tmpl w:val="F9E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153AA"/>
    <w:multiLevelType w:val="hybridMultilevel"/>
    <w:tmpl w:val="D738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838C9"/>
    <w:multiLevelType w:val="multilevel"/>
    <w:tmpl w:val="D214D1E8"/>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D328B"/>
    <w:multiLevelType w:val="hybridMultilevel"/>
    <w:tmpl w:val="D37CE75C"/>
    <w:lvl w:ilvl="0" w:tplc="5302FF18">
      <w:start w:val="2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91EBB"/>
    <w:multiLevelType w:val="multilevel"/>
    <w:tmpl w:val="6C98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D2BEF"/>
    <w:multiLevelType w:val="hybridMultilevel"/>
    <w:tmpl w:val="FFFFFFFF"/>
    <w:lvl w:ilvl="0" w:tplc="AE7404D6">
      <w:start w:val="1"/>
      <w:numFmt w:val="decimal"/>
      <w:lvlText w:val="%1."/>
      <w:lvlJc w:val="left"/>
      <w:pPr>
        <w:ind w:left="720" w:hanging="360"/>
      </w:pPr>
    </w:lvl>
    <w:lvl w:ilvl="1" w:tplc="F4BA1F8C">
      <w:start w:val="1"/>
      <w:numFmt w:val="lowerLetter"/>
      <w:lvlText w:val="%2."/>
      <w:lvlJc w:val="left"/>
      <w:pPr>
        <w:ind w:left="1440" w:hanging="360"/>
      </w:pPr>
    </w:lvl>
    <w:lvl w:ilvl="2" w:tplc="8528EC30">
      <w:start w:val="1"/>
      <w:numFmt w:val="lowerRoman"/>
      <w:lvlText w:val="%3."/>
      <w:lvlJc w:val="right"/>
      <w:pPr>
        <w:ind w:left="2160" w:hanging="180"/>
      </w:pPr>
    </w:lvl>
    <w:lvl w:ilvl="3" w:tplc="A15AA42C">
      <w:start w:val="1"/>
      <w:numFmt w:val="decimal"/>
      <w:lvlText w:val="%4."/>
      <w:lvlJc w:val="left"/>
      <w:pPr>
        <w:ind w:left="2880" w:hanging="360"/>
      </w:pPr>
    </w:lvl>
    <w:lvl w:ilvl="4" w:tplc="DA44E438">
      <w:start w:val="1"/>
      <w:numFmt w:val="lowerLetter"/>
      <w:lvlText w:val="%5."/>
      <w:lvlJc w:val="left"/>
      <w:pPr>
        <w:ind w:left="3600" w:hanging="360"/>
      </w:pPr>
    </w:lvl>
    <w:lvl w:ilvl="5" w:tplc="BF687C4A">
      <w:start w:val="1"/>
      <w:numFmt w:val="lowerRoman"/>
      <w:lvlText w:val="%6."/>
      <w:lvlJc w:val="right"/>
      <w:pPr>
        <w:ind w:left="4320" w:hanging="180"/>
      </w:pPr>
    </w:lvl>
    <w:lvl w:ilvl="6" w:tplc="AFDAAD9C">
      <w:start w:val="1"/>
      <w:numFmt w:val="decimal"/>
      <w:lvlText w:val="%7."/>
      <w:lvlJc w:val="left"/>
      <w:pPr>
        <w:ind w:left="5040" w:hanging="360"/>
      </w:pPr>
    </w:lvl>
    <w:lvl w:ilvl="7" w:tplc="B17C76BC">
      <w:start w:val="1"/>
      <w:numFmt w:val="lowerLetter"/>
      <w:lvlText w:val="%8."/>
      <w:lvlJc w:val="left"/>
      <w:pPr>
        <w:ind w:left="5760" w:hanging="360"/>
      </w:pPr>
    </w:lvl>
    <w:lvl w:ilvl="8" w:tplc="7AF6D268">
      <w:start w:val="1"/>
      <w:numFmt w:val="lowerRoman"/>
      <w:lvlText w:val="%9."/>
      <w:lvlJc w:val="right"/>
      <w:pPr>
        <w:ind w:left="6480" w:hanging="180"/>
      </w:pPr>
    </w:lvl>
  </w:abstractNum>
  <w:abstractNum w:abstractNumId="14" w15:restartNumberingAfterBreak="0">
    <w:nsid w:val="1A2A7D61"/>
    <w:multiLevelType w:val="multilevel"/>
    <w:tmpl w:val="AEFA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334B21"/>
    <w:multiLevelType w:val="multilevel"/>
    <w:tmpl w:val="CD721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786D70"/>
    <w:multiLevelType w:val="multilevel"/>
    <w:tmpl w:val="0D364FD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AB7024"/>
    <w:multiLevelType w:val="multilevel"/>
    <w:tmpl w:val="AE50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CA7530"/>
    <w:multiLevelType w:val="multilevel"/>
    <w:tmpl w:val="1B96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640AFC"/>
    <w:multiLevelType w:val="hybridMultilevel"/>
    <w:tmpl w:val="02D8564C"/>
    <w:lvl w:ilvl="0" w:tplc="9C584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DB4533"/>
    <w:multiLevelType w:val="multilevel"/>
    <w:tmpl w:val="04941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E30FF6"/>
    <w:multiLevelType w:val="hybridMultilevel"/>
    <w:tmpl w:val="D32A6BE6"/>
    <w:lvl w:ilvl="0" w:tplc="5606964E">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1C95BC7"/>
    <w:multiLevelType w:val="multilevel"/>
    <w:tmpl w:val="7330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5E21D9"/>
    <w:multiLevelType w:val="multilevel"/>
    <w:tmpl w:val="8C60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5D4DD0"/>
    <w:multiLevelType w:val="multilevel"/>
    <w:tmpl w:val="D460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C20E39"/>
    <w:multiLevelType w:val="multilevel"/>
    <w:tmpl w:val="B9A2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430EDE"/>
    <w:multiLevelType w:val="hybridMultilevel"/>
    <w:tmpl w:val="0F2440A2"/>
    <w:lvl w:ilvl="0" w:tplc="170A2C3E">
      <w:start w:val="1"/>
      <w:numFmt w:val="decimal"/>
      <w:lvlText w:val="%1."/>
      <w:lvlJc w:val="left"/>
      <w:pPr>
        <w:ind w:left="1080" w:hanging="360"/>
      </w:pPr>
    </w:lvl>
    <w:lvl w:ilvl="1" w:tplc="9C9EC268">
      <w:start w:val="1"/>
      <w:numFmt w:val="decimal"/>
      <w:lvlText w:val="%2."/>
      <w:lvlJc w:val="left"/>
      <w:pPr>
        <w:ind w:left="1080" w:hanging="360"/>
      </w:pPr>
    </w:lvl>
    <w:lvl w:ilvl="2" w:tplc="9D7AC550">
      <w:start w:val="1"/>
      <w:numFmt w:val="decimal"/>
      <w:lvlText w:val="%3."/>
      <w:lvlJc w:val="left"/>
      <w:pPr>
        <w:ind w:left="1080" w:hanging="360"/>
      </w:pPr>
    </w:lvl>
    <w:lvl w:ilvl="3" w:tplc="49582710">
      <w:start w:val="1"/>
      <w:numFmt w:val="decimal"/>
      <w:lvlText w:val="%4."/>
      <w:lvlJc w:val="left"/>
      <w:pPr>
        <w:ind w:left="1080" w:hanging="360"/>
      </w:pPr>
    </w:lvl>
    <w:lvl w:ilvl="4" w:tplc="E176095A">
      <w:start w:val="1"/>
      <w:numFmt w:val="decimal"/>
      <w:lvlText w:val="%5."/>
      <w:lvlJc w:val="left"/>
      <w:pPr>
        <w:ind w:left="1080" w:hanging="360"/>
      </w:pPr>
    </w:lvl>
    <w:lvl w:ilvl="5" w:tplc="0974E670">
      <w:start w:val="1"/>
      <w:numFmt w:val="decimal"/>
      <w:lvlText w:val="%6."/>
      <w:lvlJc w:val="left"/>
      <w:pPr>
        <w:ind w:left="1080" w:hanging="360"/>
      </w:pPr>
    </w:lvl>
    <w:lvl w:ilvl="6" w:tplc="E58241E2">
      <w:start w:val="1"/>
      <w:numFmt w:val="decimal"/>
      <w:lvlText w:val="%7."/>
      <w:lvlJc w:val="left"/>
      <w:pPr>
        <w:ind w:left="1080" w:hanging="360"/>
      </w:pPr>
    </w:lvl>
    <w:lvl w:ilvl="7" w:tplc="C90A151E">
      <w:start w:val="1"/>
      <w:numFmt w:val="decimal"/>
      <w:lvlText w:val="%8."/>
      <w:lvlJc w:val="left"/>
      <w:pPr>
        <w:ind w:left="1080" w:hanging="360"/>
      </w:pPr>
    </w:lvl>
    <w:lvl w:ilvl="8" w:tplc="94BEC2A4">
      <w:start w:val="1"/>
      <w:numFmt w:val="decimal"/>
      <w:lvlText w:val="%9."/>
      <w:lvlJc w:val="left"/>
      <w:pPr>
        <w:ind w:left="1080" w:hanging="360"/>
      </w:pPr>
    </w:lvl>
  </w:abstractNum>
  <w:abstractNum w:abstractNumId="27" w15:restartNumberingAfterBreak="0">
    <w:nsid w:val="26DD2504"/>
    <w:multiLevelType w:val="hybridMultilevel"/>
    <w:tmpl w:val="16D67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4301CE"/>
    <w:multiLevelType w:val="multilevel"/>
    <w:tmpl w:val="F68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B03D32"/>
    <w:multiLevelType w:val="multilevel"/>
    <w:tmpl w:val="F02A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7B2A77"/>
    <w:multiLevelType w:val="hybridMultilevel"/>
    <w:tmpl w:val="16D67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B8182B"/>
    <w:multiLevelType w:val="hybridMultilevel"/>
    <w:tmpl w:val="D6F88622"/>
    <w:lvl w:ilvl="0" w:tplc="42482C2C">
      <w:start w:val="1"/>
      <w:numFmt w:val="bullet"/>
      <w:lvlText w:val=""/>
      <w:lvlJc w:val="left"/>
      <w:pPr>
        <w:ind w:left="1440" w:hanging="360"/>
      </w:pPr>
      <w:rPr>
        <w:rFonts w:ascii="Symbol" w:hAnsi="Symbol"/>
      </w:rPr>
    </w:lvl>
    <w:lvl w:ilvl="1" w:tplc="E0A0E45A">
      <w:start w:val="1"/>
      <w:numFmt w:val="bullet"/>
      <w:lvlText w:val=""/>
      <w:lvlJc w:val="left"/>
      <w:pPr>
        <w:ind w:left="1440" w:hanging="360"/>
      </w:pPr>
      <w:rPr>
        <w:rFonts w:ascii="Symbol" w:hAnsi="Symbol"/>
      </w:rPr>
    </w:lvl>
    <w:lvl w:ilvl="2" w:tplc="0B0C1452">
      <w:start w:val="1"/>
      <w:numFmt w:val="bullet"/>
      <w:lvlText w:val=""/>
      <w:lvlJc w:val="left"/>
      <w:pPr>
        <w:ind w:left="1440" w:hanging="360"/>
      </w:pPr>
      <w:rPr>
        <w:rFonts w:ascii="Symbol" w:hAnsi="Symbol"/>
      </w:rPr>
    </w:lvl>
    <w:lvl w:ilvl="3" w:tplc="ED5215CA">
      <w:start w:val="1"/>
      <w:numFmt w:val="bullet"/>
      <w:lvlText w:val=""/>
      <w:lvlJc w:val="left"/>
      <w:pPr>
        <w:ind w:left="1440" w:hanging="360"/>
      </w:pPr>
      <w:rPr>
        <w:rFonts w:ascii="Symbol" w:hAnsi="Symbol"/>
      </w:rPr>
    </w:lvl>
    <w:lvl w:ilvl="4" w:tplc="6748A072">
      <w:start w:val="1"/>
      <w:numFmt w:val="bullet"/>
      <w:lvlText w:val=""/>
      <w:lvlJc w:val="left"/>
      <w:pPr>
        <w:ind w:left="1440" w:hanging="360"/>
      </w:pPr>
      <w:rPr>
        <w:rFonts w:ascii="Symbol" w:hAnsi="Symbol"/>
      </w:rPr>
    </w:lvl>
    <w:lvl w:ilvl="5" w:tplc="DD98D3E4">
      <w:start w:val="1"/>
      <w:numFmt w:val="bullet"/>
      <w:lvlText w:val=""/>
      <w:lvlJc w:val="left"/>
      <w:pPr>
        <w:ind w:left="1440" w:hanging="360"/>
      </w:pPr>
      <w:rPr>
        <w:rFonts w:ascii="Symbol" w:hAnsi="Symbol"/>
      </w:rPr>
    </w:lvl>
    <w:lvl w:ilvl="6" w:tplc="50645D12">
      <w:start w:val="1"/>
      <w:numFmt w:val="bullet"/>
      <w:lvlText w:val=""/>
      <w:lvlJc w:val="left"/>
      <w:pPr>
        <w:ind w:left="1440" w:hanging="360"/>
      </w:pPr>
      <w:rPr>
        <w:rFonts w:ascii="Symbol" w:hAnsi="Symbol"/>
      </w:rPr>
    </w:lvl>
    <w:lvl w:ilvl="7" w:tplc="D0DC026A">
      <w:start w:val="1"/>
      <w:numFmt w:val="bullet"/>
      <w:lvlText w:val=""/>
      <w:lvlJc w:val="left"/>
      <w:pPr>
        <w:ind w:left="1440" w:hanging="360"/>
      </w:pPr>
      <w:rPr>
        <w:rFonts w:ascii="Symbol" w:hAnsi="Symbol"/>
      </w:rPr>
    </w:lvl>
    <w:lvl w:ilvl="8" w:tplc="0BECAC92">
      <w:start w:val="1"/>
      <w:numFmt w:val="bullet"/>
      <w:lvlText w:val=""/>
      <w:lvlJc w:val="left"/>
      <w:pPr>
        <w:ind w:left="1440" w:hanging="360"/>
      </w:pPr>
      <w:rPr>
        <w:rFonts w:ascii="Symbol" w:hAnsi="Symbol"/>
      </w:rPr>
    </w:lvl>
  </w:abstractNum>
  <w:abstractNum w:abstractNumId="32" w15:restartNumberingAfterBreak="0">
    <w:nsid w:val="2ACA4093"/>
    <w:multiLevelType w:val="multilevel"/>
    <w:tmpl w:val="31781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2C643609"/>
    <w:multiLevelType w:val="multilevel"/>
    <w:tmpl w:val="77CC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9D72FC"/>
    <w:multiLevelType w:val="hybridMultilevel"/>
    <w:tmpl w:val="FFFFFFFF"/>
    <w:lvl w:ilvl="0" w:tplc="E74606CC">
      <w:start w:val="1"/>
      <w:numFmt w:val="decimal"/>
      <w:lvlText w:val="%1."/>
      <w:lvlJc w:val="left"/>
      <w:pPr>
        <w:ind w:left="720" w:hanging="360"/>
      </w:pPr>
    </w:lvl>
    <w:lvl w:ilvl="1" w:tplc="1256AAC6">
      <w:start w:val="1"/>
      <w:numFmt w:val="bullet"/>
      <w:lvlText w:val="o"/>
      <w:lvlJc w:val="left"/>
      <w:pPr>
        <w:ind w:left="1440" w:hanging="360"/>
      </w:pPr>
      <w:rPr>
        <w:rFonts w:ascii="Symbol" w:hAnsi="Symbol" w:hint="default"/>
      </w:rPr>
    </w:lvl>
    <w:lvl w:ilvl="2" w:tplc="1FBCE180">
      <w:start w:val="1"/>
      <w:numFmt w:val="lowerRoman"/>
      <w:lvlText w:val="%3."/>
      <w:lvlJc w:val="right"/>
      <w:pPr>
        <w:ind w:left="2160" w:hanging="180"/>
      </w:pPr>
    </w:lvl>
    <w:lvl w:ilvl="3" w:tplc="893C5E82">
      <w:start w:val="1"/>
      <w:numFmt w:val="decimal"/>
      <w:lvlText w:val="%4."/>
      <w:lvlJc w:val="left"/>
      <w:pPr>
        <w:ind w:left="2880" w:hanging="360"/>
      </w:pPr>
    </w:lvl>
    <w:lvl w:ilvl="4" w:tplc="372E5BBC">
      <w:start w:val="1"/>
      <w:numFmt w:val="lowerLetter"/>
      <w:lvlText w:val="%5."/>
      <w:lvlJc w:val="left"/>
      <w:pPr>
        <w:ind w:left="3600" w:hanging="360"/>
      </w:pPr>
    </w:lvl>
    <w:lvl w:ilvl="5" w:tplc="CBCAA784">
      <w:start w:val="1"/>
      <w:numFmt w:val="lowerRoman"/>
      <w:lvlText w:val="%6."/>
      <w:lvlJc w:val="right"/>
      <w:pPr>
        <w:ind w:left="4320" w:hanging="180"/>
      </w:pPr>
    </w:lvl>
    <w:lvl w:ilvl="6" w:tplc="1D9C32F8">
      <w:start w:val="1"/>
      <w:numFmt w:val="decimal"/>
      <w:lvlText w:val="%7."/>
      <w:lvlJc w:val="left"/>
      <w:pPr>
        <w:ind w:left="5040" w:hanging="360"/>
      </w:pPr>
    </w:lvl>
    <w:lvl w:ilvl="7" w:tplc="D1AE94FE">
      <w:start w:val="1"/>
      <w:numFmt w:val="lowerLetter"/>
      <w:lvlText w:val="%8."/>
      <w:lvlJc w:val="left"/>
      <w:pPr>
        <w:ind w:left="5760" w:hanging="360"/>
      </w:pPr>
    </w:lvl>
    <w:lvl w:ilvl="8" w:tplc="6A549122">
      <w:start w:val="1"/>
      <w:numFmt w:val="lowerRoman"/>
      <w:lvlText w:val="%9."/>
      <w:lvlJc w:val="right"/>
      <w:pPr>
        <w:ind w:left="6480" w:hanging="180"/>
      </w:pPr>
    </w:lvl>
  </w:abstractNum>
  <w:abstractNum w:abstractNumId="36" w15:restartNumberingAfterBreak="0">
    <w:nsid w:val="30A43C47"/>
    <w:multiLevelType w:val="hybridMultilevel"/>
    <w:tmpl w:val="5CE41FE8"/>
    <w:lvl w:ilvl="0" w:tplc="560696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CC1AC0"/>
    <w:multiLevelType w:val="multilevel"/>
    <w:tmpl w:val="E27E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664183"/>
    <w:multiLevelType w:val="hybridMultilevel"/>
    <w:tmpl w:val="F6780B1C"/>
    <w:lvl w:ilvl="0" w:tplc="8938BD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9077E2"/>
    <w:multiLevelType w:val="multilevel"/>
    <w:tmpl w:val="C30C3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F31B91"/>
    <w:multiLevelType w:val="multilevel"/>
    <w:tmpl w:val="9CA4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42091A"/>
    <w:multiLevelType w:val="multilevel"/>
    <w:tmpl w:val="D6122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C516B6"/>
    <w:multiLevelType w:val="hybridMultilevel"/>
    <w:tmpl w:val="D4204D0C"/>
    <w:lvl w:ilvl="0" w:tplc="5818F074">
      <w:start w:val="1"/>
      <w:numFmt w:val="decimal"/>
      <w:lvlText w:val="%1)"/>
      <w:lvlJc w:val="left"/>
      <w:pPr>
        <w:ind w:left="1020" w:hanging="360"/>
      </w:pPr>
    </w:lvl>
    <w:lvl w:ilvl="1" w:tplc="2BF4ABFC">
      <w:start w:val="1"/>
      <w:numFmt w:val="decimal"/>
      <w:lvlText w:val="%2)"/>
      <w:lvlJc w:val="left"/>
      <w:pPr>
        <w:ind w:left="1020" w:hanging="360"/>
      </w:pPr>
    </w:lvl>
    <w:lvl w:ilvl="2" w:tplc="9796F1E2">
      <w:start w:val="1"/>
      <w:numFmt w:val="decimal"/>
      <w:lvlText w:val="%3)"/>
      <w:lvlJc w:val="left"/>
      <w:pPr>
        <w:ind w:left="1020" w:hanging="360"/>
      </w:pPr>
    </w:lvl>
    <w:lvl w:ilvl="3" w:tplc="EB3858A8">
      <w:start w:val="1"/>
      <w:numFmt w:val="decimal"/>
      <w:lvlText w:val="%4)"/>
      <w:lvlJc w:val="left"/>
      <w:pPr>
        <w:ind w:left="1020" w:hanging="360"/>
      </w:pPr>
    </w:lvl>
    <w:lvl w:ilvl="4" w:tplc="95EC0820">
      <w:start w:val="1"/>
      <w:numFmt w:val="decimal"/>
      <w:lvlText w:val="%5)"/>
      <w:lvlJc w:val="left"/>
      <w:pPr>
        <w:ind w:left="1020" w:hanging="360"/>
      </w:pPr>
    </w:lvl>
    <w:lvl w:ilvl="5" w:tplc="19A2AAD0">
      <w:start w:val="1"/>
      <w:numFmt w:val="decimal"/>
      <w:lvlText w:val="%6)"/>
      <w:lvlJc w:val="left"/>
      <w:pPr>
        <w:ind w:left="1020" w:hanging="360"/>
      </w:pPr>
    </w:lvl>
    <w:lvl w:ilvl="6" w:tplc="706686F4">
      <w:start w:val="1"/>
      <w:numFmt w:val="decimal"/>
      <w:lvlText w:val="%7)"/>
      <w:lvlJc w:val="left"/>
      <w:pPr>
        <w:ind w:left="1020" w:hanging="360"/>
      </w:pPr>
    </w:lvl>
    <w:lvl w:ilvl="7" w:tplc="E10AEAE2">
      <w:start w:val="1"/>
      <w:numFmt w:val="decimal"/>
      <w:lvlText w:val="%8)"/>
      <w:lvlJc w:val="left"/>
      <w:pPr>
        <w:ind w:left="1020" w:hanging="360"/>
      </w:pPr>
    </w:lvl>
    <w:lvl w:ilvl="8" w:tplc="8298818A">
      <w:start w:val="1"/>
      <w:numFmt w:val="decimal"/>
      <w:lvlText w:val="%9)"/>
      <w:lvlJc w:val="left"/>
      <w:pPr>
        <w:ind w:left="1020" w:hanging="360"/>
      </w:pPr>
    </w:lvl>
  </w:abstractNum>
  <w:abstractNum w:abstractNumId="43" w15:restartNumberingAfterBreak="0">
    <w:nsid w:val="3CEE35A2"/>
    <w:multiLevelType w:val="hybridMultilevel"/>
    <w:tmpl w:val="F2287926"/>
    <w:lvl w:ilvl="0" w:tplc="1FD245D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210F48"/>
    <w:multiLevelType w:val="hybridMultilevel"/>
    <w:tmpl w:val="EDD4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AB5630"/>
    <w:multiLevelType w:val="hybridMultilevel"/>
    <w:tmpl w:val="D660DB82"/>
    <w:lvl w:ilvl="0" w:tplc="560696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4F6737"/>
    <w:multiLevelType w:val="hybridMultilevel"/>
    <w:tmpl w:val="932217EA"/>
    <w:lvl w:ilvl="0" w:tplc="41023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ED0BA3"/>
    <w:multiLevelType w:val="multilevel"/>
    <w:tmpl w:val="561A7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47F072D6"/>
    <w:multiLevelType w:val="hybridMultilevel"/>
    <w:tmpl w:val="FFFFFFFF"/>
    <w:lvl w:ilvl="0" w:tplc="B6EC1D1E">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EC179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C0C4C2">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B20B7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6E569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0E4BDC">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AE607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3C6B6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104D32">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E5F47AB"/>
    <w:multiLevelType w:val="hybridMultilevel"/>
    <w:tmpl w:val="72AA5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E641D3F"/>
    <w:multiLevelType w:val="hybridMultilevel"/>
    <w:tmpl w:val="409E66F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1" w15:restartNumberingAfterBreak="0">
    <w:nsid w:val="4F2D35FA"/>
    <w:multiLevelType w:val="hybridMultilevel"/>
    <w:tmpl w:val="EAD8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8B416B"/>
    <w:multiLevelType w:val="multilevel"/>
    <w:tmpl w:val="B280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D85473"/>
    <w:multiLevelType w:val="multilevel"/>
    <w:tmpl w:val="D214D1E8"/>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8115D6"/>
    <w:multiLevelType w:val="hybridMultilevel"/>
    <w:tmpl w:val="C1960B4A"/>
    <w:lvl w:ilvl="0" w:tplc="8DDCAF96">
      <w:start w:val="1"/>
      <w:numFmt w:val="decimal"/>
      <w:lvlText w:val="%1)"/>
      <w:lvlJc w:val="left"/>
      <w:pPr>
        <w:ind w:left="1020" w:hanging="360"/>
      </w:pPr>
    </w:lvl>
    <w:lvl w:ilvl="1" w:tplc="914EBF2C">
      <w:start w:val="1"/>
      <w:numFmt w:val="decimal"/>
      <w:lvlText w:val="%2)"/>
      <w:lvlJc w:val="left"/>
      <w:pPr>
        <w:ind w:left="1020" w:hanging="360"/>
      </w:pPr>
    </w:lvl>
    <w:lvl w:ilvl="2" w:tplc="A6581BE2">
      <w:start w:val="1"/>
      <w:numFmt w:val="decimal"/>
      <w:lvlText w:val="%3)"/>
      <w:lvlJc w:val="left"/>
      <w:pPr>
        <w:ind w:left="1020" w:hanging="360"/>
      </w:pPr>
    </w:lvl>
    <w:lvl w:ilvl="3" w:tplc="2B3A96CE">
      <w:start w:val="1"/>
      <w:numFmt w:val="decimal"/>
      <w:lvlText w:val="%4)"/>
      <w:lvlJc w:val="left"/>
      <w:pPr>
        <w:ind w:left="1020" w:hanging="360"/>
      </w:pPr>
    </w:lvl>
    <w:lvl w:ilvl="4" w:tplc="EC24A0FC">
      <w:start w:val="1"/>
      <w:numFmt w:val="decimal"/>
      <w:lvlText w:val="%5)"/>
      <w:lvlJc w:val="left"/>
      <w:pPr>
        <w:ind w:left="1020" w:hanging="360"/>
      </w:pPr>
    </w:lvl>
    <w:lvl w:ilvl="5" w:tplc="72DE2822">
      <w:start w:val="1"/>
      <w:numFmt w:val="decimal"/>
      <w:lvlText w:val="%6)"/>
      <w:lvlJc w:val="left"/>
      <w:pPr>
        <w:ind w:left="1020" w:hanging="360"/>
      </w:pPr>
    </w:lvl>
    <w:lvl w:ilvl="6" w:tplc="FB4EAAF8">
      <w:start w:val="1"/>
      <w:numFmt w:val="decimal"/>
      <w:lvlText w:val="%7)"/>
      <w:lvlJc w:val="left"/>
      <w:pPr>
        <w:ind w:left="1020" w:hanging="360"/>
      </w:pPr>
    </w:lvl>
    <w:lvl w:ilvl="7" w:tplc="5A22216C">
      <w:start w:val="1"/>
      <w:numFmt w:val="decimal"/>
      <w:lvlText w:val="%8)"/>
      <w:lvlJc w:val="left"/>
      <w:pPr>
        <w:ind w:left="1020" w:hanging="360"/>
      </w:pPr>
    </w:lvl>
    <w:lvl w:ilvl="8" w:tplc="751C187A">
      <w:start w:val="1"/>
      <w:numFmt w:val="decimal"/>
      <w:lvlText w:val="%9)"/>
      <w:lvlJc w:val="left"/>
      <w:pPr>
        <w:ind w:left="1020" w:hanging="360"/>
      </w:pPr>
    </w:lvl>
  </w:abstractNum>
  <w:abstractNum w:abstractNumId="55" w15:restartNumberingAfterBreak="0">
    <w:nsid w:val="523211C5"/>
    <w:multiLevelType w:val="hybridMultilevel"/>
    <w:tmpl w:val="961EA23C"/>
    <w:lvl w:ilvl="0" w:tplc="674EB0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4091579"/>
    <w:multiLevelType w:val="hybridMultilevel"/>
    <w:tmpl w:val="E8F81B2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5542D18"/>
    <w:multiLevelType w:val="multilevel"/>
    <w:tmpl w:val="3754F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6F3A31"/>
    <w:multiLevelType w:val="multilevel"/>
    <w:tmpl w:val="3752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4C57E2"/>
    <w:multiLevelType w:val="multilevel"/>
    <w:tmpl w:val="620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507083"/>
    <w:multiLevelType w:val="multilevel"/>
    <w:tmpl w:val="47A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972A83"/>
    <w:multiLevelType w:val="multilevel"/>
    <w:tmpl w:val="1E90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3E77CD"/>
    <w:multiLevelType w:val="hybridMultilevel"/>
    <w:tmpl w:val="6DBE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2920BF"/>
    <w:multiLevelType w:val="hybridMultilevel"/>
    <w:tmpl w:val="C928ACA2"/>
    <w:lvl w:ilvl="0" w:tplc="2FF637AE">
      <w:start w:val="1"/>
      <w:numFmt w:val="bullet"/>
      <w:lvlText w:val=""/>
      <w:lvlJc w:val="left"/>
      <w:pPr>
        <w:ind w:left="1440" w:hanging="360"/>
      </w:pPr>
      <w:rPr>
        <w:rFonts w:ascii="Symbol" w:hAnsi="Symbol"/>
      </w:rPr>
    </w:lvl>
    <w:lvl w:ilvl="1" w:tplc="73B0CAB0">
      <w:start w:val="1"/>
      <w:numFmt w:val="bullet"/>
      <w:lvlText w:val=""/>
      <w:lvlJc w:val="left"/>
      <w:pPr>
        <w:ind w:left="1440" w:hanging="360"/>
      </w:pPr>
      <w:rPr>
        <w:rFonts w:ascii="Symbol" w:hAnsi="Symbol"/>
      </w:rPr>
    </w:lvl>
    <w:lvl w:ilvl="2" w:tplc="71AE7F24">
      <w:start w:val="1"/>
      <w:numFmt w:val="bullet"/>
      <w:lvlText w:val=""/>
      <w:lvlJc w:val="left"/>
      <w:pPr>
        <w:ind w:left="1440" w:hanging="360"/>
      </w:pPr>
      <w:rPr>
        <w:rFonts w:ascii="Symbol" w:hAnsi="Symbol"/>
      </w:rPr>
    </w:lvl>
    <w:lvl w:ilvl="3" w:tplc="EA149CEA">
      <w:start w:val="1"/>
      <w:numFmt w:val="bullet"/>
      <w:lvlText w:val=""/>
      <w:lvlJc w:val="left"/>
      <w:pPr>
        <w:ind w:left="1440" w:hanging="360"/>
      </w:pPr>
      <w:rPr>
        <w:rFonts w:ascii="Symbol" w:hAnsi="Symbol"/>
      </w:rPr>
    </w:lvl>
    <w:lvl w:ilvl="4" w:tplc="59941E34">
      <w:start w:val="1"/>
      <w:numFmt w:val="bullet"/>
      <w:lvlText w:val=""/>
      <w:lvlJc w:val="left"/>
      <w:pPr>
        <w:ind w:left="1440" w:hanging="360"/>
      </w:pPr>
      <w:rPr>
        <w:rFonts w:ascii="Symbol" w:hAnsi="Symbol"/>
      </w:rPr>
    </w:lvl>
    <w:lvl w:ilvl="5" w:tplc="F4B2D6E0">
      <w:start w:val="1"/>
      <w:numFmt w:val="bullet"/>
      <w:lvlText w:val=""/>
      <w:lvlJc w:val="left"/>
      <w:pPr>
        <w:ind w:left="1440" w:hanging="360"/>
      </w:pPr>
      <w:rPr>
        <w:rFonts w:ascii="Symbol" w:hAnsi="Symbol"/>
      </w:rPr>
    </w:lvl>
    <w:lvl w:ilvl="6" w:tplc="DED66A3E">
      <w:start w:val="1"/>
      <w:numFmt w:val="bullet"/>
      <w:lvlText w:val=""/>
      <w:lvlJc w:val="left"/>
      <w:pPr>
        <w:ind w:left="1440" w:hanging="360"/>
      </w:pPr>
      <w:rPr>
        <w:rFonts w:ascii="Symbol" w:hAnsi="Symbol"/>
      </w:rPr>
    </w:lvl>
    <w:lvl w:ilvl="7" w:tplc="6C8249FC">
      <w:start w:val="1"/>
      <w:numFmt w:val="bullet"/>
      <w:lvlText w:val=""/>
      <w:lvlJc w:val="left"/>
      <w:pPr>
        <w:ind w:left="1440" w:hanging="360"/>
      </w:pPr>
      <w:rPr>
        <w:rFonts w:ascii="Symbol" w:hAnsi="Symbol"/>
      </w:rPr>
    </w:lvl>
    <w:lvl w:ilvl="8" w:tplc="ADBEF186">
      <w:start w:val="1"/>
      <w:numFmt w:val="bullet"/>
      <w:lvlText w:val=""/>
      <w:lvlJc w:val="left"/>
      <w:pPr>
        <w:ind w:left="1440" w:hanging="360"/>
      </w:pPr>
      <w:rPr>
        <w:rFonts w:ascii="Symbol" w:hAnsi="Symbol"/>
      </w:rPr>
    </w:lvl>
  </w:abstractNum>
  <w:abstractNum w:abstractNumId="64" w15:restartNumberingAfterBreak="0">
    <w:nsid w:val="62BA4DD8"/>
    <w:multiLevelType w:val="hybridMultilevel"/>
    <w:tmpl w:val="35241B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7465C7"/>
    <w:multiLevelType w:val="multilevel"/>
    <w:tmpl w:val="83247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F343E2"/>
    <w:multiLevelType w:val="multilevel"/>
    <w:tmpl w:val="D7F8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9A2EF4"/>
    <w:multiLevelType w:val="multilevel"/>
    <w:tmpl w:val="2062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15EA3B"/>
    <w:multiLevelType w:val="hybridMultilevel"/>
    <w:tmpl w:val="FFFFFFFF"/>
    <w:lvl w:ilvl="0" w:tplc="A3884A34">
      <w:start w:val="1"/>
      <w:numFmt w:val="lowerLetter"/>
      <w:lvlText w:val="b)"/>
      <w:lvlJc w:val="left"/>
      <w:pPr>
        <w:ind w:left="720" w:hanging="360"/>
      </w:pPr>
    </w:lvl>
    <w:lvl w:ilvl="1" w:tplc="45E0FB58">
      <w:start w:val="1"/>
      <w:numFmt w:val="lowerLetter"/>
      <w:lvlText w:val="%2."/>
      <w:lvlJc w:val="left"/>
      <w:pPr>
        <w:ind w:left="1440" w:hanging="360"/>
      </w:pPr>
    </w:lvl>
    <w:lvl w:ilvl="2" w:tplc="F7507726">
      <w:start w:val="1"/>
      <w:numFmt w:val="lowerRoman"/>
      <w:lvlText w:val="%3."/>
      <w:lvlJc w:val="right"/>
      <w:pPr>
        <w:ind w:left="2160" w:hanging="180"/>
      </w:pPr>
    </w:lvl>
    <w:lvl w:ilvl="3" w:tplc="8402B642">
      <w:start w:val="1"/>
      <w:numFmt w:val="decimal"/>
      <w:lvlText w:val="%4."/>
      <w:lvlJc w:val="left"/>
      <w:pPr>
        <w:ind w:left="2880" w:hanging="360"/>
      </w:pPr>
    </w:lvl>
    <w:lvl w:ilvl="4" w:tplc="9B0CAA1A">
      <w:start w:val="1"/>
      <w:numFmt w:val="lowerLetter"/>
      <w:lvlText w:val="%5."/>
      <w:lvlJc w:val="left"/>
      <w:pPr>
        <w:ind w:left="3600" w:hanging="360"/>
      </w:pPr>
    </w:lvl>
    <w:lvl w:ilvl="5" w:tplc="273460C6">
      <w:start w:val="1"/>
      <w:numFmt w:val="lowerRoman"/>
      <w:lvlText w:val="%6."/>
      <w:lvlJc w:val="right"/>
      <w:pPr>
        <w:ind w:left="4320" w:hanging="180"/>
      </w:pPr>
    </w:lvl>
    <w:lvl w:ilvl="6" w:tplc="FAECBCCC">
      <w:start w:val="1"/>
      <w:numFmt w:val="decimal"/>
      <w:lvlText w:val="%7."/>
      <w:lvlJc w:val="left"/>
      <w:pPr>
        <w:ind w:left="5040" w:hanging="360"/>
      </w:pPr>
    </w:lvl>
    <w:lvl w:ilvl="7" w:tplc="974A7392">
      <w:start w:val="1"/>
      <w:numFmt w:val="lowerLetter"/>
      <w:lvlText w:val="%8."/>
      <w:lvlJc w:val="left"/>
      <w:pPr>
        <w:ind w:left="5760" w:hanging="360"/>
      </w:pPr>
    </w:lvl>
    <w:lvl w:ilvl="8" w:tplc="1102DD00">
      <w:start w:val="1"/>
      <w:numFmt w:val="lowerRoman"/>
      <w:lvlText w:val="%9."/>
      <w:lvlJc w:val="right"/>
      <w:pPr>
        <w:ind w:left="6480" w:hanging="180"/>
      </w:pPr>
    </w:lvl>
  </w:abstractNum>
  <w:abstractNum w:abstractNumId="69" w15:restartNumberingAfterBreak="0">
    <w:nsid w:val="6F4E5778"/>
    <w:multiLevelType w:val="multilevel"/>
    <w:tmpl w:val="E00C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F66E4A"/>
    <w:multiLevelType w:val="hybridMultilevel"/>
    <w:tmpl w:val="B6E0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72" w15:restartNumberingAfterBreak="0">
    <w:nsid w:val="71DF489F"/>
    <w:multiLevelType w:val="multilevel"/>
    <w:tmpl w:val="0D364FD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AE26B6"/>
    <w:multiLevelType w:val="multilevel"/>
    <w:tmpl w:val="AB9AA2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43A2B95"/>
    <w:multiLevelType w:val="hybridMultilevel"/>
    <w:tmpl w:val="BC66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553925"/>
    <w:multiLevelType w:val="multilevel"/>
    <w:tmpl w:val="1772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6FE4919"/>
    <w:multiLevelType w:val="multilevel"/>
    <w:tmpl w:val="FA565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F147B6"/>
    <w:multiLevelType w:val="multilevel"/>
    <w:tmpl w:val="9F94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9037EB"/>
    <w:multiLevelType w:val="multilevel"/>
    <w:tmpl w:val="C284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500974495">
    <w:abstractNumId w:val="13"/>
  </w:num>
  <w:num w:numId="2" w16cid:durableId="593635555">
    <w:abstractNumId w:val="68"/>
  </w:num>
  <w:num w:numId="3" w16cid:durableId="574050125">
    <w:abstractNumId w:val="35"/>
  </w:num>
  <w:num w:numId="4" w16cid:durableId="1983196676">
    <w:abstractNumId w:val="71"/>
  </w:num>
  <w:num w:numId="5" w16cid:durableId="1538159974">
    <w:abstractNumId w:val="33"/>
  </w:num>
  <w:num w:numId="6" w16cid:durableId="585264963">
    <w:abstractNumId w:val="79"/>
  </w:num>
  <w:num w:numId="7" w16cid:durableId="434325638">
    <w:abstractNumId w:val="39"/>
  </w:num>
  <w:num w:numId="8" w16cid:durableId="2043286711">
    <w:abstractNumId w:val="41"/>
  </w:num>
  <w:num w:numId="9" w16cid:durableId="1014067262">
    <w:abstractNumId w:val="48"/>
  </w:num>
  <w:num w:numId="10" w16cid:durableId="1254168818">
    <w:abstractNumId w:val="47"/>
  </w:num>
  <w:num w:numId="11" w16cid:durableId="4235763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0430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73922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33762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894173">
    <w:abstractNumId w:val="56"/>
  </w:num>
  <w:num w:numId="16" w16cid:durableId="1876308330">
    <w:abstractNumId w:val="44"/>
  </w:num>
  <w:num w:numId="17" w16cid:durableId="224029832">
    <w:abstractNumId w:val="77"/>
  </w:num>
  <w:num w:numId="18" w16cid:durableId="821429890">
    <w:abstractNumId w:val="74"/>
  </w:num>
  <w:num w:numId="19" w16cid:durableId="1183006950">
    <w:abstractNumId w:val="51"/>
  </w:num>
  <w:num w:numId="20" w16cid:durableId="605312873">
    <w:abstractNumId w:val="37"/>
  </w:num>
  <w:num w:numId="21" w16cid:durableId="1679427141">
    <w:abstractNumId w:val="25"/>
  </w:num>
  <w:num w:numId="22" w16cid:durableId="1063792297">
    <w:abstractNumId w:val="55"/>
  </w:num>
  <w:num w:numId="23" w16cid:durableId="2020505342">
    <w:abstractNumId w:val="15"/>
  </w:num>
  <w:num w:numId="24" w16cid:durableId="1879391004">
    <w:abstractNumId w:val="70"/>
  </w:num>
  <w:num w:numId="25" w16cid:durableId="792558640">
    <w:abstractNumId w:val="73"/>
  </w:num>
  <w:num w:numId="26" w16cid:durableId="905454864">
    <w:abstractNumId w:val="57"/>
  </w:num>
  <w:num w:numId="27" w16cid:durableId="697854768">
    <w:abstractNumId w:val="69"/>
  </w:num>
  <w:num w:numId="28" w16cid:durableId="1705865910">
    <w:abstractNumId w:val="9"/>
  </w:num>
  <w:num w:numId="29" w16cid:durableId="1987969243">
    <w:abstractNumId w:val="29"/>
  </w:num>
  <w:num w:numId="30" w16cid:durableId="1251159043">
    <w:abstractNumId w:val="4"/>
  </w:num>
  <w:num w:numId="31" w16cid:durableId="744690792">
    <w:abstractNumId w:val="75"/>
  </w:num>
  <w:num w:numId="32" w16cid:durableId="1853176833">
    <w:abstractNumId w:val="14"/>
  </w:num>
  <w:num w:numId="33" w16cid:durableId="659695214">
    <w:abstractNumId w:val="19"/>
  </w:num>
  <w:num w:numId="34" w16cid:durableId="1308971624">
    <w:abstractNumId w:val="49"/>
  </w:num>
  <w:num w:numId="35" w16cid:durableId="755588664">
    <w:abstractNumId w:val="26"/>
  </w:num>
  <w:num w:numId="36" w16cid:durableId="544945692">
    <w:abstractNumId w:val="63"/>
  </w:num>
  <w:num w:numId="37" w16cid:durableId="1958095225">
    <w:abstractNumId w:val="7"/>
  </w:num>
  <w:num w:numId="38" w16cid:durableId="1360084415">
    <w:abstractNumId w:val="31"/>
  </w:num>
  <w:num w:numId="39" w16cid:durableId="1861384932">
    <w:abstractNumId w:val="6"/>
  </w:num>
  <w:num w:numId="40" w16cid:durableId="761725642">
    <w:abstractNumId w:val="2"/>
  </w:num>
  <w:num w:numId="41" w16cid:durableId="2039425015">
    <w:abstractNumId w:val="42"/>
  </w:num>
  <w:num w:numId="42" w16cid:durableId="418404701">
    <w:abstractNumId w:val="54"/>
  </w:num>
  <w:num w:numId="43" w16cid:durableId="60299434">
    <w:abstractNumId w:val="24"/>
  </w:num>
  <w:num w:numId="44" w16cid:durableId="1320109197">
    <w:abstractNumId w:val="62"/>
  </w:num>
  <w:num w:numId="45" w16cid:durableId="871654289">
    <w:abstractNumId w:val="64"/>
  </w:num>
  <w:num w:numId="46" w16cid:durableId="283771747">
    <w:abstractNumId w:val="45"/>
  </w:num>
  <w:num w:numId="47" w16cid:durableId="1194686804">
    <w:abstractNumId w:val="11"/>
  </w:num>
  <w:num w:numId="48" w16cid:durableId="1423643505">
    <w:abstractNumId w:val="5"/>
  </w:num>
  <w:num w:numId="49" w16cid:durableId="1659268226">
    <w:abstractNumId w:val="67"/>
  </w:num>
  <w:num w:numId="50" w16cid:durableId="1743217949">
    <w:abstractNumId w:val="40"/>
  </w:num>
  <w:num w:numId="51" w16cid:durableId="580256696">
    <w:abstractNumId w:val="60"/>
  </w:num>
  <w:num w:numId="52" w16cid:durableId="1563756826">
    <w:abstractNumId w:val="17"/>
  </w:num>
  <w:num w:numId="53" w16cid:durableId="370232157">
    <w:abstractNumId w:val="22"/>
  </w:num>
  <w:num w:numId="54" w16cid:durableId="2054378130">
    <w:abstractNumId w:val="36"/>
  </w:num>
  <w:num w:numId="55" w16cid:durableId="353573737">
    <w:abstractNumId w:val="21"/>
  </w:num>
  <w:num w:numId="56" w16cid:durableId="1866013837">
    <w:abstractNumId w:val="61"/>
  </w:num>
  <w:num w:numId="57" w16cid:durableId="1680817329">
    <w:abstractNumId w:val="20"/>
  </w:num>
  <w:num w:numId="58" w16cid:durableId="1873684652">
    <w:abstractNumId w:val="10"/>
  </w:num>
  <w:num w:numId="59" w16cid:durableId="603154864">
    <w:abstractNumId w:val="72"/>
  </w:num>
  <w:num w:numId="60" w16cid:durableId="794179660">
    <w:abstractNumId w:val="16"/>
  </w:num>
  <w:num w:numId="61" w16cid:durableId="346054824">
    <w:abstractNumId w:val="32"/>
  </w:num>
  <w:num w:numId="62" w16cid:durableId="350573581">
    <w:abstractNumId w:val="53"/>
  </w:num>
  <w:num w:numId="63" w16cid:durableId="1835149195">
    <w:abstractNumId w:val="46"/>
  </w:num>
  <w:num w:numId="64" w16cid:durableId="1010915492">
    <w:abstractNumId w:val="18"/>
  </w:num>
  <w:num w:numId="65" w16cid:durableId="1772315010">
    <w:abstractNumId w:val="8"/>
  </w:num>
  <w:num w:numId="66" w16cid:durableId="513030567">
    <w:abstractNumId w:val="34"/>
  </w:num>
  <w:num w:numId="67" w16cid:durableId="1438328195">
    <w:abstractNumId w:val="78"/>
  </w:num>
  <w:num w:numId="68" w16cid:durableId="468714899">
    <w:abstractNumId w:val="12"/>
  </w:num>
  <w:num w:numId="69" w16cid:durableId="1571118751">
    <w:abstractNumId w:val="0"/>
  </w:num>
  <w:num w:numId="70" w16cid:durableId="1048451354">
    <w:abstractNumId w:val="76"/>
  </w:num>
  <w:num w:numId="71" w16cid:durableId="664892801">
    <w:abstractNumId w:val="23"/>
  </w:num>
  <w:num w:numId="72" w16cid:durableId="256984044">
    <w:abstractNumId w:val="3"/>
  </w:num>
  <w:num w:numId="73" w16cid:durableId="347753720">
    <w:abstractNumId w:val="28"/>
  </w:num>
  <w:num w:numId="74" w16cid:durableId="1309550107">
    <w:abstractNumId w:val="65"/>
  </w:num>
  <w:num w:numId="75" w16cid:durableId="312099453">
    <w:abstractNumId w:val="52"/>
  </w:num>
  <w:num w:numId="76" w16cid:durableId="1837568128">
    <w:abstractNumId w:val="58"/>
  </w:num>
  <w:num w:numId="77" w16cid:durableId="55277723">
    <w:abstractNumId w:val="66"/>
  </w:num>
  <w:num w:numId="78" w16cid:durableId="603726702">
    <w:abstractNumId w:val="59"/>
  </w:num>
  <w:num w:numId="79" w16cid:durableId="1932931055">
    <w:abstractNumId w:val="50"/>
  </w:num>
  <w:num w:numId="80" w16cid:durableId="1053650750">
    <w:abstractNumId w:val="1"/>
  </w:num>
  <w:num w:numId="81" w16cid:durableId="1196965040">
    <w:abstractNumId w:val="38"/>
  </w:num>
  <w:num w:numId="82" w16cid:durableId="1809976823">
    <w:abstractNumId w:val="30"/>
  </w:num>
  <w:num w:numId="83" w16cid:durableId="976643623">
    <w:abstractNumId w:val="27"/>
  </w:num>
  <w:num w:numId="84" w16cid:durableId="310209123">
    <w:abstractNumId w:val="4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07ADE"/>
    <w:rsid w:val="00007D9B"/>
    <w:rsid w:val="00010950"/>
    <w:rsid w:val="00010D6E"/>
    <w:rsid w:val="00010EE1"/>
    <w:rsid w:val="00011878"/>
    <w:rsid w:val="00011B6D"/>
    <w:rsid w:val="00012458"/>
    <w:rsid w:val="000131F3"/>
    <w:rsid w:val="0001324D"/>
    <w:rsid w:val="0001412C"/>
    <w:rsid w:val="000142F1"/>
    <w:rsid w:val="00014511"/>
    <w:rsid w:val="0001460F"/>
    <w:rsid w:val="000166B7"/>
    <w:rsid w:val="00020A8C"/>
    <w:rsid w:val="00021306"/>
    <w:rsid w:val="000222F1"/>
    <w:rsid w:val="00022BE0"/>
    <w:rsid w:val="00022BE4"/>
    <w:rsid w:val="00022F52"/>
    <w:rsid w:val="00023080"/>
    <w:rsid w:val="0002370C"/>
    <w:rsid w:val="000239A7"/>
    <w:rsid w:val="00023CF7"/>
    <w:rsid w:val="00023E62"/>
    <w:rsid w:val="00024B39"/>
    <w:rsid w:val="000251D0"/>
    <w:rsid w:val="000253B7"/>
    <w:rsid w:val="00025CC4"/>
    <w:rsid w:val="00026555"/>
    <w:rsid w:val="00026738"/>
    <w:rsid w:val="00026AC0"/>
    <w:rsid w:val="00027038"/>
    <w:rsid w:val="00027056"/>
    <w:rsid w:val="00031B0D"/>
    <w:rsid w:val="00032EFF"/>
    <w:rsid w:val="00034A05"/>
    <w:rsid w:val="00036428"/>
    <w:rsid w:val="0003786D"/>
    <w:rsid w:val="0004016B"/>
    <w:rsid w:val="0004046F"/>
    <w:rsid w:val="000407D8"/>
    <w:rsid w:val="00041326"/>
    <w:rsid w:val="00041629"/>
    <w:rsid w:val="00041FBC"/>
    <w:rsid w:val="000423ED"/>
    <w:rsid w:val="00043FB0"/>
    <w:rsid w:val="00044FE7"/>
    <w:rsid w:val="00045048"/>
    <w:rsid w:val="000457A1"/>
    <w:rsid w:val="00045828"/>
    <w:rsid w:val="00045BAD"/>
    <w:rsid w:val="000465C4"/>
    <w:rsid w:val="0005089F"/>
    <w:rsid w:val="00051403"/>
    <w:rsid w:val="00051C45"/>
    <w:rsid w:val="00052F44"/>
    <w:rsid w:val="00053B43"/>
    <w:rsid w:val="00053C0A"/>
    <w:rsid w:val="0005528C"/>
    <w:rsid w:val="0005543F"/>
    <w:rsid w:val="00056EE6"/>
    <w:rsid w:val="00057C47"/>
    <w:rsid w:val="0006047F"/>
    <w:rsid w:val="0006053F"/>
    <w:rsid w:val="00061D9C"/>
    <w:rsid w:val="00063FFC"/>
    <w:rsid w:val="0006418B"/>
    <w:rsid w:val="00065D47"/>
    <w:rsid w:val="000671A2"/>
    <w:rsid w:val="000705A0"/>
    <w:rsid w:val="00070EEB"/>
    <w:rsid w:val="00071110"/>
    <w:rsid w:val="00071299"/>
    <w:rsid w:val="00072272"/>
    <w:rsid w:val="0007268C"/>
    <w:rsid w:val="00072AA6"/>
    <w:rsid w:val="00073AC8"/>
    <w:rsid w:val="0007524C"/>
    <w:rsid w:val="0007532E"/>
    <w:rsid w:val="00075E7B"/>
    <w:rsid w:val="0007637D"/>
    <w:rsid w:val="000767AC"/>
    <w:rsid w:val="0007695E"/>
    <w:rsid w:val="00076A78"/>
    <w:rsid w:val="00076C08"/>
    <w:rsid w:val="0007783C"/>
    <w:rsid w:val="00077867"/>
    <w:rsid w:val="00080AE0"/>
    <w:rsid w:val="00081835"/>
    <w:rsid w:val="000823CB"/>
    <w:rsid w:val="00082659"/>
    <w:rsid w:val="00082B2E"/>
    <w:rsid w:val="00082BAC"/>
    <w:rsid w:val="00084E12"/>
    <w:rsid w:val="000860CC"/>
    <w:rsid w:val="000860E6"/>
    <w:rsid w:val="00086128"/>
    <w:rsid w:val="0008731F"/>
    <w:rsid w:val="000903E3"/>
    <w:rsid w:val="00090950"/>
    <w:rsid w:val="00090AFE"/>
    <w:rsid w:val="000924A0"/>
    <w:rsid w:val="0009307F"/>
    <w:rsid w:val="00093598"/>
    <w:rsid w:val="0009381F"/>
    <w:rsid w:val="00093DEC"/>
    <w:rsid w:val="00093FC4"/>
    <w:rsid w:val="00094680"/>
    <w:rsid w:val="000956FD"/>
    <w:rsid w:val="0009719A"/>
    <w:rsid w:val="000A03F0"/>
    <w:rsid w:val="000A0923"/>
    <w:rsid w:val="000A272D"/>
    <w:rsid w:val="000A2DFE"/>
    <w:rsid w:val="000A36EE"/>
    <w:rsid w:val="000A5C5D"/>
    <w:rsid w:val="000A6E4B"/>
    <w:rsid w:val="000A757B"/>
    <w:rsid w:val="000A79FC"/>
    <w:rsid w:val="000B0524"/>
    <w:rsid w:val="000B07A1"/>
    <w:rsid w:val="000B1176"/>
    <w:rsid w:val="000B1A2E"/>
    <w:rsid w:val="000B2150"/>
    <w:rsid w:val="000B21FC"/>
    <w:rsid w:val="000B3E49"/>
    <w:rsid w:val="000C031E"/>
    <w:rsid w:val="000C0582"/>
    <w:rsid w:val="000C0F74"/>
    <w:rsid w:val="000C165A"/>
    <w:rsid w:val="000C1942"/>
    <w:rsid w:val="000C1D45"/>
    <w:rsid w:val="000C2589"/>
    <w:rsid w:val="000C30D8"/>
    <w:rsid w:val="000C3CF6"/>
    <w:rsid w:val="000C4447"/>
    <w:rsid w:val="000C4589"/>
    <w:rsid w:val="000C4DBA"/>
    <w:rsid w:val="000C57D5"/>
    <w:rsid w:val="000C5EF8"/>
    <w:rsid w:val="000C6A87"/>
    <w:rsid w:val="000C6C74"/>
    <w:rsid w:val="000C7689"/>
    <w:rsid w:val="000D1513"/>
    <w:rsid w:val="000D1CB0"/>
    <w:rsid w:val="000D31B0"/>
    <w:rsid w:val="000D38C4"/>
    <w:rsid w:val="000D532A"/>
    <w:rsid w:val="000D55B5"/>
    <w:rsid w:val="000D58BD"/>
    <w:rsid w:val="000D5974"/>
    <w:rsid w:val="000D5ED5"/>
    <w:rsid w:val="000D7F7C"/>
    <w:rsid w:val="000E02BE"/>
    <w:rsid w:val="000E0733"/>
    <w:rsid w:val="000E0C37"/>
    <w:rsid w:val="000E0FFE"/>
    <w:rsid w:val="000E3308"/>
    <w:rsid w:val="000E3FD7"/>
    <w:rsid w:val="000E452D"/>
    <w:rsid w:val="000E4FDC"/>
    <w:rsid w:val="000E5801"/>
    <w:rsid w:val="000E77FF"/>
    <w:rsid w:val="000F004E"/>
    <w:rsid w:val="000F0840"/>
    <w:rsid w:val="000F0D86"/>
    <w:rsid w:val="000F13F2"/>
    <w:rsid w:val="000F22B4"/>
    <w:rsid w:val="000F37BB"/>
    <w:rsid w:val="000F4481"/>
    <w:rsid w:val="000F4C2B"/>
    <w:rsid w:val="000F5100"/>
    <w:rsid w:val="000F57BB"/>
    <w:rsid w:val="000F77AE"/>
    <w:rsid w:val="0010152B"/>
    <w:rsid w:val="00101961"/>
    <w:rsid w:val="00102870"/>
    <w:rsid w:val="00105959"/>
    <w:rsid w:val="001064DC"/>
    <w:rsid w:val="00110396"/>
    <w:rsid w:val="001110DB"/>
    <w:rsid w:val="00112C42"/>
    <w:rsid w:val="001132D7"/>
    <w:rsid w:val="00115432"/>
    <w:rsid w:val="001155AF"/>
    <w:rsid w:val="00115D70"/>
    <w:rsid w:val="00120113"/>
    <w:rsid w:val="00120131"/>
    <w:rsid w:val="001216FC"/>
    <w:rsid w:val="00122471"/>
    <w:rsid w:val="0012327F"/>
    <w:rsid w:val="001235DD"/>
    <w:rsid w:val="0012369A"/>
    <w:rsid w:val="00123CDD"/>
    <w:rsid w:val="001243CD"/>
    <w:rsid w:val="0012444C"/>
    <w:rsid w:val="0012460B"/>
    <w:rsid w:val="001248DE"/>
    <w:rsid w:val="00125926"/>
    <w:rsid w:val="001269E0"/>
    <w:rsid w:val="00127373"/>
    <w:rsid w:val="001276F9"/>
    <w:rsid w:val="0013023A"/>
    <w:rsid w:val="00131CE4"/>
    <w:rsid w:val="001334EC"/>
    <w:rsid w:val="00133A17"/>
    <w:rsid w:val="00133C58"/>
    <w:rsid w:val="00134EA8"/>
    <w:rsid w:val="001365F4"/>
    <w:rsid w:val="001401CF"/>
    <w:rsid w:val="0014140D"/>
    <w:rsid w:val="00141B6F"/>
    <w:rsid w:val="0014336D"/>
    <w:rsid w:val="001477D1"/>
    <w:rsid w:val="00150DAE"/>
    <w:rsid w:val="001510A5"/>
    <w:rsid w:val="001517DD"/>
    <w:rsid w:val="00151E9F"/>
    <w:rsid w:val="0015254E"/>
    <w:rsid w:val="00152C60"/>
    <w:rsid w:val="00152F72"/>
    <w:rsid w:val="001535F3"/>
    <w:rsid w:val="00155C6A"/>
    <w:rsid w:val="00156E0C"/>
    <w:rsid w:val="00157090"/>
    <w:rsid w:val="0016031F"/>
    <w:rsid w:val="00160691"/>
    <w:rsid w:val="00161FC0"/>
    <w:rsid w:val="00162489"/>
    <w:rsid w:val="001635A9"/>
    <w:rsid w:val="00165113"/>
    <w:rsid w:val="00166EFA"/>
    <w:rsid w:val="001709E2"/>
    <w:rsid w:val="00171E95"/>
    <w:rsid w:val="0017205B"/>
    <w:rsid w:val="001733ED"/>
    <w:rsid w:val="00174C10"/>
    <w:rsid w:val="00174DEC"/>
    <w:rsid w:val="00175447"/>
    <w:rsid w:val="00175470"/>
    <w:rsid w:val="00176513"/>
    <w:rsid w:val="00176C01"/>
    <w:rsid w:val="00176F42"/>
    <w:rsid w:val="00176F89"/>
    <w:rsid w:val="001777B1"/>
    <w:rsid w:val="00181F2C"/>
    <w:rsid w:val="001822E4"/>
    <w:rsid w:val="001828C9"/>
    <w:rsid w:val="00182B85"/>
    <w:rsid w:val="00183038"/>
    <w:rsid w:val="00183882"/>
    <w:rsid w:val="001844B6"/>
    <w:rsid w:val="00185154"/>
    <w:rsid w:val="001851A3"/>
    <w:rsid w:val="001851B9"/>
    <w:rsid w:val="001855B1"/>
    <w:rsid w:val="00186D01"/>
    <w:rsid w:val="0019021E"/>
    <w:rsid w:val="00190A8C"/>
    <w:rsid w:val="00190F9A"/>
    <w:rsid w:val="00194002"/>
    <w:rsid w:val="00194050"/>
    <w:rsid w:val="00194745"/>
    <w:rsid w:val="00194E96"/>
    <w:rsid w:val="001A07F1"/>
    <w:rsid w:val="001A2509"/>
    <w:rsid w:val="001A3B0B"/>
    <w:rsid w:val="001A4332"/>
    <w:rsid w:val="001A4432"/>
    <w:rsid w:val="001A478E"/>
    <w:rsid w:val="001A509E"/>
    <w:rsid w:val="001A6FE6"/>
    <w:rsid w:val="001A7B61"/>
    <w:rsid w:val="001A7BE2"/>
    <w:rsid w:val="001A7D6D"/>
    <w:rsid w:val="001B0D10"/>
    <w:rsid w:val="001B1210"/>
    <w:rsid w:val="001B23D8"/>
    <w:rsid w:val="001B2F84"/>
    <w:rsid w:val="001B305C"/>
    <w:rsid w:val="001B34EB"/>
    <w:rsid w:val="001C014F"/>
    <w:rsid w:val="001C0644"/>
    <w:rsid w:val="001C0B2C"/>
    <w:rsid w:val="001C0B58"/>
    <w:rsid w:val="001C1EB3"/>
    <w:rsid w:val="001C3363"/>
    <w:rsid w:val="001C4862"/>
    <w:rsid w:val="001C5644"/>
    <w:rsid w:val="001C58FC"/>
    <w:rsid w:val="001C75D5"/>
    <w:rsid w:val="001C7C39"/>
    <w:rsid w:val="001D09CC"/>
    <w:rsid w:val="001D0AF4"/>
    <w:rsid w:val="001D12D6"/>
    <w:rsid w:val="001D1FC0"/>
    <w:rsid w:val="001D205F"/>
    <w:rsid w:val="001D2096"/>
    <w:rsid w:val="001D244E"/>
    <w:rsid w:val="001D2A5A"/>
    <w:rsid w:val="001D3732"/>
    <w:rsid w:val="001D3A43"/>
    <w:rsid w:val="001D3C11"/>
    <w:rsid w:val="001D4AA8"/>
    <w:rsid w:val="001D4D42"/>
    <w:rsid w:val="001D5EC9"/>
    <w:rsid w:val="001D6B90"/>
    <w:rsid w:val="001D6CC1"/>
    <w:rsid w:val="001E0D36"/>
    <w:rsid w:val="001E152A"/>
    <w:rsid w:val="001E1BAD"/>
    <w:rsid w:val="001E1DA0"/>
    <w:rsid w:val="001E1EEC"/>
    <w:rsid w:val="001E3B6F"/>
    <w:rsid w:val="001E429F"/>
    <w:rsid w:val="001E4F94"/>
    <w:rsid w:val="001E69A2"/>
    <w:rsid w:val="001E69E8"/>
    <w:rsid w:val="001E7137"/>
    <w:rsid w:val="001E774E"/>
    <w:rsid w:val="001E79D0"/>
    <w:rsid w:val="001F02C1"/>
    <w:rsid w:val="001F1A5E"/>
    <w:rsid w:val="001F1EF1"/>
    <w:rsid w:val="001F2DD3"/>
    <w:rsid w:val="001F3A62"/>
    <w:rsid w:val="001F4352"/>
    <w:rsid w:val="001F5423"/>
    <w:rsid w:val="001F5DD9"/>
    <w:rsid w:val="001F69E9"/>
    <w:rsid w:val="001F6A53"/>
    <w:rsid w:val="001F6D51"/>
    <w:rsid w:val="001F71C9"/>
    <w:rsid w:val="001F7CF8"/>
    <w:rsid w:val="001F7EED"/>
    <w:rsid w:val="00200315"/>
    <w:rsid w:val="002005F1"/>
    <w:rsid w:val="0020104C"/>
    <w:rsid w:val="0020151D"/>
    <w:rsid w:val="002019CF"/>
    <w:rsid w:val="00201B79"/>
    <w:rsid w:val="00201BA5"/>
    <w:rsid w:val="002029F5"/>
    <w:rsid w:val="00202E56"/>
    <w:rsid w:val="002033D6"/>
    <w:rsid w:val="002035A6"/>
    <w:rsid w:val="00203758"/>
    <w:rsid w:val="00204AB1"/>
    <w:rsid w:val="00205C18"/>
    <w:rsid w:val="00205E05"/>
    <w:rsid w:val="0020708B"/>
    <w:rsid w:val="00207B21"/>
    <w:rsid w:val="00207D2A"/>
    <w:rsid w:val="00210844"/>
    <w:rsid w:val="00211257"/>
    <w:rsid w:val="002125B7"/>
    <w:rsid w:val="00212BE3"/>
    <w:rsid w:val="002144F0"/>
    <w:rsid w:val="00216F02"/>
    <w:rsid w:val="0021731F"/>
    <w:rsid w:val="00217CA1"/>
    <w:rsid w:val="00220F29"/>
    <w:rsid w:val="00221FAD"/>
    <w:rsid w:val="0022350E"/>
    <w:rsid w:val="0022490F"/>
    <w:rsid w:val="00224CCE"/>
    <w:rsid w:val="0022569C"/>
    <w:rsid w:val="0022590E"/>
    <w:rsid w:val="00225F7F"/>
    <w:rsid w:val="00225F9C"/>
    <w:rsid w:val="00227270"/>
    <w:rsid w:val="002274E5"/>
    <w:rsid w:val="0022767B"/>
    <w:rsid w:val="00227EBE"/>
    <w:rsid w:val="00227F30"/>
    <w:rsid w:val="002306B7"/>
    <w:rsid w:val="00231ABF"/>
    <w:rsid w:val="0023355B"/>
    <w:rsid w:val="002335FE"/>
    <w:rsid w:val="00233F75"/>
    <w:rsid w:val="002347A2"/>
    <w:rsid w:val="00235C5F"/>
    <w:rsid w:val="00235DD9"/>
    <w:rsid w:val="002362C7"/>
    <w:rsid w:val="00237435"/>
    <w:rsid w:val="00241738"/>
    <w:rsid w:val="002425C2"/>
    <w:rsid w:val="00242C41"/>
    <w:rsid w:val="00243798"/>
    <w:rsid w:val="002437A8"/>
    <w:rsid w:val="002438B5"/>
    <w:rsid w:val="00243E3C"/>
    <w:rsid w:val="002462E5"/>
    <w:rsid w:val="00246360"/>
    <w:rsid w:val="0024692F"/>
    <w:rsid w:val="00246AF8"/>
    <w:rsid w:val="00247BD2"/>
    <w:rsid w:val="00250259"/>
    <w:rsid w:val="002512E1"/>
    <w:rsid w:val="00251ED1"/>
    <w:rsid w:val="00252C18"/>
    <w:rsid w:val="002530A8"/>
    <w:rsid w:val="00253F4D"/>
    <w:rsid w:val="00255318"/>
    <w:rsid w:val="0025537A"/>
    <w:rsid w:val="002561A0"/>
    <w:rsid w:val="00257F20"/>
    <w:rsid w:val="00261909"/>
    <w:rsid w:val="0026191F"/>
    <w:rsid w:val="00262437"/>
    <w:rsid w:val="0026327C"/>
    <w:rsid w:val="00264EB9"/>
    <w:rsid w:val="00265153"/>
    <w:rsid w:val="00265E85"/>
    <w:rsid w:val="00265FAB"/>
    <w:rsid w:val="0026604F"/>
    <w:rsid w:val="002662BA"/>
    <w:rsid w:val="002669DB"/>
    <w:rsid w:val="00267D3B"/>
    <w:rsid w:val="002718D6"/>
    <w:rsid w:val="002722A3"/>
    <w:rsid w:val="0027240D"/>
    <w:rsid w:val="00272539"/>
    <w:rsid w:val="00272991"/>
    <w:rsid w:val="00272F62"/>
    <w:rsid w:val="00272FA0"/>
    <w:rsid w:val="00273A3C"/>
    <w:rsid w:val="00273D1E"/>
    <w:rsid w:val="00274855"/>
    <w:rsid w:val="00275CB4"/>
    <w:rsid w:val="00276AD7"/>
    <w:rsid w:val="00277708"/>
    <w:rsid w:val="0027786C"/>
    <w:rsid w:val="00281E7E"/>
    <w:rsid w:val="00282EFA"/>
    <w:rsid w:val="002835FB"/>
    <w:rsid w:val="002837FC"/>
    <w:rsid w:val="00284677"/>
    <w:rsid w:val="002849FB"/>
    <w:rsid w:val="00284C30"/>
    <w:rsid w:val="00284DCB"/>
    <w:rsid w:val="00285FA9"/>
    <w:rsid w:val="00286282"/>
    <w:rsid w:val="0028755A"/>
    <w:rsid w:val="00287BA8"/>
    <w:rsid w:val="00287DF9"/>
    <w:rsid w:val="00287E3A"/>
    <w:rsid w:val="00290335"/>
    <w:rsid w:val="0029158C"/>
    <w:rsid w:val="00292300"/>
    <w:rsid w:val="0029447F"/>
    <w:rsid w:val="0029561B"/>
    <w:rsid w:val="00296D25"/>
    <w:rsid w:val="002A06DA"/>
    <w:rsid w:val="002A33A0"/>
    <w:rsid w:val="002A456F"/>
    <w:rsid w:val="002A60B2"/>
    <w:rsid w:val="002A66D3"/>
    <w:rsid w:val="002A6BCF"/>
    <w:rsid w:val="002A6DA7"/>
    <w:rsid w:val="002A6E2B"/>
    <w:rsid w:val="002B14A1"/>
    <w:rsid w:val="002B2572"/>
    <w:rsid w:val="002B2BB5"/>
    <w:rsid w:val="002B3160"/>
    <w:rsid w:val="002B43B7"/>
    <w:rsid w:val="002B4D79"/>
    <w:rsid w:val="002B56C0"/>
    <w:rsid w:val="002B5DD5"/>
    <w:rsid w:val="002B7335"/>
    <w:rsid w:val="002B77F5"/>
    <w:rsid w:val="002C0355"/>
    <w:rsid w:val="002C1D0C"/>
    <w:rsid w:val="002C1EC2"/>
    <w:rsid w:val="002C231B"/>
    <w:rsid w:val="002C331D"/>
    <w:rsid w:val="002C443E"/>
    <w:rsid w:val="002C677F"/>
    <w:rsid w:val="002C6D4D"/>
    <w:rsid w:val="002C6D7C"/>
    <w:rsid w:val="002C76CF"/>
    <w:rsid w:val="002C7CB1"/>
    <w:rsid w:val="002D0D18"/>
    <w:rsid w:val="002D1361"/>
    <w:rsid w:val="002D1AE9"/>
    <w:rsid w:val="002D1FAA"/>
    <w:rsid w:val="002D2D7E"/>
    <w:rsid w:val="002D3103"/>
    <w:rsid w:val="002D3204"/>
    <w:rsid w:val="002D4104"/>
    <w:rsid w:val="002D4177"/>
    <w:rsid w:val="002D548B"/>
    <w:rsid w:val="002D66B1"/>
    <w:rsid w:val="002D7616"/>
    <w:rsid w:val="002D7ECF"/>
    <w:rsid w:val="002E10AB"/>
    <w:rsid w:val="002E1C94"/>
    <w:rsid w:val="002E46DE"/>
    <w:rsid w:val="002E5406"/>
    <w:rsid w:val="002E753B"/>
    <w:rsid w:val="002E78D7"/>
    <w:rsid w:val="002E7CBE"/>
    <w:rsid w:val="002F1CB1"/>
    <w:rsid w:val="002F3633"/>
    <w:rsid w:val="002F5B67"/>
    <w:rsid w:val="002F653C"/>
    <w:rsid w:val="002F7D4C"/>
    <w:rsid w:val="00300197"/>
    <w:rsid w:val="00300CED"/>
    <w:rsid w:val="00300D77"/>
    <w:rsid w:val="00300EAD"/>
    <w:rsid w:val="00302EDE"/>
    <w:rsid w:val="003030E1"/>
    <w:rsid w:val="003043B5"/>
    <w:rsid w:val="00304677"/>
    <w:rsid w:val="00304C1D"/>
    <w:rsid w:val="003059B3"/>
    <w:rsid w:val="003069E8"/>
    <w:rsid w:val="00306F4A"/>
    <w:rsid w:val="00307737"/>
    <w:rsid w:val="00307DD4"/>
    <w:rsid w:val="00307E85"/>
    <w:rsid w:val="00310269"/>
    <w:rsid w:val="003102B3"/>
    <w:rsid w:val="0031087D"/>
    <w:rsid w:val="00310BBC"/>
    <w:rsid w:val="00310E67"/>
    <w:rsid w:val="003111DB"/>
    <w:rsid w:val="0031134A"/>
    <w:rsid w:val="00311373"/>
    <w:rsid w:val="003114D4"/>
    <w:rsid w:val="00311CCB"/>
    <w:rsid w:val="00313937"/>
    <w:rsid w:val="00314466"/>
    <w:rsid w:val="003147F5"/>
    <w:rsid w:val="003149E9"/>
    <w:rsid w:val="00315292"/>
    <w:rsid w:val="00316338"/>
    <w:rsid w:val="00316B83"/>
    <w:rsid w:val="00316EFE"/>
    <w:rsid w:val="00317004"/>
    <w:rsid w:val="0031750D"/>
    <w:rsid w:val="003178E7"/>
    <w:rsid w:val="00317DAD"/>
    <w:rsid w:val="00317FF8"/>
    <w:rsid w:val="003203C7"/>
    <w:rsid w:val="00320415"/>
    <w:rsid w:val="00320F8D"/>
    <w:rsid w:val="0032145B"/>
    <w:rsid w:val="00321EC9"/>
    <w:rsid w:val="003228BF"/>
    <w:rsid w:val="003228C3"/>
    <w:rsid w:val="00322E0B"/>
    <w:rsid w:val="00323107"/>
    <w:rsid w:val="00323394"/>
    <w:rsid w:val="00323C5A"/>
    <w:rsid w:val="00324485"/>
    <w:rsid w:val="00324FA6"/>
    <w:rsid w:val="003250C5"/>
    <w:rsid w:val="003251CB"/>
    <w:rsid w:val="0032573B"/>
    <w:rsid w:val="00325961"/>
    <w:rsid w:val="00325A1F"/>
    <w:rsid w:val="00327606"/>
    <w:rsid w:val="00331272"/>
    <w:rsid w:val="00331DCE"/>
    <w:rsid w:val="00332055"/>
    <w:rsid w:val="00332280"/>
    <w:rsid w:val="003323DB"/>
    <w:rsid w:val="00332B05"/>
    <w:rsid w:val="003330C7"/>
    <w:rsid w:val="0033316A"/>
    <w:rsid w:val="00333A62"/>
    <w:rsid w:val="00333BF1"/>
    <w:rsid w:val="00335C9A"/>
    <w:rsid w:val="003400F9"/>
    <w:rsid w:val="00340364"/>
    <w:rsid w:val="003409BF"/>
    <w:rsid w:val="00340B72"/>
    <w:rsid w:val="003416F3"/>
    <w:rsid w:val="00341895"/>
    <w:rsid w:val="00341944"/>
    <w:rsid w:val="003422D8"/>
    <w:rsid w:val="003424A8"/>
    <w:rsid w:val="0034298C"/>
    <w:rsid w:val="00344F17"/>
    <w:rsid w:val="00345110"/>
    <w:rsid w:val="00345525"/>
    <w:rsid w:val="003465E8"/>
    <w:rsid w:val="00347039"/>
    <w:rsid w:val="003505BD"/>
    <w:rsid w:val="003509F1"/>
    <w:rsid w:val="003510AD"/>
    <w:rsid w:val="00351302"/>
    <w:rsid w:val="00353D1D"/>
    <w:rsid w:val="003542E0"/>
    <w:rsid w:val="003546C6"/>
    <w:rsid w:val="00355E73"/>
    <w:rsid w:val="00356841"/>
    <w:rsid w:val="003569BC"/>
    <w:rsid w:val="00357288"/>
    <w:rsid w:val="00357C02"/>
    <w:rsid w:val="00357DAD"/>
    <w:rsid w:val="0036013E"/>
    <w:rsid w:val="00361691"/>
    <w:rsid w:val="003640B6"/>
    <w:rsid w:val="00364715"/>
    <w:rsid w:val="003654A4"/>
    <w:rsid w:val="00365687"/>
    <w:rsid w:val="003657AB"/>
    <w:rsid w:val="00365F28"/>
    <w:rsid w:val="00367AAE"/>
    <w:rsid w:val="0037070D"/>
    <w:rsid w:val="003709CB"/>
    <w:rsid w:val="00370A03"/>
    <w:rsid w:val="00372979"/>
    <w:rsid w:val="00372A69"/>
    <w:rsid w:val="003732DC"/>
    <w:rsid w:val="00373357"/>
    <w:rsid w:val="00376491"/>
    <w:rsid w:val="00380189"/>
    <w:rsid w:val="00380A15"/>
    <w:rsid w:val="00381107"/>
    <w:rsid w:val="00381308"/>
    <w:rsid w:val="003818E8"/>
    <w:rsid w:val="00383295"/>
    <w:rsid w:val="00383DDA"/>
    <w:rsid w:val="003848EF"/>
    <w:rsid w:val="00384905"/>
    <w:rsid w:val="00385BF8"/>
    <w:rsid w:val="00386560"/>
    <w:rsid w:val="00386D2E"/>
    <w:rsid w:val="003913B0"/>
    <w:rsid w:val="003930D5"/>
    <w:rsid w:val="003946A1"/>
    <w:rsid w:val="003946A2"/>
    <w:rsid w:val="003947F2"/>
    <w:rsid w:val="00395D43"/>
    <w:rsid w:val="00395DFD"/>
    <w:rsid w:val="00395F95"/>
    <w:rsid w:val="00396770"/>
    <w:rsid w:val="00396C1A"/>
    <w:rsid w:val="003972F5"/>
    <w:rsid w:val="003A0857"/>
    <w:rsid w:val="003A08BF"/>
    <w:rsid w:val="003A0C61"/>
    <w:rsid w:val="003A123B"/>
    <w:rsid w:val="003A12B1"/>
    <w:rsid w:val="003A12EA"/>
    <w:rsid w:val="003A151C"/>
    <w:rsid w:val="003A1C8E"/>
    <w:rsid w:val="003A2472"/>
    <w:rsid w:val="003A2861"/>
    <w:rsid w:val="003A4286"/>
    <w:rsid w:val="003A44E3"/>
    <w:rsid w:val="003A53C5"/>
    <w:rsid w:val="003A5EEC"/>
    <w:rsid w:val="003A6079"/>
    <w:rsid w:val="003A68AB"/>
    <w:rsid w:val="003A6EB2"/>
    <w:rsid w:val="003A7247"/>
    <w:rsid w:val="003A74A3"/>
    <w:rsid w:val="003A7572"/>
    <w:rsid w:val="003B00FB"/>
    <w:rsid w:val="003B04F0"/>
    <w:rsid w:val="003B1336"/>
    <w:rsid w:val="003B1FF8"/>
    <w:rsid w:val="003B20FC"/>
    <w:rsid w:val="003B30DD"/>
    <w:rsid w:val="003B3E18"/>
    <w:rsid w:val="003B5080"/>
    <w:rsid w:val="003B5CBC"/>
    <w:rsid w:val="003B6017"/>
    <w:rsid w:val="003B699E"/>
    <w:rsid w:val="003B71E6"/>
    <w:rsid w:val="003B72CF"/>
    <w:rsid w:val="003B78AB"/>
    <w:rsid w:val="003C06AE"/>
    <w:rsid w:val="003C12C7"/>
    <w:rsid w:val="003C264A"/>
    <w:rsid w:val="003C2DEE"/>
    <w:rsid w:val="003C4286"/>
    <w:rsid w:val="003C43B7"/>
    <w:rsid w:val="003C481F"/>
    <w:rsid w:val="003C4C86"/>
    <w:rsid w:val="003C5845"/>
    <w:rsid w:val="003C6B89"/>
    <w:rsid w:val="003C6C81"/>
    <w:rsid w:val="003C7FC8"/>
    <w:rsid w:val="003D11C0"/>
    <w:rsid w:val="003D2341"/>
    <w:rsid w:val="003D2D82"/>
    <w:rsid w:val="003D33A3"/>
    <w:rsid w:val="003D3E7C"/>
    <w:rsid w:val="003D572E"/>
    <w:rsid w:val="003D57B2"/>
    <w:rsid w:val="003D6960"/>
    <w:rsid w:val="003D77EE"/>
    <w:rsid w:val="003D791F"/>
    <w:rsid w:val="003E0510"/>
    <w:rsid w:val="003E197B"/>
    <w:rsid w:val="003E1B1F"/>
    <w:rsid w:val="003E1BBB"/>
    <w:rsid w:val="003E2109"/>
    <w:rsid w:val="003E2295"/>
    <w:rsid w:val="003E30DE"/>
    <w:rsid w:val="003E47B8"/>
    <w:rsid w:val="003E54B6"/>
    <w:rsid w:val="003E58BD"/>
    <w:rsid w:val="003E5E49"/>
    <w:rsid w:val="003E66BB"/>
    <w:rsid w:val="003E7A4D"/>
    <w:rsid w:val="003F1D29"/>
    <w:rsid w:val="003F1F49"/>
    <w:rsid w:val="003F2C1E"/>
    <w:rsid w:val="003F2FA0"/>
    <w:rsid w:val="003F42A7"/>
    <w:rsid w:val="003F4636"/>
    <w:rsid w:val="003F5C55"/>
    <w:rsid w:val="003F5E0D"/>
    <w:rsid w:val="003F6045"/>
    <w:rsid w:val="003F6081"/>
    <w:rsid w:val="003F71C5"/>
    <w:rsid w:val="004016DE"/>
    <w:rsid w:val="00401BD9"/>
    <w:rsid w:val="004020FD"/>
    <w:rsid w:val="004025DC"/>
    <w:rsid w:val="00402E80"/>
    <w:rsid w:val="00402EBC"/>
    <w:rsid w:val="004037F1"/>
    <w:rsid w:val="004041B8"/>
    <w:rsid w:val="004045D6"/>
    <w:rsid w:val="004057F2"/>
    <w:rsid w:val="00405ACA"/>
    <w:rsid w:val="00405C9D"/>
    <w:rsid w:val="00406B23"/>
    <w:rsid w:val="004077A2"/>
    <w:rsid w:val="004077BD"/>
    <w:rsid w:val="004077DF"/>
    <w:rsid w:val="004104D9"/>
    <w:rsid w:val="00411503"/>
    <w:rsid w:val="004127C3"/>
    <w:rsid w:val="00415552"/>
    <w:rsid w:val="00416050"/>
    <w:rsid w:val="00417259"/>
    <w:rsid w:val="00417404"/>
    <w:rsid w:val="004175D4"/>
    <w:rsid w:val="004205B4"/>
    <w:rsid w:val="004213F0"/>
    <w:rsid w:val="00422963"/>
    <w:rsid w:val="004240A9"/>
    <w:rsid w:val="0042494E"/>
    <w:rsid w:val="00426AB3"/>
    <w:rsid w:val="00426BB9"/>
    <w:rsid w:val="004303EF"/>
    <w:rsid w:val="004304BC"/>
    <w:rsid w:val="00430900"/>
    <w:rsid w:val="00430D68"/>
    <w:rsid w:val="00432445"/>
    <w:rsid w:val="00432757"/>
    <w:rsid w:val="004333CE"/>
    <w:rsid w:val="0043344E"/>
    <w:rsid w:val="00433533"/>
    <w:rsid w:val="0043446F"/>
    <w:rsid w:val="00435DA5"/>
    <w:rsid w:val="0043683F"/>
    <w:rsid w:val="0043788C"/>
    <w:rsid w:val="0044034F"/>
    <w:rsid w:val="004403B3"/>
    <w:rsid w:val="004406D1"/>
    <w:rsid w:val="00440A77"/>
    <w:rsid w:val="0044130A"/>
    <w:rsid w:val="004422A6"/>
    <w:rsid w:val="0044290D"/>
    <w:rsid w:val="004442E2"/>
    <w:rsid w:val="00444DC8"/>
    <w:rsid w:val="00445634"/>
    <w:rsid w:val="004503D6"/>
    <w:rsid w:val="00451597"/>
    <w:rsid w:val="0045253C"/>
    <w:rsid w:val="00452925"/>
    <w:rsid w:val="00452987"/>
    <w:rsid w:val="00452B35"/>
    <w:rsid w:val="00452B4D"/>
    <w:rsid w:val="0045452E"/>
    <w:rsid w:val="004547EA"/>
    <w:rsid w:val="0045487E"/>
    <w:rsid w:val="00455285"/>
    <w:rsid w:val="00455895"/>
    <w:rsid w:val="00455EAA"/>
    <w:rsid w:val="0045629A"/>
    <w:rsid w:val="00456494"/>
    <w:rsid w:val="00457408"/>
    <w:rsid w:val="004577B3"/>
    <w:rsid w:val="004577E1"/>
    <w:rsid w:val="0045799A"/>
    <w:rsid w:val="00461240"/>
    <w:rsid w:val="00462598"/>
    <w:rsid w:val="004628DB"/>
    <w:rsid w:val="004629D0"/>
    <w:rsid w:val="00463490"/>
    <w:rsid w:val="004646E7"/>
    <w:rsid w:val="00466326"/>
    <w:rsid w:val="00470048"/>
    <w:rsid w:val="00470BEA"/>
    <w:rsid w:val="00471060"/>
    <w:rsid w:val="004716AC"/>
    <w:rsid w:val="00471E07"/>
    <w:rsid w:val="0047273D"/>
    <w:rsid w:val="00473870"/>
    <w:rsid w:val="00474A34"/>
    <w:rsid w:val="004763AF"/>
    <w:rsid w:val="00477CAE"/>
    <w:rsid w:val="00481238"/>
    <w:rsid w:val="0048167B"/>
    <w:rsid w:val="0048196D"/>
    <w:rsid w:val="004819EB"/>
    <w:rsid w:val="00481DBF"/>
    <w:rsid w:val="00482506"/>
    <w:rsid w:val="004832D1"/>
    <w:rsid w:val="00483E1A"/>
    <w:rsid w:val="00483FB7"/>
    <w:rsid w:val="00485114"/>
    <w:rsid w:val="004854B3"/>
    <w:rsid w:val="0048590C"/>
    <w:rsid w:val="00485CDC"/>
    <w:rsid w:val="004860C0"/>
    <w:rsid w:val="00486F04"/>
    <w:rsid w:val="00487074"/>
    <w:rsid w:val="0049072A"/>
    <w:rsid w:val="00490FCE"/>
    <w:rsid w:val="00490FF7"/>
    <w:rsid w:val="004916A8"/>
    <w:rsid w:val="004930E8"/>
    <w:rsid w:val="004930F6"/>
    <w:rsid w:val="004934E8"/>
    <w:rsid w:val="00493B5E"/>
    <w:rsid w:val="0049416F"/>
    <w:rsid w:val="004948C9"/>
    <w:rsid w:val="00495031"/>
    <w:rsid w:val="00495404"/>
    <w:rsid w:val="00497931"/>
    <w:rsid w:val="004A0E80"/>
    <w:rsid w:val="004A14BC"/>
    <w:rsid w:val="004A3D93"/>
    <w:rsid w:val="004A3EFD"/>
    <w:rsid w:val="004A3F27"/>
    <w:rsid w:val="004A51B2"/>
    <w:rsid w:val="004A7E39"/>
    <w:rsid w:val="004B04F6"/>
    <w:rsid w:val="004B1880"/>
    <w:rsid w:val="004B2E55"/>
    <w:rsid w:val="004B3866"/>
    <w:rsid w:val="004B3B7B"/>
    <w:rsid w:val="004B4937"/>
    <w:rsid w:val="004B5251"/>
    <w:rsid w:val="004B5A8D"/>
    <w:rsid w:val="004B6DD6"/>
    <w:rsid w:val="004B7BF3"/>
    <w:rsid w:val="004C0DDA"/>
    <w:rsid w:val="004C1BBB"/>
    <w:rsid w:val="004C28BD"/>
    <w:rsid w:val="004C3CF1"/>
    <w:rsid w:val="004C4C17"/>
    <w:rsid w:val="004C4C8F"/>
    <w:rsid w:val="004C4DF0"/>
    <w:rsid w:val="004C52A8"/>
    <w:rsid w:val="004C5754"/>
    <w:rsid w:val="004C583E"/>
    <w:rsid w:val="004C58B6"/>
    <w:rsid w:val="004C5D15"/>
    <w:rsid w:val="004D0081"/>
    <w:rsid w:val="004D0574"/>
    <w:rsid w:val="004D0C7C"/>
    <w:rsid w:val="004D118B"/>
    <w:rsid w:val="004D1F96"/>
    <w:rsid w:val="004D2A2F"/>
    <w:rsid w:val="004D2FF8"/>
    <w:rsid w:val="004D3AC4"/>
    <w:rsid w:val="004D490F"/>
    <w:rsid w:val="004D4E18"/>
    <w:rsid w:val="004D6A72"/>
    <w:rsid w:val="004D7D6D"/>
    <w:rsid w:val="004E1174"/>
    <w:rsid w:val="004E242F"/>
    <w:rsid w:val="004E29C6"/>
    <w:rsid w:val="004E2DD2"/>
    <w:rsid w:val="004E3E8F"/>
    <w:rsid w:val="004E402A"/>
    <w:rsid w:val="004E4095"/>
    <w:rsid w:val="004E501B"/>
    <w:rsid w:val="004E54B6"/>
    <w:rsid w:val="004E5E6C"/>
    <w:rsid w:val="004E6683"/>
    <w:rsid w:val="004E6D79"/>
    <w:rsid w:val="004E7EB6"/>
    <w:rsid w:val="004F22B6"/>
    <w:rsid w:val="004F526C"/>
    <w:rsid w:val="004F5E43"/>
    <w:rsid w:val="004F6413"/>
    <w:rsid w:val="004F684A"/>
    <w:rsid w:val="004F6862"/>
    <w:rsid w:val="004F739C"/>
    <w:rsid w:val="004F7BA3"/>
    <w:rsid w:val="00500698"/>
    <w:rsid w:val="00500C9D"/>
    <w:rsid w:val="0050152C"/>
    <w:rsid w:val="00501938"/>
    <w:rsid w:val="00501D0F"/>
    <w:rsid w:val="00503C39"/>
    <w:rsid w:val="00505837"/>
    <w:rsid w:val="00505A47"/>
    <w:rsid w:val="00505D7A"/>
    <w:rsid w:val="00506528"/>
    <w:rsid w:val="00507986"/>
    <w:rsid w:val="00510AC6"/>
    <w:rsid w:val="005110CD"/>
    <w:rsid w:val="005116B1"/>
    <w:rsid w:val="00513989"/>
    <w:rsid w:val="00514907"/>
    <w:rsid w:val="00514E64"/>
    <w:rsid w:val="00517351"/>
    <w:rsid w:val="00520444"/>
    <w:rsid w:val="005216AE"/>
    <w:rsid w:val="005238F6"/>
    <w:rsid w:val="0052463E"/>
    <w:rsid w:val="005250E6"/>
    <w:rsid w:val="00525217"/>
    <w:rsid w:val="00525511"/>
    <w:rsid w:val="00526136"/>
    <w:rsid w:val="00526B28"/>
    <w:rsid w:val="00527387"/>
    <w:rsid w:val="0052744F"/>
    <w:rsid w:val="00527A7D"/>
    <w:rsid w:val="00530C51"/>
    <w:rsid w:val="005315E5"/>
    <w:rsid w:val="0053193D"/>
    <w:rsid w:val="00531A01"/>
    <w:rsid w:val="00533D7B"/>
    <w:rsid w:val="00534191"/>
    <w:rsid w:val="00534E2C"/>
    <w:rsid w:val="00535433"/>
    <w:rsid w:val="00537A14"/>
    <w:rsid w:val="00540336"/>
    <w:rsid w:val="005409C5"/>
    <w:rsid w:val="00540A7C"/>
    <w:rsid w:val="00544292"/>
    <w:rsid w:val="005448AD"/>
    <w:rsid w:val="005456EC"/>
    <w:rsid w:val="00545701"/>
    <w:rsid w:val="005460CE"/>
    <w:rsid w:val="0054621A"/>
    <w:rsid w:val="00547154"/>
    <w:rsid w:val="00547B76"/>
    <w:rsid w:val="0055078B"/>
    <w:rsid w:val="00552F97"/>
    <w:rsid w:val="00553A7A"/>
    <w:rsid w:val="00554795"/>
    <w:rsid w:val="005547B8"/>
    <w:rsid w:val="00554EED"/>
    <w:rsid w:val="00556DEA"/>
    <w:rsid w:val="00560465"/>
    <w:rsid w:val="0056070C"/>
    <w:rsid w:val="00560972"/>
    <w:rsid w:val="00562485"/>
    <w:rsid w:val="0056261F"/>
    <w:rsid w:val="00563378"/>
    <w:rsid w:val="00563F7B"/>
    <w:rsid w:val="005640A6"/>
    <w:rsid w:val="00564A9A"/>
    <w:rsid w:val="00565E42"/>
    <w:rsid w:val="0056664A"/>
    <w:rsid w:val="00570267"/>
    <w:rsid w:val="00570F8E"/>
    <w:rsid w:val="005719FD"/>
    <w:rsid w:val="00571B06"/>
    <w:rsid w:val="00572118"/>
    <w:rsid w:val="00572745"/>
    <w:rsid w:val="00573359"/>
    <w:rsid w:val="00573B4E"/>
    <w:rsid w:val="00574A89"/>
    <w:rsid w:val="0057527B"/>
    <w:rsid w:val="00575FFA"/>
    <w:rsid w:val="00576F30"/>
    <w:rsid w:val="00577065"/>
    <w:rsid w:val="00577B44"/>
    <w:rsid w:val="00580B97"/>
    <w:rsid w:val="005815D5"/>
    <w:rsid w:val="00581DE4"/>
    <w:rsid w:val="00582997"/>
    <w:rsid w:val="00584C71"/>
    <w:rsid w:val="005862CC"/>
    <w:rsid w:val="00586CE4"/>
    <w:rsid w:val="00586D82"/>
    <w:rsid w:val="005875FD"/>
    <w:rsid w:val="005879B8"/>
    <w:rsid w:val="00591130"/>
    <w:rsid w:val="005920A2"/>
    <w:rsid w:val="00592DC8"/>
    <w:rsid w:val="0059302C"/>
    <w:rsid w:val="00593648"/>
    <w:rsid w:val="00594141"/>
    <w:rsid w:val="00594AC6"/>
    <w:rsid w:val="00594C42"/>
    <w:rsid w:val="00594F99"/>
    <w:rsid w:val="00595B71"/>
    <w:rsid w:val="005961A1"/>
    <w:rsid w:val="0059679F"/>
    <w:rsid w:val="00596F19"/>
    <w:rsid w:val="005970B5"/>
    <w:rsid w:val="005978D0"/>
    <w:rsid w:val="005A0026"/>
    <w:rsid w:val="005A0B86"/>
    <w:rsid w:val="005A0F5A"/>
    <w:rsid w:val="005A2FC0"/>
    <w:rsid w:val="005A3880"/>
    <w:rsid w:val="005A4C7B"/>
    <w:rsid w:val="005A533D"/>
    <w:rsid w:val="005A540A"/>
    <w:rsid w:val="005A55A5"/>
    <w:rsid w:val="005A5DAE"/>
    <w:rsid w:val="005A5DFC"/>
    <w:rsid w:val="005A66F6"/>
    <w:rsid w:val="005A69B2"/>
    <w:rsid w:val="005A78F1"/>
    <w:rsid w:val="005A7A14"/>
    <w:rsid w:val="005A7FA9"/>
    <w:rsid w:val="005B11C4"/>
    <w:rsid w:val="005B341F"/>
    <w:rsid w:val="005B44D6"/>
    <w:rsid w:val="005B47AA"/>
    <w:rsid w:val="005B5651"/>
    <w:rsid w:val="005B613F"/>
    <w:rsid w:val="005B65BD"/>
    <w:rsid w:val="005C0E7F"/>
    <w:rsid w:val="005C2E91"/>
    <w:rsid w:val="005C4CBC"/>
    <w:rsid w:val="005C54A9"/>
    <w:rsid w:val="005C6612"/>
    <w:rsid w:val="005D0BD1"/>
    <w:rsid w:val="005D16E1"/>
    <w:rsid w:val="005D27B8"/>
    <w:rsid w:val="005D2E03"/>
    <w:rsid w:val="005D3E03"/>
    <w:rsid w:val="005D42F7"/>
    <w:rsid w:val="005D4544"/>
    <w:rsid w:val="005D4BD9"/>
    <w:rsid w:val="005D4F09"/>
    <w:rsid w:val="005D4F0B"/>
    <w:rsid w:val="005D5178"/>
    <w:rsid w:val="005D547E"/>
    <w:rsid w:val="005D5779"/>
    <w:rsid w:val="005D6EA8"/>
    <w:rsid w:val="005D6F05"/>
    <w:rsid w:val="005E10E3"/>
    <w:rsid w:val="005E2A18"/>
    <w:rsid w:val="005E2B65"/>
    <w:rsid w:val="005E3FC7"/>
    <w:rsid w:val="005E49A3"/>
    <w:rsid w:val="005E7039"/>
    <w:rsid w:val="005E76A1"/>
    <w:rsid w:val="005F0A6A"/>
    <w:rsid w:val="005F0ADA"/>
    <w:rsid w:val="005F0E45"/>
    <w:rsid w:val="005F1811"/>
    <w:rsid w:val="005F23C8"/>
    <w:rsid w:val="005F2526"/>
    <w:rsid w:val="005F301A"/>
    <w:rsid w:val="005F32E7"/>
    <w:rsid w:val="005F54D7"/>
    <w:rsid w:val="005F698B"/>
    <w:rsid w:val="005F7161"/>
    <w:rsid w:val="005F74F0"/>
    <w:rsid w:val="00600956"/>
    <w:rsid w:val="006011E1"/>
    <w:rsid w:val="00601F24"/>
    <w:rsid w:val="0060218E"/>
    <w:rsid w:val="00602401"/>
    <w:rsid w:val="00604158"/>
    <w:rsid w:val="0060499A"/>
    <w:rsid w:val="0060559A"/>
    <w:rsid w:val="0060666C"/>
    <w:rsid w:val="00606C5F"/>
    <w:rsid w:val="00606CE0"/>
    <w:rsid w:val="00610F2D"/>
    <w:rsid w:val="0061103F"/>
    <w:rsid w:val="00612DCF"/>
    <w:rsid w:val="00613116"/>
    <w:rsid w:val="00613B20"/>
    <w:rsid w:val="00614249"/>
    <w:rsid w:val="00614CE6"/>
    <w:rsid w:val="006158F9"/>
    <w:rsid w:val="00615CA5"/>
    <w:rsid w:val="00615D43"/>
    <w:rsid w:val="00616558"/>
    <w:rsid w:val="00616BCC"/>
    <w:rsid w:val="0061761A"/>
    <w:rsid w:val="0062080A"/>
    <w:rsid w:val="00621EE1"/>
    <w:rsid w:val="006221F5"/>
    <w:rsid w:val="00622448"/>
    <w:rsid w:val="00622936"/>
    <w:rsid w:val="006229AD"/>
    <w:rsid w:val="00623DFF"/>
    <w:rsid w:val="00623FDD"/>
    <w:rsid w:val="0062418D"/>
    <w:rsid w:val="00624299"/>
    <w:rsid w:val="006243EB"/>
    <w:rsid w:val="0062531E"/>
    <w:rsid w:val="00625536"/>
    <w:rsid w:val="00625AC1"/>
    <w:rsid w:val="00626698"/>
    <w:rsid w:val="006267F8"/>
    <w:rsid w:val="006270AB"/>
    <w:rsid w:val="00627E0B"/>
    <w:rsid w:val="00627EA3"/>
    <w:rsid w:val="00630966"/>
    <w:rsid w:val="00630EC4"/>
    <w:rsid w:val="00630EC9"/>
    <w:rsid w:val="00631B4C"/>
    <w:rsid w:val="00632522"/>
    <w:rsid w:val="006328B1"/>
    <w:rsid w:val="00632CB9"/>
    <w:rsid w:val="00634C43"/>
    <w:rsid w:val="00635BAE"/>
    <w:rsid w:val="00635F86"/>
    <w:rsid w:val="006376F5"/>
    <w:rsid w:val="00637714"/>
    <w:rsid w:val="00641D5A"/>
    <w:rsid w:val="0064237C"/>
    <w:rsid w:val="00642777"/>
    <w:rsid w:val="0064281B"/>
    <w:rsid w:val="00643B89"/>
    <w:rsid w:val="00644C50"/>
    <w:rsid w:val="00645123"/>
    <w:rsid w:val="00645936"/>
    <w:rsid w:val="00646433"/>
    <w:rsid w:val="00646B92"/>
    <w:rsid w:val="00647402"/>
    <w:rsid w:val="0065000B"/>
    <w:rsid w:val="00650282"/>
    <w:rsid w:val="00650A11"/>
    <w:rsid w:val="00650A1C"/>
    <w:rsid w:val="006511BB"/>
    <w:rsid w:val="006516BF"/>
    <w:rsid w:val="006531EF"/>
    <w:rsid w:val="00655DA6"/>
    <w:rsid w:val="006561C9"/>
    <w:rsid w:val="00656305"/>
    <w:rsid w:val="00657E87"/>
    <w:rsid w:val="0066034A"/>
    <w:rsid w:val="006624FC"/>
    <w:rsid w:val="00662F4E"/>
    <w:rsid w:val="006631B8"/>
    <w:rsid w:val="006635FC"/>
    <w:rsid w:val="00664050"/>
    <w:rsid w:val="00664867"/>
    <w:rsid w:val="00664D09"/>
    <w:rsid w:val="006656EC"/>
    <w:rsid w:val="006662EE"/>
    <w:rsid w:val="006664CB"/>
    <w:rsid w:val="00667977"/>
    <w:rsid w:val="00667D10"/>
    <w:rsid w:val="0067070B"/>
    <w:rsid w:val="006707DD"/>
    <w:rsid w:val="006718EC"/>
    <w:rsid w:val="006725A4"/>
    <w:rsid w:val="00674043"/>
    <w:rsid w:val="00674D00"/>
    <w:rsid w:val="00674D96"/>
    <w:rsid w:val="00676701"/>
    <w:rsid w:val="00676E91"/>
    <w:rsid w:val="0067720E"/>
    <w:rsid w:val="00677C65"/>
    <w:rsid w:val="0068049B"/>
    <w:rsid w:val="0068051F"/>
    <w:rsid w:val="006812CF"/>
    <w:rsid w:val="00681533"/>
    <w:rsid w:val="00681B40"/>
    <w:rsid w:val="00681B7D"/>
    <w:rsid w:val="006820E6"/>
    <w:rsid w:val="006824EE"/>
    <w:rsid w:val="00682BBC"/>
    <w:rsid w:val="006833BE"/>
    <w:rsid w:val="00684490"/>
    <w:rsid w:val="00684651"/>
    <w:rsid w:val="00685CB3"/>
    <w:rsid w:val="006867B7"/>
    <w:rsid w:val="00686F5E"/>
    <w:rsid w:val="00687D88"/>
    <w:rsid w:val="00687E80"/>
    <w:rsid w:val="006914EF"/>
    <w:rsid w:val="00692DE8"/>
    <w:rsid w:val="0069403E"/>
    <w:rsid w:val="006945C8"/>
    <w:rsid w:val="00696A20"/>
    <w:rsid w:val="006A0557"/>
    <w:rsid w:val="006A0782"/>
    <w:rsid w:val="006A145A"/>
    <w:rsid w:val="006A1846"/>
    <w:rsid w:val="006A1B09"/>
    <w:rsid w:val="006A20F4"/>
    <w:rsid w:val="006A2A2C"/>
    <w:rsid w:val="006A2D92"/>
    <w:rsid w:val="006A37A2"/>
    <w:rsid w:val="006A3B26"/>
    <w:rsid w:val="006A56C1"/>
    <w:rsid w:val="006A585D"/>
    <w:rsid w:val="006A5A2E"/>
    <w:rsid w:val="006A67EB"/>
    <w:rsid w:val="006B04D1"/>
    <w:rsid w:val="006B131C"/>
    <w:rsid w:val="006B3C41"/>
    <w:rsid w:val="006B422D"/>
    <w:rsid w:val="006B4257"/>
    <w:rsid w:val="006B4B0D"/>
    <w:rsid w:val="006B4E05"/>
    <w:rsid w:val="006B70AF"/>
    <w:rsid w:val="006C0521"/>
    <w:rsid w:val="006C17EA"/>
    <w:rsid w:val="006C1C3F"/>
    <w:rsid w:val="006C2C4A"/>
    <w:rsid w:val="006C3E32"/>
    <w:rsid w:val="006C5354"/>
    <w:rsid w:val="006C5CE3"/>
    <w:rsid w:val="006C6483"/>
    <w:rsid w:val="006C7426"/>
    <w:rsid w:val="006D0629"/>
    <w:rsid w:val="006D0DA9"/>
    <w:rsid w:val="006D0DF8"/>
    <w:rsid w:val="006D1474"/>
    <w:rsid w:val="006D1F7D"/>
    <w:rsid w:val="006D29CD"/>
    <w:rsid w:val="006D2BE3"/>
    <w:rsid w:val="006D2BEB"/>
    <w:rsid w:val="006D2BF3"/>
    <w:rsid w:val="006D37CF"/>
    <w:rsid w:val="006D3DCE"/>
    <w:rsid w:val="006D436A"/>
    <w:rsid w:val="006D71BE"/>
    <w:rsid w:val="006E11EC"/>
    <w:rsid w:val="006E17B6"/>
    <w:rsid w:val="006E1919"/>
    <w:rsid w:val="006E58A2"/>
    <w:rsid w:val="006E60A1"/>
    <w:rsid w:val="006E679E"/>
    <w:rsid w:val="006E6C78"/>
    <w:rsid w:val="006E7242"/>
    <w:rsid w:val="006E7CFB"/>
    <w:rsid w:val="006F0945"/>
    <w:rsid w:val="006F0B37"/>
    <w:rsid w:val="006F1ED4"/>
    <w:rsid w:val="006F2805"/>
    <w:rsid w:val="006F3477"/>
    <w:rsid w:val="006F3BB8"/>
    <w:rsid w:val="006F4252"/>
    <w:rsid w:val="006F5416"/>
    <w:rsid w:val="006F6424"/>
    <w:rsid w:val="006F68D1"/>
    <w:rsid w:val="006F6CFD"/>
    <w:rsid w:val="00700CEA"/>
    <w:rsid w:val="0070149F"/>
    <w:rsid w:val="00703D2D"/>
    <w:rsid w:val="0070403D"/>
    <w:rsid w:val="00704842"/>
    <w:rsid w:val="00704A6B"/>
    <w:rsid w:val="00706FE9"/>
    <w:rsid w:val="00707505"/>
    <w:rsid w:val="00710BF9"/>
    <w:rsid w:val="0071191B"/>
    <w:rsid w:val="00712143"/>
    <w:rsid w:val="00712914"/>
    <w:rsid w:val="00712D52"/>
    <w:rsid w:val="0071360C"/>
    <w:rsid w:val="0071367B"/>
    <w:rsid w:val="00713681"/>
    <w:rsid w:val="007139B6"/>
    <w:rsid w:val="0071468E"/>
    <w:rsid w:val="007148AA"/>
    <w:rsid w:val="0071541B"/>
    <w:rsid w:val="0071686F"/>
    <w:rsid w:val="00716A12"/>
    <w:rsid w:val="00716D5C"/>
    <w:rsid w:val="00716DC1"/>
    <w:rsid w:val="00716E66"/>
    <w:rsid w:val="00717760"/>
    <w:rsid w:val="00717800"/>
    <w:rsid w:val="007208D9"/>
    <w:rsid w:val="00720AF5"/>
    <w:rsid w:val="00720C9D"/>
    <w:rsid w:val="00720DBF"/>
    <w:rsid w:val="00720FA2"/>
    <w:rsid w:val="00720FFE"/>
    <w:rsid w:val="007212B1"/>
    <w:rsid w:val="00722934"/>
    <w:rsid w:val="00722BD6"/>
    <w:rsid w:val="00724C0F"/>
    <w:rsid w:val="00726CFA"/>
    <w:rsid w:val="00727693"/>
    <w:rsid w:val="0073189C"/>
    <w:rsid w:val="007319E0"/>
    <w:rsid w:val="00732185"/>
    <w:rsid w:val="0073258B"/>
    <w:rsid w:val="00732BA8"/>
    <w:rsid w:val="00733073"/>
    <w:rsid w:val="0073350E"/>
    <w:rsid w:val="00733DCB"/>
    <w:rsid w:val="00733F8C"/>
    <w:rsid w:val="00734CA3"/>
    <w:rsid w:val="00734E99"/>
    <w:rsid w:val="007359A7"/>
    <w:rsid w:val="00736976"/>
    <w:rsid w:val="00736A54"/>
    <w:rsid w:val="00737BBD"/>
    <w:rsid w:val="007404CD"/>
    <w:rsid w:val="00740C42"/>
    <w:rsid w:val="00740C97"/>
    <w:rsid w:val="0074128D"/>
    <w:rsid w:val="00742316"/>
    <w:rsid w:val="00742CA3"/>
    <w:rsid w:val="00744ECC"/>
    <w:rsid w:val="00746203"/>
    <w:rsid w:val="0074677C"/>
    <w:rsid w:val="00746D09"/>
    <w:rsid w:val="00746E21"/>
    <w:rsid w:val="0074740B"/>
    <w:rsid w:val="00747E73"/>
    <w:rsid w:val="007509DC"/>
    <w:rsid w:val="00752E77"/>
    <w:rsid w:val="0075313F"/>
    <w:rsid w:val="0075393B"/>
    <w:rsid w:val="0075471A"/>
    <w:rsid w:val="00754B08"/>
    <w:rsid w:val="00755D84"/>
    <w:rsid w:val="007566BA"/>
    <w:rsid w:val="00757369"/>
    <w:rsid w:val="0075771C"/>
    <w:rsid w:val="007608D7"/>
    <w:rsid w:val="00760C0D"/>
    <w:rsid w:val="00761231"/>
    <w:rsid w:val="00762D70"/>
    <w:rsid w:val="0076341D"/>
    <w:rsid w:val="00763A9D"/>
    <w:rsid w:val="00763D76"/>
    <w:rsid w:val="00764FAA"/>
    <w:rsid w:val="00766DD9"/>
    <w:rsid w:val="00767A04"/>
    <w:rsid w:val="007729CE"/>
    <w:rsid w:val="00772AD4"/>
    <w:rsid w:val="00772D54"/>
    <w:rsid w:val="00773719"/>
    <w:rsid w:val="00773B58"/>
    <w:rsid w:val="00774343"/>
    <w:rsid w:val="0077456A"/>
    <w:rsid w:val="0077542E"/>
    <w:rsid w:val="007754E1"/>
    <w:rsid w:val="00775EA3"/>
    <w:rsid w:val="00777487"/>
    <w:rsid w:val="007777A1"/>
    <w:rsid w:val="00777DFA"/>
    <w:rsid w:val="0078003D"/>
    <w:rsid w:val="00780D52"/>
    <w:rsid w:val="00781ED7"/>
    <w:rsid w:val="0078273E"/>
    <w:rsid w:val="00782DCD"/>
    <w:rsid w:val="00782F88"/>
    <w:rsid w:val="007830D1"/>
    <w:rsid w:val="0078341E"/>
    <w:rsid w:val="0078471D"/>
    <w:rsid w:val="00784EC0"/>
    <w:rsid w:val="007854D4"/>
    <w:rsid w:val="00786D45"/>
    <w:rsid w:val="00787159"/>
    <w:rsid w:val="0078730F"/>
    <w:rsid w:val="0078760F"/>
    <w:rsid w:val="007913FD"/>
    <w:rsid w:val="0079221B"/>
    <w:rsid w:val="007925C2"/>
    <w:rsid w:val="007933E0"/>
    <w:rsid w:val="0079408F"/>
    <w:rsid w:val="0079426A"/>
    <w:rsid w:val="00795C61"/>
    <w:rsid w:val="0079627F"/>
    <w:rsid w:val="00796A50"/>
    <w:rsid w:val="00797E7A"/>
    <w:rsid w:val="007A01E1"/>
    <w:rsid w:val="007A173B"/>
    <w:rsid w:val="007A3740"/>
    <w:rsid w:val="007A49C2"/>
    <w:rsid w:val="007A4BDD"/>
    <w:rsid w:val="007A5492"/>
    <w:rsid w:val="007B05B3"/>
    <w:rsid w:val="007B0B1F"/>
    <w:rsid w:val="007B14CE"/>
    <w:rsid w:val="007B2017"/>
    <w:rsid w:val="007B33D7"/>
    <w:rsid w:val="007B5AC7"/>
    <w:rsid w:val="007B6556"/>
    <w:rsid w:val="007B732A"/>
    <w:rsid w:val="007B7ACB"/>
    <w:rsid w:val="007C08F8"/>
    <w:rsid w:val="007C10F1"/>
    <w:rsid w:val="007C1837"/>
    <w:rsid w:val="007C1BF0"/>
    <w:rsid w:val="007C2377"/>
    <w:rsid w:val="007C293A"/>
    <w:rsid w:val="007C29D5"/>
    <w:rsid w:val="007C3B78"/>
    <w:rsid w:val="007C5269"/>
    <w:rsid w:val="007D0844"/>
    <w:rsid w:val="007D0CC0"/>
    <w:rsid w:val="007D2908"/>
    <w:rsid w:val="007D478D"/>
    <w:rsid w:val="007D4EDA"/>
    <w:rsid w:val="007D537B"/>
    <w:rsid w:val="007D6F3F"/>
    <w:rsid w:val="007D7E72"/>
    <w:rsid w:val="007E1522"/>
    <w:rsid w:val="007E190E"/>
    <w:rsid w:val="007E1D58"/>
    <w:rsid w:val="007E3668"/>
    <w:rsid w:val="007E5591"/>
    <w:rsid w:val="007E5728"/>
    <w:rsid w:val="007E65B8"/>
    <w:rsid w:val="007E6CF8"/>
    <w:rsid w:val="007E6ECC"/>
    <w:rsid w:val="007E7285"/>
    <w:rsid w:val="007F0ABE"/>
    <w:rsid w:val="007F0ED9"/>
    <w:rsid w:val="007F0FDF"/>
    <w:rsid w:val="007F1A4E"/>
    <w:rsid w:val="007F25A7"/>
    <w:rsid w:val="007F2645"/>
    <w:rsid w:val="007F4129"/>
    <w:rsid w:val="007F435A"/>
    <w:rsid w:val="007F4668"/>
    <w:rsid w:val="007F47BE"/>
    <w:rsid w:val="007F5257"/>
    <w:rsid w:val="007F571B"/>
    <w:rsid w:val="007F64C7"/>
    <w:rsid w:val="008024B1"/>
    <w:rsid w:val="008031EC"/>
    <w:rsid w:val="008034D8"/>
    <w:rsid w:val="00803DCD"/>
    <w:rsid w:val="008050BB"/>
    <w:rsid w:val="008054F0"/>
    <w:rsid w:val="00805BD3"/>
    <w:rsid w:val="00805D9B"/>
    <w:rsid w:val="008064C8"/>
    <w:rsid w:val="00807DB6"/>
    <w:rsid w:val="00807E46"/>
    <w:rsid w:val="008111B2"/>
    <w:rsid w:val="008111C9"/>
    <w:rsid w:val="008112E3"/>
    <w:rsid w:val="00812523"/>
    <w:rsid w:val="00812694"/>
    <w:rsid w:val="00815425"/>
    <w:rsid w:val="008155E3"/>
    <w:rsid w:val="00817638"/>
    <w:rsid w:val="00820CDA"/>
    <w:rsid w:val="008210C5"/>
    <w:rsid w:val="008228A5"/>
    <w:rsid w:val="00822B3C"/>
    <w:rsid w:val="00823B96"/>
    <w:rsid w:val="00823E38"/>
    <w:rsid w:val="008247F5"/>
    <w:rsid w:val="00825681"/>
    <w:rsid w:val="00825AA8"/>
    <w:rsid w:val="00826F71"/>
    <w:rsid w:val="00830048"/>
    <w:rsid w:val="00830ED9"/>
    <w:rsid w:val="008326DB"/>
    <w:rsid w:val="00834156"/>
    <w:rsid w:val="00834367"/>
    <w:rsid w:val="00834AB9"/>
    <w:rsid w:val="0083590D"/>
    <w:rsid w:val="00835DDA"/>
    <w:rsid w:val="008369A3"/>
    <w:rsid w:val="00837300"/>
    <w:rsid w:val="00837F65"/>
    <w:rsid w:val="0084032E"/>
    <w:rsid w:val="00840935"/>
    <w:rsid w:val="008410B6"/>
    <w:rsid w:val="008418D8"/>
    <w:rsid w:val="00841C40"/>
    <w:rsid w:val="00842477"/>
    <w:rsid w:val="008433FD"/>
    <w:rsid w:val="00845B33"/>
    <w:rsid w:val="00845CAE"/>
    <w:rsid w:val="008465F3"/>
    <w:rsid w:val="00846809"/>
    <w:rsid w:val="008478CE"/>
    <w:rsid w:val="00847A93"/>
    <w:rsid w:val="00847C2B"/>
    <w:rsid w:val="00847E7D"/>
    <w:rsid w:val="00847F14"/>
    <w:rsid w:val="00850325"/>
    <w:rsid w:val="00850B48"/>
    <w:rsid w:val="00850CF7"/>
    <w:rsid w:val="00852318"/>
    <w:rsid w:val="00852546"/>
    <w:rsid w:val="00854B58"/>
    <w:rsid w:val="00855329"/>
    <w:rsid w:val="008553B0"/>
    <w:rsid w:val="00855476"/>
    <w:rsid w:val="0085583B"/>
    <w:rsid w:val="00855E36"/>
    <w:rsid w:val="008563D8"/>
    <w:rsid w:val="00856794"/>
    <w:rsid w:val="008574B1"/>
    <w:rsid w:val="008576E4"/>
    <w:rsid w:val="00857E85"/>
    <w:rsid w:val="008607A6"/>
    <w:rsid w:val="00860E75"/>
    <w:rsid w:val="0086103A"/>
    <w:rsid w:val="008617EA"/>
    <w:rsid w:val="0086208D"/>
    <w:rsid w:val="00862925"/>
    <w:rsid w:val="008629E3"/>
    <w:rsid w:val="00864321"/>
    <w:rsid w:val="00865139"/>
    <w:rsid w:val="00865DC8"/>
    <w:rsid w:val="00870D58"/>
    <w:rsid w:val="008712A0"/>
    <w:rsid w:val="008717D4"/>
    <w:rsid w:val="008723CC"/>
    <w:rsid w:val="00872621"/>
    <w:rsid w:val="008727AA"/>
    <w:rsid w:val="008729DD"/>
    <w:rsid w:val="00873250"/>
    <w:rsid w:val="00873825"/>
    <w:rsid w:val="008739EF"/>
    <w:rsid w:val="00873ADE"/>
    <w:rsid w:val="00873BA6"/>
    <w:rsid w:val="00873F29"/>
    <w:rsid w:val="0087428A"/>
    <w:rsid w:val="00875C3A"/>
    <w:rsid w:val="00876F9A"/>
    <w:rsid w:val="008771BC"/>
    <w:rsid w:val="008779FE"/>
    <w:rsid w:val="00877C17"/>
    <w:rsid w:val="00880626"/>
    <w:rsid w:val="00880709"/>
    <w:rsid w:val="008821E8"/>
    <w:rsid w:val="008825DA"/>
    <w:rsid w:val="008839E5"/>
    <w:rsid w:val="00883BE1"/>
    <w:rsid w:val="00883C2B"/>
    <w:rsid w:val="00883C78"/>
    <w:rsid w:val="00885315"/>
    <w:rsid w:val="00886344"/>
    <w:rsid w:val="0088679A"/>
    <w:rsid w:val="0088761A"/>
    <w:rsid w:val="00890A9E"/>
    <w:rsid w:val="008912CE"/>
    <w:rsid w:val="00892576"/>
    <w:rsid w:val="0089282C"/>
    <w:rsid w:val="00894601"/>
    <w:rsid w:val="00894CD3"/>
    <w:rsid w:val="00895643"/>
    <w:rsid w:val="00895722"/>
    <w:rsid w:val="00895D49"/>
    <w:rsid w:val="008961DF"/>
    <w:rsid w:val="0089699B"/>
    <w:rsid w:val="008A0ED3"/>
    <w:rsid w:val="008A2561"/>
    <w:rsid w:val="008A4174"/>
    <w:rsid w:val="008A4654"/>
    <w:rsid w:val="008A470F"/>
    <w:rsid w:val="008A6491"/>
    <w:rsid w:val="008A6708"/>
    <w:rsid w:val="008A70C3"/>
    <w:rsid w:val="008A77B8"/>
    <w:rsid w:val="008A7CF1"/>
    <w:rsid w:val="008B056D"/>
    <w:rsid w:val="008B0674"/>
    <w:rsid w:val="008B0B60"/>
    <w:rsid w:val="008B0CFF"/>
    <w:rsid w:val="008B20C2"/>
    <w:rsid w:val="008B2943"/>
    <w:rsid w:val="008B333C"/>
    <w:rsid w:val="008B3CD2"/>
    <w:rsid w:val="008B3E17"/>
    <w:rsid w:val="008B519F"/>
    <w:rsid w:val="008B5C6E"/>
    <w:rsid w:val="008B75E1"/>
    <w:rsid w:val="008C011F"/>
    <w:rsid w:val="008C0805"/>
    <w:rsid w:val="008C096C"/>
    <w:rsid w:val="008C0B6E"/>
    <w:rsid w:val="008C1CAA"/>
    <w:rsid w:val="008C26F4"/>
    <w:rsid w:val="008C3539"/>
    <w:rsid w:val="008C4888"/>
    <w:rsid w:val="008C4E18"/>
    <w:rsid w:val="008C4F13"/>
    <w:rsid w:val="008C624A"/>
    <w:rsid w:val="008C6E5E"/>
    <w:rsid w:val="008C757E"/>
    <w:rsid w:val="008C7E35"/>
    <w:rsid w:val="008D102D"/>
    <w:rsid w:val="008D1AD7"/>
    <w:rsid w:val="008D1DB1"/>
    <w:rsid w:val="008D1DF0"/>
    <w:rsid w:val="008D3502"/>
    <w:rsid w:val="008D3892"/>
    <w:rsid w:val="008D39AA"/>
    <w:rsid w:val="008D5118"/>
    <w:rsid w:val="008D55F9"/>
    <w:rsid w:val="008D6203"/>
    <w:rsid w:val="008D6A9C"/>
    <w:rsid w:val="008E0D56"/>
    <w:rsid w:val="008E1A4A"/>
    <w:rsid w:val="008E2B2F"/>
    <w:rsid w:val="008E348C"/>
    <w:rsid w:val="008E3CB1"/>
    <w:rsid w:val="008E4DFF"/>
    <w:rsid w:val="008E549E"/>
    <w:rsid w:val="008E54D0"/>
    <w:rsid w:val="008E5E23"/>
    <w:rsid w:val="008E67C0"/>
    <w:rsid w:val="008E7A84"/>
    <w:rsid w:val="008E7F9F"/>
    <w:rsid w:val="008F0613"/>
    <w:rsid w:val="008F09FE"/>
    <w:rsid w:val="008F0C7E"/>
    <w:rsid w:val="008F1046"/>
    <w:rsid w:val="008F144C"/>
    <w:rsid w:val="008F1462"/>
    <w:rsid w:val="008F18B3"/>
    <w:rsid w:val="008F1E40"/>
    <w:rsid w:val="008F2132"/>
    <w:rsid w:val="008F24A5"/>
    <w:rsid w:val="008F281A"/>
    <w:rsid w:val="008F2DC7"/>
    <w:rsid w:val="008F5890"/>
    <w:rsid w:val="008F5B59"/>
    <w:rsid w:val="008F64EF"/>
    <w:rsid w:val="008F6E9D"/>
    <w:rsid w:val="008F7EA7"/>
    <w:rsid w:val="00900BB1"/>
    <w:rsid w:val="00900C12"/>
    <w:rsid w:val="00901AFF"/>
    <w:rsid w:val="00901EDF"/>
    <w:rsid w:val="00903968"/>
    <w:rsid w:val="00903CAE"/>
    <w:rsid w:val="00903D80"/>
    <w:rsid w:val="009041BE"/>
    <w:rsid w:val="00904B02"/>
    <w:rsid w:val="00904BBF"/>
    <w:rsid w:val="009050B9"/>
    <w:rsid w:val="00905618"/>
    <w:rsid w:val="00905752"/>
    <w:rsid w:val="0090575C"/>
    <w:rsid w:val="00906288"/>
    <w:rsid w:val="00906C4F"/>
    <w:rsid w:val="00906E14"/>
    <w:rsid w:val="009076FD"/>
    <w:rsid w:val="0091113E"/>
    <w:rsid w:val="009128E8"/>
    <w:rsid w:val="009143E6"/>
    <w:rsid w:val="00914581"/>
    <w:rsid w:val="00914697"/>
    <w:rsid w:val="00915DEE"/>
    <w:rsid w:val="0091671D"/>
    <w:rsid w:val="00917006"/>
    <w:rsid w:val="00920962"/>
    <w:rsid w:val="00920A27"/>
    <w:rsid w:val="00921C8E"/>
    <w:rsid w:val="0092467E"/>
    <w:rsid w:val="00924E21"/>
    <w:rsid w:val="0092726F"/>
    <w:rsid w:val="0093060A"/>
    <w:rsid w:val="009308F0"/>
    <w:rsid w:val="0093251D"/>
    <w:rsid w:val="00932CDB"/>
    <w:rsid w:val="009356C8"/>
    <w:rsid w:val="0093589C"/>
    <w:rsid w:val="00935A5E"/>
    <w:rsid w:val="00935F44"/>
    <w:rsid w:val="00936C94"/>
    <w:rsid w:val="00937CD8"/>
    <w:rsid w:val="00937DFB"/>
    <w:rsid w:val="00940A80"/>
    <w:rsid w:val="00941D69"/>
    <w:rsid w:val="00943E96"/>
    <w:rsid w:val="00944597"/>
    <w:rsid w:val="00944936"/>
    <w:rsid w:val="00944AA7"/>
    <w:rsid w:val="009463EC"/>
    <w:rsid w:val="009464EC"/>
    <w:rsid w:val="00946AD7"/>
    <w:rsid w:val="00946EFE"/>
    <w:rsid w:val="00947C30"/>
    <w:rsid w:val="00947F91"/>
    <w:rsid w:val="0095045E"/>
    <w:rsid w:val="00950571"/>
    <w:rsid w:val="00952314"/>
    <w:rsid w:val="00952D12"/>
    <w:rsid w:val="00952D7C"/>
    <w:rsid w:val="009540D9"/>
    <w:rsid w:val="009546F6"/>
    <w:rsid w:val="00954DF1"/>
    <w:rsid w:val="00955BED"/>
    <w:rsid w:val="0095626F"/>
    <w:rsid w:val="009569C9"/>
    <w:rsid w:val="00956BA1"/>
    <w:rsid w:val="009606C8"/>
    <w:rsid w:val="009609B1"/>
    <w:rsid w:val="00961356"/>
    <w:rsid w:val="00962C9F"/>
    <w:rsid w:val="00962EFA"/>
    <w:rsid w:val="00963DA9"/>
    <w:rsid w:val="0096455D"/>
    <w:rsid w:val="00964F55"/>
    <w:rsid w:val="00965ABA"/>
    <w:rsid w:val="00965CBF"/>
    <w:rsid w:val="00966271"/>
    <w:rsid w:val="009707A2"/>
    <w:rsid w:val="009709DA"/>
    <w:rsid w:val="00970FDC"/>
    <w:rsid w:val="0097133C"/>
    <w:rsid w:val="0097372C"/>
    <w:rsid w:val="00974A91"/>
    <w:rsid w:val="00974E56"/>
    <w:rsid w:val="0097570D"/>
    <w:rsid w:val="0097617F"/>
    <w:rsid w:val="009769C6"/>
    <w:rsid w:val="00977A8C"/>
    <w:rsid w:val="00977C33"/>
    <w:rsid w:val="00977F47"/>
    <w:rsid w:val="00980B7C"/>
    <w:rsid w:val="00980FD2"/>
    <w:rsid w:val="00981582"/>
    <w:rsid w:val="00982365"/>
    <w:rsid w:val="009837EF"/>
    <w:rsid w:val="00984BDC"/>
    <w:rsid w:val="00985013"/>
    <w:rsid w:val="00985591"/>
    <w:rsid w:val="009857E0"/>
    <w:rsid w:val="00986496"/>
    <w:rsid w:val="00987A1D"/>
    <w:rsid w:val="00990976"/>
    <w:rsid w:val="00990D4F"/>
    <w:rsid w:val="009918FB"/>
    <w:rsid w:val="0099198E"/>
    <w:rsid w:val="00991B52"/>
    <w:rsid w:val="00991CE2"/>
    <w:rsid w:val="0099386C"/>
    <w:rsid w:val="009945E4"/>
    <w:rsid w:val="009954C5"/>
    <w:rsid w:val="0099619D"/>
    <w:rsid w:val="00996E7A"/>
    <w:rsid w:val="009A0497"/>
    <w:rsid w:val="009A0A7A"/>
    <w:rsid w:val="009A1142"/>
    <w:rsid w:val="009A1A9A"/>
    <w:rsid w:val="009A2AA2"/>
    <w:rsid w:val="009A2D21"/>
    <w:rsid w:val="009A3621"/>
    <w:rsid w:val="009A4828"/>
    <w:rsid w:val="009A63E0"/>
    <w:rsid w:val="009A67CF"/>
    <w:rsid w:val="009A7E16"/>
    <w:rsid w:val="009B157C"/>
    <w:rsid w:val="009B19A0"/>
    <w:rsid w:val="009B2293"/>
    <w:rsid w:val="009B239D"/>
    <w:rsid w:val="009B258B"/>
    <w:rsid w:val="009B25BD"/>
    <w:rsid w:val="009B36BF"/>
    <w:rsid w:val="009B38E2"/>
    <w:rsid w:val="009B44D5"/>
    <w:rsid w:val="009B46EE"/>
    <w:rsid w:val="009B5060"/>
    <w:rsid w:val="009B5872"/>
    <w:rsid w:val="009B5928"/>
    <w:rsid w:val="009B5A80"/>
    <w:rsid w:val="009B645E"/>
    <w:rsid w:val="009B671B"/>
    <w:rsid w:val="009B6ACF"/>
    <w:rsid w:val="009B6B48"/>
    <w:rsid w:val="009B7123"/>
    <w:rsid w:val="009B7B65"/>
    <w:rsid w:val="009C0CEB"/>
    <w:rsid w:val="009C2B62"/>
    <w:rsid w:val="009C2CB4"/>
    <w:rsid w:val="009C2E11"/>
    <w:rsid w:val="009C3E19"/>
    <w:rsid w:val="009C4560"/>
    <w:rsid w:val="009C552D"/>
    <w:rsid w:val="009C6DC2"/>
    <w:rsid w:val="009C74B5"/>
    <w:rsid w:val="009C7BD2"/>
    <w:rsid w:val="009C7F34"/>
    <w:rsid w:val="009D0E47"/>
    <w:rsid w:val="009D0F79"/>
    <w:rsid w:val="009D13F4"/>
    <w:rsid w:val="009D164D"/>
    <w:rsid w:val="009D1F1C"/>
    <w:rsid w:val="009D2902"/>
    <w:rsid w:val="009D3AEC"/>
    <w:rsid w:val="009D53D2"/>
    <w:rsid w:val="009D5A13"/>
    <w:rsid w:val="009D7957"/>
    <w:rsid w:val="009D7CE6"/>
    <w:rsid w:val="009E008F"/>
    <w:rsid w:val="009E0870"/>
    <w:rsid w:val="009E0D56"/>
    <w:rsid w:val="009E1891"/>
    <w:rsid w:val="009E262C"/>
    <w:rsid w:val="009E3A53"/>
    <w:rsid w:val="009E3B03"/>
    <w:rsid w:val="009E4390"/>
    <w:rsid w:val="009E43FD"/>
    <w:rsid w:val="009E5251"/>
    <w:rsid w:val="009E5D8C"/>
    <w:rsid w:val="009E611F"/>
    <w:rsid w:val="009E6430"/>
    <w:rsid w:val="009E64A4"/>
    <w:rsid w:val="009E6C01"/>
    <w:rsid w:val="009E6C3B"/>
    <w:rsid w:val="009E720C"/>
    <w:rsid w:val="009E771F"/>
    <w:rsid w:val="009F46D2"/>
    <w:rsid w:val="009F471D"/>
    <w:rsid w:val="009F48BD"/>
    <w:rsid w:val="009F4EF3"/>
    <w:rsid w:val="009F56A0"/>
    <w:rsid w:val="009F58D1"/>
    <w:rsid w:val="009F625C"/>
    <w:rsid w:val="009F6556"/>
    <w:rsid w:val="009F6692"/>
    <w:rsid w:val="009F6C7D"/>
    <w:rsid w:val="00A00F82"/>
    <w:rsid w:val="00A027D7"/>
    <w:rsid w:val="00A02AB8"/>
    <w:rsid w:val="00A03410"/>
    <w:rsid w:val="00A0444F"/>
    <w:rsid w:val="00A05393"/>
    <w:rsid w:val="00A05924"/>
    <w:rsid w:val="00A11207"/>
    <w:rsid w:val="00A1174D"/>
    <w:rsid w:val="00A12337"/>
    <w:rsid w:val="00A127AE"/>
    <w:rsid w:val="00A1324A"/>
    <w:rsid w:val="00A13C00"/>
    <w:rsid w:val="00A143E0"/>
    <w:rsid w:val="00A15BAC"/>
    <w:rsid w:val="00A168E4"/>
    <w:rsid w:val="00A16C06"/>
    <w:rsid w:val="00A17816"/>
    <w:rsid w:val="00A20ECB"/>
    <w:rsid w:val="00A212FC"/>
    <w:rsid w:val="00A21C3A"/>
    <w:rsid w:val="00A22274"/>
    <w:rsid w:val="00A223AF"/>
    <w:rsid w:val="00A224B3"/>
    <w:rsid w:val="00A2267C"/>
    <w:rsid w:val="00A23419"/>
    <w:rsid w:val="00A24DCA"/>
    <w:rsid w:val="00A26FFB"/>
    <w:rsid w:val="00A31F40"/>
    <w:rsid w:val="00A32793"/>
    <w:rsid w:val="00A35515"/>
    <w:rsid w:val="00A37447"/>
    <w:rsid w:val="00A376D1"/>
    <w:rsid w:val="00A4120B"/>
    <w:rsid w:val="00A412A4"/>
    <w:rsid w:val="00A41F77"/>
    <w:rsid w:val="00A448D6"/>
    <w:rsid w:val="00A44E29"/>
    <w:rsid w:val="00A45752"/>
    <w:rsid w:val="00A46BA8"/>
    <w:rsid w:val="00A46C50"/>
    <w:rsid w:val="00A473A2"/>
    <w:rsid w:val="00A47442"/>
    <w:rsid w:val="00A5089C"/>
    <w:rsid w:val="00A50961"/>
    <w:rsid w:val="00A510CA"/>
    <w:rsid w:val="00A5214B"/>
    <w:rsid w:val="00A523F9"/>
    <w:rsid w:val="00A52503"/>
    <w:rsid w:val="00A53786"/>
    <w:rsid w:val="00A53A3A"/>
    <w:rsid w:val="00A53F8A"/>
    <w:rsid w:val="00A54607"/>
    <w:rsid w:val="00A5588D"/>
    <w:rsid w:val="00A5615B"/>
    <w:rsid w:val="00A56385"/>
    <w:rsid w:val="00A566F7"/>
    <w:rsid w:val="00A56BCA"/>
    <w:rsid w:val="00A57862"/>
    <w:rsid w:val="00A57C28"/>
    <w:rsid w:val="00A60788"/>
    <w:rsid w:val="00A624D4"/>
    <w:rsid w:val="00A6297D"/>
    <w:rsid w:val="00A63795"/>
    <w:rsid w:val="00A63817"/>
    <w:rsid w:val="00A64DFC"/>
    <w:rsid w:val="00A64E67"/>
    <w:rsid w:val="00A651C0"/>
    <w:rsid w:val="00A65708"/>
    <w:rsid w:val="00A6637E"/>
    <w:rsid w:val="00A66B36"/>
    <w:rsid w:val="00A678BA"/>
    <w:rsid w:val="00A678C4"/>
    <w:rsid w:val="00A70025"/>
    <w:rsid w:val="00A70C42"/>
    <w:rsid w:val="00A7131D"/>
    <w:rsid w:val="00A7270C"/>
    <w:rsid w:val="00A74FE2"/>
    <w:rsid w:val="00A75DAF"/>
    <w:rsid w:val="00A76ACC"/>
    <w:rsid w:val="00A80316"/>
    <w:rsid w:val="00A80DCD"/>
    <w:rsid w:val="00A81897"/>
    <w:rsid w:val="00A827A8"/>
    <w:rsid w:val="00A8360B"/>
    <w:rsid w:val="00A857D9"/>
    <w:rsid w:val="00A90857"/>
    <w:rsid w:val="00A90916"/>
    <w:rsid w:val="00A90A64"/>
    <w:rsid w:val="00A90C97"/>
    <w:rsid w:val="00A912E7"/>
    <w:rsid w:val="00A91448"/>
    <w:rsid w:val="00A92245"/>
    <w:rsid w:val="00A93A78"/>
    <w:rsid w:val="00A94548"/>
    <w:rsid w:val="00A96823"/>
    <w:rsid w:val="00AA063E"/>
    <w:rsid w:val="00AA0CF2"/>
    <w:rsid w:val="00AA2224"/>
    <w:rsid w:val="00AA25A1"/>
    <w:rsid w:val="00AA2B6A"/>
    <w:rsid w:val="00AA3306"/>
    <w:rsid w:val="00AA4B70"/>
    <w:rsid w:val="00AA7756"/>
    <w:rsid w:val="00AB1056"/>
    <w:rsid w:val="00AB1838"/>
    <w:rsid w:val="00AB2055"/>
    <w:rsid w:val="00AB2960"/>
    <w:rsid w:val="00AB336E"/>
    <w:rsid w:val="00AB4054"/>
    <w:rsid w:val="00AB4A42"/>
    <w:rsid w:val="00AB574B"/>
    <w:rsid w:val="00AB6054"/>
    <w:rsid w:val="00AB6DF3"/>
    <w:rsid w:val="00AB79EC"/>
    <w:rsid w:val="00AC014C"/>
    <w:rsid w:val="00AC06AD"/>
    <w:rsid w:val="00AC0837"/>
    <w:rsid w:val="00AC1849"/>
    <w:rsid w:val="00AC1DB2"/>
    <w:rsid w:val="00AC23DB"/>
    <w:rsid w:val="00AC23DD"/>
    <w:rsid w:val="00AC29B4"/>
    <w:rsid w:val="00AC3123"/>
    <w:rsid w:val="00AC4341"/>
    <w:rsid w:val="00AC4436"/>
    <w:rsid w:val="00AC498C"/>
    <w:rsid w:val="00AC5CC0"/>
    <w:rsid w:val="00AC6A4D"/>
    <w:rsid w:val="00AC6D7C"/>
    <w:rsid w:val="00AC758F"/>
    <w:rsid w:val="00AC7F08"/>
    <w:rsid w:val="00AD01BB"/>
    <w:rsid w:val="00AD02B4"/>
    <w:rsid w:val="00AD1C9C"/>
    <w:rsid w:val="00AD30A2"/>
    <w:rsid w:val="00AD30CC"/>
    <w:rsid w:val="00AD3BAE"/>
    <w:rsid w:val="00AD4CDC"/>
    <w:rsid w:val="00AD5221"/>
    <w:rsid w:val="00AD5272"/>
    <w:rsid w:val="00AD5620"/>
    <w:rsid w:val="00AD581D"/>
    <w:rsid w:val="00AD5C7A"/>
    <w:rsid w:val="00AD5FA3"/>
    <w:rsid w:val="00AD640D"/>
    <w:rsid w:val="00AD6B21"/>
    <w:rsid w:val="00AD6D7F"/>
    <w:rsid w:val="00AD75A3"/>
    <w:rsid w:val="00AE0218"/>
    <w:rsid w:val="00AE0DAF"/>
    <w:rsid w:val="00AE1394"/>
    <w:rsid w:val="00AE1E77"/>
    <w:rsid w:val="00AE2076"/>
    <w:rsid w:val="00AE311C"/>
    <w:rsid w:val="00AE31B0"/>
    <w:rsid w:val="00AE32FC"/>
    <w:rsid w:val="00AE3926"/>
    <w:rsid w:val="00AE3D8B"/>
    <w:rsid w:val="00AE44C2"/>
    <w:rsid w:val="00AE46AA"/>
    <w:rsid w:val="00AE6061"/>
    <w:rsid w:val="00AE6BB6"/>
    <w:rsid w:val="00AE76E1"/>
    <w:rsid w:val="00AE7ADA"/>
    <w:rsid w:val="00AF0388"/>
    <w:rsid w:val="00AF05EF"/>
    <w:rsid w:val="00AF0863"/>
    <w:rsid w:val="00AF29BB"/>
    <w:rsid w:val="00AF2B88"/>
    <w:rsid w:val="00AF51D7"/>
    <w:rsid w:val="00AF5F2E"/>
    <w:rsid w:val="00AF63A9"/>
    <w:rsid w:val="00AF6C90"/>
    <w:rsid w:val="00AF739D"/>
    <w:rsid w:val="00AF75FE"/>
    <w:rsid w:val="00AF7A19"/>
    <w:rsid w:val="00B00194"/>
    <w:rsid w:val="00B006A9"/>
    <w:rsid w:val="00B00A80"/>
    <w:rsid w:val="00B01ECE"/>
    <w:rsid w:val="00B052E1"/>
    <w:rsid w:val="00B06148"/>
    <w:rsid w:val="00B068F2"/>
    <w:rsid w:val="00B06FF2"/>
    <w:rsid w:val="00B073F5"/>
    <w:rsid w:val="00B10278"/>
    <w:rsid w:val="00B1056F"/>
    <w:rsid w:val="00B10788"/>
    <w:rsid w:val="00B12922"/>
    <w:rsid w:val="00B13310"/>
    <w:rsid w:val="00B154EA"/>
    <w:rsid w:val="00B16720"/>
    <w:rsid w:val="00B17990"/>
    <w:rsid w:val="00B20969"/>
    <w:rsid w:val="00B2109F"/>
    <w:rsid w:val="00B21702"/>
    <w:rsid w:val="00B221D7"/>
    <w:rsid w:val="00B22390"/>
    <w:rsid w:val="00B2258D"/>
    <w:rsid w:val="00B225B0"/>
    <w:rsid w:val="00B230C6"/>
    <w:rsid w:val="00B23902"/>
    <w:rsid w:val="00B23FFF"/>
    <w:rsid w:val="00B273A2"/>
    <w:rsid w:val="00B318B0"/>
    <w:rsid w:val="00B31E83"/>
    <w:rsid w:val="00B3230A"/>
    <w:rsid w:val="00B325B0"/>
    <w:rsid w:val="00B328FC"/>
    <w:rsid w:val="00B33342"/>
    <w:rsid w:val="00B3411C"/>
    <w:rsid w:val="00B3685D"/>
    <w:rsid w:val="00B40857"/>
    <w:rsid w:val="00B40F73"/>
    <w:rsid w:val="00B4136C"/>
    <w:rsid w:val="00B417E4"/>
    <w:rsid w:val="00B4194A"/>
    <w:rsid w:val="00B4271C"/>
    <w:rsid w:val="00B42A04"/>
    <w:rsid w:val="00B42A84"/>
    <w:rsid w:val="00B43453"/>
    <w:rsid w:val="00B44114"/>
    <w:rsid w:val="00B4435E"/>
    <w:rsid w:val="00B447A9"/>
    <w:rsid w:val="00B44A2F"/>
    <w:rsid w:val="00B450F8"/>
    <w:rsid w:val="00B45670"/>
    <w:rsid w:val="00B47A0F"/>
    <w:rsid w:val="00B47CFD"/>
    <w:rsid w:val="00B5039C"/>
    <w:rsid w:val="00B50649"/>
    <w:rsid w:val="00B506B4"/>
    <w:rsid w:val="00B51927"/>
    <w:rsid w:val="00B51CE6"/>
    <w:rsid w:val="00B51DCA"/>
    <w:rsid w:val="00B51EDA"/>
    <w:rsid w:val="00B52BE0"/>
    <w:rsid w:val="00B53556"/>
    <w:rsid w:val="00B5400D"/>
    <w:rsid w:val="00B547DE"/>
    <w:rsid w:val="00B549E8"/>
    <w:rsid w:val="00B55516"/>
    <w:rsid w:val="00B557B6"/>
    <w:rsid w:val="00B55E3F"/>
    <w:rsid w:val="00B57D49"/>
    <w:rsid w:val="00B60542"/>
    <w:rsid w:val="00B60A1E"/>
    <w:rsid w:val="00B6156C"/>
    <w:rsid w:val="00B61595"/>
    <w:rsid w:val="00B624F5"/>
    <w:rsid w:val="00B624F6"/>
    <w:rsid w:val="00B62B53"/>
    <w:rsid w:val="00B6327A"/>
    <w:rsid w:val="00B64725"/>
    <w:rsid w:val="00B657A0"/>
    <w:rsid w:val="00B65FA8"/>
    <w:rsid w:val="00B661CE"/>
    <w:rsid w:val="00B66384"/>
    <w:rsid w:val="00B664D8"/>
    <w:rsid w:val="00B67EB0"/>
    <w:rsid w:val="00B7014D"/>
    <w:rsid w:val="00B7017B"/>
    <w:rsid w:val="00B704EA"/>
    <w:rsid w:val="00B722B5"/>
    <w:rsid w:val="00B73DDD"/>
    <w:rsid w:val="00B73F2E"/>
    <w:rsid w:val="00B74113"/>
    <w:rsid w:val="00B74AB0"/>
    <w:rsid w:val="00B75D81"/>
    <w:rsid w:val="00B75E13"/>
    <w:rsid w:val="00B75F16"/>
    <w:rsid w:val="00B77852"/>
    <w:rsid w:val="00B77B55"/>
    <w:rsid w:val="00B8198D"/>
    <w:rsid w:val="00B827C5"/>
    <w:rsid w:val="00B828FA"/>
    <w:rsid w:val="00B83B44"/>
    <w:rsid w:val="00B83D1F"/>
    <w:rsid w:val="00B84190"/>
    <w:rsid w:val="00B84D5A"/>
    <w:rsid w:val="00B851DE"/>
    <w:rsid w:val="00B86994"/>
    <w:rsid w:val="00B8738D"/>
    <w:rsid w:val="00B9057D"/>
    <w:rsid w:val="00B907A5"/>
    <w:rsid w:val="00B90ABD"/>
    <w:rsid w:val="00B91546"/>
    <w:rsid w:val="00B919DC"/>
    <w:rsid w:val="00B91C91"/>
    <w:rsid w:val="00B91D3B"/>
    <w:rsid w:val="00B924F2"/>
    <w:rsid w:val="00B93466"/>
    <w:rsid w:val="00B93D1A"/>
    <w:rsid w:val="00B94293"/>
    <w:rsid w:val="00B94408"/>
    <w:rsid w:val="00B94B1E"/>
    <w:rsid w:val="00B9525D"/>
    <w:rsid w:val="00B9655E"/>
    <w:rsid w:val="00B9718C"/>
    <w:rsid w:val="00B97B60"/>
    <w:rsid w:val="00BA0873"/>
    <w:rsid w:val="00BA0A8C"/>
    <w:rsid w:val="00BA0FD9"/>
    <w:rsid w:val="00BA155D"/>
    <w:rsid w:val="00BA1691"/>
    <w:rsid w:val="00BA2000"/>
    <w:rsid w:val="00BA2B44"/>
    <w:rsid w:val="00BA326C"/>
    <w:rsid w:val="00BA4224"/>
    <w:rsid w:val="00BA622D"/>
    <w:rsid w:val="00BA7C5D"/>
    <w:rsid w:val="00BB1709"/>
    <w:rsid w:val="00BB249D"/>
    <w:rsid w:val="00BB2F15"/>
    <w:rsid w:val="00BB5F74"/>
    <w:rsid w:val="00BB76DF"/>
    <w:rsid w:val="00BC1511"/>
    <w:rsid w:val="00BC17BE"/>
    <w:rsid w:val="00BC2FCC"/>
    <w:rsid w:val="00BC33DB"/>
    <w:rsid w:val="00BC468A"/>
    <w:rsid w:val="00BC6D7D"/>
    <w:rsid w:val="00BC6E4E"/>
    <w:rsid w:val="00BC731A"/>
    <w:rsid w:val="00BC7D24"/>
    <w:rsid w:val="00BD0413"/>
    <w:rsid w:val="00BD05A5"/>
    <w:rsid w:val="00BD0C96"/>
    <w:rsid w:val="00BD1479"/>
    <w:rsid w:val="00BD2E17"/>
    <w:rsid w:val="00BD30CE"/>
    <w:rsid w:val="00BD4409"/>
    <w:rsid w:val="00BD45CF"/>
    <w:rsid w:val="00BD483E"/>
    <w:rsid w:val="00BD4A55"/>
    <w:rsid w:val="00BD545B"/>
    <w:rsid w:val="00BD6E3E"/>
    <w:rsid w:val="00BD7B1A"/>
    <w:rsid w:val="00BD7B51"/>
    <w:rsid w:val="00BD7C45"/>
    <w:rsid w:val="00BE2287"/>
    <w:rsid w:val="00BE22F7"/>
    <w:rsid w:val="00BE2ED0"/>
    <w:rsid w:val="00BE3370"/>
    <w:rsid w:val="00BE4286"/>
    <w:rsid w:val="00BE4622"/>
    <w:rsid w:val="00BE4659"/>
    <w:rsid w:val="00BE46BF"/>
    <w:rsid w:val="00BE4A6D"/>
    <w:rsid w:val="00BE51A0"/>
    <w:rsid w:val="00BE5FB9"/>
    <w:rsid w:val="00BE647C"/>
    <w:rsid w:val="00BE650A"/>
    <w:rsid w:val="00BE655B"/>
    <w:rsid w:val="00BE7CC4"/>
    <w:rsid w:val="00BF0330"/>
    <w:rsid w:val="00BF268F"/>
    <w:rsid w:val="00BF385C"/>
    <w:rsid w:val="00BF4CAF"/>
    <w:rsid w:val="00BF58A2"/>
    <w:rsid w:val="00BF5B88"/>
    <w:rsid w:val="00BF6B96"/>
    <w:rsid w:val="00C01E7F"/>
    <w:rsid w:val="00C03042"/>
    <w:rsid w:val="00C0349A"/>
    <w:rsid w:val="00C035DC"/>
    <w:rsid w:val="00C03617"/>
    <w:rsid w:val="00C04766"/>
    <w:rsid w:val="00C04819"/>
    <w:rsid w:val="00C04A7D"/>
    <w:rsid w:val="00C05B46"/>
    <w:rsid w:val="00C06197"/>
    <w:rsid w:val="00C06200"/>
    <w:rsid w:val="00C063DB"/>
    <w:rsid w:val="00C065BE"/>
    <w:rsid w:val="00C06A01"/>
    <w:rsid w:val="00C07597"/>
    <w:rsid w:val="00C079DC"/>
    <w:rsid w:val="00C07AAE"/>
    <w:rsid w:val="00C1198C"/>
    <w:rsid w:val="00C120C0"/>
    <w:rsid w:val="00C13270"/>
    <w:rsid w:val="00C133FC"/>
    <w:rsid w:val="00C13EF0"/>
    <w:rsid w:val="00C14AF4"/>
    <w:rsid w:val="00C15A21"/>
    <w:rsid w:val="00C17126"/>
    <w:rsid w:val="00C173DC"/>
    <w:rsid w:val="00C17AAA"/>
    <w:rsid w:val="00C202C8"/>
    <w:rsid w:val="00C20366"/>
    <w:rsid w:val="00C20B98"/>
    <w:rsid w:val="00C21068"/>
    <w:rsid w:val="00C22EBB"/>
    <w:rsid w:val="00C2545A"/>
    <w:rsid w:val="00C26BA5"/>
    <w:rsid w:val="00C27747"/>
    <w:rsid w:val="00C30AB4"/>
    <w:rsid w:val="00C31CC0"/>
    <w:rsid w:val="00C3203A"/>
    <w:rsid w:val="00C33045"/>
    <w:rsid w:val="00C332A5"/>
    <w:rsid w:val="00C34AC3"/>
    <w:rsid w:val="00C35A29"/>
    <w:rsid w:val="00C36146"/>
    <w:rsid w:val="00C364F8"/>
    <w:rsid w:val="00C367DE"/>
    <w:rsid w:val="00C36994"/>
    <w:rsid w:val="00C3732E"/>
    <w:rsid w:val="00C37352"/>
    <w:rsid w:val="00C40ED5"/>
    <w:rsid w:val="00C41A41"/>
    <w:rsid w:val="00C422FA"/>
    <w:rsid w:val="00C425C5"/>
    <w:rsid w:val="00C4260A"/>
    <w:rsid w:val="00C4306B"/>
    <w:rsid w:val="00C44595"/>
    <w:rsid w:val="00C44AAC"/>
    <w:rsid w:val="00C44E0C"/>
    <w:rsid w:val="00C45162"/>
    <w:rsid w:val="00C457F9"/>
    <w:rsid w:val="00C45839"/>
    <w:rsid w:val="00C46EA7"/>
    <w:rsid w:val="00C4714B"/>
    <w:rsid w:val="00C472C8"/>
    <w:rsid w:val="00C5012F"/>
    <w:rsid w:val="00C503E2"/>
    <w:rsid w:val="00C509D3"/>
    <w:rsid w:val="00C51E31"/>
    <w:rsid w:val="00C51E4C"/>
    <w:rsid w:val="00C522A9"/>
    <w:rsid w:val="00C568DC"/>
    <w:rsid w:val="00C60144"/>
    <w:rsid w:val="00C60191"/>
    <w:rsid w:val="00C60355"/>
    <w:rsid w:val="00C60BBD"/>
    <w:rsid w:val="00C631BF"/>
    <w:rsid w:val="00C63343"/>
    <w:rsid w:val="00C63B71"/>
    <w:rsid w:val="00C63CA5"/>
    <w:rsid w:val="00C648AE"/>
    <w:rsid w:val="00C6514B"/>
    <w:rsid w:val="00C66384"/>
    <w:rsid w:val="00C663A3"/>
    <w:rsid w:val="00C671CA"/>
    <w:rsid w:val="00C67CDD"/>
    <w:rsid w:val="00C72F1C"/>
    <w:rsid w:val="00C7325A"/>
    <w:rsid w:val="00C734E1"/>
    <w:rsid w:val="00C74661"/>
    <w:rsid w:val="00C746AE"/>
    <w:rsid w:val="00C75C12"/>
    <w:rsid w:val="00C75D00"/>
    <w:rsid w:val="00C821DB"/>
    <w:rsid w:val="00C82E7F"/>
    <w:rsid w:val="00C82FB8"/>
    <w:rsid w:val="00C83D8F"/>
    <w:rsid w:val="00C84F64"/>
    <w:rsid w:val="00C850F4"/>
    <w:rsid w:val="00C8522B"/>
    <w:rsid w:val="00C85510"/>
    <w:rsid w:val="00C863CD"/>
    <w:rsid w:val="00C8661F"/>
    <w:rsid w:val="00C8797D"/>
    <w:rsid w:val="00C902D7"/>
    <w:rsid w:val="00C915B0"/>
    <w:rsid w:val="00C920AC"/>
    <w:rsid w:val="00C929CB"/>
    <w:rsid w:val="00C943EE"/>
    <w:rsid w:val="00C94463"/>
    <w:rsid w:val="00C94CD6"/>
    <w:rsid w:val="00C94EF0"/>
    <w:rsid w:val="00C95912"/>
    <w:rsid w:val="00C9627B"/>
    <w:rsid w:val="00C96388"/>
    <w:rsid w:val="00C9661C"/>
    <w:rsid w:val="00C971CD"/>
    <w:rsid w:val="00CA08F0"/>
    <w:rsid w:val="00CA10EB"/>
    <w:rsid w:val="00CA31D5"/>
    <w:rsid w:val="00CA40EE"/>
    <w:rsid w:val="00CA4B44"/>
    <w:rsid w:val="00CA53DB"/>
    <w:rsid w:val="00CA5B78"/>
    <w:rsid w:val="00CA5DAD"/>
    <w:rsid w:val="00CA6695"/>
    <w:rsid w:val="00CA70B9"/>
    <w:rsid w:val="00CB0528"/>
    <w:rsid w:val="00CB1AE2"/>
    <w:rsid w:val="00CB1F53"/>
    <w:rsid w:val="00CB511B"/>
    <w:rsid w:val="00CB53B7"/>
    <w:rsid w:val="00CB5722"/>
    <w:rsid w:val="00CC201B"/>
    <w:rsid w:val="00CC3809"/>
    <w:rsid w:val="00CC4078"/>
    <w:rsid w:val="00CC422E"/>
    <w:rsid w:val="00CC4D9E"/>
    <w:rsid w:val="00CC5654"/>
    <w:rsid w:val="00CC74F3"/>
    <w:rsid w:val="00CC7744"/>
    <w:rsid w:val="00CD058E"/>
    <w:rsid w:val="00CD2C94"/>
    <w:rsid w:val="00CD2DF7"/>
    <w:rsid w:val="00CD349A"/>
    <w:rsid w:val="00CD3C18"/>
    <w:rsid w:val="00CD3F58"/>
    <w:rsid w:val="00CD40A2"/>
    <w:rsid w:val="00CD44C8"/>
    <w:rsid w:val="00CD4647"/>
    <w:rsid w:val="00CD55D4"/>
    <w:rsid w:val="00CD5A0E"/>
    <w:rsid w:val="00CD5B12"/>
    <w:rsid w:val="00CD5C0D"/>
    <w:rsid w:val="00CD5F2D"/>
    <w:rsid w:val="00CD73C7"/>
    <w:rsid w:val="00CD7437"/>
    <w:rsid w:val="00CD74B8"/>
    <w:rsid w:val="00CD7913"/>
    <w:rsid w:val="00CD7AAF"/>
    <w:rsid w:val="00CD7C25"/>
    <w:rsid w:val="00CE015A"/>
    <w:rsid w:val="00CE0571"/>
    <w:rsid w:val="00CE30A6"/>
    <w:rsid w:val="00CE3385"/>
    <w:rsid w:val="00CE3A4B"/>
    <w:rsid w:val="00CE42A1"/>
    <w:rsid w:val="00CE519B"/>
    <w:rsid w:val="00CE6738"/>
    <w:rsid w:val="00CE6BDB"/>
    <w:rsid w:val="00CE6E21"/>
    <w:rsid w:val="00CE7C01"/>
    <w:rsid w:val="00CF0D74"/>
    <w:rsid w:val="00CF2024"/>
    <w:rsid w:val="00CF27D9"/>
    <w:rsid w:val="00CF2ADA"/>
    <w:rsid w:val="00CF3FBF"/>
    <w:rsid w:val="00CF4AD8"/>
    <w:rsid w:val="00CF4B8F"/>
    <w:rsid w:val="00CF5EBE"/>
    <w:rsid w:val="00CF61B6"/>
    <w:rsid w:val="00CF671F"/>
    <w:rsid w:val="00CF7744"/>
    <w:rsid w:val="00D00503"/>
    <w:rsid w:val="00D00846"/>
    <w:rsid w:val="00D01950"/>
    <w:rsid w:val="00D025D0"/>
    <w:rsid w:val="00D02C89"/>
    <w:rsid w:val="00D0336F"/>
    <w:rsid w:val="00D04919"/>
    <w:rsid w:val="00D04FCF"/>
    <w:rsid w:val="00D052B4"/>
    <w:rsid w:val="00D0577E"/>
    <w:rsid w:val="00D05DEC"/>
    <w:rsid w:val="00D07E33"/>
    <w:rsid w:val="00D10076"/>
    <w:rsid w:val="00D10137"/>
    <w:rsid w:val="00D1193F"/>
    <w:rsid w:val="00D12778"/>
    <w:rsid w:val="00D12EC5"/>
    <w:rsid w:val="00D13B5A"/>
    <w:rsid w:val="00D1473C"/>
    <w:rsid w:val="00D1488F"/>
    <w:rsid w:val="00D16690"/>
    <w:rsid w:val="00D1711F"/>
    <w:rsid w:val="00D17A53"/>
    <w:rsid w:val="00D20645"/>
    <w:rsid w:val="00D20D4C"/>
    <w:rsid w:val="00D21DD8"/>
    <w:rsid w:val="00D22151"/>
    <w:rsid w:val="00D22AD5"/>
    <w:rsid w:val="00D23A87"/>
    <w:rsid w:val="00D2449C"/>
    <w:rsid w:val="00D24AAD"/>
    <w:rsid w:val="00D252D1"/>
    <w:rsid w:val="00D2758D"/>
    <w:rsid w:val="00D27EE2"/>
    <w:rsid w:val="00D30D14"/>
    <w:rsid w:val="00D3177D"/>
    <w:rsid w:val="00D31EA6"/>
    <w:rsid w:val="00D3286E"/>
    <w:rsid w:val="00D337D1"/>
    <w:rsid w:val="00D33EFF"/>
    <w:rsid w:val="00D356A3"/>
    <w:rsid w:val="00D357D2"/>
    <w:rsid w:val="00D35822"/>
    <w:rsid w:val="00D35E5E"/>
    <w:rsid w:val="00D36E4F"/>
    <w:rsid w:val="00D3772B"/>
    <w:rsid w:val="00D406B9"/>
    <w:rsid w:val="00D41A06"/>
    <w:rsid w:val="00D41FA2"/>
    <w:rsid w:val="00D42082"/>
    <w:rsid w:val="00D420DA"/>
    <w:rsid w:val="00D43E31"/>
    <w:rsid w:val="00D45FAF"/>
    <w:rsid w:val="00D478C9"/>
    <w:rsid w:val="00D50283"/>
    <w:rsid w:val="00D5127D"/>
    <w:rsid w:val="00D51696"/>
    <w:rsid w:val="00D547E1"/>
    <w:rsid w:val="00D54F08"/>
    <w:rsid w:val="00D57FF2"/>
    <w:rsid w:val="00D6007C"/>
    <w:rsid w:val="00D60604"/>
    <w:rsid w:val="00D62413"/>
    <w:rsid w:val="00D64154"/>
    <w:rsid w:val="00D6521D"/>
    <w:rsid w:val="00D65913"/>
    <w:rsid w:val="00D65A18"/>
    <w:rsid w:val="00D664FA"/>
    <w:rsid w:val="00D675F9"/>
    <w:rsid w:val="00D6772B"/>
    <w:rsid w:val="00D67B59"/>
    <w:rsid w:val="00D70559"/>
    <w:rsid w:val="00D7188D"/>
    <w:rsid w:val="00D71EBA"/>
    <w:rsid w:val="00D71F7D"/>
    <w:rsid w:val="00D71F97"/>
    <w:rsid w:val="00D7239D"/>
    <w:rsid w:val="00D72C39"/>
    <w:rsid w:val="00D73421"/>
    <w:rsid w:val="00D7450E"/>
    <w:rsid w:val="00D74631"/>
    <w:rsid w:val="00D7478D"/>
    <w:rsid w:val="00D74A41"/>
    <w:rsid w:val="00D756B5"/>
    <w:rsid w:val="00D7577A"/>
    <w:rsid w:val="00D768BD"/>
    <w:rsid w:val="00D76907"/>
    <w:rsid w:val="00D77C30"/>
    <w:rsid w:val="00D77CF4"/>
    <w:rsid w:val="00D801E3"/>
    <w:rsid w:val="00D81644"/>
    <w:rsid w:val="00D826E3"/>
    <w:rsid w:val="00D85A49"/>
    <w:rsid w:val="00D85D6C"/>
    <w:rsid w:val="00D8754E"/>
    <w:rsid w:val="00D90775"/>
    <w:rsid w:val="00D93449"/>
    <w:rsid w:val="00D9441D"/>
    <w:rsid w:val="00D957B1"/>
    <w:rsid w:val="00D95AEB"/>
    <w:rsid w:val="00D95F22"/>
    <w:rsid w:val="00DA04ED"/>
    <w:rsid w:val="00DA11FB"/>
    <w:rsid w:val="00DA166D"/>
    <w:rsid w:val="00DA1C42"/>
    <w:rsid w:val="00DA2387"/>
    <w:rsid w:val="00DA35CD"/>
    <w:rsid w:val="00DA4257"/>
    <w:rsid w:val="00DA4439"/>
    <w:rsid w:val="00DA4E70"/>
    <w:rsid w:val="00DA664C"/>
    <w:rsid w:val="00DA728F"/>
    <w:rsid w:val="00DA791C"/>
    <w:rsid w:val="00DB05C7"/>
    <w:rsid w:val="00DB11A3"/>
    <w:rsid w:val="00DB17A2"/>
    <w:rsid w:val="00DB1D74"/>
    <w:rsid w:val="00DB25E4"/>
    <w:rsid w:val="00DB3596"/>
    <w:rsid w:val="00DB36C2"/>
    <w:rsid w:val="00DB45EC"/>
    <w:rsid w:val="00DB4917"/>
    <w:rsid w:val="00DB5F07"/>
    <w:rsid w:val="00DB6524"/>
    <w:rsid w:val="00DB66B6"/>
    <w:rsid w:val="00DB6D0F"/>
    <w:rsid w:val="00DB788D"/>
    <w:rsid w:val="00DC14D4"/>
    <w:rsid w:val="00DC14F0"/>
    <w:rsid w:val="00DC15B5"/>
    <w:rsid w:val="00DC1945"/>
    <w:rsid w:val="00DC209B"/>
    <w:rsid w:val="00DC39A3"/>
    <w:rsid w:val="00DC3DE0"/>
    <w:rsid w:val="00DC4309"/>
    <w:rsid w:val="00DC4D19"/>
    <w:rsid w:val="00DC5D87"/>
    <w:rsid w:val="00DC641B"/>
    <w:rsid w:val="00DC68C9"/>
    <w:rsid w:val="00DC6A66"/>
    <w:rsid w:val="00DD0AC3"/>
    <w:rsid w:val="00DD1347"/>
    <w:rsid w:val="00DD1B1B"/>
    <w:rsid w:val="00DD2098"/>
    <w:rsid w:val="00DD29ED"/>
    <w:rsid w:val="00DD32DC"/>
    <w:rsid w:val="00DD617D"/>
    <w:rsid w:val="00DE04E0"/>
    <w:rsid w:val="00DE06E0"/>
    <w:rsid w:val="00DE2AF4"/>
    <w:rsid w:val="00DE2E48"/>
    <w:rsid w:val="00DE39C4"/>
    <w:rsid w:val="00DE53BA"/>
    <w:rsid w:val="00DE55FF"/>
    <w:rsid w:val="00DE5F6F"/>
    <w:rsid w:val="00DE79D3"/>
    <w:rsid w:val="00DE7A41"/>
    <w:rsid w:val="00DE7B41"/>
    <w:rsid w:val="00DE7B6D"/>
    <w:rsid w:val="00DE7CA9"/>
    <w:rsid w:val="00DE7F03"/>
    <w:rsid w:val="00DF281F"/>
    <w:rsid w:val="00DF28B9"/>
    <w:rsid w:val="00DF2F4B"/>
    <w:rsid w:val="00DF4CA3"/>
    <w:rsid w:val="00DF4DA9"/>
    <w:rsid w:val="00DF58CE"/>
    <w:rsid w:val="00DF5C31"/>
    <w:rsid w:val="00DF5D92"/>
    <w:rsid w:val="00DF71A3"/>
    <w:rsid w:val="00DF782B"/>
    <w:rsid w:val="00E00448"/>
    <w:rsid w:val="00E00B23"/>
    <w:rsid w:val="00E0117D"/>
    <w:rsid w:val="00E02C5D"/>
    <w:rsid w:val="00E0310F"/>
    <w:rsid w:val="00E03125"/>
    <w:rsid w:val="00E04357"/>
    <w:rsid w:val="00E04B60"/>
    <w:rsid w:val="00E04D95"/>
    <w:rsid w:val="00E0548B"/>
    <w:rsid w:val="00E0769B"/>
    <w:rsid w:val="00E1037F"/>
    <w:rsid w:val="00E10B5C"/>
    <w:rsid w:val="00E10F9F"/>
    <w:rsid w:val="00E11286"/>
    <w:rsid w:val="00E11324"/>
    <w:rsid w:val="00E11760"/>
    <w:rsid w:val="00E119E8"/>
    <w:rsid w:val="00E12973"/>
    <w:rsid w:val="00E139C5"/>
    <w:rsid w:val="00E13CF2"/>
    <w:rsid w:val="00E141EC"/>
    <w:rsid w:val="00E14792"/>
    <w:rsid w:val="00E14DAE"/>
    <w:rsid w:val="00E155FA"/>
    <w:rsid w:val="00E16600"/>
    <w:rsid w:val="00E169CD"/>
    <w:rsid w:val="00E17257"/>
    <w:rsid w:val="00E204A0"/>
    <w:rsid w:val="00E205A2"/>
    <w:rsid w:val="00E20C25"/>
    <w:rsid w:val="00E217A2"/>
    <w:rsid w:val="00E21925"/>
    <w:rsid w:val="00E2280E"/>
    <w:rsid w:val="00E228DE"/>
    <w:rsid w:val="00E22E89"/>
    <w:rsid w:val="00E23208"/>
    <w:rsid w:val="00E23D30"/>
    <w:rsid w:val="00E24758"/>
    <w:rsid w:val="00E260F6"/>
    <w:rsid w:val="00E2763D"/>
    <w:rsid w:val="00E31A86"/>
    <w:rsid w:val="00E31DDC"/>
    <w:rsid w:val="00E324DC"/>
    <w:rsid w:val="00E33069"/>
    <w:rsid w:val="00E3374A"/>
    <w:rsid w:val="00E33A19"/>
    <w:rsid w:val="00E33A3A"/>
    <w:rsid w:val="00E345DB"/>
    <w:rsid w:val="00E346E7"/>
    <w:rsid w:val="00E34AB8"/>
    <w:rsid w:val="00E3545D"/>
    <w:rsid w:val="00E3574A"/>
    <w:rsid w:val="00E35A46"/>
    <w:rsid w:val="00E36123"/>
    <w:rsid w:val="00E37BAE"/>
    <w:rsid w:val="00E40533"/>
    <w:rsid w:val="00E405B8"/>
    <w:rsid w:val="00E428EE"/>
    <w:rsid w:val="00E435D8"/>
    <w:rsid w:val="00E4448D"/>
    <w:rsid w:val="00E463E6"/>
    <w:rsid w:val="00E46F96"/>
    <w:rsid w:val="00E475AC"/>
    <w:rsid w:val="00E47A7B"/>
    <w:rsid w:val="00E50D28"/>
    <w:rsid w:val="00E51807"/>
    <w:rsid w:val="00E52698"/>
    <w:rsid w:val="00E5294C"/>
    <w:rsid w:val="00E53519"/>
    <w:rsid w:val="00E53642"/>
    <w:rsid w:val="00E53896"/>
    <w:rsid w:val="00E54F97"/>
    <w:rsid w:val="00E55584"/>
    <w:rsid w:val="00E5597A"/>
    <w:rsid w:val="00E55ABB"/>
    <w:rsid w:val="00E5686D"/>
    <w:rsid w:val="00E6038C"/>
    <w:rsid w:val="00E60876"/>
    <w:rsid w:val="00E60BCA"/>
    <w:rsid w:val="00E62FEA"/>
    <w:rsid w:val="00E63451"/>
    <w:rsid w:val="00E63E6B"/>
    <w:rsid w:val="00E63F98"/>
    <w:rsid w:val="00E64602"/>
    <w:rsid w:val="00E653D4"/>
    <w:rsid w:val="00E659E5"/>
    <w:rsid w:val="00E675B6"/>
    <w:rsid w:val="00E67B60"/>
    <w:rsid w:val="00E67D90"/>
    <w:rsid w:val="00E70B78"/>
    <w:rsid w:val="00E71A10"/>
    <w:rsid w:val="00E72931"/>
    <w:rsid w:val="00E74DC5"/>
    <w:rsid w:val="00E74FB1"/>
    <w:rsid w:val="00E75380"/>
    <w:rsid w:val="00E75999"/>
    <w:rsid w:val="00E76032"/>
    <w:rsid w:val="00E7665D"/>
    <w:rsid w:val="00E766DF"/>
    <w:rsid w:val="00E77B80"/>
    <w:rsid w:val="00E8172C"/>
    <w:rsid w:val="00E81F35"/>
    <w:rsid w:val="00E82A56"/>
    <w:rsid w:val="00E82B1A"/>
    <w:rsid w:val="00E83D8A"/>
    <w:rsid w:val="00E87684"/>
    <w:rsid w:val="00E87888"/>
    <w:rsid w:val="00E90731"/>
    <w:rsid w:val="00E914B0"/>
    <w:rsid w:val="00E91599"/>
    <w:rsid w:val="00E928E2"/>
    <w:rsid w:val="00E92B5A"/>
    <w:rsid w:val="00E92E4F"/>
    <w:rsid w:val="00E9319A"/>
    <w:rsid w:val="00E946D7"/>
    <w:rsid w:val="00E950F1"/>
    <w:rsid w:val="00E95694"/>
    <w:rsid w:val="00E95A84"/>
    <w:rsid w:val="00E9620E"/>
    <w:rsid w:val="00E9629B"/>
    <w:rsid w:val="00E96CB5"/>
    <w:rsid w:val="00E9789E"/>
    <w:rsid w:val="00E97BF4"/>
    <w:rsid w:val="00EA020C"/>
    <w:rsid w:val="00EA0217"/>
    <w:rsid w:val="00EA0B74"/>
    <w:rsid w:val="00EA27CE"/>
    <w:rsid w:val="00EA2A88"/>
    <w:rsid w:val="00EA3E93"/>
    <w:rsid w:val="00EA58EA"/>
    <w:rsid w:val="00EA78FF"/>
    <w:rsid w:val="00EA7D9E"/>
    <w:rsid w:val="00EB002B"/>
    <w:rsid w:val="00EB094A"/>
    <w:rsid w:val="00EB0ADD"/>
    <w:rsid w:val="00EB0CE9"/>
    <w:rsid w:val="00EB12CF"/>
    <w:rsid w:val="00EB20B2"/>
    <w:rsid w:val="00EB279B"/>
    <w:rsid w:val="00EB27A3"/>
    <w:rsid w:val="00EB2CA5"/>
    <w:rsid w:val="00EB43FD"/>
    <w:rsid w:val="00EB44BE"/>
    <w:rsid w:val="00EB4682"/>
    <w:rsid w:val="00EB477D"/>
    <w:rsid w:val="00EB56D6"/>
    <w:rsid w:val="00EB7FCF"/>
    <w:rsid w:val="00EC064A"/>
    <w:rsid w:val="00EC0E11"/>
    <w:rsid w:val="00EC17A1"/>
    <w:rsid w:val="00EC1E41"/>
    <w:rsid w:val="00EC25F4"/>
    <w:rsid w:val="00EC28E5"/>
    <w:rsid w:val="00EC2BC8"/>
    <w:rsid w:val="00EC42CD"/>
    <w:rsid w:val="00EC5183"/>
    <w:rsid w:val="00EC543F"/>
    <w:rsid w:val="00EC5448"/>
    <w:rsid w:val="00EC569D"/>
    <w:rsid w:val="00EC6350"/>
    <w:rsid w:val="00EC6A54"/>
    <w:rsid w:val="00EC6B93"/>
    <w:rsid w:val="00EC7095"/>
    <w:rsid w:val="00EC741D"/>
    <w:rsid w:val="00ED0004"/>
    <w:rsid w:val="00ED0747"/>
    <w:rsid w:val="00ED514D"/>
    <w:rsid w:val="00ED5603"/>
    <w:rsid w:val="00ED7C75"/>
    <w:rsid w:val="00EE0868"/>
    <w:rsid w:val="00EE1372"/>
    <w:rsid w:val="00EE1515"/>
    <w:rsid w:val="00EE1BFF"/>
    <w:rsid w:val="00EE1F4E"/>
    <w:rsid w:val="00EE219D"/>
    <w:rsid w:val="00EE2B95"/>
    <w:rsid w:val="00EE3DCF"/>
    <w:rsid w:val="00EE5650"/>
    <w:rsid w:val="00EE585D"/>
    <w:rsid w:val="00EE58CB"/>
    <w:rsid w:val="00EE75A5"/>
    <w:rsid w:val="00EE784D"/>
    <w:rsid w:val="00EF0B62"/>
    <w:rsid w:val="00EF0FF1"/>
    <w:rsid w:val="00EF1989"/>
    <w:rsid w:val="00EF3A40"/>
    <w:rsid w:val="00EF4072"/>
    <w:rsid w:val="00EF468B"/>
    <w:rsid w:val="00EF533B"/>
    <w:rsid w:val="00EF5429"/>
    <w:rsid w:val="00EF5B58"/>
    <w:rsid w:val="00EF6007"/>
    <w:rsid w:val="00EF70A2"/>
    <w:rsid w:val="00F00E54"/>
    <w:rsid w:val="00F01320"/>
    <w:rsid w:val="00F02120"/>
    <w:rsid w:val="00F0279E"/>
    <w:rsid w:val="00F02857"/>
    <w:rsid w:val="00F03025"/>
    <w:rsid w:val="00F03060"/>
    <w:rsid w:val="00F03424"/>
    <w:rsid w:val="00F03EC7"/>
    <w:rsid w:val="00F04CDD"/>
    <w:rsid w:val="00F0606D"/>
    <w:rsid w:val="00F06858"/>
    <w:rsid w:val="00F06BB9"/>
    <w:rsid w:val="00F071A7"/>
    <w:rsid w:val="00F0778D"/>
    <w:rsid w:val="00F077D3"/>
    <w:rsid w:val="00F07E0C"/>
    <w:rsid w:val="00F1328C"/>
    <w:rsid w:val="00F13817"/>
    <w:rsid w:val="00F13939"/>
    <w:rsid w:val="00F1396A"/>
    <w:rsid w:val="00F13B21"/>
    <w:rsid w:val="00F1403D"/>
    <w:rsid w:val="00F14463"/>
    <w:rsid w:val="00F15079"/>
    <w:rsid w:val="00F154A0"/>
    <w:rsid w:val="00F1653E"/>
    <w:rsid w:val="00F16C75"/>
    <w:rsid w:val="00F16C7C"/>
    <w:rsid w:val="00F16FC3"/>
    <w:rsid w:val="00F17944"/>
    <w:rsid w:val="00F17FE9"/>
    <w:rsid w:val="00F20434"/>
    <w:rsid w:val="00F2128C"/>
    <w:rsid w:val="00F21300"/>
    <w:rsid w:val="00F219AD"/>
    <w:rsid w:val="00F23291"/>
    <w:rsid w:val="00F232CD"/>
    <w:rsid w:val="00F25284"/>
    <w:rsid w:val="00F25AAA"/>
    <w:rsid w:val="00F26CA1"/>
    <w:rsid w:val="00F270C1"/>
    <w:rsid w:val="00F30E47"/>
    <w:rsid w:val="00F31416"/>
    <w:rsid w:val="00F32AC3"/>
    <w:rsid w:val="00F33190"/>
    <w:rsid w:val="00F3329B"/>
    <w:rsid w:val="00F332A2"/>
    <w:rsid w:val="00F337B2"/>
    <w:rsid w:val="00F33D36"/>
    <w:rsid w:val="00F363AD"/>
    <w:rsid w:val="00F4080E"/>
    <w:rsid w:val="00F4152B"/>
    <w:rsid w:val="00F447AA"/>
    <w:rsid w:val="00F45799"/>
    <w:rsid w:val="00F46593"/>
    <w:rsid w:val="00F46C39"/>
    <w:rsid w:val="00F4755A"/>
    <w:rsid w:val="00F47FD1"/>
    <w:rsid w:val="00F52D35"/>
    <w:rsid w:val="00F546A2"/>
    <w:rsid w:val="00F547A2"/>
    <w:rsid w:val="00F555C6"/>
    <w:rsid w:val="00F55E33"/>
    <w:rsid w:val="00F56E1B"/>
    <w:rsid w:val="00F60CC6"/>
    <w:rsid w:val="00F622E8"/>
    <w:rsid w:val="00F63895"/>
    <w:rsid w:val="00F63F4E"/>
    <w:rsid w:val="00F64822"/>
    <w:rsid w:val="00F64AC6"/>
    <w:rsid w:val="00F65CB3"/>
    <w:rsid w:val="00F66321"/>
    <w:rsid w:val="00F66B4C"/>
    <w:rsid w:val="00F6759D"/>
    <w:rsid w:val="00F67A71"/>
    <w:rsid w:val="00F707E3"/>
    <w:rsid w:val="00F70A77"/>
    <w:rsid w:val="00F717B9"/>
    <w:rsid w:val="00F71CD0"/>
    <w:rsid w:val="00F71FC5"/>
    <w:rsid w:val="00F73049"/>
    <w:rsid w:val="00F7378F"/>
    <w:rsid w:val="00F74152"/>
    <w:rsid w:val="00F77609"/>
    <w:rsid w:val="00F805A6"/>
    <w:rsid w:val="00F80AE5"/>
    <w:rsid w:val="00F82258"/>
    <w:rsid w:val="00F83E4E"/>
    <w:rsid w:val="00F84225"/>
    <w:rsid w:val="00F846D6"/>
    <w:rsid w:val="00F84E50"/>
    <w:rsid w:val="00F85083"/>
    <w:rsid w:val="00F85382"/>
    <w:rsid w:val="00F85CB9"/>
    <w:rsid w:val="00F8607C"/>
    <w:rsid w:val="00F8719B"/>
    <w:rsid w:val="00F9065F"/>
    <w:rsid w:val="00F9076B"/>
    <w:rsid w:val="00F90C9C"/>
    <w:rsid w:val="00F9142F"/>
    <w:rsid w:val="00F91F5A"/>
    <w:rsid w:val="00F92F01"/>
    <w:rsid w:val="00F941C2"/>
    <w:rsid w:val="00F94870"/>
    <w:rsid w:val="00F958ED"/>
    <w:rsid w:val="00F95B2C"/>
    <w:rsid w:val="00F965CA"/>
    <w:rsid w:val="00F96BA2"/>
    <w:rsid w:val="00F971E5"/>
    <w:rsid w:val="00FA028B"/>
    <w:rsid w:val="00FA0AA2"/>
    <w:rsid w:val="00FA17AC"/>
    <w:rsid w:val="00FA1A8E"/>
    <w:rsid w:val="00FA2839"/>
    <w:rsid w:val="00FA509B"/>
    <w:rsid w:val="00FA63FD"/>
    <w:rsid w:val="00FB0877"/>
    <w:rsid w:val="00FB0F81"/>
    <w:rsid w:val="00FB17F6"/>
    <w:rsid w:val="00FB202E"/>
    <w:rsid w:val="00FB3263"/>
    <w:rsid w:val="00FB46A3"/>
    <w:rsid w:val="00FB5BC7"/>
    <w:rsid w:val="00FB5CFE"/>
    <w:rsid w:val="00FB6ED3"/>
    <w:rsid w:val="00FB7003"/>
    <w:rsid w:val="00FB79D5"/>
    <w:rsid w:val="00FC0090"/>
    <w:rsid w:val="00FC059D"/>
    <w:rsid w:val="00FC07D5"/>
    <w:rsid w:val="00FC0D50"/>
    <w:rsid w:val="00FC1D59"/>
    <w:rsid w:val="00FC3832"/>
    <w:rsid w:val="00FC383B"/>
    <w:rsid w:val="00FC4514"/>
    <w:rsid w:val="00FC4754"/>
    <w:rsid w:val="00FC514A"/>
    <w:rsid w:val="00FC594B"/>
    <w:rsid w:val="00FC6BFA"/>
    <w:rsid w:val="00FC7539"/>
    <w:rsid w:val="00FD09F4"/>
    <w:rsid w:val="00FD1F2A"/>
    <w:rsid w:val="00FD2BEC"/>
    <w:rsid w:val="00FD4195"/>
    <w:rsid w:val="00FD5942"/>
    <w:rsid w:val="00FD5FBF"/>
    <w:rsid w:val="00FD6838"/>
    <w:rsid w:val="00FD6C84"/>
    <w:rsid w:val="00FD79BD"/>
    <w:rsid w:val="00FD7ABD"/>
    <w:rsid w:val="00FE1391"/>
    <w:rsid w:val="00FE39D4"/>
    <w:rsid w:val="00FE41CB"/>
    <w:rsid w:val="00FE574F"/>
    <w:rsid w:val="00FE5C02"/>
    <w:rsid w:val="00FE610F"/>
    <w:rsid w:val="00FF029E"/>
    <w:rsid w:val="00FF0918"/>
    <w:rsid w:val="00FF0A78"/>
    <w:rsid w:val="00FF0F21"/>
    <w:rsid w:val="00FF1006"/>
    <w:rsid w:val="00FF160F"/>
    <w:rsid w:val="00FF2332"/>
    <w:rsid w:val="00FF237A"/>
    <w:rsid w:val="00FF261B"/>
    <w:rsid w:val="00FF48F9"/>
    <w:rsid w:val="00FF616D"/>
    <w:rsid w:val="00FF6F4D"/>
    <w:rsid w:val="00FF7B29"/>
    <w:rsid w:val="03512444"/>
    <w:rsid w:val="094CA85D"/>
    <w:rsid w:val="0A933FB8"/>
    <w:rsid w:val="0E556B28"/>
    <w:rsid w:val="0ECA1E00"/>
    <w:rsid w:val="0F92891C"/>
    <w:rsid w:val="0FDD4134"/>
    <w:rsid w:val="11ED2894"/>
    <w:rsid w:val="121B3255"/>
    <w:rsid w:val="13749374"/>
    <w:rsid w:val="168F0B4D"/>
    <w:rsid w:val="16BC788C"/>
    <w:rsid w:val="181D39F3"/>
    <w:rsid w:val="19EA665F"/>
    <w:rsid w:val="1AF5597D"/>
    <w:rsid w:val="201DBB6D"/>
    <w:rsid w:val="20DC2335"/>
    <w:rsid w:val="220B3A92"/>
    <w:rsid w:val="22283E10"/>
    <w:rsid w:val="223C9769"/>
    <w:rsid w:val="24A69700"/>
    <w:rsid w:val="24DB0952"/>
    <w:rsid w:val="25DE3833"/>
    <w:rsid w:val="25FEE882"/>
    <w:rsid w:val="267D1AEA"/>
    <w:rsid w:val="277D79D1"/>
    <w:rsid w:val="284C5814"/>
    <w:rsid w:val="28892C3B"/>
    <w:rsid w:val="28CCABBB"/>
    <w:rsid w:val="2B250E49"/>
    <w:rsid w:val="2D58530D"/>
    <w:rsid w:val="2F4AB3E1"/>
    <w:rsid w:val="30EE1AA0"/>
    <w:rsid w:val="31D0B059"/>
    <w:rsid w:val="32FCC1BA"/>
    <w:rsid w:val="338CF537"/>
    <w:rsid w:val="35176208"/>
    <w:rsid w:val="35B1C566"/>
    <w:rsid w:val="394CE8B8"/>
    <w:rsid w:val="39B1D1CF"/>
    <w:rsid w:val="3B1E7C46"/>
    <w:rsid w:val="3B8D31D2"/>
    <w:rsid w:val="3CE7A007"/>
    <w:rsid w:val="3D0E0FA5"/>
    <w:rsid w:val="3E7F4C12"/>
    <w:rsid w:val="404856A9"/>
    <w:rsid w:val="40C56982"/>
    <w:rsid w:val="41B50017"/>
    <w:rsid w:val="426B4CA3"/>
    <w:rsid w:val="43245748"/>
    <w:rsid w:val="433FD041"/>
    <w:rsid w:val="4B216160"/>
    <w:rsid w:val="4C1AC72C"/>
    <w:rsid w:val="4C83B0A3"/>
    <w:rsid w:val="4EDF8C4F"/>
    <w:rsid w:val="4FB25069"/>
    <w:rsid w:val="5367CCBD"/>
    <w:rsid w:val="54DBE8F6"/>
    <w:rsid w:val="5568CF7E"/>
    <w:rsid w:val="584B7111"/>
    <w:rsid w:val="58A2C7BE"/>
    <w:rsid w:val="598813A7"/>
    <w:rsid w:val="5C1E9DD0"/>
    <w:rsid w:val="5F378FC6"/>
    <w:rsid w:val="62A7F809"/>
    <w:rsid w:val="6454B065"/>
    <w:rsid w:val="651A1F6E"/>
    <w:rsid w:val="65827451"/>
    <w:rsid w:val="69C3693E"/>
    <w:rsid w:val="6A64560B"/>
    <w:rsid w:val="6AEEB3E1"/>
    <w:rsid w:val="6BF58336"/>
    <w:rsid w:val="6D878083"/>
    <w:rsid w:val="6E2F4DEC"/>
    <w:rsid w:val="6F918035"/>
    <w:rsid w:val="6FD2AEA8"/>
    <w:rsid w:val="6FD9DA0F"/>
    <w:rsid w:val="7039F6E7"/>
    <w:rsid w:val="705BE4DC"/>
    <w:rsid w:val="7BE086CA"/>
    <w:rsid w:val="7E99B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9764E"/>
  <w15:docId w15:val="{DAF6D4D8-95A3-4FC8-A203-FB816428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005F1"/>
    <w:rPr>
      <w:rFonts w:asciiTheme="majorHAnsi" w:eastAsiaTheme="majorEastAsia" w:hAnsiTheme="majorHAnsi" w:cs="Times New Roman"/>
      <w:b/>
      <w:bCs/>
      <w:kern w:val="32"/>
      <w:sz w:val="32"/>
      <w:szCs w:val="32"/>
      <w:lang w:eastAsia="en-US"/>
    </w:rPr>
  </w:style>
  <w:style w:type="character" w:customStyle="1" w:styleId="Heading2Char">
    <w:name w:val="Heading 2 Char"/>
    <w:aliases w:val="EBHeading1 Char"/>
    <w:basedOn w:val="DefaultParagraphFont"/>
    <w:link w:val="Heading2"/>
    <w:uiPriority w:val="9"/>
    <w:semiHidden/>
    <w:locked/>
    <w:rsid w:val="002005F1"/>
    <w:rPr>
      <w:rFonts w:asciiTheme="majorHAnsi" w:eastAsiaTheme="majorEastAsia" w:hAnsiTheme="majorHAnsi" w:cs="Times New Roman"/>
      <w:b/>
      <w:bCs/>
      <w:i/>
      <w:iCs/>
      <w:sz w:val="28"/>
      <w:szCs w:val="28"/>
      <w:lang w:eastAsia="en-US"/>
    </w:rPr>
  </w:style>
  <w:style w:type="character" w:customStyle="1" w:styleId="Heading3Char">
    <w:name w:val="Heading 3 Char"/>
    <w:aliases w:val="EBHeading2 Char"/>
    <w:basedOn w:val="DefaultParagraphFont"/>
    <w:link w:val="Heading3"/>
    <w:uiPriority w:val="9"/>
    <w:semiHidden/>
    <w:locked/>
    <w:rsid w:val="002005F1"/>
    <w:rPr>
      <w:rFonts w:asciiTheme="majorHAnsi" w:eastAsiaTheme="majorEastAsia" w:hAnsiTheme="majorHAnsi" w:cs="Times New Roman"/>
      <w:b/>
      <w:bCs/>
      <w:sz w:val="26"/>
      <w:szCs w:val="26"/>
      <w:lang w:eastAsia="en-US"/>
    </w:rPr>
  </w:style>
  <w:style w:type="character" w:customStyle="1" w:styleId="Heading4Char">
    <w:name w:val="Heading 4 Char"/>
    <w:aliases w:val="EBHeading3 Char"/>
    <w:basedOn w:val="DefaultParagraphFont"/>
    <w:link w:val="Heading4"/>
    <w:uiPriority w:val="9"/>
    <w:semiHidden/>
    <w:locked/>
    <w:rsid w:val="002005F1"/>
    <w:rPr>
      <w:rFonts w:asciiTheme="minorHAnsi" w:eastAsiaTheme="minorEastAsia" w:hAnsiTheme="minorHAnsi" w:cs="Times New Roman"/>
      <w:b/>
      <w:bCs/>
      <w:sz w:val="28"/>
      <w:szCs w:val="28"/>
      <w:lang w:eastAsia="en-US"/>
    </w:rPr>
  </w:style>
  <w:style w:type="character" w:customStyle="1" w:styleId="Heading5Char">
    <w:name w:val="Heading 5 Char"/>
    <w:aliases w:val="EBHeading4 Char"/>
    <w:basedOn w:val="DefaultParagraphFont"/>
    <w:link w:val="Heading5"/>
    <w:uiPriority w:val="9"/>
    <w:semiHidden/>
    <w:locked/>
    <w:rsid w:val="002005F1"/>
    <w:rPr>
      <w:rFonts w:asciiTheme="minorHAnsi" w:eastAsiaTheme="minorEastAsia" w:hAnsiTheme="minorHAnsi" w:cs="Times New Roman"/>
      <w:b/>
      <w:bCs/>
      <w:i/>
      <w:iCs/>
      <w:sz w:val="26"/>
      <w:szCs w:val="26"/>
      <w:lang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sid w:val="002005F1"/>
    <w:rPr>
      <w:rFonts w:ascii="Arial" w:hAnsi="Arial" w:cs="Times New Roman"/>
      <w:sz w:val="24"/>
      <w:szCs w:val="24"/>
      <w:lang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sid w:val="002005F1"/>
    <w:rPr>
      <w:rFonts w:ascii="Arial" w:hAnsi="Arial" w:cs="Times New Roman"/>
      <w:sz w:val="24"/>
      <w:szCs w:val="24"/>
      <w:lang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sid w:val="002005F1"/>
    <w:rPr>
      <w:rFonts w:ascii="Arial" w:hAnsi="Arial" w:cs="Times New Roman"/>
      <w:lang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05F1"/>
    <w:rPr>
      <w:rFonts w:ascii="Segoe UI" w:hAnsi="Segoe UI" w:cs="Segoe UI"/>
      <w:sz w:val="18"/>
      <w:szCs w:val="18"/>
      <w:lang w:eastAsia="en-US"/>
    </w:rPr>
  </w:style>
  <w:style w:type="paragraph" w:customStyle="1" w:styleId="EBNumber">
    <w:name w:val="EBNumber"/>
    <w:basedOn w:val="BodyText"/>
    <w:rsid w:val="002B7335"/>
    <w:pPr>
      <w:numPr>
        <w:ilvl w:val="1"/>
        <w:numId w:val="6"/>
      </w:numPr>
    </w:pPr>
  </w:style>
  <w:style w:type="paragraph" w:customStyle="1" w:styleId="EBNumberRestart">
    <w:name w:val="EBNumberRestart"/>
    <w:basedOn w:val="BodyText"/>
    <w:next w:val="EBNumber"/>
    <w:rsid w:val="002B7335"/>
    <w:pPr>
      <w:numPr>
        <w:numId w:val="6"/>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4"/>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5"/>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Bullet1,3"/>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NormalWeb">
    <w:name w:val="Normal (Web)"/>
    <w:basedOn w:val="Normal"/>
    <w:uiPriority w:val="99"/>
    <w:unhideWhenUsed/>
    <w:rsid w:val="005A55A5"/>
    <w:pPr>
      <w:spacing w:before="100" w:beforeAutospacing="1" w:after="100" w:afterAutospacing="1"/>
    </w:pPr>
    <w:rPr>
      <w:szCs w:val="24"/>
      <w:lang w:val="en-US" w:eastAsia="en-US"/>
    </w:rPr>
  </w:style>
  <w:style w:type="character" w:customStyle="1" w:styleId="t">
    <w:name w:val="t"/>
    <w:basedOn w:val="DefaultParagraphFont"/>
    <w:rsid w:val="008A77B8"/>
  </w:style>
  <w:style w:type="table" w:customStyle="1" w:styleId="TableGrid111">
    <w:name w:val="Table Grid111"/>
    <w:basedOn w:val="TableNormal"/>
    <w:next w:val="TableGrid"/>
    <w:uiPriority w:val="59"/>
    <w:rsid w:val="00AB10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624FC"/>
    <w:pPr>
      <w:spacing w:before="100" w:beforeAutospacing="1" w:after="100" w:afterAutospacing="1"/>
    </w:pPr>
    <w:rPr>
      <w:szCs w:val="24"/>
      <w:lang w:val="en-US" w:eastAsia="en-US"/>
    </w:rPr>
  </w:style>
  <w:style w:type="character" w:customStyle="1" w:styleId="cf01">
    <w:name w:val="cf01"/>
    <w:basedOn w:val="DefaultParagraphFont"/>
    <w:rsid w:val="006624FC"/>
    <w:rPr>
      <w:rFonts w:ascii="Segoe UI" w:hAnsi="Segoe UI" w:cs="Segoe UI" w:hint="default"/>
      <w:b/>
      <w:bCs/>
      <w:sz w:val="18"/>
      <w:szCs w:val="18"/>
    </w:rPr>
  </w:style>
  <w:style w:type="character" w:customStyle="1" w:styleId="cf11">
    <w:name w:val="cf11"/>
    <w:basedOn w:val="DefaultParagraphFont"/>
    <w:rsid w:val="006624FC"/>
    <w:rPr>
      <w:rFonts w:ascii="Segoe UI" w:hAnsi="Segoe UI" w:cs="Segoe UI" w:hint="default"/>
      <w:b/>
      <w:bCs/>
      <w:sz w:val="18"/>
      <w:szCs w:val="18"/>
      <w:u w:val="single"/>
    </w:rPr>
  </w:style>
  <w:style w:type="character" w:customStyle="1" w:styleId="cf21">
    <w:name w:val="cf21"/>
    <w:basedOn w:val="DefaultParagraphFont"/>
    <w:rsid w:val="006624FC"/>
    <w:rPr>
      <w:rFonts w:ascii="Segoe UI" w:hAnsi="Segoe UI" w:cs="Segoe UI" w:hint="default"/>
      <w:sz w:val="18"/>
      <w:szCs w:val="18"/>
      <w:u w:val="single"/>
    </w:rPr>
  </w:style>
  <w:style w:type="character" w:customStyle="1" w:styleId="cf31">
    <w:name w:val="cf31"/>
    <w:basedOn w:val="DefaultParagraphFont"/>
    <w:rsid w:val="006624FC"/>
    <w:rPr>
      <w:rFonts w:ascii="Segoe UI" w:hAnsi="Segoe UI" w:cs="Segoe UI" w:hint="default"/>
      <w:sz w:val="18"/>
      <w:szCs w:val="18"/>
    </w:rPr>
  </w:style>
  <w:style w:type="character" w:customStyle="1" w:styleId="cf51">
    <w:name w:val="cf51"/>
    <w:basedOn w:val="DefaultParagraphFont"/>
    <w:rsid w:val="006624FC"/>
    <w:rPr>
      <w:rFonts w:ascii="Segoe UI" w:hAnsi="Segoe UI" w:cs="Segoe UI" w:hint="default"/>
      <w:sz w:val="18"/>
      <w:szCs w:val="18"/>
    </w:rPr>
  </w:style>
  <w:style w:type="character" w:customStyle="1" w:styleId="cf61">
    <w:name w:val="cf61"/>
    <w:basedOn w:val="DefaultParagraphFont"/>
    <w:rsid w:val="006624FC"/>
    <w:rPr>
      <w:rFonts w:ascii="Segoe UI" w:hAnsi="Segoe UI" w:cs="Segoe UI" w:hint="default"/>
      <w:b/>
      <w:bCs/>
      <w:sz w:val="18"/>
      <w:szCs w:val="18"/>
      <w:u w:val="single"/>
    </w:rPr>
  </w:style>
  <w:style w:type="character" w:customStyle="1" w:styleId="cf71">
    <w:name w:val="cf71"/>
    <w:basedOn w:val="DefaultParagraphFont"/>
    <w:rsid w:val="006624FC"/>
    <w:rPr>
      <w:rFonts w:ascii="Segoe UI" w:hAnsi="Segoe UI" w:cs="Segoe UI" w:hint="default"/>
      <w:sz w:val="18"/>
      <w:szCs w:val="18"/>
    </w:rPr>
  </w:style>
  <w:style w:type="character" w:customStyle="1" w:styleId="cf81">
    <w:name w:val="cf81"/>
    <w:basedOn w:val="DefaultParagraphFont"/>
    <w:rsid w:val="006624FC"/>
    <w:rPr>
      <w:rFonts w:ascii="Segoe UI" w:hAnsi="Segoe UI" w:cs="Segoe UI" w:hint="default"/>
      <w:b/>
      <w:bCs/>
      <w:sz w:val="18"/>
      <w:szCs w:val="18"/>
      <w:u w:val="single"/>
    </w:rPr>
  </w:style>
  <w:style w:type="character" w:customStyle="1" w:styleId="cf91">
    <w:name w:val="cf91"/>
    <w:basedOn w:val="DefaultParagraphFont"/>
    <w:rsid w:val="006624FC"/>
    <w:rPr>
      <w:rFonts w:ascii="Segoe UI" w:hAnsi="Segoe UI" w:cs="Segoe UI" w:hint="default"/>
      <w:sz w:val="18"/>
      <w:szCs w:val="18"/>
    </w:rPr>
  </w:style>
  <w:style w:type="character" w:customStyle="1" w:styleId="cf101">
    <w:name w:val="cf101"/>
    <w:basedOn w:val="DefaultParagraphFont"/>
    <w:rsid w:val="006624FC"/>
    <w:rPr>
      <w:rFonts w:ascii="Segoe UI" w:hAnsi="Segoe UI" w:cs="Segoe UI" w:hint="default"/>
      <w:b/>
      <w:bCs/>
      <w:sz w:val="18"/>
      <w:szCs w:val="18"/>
    </w:rPr>
  </w:style>
  <w:style w:type="paragraph" w:styleId="Revision">
    <w:name w:val="Revision"/>
    <w:hidden/>
    <w:uiPriority w:val="99"/>
    <w:semiHidden/>
    <w:rsid w:val="00977A8C"/>
  </w:style>
  <w:style w:type="character" w:customStyle="1" w:styleId="UnresolvedMention1">
    <w:name w:val="Unresolved Mention1"/>
    <w:basedOn w:val="DefaultParagraphFont"/>
    <w:uiPriority w:val="99"/>
    <w:semiHidden/>
    <w:unhideWhenUsed/>
    <w:rsid w:val="00BA155D"/>
    <w:rPr>
      <w:color w:val="605E5C"/>
      <w:shd w:val="clear" w:color="auto" w:fill="E1DFDD"/>
    </w:rPr>
  </w:style>
  <w:style w:type="character" w:styleId="UnresolvedMention">
    <w:name w:val="Unresolved Mention"/>
    <w:basedOn w:val="DefaultParagraphFont"/>
    <w:uiPriority w:val="99"/>
    <w:semiHidden/>
    <w:unhideWhenUsed/>
    <w:rsid w:val="007F4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7212">
      <w:bodyDiv w:val="1"/>
      <w:marLeft w:val="0"/>
      <w:marRight w:val="0"/>
      <w:marTop w:val="0"/>
      <w:marBottom w:val="0"/>
      <w:divBdr>
        <w:top w:val="none" w:sz="0" w:space="0" w:color="auto"/>
        <w:left w:val="none" w:sz="0" w:space="0" w:color="auto"/>
        <w:bottom w:val="none" w:sz="0" w:space="0" w:color="auto"/>
        <w:right w:val="none" w:sz="0" w:space="0" w:color="auto"/>
      </w:divBdr>
    </w:div>
    <w:div w:id="43601109">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180322014">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297222516">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466246811">
      <w:bodyDiv w:val="1"/>
      <w:marLeft w:val="0"/>
      <w:marRight w:val="0"/>
      <w:marTop w:val="0"/>
      <w:marBottom w:val="0"/>
      <w:divBdr>
        <w:top w:val="none" w:sz="0" w:space="0" w:color="auto"/>
        <w:left w:val="none" w:sz="0" w:space="0" w:color="auto"/>
        <w:bottom w:val="none" w:sz="0" w:space="0" w:color="auto"/>
        <w:right w:val="none" w:sz="0" w:space="0" w:color="auto"/>
      </w:divBdr>
    </w:div>
    <w:div w:id="482160075">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602998914">
      <w:bodyDiv w:val="1"/>
      <w:marLeft w:val="0"/>
      <w:marRight w:val="0"/>
      <w:marTop w:val="0"/>
      <w:marBottom w:val="0"/>
      <w:divBdr>
        <w:top w:val="none" w:sz="0" w:space="0" w:color="auto"/>
        <w:left w:val="none" w:sz="0" w:space="0" w:color="auto"/>
        <w:bottom w:val="none" w:sz="0" w:space="0" w:color="auto"/>
        <w:right w:val="none" w:sz="0" w:space="0" w:color="auto"/>
      </w:divBdr>
    </w:div>
    <w:div w:id="767234291">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30174824">
      <w:bodyDiv w:val="1"/>
      <w:marLeft w:val="0"/>
      <w:marRight w:val="0"/>
      <w:marTop w:val="0"/>
      <w:marBottom w:val="0"/>
      <w:divBdr>
        <w:top w:val="none" w:sz="0" w:space="0" w:color="auto"/>
        <w:left w:val="none" w:sz="0" w:space="0" w:color="auto"/>
        <w:bottom w:val="none" w:sz="0" w:space="0" w:color="auto"/>
        <w:right w:val="none" w:sz="0" w:space="0" w:color="auto"/>
      </w:divBdr>
      <w:divsChild>
        <w:div w:id="1057317089">
          <w:marLeft w:val="0"/>
          <w:marRight w:val="0"/>
          <w:marTop w:val="0"/>
          <w:marBottom w:val="0"/>
          <w:divBdr>
            <w:top w:val="none" w:sz="0" w:space="0" w:color="auto"/>
            <w:left w:val="none" w:sz="0" w:space="0" w:color="auto"/>
            <w:bottom w:val="none" w:sz="0" w:space="0" w:color="auto"/>
            <w:right w:val="none" w:sz="0" w:space="0" w:color="auto"/>
          </w:divBdr>
        </w:div>
      </w:divsChild>
    </w:div>
    <w:div w:id="850339299">
      <w:bodyDiv w:val="1"/>
      <w:marLeft w:val="0"/>
      <w:marRight w:val="0"/>
      <w:marTop w:val="0"/>
      <w:marBottom w:val="0"/>
      <w:divBdr>
        <w:top w:val="none" w:sz="0" w:space="0" w:color="auto"/>
        <w:left w:val="none" w:sz="0" w:space="0" w:color="auto"/>
        <w:bottom w:val="none" w:sz="0" w:space="0" w:color="auto"/>
        <w:right w:val="none" w:sz="0" w:space="0" w:color="auto"/>
      </w:divBdr>
    </w:div>
    <w:div w:id="940184623">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041826770">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44756070">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35449709">
      <w:bodyDiv w:val="1"/>
      <w:marLeft w:val="0"/>
      <w:marRight w:val="0"/>
      <w:marTop w:val="0"/>
      <w:marBottom w:val="0"/>
      <w:divBdr>
        <w:top w:val="none" w:sz="0" w:space="0" w:color="auto"/>
        <w:left w:val="none" w:sz="0" w:space="0" w:color="auto"/>
        <w:bottom w:val="none" w:sz="0" w:space="0" w:color="auto"/>
        <w:right w:val="none" w:sz="0" w:space="0" w:color="auto"/>
      </w:divBdr>
      <w:divsChild>
        <w:div w:id="439379468">
          <w:marLeft w:val="0"/>
          <w:marRight w:val="0"/>
          <w:marTop w:val="0"/>
          <w:marBottom w:val="0"/>
          <w:divBdr>
            <w:top w:val="none" w:sz="0" w:space="0" w:color="auto"/>
            <w:left w:val="none" w:sz="0" w:space="0" w:color="auto"/>
            <w:bottom w:val="none" w:sz="0" w:space="0" w:color="auto"/>
            <w:right w:val="none" w:sz="0" w:space="0" w:color="auto"/>
          </w:divBdr>
        </w:div>
        <w:div w:id="140852459">
          <w:marLeft w:val="0"/>
          <w:marRight w:val="0"/>
          <w:marTop w:val="0"/>
          <w:marBottom w:val="0"/>
          <w:divBdr>
            <w:top w:val="none" w:sz="0" w:space="0" w:color="auto"/>
            <w:left w:val="none" w:sz="0" w:space="0" w:color="auto"/>
            <w:bottom w:val="none" w:sz="0" w:space="0" w:color="auto"/>
            <w:right w:val="none" w:sz="0" w:space="0" w:color="auto"/>
          </w:divBdr>
        </w:div>
        <w:div w:id="418983466">
          <w:marLeft w:val="0"/>
          <w:marRight w:val="0"/>
          <w:marTop w:val="0"/>
          <w:marBottom w:val="0"/>
          <w:divBdr>
            <w:top w:val="none" w:sz="0" w:space="0" w:color="auto"/>
            <w:left w:val="none" w:sz="0" w:space="0" w:color="auto"/>
            <w:bottom w:val="none" w:sz="0" w:space="0" w:color="auto"/>
            <w:right w:val="none" w:sz="0" w:space="0" w:color="auto"/>
          </w:divBdr>
        </w:div>
        <w:div w:id="649871523">
          <w:marLeft w:val="0"/>
          <w:marRight w:val="0"/>
          <w:marTop w:val="0"/>
          <w:marBottom w:val="0"/>
          <w:divBdr>
            <w:top w:val="none" w:sz="0" w:space="0" w:color="auto"/>
            <w:left w:val="none" w:sz="0" w:space="0" w:color="auto"/>
            <w:bottom w:val="none" w:sz="0" w:space="0" w:color="auto"/>
            <w:right w:val="none" w:sz="0" w:space="0" w:color="auto"/>
          </w:divBdr>
        </w:div>
        <w:div w:id="1282344761">
          <w:marLeft w:val="0"/>
          <w:marRight w:val="0"/>
          <w:marTop w:val="0"/>
          <w:marBottom w:val="0"/>
          <w:divBdr>
            <w:top w:val="none" w:sz="0" w:space="0" w:color="auto"/>
            <w:left w:val="none" w:sz="0" w:space="0" w:color="auto"/>
            <w:bottom w:val="none" w:sz="0" w:space="0" w:color="auto"/>
            <w:right w:val="none" w:sz="0" w:space="0" w:color="auto"/>
          </w:divBdr>
        </w:div>
        <w:div w:id="681666766">
          <w:marLeft w:val="0"/>
          <w:marRight w:val="0"/>
          <w:marTop w:val="0"/>
          <w:marBottom w:val="0"/>
          <w:divBdr>
            <w:top w:val="none" w:sz="0" w:space="0" w:color="auto"/>
            <w:left w:val="none" w:sz="0" w:space="0" w:color="auto"/>
            <w:bottom w:val="none" w:sz="0" w:space="0" w:color="auto"/>
            <w:right w:val="none" w:sz="0" w:space="0" w:color="auto"/>
          </w:divBdr>
        </w:div>
      </w:divsChild>
    </w:div>
    <w:div w:id="1342006596">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398164306">
      <w:bodyDiv w:val="1"/>
      <w:marLeft w:val="0"/>
      <w:marRight w:val="0"/>
      <w:marTop w:val="0"/>
      <w:marBottom w:val="0"/>
      <w:divBdr>
        <w:top w:val="none" w:sz="0" w:space="0" w:color="auto"/>
        <w:left w:val="none" w:sz="0" w:space="0" w:color="auto"/>
        <w:bottom w:val="none" w:sz="0" w:space="0" w:color="auto"/>
        <w:right w:val="none" w:sz="0" w:space="0" w:color="auto"/>
      </w:divBdr>
    </w:div>
    <w:div w:id="1403723178">
      <w:bodyDiv w:val="1"/>
      <w:marLeft w:val="0"/>
      <w:marRight w:val="0"/>
      <w:marTop w:val="0"/>
      <w:marBottom w:val="0"/>
      <w:divBdr>
        <w:top w:val="none" w:sz="0" w:space="0" w:color="auto"/>
        <w:left w:val="none" w:sz="0" w:space="0" w:color="auto"/>
        <w:bottom w:val="none" w:sz="0" w:space="0" w:color="auto"/>
        <w:right w:val="none" w:sz="0" w:space="0" w:color="auto"/>
      </w:divBdr>
    </w:div>
    <w:div w:id="1437018228">
      <w:bodyDiv w:val="1"/>
      <w:marLeft w:val="0"/>
      <w:marRight w:val="0"/>
      <w:marTop w:val="0"/>
      <w:marBottom w:val="0"/>
      <w:divBdr>
        <w:top w:val="none" w:sz="0" w:space="0" w:color="auto"/>
        <w:left w:val="none" w:sz="0" w:space="0" w:color="auto"/>
        <w:bottom w:val="none" w:sz="0" w:space="0" w:color="auto"/>
        <w:right w:val="none" w:sz="0" w:space="0" w:color="auto"/>
      </w:divBdr>
    </w:div>
    <w:div w:id="1463234323">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492527958">
      <w:bodyDiv w:val="1"/>
      <w:marLeft w:val="0"/>
      <w:marRight w:val="0"/>
      <w:marTop w:val="0"/>
      <w:marBottom w:val="0"/>
      <w:divBdr>
        <w:top w:val="none" w:sz="0" w:space="0" w:color="auto"/>
        <w:left w:val="none" w:sz="0" w:space="0" w:color="auto"/>
        <w:bottom w:val="none" w:sz="0" w:space="0" w:color="auto"/>
        <w:right w:val="none" w:sz="0" w:space="0" w:color="auto"/>
      </w:divBdr>
    </w:div>
    <w:div w:id="1495338476">
      <w:bodyDiv w:val="1"/>
      <w:marLeft w:val="0"/>
      <w:marRight w:val="0"/>
      <w:marTop w:val="0"/>
      <w:marBottom w:val="0"/>
      <w:divBdr>
        <w:top w:val="none" w:sz="0" w:space="0" w:color="auto"/>
        <w:left w:val="none" w:sz="0" w:space="0" w:color="auto"/>
        <w:bottom w:val="none" w:sz="0" w:space="0" w:color="auto"/>
        <w:right w:val="none" w:sz="0" w:space="0" w:color="auto"/>
      </w:divBdr>
    </w:div>
    <w:div w:id="1522085441">
      <w:bodyDiv w:val="1"/>
      <w:marLeft w:val="0"/>
      <w:marRight w:val="0"/>
      <w:marTop w:val="0"/>
      <w:marBottom w:val="0"/>
      <w:divBdr>
        <w:top w:val="none" w:sz="0" w:space="0" w:color="auto"/>
        <w:left w:val="none" w:sz="0" w:space="0" w:color="auto"/>
        <w:bottom w:val="none" w:sz="0" w:space="0" w:color="auto"/>
        <w:right w:val="none" w:sz="0" w:space="0" w:color="auto"/>
      </w:divBdr>
    </w:div>
    <w:div w:id="1573194862">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83388377">
      <w:bodyDiv w:val="1"/>
      <w:marLeft w:val="0"/>
      <w:marRight w:val="0"/>
      <w:marTop w:val="0"/>
      <w:marBottom w:val="0"/>
      <w:divBdr>
        <w:top w:val="none" w:sz="0" w:space="0" w:color="auto"/>
        <w:left w:val="none" w:sz="0" w:space="0" w:color="auto"/>
        <w:bottom w:val="none" w:sz="0" w:space="0" w:color="auto"/>
        <w:right w:val="none" w:sz="0" w:space="0" w:color="auto"/>
      </w:divBdr>
    </w:div>
    <w:div w:id="1689061643">
      <w:bodyDiv w:val="1"/>
      <w:marLeft w:val="0"/>
      <w:marRight w:val="0"/>
      <w:marTop w:val="0"/>
      <w:marBottom w:val="0"/>
      <w:divBdr>
        <w:top w:val="none" w:sz="0" w:space="0" w:color="auto"/>
        <w:left w:val="none" w:sz="0" w:space="0" w:color="auto"/>
        <w:bottom w:val="none" w:sz="0" w:space="0" w:color="auto"/>
        <w:right w:val="none" w:sz="0" w:space="0" w:color="auto"/>
      </w:divBdr>
    </w:div>
    <w:div w:id="1700810958">
      <w:bodyDiv w:val="1"/>
      <w:marLeft w:val="0"/>
      <w:marRight w:val="0"/>
      <w:marTop w:val="0"/>
      <w:marBottom w:val="0"/>
      <w:divBdr>
        <w:top w:val="none" w:sz="0" w:space="0" w:color="auto"/>
        <w:left w:val="none" w:sz="0" w:space="0" w:color="auto"/>
        <w:bottom w:val="none" w:sz="0" w:space="0" w:color="auto"/>
        <w:right w:val="none" w:sz="0" w:space="0" w:color="auto"/>
      </w:divBdr>
    </w:div>
    <w:div w:id="1702632753">
      <w:bodyDiv w:val="1"/>
      <w:marLeft w:val="0"/>
      <w:marRight w:val="0"/>
      <w:marTop w:val="0"/>
      <w:marBottom w:val="0"/>
      <w:divBdr>
        <w:top w:val="none" w:sz="0" w:space="0" w:color="auto"/>
        <w:left w:val="none" w:sz="0" w:space="0" w:color="auto"/>
        <w:bottom w:val="none" w:sz="0" w:space="0" w:color="auto"/>
        <w:right w:val="none" w:sz="0" w:space="0" w:color="auto"/>
      </w:divBdr>
    </w:div>
    <w:div w:id="1734308685">
      <w:bodyDiv w:val="1"/>
      <w:marLeft w:val="0"/>
      <w:marRight w:val="0"/>
      <w:marTop w:val="0"/>
      <w:marBottom w:val="0"/>
      <w:divBdr>
        <w:top w:val="none" w:sz="0" w:space="0" w:color="auto"/>
        <w:left w:val="none" w:sz="0" w:space="0" w:color="auto"/>
        <w:bottom w:val="none" w:sz="0" w:space="0" w:color="auto"/>
        <w:right w:val="none" w:sz="0" w:space="0" w:color="auto"/>
      </w:divBdr>
    </w:div>
    <w:div w:id="1774738271">
      <w:bodyDiv w:val="1"/>
      <w:marLeft w:val="0"/>
      <w:marRight w:val="0"/>
      <w:marTop w:val="0"/>
      <w:marBottom w:val="0"/>
      <w:divBdr>
        <w:top w:val="none" w:sz="0" w:space="0" w:color="auto"/>
        <w:left w:val="none" w:sz="0" w:space="0" w:color="auto"/>
        <w:bottom w:val="none" w:sz="0" w:space="0" w:color="auto"/>
        <w:right w:val="none" w:sz="0" w:space="0" w:color="auto"/>
      </w:divBdr>
    </w:div>
    <w:div w:id="1853955189">
      <w:bodyDiv w:val="1"/>
      <w:marLeft w:val="0"/>
      <w:marRight w:val="0"/>
      <w:marTop w:val="0"/>
      <w:marBottom w:val="0"/>
      <w:divBdr>
        <w:top w:val="none" w:sz="0" w:space="0" w:color="auto"/>
        <w:left w:val="none" w:sz="0" w:space="0" w:color="auto"/>
        <w:bottom w:val="none" w:sz="0" w:space="0" w:color="auto"/>
        <w:right w:val="none" w:sz="0" w:space="0" w:color="auto"/>
      </w:divBdr>
    </w:div>
    <w:div w:id="1876892650">
      <w:bodyDiv w:val="1"/>
      <w:marLeft w:val="0"/>
      <w:marRight w:val="0"/>
      <w:marTop w:val="0"/>
      <w:marBottom w:val="0"/>
      <w:divBdr>
        <w:top w:val="none" w:sz="0" w:space="0" w:color="auto"/>
        <w:left w:val="none" w:sz="0" w:space="0" w:color="auto"/>
        <w:bottom w:val="none" w:sz="0" w:space="0" w:color="auto"/>
        <w:right w:val="none" w:sz="0" w:space="0" w:color="auto"/>
      </w:divBdr>
      <w:divsChild>
        <w:div w:id="1725445647">
          <w:marLeft w:val="0"/>
          <w:marRight w:val="0"/>
          <w:marTop w:val="0"/>
          <w:marBottom w:val="0"/>
          <w:divBdr>
            <w:top w:val="none" w:sz="0" w:space="0" w:color="auto"/>
            <w:left w:val="none" w:sz="0" w:space="0" w:color="auto"/>
            <w:bottom w:val="none" w:sz="0" w:space="0" w:color="auto"/>
            <w:right w:val="none" w:sz="0" w:space="0" w:color="auto"/>
          </w:divBdr>
        </w:div>
      </w:divsChild>
    </w:div>
    <w:div w:id="1941067498">
      <w:bodyDiv w:val="1"/>
      <w:marLeft w:val="0"/>
      <w:marRight w:val="0"/>
      <w:marTop w:val="0"/>
      <w:marBottom w:val="0"/>
      <w:divBdr>
        <w:top w:val="none" w:sz="0" w:space="0" w:color="auto"/>
        <w:left w:val="none" w:sz="0" w:space="0" w:color="auto"/>
        <w:bottom w:val="none" w:sz="0" w:space="0" w:color="auto"/>
        <w:right w:val="none" w:sz="0" w:space="0" w:color="auto"/>
      </w:divBdr>
    </w:div>
    <w:div w:id="1941837391">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1949190891">
      <w:bodyDiv w:val="1"/>
      <w:marLeft w:val="0"/>
      <w:marRight w:val="0"/>
      <w:marTop w:val="0"/>
      <w:marBottom w:val="0"/>
      <w:divBdr>
        <w:top w:val="none" w:sz="0" w:space="0" w:color="auto"/>
        <w:left w:val="none" w:sz="0" w:space="0" w:color="auto"/>
        <w:bottom w:val="none" w:sz="0" w:space="0" w:color="auto"/>
        <w:right w:val="none" w:sz="0" w:space="0" w:color="auto"/>
      </w:divBdr>
      <w:divsChild>
        <w:div w:id="654915377">
          <w:marLeft w:val="0"/>
          <w:marRight w:val="0"/>
          <w:marTop w:val="0"/>
          <w:marBottom w:val="0"/>
          <w:divBdr>
            <w:top w:val="none" w:sz="0" w:space="0" w:color="auto"/>
            <w:left w:val="none" w:sz="0" w:space="0" w:color="auto"/>
            <w:bottom w:val="none" w:sz="0" w:space="0" w:color="auto"/>
            <w:right w:val="none" w:sz="0" w:space="0" w:color="auto"/>
          </w:divBdr>
        </w:div>
      </w:divsChild>
    </w:div>
    <w:div w:id="1981692773">
      <w:bodyDiv w:val="1"/>
      <w:marLeft w:val="0"/>
      <w:marRight w:val="0"/>
      <w:marTop w:val="0"/>
      <w:marBottom w:val="0"/>
      <w:divBdr>
        <w:top w:val="none" w:sz="0" w:space="0" w:color="auto"/>
        <w:left w:val="none" w:sz="0" w:space="0" w:color="auto"/>
        <w:bottom w:val="none" w:sz="0" w:space="0" w:color="auto"/>
        <w:right w:val="none" w:sz="0" w:space="0" w:color="auto"/>
      </w:divBdr>
    </w:div>
    <w:div w:id="1999382993">
      <w:bodyDiv w:val="1"/>
      <w:marLeft w:val="0"/>
      <w:marRight w:val="0"/>
      <w:marTop w:val="0"/>
      <w:marBottom w:val="0"/>
      <w:divBdr>
        <w:top w:val="none" w:sz="0" w:space="0" w:color="auto"/>
        <w:left w:val="none" w:sz="0" w:space="0" w:color="auto"/>
        <w:bottom w:val="none" w:sz="0" w:space="0" w:color="auto"/>
        <w:right w:val="none" w:sz="0" w:space="0" w:color="auto"/>
      </w:divBdr>
    </w:div>
    <w:div w:id="2050687738">
      <w:bodyDiv w:val="1"/>
      <w:marLeft w:val="0"/>
      <w:marRight w:val="0"/>
      <w:marTop w:val="0"/>
      <w:marBottom w:val="0"/>
      <w:divBdr>
        <w:top w:val="none" w:sz="0" w:space="0" w:color="auto"/>
        <w:left w:val="none" w:sz="0" w:space="0" w:color="auto"/>
        <w:bottom w:val="none" w:sz="0" w:space="0" w:color="auto"/>
        <w:right w:val="none" w:sz="0" w:space="0" w:color="auto"/>
      </w:divBdr>
    </w:div>
    <w:div w:id="2116711993">
      <w:bodyDiv w:val="1"/>
      <w:marLeft w:val="0"/>
      <w:marRight w:val="0"/>
      <w:marTop w:val="0"/>
      <w:marBottom w:val="0"/>
      <w:divBdr>
        <w:top w:val="none" w:sz="0" w:space="0" w:color="auto"/>
        <w:left w:val="none" w:sz="0" w:space="0" w:color="auto"/>
        <w:bottom w:val="none" w:sz="0" w:space="0" w:color="auto"/>
        <w:right w:val="none" w:sz="0" w:space="0" w:color="auto"/>
      </w:divBdr>
      <w:divsChild>
        <w:div w:id="1711032899">
          <w:marLeft w:val="0"/>
          <w:marRight w:val="0"/>
          <w:marTop w:val="0"/>
          <w:marBottom w:val="0"/>
          <w:divBdr>
            <w:top w:val="none" w:sz="0" w:space="0" w:color="auto"/>
            <w:left w:val="none" w:sz="0" w:space="0" w:color="auto"/>
            <w:bottom w:val="none" w:sz="0" w:space="0" w:color="auto"/>
            <w:right w:val="none" w:sz="0" w:space="0" w:color="auto"/>
          </w:divBdr>
        </w:div>
        <w:div w:id="2140412541">
          <w:marLeft w:val="0"/>
          <w:marRight w:val="0"/>
          <w:marTop w:val="0"/>
          <w:marBottom w:val="0"/>
          <w:divBdr>
            <w:top w:val="none" w:sz="0" w:space="0" w:color="auto"/>
            <w:left w:val="none" w:sz="0" w:space="0" w:color="auto"/>
            <w:bottom w:val="none" w:sz="0" w:space="0" w:color="auto"/>
            <w:right w:val="none" w:sz="0" w:space="0" w:color="auto"/>
          </w:divBdr>
        </w:div>
        <w:div w:id="815873655">
          <w:marLeft w:val="0"/>
          <w:marRight w:val="0"/>
          <w:marTop w:val="0"/>
          <w:marBottom w:val="0"/>
          <w:divBdr>
            <w:top w:val="none" w:sz="0" w:space="0" w:color="auto"/>
            <w:left w:val="none" w:sz="0" w:space="0" w:color="auto"/>
            <w:bottom w:val="none" w:sz="0" w:space="0" w:color="auto"/>
            <w:right w:val="none" w:sz="0" w:space="0" w:color="auto"/>
          </w:divBdr>
        </w:div>
        <w:div w:id="1700468599">
          <w:marLeft w:val="0"/>
          <w:marRight w:val="0"/>
          <w:marTop w:val="0"/>
          <w:marBottom w:val="0"/>
          <w:divBdr>
            <w:top w:val="none" w:sz="0" w:space="0" w:color="auto"/>
            <w:left w:val="none" w:sz="0" w:space="0" w:color="auto"/>
            <w:bottom w:val="none" w:sz="0" w:space="0" w:color="auto"/>
            <w:right w:val="none" w:sz="0" w:space="0" w:color="auto"/>
          </w:divBdr>
        </w:div>
        <w:div w:id="1124613127">
          <w:marLeft w:val="0"/>
          <w:marRight w:val="0"/>
          <w:marTop w:val="0"/>
          <w:marBottom w:val="0"/>
          <w:divBdr>
            <w:top w:val="none" w:sz="0" w:space="0" w:color="auto"/>
            <w:left w:val="none" w:sz="0" w:space="0" w:color="auto"/>
            <w:bottom w:val="none" w:sz="0" w:space="0" w:color="auto"/>
            <w:right w:val="none" w:sz="0" w:space="0" w:color="auto"/>
          </w:divBdr>
        </w:div>
        <w:div w:id="1860124189">
          <w:marLeft w:val="0"/>
          <w:marRight w:val="0"/>
          <w:marTop w:val="0"/>
          <w:marBottom w:val="0"/>
          <w:divBdr>
            <w:top w:val="none" w:sz="0" w:space="0" w:color="auto"/>
            <w:left w:val="none" w:sz="0" w:space="0" w:color="auto"/>
            <w:bottom w:val="none" w:sz="0" w:space="0" w:color="auto"/>
            <w:right w:val="none" w:sz="0" w:space="0" w:color="auto"/>
          </w:divBdr>
        </w:div>
      </w:divsChild>
    </w:div>
    <w:div w:id="211820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procurement.al/sq/tender/lis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AD-4-2025-INIT/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38C4388889164EF79F2F36295DAF2652"/>
        <w:category>
          <w:name w:val="General"/>
          <w:gallery w:val="placeholder"/>
        </w:category>
        <w:types>
          <w:type w:val="bbPlcHdr"/>
        </w:types>
        <w:behaviors>
          <w:behavior w:val="content"/>
        </w:behaviors>
        <w:guid w:val="{B35FD3E0-88F2-4AB5-BE48-BEA3D79C7E97}"/>
      </w:docPartPr>
      <w:docPartBody>
        <w:p w:rsidR="0076232B" w:rsidRDefault="005F0ADA" w:rsidP="005F0ADA">
          <w:pPr>
            <w:pStyle w:val="38C4388889164EF79F2F36295DAF2652"/>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0D4FAF7B9A8E4D57B2B5C5E1F1170ACB"/>
        <w:category>
          <w:name w:val="General"/>
          <w:gallery w:val="placeholder"/>
        </w:category>
        <w:types>
          <w:type w:val="bbPlcHdr"/>
        </w:types>
        <w:behaviors>
          <w:behavior w:val="content"/>
        </w:behaviors>
        <w:guid w:val="{D04826E8-D61E-4823-AEAE-17F762342481}"/>
      </w:docPartPr>
      <w:docPartBody>
        <w:p w:rsidR="0076232B" w:rsidRDefault="005F0ADA" w:rsidP="005F0ADA">
          <w:pPr>
            <w:pStyle w:val="0D4FAF7B9A8E4D57B2B5C5E1F1170ACB"/>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0F12F16F9DC497B85B62E325CC72A54"/>
        <w:category>
          <w:name w:val="General"/>
          <w:gallery w:val="placeholder"/>
        </w:category>
        <w:types>
          <w:type w:val="bbPlcHdr"/>
        </w:types>
        <w:behaviors>
          <w:behavior w:val="content"/>
        </w:behaviors>
        <w:guid w:val="{67919277-7ADF-4354-8CC1-4DAA3F3B5651}"/>
      </w:docPartPr>
      <w:docPartBody>
        <w:p w:rsidR="0076232B" w:rsidRDefault="005F0ADA" w:rsidP="005F0ADA">
          <w:pPr>
            <w:pStyle w:val="F0F12F16F9DC497B85B62E325CC72A54"/>
          </w:pPr>
          <w:r w:rsidRPr="003B5CBC">
            <w:rPr>
              <w:rStyle w:val="PlaceholderText"/>
              <w:rFonts w:eastAsiaTheme="majorEastAsia"/>
            </w:rPr>
            <w:t>Data e shqyrtimit</w:t>
          </w:r>
        </w:p>
      </w:docPartBody>
    </w:docPart>
    <w:docPart>
      <w:docPartPr>
        <w:name w:val="44A516C976744553A16103A31B359EBF"/>
        <w:category>
          <w:name w:val="General"/>
          <w:gallery w:val="placeholder"/>
        </w:category>
        <w:types>
          <w:type w:val="bbPlcHdr"/>
        </w:types>
        <w:behaviors>
          <w:behavior w:val="content"/>
        </w:behaviors>
        <w:guid w:val="{A2239587-5B0B-4CA3-8123-7DBF92081A61}"/>
      </w:docPartPr>
      <w:docPartBody>
        <w:p w:rsidR="0076232B" w:rsidRDefault="005F0ADA" w:rsidP="005F0ADA">
          <w:pPr>
            <w:pStyle w:val="44A516C976744553A16103A31B359EBF"/>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62925"/>
    <w:rsid w:val="0000459C"/>
    <w:rsid w:val="000131F3"/>
    <w:rsid w:val="0003006C"/>
    <w:rsid w:val="00053F84"/>
    <w:rsid w:val="00055E0D"/>
    <w:rsid w:val="000C3D8E"/>
    <w:rsid w:val="000C4447"/>
    <w:rsid w:val="000E5801"/>
    <w:rsid w:val="000F4C2B"/>
    <w:rsid w:val="000F5B7B"/>
    <w:rsid w:val="00103345"/>
    <w:rsid w:val="00123BAC"/>
    <w:rsid w:val="00123CDD"/>
    <w:rsid w:val="0012444C"/>
    <w:rsid w:val="001A4222"/>
    <w:rsid w:val="001A6CB6"/>
    <w:rsid w:val="002438B5"/>
    <w:rsid w:val="002462E5"/>
    <w:rsid w:val="00265E85"/>
    <w:rsid w:val="00265FAB"/>
    <w:rsid w:val="002724FA"/>
    <w:rsid w:val="00276D0E"/>
    <w:rsid w:val="002C443E"/>
    <w:rsid w:val="00322330"/>
    <w:rsid w:val="00341895"/>
    <w:rsid w:val="00345110"/>
    <w:rsid w:val="0036461E"/>
    <w:rsid w:val="003654A4"/>
    <w:rsid w:val="00395E5F"/>
    <w:rsid w:val="003B1FF8"/>
    <w:rsid w:val="003E572C"/>
    <w:rsid w:val="004B1425"/>
    <w:rsid w:val="004C58B6"/>
    <w:rsid w:val="004D2FF8"/>
    <w:rsid w:val="00507281"/>
    <w:rsid w:val="00573B4E"/>
    <w:rsid w:val="005A6C19"/>
    <w:rsid w:val="005E2B65"/>
    <w:rsid w:val="005F0ADA"/>
    <w:rsid w:val="005F1811"/>
    <w:rsid w:val="00602C98"/>
    <w:rsid w:val="00613314"/>
    <w:rsid w:val="00616558"/>
    <w:rsid w:val="00627EA3"/>
    <w:rsid w:val="00653027"/>
    <w:rsid w:val="00657E87"/>
    <w:rsid w:val="00680593"/>
    <w:rsid w:val="006A1846"/>
    <w:rsid w:val="006D3EB4"/>
    <w:rsid w:val="006F0B37"/>
    <w:rsid w:val="006F1ED4"/>
    <w:rsid w:val="007126C8"/>
    <w:rsid w:val="007500C5"/>
    <w:rsid w:val="0076232B"/>
    <w:rsid w:val="007B4F71"/>
    <w:rsid w:val="007D3997"/>
    <w:rsid w:val="00800F29"/>
    <w:rsid w:val="008064C8"/>
    <w:rsid w:val="00835A5F"/>
    <w:rsid w:val="00841C40"/>
    <w:rsid w:val="00847B4D"/>
    <w:rsid w:val="00861778"/>
    <w:rsid w:val="00862925"/>
    <w:rsid w:val="008C2583"/>
    <w:rsid w:val="008C7400"/>
    <w:rsid w:val="008E7A84"/>
    <w:rsid w:val="008E7E8D"/>
    <w:rsid w:val="00990976"/>
    <w:rsid w:val="009A67CF"/>
    <w:rsid w:val="009E1891"/>
    <w:rsid w:val="009E734A"/>
    <w:rsid w:val="009F4EF3"/>
    <w:rsid w:val="00A057EC"/>
    <w:rsid w:val="00A47442"/>
    <w:rsid w:val="00A523F9"/>
    <w:rsid w:val="00A55513"/>
    <w:rsid w:val="00A60EA2"/>
    <w:rsid w:val="00A90916"/>
    <w:rsid w:val="00AB6054"/>
    <w:rsid w:val="00AD30A2"/>
    <w:rsid w:val="00AE0218"/>
    <w:rsid w:val="00AE5F5F"/>
    <w:rsid w:val="00B520DD"/>
    <w:rsid w:val="00B53155"/>
    <w:rsid w:val="00B53556"/>
    <w:rsid w:val="00B91967"/>
    <w:rsid w:val="00B94408"/>
    <w:rsid w:val="00BD30CE"/>
    <w:rsid w:val="00BD45CF"/>
    <w:rsid w:val="00C063DB"/>
    <w:rsid w:val="00C1198C"/>
    <w:rsid w:val="00C2011B"/>
    <w:rsid w:val="00C22BF4"/>
    <w:rsid w:val="00C363C6"/>
    <w:rsid w:val="00C4714B"/>
    <w:rsid w:val="00C66472"/>
    <w:rsid w:val="00C863CD"/>
    <w:rsid w:val="00CC282E"/>
    <w:rsid w:val="00CE6E21"/>
    <w:rsid w:val="00CF0D74"/>
    <w:rsid w:val="00D1193F"/>
    <w:rsid w:val="00D17A53"/>
    <w:rsid w:val="00D54F08"/>
    <w:rsid w:val="00D71EBA"/>
    <w:rsid w:val="00D934BE"/>
    <w:rsid w:val="00DA1BDD"/>
    <w:rsid w:val="00DC14D4"/>
    <w:rsid w:val="00DC15B5"/>
    <w:rsid w:val="00DC3C88"/>
    <w:rsid w:val="00DC6A66"/>
    <w:rsid w:val="00E17FD4"/>
    <w:rsid w:val="00E324DC"/>
    <w:rsid w:val="00EE784D"/>
    <w:rsid w:val="00F03060"/>
    <w:rsid w:val="00F05CAA"/>
    <w:rsid w:val="00F14A47"/>
    <w:rsid w:val="00F4370F"/>
    <w:rsid w:val="00F63531"/>
    <w:rsid w:val="00F658C6"/>
    <w:rsid w:val="00F80994"/>
    <w:rsid w:val="00FB0877"/>
    <w:rsid w:val="00FB279F"/>
    <w:rsid w:val="00FC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ADA"/>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 w:type="paragraph" w:customStyle="1" w:styleId="38C4388889164EF79F2F36295DAF2652">
    <w:name w:val="38C4388889164EF79F2F36295DAF2652"/>
    <w:rsid w:val="005F0ADA"/>
    <w:pPr>
      <w:spacing w:line="278" w:lineRule="auto"/>
    </w:pPr>
    <w:rPr>
      <w:kern w:val="2"/>
      <w:sz w:val="24"/>
      <w:szCs w:val="24"/>
      <w14:ligatures w14:val="standardContextual"/>
    </w:rPr>
  </w:style>
  <w:style w:type="paragraph" w:customStyle="1" w:styleId="0D4FAF7B9A8E4D57B2B5C5E1F1170ACB">
    <w:name w:val="0D4FAF7B9A8E4D57B2B5C5E1F1170ACB"/>
    <w:rsid w:val="005F0ADA"/>
    <w:pPr>
      <w:spacing w:line="278" w:lineRule="auto"/>
    </w:pPr>
    <w:rPr>
      <w:kern w:val="2"/>
      <w:sz w:val="24"/>
      <w:szCs w:val="24"/>
      <w14:ligatures w14:val="standardContextual"/>
    </w:rPr>
  </w:style>
  <w:style w:type="paragraph" w:customStyle="1" w:styleId="F0F12F16F9DC497B85B62E325CC72A54">
    <w:name w:val="F0F12F16F9DC497B85B62E325CC72A54"/>
    <w:rsid w:val="005F0ADA"/>
    <w:pPr>
      <w:spacing w:line="278" w:lineRule="auto"/>
    </w:pPr>
    <w:rPr>
      <w:kern w:val="2"/>
      <w:sz w:val="24"/>
      <w:szCs w:val="24"/>
      <w14:ligatures w14:val="standardContextual"/>
    </w:rPr>
  </w:style>
  <w:style w:type="paragraph" w:customStyle="1" w:styleId="44A516C976744553A16103A31B359EBF">
    <w:name w:val="44A516C976744553A16103A31B359EBF"/>
    <w:rsid w:val="005F0A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4E432-568D-4832-AF6D-35197F3A816E}">
  <ds:schemaRefs>
    <ds:schemaRef ds:uri="http://schemas.openxmlformats.org/officeDocument/2006/bibliography"/>
  </ds:schemaRefs>
</ds:datastoreItem>
</file>

<file path=customXml/itemProps2.xml><?xml version="1.0" encoding="utf-8"?>
<ds:datastoreItem xmlns:ds="http://schemas.openxmlformats.org/officeDocument/2006/customXml" ds:itemID="{43F5E280-5608-43E3-97FA-BCE1C873F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44D30-22EA-4F38-AB0B-31A5441EBAD2}">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4.xml><?xml version="1.0" encoding="utf-8"?>
<ds:datastoreItem xmlns:ds="http://schemas.openxmlformats.org/officeDocument/2006/customXml" ds:itemID="{9CC59052-1A6A-4830-9ECD-C070B1E1F6AA}">
  <ds:schemaRefs>
    <ds:schemaRef ds:uri="http://schemas.microsoft.com/sharepoint/v3/contenttype/forms"/>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239</TotalTime>
  <Pages>49</Pages>
  <Words>24439</Words>
  <Characters>139303</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163416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Drejtoria RIA</cp:lastModifiedBy>
  <cp:revision>2</cp:revision>
  <cp:lastPrinted>2025-01-09T17:26:00Z</cp:lastPrinted>
  <dcterms:created xsi:type="dcterms:W3CDTF">2025-11-05T14:39:00Z</dcterms:created>
  <dcterms:modified xsi:type="dcterms:W3CDTF">2025-11-05T14:39:00Z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y fmtid="{D5CDD505-2E9C-101B-9397-08002B2CF9AE}" pid="4" name="ContentTypeId">
    <vt:lpwstr>0x01010083FC2A886F6FE144A0D83744568D8B49</vt:lpwstr>
  </property>
</Properties>
</file>