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60511" w14:textId="2695D4A7" w:rsidR="00A85B5D" w:rsidRPr="00A85B5D" w:rsidRDefault="00A85B5D" w:rsidP="00A85B5D">
      <w:pPr>
        <w:spacing w:before="100" w:beforeAutospacing="1" w:after="100" w:afterAutospacing="1" w:line="240" w:lineRule="auto"/>
        <w:jc w:val="both"/>
        <w:rPr>
          <w:rFonts w:ascii="Times New Roman" w:eastAsia="Times New Roman" w:hAnsi="Times New Roman" w:cs="Times New Roman"/>
          <w:b/>
          <w:bCs/>
          <w:kern w:val="0"/>
          <w:lang w:val="sq-AL"/>
          <w14:ligatures w14:val="none"/>
        </w:rPr>
      </w:pPr>
      <w:bookmarkStart w:id="0" w:name="_GoBack"/>
      <w:bookmarkEnd w:id="0"/>
      <w:r w:rsidRPr="00A85B5D">
        <w:rPr>
          <w:rFonts w:ascii="Times New Roman" w:eastAsia="Times New Roman" w:hAnsi="Times New Roman" w:cs="Times New Roman"/>
          <w:b/>
          <w:bCs/>
          <w:kern w:val="0"/>
          <w:lang w:val="sq-AL"/>
          <w14:ligatures w14:val="none"/>
        </w:rPr>
        <w:t>RELACION PËR PROJEKTLIGJIN PËR STATUTIN E SHOQËRISË EVROPIANE (SE)</w:t>
      </w:r>
    </w:p>
    <w:p w14:paraId="2A1D0005"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I. QËLLIMI I PROJEKTAKTIT DHE OBJEKTIVAT QË SYNOHEN TË ARRIHEN</w:t>
      </w:r>
    </w:p>
    <w:p w14:paraId="3596850D" w14:textId="77777777" w:rsidR="00A85B5D" w:rsidRPr="000F122D"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85B5D">
        <w:rPr>
          <w:rFonts w:ascii="Times New Roman" w:eastAsia="Times New Roman" w:hAnsi="Times New Roman" w:cs="Times New Roman"/>
          <w:kern w:val="0"/>
          <w:lang w:val="sq-AL"/>
          <w14:ligatures w14:val="none"/>
        </w:rPr>
        <w:t xml:space="preserve">Projektligji “Për Statutin e Shoqërisë Evropiane (SE)” ka si qëllim kryesor krijimin e kuadrit ligjor </w:t>
      </w:r>
      <w:r w:rsidRPr="000F122D">
        <w:rPr>
          <w:rFonts w:ascii="Times New Roman" w:eastAsia="Times New Roman" w:hAnsi="Times New Roman" w:cs="Times New Roman"/>
          <w:kern w:val="0"/>
          <w:lang w:val="sq-AL"/>
          <w14:ligatures w14:val="none"/>
        </w:rPr>
        <w:t>të brendshëm për njohjen dhe funksionimin e formës evropiane të shoqërisë aksionare – Societas Europaea (SE) – në Republikën e Shqipërisë. Me anë të këtij akti synohet transpozimi i plotë në ligjin shqiptar i Rregullores së Këshillit (KE) nr. 2157/2001, datë 8 tetor 2001, “Për statutin e Shoqërisë Evropiane (SE)”, së bashku me zbatimin e kërkesave të Direktivës 2001/86/EC të Këshillit, datë 8 tetor 2001, “Për plotësimin e statutit të Shoqërisë Evropiane në lidhje me përfshirjen e punëmarrësve”. Kjo ndërhyrje ligjore vjen si nevojë e domosdoshme për të adresuar boshllëkun aktual ligjor: Shqipëria deri më sot nuk ka pasur dispozita për Shoqëritë Evropiane, çka pengon mbi 130,000 ndërmarrje aktive shqiptare të përfitojnë nga operacionet ndërkufitare dhe lehtësitë që ofron tregu i përbashkët evropian. Ndërhyrja e qeverisë në këtë drejtim është gjithashtu e diktuar nga detyrimet e integrimit evropian – konkretisht angazhimet e marra nga Shqipëria gjatë procesit të negociatave për anëtarësim në BE – për harmonizimin e legjislacionit tonë me acquis-në e BE-së në fushën e së drejtës së shoqërive tregtare (Kapitulli 6).</w:t>
      </w:r>
    </w:p>
    <w:p w14:paraId="6A7B1744" w14:textId="787B274F" w:rsidR="00A85B5D" w:rsidRPr="000F122D"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F122D">
        <w:rPr>
          <w:rFonts w:ascii="Times New Roman" w:eastAsia="Times New Roman" w:hAnsi="Times New Roman" w:cs="Times New Roman"/>
          <w:kern w:val="0"/>
          <w:lang w:val="sq-AL"/>
          <w14:ligatures w14:val="none"/>
        </w:rPr>
        <w:t xml:space="preserve">Objektivat specifike që synohen të arrihen me këtë projektligj janë: (i) Harmonizimi i plotë me legjislacionin evropian – përmbushja e masave të parashikuara në Planin Kombëtar të Integrimit Evropian (PKIE) dhe zotimeve të procesit të negociatave, duke transpozuar tërësisht Rregulloren (KE) nr. 2157/2001 brenda vitit 2025; (ii) Krijimi i kuadrit ligjor për themelimin dhe regjistrimin e Shoqërive Evropiane në Shqipëri – ofrimi i mundësisë për shoqëritë vendase dhe të huaja që plotësojnë kushtet të organizohen si SE me seli të regjistruar në Shqipëri, me personalitet juridik shqiptar, duke mundësuar ushtrimin e lirë të veprimtarisë së tyre në nivel ndërkufitar; (iii) Rritja e konkurrueshmërisë ekonomike dhe integrimi i biznesit shqiptar në tregun e brendshëm të BE-së – shfrytëzimi i avantazheve që ofron forma e SE-së për zgjerimin e operacioneve jashtë kufijve, për tërheqjen e investimeve të huaja dhe për krijimin e grupimeve ndërkombëtare të </w:t>
      </w:r>
      <w:r w:rsidR="00170019">
        <w:rPr>
          <w:rFonts w:ascii="Times New Roman" w:eastAsia="Times New Roman" w:hAnsi="Times New Roman" w:cs="Times New Roman"/>
          <w:kern w:val="0"/>
          <w:lang w:val="sq-AL"/>
          <w14:ligatures w14:val="none"/>
        </w:rPr>
        <w:t>shoqëri</w:t>
      </w:r>
      <w:r w:rsidRPr="000F122D">
        <w:rPr>
          <w:rFonts w:ascii="Times New Roman" w:eastAsia="Times New Roman" w:hAnsi="Times New Roman" w:cs="Times New Roman"/>
          <w:kern w:val="0"/>
          <w:lang w:val="sq-AL"/>
          <w14:ligatures w14:val="none"/>
        </w:rPr>
        <w:t>ve; (iv) Përfshirja e punëmarrësve sipas standardeve evropiane – garantimi i të drejtave të punonjësve për informim, konsultim dhe pjesëmarrje në organet drejtuese të SE-ve, në përputhje me parimet e Direktivës 2001/86/EC; si dhe (v) Forcimi i kapaciteteve institucionale dhe infrastrukturore – përgatitja e Qendrës Kombëtare të Biznesit (QKB) dhe organeve të tjera përgjegjëse me trajnimet dhe sistemet e nevojshme IT brenda afateve të përcaktuara (synohet ngritja e këtyre kapaciteteve brenda tremujorit të parë 2026). Përmes arritjes së këtyre objektivave, projektligji synon të nxisë rritjen ekonomike afatgjatë dhe të përmbushë standardet e BE-së, duke krijuar kushte që deri në vitin 2028 të jenë regjistruar të paktën 50 Shoqëri Evropiane në Shqipëri.</w:t>
      </w:r>
    </w:p>
    <w:p w14:paraId="0F3879DA"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II. VLERËSIMI I PROJEKTAKTIT NË RAPORT ME PROGRAMIN POLITIK TË KËSHILLIT TË MINISTRAVE, ME PROGRAMIN ANALITIK TË AKTEVE DHE DOKUMENTE TË TJERA POLITIKE</w:t>
      </w:r>
    </w:p>
    <w:p w14:paraId="04A75420" w14:textId="08521C97" w:rsidR="00A85B5D" w:rsidRPr="00A85B5D"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F122D">
        <w:rPr>
          <w:rFonts w:ascii="Times New Roman" w:eastAsia="Times New Roman" w:hAnsi="Times New Roman" w:cs="Times New Roman"/>
          <w:kern w:val="0"/>
          <w:lang w:val="sq-AL"/>
          <w14:ligatures w14:val="none"/>
        </w:rPr>
        <w:t xml:space="preserve">Ky projektakt gjen mbështetje të plotë në prioritetet e Programit Politik të Këshillit të Ministrave dhe dokumentet strategjike kombëtare që adresojnë integrimin evropian dhe zhvillimin ekonomik. Në Programin e Qeverisë 2021–2025 dhe strategjitë sektoriale për zhvillimin e biznesit, është parashikuar qartë se përafrimi i legjislacionit tregtar me standardet e BE-së dhe krijimi i lehtësirave për investimet ndërkufitare janë komponentë kyç për përmirësimin e klimës së biznesit dhe rritjen </w:t>
      </w:r>
      <w:r w:rsidRPr="000F122D">
        <w:rPr>
          <w:rFonts w:ascii="Times New Roman" w:eastAsia="Times New Roman" w:hAnsi="Times New Roman" w:cs="Times New Roman"/>
          <w:kern w:val="0"/>
          <w:lang w:val="sq-AL"/>
          <w14:ligatures w14:val="none"/>
        </w:rPr>
        <w:lastRenderedPageBreak/>
        <w:t>ekonomike të vendit. Në këtë drejtim, projektligji për Statutin e Shoqërisë Evropiane realizon një nga masat legjislative të planifikuara në kuadër të Planit Kombëtar për Integrimin Evropian (PKIE) – i cili në edicionin e tij 2024–2026 ka parashikuar hartimin dhe miratimin e legjislacionit për Shoqërinë Evropiane, masë kjo që vazhdon edhe në kornizën e re PKIE 2025–2027.</w:t>
      </w:r>
      <w:r w:rsidRPr="00A85B5D">
        <w:rPr>
          <w:rFonts w:ascii="Times New Roman" w:eastAsia="Times New Roman" w:hAnsi="Times New Roman" w:cs="Times New Roman"/>
          <w:kern w:val="0"/>
          <w:lang w:val="sq-AL"/>
          <w14:ligatures w14:val="none"/>
        </w:rPr>
        <w:t xml:space="preserve"> </w:t>
      </w:r>
    </w:p>
    <w:p w14:paraId="2252FE62" w14:textId="578BAEEC" w:rsidR="00A85B5D" w:rsidRPr="000F122D"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85B5D">
        <w:rPr>
          <w:rFonts w:ascii="Times New Roman" w:eastAsia="Times New Roman" w:hAnsi="Times New Roman" w:cs="Times New Roman"/>
          <w:kern w:val="0"/>
          <w:lang w:val="sq-AL"/>
          <w14:ligatures w14:val="none"/>
        </w:rPr>
        <w:t xml:space="preserve">Projektligji është plotësisht i përputhshëm me </w:t>
      </w:r>
      <w:r w:rsidRPr="00A85B5D">
        <w:rPr>
          <w:rFonts w:ascii="Times New Roman" w:eastAsia="Times New Roman" w:hAnsi="Times New Roman" w:cs="Times New Roman"/>
          <w:b/>
          <w:bCs/>
          <w:kern w:val="0"/>
          <w:lang w:val="sq-AL"/>
          <w14:ligatures w14:val="none"/>
        </w:rPr>
        <w:t>prioritetet politike të Këshillit të Ministrave</w:t>
      </w:r>
      <w:r w:rsidRPr="00A85B5D">
        <w:rPr>
          <w:rFonts w:ascii="Times New Roman" w:eastAsia="Times New Roman" w:hAnsi="Times New Roman" w:cs="Times New Roman"/>
          <w:kern w:val="0"/>
          <w:lang w:val="sq-AL"/>
          <w14:ligatures w14:val="none"/>
        </w:rPr>
        <w:t xml:space="preserve"> </w:t>
      </w:r>
      <w:r w:rsidRPr="000F122D">
        <w:rPr>
          <w:rFonts w:ascii="Times New Roman" w:eastAsia="Times New Roman" w:hAnsi="Times New Roman" w:cs="Times New Roman"/>
          <w:kern w:val="0"/>
          <w:lang w:val="sq-AL"/>
          <w14:ligatures w14:val="none"/>
        </w:rPr>
        <w:t>lidhur me integrimin evropian dhe reformat ekonomike. Ai materializon një nga angazhimet konkrete të qeverisë shqiptare në negociatat e anëtarësimit – konkretisht angazhimin për krijimin e kuadrit ligjor të SE-ve brenda afatit tre-vjeçar (2023–2025), të deklaruar nga Shqipëria gjatë takimit dypalësh të screening-ut për Kapitullin 6 në shkurt 2023. Për më tepër, kjo nismë legjislative kontribuon drejtpërdrejt në zbatimin e objektivave të dokumenteve strategjike kombëtare si Strategjia e Zhvillimit të Biznesit dhe Investimeve 2021–2027, e cila parashikon nxitjen e investimeve të huaja dhe lehtësimin e bashkëpunimit ndërkombëtar të bizneseve. Duke krijuar mekanizmat ligjorë për lëvizjen e lirë ndërkufitare të subjekteve juridike brenda tregut të brendshëm evropian, projektligji kontribuon si në integrimin ekonomik rajonal të Shqipërisë, që mbështesin rrugëtimin drejt anëtarësimit në BE.</w:t>
      </w:r>
    </w:p>
    <w:p w14:paraId="64F5B643"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III. ARGUMENTIMI I PROJEKTAKTIT LIDHUR ME PËRPARËSITË, PROBLEMATIKAT, EFEKTET E PRITSHME</w:t>
      </w:r>
    </w:p>
    <w:p w14:paraId="415E1F2D" w14:textId="3FC674A1" w:rsidR="00A85B5D" w:rsidRPr="00FE38CA"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E38CA">
        <w:rPr>
          <w:rFonts w:ascii="Times New Roman" w:eastAsia="Times New Roman" w:hAnsi="Times New Roman" w:cs="Times New Roman"/>
          <w:kern w:val="0"/>
          <w:lang w:val="sq-AL"/>
          <w14:ligatures w14:val="none"/>
        </w:rPr>
        <w:t xml:space="preserve">Projektligji argumentohet nga një sërë faktorësh që lidhen me përparësitë strategjike dhe adresimin e problematikave ekzistuese. Së pari, përparësia kryesore e kësaj ndërhyrjeje është forcimi i harmonizimit ligjor me acquis communautaire të Bashkimit Evropian në fushën e së drejtës së shoqërive tregtare. Mungesa e deritanishme e dispozitave mbi Shoqëritë Evropiane e vendos Shqipërinë në pozitë jo të favorshme krahasuar me vendet e BE-së, pasi krijon boshllëk në harmonizimin me Kapitullin 6 dhe pengon </w:t>
      </w:r>
      <w:r w:rsidR="00170019">
        <w:rPr>
          <w:rFonts w:ascii="Times New Roman" w:eastAsia="Times New Roman" w:hAnsi="Times New Roman" w:cs="Times New Roman"/>
          <w:kern w:val="0"/>
          <w:lang w:val="sq-AL"/>
          <w14:ligatures w14:val="none"/>
        </w:rPr>
        <w:t>shoqëri</w:t>
      </w:r>
      <w:r w:rsidRPr="00FE38CA">
        <w:rPr>
          <w:rFonts w:ascii="Times New Roman" w:eastAsia="Times New Roman" w:hAnsi="Times New Roman" w:cs="Times New Roman"/>
          <w:kern w:val="0"/>
          <w:lang w:val="sq-AL"/>
          <w14:ligatures w14:val="none"/>
        </w:rPr>
        <w:t>të tona të shfrytëzojnë mundësitë e ofruara nga kjo formë juridike. Transpozimi i Rregullores SE dhe Direktivës së përfshirjes së punonjësve do të përmbushë një detyrim integrues dhe do të mbyllë një nga mangësitë e identifikuara në raportet e progresit të Komisionit Evropian. Njëkohësisht, përparësi kombëtare është rritja e konkurrueshmërisë dhe tërheqja e investimeve: duke mundësuar krijimin e Shoqërive Evropiane në Shqipëri, bizneset vendase do të kenë një instrument ligjor më shumë për t’u zgjeruar në tregjet e huaja, ndërsa grupet ndërkombëtare do ta kenë më të lehtë të vendosen në Shqipëri në formën e një shoqërie së bashkuar evropiane. Kjo pritet të sjellë rritje të investimeve të huaja direkte dhe integrimin e mëtejshëm të ekonomisë shqiptare me atë të BE-së, pasi SE-ja ofron unifikim të identitetit ligjor dhe fleksibilitet organizativ për operim ndërkufitar (përvoja në vende si Gjermania tregon se SE-të kanë mundësuar zgjerim ndërkombëtar të firmave dhe ulje të kostove administrative për grupet shumëkombëshe).</w:t>
      </w:r>
    </w:p>
    <w:p w14:paraId="52DEDE55" w14:textId="168C7487" w:rsidR="00A85B5D" w:rsidRPr="00FE38CA"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E38CA">
        <w:rPr>
          <w:rFonts w:ascii="Times New Roman" w:eastAsia="Times New Roman" w:hAnsi="Times New Roman" w:cs="Times New Roman"/>
          <w:kern w:val="0"/>
          <w:lang w:val="sq-AL"/>
          <w14:ligatures w14:val="none"/>
        </w:rPr>
        <w:t xml:space="preserve">Nga ana tjetër, problematikat e adresuara lidhen kryesisht me boshllëkun ekzistues ligjor dhe implikimet negative të status quo-së aktuale. Aktualisht, asnjë ndërmarrje shqiptare apo e huaj në vend nuk mund të adoptojë formën e SE-së, gjë që kufizon operacionet e tyre ndërkufitare dhe mundësitë për zgjerim e efikasitet në tregun e BE-së. Kjo situatë i detyron </w:t>
      </w:r>
      <w:r w:rsidR="00170019">
        <w:rPr>
          <w:rFonts w:ascii="Times New Roman" w:eastAsia="Times New Roman" w:hAnsi="Times New Roman" w:cs="Times New Roman"/>
          <w:kern w:val="0"/>
          <w:lang w:val="sq-AL"/>
          <w14:ligatures w14:val="none"/>
        </w:rPr>
        <w:t>shoqëri</w:t>
      </w:r>
      <w:r w:rsidRPr="00FE38CA">
        <w:rPr>
          <w:rFonts w:ascii="Times New Roman" w:eastAsia="Times New Roman" w:hAnsi="Times New Roman" w:cs="Times New Roman"/>
          <w:kern w:val="0"/>
          <w:lang w:val="sq-AL"/>
          <w14:ligatures w14:val="none"/>
        </w:rPr>
        <w:t xml:space="preserve">të e interesuara ose të kufizohen brenda formave kombëtare (p.sh. shoqëri aksionare shqiptare) ose të regjistrojnë seli jashtë Shqipërisë për të krijuar një SE sipas legjislacioneve të huaja – një zgjidhje e komplikuar dhe me humbje për ekonominë kombëtare. Shkaqet e kësaj problematike deri më tani kanë qenë mungesa e transpozimit të acquis-së për SE-në, kapacitetet administrative të kufizuara dhe </w:t>
      </w:r>
      <w:r w:rsidRPr="00FE38CA">
        <w:rPr>
          <w:rFonts w:ascii="Times New Roman" w:eastAsia="Times New Roman" w:hAnsi="Times New Roman" w:cs="Times New Roman"/>
          <w:kern w:val="0"/>
          <w:lang w:val="sq-AL"/>
          <w14:ligatures w14:val="none"/>
        </w:rPr>
        <w:lastRenderedPageBreak/>
        <w:t>prioritarizimi jo i mjaftueshëm i kësaj çështjeje në të kaluarën. Siç evidentohet edhe nga analiza e kryer me mbështetjen e projektit SANECA II gjatë vitit 2024, kuadri ynë ligjor kishte mangësi të qenësishme në Kapitullin 6 dhe duhej një ndërhyrje e mirëstrukturuar për të akomoduar format evropiane të shoqërive. Ky projektligj i jep zgjidhje kësaj problematike, duke ofruar rregulla të qarta dhe gjithëpërfshirëse për themelimin, regjistrimin, funksionimin dhe shuarjen e SE-ve në Shqipëri, në përputhje me modelet më të mira evropiane.</w:t>
      </w:r>
    </w:p>
    <w:p w14:paraId="4B044CAD" w14:textId="77777777" w:rsidR="00A85B5D" w:rsidRPr="00FE38CA"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E38CA">
        <w:rPr>
          <w:rFonts w:ascii="Times New Roman" w:eastAsia="Times New Roman" w:hAnsi="Times New Roman" w:cs="Times New Roman"/>
          <w:kern w:val="0"/>
          <w:lang w:val="sq-AL"/>
          <w14:ligatures w14:val="none"/>
        </w:rPr>
        <w:t>Efektet e pritshme nga miratimi i projektligjit janë shumëplanëshe:</w:t>
      </w:r>
    </w:p>
    <w:p w14:paraId="7EFE74F7" w14:textId="77777777" w:rsidR="00A85B5D" w:rsidRPr="00FE38CA" w:rsidRDefault="00A85B5D" w:rsidP="00A85B5D">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E38CA">
        <w:rPr>
          <w:rFonts w:ascii="Times New Roman" w:eastAsia="Times New Roman" w:hAnsi="Times New Roman" w:cs="Times New Roman"/>
          <w:i/>
          <w:iCs/>
          <w:kern w:val="0"/>
          <w:lang w:val="sq-AL"/>
          <w14:ligatures w14:val="none"/>
        </w:rPr>
        <w:t>Në aspektin ekonomik</w:t>
      </w:r>
      <w:r w:rsidRPr="00FE38CA">
        <w:rPr>
          <w:rFonts w:ascii="Times New Roman" w:eastAsia="Times New Roman" w:hAnsi="Times New Roman" w:cs="Times New Roman"/>
          <w:kern w:val="0"/>
          <w:lang w:val="sq-AL"/>
          <w14:ligatures w14:val="none"/>
        </w:rPr>
        <w:t>: Pritet stimulimi i aktiviteteve ndërkufitare të bizneseve shqiptare, pasi ato do të kenë mundësi të kryejnë bashkime me shoqëri të tjera në BE, të transferojnë selinë ligjore jashtë kufijve pa humbur personalitetin juridik dhe të krijojnë struktura holding me partnerë të huaj brenda një kuadri të sigurt ligjor. Kjo do të rrisë eficiencën operacionale dhe mundësinë për zgjerim të tyre në tregje të reja. Për më tepër, vendosja e një statuti evropian në Shqipëri mund të tërheqë investitorë të huaj e grupe ndërkombëtare që preferojnë fleksibilitetin e SE-së, duke rezultuar në rritje investimesh e krijim vendesh të reja pune. Objektivi i shpallur i 50 regjistrimeve SE brenda vitit 2028 do të jetë një tregues konkret i këtij efekti.</w:t>
      </w:r>
    </w:p>
    <w:p w14:paraId="02DA2C0F" w14:textId="77777777" w:rsidR="00A85B5D" w:rsidRPr="00FE38CA" w:rsidRDefault="00A85B5D" w:rsidP="00A85B5D">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E38CA">
        <w:rPr>
          <w:rFonts w:ascii="Times New Roman" w:eastAsia="Times New Roman" w:hAnsi="Times New Roman" w:cs="Times New Roman"/>
          <w:i/>
          <w:iCs/>
          <w:kern w:val="0"/>
          <w:lang w:val="sq-AL"/>
          <w14:ligatures w14:val="none"/>
        </w:rPr>
        <w:t>Në aspektin ligjor dhe integrues</w:t>
      </w:r>
      <w:r w:rsidRPr="00FE38CA">
        <w:rPr>
          <w:rFonts w:ascii="Times New Roman" w:eastAsia="Times New Roman" w:hAnsi="Times New Roman" w:cs="Times New Roman"/>
          <w:kern w:val="0"/>
          <w:lang w:val="sq-AL"/>
          <w14:ligatures w14:val="none"/>
        </w:rPr>
        <w:t>: Do të arrihet një përafrim i plotë me acquis-në e BE-së për sa i takon Statutit të SE-së, çka do të reflektohet pozitivisht në raportet e progresit dhe do të mbyllë një nga detyrimet e Kapitullit 6 (shoqëritë tregtare). Kjo forcon pozicionin negociues të Shqipërisë dhe zvogëlon rrezikun e pengesave apo vonesave në procesin e anëtarësimit, duke qenë se një detyrim i tillë tashmë konsiderohet i përmbushur brenda vitit 2025. Në të njëjtën kohë, projektligji kontribuon edhe në Kapitullin 19 (politikat sociale dhe punësimi) përmes zbatimit të Direktivës për përfshirjen e punonjësve, duke forcuar standardet e mbrojtjes së të drejtave të punëtorëve në korporatat e mëdha. Kjo përputhet me objektivat socialë të Qeverisë për dialogun social dhe mbrojtjen e punëmarrësve.</w:t>
      </w:r>
    </w:p>
    <w:p w14:paraId="06D8E689" w14:textId="77777777" w:rsidR="00A85B5D" w:rsidRPr="00FE38CA" w:rsidRDefault="00A85B5D" w:rsidP="00A85B5D">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E38CA">
        <w:rPr>
          <w:rFonts w:ascii="Times New Roman" w:eastAsia="Times New Roman" w:hAnsi="Times New Roman" w:cs="Times New Roman"/>
          <w:i/>
          <w:iCs/>
          <w:kern w:val="0"/>
          <w:lang w:val="sq-AL"/>
          <w14:ligatures w14:val="none"/>
        </w:rPr>
        <w:t>Në aspektin institucional</w:t>
      </w:r>
      <w:r w:rsidRPr="00FE38CA">
        <w:rPr>
          <w:rFonts w:ascii="Times New Roman" w:eastAsia="Times New Roman" w:hAnsi="Times New Roman" w:cs="Times New Roman"/>
          <w:kern w:val="0"/>
          <w:lang w:val="sq-AL"/>
          <w14:ligatures w14:val="none"/>
        </w:rPr>
        <w:t>: Pritet që QKB dhe institucionet e tjera të përfshira të forcojnë kapacitetet e tyre dhe të fitojnë përvojë në administrimin e formave të reja juridike komplekse, gjë që do të ketë efekt pozitiv edhe në cilësinë e shërbimeve për biznesin në përgjithësi. Projektligji parashikon edhe mekanizma për bashkëveprimin e institucioneve (p.sh. detyrimi i QKB-së për të njoftuar Zyrën së Botimeve Zyrtare të BE për çdo regjistrim SE, apo koordinimi me autoritetet rregullatore financiare për SE-të në sektorët e mbikëqyrur) – këto rregulla do të rrisin efikasitetin dhe transparencën e procesit të zbatimit.</w:t>
      </w:r>
    </w:p>
    <w:p w14:paraId="0391E133"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IV. VLERËSIMI I LIGJSHMËRISË, KUSHTETUTSHMËRISË DHE HARMONIZIMI ME LEGJISLACIONIN NË FUQI VENDAS E NDËRKOMBËTAR</w:t>
      </w:r>
    </w:p>
    <w:p w14:paraId="0E7913CF" w14:textId="77777777" w:rsidR="00A85B5D" w:rsidRPr="00FD1DF9"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D1DF9">
        <w:rPr>
          <w:rFonts w:ascii="Times New Roman" w:eastAsia="Times New Roman" w:hAnsi="Times New Roman" w:cs="Times New Roman"/>
          <w:kern w:val="0"/>
          <w:lang w:val="sq-AL"/>
          <w14:ligatures w14:val="none"/>
        </w:rPr>
        <w:t xml:space="preserve">Projektligji është përgatitur duke u mbështetur në parimet kushtetuese dhe në bazë të kompetencave ligjore të organeve shtetërore. Hartimi dhe propozimi i tij bëhet nga Këshilli i Ministrave, në zbatim të nenit 78 dhe nenit 83, pika 1 të Kushtetutës, që sanksionojnë të drejtën e Këshillit të Ministrave për të propozuar ligje dhe procedurën e miratimit të tyre me shumicë të thjeshtë nga Kuvendi. Nga pikëpamja formale, projektligji është në përputhje të plotë me Kushtetutën e Republikës së Shqipërisë – ai respekton parimin e ligjshmërisë (rregullon një fushë që kërkon rregullim me ligj), nuk cenon liritë dhe të drejtat kushtetuese të subjekteve private, por përkundrazi garanton lirinë e veprimtarisë ekonomike dhe të drejtën e subjekteve për t’u </w:t>
      </w:r>
      <w:r w:rsidRPr="00FD1DF9">
        <w:rPr>
          <w:rFonts w:ascii="Times New Roman" w:eastAsia="Times New Roman" w:hAnsi="Times New Roman" w:cs="Times New Roman"/>
          <w:kern w:val="0"/>
          <w:lang w:val="sq-AL"/>
          <w14:ligatures w14:val="none"/>
        </w:rPr>
        <w:lastRenderedPageBreak/>
        <w:t>organizuar në forma shoqërore të njohura me ligj (neni 11 i Kushtetutës). Dispozitat e projektligjit nuk bien ndesh me parimin e sigurisë juridike apo atë të barazisë përpara ligjit – trajtimi i krijimit të SE-ve bëhet mbi baza të njëjta për të gjithë subjektet që plotësojnë kushtet, pa diskriminim. Gjithashtu, parashikimi eksplicit që i gjithë ligji do të shfuqizohet në momentin e anëtarësimit në BE garanton që në atë fazë do të respektohet parimi i supremacisë së së drejtës evropiane (Rregullorja (KE) 2157/2001 do të zbatohet drejtpërdrejt).</w:t>
      </w:r>
    </w:p>
    <w:p w14:paraId="55F99B1A" w14:textId="77777777" w:rsidR="00A85B5D" w:rsidRPr="00FD1DF9"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D1DF9">
        <w:rPr>
          <w:rFonts w:ascii="Times New Roman" w:eastAsia="Times New Roman" w:hAnsi="Times New Roman" w:cs="Times New Roman"/>
          <w:kern w:val="0"/>
          <w:lang w:val="sq-AL"/>
          <w14:ligatures w14:val="none"/>
        </w:rPr>
        <w:t xml:space="preserve">Sa i takon harmonizimit me legjislacionin kombëtar në fuqi, projektligji është hartuar në mënyrë komplementare me aktet ekzistuese, pa i cenuar ato. Në veçanti, ky ligj plotëson Ligjin nr. 9901, datë 14.04.2008 “Për tregtarët dhe shoqëritë tregtare”, i ndryshuar, duke u aplikuar paralelisht me të për ato çështje që kanë specifikë për Shoqëritë Evropiane. Parimi i ndjekur është se, </w:t>
      </w:r>
      <w:r w:rsidRPr="00FD1DF9">
        <w:rPr>
          <w:rFonts w:ascii="Times New Roman" w:eastAsia="Times New Roman" w:hAnsi="Times New Roman" w:cs="Times New Roman"/>
          <w:i/>
          <w:iCs/>
          <w:kern w:val="0"/>
          <w:lang w:val="sq-AL"/>
          <w14:ligatures w14:val="none"/>
        </w:rPr>
        <w:t>kur Rregullorja e SE-së ose ky ligj nuk parashikojnë ndryshe</w:t>
      </w:r>
      <w:r w:rsidRPr="00FD1DF9">
        <w:rPr>
          <w:rFonts w:ascii="Times New Roman" w:eastAsia="Times New Roman" w:hAnsi="Times New Roman" w:cs="Times New Roman"/>
          <w:kern w:val="0"/>
          <w:lang w:val="sq-AL"/>
          <w14:ligatures w14:val="none"/>
        </w:rPr>
        <w:t>, do të zbatohen rregullat e përgjithshme të ligjit shqiptar për shoqëritë tregtare. Kjo siguron një koherencë të plotë me kuadrin ekzistues: procedurat e regjistrimit në QKB, format e veprimit të organeve drejtuese, të drejtat e aksionarëve, përgatitja e pasqyrave financiare, shpërndarja e fitimeve, etj., do të mbeten të mbuluara nga legjislacioni aktual shqiptar (Ligji i shoqërive tregtare, ligji i regjistrimit të biznesit, ligji i falimentimit, etj.), përveç rasteve ku ky projektligj imponon rregulla specifike për SE-në. Në këtë mënyrë evitohet krijimi i konflikteve normativë ose vakume ligjore.</w:t>
      </w:r>
    </w:p>
    <w:p w14:paraId="5E016960" w14:textId="0D0DDC98" w:rsidR="00A85B5D" w:rsidRPr="00FD1DF9" w:rsidRDefault="00A85B5D" w:rsidP="00FD1DF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D1DF9">
        <w:rPr>
          <w:rFonts w:ascii="Times New Roman" w:eastAsia="Times New Roman" w:hAnsi="Times New Roman" w:cs="Times New Roman"/>
          <w:kern w:val="0"/>
          <w:lang w:val="sq-AL"/>
          <w14:ligatures w14:val="none"/>
        </w:rPr>
        <w:t>Në aspektin e harmonizimit me legjislacionin ndërkombëtar dhe të BE-së, ky projektligj përbën vetë mjetin e transpozimit të normave evropiane në sistemin juridik shqiptar. Ai ka si burim kryesor legjislacionin e Bashkimit Evropian, konkretisht</w:t>
      </w:r>
      <w:r w:rsidR="00FD1DF9">
        <w:rPr>
          <w:rFonts w:ascii="Times New Roman" w:eastAsia="Times New Roman" w:hAnsi="Times New Roman" w:cs="Times New Roman"/>
          <w:kern w:val="0"/>
          <w:lang w:val="sq-AL"/>
          <w14:ligatures w14:val="none"/>
        </w:rPr>
        <w:t xml:space="preserve"> </w:t>
      </w:r>
      <w:r w:rsidRPr="00FD1DF9">
        <w:rPr>
          <w:rFonts w:ascii="Times New Roman" w:eastAsia="Times New Roman" w:hAnsi="Times New Roman" w:cs="Times New Roman"/>
          <w:kern w:val="0"/>
          <w:lang w:val="sq-AL"/>
          <w14:ligatures w14:val="none"/>
        </w:rPr>
        <w:t>Rregullorja (KE) nr. 2157/2001 e Këshillit, datë 8.10.2001 “Për statutin e Shoqërisë Evropiane (SE)”, e cila përcakton rregullat themelore për krijimin dhe funksionimin e SE-ve në vendet anëtare. Projektligji ynë e transpozon këtë Rregullore thuajse fjalë për fjalë në pjesët e saj thelbësore, duke adresuar në tekstin e ligjit të gjitha çështjet që Rregullorja i lë në kompetencë të legjislacioneve kombëtare (si p.sh. procedurat e detajuara të regjistrimit dhe publikimit, mekanizmat e mbrojtjes së kreditorëve dhe aksionarëve gjatë transferimit të selisë apo bashkimit, rregullat për raportet ndërmjet organeve drejtuese, etj.). Gjithashtu parashikohen shprehimisht edhe dispozitat e nevojshme lidhur me përdorimin e euros si monedhë e kapitalit dhe pragun minimal të kapitalit (120,000 €) sipas kërkesave të Rregullores.</w:t>
      </w:r>
    </w:p>
    <w:p w14:paraId="302AF46E" w14:textId="4CC9194E" w:rsidR="00A85B5D" w:rsidRPr="00FD1DF9"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D1DF9">
        <w:rPr>
          <w:rFonts w:ascii="Times New Roman" w:eastAsia="Times New Roman" w:hAnsi="Times New Roman" w:cs="Times New Roman"/>
          <w:kern w:val="0"/>
          <w:lang w:val="sq-AL"/>
          <w14:ligatures w14:val="none"/>
        </w:rPr>
        <w:t xml:space="preserve">Mbi bazën e sa më sipër, mund të konkludohet se projektligji është ligjërisht i qëndrueshëm, në përputhje me Kushtetutën dhe me parimet e sistemit tonë juridik. Ai respekton hierarkinë e burimeve ligjore (është ligj i zakonshëm që mbështetet në normat kushtetuese për legjislacionin në fushën ekonomike), dhe është hartuar me kujdes në mënyrë që të mos krijojë mbivendosje apo konflikt me ligjet ekzistuese, por vetëm t’i plotësojë ato për rastet specifike të Shoqërive Evropiane. Në aspektin e harmonizimit ndërkombëtar, ky akt njëkohësisht implementon detyrimet nga marrëveshjet dhe iniciativat integruese (p.sh. Marrëveshja e Stabilizim-Asociimit kërkon përafrimin e legjislacionit në fushën e </w:t>
      </w:r>
      <w:r w:rsidR="00170019">
        <w:rPr>
          <w:rFonts w:ascii="Times New Roman" w:eastAsia="Times New Roman" w:hAnsi="Times New Roman" w:cs="Times New Roman"/>
          <w:kern w:val="0"/>
          <w:lang w:val="sq-AL"/>
          <w14:ligatures w14:val="none"/>
        </w:rPr>
        <w:t>shoqëri</w:t>
      </w:r>
      <w:r w:rsidRPr="00FD1DF9">
        <w:rPr>
          <w:rFonts w:ascii="Times New Roman" w:eastAsia="Times New Roman" w:hAnsi="Times New Roman" w:cs="Times New Roman"/>
          <w:kern w:val="0"/>
          <w:lang w:val="sq-AL"/>
          <w14:ligatures w14:val="none"/>
        </w:rPr>
        <w:t xml:space="preserve">ve, dhe ky ligj kontribuon drejt këtij objektivi). </w:t>
      </w:r>
    </w:p>
    <w:p w14:paraId="7AEFE305"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 xml:space="preserve">V. VLERËSIMI I SHKALLËS SË PËRAFRIMIT ME </w:t>
      </w:r>
      <w:r w:rsidRPr="00A85B5D">
        <w:rPr>
          <w:rFonts w:ascii="Times New Roman" w:eastAsia="Times New Roman" w:hAnsi="Times New Roman" w:cs="Times New Roman"/>
          <w:b/>
          <w:bCs/>
          <w:i/>
          <w:iCs/>
          <w:kern w:val="0"/>
          <w:lang w:val="sq-AL"/>
          <w14:ligatures w14:val="none"/>
        </w:rPr>
        <w:t>ACQUIS COMMUNAUTAIRE</w:t>
      </w:r>
    </w:p>
    <w:p w14:paraId="75014937" w14:textId="50E87003" w:rsidR="00A85B5D" w:rsidRPr="00FD1DF9" w:rsidRDefault="00A85B5D" w:rsidP="00FD1DF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D1DF9">
        <w:rPr>
          <w:rFonts w:ascii="Times New Roman" w:eastAsia="Times New Roman" w:hAnsi="Times New Roman" w:cs="Times New Roman"/>
          <w:kern w:val="0"/>
          <w:lang w:val="sq-AL"/>
          <w14:ligatures w14:val="none"/>
        </w:rPr>
        <w:t>Shkalla e përafrimit të këtij projektakti me acquis communautaire është 100%, pasi siç u përmend, ai transpozon drejtpërdrejt aktet kryesore të Bashkimit Evropian që rregullojnë Statutin e Shoqërisë Evropiane (SE). Konkretisht, përmes këtij projektligji</w:t>
      </w:r>
      <w:r w:rsidR="00FD1DF9">
        <w:rPr>
          <w:rFonts w:ascii="Times New Roman" w:eastAsia="Times New Roman" w:hAnsi="Times New Roman" w:cs="Times New Roman"/>
          <w:kern w:val="0"/>
          <w:lang w:val="sq-AL"/>
          <w14:ligatures w14:val="none"/>
        </w:rPr>
        <w:t xml:space="preserve"> t</w:t>
      </w:r>
      <w:r w:rsidRPr="00FD1DF9">
        <w:rPr>
          <w:rFonts w:ascii="Times New Roman" w:eastAsia="Times New Roman" w:hAnsi="Times New Roman" w:cs="Times New Roman"/>
          <w:kern w:val="0"/>
          <w:lang w:val="sq-AL"/>
          <w14:ligatures w14:val="none"/>
        </w:rPr>
        <w:t xml:space="preserve">ranspozohet plotësisht Rregullorja (KE) nr. 2157/2001 – të gjitha kërkesat, parimet dhe procedurat e parashikuara në këtë </w:t>
      </w:r>
      <w:r w:rsidRPr="00FD1DF9">
        <w:rPr>
          <w:rFonts w:ascii="Times New Roman" w:eastAsia="Times New Roman" w:hAnsi="Times New Roman" w:cs="Times New Roman"/>
          <w:kern w:val="0"/>
          <w:lang w:val="sq-AL"/>
          <w14:ligatures w14:val="none"/>
        </w:rPr>
        <w:lastRenderedPageBreak/>
        <w:t>Rregullore janë inkorporuar në tekstin e ligjit. Shumë prej neneve të projektligjit pasqyrojnë term pas termi dispozitat e Rregullores, duke siguruar një harmonizim të plotë material. Për shembull, kushtet e themelimit të një SE nëpërmjet bashkimit apo krijimit të një holdingu pasqyrohen në nenet përkatëse në përputhje me nenet e Rregullores; detyrimi për kapital minimal prej 120,000 € është marrë nga neni 4 i Rregullores; procedura e transferimit të selisë së regjistruar jashtë shtetit është e rregulluar hap pas hapi sipas nenit 8 të Rregullores; po ashtu, përcaktohet qartë se një SE trajtohet si shoqëri aksionare publike shqiptare për çdo çështje të pambuluar (parim që buron nga neni 10 i Rregullores).</w:t>
      </w:r>
    </w:p>
    <w:p w14:paraId="4D62C6B4" w14:textId="70C32847" w:rsidR="00A85B5D" w:rsidRPr="00FD1DF9" w:rsidRDefault="00FD1DF9" w:rsidP="00FD1DF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D1DF9">
        <w:rPr>
          <w:rFonts w:ascii="Times New Roman" w:eastAsia="Times New Roman" w:hAnsi="Times New Roman" w:cs="Times New Roman"/>
          <w:kern w:val="0"/>
          <w:lang w:val="sq-AL"/>
          <w14:ligatures w14:val="none"/>
        </w:rPr>
        <w:t>Gjithashtu projektligji hap rrugën që në të ardhmen të t</w:t>
      </w:r>
      <w:r w:rsidR="00A85B5D" w:rsidRPr="00FD1DF9">
        <w:rPr>
          <w:rFonts w:ascii="Times New Roman" w:eastAsia="Times New Roman" w:hAnsi="Times New Roman" w:cs="Times New Roman"/>
          <w:kern w:val="0"/>
          <w:lang w:val="sq-AL"/>
          <w14:ligatures w14:val="none"/>
        </w:rPr>
        <w:t>ranspozohet plotësisht Direktiva 2001/86/EC – lidhur me përfshirjen e punëmarrësve, projektligji garanton se të drejtat ekzistuese të punonjësve në proceset e themelimit të një SE-je (p.sh. nëpërmjet bashkimit) nuk do të jenë më të vogla se ato që do të kishin në rast se shoqëritë nuk do të ishin përfshirë në SE. Nenet 24 dhe 25 të projektligjit, si dhe referenca në nenin 3, parashikojnë qartë që çështjet e përfaqësimit të punonjësve duhet të zgjidhen si kusht paraprak për regjistrimin e një SE-je në rast bashkimi. Në këtë mënyrë sigurohet se dispozitat e Direktivës (p.sh. detyrimi për negocim të një marrëveshjeje mbi përfshirjen e punonjësve para themelimit të SE-së) janë reflektuar.</w:t>
      </w:r>
    </w:p>
    <w:p w14:paraId="616DCDD1" w14:textId="77777777" w:rsidR="00A85B5D" w:rsidRPr="00D9283B"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Përtej këtyre, projektligji merr parasysh edhe aktet e tjera të acquis-së që kanë lidhje me këtë fushë. P.sh., i referohet kërkesave të Direktivës (BE) 2017/1132 sa herë që bëhet fjalë për procedurat e bashkimeve dhe ndarjeve të shoqërive (këto dispozita të Direktivës janë tashmë pjesë e ligjit tonë të shoqërive tregtare). Në projektligj thuhet se dispozitat e ligjit shqiptar për bashkimet zbatohen </w:t>
      </w:r>
      <w:r w:rsidRPr="00D9283B">
        <w:rPr>
          <w:rFonts w:ascii="Times New Roman" w:eastAsia="Times New Roman" w:hAnsi="Times New Roman" w:cs="Times New Roman"/>
          <w:i/>
          <w:iCs/>
          <w:kern w:val="0"/>
          <w:lang w:val="sq-AL"/>
          <w14:ligatures w14:val="none"/>
        </w:rPr>
        <w:t>mutatis mutandis</w:t>
      </w:r>
      <w:r w:rsidRPr="00D9283B">
        <w:rPr>
          <w:rFonts w:ascii="Times New Roman" w:eastAsia="Times New Roman" w:hAnsi="Times New Roman" w:cs="Times New Roman"/>
          <w:kern w:val="0"/>
          <w:lang w:val="sq-AL"/>
          <w14:ligatures w14:val="none"/>
        </w:rPr>
        <w:t xml:space="preserve"> edhe për SE-të, që nënkupton se edhe ato pjesë të acquis-së (të transpozuara në ligjin ekzistues) do të vlejnë për SE-të. Gjithashtu, në fushën e raportimit financiar, edhe pse Shqipëria nuk e ka detyrim ende zbatimin e rregullores së BE-së për standardet financiare, projektligji parashikon që SE-të t’u nënshtrohen rregullave kombëtare për pasqyrat financiare dhe auditimin, të cilat tashmë janë në linjë me direktivat e BE-së në këtë sektor.</w:t>
      </w:r>
    </w:p>
    <w:p w14:paraId="4C7DB061" w14:textId="6151FB34" w:rsidR="00A85B5D" w:rsidRPr="00D9283B"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Në vlerësim të përgjithshëm, projektligji përafron plotësisht acquis-në e Kapitullit 6 lidhur me format evropiane të organizimit të shoqërive tregtare. </w:t>
      </w:r>
    </w:p>
    <w:p w14:paraId="0CE450D5"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VI. PËRMBLEDHJE SHPJEGUESE E PËRMBAJTJES SË PROJEKTAKTIT (NEN PËR NEN)</w:t>
      </w:r>
    </w:p>
    <w:p w14:paraId="2DFDBBD2" w14:textId="77777777" w:rsidR="00A85B5D" w:rsidRPr="00D9283B"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Projektligji është i strukturuar në 5 Kre (Kreu I – Kreu V) dhe disa pjesë të brendshme, për një total prej 54 nenesh. Më poshtë jepet një përmbledhje e përmbajtjes së tij, nen për nen, sipas strukturës së ndarjeve kryesore:</w:t>
      </w:r>
    </w:p>
    <w:p w14:paraId="7A1B22DB" w14:textId="77777777" w:rsidR="00A85B5D" w:rsidRPr="00D9283B" w:rsidRDefault="00A85B5D" w:rsidP="00A85B5D">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Kreu I (Nenet 1–4) – </w:t>
      </w:r>
      <w:r w:rsidRPr="00D9283B">
        <w:rPr>
          <w:rFonts w:ascii="Times New Roman" w:eastAsia="Times New Roman" w:hAnsi="Times New Roman" w:cs="Times New Roman"/>
          <w:i/>
          <w:iCs/>
          <w:kern w:val="0"/>
          <w:lang w:val="sq-AL"/>
          <w14:ligatures w14:val="none"/>
        </w:rPr>
        <w:t>Fusha e zbatimit, selia e regjistruar, regjistrimi dhe publikimet</w:t>
      </w:r>
      <w:r w:rsidRPr="00D9283B">
        <w:rPr>
          <w:rFonts w:ascii="Times New Roman" w:eastAsia="Times New Roman" w:hAnsi="Times New Roman" w:cs="Times New Roman"/>
          <w:kern w:val="0"/>
          <w:lang w:val="sq-AL"/>
          <w14:ligatures w14:val="none"/>
        </w:rPr>
        <w:t>.</w:t>
      </w:r>
    </w:p>
    <w:p w14:paraId="7E1514E8"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1 (Fusha e zbatimit) – Përcakton objektin e ligjit, që është zbatimi në Shqipëri i Rregullores së Këshillit (KE) nr. 2157/2001 mbi statutin e SE-së. Specifikisht, ligji rregullon: kushtet e themelimit të një SE me seli në Shqipëri; mënyrën e funksionimit, strukturën dhe organizimin e saj të brendshëm; marrëdhëniet e SE-së me aksionarët, punëmarrësit dhe palët e treta; procedurat e transferimit të selisë së regjistruar jashtë Shqipërisë; procedurat e likuidimit, falimentimit apo shndërrimit të një SE-je; si dhe rregullat për regjistrimin dhe mbikëqyrjen nga autoritetet </w:t>
      </w:r>
      <w:r w:rsidRPr="00D9283B">
        <w:rPr>
          <w:rFonts w:ascii="Times New Roman" w:eastAsia="Times New Roman" w:hAnsi="Times New Roman" w:cs="Times New Roman"/>
          <w:kern w:val="0"/>
          <w:lang w:val="sq-AL"/>
          <w14:ligatures w14:val="none"/>
        </w:rPr>
        <w:lastRenderedPageBreak/>
        <w:t>shqiptare të SE-ve që operojnë në ose nga Shqipëria. Parashikohet gjithashtu se, përveç rasteve kur Rregullorja e BE-së parashikon ndryshe, dispozitat e këtij ligji zbatohen për çdo SE me seli në Shqipëri dhe për çdo shoqëri shqiptare që merr pjesë në themelimin e një SE.</w:t>
      </w:r>
    </w:p>
    <w:p w14:paraId="09CFF11C"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2 (Selia e regjistruar) – Kërkon që çdo SE e regjistruar në Shqipëri të ketë selinë e saj të regjistruar në territorin shqiptar dhe ta publikojë atë në regjistrin tregtar pranë QKB-së, njësoj si çdo shoqëri aksionare. Theksohet se selia e regjistruar duhet të përkojë me vendin ku shoqëria ka administrimin qendror dhe organet ekzekutive (parimi i “real seat”) dhe se QKB-ja do të monitorojë këtë kërkesë. Nëse konstatohet që një SE e regjistruar në Shqipëri e ka zhvendosur administrimin e saj të përditshëm në një shtet tjetër pa transferuar edhe selinë e regjistruar, QKB ka kompetencën t’i kërkojë shoqërisë të rivendosë administrimin në Shqipëri ose të nisë procedurën ligjore për transferimin e selisë jashtë shtetit, brenda një afati të arsyeshëm. Në rast mosbindjeje, QKB mund t’i drejtohet gjykatës për fillimin e procedurave të likuidimit të shoqërisë – një masë ndëshkuese kjo për të siguruar respektimin e kërkesës së selisë reale. Po ashtu, përcaktohet se emri i çdo Shoqërie Evropiane të regjistruar tek ne duhet të përmbajë siglën “SE”, si parashtesë ose prapashtesë, për identifikim.</w:t>
      </w:r>
    </w:p>
    <w:p w14:paraId="09617726"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3 (Forma juridike, kapitali dhe pjesëmarrja e punëmarrësve) – Sanksionon se Shoqëria Evropiane (SE) do të ketë statusin e shoqërisë aksionare (Societas Europaea është formë e veçantë e shoqërisë aksionare). Kapitali i saj do të jetë i shprehur në euro dhe shuma minimale e kapitalit të nënshkruar do të jetë 120,000 € (ose ekuivalenti në lekë në datën e themelimit), në përputhje me kërkesën e Rregullores së BE-së. Përgjegjësia e aksionarëve mbetet e kufizuar në kontributet e tyre (njësoj si në shoqëritë aksionare të zakonshme). Neni 3 trajton edhe çështjen e pjesëmarrjes së punëmarrësve në SE: pika 4 e nenit parashikon se pjesëmarrja e punonjësve në organet e SE-së do të realizohet sipas legjislacionit shqiptar në fuqi për përfaqësimin dhe konsultimin e punonjësve në shoqëritë tregtare. Kjo dispozitë siguron se e drejta e punëtorëve nuk do të cenohet; njëkohësisht thuhet se zbatimi i kësaj pike do të bëhet duke marrë parasysh parimet dhe standardet e Direktivës 2001/86/EC, të cilat tashmë janë transpozuar në ligjet tona. Praktikisht, kjo do të thotë që çdo SE e regjistruar këtu duhet të respektojë të njëjtat standarde të përfshirjes së punonjësve në borde ose për konsultimin e tyre, sikurse parashikohet në vendet e BE-së.</w:t>
      </w:r>
    </w:p>
    <w:p w14:paraId="7B249437"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4 (Publikimi i të dhënave në Gazetën Zyrtare të Komuniteteve Evropiane) – Është një dispozitë procedurale që detyron QKB-në, pasi regjistron një SE në Shqipëri, t’i përcjellë brenda një muaji Zyrës së Botimeve Zyrtare të Komuniteteve Evropiane (tanimë e quajtur Zyra e Publikimeve e BE-së) informacionin e nevojshëm për publikim në Gazetën Zyrtare të BE-së (Seria C). Kjo përmbush kërkesën e nenit 14 të Rregullores së BE-së, që liston se regjistrimi i një SE-je në cilindo vend anëtar duhet të publikohet edhe në nivel evropian. Informacioni tipik që përcillet përfshin emrin e SE-së, numrin e regjistrimit, datën e regjistrimit, selinë, etj. – kështu krijohet një transparentë evropiane mbi ekzistencën e SE-ve në çdo shtet, ku qytetarët dhe palët e interesuara mund të informohen përmes Gazetës Zyrtare të BE-së.</w:t>
      </w:r>
    </w:p>
    <w:p w14:paraId="4556F0A6" w14:textId="0093EA5C" w:rsidR="00A85B5D" w:rsidRPr="00D9283B" w:rsidRDefault="00A85B5D" w:rsidP="00A85B5D">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lastRenderedPageBreak/>
        <w:t xml:space="preserve">Kreu II (Nenet 5–16) – </w:t>
      </w:r>
      <w:r w:rsidRPr="00D9283B">
        <w:rPr>
          <w:rFonts w:ascii="Times New Roman" w:eastAsia="Times New Roman" w:hAnsi="Times New Roman" w:cs="Times New Roman"/>
          <w:i/>
          <w:iCs/>
          <w:kern w:val="0"/>
          <w:lang w:val="sq-AL"/>
          <w14:ligatures w14:val="none"/>
        </w:rPr>
        <w:t>Transferimi i selisë së regjistruar</w:t>
      </w:r>
      <w:r w:rsidRPr="00D9283B">
        <w:rPr>
          <w:rFonts w:ascii="Times New Roman" w:eastAsia="Times New Roman" w:hAnsi="Times New Roman" w:cs="Times New Roman"/>
          <w:kern w:val="0"/>
          <w:lang w:val="sq-AL"/>
          <w14:ligatures w14:val="none"/>
        </w:rPr>
        <w:t xml:space="preserve">. Ky kre përmban dispozitat që lejojnë një SE të transferojë selinë e saj të regjistruar nga Shqipëria drejt një shteti anëtar të BE-së, si dhe procedurën e kundërt (transferimin e selisë së një SE-je nga një shtet anëtar i BE-së drejt Shqipërisë). Këto rregulla janë tepër të rëndësishme pasi mishërojnë parimin e lëvizjes së lirë të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ve brenda BE-së, duke mundësuar që një SE të ndryshojë vendin e regjistrimit pa u likuiduar.</w:t>
      </w:r>
    </w:p>
    <w:p w14:paraId="335AF516"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5 (Transferimi i selisë së regjistruar në një Shtet Anëtar të BE-së) – Përshkruan në detaj procedurën që duhet ndjekur kur një SE e regjistruar në Shqipëri dëshiron të zhvendosë selinë e vet në një vend tjetër të BE-së. Parashikohet shprehimisht që ky transferim nuk sjell likuidimin e SE-së as krijimin e një personi juridik të ri në shtetin e ri; pra identiteti ligjor i shoqërisë mbetet i pandërprerë, thjesht ndryshon vendin e regjistrimit. Procedura fillon me hartimin nga organi administrativ (bordi drejtues) të propozimit për transferim, i cili duhet të përmbajë një sërë elementesh të detajuara: selinë e re të propozuar, statutin e ri të propozuar (p.sh. nëse ndryshon emri i shoqërisë), ndikimin e mundshëm të transferimit mbi përfshirjen e punonjësve, kalendarin kohor të transferimit, si dhe çdo të drejtë mbrojtëse për aksionarët dhe kreditorët. Ky propozim publikohet në QKB sipas rregullave të regjistrimit (një lloj njoftimi publik). Paralelisht, organi administrativ duhet të hartojë një raport shpjegues që justifikon aspektet juridike dhe ekonomike të transferimit dhe pasojat e tij për aksionarët, kreditorët dhe punëmarrësit. Më tej, neni 5 garanton të drejta të aksionarëve dhe kreditorëve: çdo aksionar apo kreditor ka të drejtë, të paktën 1 muaj para se mbledhja e përgjithshme të vendosë për transferimin, të shqyrtojë propozimin dhe raportin dhe të marrë kopje falas. Vendimi për transferim nuk mund të merret për 2 muaj nga data e publikimit së propozimit (ky është një afat i detyruar nga Rregullorja, për t’u dhënë kohë palëve të shqyrtojnë dhe kundërshtojnë nëse është e nevojshme). Para se transferimi të regjistrohet në vendin e ri, QKB-ja lëshon një certifikatë që dëshmon se të gjitha veprimet dhe formalitetet paraprake në Shqipëri janë kryer – pra, QKB verifikon që shoqëria ka respektuar procedurën (njoftimet, raportet, mbrojtja e kreditorëve etj.). Kjo certifikatë para-transferimi është një dokument i domosdoshëm që autoritetet e shtetit pritës e kërkojnë. Pasi merret certifikata, SE-ja aplikon për regjistrim në shtetin e ri dhe transferimi merr efekt në datën e regjistrimit në regjistrin e shtetit të ri. Regjistri i shtetit pritës duhet më pas të njoftojë QKB-në shqiptare se SE-ja u regjistrua atje, dhe QKB bën fshirjen nga regjistri i saj (por vetëm pas marrjes së njoftimit). Ligji mbron edhe palët e treta: derisa fshirja nga QKB të jetë publikuar, palët e treta mund të vazhdojnë të mbështeten te selia e vjetër në Shqipëri si e vlefshme, përveç kur SE-ja provon se ata e dinin për selinë e re. Një dispozitë e veçantë parashikon se autoritetet rregullatore financiare (p.sh. Banka e Shqipërisë apo AMF) mund të kundërshtojnë transferimin, nëse SE-ja është subjekt i mbikëqyrjes së tyre – çdo kundërshtim i tillë do t’i nënshtrohet shqyrtimit gjyqësor. Po ashtu, një SE nuk mund të transferojë selinë nëse ndaj saj ka nisur procedurë likuidimi, falimenti apo pezullimi pagesash (për të mos lejuar ikjen nga juridiksioni gjatë proceseve të mbylljes). Më fund, parashikohet një rregull që, për çdo shkak ligjor të lindur para transferimit, SE-ja konsiderohet ende si e regjistruar në Shqipëri edhe pas transferimit, nëse dikush ngre padi – që do të </w:t>
      </w:r>
      <w:r w:rsidRPr="00D9283B">
        <w:rPr>
          <w:rFonts w:ascii="Times New Roman" w:eastAsia="Times New Roman" w:hAnsi="Times New Roman" w:cs="Times New Roman"/>
          <w:kern w:val="0"/>
          <w:lang w:val="sq-AL"/>
          <w14:ligatures w14:val="none"/>
        </w:rPr>
        <w:lastRenderedPageBreak/>
        <w:t>thotë, pretendimet kundër SE-së që burojnë nga periudha para transferimit mund të ndiqen në Shqipëri sikur SE të mos e kishte zhvendosur selinë.</w:t>
      </w:r>
    </w:p>
    <w:p w14:paraId="43790C3B"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6 (Oferta e kompensimit në para në planin e transferimit të selisë) – Plotëson nenin 5 duke kërkuar që plani i transferimit të selisë të parashikojë detyrimisht kushtet e kompensimit në para për aksionarët e pakënaqur. Kjo do të thotë, në plan duhet të specifikohet sa dhe si do të paguhen aksionarët që kundërshtojnë vendimin për transferim. Çdo aksionar që ka votuar kundër transferimit dhe ka shënuar kundërshtimin në procesverbalin e asamblesë, ose që nuk ka mundur të votojë për shkaqe të parregullsisë së mbledhjes, ka të drejtë të kërkojë që shoqëria t’i blejë aksionet e tij me kompensim të drejtë në para. Detyrimin për të paguar këtë kompensim mund ta marrë përsipër vetë shoqëria ose edhe një person i tretë (p.sh. aksioneri kryesor ose një investitor i interesuar). Oferta për blerjen e aksioneve të pakicës duhet të deklarohet qartë në njoftimin e planit të transferimit që u dërgohet aksionarëve. Për mënyrën e blerjes së aksioneve, ligji referon tek rregullat e blerjes së kuotave vetjake nga shoqëria sipas ligjit shqiptar (duke përdorur parimin </w:t>
      </w:r>
      <w:r w:rsidRPr="00D9283B">
        <w:rPr>
          <w:rFonts w:ascii="Times New Roman" w:eastAsia="Times New Roman" w:hAnsi="Times New Roman" w:cs="Times New Roman"/>
          <w:i/>
          <w:iCs/>
          <w:kern w:val="0"/>
          <w:lang w:val="sq-AL"/>
          <w14:ligatures w14:val="none"/>
        </w:rPr>
        <w:t>mutatis mutandis</w:t>
      </w:r>
      <w:r w:rsidRPr="00D9283B">
        <w:rPr>
          <w:rFonts w:ascii="Times New Roman" w:eastAsia="Times New Roman" w:hAnsi="Times New Roman" w:cs="Times New Roman"/>
          <w:kern w:val="0"/>
          <w:lang w:val="sq-AL"/>
          <w14:ligatures w14:val="none"/>
        </w:rPr>
        <w:t>), për të ruajtur të njëjtat standarde sigurie si në një blerje normale aksionesh. Në fund, përcaktohet se shoqëria (pra SE-ja) mban vetë shpenzimet e transferimit të aksioneve që blihen sipas kësaj procedure. Ky nen është një shtesë e rëndësishme për mbrojtjen e aksionarëve minoritarë në rast të zhvendosjes së selisë, duke u siguruar atyre një dalje të drejtë financiare nëse nuk duan të ndjekin shoqërinë në juridiksionin e ri.</w:t>
      </w:r>
    </w:p>
    <w:p w14:paraId="15D718F7"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7 (Vlerësimi i përshtatshmërisë së kompensimit në para) – Parashikon mekanizmat e vlerësimit objektiv të çmimit të kompensimit që u ofrohet aksionarëve të pakicës në rast transferimi. Me gjasë, ky nen ngarkon ekspertë të pavarur për të vërtetuar nëse oferta e kompensimit është e drejtë dhe e arsyeshme, ose përcakton të drejtën e aksionarëve të kundërshtojnë shumën e kompensimit në gjykatë. (Teksti i plotë i nenit 7 nuk është cituar në materialin e ngarkuar, por duke qenë se është praktikë standarde e Rregullores SE, pritet që ky nen t’i japë mundësi aksionarëve të kërkojnë rishikimin e çmimit nga një ekspert i pavarur dhe të sigurojë se kompensimi reflekton vlerën reale të aksioneve.)</w:t>
      </w:r>
    </w:p>
    <w:p w14:paraId="77E573EC"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8 (Shqyrtimi i transferimit të selisë nga këshilli mbikëqyrës) – Dispozitë që aplikohet për SE-të me sistem dy-nivelësh (këshill mbikëqyrës dhe bord drejtues). Kërkon që këshilli mbikëqyrës i SE-së të shqyrtojë planin e transferimit përpara se ai t’i paraqitet asamblesë së përgjithshme për miratim. Kjo siguron një filtër shtesë të menaxhimit: organi mbikëqyrës (ku shpesh mund të jenë edhe përfaqësues punonjësish ose ekspertë të pavarur) duhet të vlerësojë nëse transferimi propozohet për arsye të justifikuara dhe në interes të shoqërisë e aksionarëve.</w:t>
      </w:r>
    </w:p>
    <w:p w14:paraId="389D2DC7"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9 (Publikimi i planit për transferimin e selisë së regjistruar) – Vendos detyrimin që plani i transferimit të bëhet publik. Kjo ndoshta përfshin shpalljen e planit në regjistrin tregtar (tek QKB) dhe/ose në faqen zyrtare të shoqërisë, në mënyrë që jo vetëm aksionarët, por edhe kreditorët apo palë të tjera të interesuara të mund të njihen me të. (Neni specifikisht mund t’u referohet afateve dhe mënyrave të njoftimit publik). Shënimet tregojnë se neni 9 është lidhur me informimin e aksionarëve dhe kreditorëve për të drejtat e tyre, së bashku me nenin 12.</w:t>
      </w:r>
    </w:p>
    <w:p w14:paraId="00F20DAE" w14:textId="1EE77D11"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lastRenderedPageBreak/>
        <w:t xml:space="preserve">Neni 10 (Nevoja për pëlqim të veçantë) – Parashikon rastet kur transferimi i selisë mund të kërkojë pëlqime ose miratime shtesë përveç vendimit të asamblesë. Kjo lidhet kryesisht me natyrën e veprimtarisë së SE-së: p.sh. nëse SE-ja operon në sektorë të rregulluar (bankar, sigurime), mund të kërkohet aprovimi paraprak i autoritetit rregullator për zhvendosjen jashtë shtetit. Neni 10 mund të imponohet edhe nga ndonjë ligj tjetër që thotë se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 me rëndësi strategjike s’mund të largohen pa miratim qeveritar. Në çdo rast, ky nen ofron siguri juridike se transferimi i selisë nuk është një e drejtë absolute e shoqërisë, por mund të kushtëzohet nga nevoja për miratime të veçanta kur parashikohet nga ligji.</w:t>
      </w:r>
    </w:p>
    <w:p w14:paraId="61036C47"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11 (Transferimi i thjeshtuar i selisë së regjistruar) – Nenet 5–10 paraqesin procedurën standarde të transferimit (e cila është mjaft e detajuar dhe e gjatë). Neni 11 mbase parashikon një procedurë të thjeshtuar për situata specifike. Mund të lidhet me rastet kur shoqëria mëmë e SE-së është e vendosur në shtetin e ri ose kur struktura aksionare e SE-së e bën të panevojshme mbrojtjen e gjerë të aksionarëve. Mundësisht, neni 11 implementon nenin përkatës të Rregullores që u lejon shteteve anëtare të mos zbatojnë disa kërkesa kur p.sh. 100% e aksionarëve bien dakord me transferimin pa kundërshtime, etj. Kjo dispozitë synon të shkurtojë afatet dhe formalitetet kur konsensusi është i plotë.</w:t>
      </w:r>
    </w:p>
    <w:p w14:paraId="5B5DD61B"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12 (Kompensimi në para për një aksionar që kundërshton transferimin e selisë së regjistruar) – Pavarësisht se neni 6 parashikon ofertën e kompensimit, neni 12 e rregullon të drejtën konkrete të çdo aksionari opozitar për të kërkuar kompensim në para. Mund të saktësojë procedurën: p.sh. aksionari duhet ta paraqesë kërkesën brenda një afati pas vendimit të asamblesë; ose mund të përcaktojë se kuadri ligjor për këtë kompensim (si llogaritet çmimi, cili është autoriteti kompetent për zgjidhjen e mosmarrëveshjes – zakonisht gjykata). Nga materiali i gjetur, duket se neni 12 lidhet me informimin e aksionarëve për të drejtat e tyre (bashkë me nenin 9), kështu që mund të garantojë që aksionarët të jenë të vetëdijshëm për këtë të drejtë dhe mënyrën e ushtrimit të saj.</w:t>
      </w:r>
    </w:p>
    <w:p w14:paraId="39EBA7D8"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13 (Rishikimi gjyqësor i kompensimit në para) – Siguron një mekanizëm ankimimi për aksionarët e pakënaqur me vlerën e kompensimit. Ka gjasa t’u japë atyre mundësinë t’i drejtohen gjykatës kompetente për të vlerësuar nëse kompensimi i ofruar është i drejtë. Gjykata, me ndihmën e ekspertëve, mund të rregullojë çmimin e blerjes së aksioneve nëse gjen se ai nuk pasqyron vlerën e ndershme të tyre. Kjo dispozitë është e rëndësishme për mbrojtjen e interesave financiare të aksionerëve minoritarë, duke i paraprirë çdo abuzimi nga ana e aksionarëve dominues apo administratës së SE-së.</w:t>
      </w:r>
    </w:p>
    <w:p w14:paraId="2092E1BD"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14 (Mbrojtja e kreditorëve) – Krijon garancitë e nevojshme për kreditorët e SE-së në rast transferimi. Kreditorët (p.sh. bankat huadhënëse, furnitorët me detyrime të papaguara, etj.) mund të kenë frikë se shoqëria duke u zhvendosur jashtë mund të shmangë pagimin e detyrimeve. Neni 14 ka gjasa të imponojë që SE-ja, përpara transferimit, duhet ose të shlyejë detyrimet ekzistuese ose të sigurojë garanci të mjaftueshme për to. Rregulli i Rregullores së BE-së është se shteti i origjinës mund të kërkojë që SE-ja të sigurojë mbrojtjen e kreditorëve për borxhet e lindura para transferimit, nëse këta kreditorë nuk kanë marrë mbrojtje të mjaftueshme (p.sh. kolateral). Projektligji duket se e zbaton këtë parim tek neni 14, duke siguruar që transferimi të mos keqpërdoret për t’iu shmangur borxheve.</w:t>
      </w:r>
    </w:p>
    <w:p w14:paraId="3DEAC216"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lastRenderedPageBreak/>
        <w:t>Neni 15 (Regjistrimi në QKB i synimit për të transferuar selinë e regjistruar) – Kjo dispozitë ndërlidhet me hapin e parë formal të procedurës: kur organi administrativ merr një vendim të propozojë transferimin, ky synim duhet të regjistrohet zyrtarisht në regjistër. Neni 15 me gjasë kërkon që SE-ja të depozitojë pranë QKB-së një deklaratë zyrtare kur fillon procesin e transferimit, ndoshta që në fazën e paraqitjes së planit të transferimit. Kjo rrit transparencën dhe vë në dijeni publikun se shoqëria është në proces ndryshimi vendi. (Neni 15 i Rregullores thotë që propozimi i transferimit të publikohet – me siguri ky nen e implementon atë.)</w:t>
      </w:r>
    </w:p>
    <w:p w14:paraId="7224A932" w14:textId="2591AC9D"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16 (Kërkesa për regjistrim në regjistrin e QKB-së të transferimit të selisë së regjistruar të një SE-je nga një shtet anëtar i BE-së në Shqipëri) – Pasqyron rastin e kundërt të nenit 5: kur një Shoqëri Evropiane me seli në një vend të BE-së dëshiron ta transferojë atë në Shqipëri. Këtu përfshihet procedura e regjistrimit fillestar në QKB si SE shqiptare. Me gjasë, QKB-ja shqiptare do të kërkojë dokumentacionin nga shteti i mëparshëm (certifikatën e para-transferimit të lëshuar nga autoriteti i atij vendi) dhe do të regjistrojë SE-në në Shqipëri vetëm kur të provohet që gjithçka është në rregull. Neni 16 ka të ngjarë të kërkojë që, sapo të regjistrohet SE-ja tek ne, QKB të njoftojë edhe regjistrin e huaj për të bërë fshirjen atje. Kjo plotëson ciklin e koordinimit ndërmjet regjistrave për lëvizjen e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ve.</w:t>
      </w:r>
    </w:p>
    <w:p w14:paraId="037BCFE4" w14:textId="77777777" w:rsidR="00A85B5D" w:rsidRPr="00D9283B" w:rsidRDefault="00A85B5D" w:rsidP="00A85B5D">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Kreu III – Themelimi i një SE-je – Ky kre i tretë (mjaft voluminoz) ndahet në disa pjesë (Pjesa I, II, III brenda Kreut III) dhe përmbledh katër mënyrat e parashikuara nga Rregullorja e BE-së për themelimin e një Shoqërie Evropiane. Këto mënyra janë: (1) themelimi i një SE-je nëpërmjet bashkimit të shoqërive aksionare ekzistuese; (2) themelimi i një SE-je mbajtëse (holding) nga shoqëri ekzistuese; (3) themelimi i një SE-je filiale të përbashkët nga shoqëri të ndryshme; dhe (4) shndërrimi i një shoqërie aksionare ekzistuese kombëtare në SE (konvertimi). Projektligji i ka adresuar këto forma si më poshtë:</w:t>
      </w:r>
    </w:p>
    <w:p w14:paraId="3FE30085"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Pjesa I e Kreut III (Nenet 17–24) – </w:t>
      </w:r>
      <w:r w:rsidRPr="00D9283B">
        <w:rPr>
          <w:rFonts w:ascii="Times New Roman" w:eastAsia="Times New Roman" w:hAnsi="Times New Roman" w:cs="Times New Roman"/>
          <w:i/>
          <w:iCs/>
          <w:kern w:val="0"/>
          <w:lang w:val="sq-AL"/>
          <w14:ligatures w14:val="none"/>
        </w:rPr>
        <w:t>Themelimi i një SE-je nëpërmjet bashkimit të dy ose më shumë shoqërive tregtare</w:t>
      </w:r>
      <w:r w:rsidRPr="00D9283B">
        <w:rPr>
          <w:rFonts w:ascii="Times New Roman" w:eastAsia="Times New Roman" w:hAnsi="Times New Roman" w:cs="Times New Roman"/>
          <w:kern w:val="0"/>
          <w:lang w:val="sq-AL"/>
          <w14:ligatures w14:val="none"/>
        </w:rPr>
        <w:t>. Këto dispozita rregullojnë procesin kur dy ose më shumë shoqëri aksionare (ose forma ekuivalente) nga juridiksione të ndryshme vendosin të bashkohen dhe si rezultat të krijojnë një SE. Kjo është analogjia e një bashkimi ndërkufitar, por me qëllimin final formimin e një Shoqërie Evropiane.</w:t>
      </w:r>
    </w:p>
    <w:p w14:paraId="0297CBFB"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17 (Projekt-marrëveshja e bashkimit dhe oferta e kompensimit në para në marrëveshjen e bashkimit) – Parashikon se shoqëritë që duan të bashkohen për të krijuar një SE duhet të hartojnë një projekt-marrëveshje bashkimi të përbashkët. Kjo marrëveshje është dokumenti themelor i bashkimit, i cili duhet të përfshijë informacionet kryesore sipas ligjit (p.sh. formën, emrin, selinë e shoqërisë së re SE; shkëmbimin e aksioneve ndërmjet shoqërive; raportin e shkëmbimit, etj.). Pjesë e kësaj marrëveshjeje, sipas nenit 17, duhet të jetë edhe oferta e kompensimit në para për aksionarët e çdo shoqërie pjesëmarrëse që kundërshtojnë bashkimin. Kjo është e ngjashme me parimin te transferimi: aksionarët minoritarë që nuk duan të bëhen pjesë e SE-së së re kanë të drejtën të tërhiqen nga shoqëria e tyre kundrejt një kompensimi në para. Kushtet e këtij kompensimi përcaktohen në marrëveshjen e bashkimit.</w:t>
      </w:r>
    </w:p>
    <w:p w14:paraId="1479119C"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18 (Shqyrtimi i bashkimit) – Sanksionon procedurën e kontrollit të ligjshmërisë dhe drejtësisë së planit të bashkimit. Kjo përfshin emërimin e një ose më shumë ekspertëve të pavarur (zakonisht auditorë ose vlerësues </w:t>
      </w:r>
      <w:r w:rsidRPr="00D9283B">
        <w:rPr>
          <w:rFonts w:ascii="Times New Roman" w:eastAsia="Times New Roman" w:hAnsi="Times New Roman" w:cs="Times New Roman"/>
          <w:kern w:val="0"/>
          <w:lang w:val="sq-AL"/>
          <w14:ligatures w14:val="none"/>
        </w:rPr>
        <w:lastRenderedPageBreak/>
        <w:t>të miratuar nga gjykata) që të kontrollojnë projekt-marrëveshjen e bashkimit dhe raportin e shkëmbimit të aksioneve. Ekspertët do të hartojnë një raport të arsyetuar ku deklarojnë nëse metodat e vlerësimit të aksioneve janë të përshtatshme dhe nëse raporti i shkëmbimit është i drejtë e i arsyeshëm për aksionarët. Ky raport pastaj i vihet në dispozicion mbledhjes së përgjithshme të çdo shoqërie që vendos mbi bashkimin. Roli i ekspertëve është të mbrojnë aksionarët (sidomos ata minoritarë) nga ndonjë shkëmbim i padrejtë aksionesh ndërmjet shoqërive që bashkohen.</w:t>
      </w:r>
    </w:p>
    <w:p w14:paraId="03A554B6"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19 (Publikimi i marrëveshjes së bashkimit) – Kërkon që projekt-marrëveshja e bashkimit të publikohet (p.sh. në regjistrin tregtar dhe/ose në faqet zyrtare të shoqërive) për një afat para se të miratohet. Kjo i ngjan kërkesave të ligjit tonë për bashkimet, ku dokumentet e bashkimit duhen depozituar në QKB dhe qëndrojnë të hapura për inspektim nga aksionarët për një periudhë (zakonisht 30 ditë) para datës së mbledhjes së përgjithshme. Njoftimi publik do të duhet të informojë aksionarët për të drejtat e tyre (siç është e drejta për kompensim sipas nenit 21) dhe kreditorët për të drejtat e tyre (siç është e drejta për garanci sipas nenit 22).</w:t>
      </w:r>
    </w:p>
    <w:p w14:paraId="78AF75B9"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20 (Bashkim i thjeshtuar) – Parashikon mundësinë e një bashkimi të thjeshtuar në rastet kur, për shembull, një shoqëri pjesëmarrëse zotëron 90% a më shumë të aksioneve të shoqërisë tjetër pjesëmarrëse. Në ligjin e shoqërive një situatë e tillë zakonisht lejon të mos ketë nevojë për aprovimin e asamblesë së shoqërisë së fituar, etj. Neni 20, duke u titulluar “bashkim i thjeshtuar”, ka gjasë të autorizojë që në raste të kontrollit pothuajse të plotë, disa nga formalitetet (p.sh. hartimi i raporteve të detajuara apo miratimi nga asambleja e shoqërisë së fituar) të evitohen. Kjo shmang burokracinë në situatat kur nuk ka aksionarë minoritarë që duhen mbrojtur.</w:t>
      </w:r>
    </w:p>
    <w:p w14:paraId="7E442F77"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21 (Kompensimi në para për një aksionar që kundërshton bashkimin e shoqërive) – Ky nen i ngjan nenit 12 (për transferimin), por tani në kontekstin e bashkimit. Ai garanton se çdo aksionar i një shoqërie që do të shkrihet për të formuar SE-në ka të drejtë të kërkojë blerjen e aksioneve të veta me kompensim nëse kundërshton bashkimin. Kushtet: aksionari ose voton kundër dhe e shënon kundërshtimin, ose pengohet të marrë pjesë, etj., njësoj si logjika te transferimi. Ofrohet kështu një dalje me pagesë për ata që s’duan të bëhen pjesë e shoqërisë së re SE.</w:t>
      </w:r>
    </w:p>
    <w:p w14:paraId="18DDF2C7"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22 (Mbrojtja e kreditorëve dhe e mbajtësve të të drejtave të veçanta) – Siguron se kreditorët e shoqërive që po bashkohen dhe mbajtësit e titujve të veçantë (p.sh. obligacione, apo instrumenta të tjerë) nuk dëmtohen nga bashkimi. Kjo do të nënkuptojë që, nëse një kreditor ka një kërkesë ndaj njërës shoqëri, ai ka të drejtë të kërkojë garanci ose shlyerje përpara finalizimit të bashkimit, nëse mund të provojë se bashkimi cenon shanset e tij për t’u paguar. Neni 22 me siguri imponon që SE-ja e re ose shoqëritë pjesëmarrëse të ofrojnë garanci adekuate për kreditorët, sipas parimeve të ligjit të bashkimit. Për “mbajtësit e të drejtave të veçanta” – këtu mund të futen poseduese të obligacioneve, ose tituj që u japin atyre të drejta veçanërisht (si p.sh. aksione preferenciale) – projektligji do të parashikojë </w:t>
      </w:r>
      <w:r w:rsidRPr="00D9283B">
        <w:rPr>
          <w:rFonts w:ascii="Times New Roman" w:eastAsia="Times New Roman" w:hAnsi="Times New Roman" w:cs="Times New Roman"/>
          <w:kern w:val="0"/>
          <w:lang w:val="sq-AL"/>
          <w14:ligatures w14:val="none"/>
        </w:rPr>
        <w:lastRenderedPageBreak/>
        <w:t>që të drejtat e tyre të mos minohen nga bashkimi (ose t’u ofrohen të drejta ekuivalente në SE-në e re).</w:t>
      </w:r>
    </w:p>
    <w:p w14:paraId="15B76A3A"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23 (Regjistrimi i bashkimit dhe lëshimi i certifikatës së parabashkimit) – Pasqyron hapat finalë administrativë për formalizimin e bashkimit. Likely, pasi të gjitha shoqëritë pjesëmarrëse miratojnë planin e bashkimit në asambletë e tyre, QKB-ja (për shoqëritë shqiptare të përfshira) lëshon një certifikatë parabashkimi që vërteton se gjithë veprimet e nevojshme paraprake (njoftime, raportet e ekspertëve, garantimi i kreditorëve, etj.) janë kryer. Kjo certifikatë i paraqitet autoritetit (në këtë rast vetë QKB-së në rolin e regjistruesit final të SE-së, pasi SE-ja do të ketë selinë këtu) për të regjistruar SE-në e re. Regjistrimi i SE-së realizohet kur QKB ka marrë të gjitha certifikatat e parabashkimit nga të gjitha shoqëritë pjesëmarrëse (përfshirë ato jashtë Shqipërisë, nëse ka). Pasi SE-ja regjistrohet, shoqëritë e vjetra fshihen nga regjistrat e tyre përkatës.</w:t>
      </w:r>
    </w:p>
    <w:p w14:paraId="3872F3CF"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24 (Marrëveshja mbi pjesëmarrjen e punëmarrësve si kusht për regjistrimin) – Ky është një nen shumë i rëndësishëm që lidhet me Direktivën 2001/86/EC. Ai parashikon se regjistrimi i SE-së së re nuk mund të bëhet pa u zgjidhur çështja e pjesëmarrjes së punonjësve në organet drejtuese, nëse të paktën një nga shoqëritë pjesëmarrëse e ka kushtëzuar pjesëmarrjen e saj në bashkim me arritjen e një marrëveshjeje lidhur me këtë çështje. Praktikisht, ligji u jep të drejtë shoqërive pjesëmarrëse që të thonë: “ne do të bashkohemi vetëm nëse fillimisht biem dakord me punonjësit tanë sesi do të përfaqësohen ata në SE-në e re”. Nëse kjo marrëveshje nuk arrihet brenda afateve ligjore, asnjë shoqëri pjesëmarrëse nuk mund të detyrohet të hyjë në SE. Dhe QKB-ja nuk do të lëshojë certifikatën e parabashkimit (neni 23) pa prova që çështjet e përfaqësimit të punonjësve janë zgjidhur në përputhje me ligjin dhe Rregulloren. Kjo dispozitë garanton që e drejta e punonjësve për përfshirje të mos anashkalohet gjatë krijimit të SE-së me anë të bashkimit – pa një zgjidhje, shoqëria nuk mund të formohet.</w:t>
      </w:r>
    </w:p>
    <w:p w14:paraId="2D0023A4" w14:textId="375E4FF8"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Pjesa II e Kreut III (Nenet 25–28) – </w:t>
      </w:r>
      <w:r w:rsidRPr="00D9283B">
        <w:rPr>
          <w:rFonts w:ascii="Times New Roman" w:eastAsia="Times New Roman" w:hAnsi="Times New Roman" w:cs="Times New Roman"/>
          <w:i/>
          <w:iCs/>
          <w:kern w:val="0"/>
          <w:lang w:val="sq-AL"/>
          <w14:ligatures w14:val="none"/>
        </w:rPr>
        <w:t>Themelimi i një Shoqërie Evropiane mbajtëse (Holding)</w:t>
      </w:r>
      <w:r w:rsidRPr="00D9283B">
        <w:rPr>
          <w:rFonts w:ascii="Times New Roman" w:eastAsia="Times New Roman" w:hAnsi="Times New Roman" w:cs="Times New Roman"/>
          <w:kern w:val="0"/>
          <w:lang w:val="sq-AL"/>
          <w14:ligatures w14:val="none"/>
        </w:rPr>
        <w:t xml:space="preserve">. Këto nene rregullojnë krijimin e një SE-je si holding i përbashkët i dy ose më shumë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ve ekzistuese. Sipas Rregullores, dy ose më shumë shoqëri (mundësisht aksionare publike apo me përgjegjësi të kufizuar, sipas rasteve) nga shtete të ndryshme mund të themelojnë së bashku një shoqëri mbajtëse (holding) në formën e SE-së, pa u shkrirë vetë ato – pra, ato vazhdojnë të ekzistojnë dhe mbi to qëndron SE-ja holding.</w:t>
      </w:r>
    </w:p>
    <w:p w14:paraId="79642371"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25 (Themelimi i një shoqërie evropiane mbajtëse (holding)) – Përcakton në parim këtë mundësi. Një SE mund të krijohet edhe si holding i përbashkët nga dy ose më shumë shoqëri tregtare që u nënshtrohen legjislacioneve të ndryshme. Kriter kushtetues nga Rregullorja është që të paktën dy nga shoqëritë themeluese të drejtohen nga ligje të shteteve të ndryshme ose të kenë prej të paktën 2 vitesh një filial në shtet tjetër – ky detaj pritet të jetë i përfshirë. Neni 25 gjithashtu flet për procesin: pas hartimit të projektit të themelimit, aksionarët e shoqërive pjesëmarrëse kanë një afat tre mujor për të deklaruar nëse do të kontribuojnë aksionet e tyre në </w:t>
      </w:r>
      <w:r w:rsidRPr="00D9283B">
        <w:rPr>
          <w:rFonts w:ascii="Times New Roman" w:eastAsia="Times New Roman" w:hAnsi="Times New Roman" w:cs="Times New Roman"/>
          <w:kern w:val="0"/>
          <w:lang w:val="sq-AL"/>
          <w14:ligatures w14:val="none"/>
        </w:rPr>
        <w:lastRenderedPageBreak/>
        <w:t>krijimin e SE-së mbajtëse. Ky afat fillon kur kushtet për themelimin e SE-së mbajtëse janë plotësuar sipas neneve pasuese (neni 26 dhe 27). Nëse brenda atij afati ndonjë aksionar vendos të mos kontribuojë aksionet, ai mbetet jashtë SE-së; më tej, neni 25 parashikon edhe një afat shtesë njëmujor për ata aksionarë që nuk ishin përgjigjur në afatin e parë, për të marrë vendimin e tyre. Krijimi i SE-së mbajtëse nuk mund të realizohet nëse brenda afateve të caktuara aksionarët nuk kontribuojnë një përqindje minimale të aksioneve (kjo përqindje përcaktohet në nenin 27, supozojmë) në secilën shoqëri pjesëmarrëse. Për më tepër, neni 25 kërkon që para regjistrimit të SE-së të konfirmohet plotësimi i të gjitha formaliteteve dhe afateve të parashikuara. Po ashtu, parashikohet që teksti i statutit të SE-së së re holding duhet të jetë identik me tekstin e statutit të përfshirë në projekt-marrëveshjen e bashkimit (referencë ndaj nenit 32(2) të Rregullores), dhe për përcaktimin e kapitalit, mjafton të specifikohet shuma minimale e kërkuar dhe shuma maksimale që mund të arrihet me kontributet e aksionarëve.</w:t>
      </w:r>
    </w:p>
    <w:p w14:paraId="11B0903A"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26 (Zbatimi i dispozitave mbi bashkimet e shoqërive) – Ky nen bën një referencë shkoqitëse: thekson se rregullat e zbatueshme për bashkimet e shoqërive (sipas ligjit shqiptar të shoqërive tregtare) zbatohen </w:t>
      </w:r>
      <w:r w:rsidRPr="00D9283B">
        <w:rPr>
          <w:rFonts w:ascii="Times New Roman" w:eastAsia="Times New Roman" w:hAnsi="Times New Roman" w:cs="Times New Roman"/>
          <w:i/>
          <w:iCs/>
          <w:kern w:val="0"/>
          <w:lang w:val="sq-AL"/>
          <w14:ligatures w14:val="none"/>
        </w:rPr>
        <w:t>mutatis mutandis</w:t>
      </w:r>
      <w:r w:rsidRPr="00D9283B">
        <w:rPr>
          <w:rFonts w:ascii="Times New Roman" w:eastAsia="Times New Roman" w:hAnsi="Times New Roman" w:cs="Times New Roman"/>
          <w:kern w:val="0"/>
          <w:lang w:val="sq-AL"/>
          <w14:ligatures w14:val="none"/>
        </w:rPr>
        <w:t xml:space="preserve"> edhe për krijimin e një SE-je holding. Me fjalë të tjera, shumë nga procedurat e përshkruara në Pjesën I (për bashkimet) aplikohen edhe këtu, aq sa janë të përshtatshme. P.sh. hartimi i raporteve nga bordet e shoqërive, miratimi në asamble, publikimet, të drejtat e aksionarëve dhe kreditorëve, etj., do të ndiqen në analogji. Kjo parandalon përsëritjen e gjatë të tekstit dhe siguron koherencë ligjore.</w:t>
      </w:r>
    </w:p>
    <w:p w14:paraId="3D99C362"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27 (Procedura për krijimin e një SE-je mbajtëse) – Paraqet hapat specifikë proceduralë për themelimin e holdingut evropian. Në fillim, parashikohet që shoqëritë që duan të krijojnë holdingun të marrin nisëm të përbashkët (vendim të bordeve përkatëse) dhe ato vazhdojnë të ekzistojnë pas themelimit të SE-së (duke qenë se holdingu nuk i përpin shoqëritë, por i zotëron). Organi administrativ i secilës shoqëri pjesëmarrëse harton një projekt të përbashkët themelimi për SE-në mbajtëse. Ky projekt duhet të përfshijë: (a) një raport shpjegues për aspektet ligjore e ekonomike të themelimit dhe pasojat për aksionarët e punonjësit nga adoptimi i formës SE; (b) të dhënat e parashikuara në nenin 17 të këtij ligji (përputhja me nenin 20(1)(a)-(i) të Rregullores) – do të thotë projekt-plani i themelimit duhet të ketë elementët e ngjashëm me ato të planit të bashkimit: formën e SE-së, emrin, statutin, strukturën e organeve, raportin e këmbimit (nëse ka), etj.; (c) përqindjen minimale të aksioneve në secilën shoqëri pjesëmarrëse që duhet të kontribuohet për themelimin e SE-së mbajtëse. Kjo përqindje, sipas Rregullores, duhet të jetë &gt;50% e të drejtave të votimit në secilën shoqëri – projektligji e konfirmon se duhet më shumë se 50%; (ç) një deklaratë se brenda 1 muaji nga data e vendimit të asamblesë për themelim, nuk është ngritur asnjë padi për të kërkuar pavlefshmërinë e vendimit (ose nëse është ngritur, është tërhequr, ose të gjithë aksionarët kanë hequr dorë nga e drejta për padi para noteri); dhe (d) informacion mbi ushtrimin e të </w:t>
      </w:r>
      <w:r w:rsidRPr="00D9283B">
        <w:rPr>
          <w:rFonts w:ascii="Times New Roman" w:eastAsia="Times New Roman" w:hAnsi="Times New Roman" w:cs="Times New Roman"/>
          <w:kern w:val="0"/>
          <w:lang w:val="sq-AL"/>
          <w14:ligatures w14:val="none"/>
        </w:rPr>
        <w:lastRenderedPageBreak/>
        <w:t>drejtës së kompensimit nga aksionarët kundërshtues (pra sa aksionarë kanë kërkuar kompensim në para) dhe sqarimi se aksionet e atyre që kundërshtuan mund të merren sipas ligjit. Këto elemente sigurojnë një proces transparent dhe të rregullt për krijimin e holdingut. Më tej, parashikohet se për secilën shoqëri pjesëmarrëse, projekti i themelimit të holdingut duhet të publikohet në regjistrin tregtar përkatës dhe në atë të QKB-së të paktën 1 muaj para datës së mbledhjes së përgjithshme që vendos për miratimin e tij – ky është detyrim publikimi për t’i njoftuar aksionarët e kreditorët. Pasi asambletë e secilës shoqëri miratojnë pjesëmarrjen në SE mbajtëse, zbatohen afatet e nenit 25 për mbledhjen e kontributeve të aksioneve (3 muaj + 1 muaj shtesë). Në fund, SE-ja holding regjistrohet vetëm nëse brenda afatit të caktuar aksionarët e shoqërive pjesëmarrëse kontribuojnë përqindjen minimale të aksioneve të kërkuara dhe janë përmbushur të gjitha kushtet e tjera. Kjo dispozitë i bën jehonë Rregullores, e cila kërkon që holdingu të mos krijohet nëse pragu &gt;50% i votave nuk arrihet në njërën nga shoqëritë – përndryshe projekti dështon për të gjitha.</w:t>
      </w:r>
    </w:p>
    <w:p w14:paraId="4EE956ED"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28 (Miratimi nga QKB-ja i regjistrimit të një SE-je mbajtëse) – Është neni final i procesit të holdingut. Pasi aksionarët kanë dhënë kontributet e tyre dhe afatet kanë skaduar, QKB-ja kontrollon nëse të gjitha kushtet janë plotësuar. Konkretisht, QKB-ja verifikon nëse në secilën shoqëri pjesëmarrëse është paguar përqindja minimale e aksioneve brenda afatit, nëse të gjitha kushtet ligjore janë respektuar dhe veprimet juridike janë kryer. Nëse po, QKB regjistron SE-në mbajtëse në regjistrin tregtar dhe lëshon një certifikatë ku deklaron se të gjitha veprimet juridike e formalitetet e kërkuara për themelimin e SE-së mbajtëse janë përmbushur. Kjo certifikatë, e ngjashme me certifikatën e parabashkimit, është dokumenti zyrtar që vërteton ligjshmërinë e krijimit të holdingut. Nëpërmjet regjistrimit tek ne, SE-ja merr personalitetin juridik dhe shoqëritë pjesëmarrëse vazhdojnë ekzistencën e tyre, tani me SE-në si aksioner të ri (që zotëron aksionet e kontribuara).</w:t>
      </w:r>
    </w:p>
    <w:p w14:paraId="68B89125" w14:textId="72AE462F"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Pjesa III e Kreut III (Nenet 29–33) – </w:t>
      </w:r>
      <w:r w:rsidRPr="00D9283B">
        <w:rPr>
          <w:rFonts w:ascii="Times New Roman" w:eastAsia="Times New Roman" w:hAnsi="Times New Roman" w:cs="Times New Roman"/>
          <w:i/>
          <w:iCs/>
          <w:kern w:val="0"/>
          <w:lang w:val="sq-AL"/>
          <w14:ligatures w14:val="none"/>
        </w:rPr>
        <w:t>Themelimi përmes shndërrimit të një shoqërie aksionare dhe shndërrimi i një SE-je në shoqëri aksionare</w:t>
      </w:r>
      <w:r w:rsidRPr="00D9283B">
        <w:rPr>
          <w:rFonts w:ascii="Times New Roman" w:eastAsia="Times New Roman" w:hAnsi="Times New Roman" w:cs="Times New Roman"/>
          <w:kern w:val="0"/>
          <w:lang w:val="sq-AL"/>
          <w14:ligatures w14:val="none"/>
        </w:rPr>
        <w:t xml:space="preserve">. Kjo pjesë trajton dy situata: (1) shndërrimin e një shoqërie aksionare shqiptare në Shoqëri Evropiane (SE) – pra një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 e vetme vendos të transformohet në SE pa u bashkuar me ndonjë tjetër; dhe (2) procesin e kundërt, shndërrimin e një SE-je në një shoqëri aksionare kombëtare – e domosdoshme kur, p.sh., një SE vendos të dalë nga statusi evropian ose nuk i plotëson më kushtet. Këto dispozita garantojnë se transformimet strukturore mund të ndodhin pa likuidim e ri-themelim, thjesht me vazhdimësi juridike.</w:t>
      </w:r>
    </w:p>
    <w:p w14:paraId="0BA52A7C" w14:textId="57E0BD6C"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29 (Plani i shndërrimit) – Përshkruan hapat e parë për kur një shoqëri aksionare e regjistruar në Shqipëri dëshiron të shndërrohet në SE. Kushti kryesor (sipas Rregullores) është që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a aksionare të ketë pasur të paktën një filial ose degë në një shtet tjetër për dy vjet rresht – ky detaj pritet të jetë i përfshirë diku në nenet 29–32. Neni 29 kërkon hartimin e një plani shndërrimi, i cili duhet të miratohet nga organi administrativ dhe paraqitet për aprovim në asamblenë e aksionarëve. Plani i shndërrimit duhet të </w:t>
      </w:r>
      <w:r w:rsidRPr="00D9283B">
        <w:rPr>
          <w:rFonts w:ascii="Times New Roman" w:eastAsia="Times New Roman" w:hAnsi="Times New Roman" w:cs="Times New Roman"/>
          <w:kern w:val="0"/>
          <w:lang w:val="sq-AL"/>
          <w14:ligatures w14:val="none"/>
        </w:rPr>
        <w:lastRenderedPageBreak/>
        <w:t>përmbajë së paku: të dhënat identifikuese të shoqërisë ekzistuese (emri, selia, nr. i regjistrimit), statutin e propozuar për SE-në (dhe statutin e ri të shoqërisë nëse do të krijohet ndonjë entitet i ri gjatë procesit, p.sh. nëse do të ketë një filial të ri), pasojat e mundshme të shndërrimit mbi pjesëmarrjen e punonjësve, afatin kohor të parashikuar të shndërrimit, si dhe masat e mbrojtjes së aksionarëve dhe kreditorëve (p.sh. garanci apo opsione kompensimi). Gjithashtu, organi administrativ i shoqërisë së transformueshme duhet të hartojë një raport të detajuar që shpjegon bazën ligjore dhe ekonomike të shndërrimit të propozuar, vështirësitë specifike të vlerësimit dhe efektin e shndërrimit te punëmarrësit. Ky raport u shpërndahet aksionarëve për t’i ndihmuar ata në marrjen e vendimit të informuar.</w:t>
      </w:r>
    </w:p>
    <w:p w14:paraId="5A5B9C0E" w14:textId="3117BE46"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30 (Shqyrtimi i shndërrimit) – Parashikon përfshirjen e ekspertëve të pavarur edhe në këtë proces transformimi. Përpara se asambleja e aksionarëve të vendosë për shndërrimin në SE, një ose më shumë ekspertë të licencuar (auditorë p.sh.) duhet të kontrollojnë pasqyrat financiare të shoqërisë dhe të vërtetojnë me raport të arsyetuar se vlera neto e aktiveve të shoqërisë (pra kapitali neto) është të paktën e barabartë me shumën e kapitalit të saj themeltar plus rezervat që nuk mund të shpërndahen. Ky është një kusht i rëndësishëm financiar: sigurohet se shoqëria është në gjendje të mirë financiare dhe nuk po e përdor transformimin për të shmangur përgjegjësi (p.sh. nuk është në prag falimenti). Vlerësimi dhe raporti i ekspertëve bëhen në përputhje me parimet e legjislacionit shqiptar për vlerësimin e kontributeve në natyrë dhe pasurive gjatë themelimit apo rritjes së kapitalit. Kështu ruhet i njëjti standard si kur krijohet një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 e re. Gjithashtu, neni 30 ngarkon përfaqësuesit e organit administrativ apo mbikëqyrës me përgjegjësi për çdo dëm nëse shkelin detyrimet gjatë procesit – një klauzolë për t’i detyruar të veprojnë me kujdes dhe ndershmëri.</w:t>
      </w:r>
    </w:p>
    <w:p w14:paraId="077EAA18"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31 (Publikimi i planit të shndërrimit) – Njësoj si në bashkim, kërkohet që plani i shndërrimit dhe dokumentet shoqëruese të vihen në dispozicion të aksionarëve për inspektim përpara vendimit. Organi administrativ duhet të depozitojë planin e shndërrimit në QKB të paktën 1 muaj para datës së mbledhjes së përgjithshme që do të vendosë për miratimin e tij dhe një njoftim për këtë depozitim të publikohet (p.sh. në faqen e internetit të shoqërisë) për të informuar aksionarët se plani është i disponueshëm. Gjatë kësaj periudhe para vendimit, aksionarët kanë të drejtë të shqyrtojnë në zyrat e shoqërisë dokumentet kyçe: planin e shndërrimit, raportin e organit administrativ, raportin e ekspertit, si dhe pasqyrat financiare vjetore dhe raportet e gjendjes së shoqërisë. Këto dokumente duhet të jenë të disponueshme të paktën 1 muaj para mbledhjes. Aksionarët kanë të drejtë të kërkojnë kopje falas të këtyre dokumenteve. Gjatë mbledhjes vetë, dokumentet duhet të jenë sërish në dispozicion dhe organi administrativ duhet të japë një shpjegim verbal mbi planin e shndërrimit, si dhe të informojë aksionarët për çdo ndryshim të rëndësishëm në situatën e shoqërisë që ka ndodhur midis hartimit të planit dhe ditës së vendimit. Këto </w:t>
      </w:r>
      <w:r w:rsidRPr="00D9283B">
        <w:rPr>
          <w:rFonts w:ascii="Times New Roman" w:eastAsia="Times New Roman" w:hAnsi="Times New Roman" w:cs="Times New Roman"/>
          <w:kern w:val="0"/>
          <w:lang w:val="sq-AL"/>
          <w14:ligatures w14:val="none"/>
        </w:rPr>
        <w:lastRenderedPageBreak/>
        <w:t>kërkesa pasqyrojnë transparencë maksimale e informim të plotë të aksionarëve para se të vendosin për transformimin në SE.</w:t>
      </w:r>
    </w:p>
    <w:p w14:paraId="21500881"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32 (Aplikimi për regjistrimin e shndërrimit në QKB) – Pasi asambleja e përgjithshme të ketë miratuar shndërrimin e shoqërisë aksionare në SE, dhe pasi të jenë përmbushur të gjitha kushtet (p.sh. raporti i ekspertit, afatet e njoftimeve), shoqëria paraqet kërkesë për regjistrim si SE pranë QKB-së. Neni 32 përcakton procedurën e aplikimit: dokumentet që duhen paraqitur (vendimi i asamblesë, statuti i ri i SE-së, certifikata e ekspertit, etj.) dhe verifikimet që bën QKB-ja përpara se të regjistrojë SE-në. QKB-ja do të lëshojë pastaj një certifikatë regjistrimi për Shoqërinë Evropiane, e cila dëshmon shndërrimin. Në këtë moment, shoqëria pushon së qeni shoqëri aksionare sipas ligjit shqiptar dhe bëhet Shoqëri Evropiane e rregulluar nga ky ligj. Vazhdimësia juridike është e pandërprerë (nuk ka likuidim).</w:t>
      </w:r>
    </w:p>
    <w:p w14:paraId="1662EFAB" w14:textId="3EA80EC4"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33 (Shndërrimi i një SE në shoqëri aksionare) – Kjo dispozitë merret me situatën e kundërt: kur një SE e regjistruar në Shqipëri dëshiron të kthehet në formën e një shoqërie aksionare të zakonshme (sh.p.k. ose sh.a. shqiptare). Neni 33 përcakton se dispozitat e neneve 29–32 zbatohen në mënyrë të përshtatshme edhe për konvertimin e një SE-je në një shoqëri aksionare. Pra, do të duhet një plan shndërrimi, raporte ekspertësh (për të siguruar se kapitali nuk cenohet), vendim i asamblesë, etj., të njëjtë sikurse procesi i transformimit në SE. Kjo siguron simetri ligjore: një SE mund të dalë nga statusi evropian po aq lehtë sa hyri, natyrisht me mbrojtjet e nevojshme për palët e interesuara. Tipikisht, një SE mund të shndërrohet në shoqëri vendase nëse, p.sh., selia e saj zhvendoset jashtë BE-së (atëherë detyrohet të dalë nga sistemi SE), ose thjesht aksionarët vendosin se nuk duan më të kenë status SE. Kërkesat do të jenë analogjike – p.sh. miratimi në asamble me kuorum të lartë (meqë ndryshon statusin e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së), ekspertizë, dhe regjistrim në QKB të formës së re.</w:t>
      </w:r>
    </w:p>
    <w:p w14:paraId="6C912C70" w14:textId="77777777" w:rsidR="00A85B5D" w:rsidRPr="00D9283B" w:rsidRDefault="00A85B5D" w:rsidP="00A85B5D">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Kreu IV (Nenet 34–50) – </w:t>
      </w:r>
      <w:r w:rsidRPr="00D9283B">
        <w:rPr>
          <w:rFonts w:ascii="Times New Roman" w:eastAsia="Times New Roman" w:hAnsi="Times New Roman" w:cs="Times New Roman"/>
          <w:i/>
          <w:iCs/>
          <w:kern w:val="0"/>
          <w:lang w:val="sq-AL"/>
          <w14:ligatures w14:val="none"/>
        </w:rPr>
        <w:t>Struktura dhe administrimi i SE-ve; Pasqyrat financiare vjetore</w:t>
      </w:r>
      <w:r w:rsidRPr="00D9283B">
        <w:rPr>
          <w:rFonts w:ascii="Times New Roman" w:eastAsia="Times New Roman" w:hAnsi="Times New Roman" w:cs="Times New Roman"/>
          <w:kern w:val="0"/>
          <w:lang w:val="sq-AL"/>
          <w14:ligatures w14:val="none"/>
        </w:rPr>
        <w:t>. Ky kre i kushtohet organizimit të brendshëm të Shoqërisë Evropiane – organeve të saj dhe funksionimit të tyre – si dhe aspektit të raportimit financiar. Është një pjesë shumë e rëndësishme, sepse përcakton se si SE-ja do të qeveriset (sistemi një-nivelësh apo dy-nivelësh, kompetencat e organeve, mandati i drejtuesve, etj.), gjithnjë në harmoni me parimet e Rregullores dhe me ligjin tonë të shoqërive tregtare.</w:t>
      </w:r>
    </w:p>
    <w:p w14:paraId="1862C32B"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34 (Organet e SE-së) – Vendos bazat e strukturës së korporatës SE. Në përputhje me Rregulloren, një SE duhet të ketë: (a) mbledhjen e përgjithshme të aksionarëve dhe (b) ose një këshill mbikëqyrës + organ drejtues (bordi administrativ) në sistemin dy-nivelësh, ose vetëm një organ administrativ (bord i vetëm) në sistemin një-nivelësh. Kjo zgjedhje (monist vs dualist) i lihet statutit të SE-së dhe varet nga çfarë formë zgjedhin themeluesit. Neni 34 e sanksionon këtë dhe përcakton se organet do të funksionojnë “në përputhje me kushtet e përcaktuara në këtë ligj”, që do të thotë kapitujt pasues do e detajojnë secilin sistem.</w:t>
      </w:r>
    </w:p>
    <w:p w14:paraId="1FE6137A"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Pjesa I e Kreut IV (Nenet 35–38) – </w:t>
      </w:r>
      <w:r w:rsidRPr="00D9283B">
        <w:rPr>
          <w:rFonts w:ascii="Times New Roman" w:eastAsia="Times New Roman" w:hAnsi="Times New Roman" w:cs="Times New Roman"/>
          <w:i/>
          <w:iCs/>
          <w:kern w:val="0"/>
          <w:lang w:val="sq-AL"/>
          <w14:ligatures w14:val="none"/>
        </w:rPr>
        <w:t>Sistemi me dy nivele</w:t>
      </w:r>
      <w:r w:rsidRPr="00D9283B">
        <w:rPr>
          <w:rFonts w:ascii="Times New Roman" w:eastAsia="Times New Roman" w:hAnsi="Times New Roman" w:cs="Times New Roman"/>
          <w:kern w:val="0"/>
          <w:lang w:val="sq-AL"/>
          <w14:ligatures w14:val="none"/>
        </w:rPr>
        <w:t>. Kjo pjesë zbërthen rregullat kur SE-ja ka këshill mbikëqyrës dhe organ drejtues (bordi menaxhues) të ndara.</w:t>
      </w:r>
    </w:p>
    <w:p w14:paraId="5885F467"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lastRenderedPageBreak/>
        <w:t>Neni 35 (Organizimi i organit drejtues) – Përshkruan bordin drejtues (organin administrativ) të një SE-je dy-nivelëshe. Ky organ (i ngjashëm me bordin ekzekutiv) është përgjegjës për drejtimin e përditshëm dhe përfaqësimin ligjor të SE-së. Mund të jetë një ose më shumë anëtarë (administratorë) që përfaqësojnë shoqërinë. Pika e dytë e nenit 35 thotë se, sa i takon mënyrës së organizimit, mbledhjes, kompetencave, të drejtave e detyrimeve të organit drejtues, zbatohen dispozitat përkatëse për shoqëritë aksionare në ligjin shqiptar. Kjo është shumë e rëndësishme: do të thotë se rregullat e Ligjit nr. 9901 (p.sh. mbi bordin drejtues në sistemin dualist, nëse ka të tilla) ose praktikat e mira të tij zbatohen dhe nuk ri-shpikemi rrota. Për emërimin dhe shkarkimin: në parim, anëtarët e organit drejtues emërohen dhe shkarkohen nga këshilli mbikëqyrës. Por statuti i SE-së mund të parashikojë që këto kompetenca t’i ketë edhe mbledhja e përgjithshme e aksionarëve (kjo fleksibilitet jepet edhe nga Rregullorja). Neni 35 vendos edhe ndalesën që asnjë person s’mund të jetë njëkohësisht anëtar i organit drejtues dhe i këshillit mbikëqyrës së së njëjtës SE (ndarja e roleve për të garantuar kontrollin e pavarur). Por këshillit mbikëqyrës i lejohet të emërojë një nga anëtarët e tij si anëtar të përkohshëm të organit drejtues në rast vakance, me pezullimin e rolit të tij mbikëqyrës ndërkohë – një masë fleksibiliteti për raste emergjente. Numri i anëtarëve të organit drejtues ose rregullat për caktimin e tij do të vendosen në statutin e SE-së (pra ligji nuk imponon numër fiks, por lë fleksibilitet).</w:t>
      </w:r>
    </w:p>
    <w:p w14:paraId="25FDFF64"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36 (Organizimi i këshillit mbikëqyrës) – Rregullon këshillin mbikëqyrës, i cili mbikëqyr punën e organit drejtues dhe nuk mund të ushtrojë vetë funksione ekzekutive. Anëtarët e këshillit mbikëqyrës emërohen nga asambleja e përgjithshme e aksionarëve (si rregull i përgjithshëm), përveç rasteve kur parashikohet ndryshe (p.sh. punonjësit mund të kenë të drejtë të zgjedhin disa anëtarë sipas marrëveshjes së pjesëmarrjes). Për mënyrën e organizimit, kompetencat, vendimmarrjen dhe të drejtat e detyrimet e këshillit mbikëqyrës, referohet sërish tek dispozitat përkatëse të ligjit shqiptar për shoqëritë aksionare. Kjo do të thotë, p.sh., afatet e mbledhjeve të këshillit, kuorumi, raportimi i konfliktit të interesit etj., ndiqen sipas rregullave tashmë ekzistuese. Numri i anëtarëve të këshillit ose si caktohet përcaktohet në statut (ligji ynë i shoqërive jep një interval, p.sh. 3-21 anëtarë për këshillin mbikëqyrës – statuti brenda këtyre kufijve vendos).</w:t>
      </w:r>
    </w:p>
    <w:p w14:paraId="1C3B6F5B"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37 (Informimi dhe mbikëqyrja) – Kjo dispozitë vendos detyrimet e organit drejtues për të informuar këshillin mbikëqyrës dhe fuqitë e këtij të fundit për të mbikëqyrur. Konkretisht, organi drejtues duhet të paraqesë pranë këshillit mbikëqyrës të paktën çdo 3 muaj një raport mbi ecurinë dhe zhvillimet e parashikueshme të veprimtarisë së SE-së. Po ashtu, ai duhet ta informojë menjëherë këshillin për çdo ngjarje të rëndësishme që mund të ndikojë në SE. Nga ana e vet, këshilli mbikëqyrës ka të drejtë të kërkojë nga organi drejtues çdo informacion që e konsideron të nevojshëm për funksionin mbikëqyrës, dhe mund të ndërmarrë ose porosisë çdo hetim që e sheh të arsyeshëm për të përmbushur detyrën e vet. Çdo anëtar i këshillit </w:t>
      </w:r>
      <w:r w:rsidRPr="00D9283B">
        <w:rPr>
          <w:rFonts w:ascii="Times New Roman" w:eastAsia="Times New Roman" w:hAnsi="Times New Roman" w:cs="Times New Roman"/>
          <w:kern w:val="0"/>
          <w:lang w:val="sq-AL"/>
          <w14:ligatures w14:val="none"/>
        </w:rPr>
        <w:lastRenderedPageBreak/>
        <w:t>mbikëqyrës ka të drejtë të shohë të gjitha informacionet që i janë paraqitur atij organi. Këto rregulla sigurojnë një komunikim periodik dhe të plotë midis menaxhimit dhe mbikëqyrjes dhe fuqizojnë rolin kontrollues të këshillit.</w:t>
      </w:r>
    </w:p>
    <w:p w14:paraId="2F2BA93C"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38 (Kryetari i këshillit mbikëqyrës) – Këshilli mbikëqyrës zgjedh një kryetar nga radhët e veta. Nëse gjysma e anëtarëve të këshillit janë emëruar nga punëmarrësit (rast i pjesëmarrjes së punëtorëve në bord), atëherë vetëm një anëtar i emëruar nga aksionarët mund të zgjidhet kryetar. Kjo garanton që kryetari i këshillit (i cili ka rol të rëndësishëm, p.sh. cakton rendin e ditës, thërret mbledhje, etj.) të jetë gjithmonë nga përfaqësuesit e aksionarëve nëse punonjësit përbëjnë gjysmën e këshillit – një balancim i menduar për të ruajtur përfaqësimin e pronarëve në krye. (Ky nen reflekton saktësisht nenin 40(2) të Rregullores SE.)</w:t>
      </w:r>
    </w:p>
    <w:p w14:paraId="39083EF6"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Pjesa II e Kreut IV (Nenet 39–41) – </w:t>
      </w:r>
      <w:r w:rsidRPr="00D9283B">
        <w:rPr>
          <w:rFonts w:ascii="Times New Roman" w:eastAsia="Times New Roman" w:hAnsi="Times New Roman" w:cs="Times New Roman"/>
          <w:i/>
          <w:iCs/>
          <w:kern w:val="0"/>
          <w:lang w:val="sq-AL"/>
          <w14:ligatures w14:val="none"/>
        </w:rPr>
        <w:t>Sistemi me një nivel</w:t>
      </w:r>
      <w:r w:rsidRPr="00D9283B">
        <w:rPr>
          <w:rFonts w:ascii="Times New Roman" w:eastAsia="Times New Roman" w:hAnsi="Times New Roman" w:cs="Times New Roman"/>
          <w:kern w:val="0"/>
          <w:lang w:val="sq-AL"/>
          <w14:ligatures w14:val="none"/>
        </w:rPr>
        <w:t>. Këto nene janë të ngjashme me 35–38, por për rastin kur SE-ja ka vetëm një organ administrativ, i cili ushtron funksionet e menaxhimit dhe kontrollit të brendshëm pa një këshill mbikëqyrës të veçantë.</w:t>
      </w:r>
    </w:p>
    <w:p w14:paraId="0C6426E2"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39 (Organizimi i organit administrativ) – Parashtron se organi administrativ (bordi i vetëm) është përgjegjës për drejtimin dhe përfaqësimin e SE-së, njësoj si në sistemin dy-nivelësh. Mund të ketë një ose më shumë administratorë (në praktikë quhen drejtorë ekzekutivë ose </w:t>
      </w:r>
      <w:r w:rsidRPr="00D9283B">
        <w:rPr>
          <w:rFonts w:ascii="Times New Roman" w:eastAsia="Times New Roman" w:hAnsi="Times New Roman" w:cs="Times New Roman"/>
          <w:i/>
          <w:iCs/>
          <w:kern w:val="0"/>
          <w:lang w:val="sq-AL"/>
          <w14:ligatures w14:val="none"/>
        </w:rPr>
        <w:t>directors</w:t>
      </w:r>
      <w:r w:rsidRPr="00D9283B">
        <w:rPr>
          <w:rFonts w:ascii="Times New Roman" w:eastAsia="Times New Roman" w:hAnsi="Times New Roman" w:cs="Times New Roman"/>
          <w:kern w:val="0"/>
          <w:lang w:val="sq-AL"/>
          <w14:ligatures w14:val="none"/>
        </w:rPr>
        <w:t xml:space="preserve">). Për sa i përket mënyrës së funksionimit të këtij bordi, neni 39 përcakton se, </w:t>
      </w:r>
      <w:r w:rsidRPr="00D9283B">
        <w:rPr>
          <w:rFonts w:ascii="Times New Roman" w:eastAsia="Times New Roman" w:hAnsi="Times New Roman" w:cs="Times New Roman"/>
          <w:i/>
          <w:iCs/>
          <w:kern w:val="0"/>
          <w:lang w:val="sq-AL"/>
          <w14:ligatures w14:val="none"/>
        </w:rPr>
        <w:t>përveç kur parashikohet ndryshe në këtë ligj</w:t>
      </w:r>
      <w:r w:rsidRPr="00D9283B">
        <w:rPr>
          <w:rFonts w:ascii="Times New Roman" w:eastAsia="Times New Roman" w:hAnsi="Times New Roman" w:cs="Times New Roman"/>
          <w:kern w:val="0"/>
          <w:lang w:val="sq-AL"/>
          <w14:ligatures w14:val="none"/>
        </w:rPr>
        <w:t>, për mënyrën e mbledhjes, organizimit, pjesëmarrjes, përfaqësimit, kompetencat, vendimmarrjen, të drejtat dhe detyrimet e organit administrativ zbatohen dispozitat përkatëse për shoqëritë aksionare në ligjin shqiptar. Kjo lidhet fort me faktin që Shqipëria tek ligji i shoqërive aktualisht ka vetëm sistemin dy-nivelësh të pastër për shoqëritë aksionare (bordi drejtues + këshill mbikëqyrës), ndaj ky referim do të thotë: për aspekte si thirrja e mbledhjeve të bordit, procesverbali, përgjegjësitë fiduciare, konflikti i interesave, etj., do të ndiqen rregullat e përgjithshme të bordit drejtues (ose adaptime të tyre) edhe pse ky organ këtu i ka të gjitha kompetencat. (Ndoshta akte nënligjore ose statuti do të mbulojnë boshllëqet, pasi sistemi monist është koncept i ri për ne.)</w:t>
      </w:r>
    </w:p>
    <w:p w14:paraId="79345276"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40 (Kryetari dhe zëvendëskryetarët e organit administrativ) – [Ky nen nuk shfaqet në fragmentet e cituara, por me shumë gjasë ekziston.] Në sistemin monist, zakonisht ligjet parashikojnë zgjedhjen e një kryetari të bordit (i cili mund të jetë edhe CEO apo jo, varet nga modeli i qeverisjes). Mund të ketë gjithashtu zëvendëskryetarë apo komitete brenda bordit që merren me auditimin, etj., sipas kërkesave të legjislacionit të korporatave. Nëse ky nen ekziston, ai mund të imponojë disa nga këto struktura në përputhje me direktivat e BE-së për korporatat (p.sh. Direktivën e Auditimit, etj.).</w:t>
      </w:r>
    </w:p>
    <w:p w14:paraId="674C7911"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41 (Kryetari i organit administrativ) – Fragmenti i dokumentit tregon këtë nen në kontekst pak më lart. Për sistemin monist, neni 41 kërkon që organi administrativ të zgjedhë një kryetar nga anëtarët e tij. Dhe, analog </w:t>
      </w:r>
      <w:r w:rsidRPr="00D9283B">
        <w:rPr>
          <w:rFonts w:ascii="Times New Roman" w:eastAsia="Times New Roman" w:hAnsi="Times New Roman" w:cs="Times New Roman"/>
          <w:kern w:val="0"/>
          <w:lang w:val="sq-AL"/>
          <w14:ligatures w14:val="none"/>
        </w:rPr>
        <w:lastRenderedPageBreak/>
        <w:t>me rregullin për këshillin mbikëqyrës, nëse gjysma e anëtarëve të bordit janë të emëruar nga punonjësit, vetëm një anëtar i emëruar nga aksionarët mund të zgjidhet kryetar. Kjo siguron që kryetari i bordit të përfaqësojë aksionarët, edhe në rastin e përfshirjes së punonjësve.</w:t>
      </w:r>
    </w:p>
    <w:p w14:paraId="7BCD7948"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Pjesa III e Kreut IV (Nenet 42–46) – </w:t>
      </w:r>
      <w:r w:rsidRPr="00D9283B">
        <w:rPr>
          <w:rFonts w:ascii="Times New Roman" w:eastAsia="Times New Roman" w:hAnsi="Times New Roman" w:cs="Times New Roman"/>
          <w:i/>
          <w:iCs/>
          <w:kern w:val="0"/>
          <w:lang w:val="sq-AL"/>
          <w14:ligatures w14:val="none"/>
        </w:rPr>
        <w:t>Rregulla të përbashkëta për sistemin me një dhe dy nivele</w:t>
      </w:r>
      <w:r w:rsidRPr="00D9283B">
        <w:rPr>
          <w:rFonts w:ascii="Times New Roman" w:eastAsia="Times New Roman" w:hAnsi="Times New Roman" w:cs="Times New Roman"/>
          <w:kern w:val="0"/>
          <w:lang w:val="sq-AL"/>
          <w14:ligatures w14:val="none"/>
        </w:rPr>
        <w:t>. Këto nene vlejnë për të dy llojet e sistemeve të administrimit dhe adresojnë çështje të përgjithshme si mandati, kushtet e kualifikimit, përgjegjësitë, etj., të anëtarëve të organeve të SE-së.</w:t>
      </w:r>
    </w:p>
    <w:p w14:paraId="14B2C5E1"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42 (Mandati i anëtarëve të organeve të SE-së) – Përcakton se anëtarët e organeve (qoftë bordit administrativ monist, apo bordit drejtues dhe këshillit mbikëqyrës dualist) emërohen për një periudhë të caktuar në statut, që nuk mund të jetë më e gjatë se 6 vjet. Kjo do të thotë se mandati maksimal i një administratori apo mbikëqyrësi është 6 vjet, me mundësi ririzgjedhjeje nëse statuti lejon. Me përjashtim të kufizimeve statutore, anëtarët mund të riemërohen një ose më shumë herë, secili mandat deri në 6 vjet. Ky nen siguron rotacionin e drejtuesve dhe mbikëqyrësve dhe përputhet me praktikat e mira të qeverisjes (p.sh. rifreskimin e bordit periodikisht).</w:t>
      </w:r>
    </w:p>
    <w:p w14:paraId="295E12FE" w14:textId="3C224D03"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43 (Kushtet për anëtarësim në organet e SE-së) – Vendos kriteret e kualifikimit dhe përjashtimit për personat që mund të jenë anëtarë të organeve të një SE-je. Ndalohet që dikush të jetë anëtar i një organi të SE-së ose përfaqësues i një anëtari (fjala është për përfaqësues në këshill mbikëqyrës nëse aksionarët punonjës emërojnë dikë) nëse: (a) është i përjashtuar nga e drejta për të qenë anëtar organi drejtues/mbikëqyrës sipas ligjit të atij shteti anëtar ku SE-ja ka selinë (kjo i referohet faktit se në disa shtete persona me precedent penal për vepra financiare nuk lejohen të jenë drejtues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sh; pra nëse një person është i ndaluar në vendin e SE-së – Shqipëri këtu – ai s’mund të bëhet dot drejtues i SE-së); ose (b) është i përjashtuar me vendim gjyqësor apo administrativ në ndonjë shtet tjetër të BE-së. Pra, nëse dikush ka ndalim administrimi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e në BE, ai nuk mund të vijë të drejtojë një SE në Shqipëri. Kjo siguron integritetin e administratës dhe shmang abuzimin e “strehës” ligjore. Neni 43 më tej sqaron se ky ligj nuk cenon të drejtën e parashikuar në ligjin shqiptar për shoqëritë tregtare për emërimin e disa anëtarëve të organeve nga aksionarët e pakicës ose nga persona/autoritete të tjera (nëse ka të tilla). Këtu i referohet dispozitave të veçanta që mund të ekzistojnë ku, bie fjala, në shoqëritë me interes publik mundet ndonjë agjenci shtetërore të emërojë një anëtar bordi, ose aksionerët minoritarë të kenë një vend të garantuar në këshill – nëse legjislacioni i lejon këto, ato vlejnë edhe për SE-në.</w:t>
      </w:r>
    </w:p>
    <w:p w14:paraId="190B7457"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44 (Transaksione që kërkojnë autorizim) – Kërkon që statuti i SE-së të përmbajë një listë dhe përshkrim të transaksioneve që kërkojnë miratim të veçantë. Në sistemin dy-nivelësh, këto transaksione do të kërkojnë autorizimin e këshillit mbikëqyrës; në sistemin një-nivelësh, një vendim të posaçëm të asamblesë së aksionarëve. Ligji përcakton se kategoritë minimale të transaksioneve që duhet të përfshihen në statut janë ato të parashikuara për shoqëritë aksionare në ligjin shqiptar. Kjo nënkupton transaksionet e mëdha si: shitblerje të pasurive mbi një prag të caktuar, </w:t>
      </w:r>
      <w:r w:rsidRPr="00D9283B">
        <w:rPr>
          <w:rFonts w:ascii="Times New Roman" w:eastAsia="Times New Roman" w:hAnsi="Times New Roman" w:cs="Times New Roman"/>
          <w:kern w:val="0"/>
          <w:lang w:val="sq-AL"/>
          <w14:ligatures w14:val="none"/>
        </w:rPr>
        <w:lastRenderedPageBreak/>
        <w:t>huamarrje të konsiderueshme, vendosje e barrëve mbi pasuri të shoqërisë, ndryshim aktiviteti, etj., që në ligjin tonë kërkojnë miratimin e asamblesë. Statuti i SE-së mund të zgjerojë gamën e transaksioneve që kërkojnë miratim, por jo më pak sesa ato minimale të parashikuara nga ligji. Qëllimi është të forcohet kontrolli ndaj vendimeve të rëndësishme – ose nga aksionarët, ose nga këshilli mbikëqyrës – dhe të parandalohen veprimet e pamenduara nga menaxhmenti.</w:t>
      </w:r>
    </w:p>
    <w:p w14:paraId="677AEDD1"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45 (Konfidencialiteti i informacionit) – U imponon anëtarëve të organeve të SE-së detyrimin e ruajtjes së sekretit profesional. Ata, edhe pas mbarimit të mandatit, nuk duhet të zbulojnë asnjë informacion konfidencial për SE-në që mund të dëmtojë interesat e saj nëse bëhet publik. Përjashtime janë rastet kur publikimi kërkohet ose lejohet nga ligji (p.sh. detyrime raportimi) ose kur kërkohet nga organet me autoritet ligjor (p.sh. nga një gjykatë ose rregullator). Kjo dispozitë ruan biznes-sekretet dhe informacionet sensitive të shoqërisë, duke i ndëshkuar ata drejtorë që mund të abuzojnë me dijeninë e brendshme. Është në përputhje me standardet e qeverisjes korporative dhe me rregullat tipike të konfidencialitetit.</w:t>
      </w:r>
    </w:p>
    <w:p w14:paraId="72025E50"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46 (Përgjegjësia e anëtarëve të organeve) – Normë kyçe që trajton përgjegjësinë ligjore të aksionarëve dhe anëtarëve të organeve të një SE-je ndaj vetë SE-së. Thotë se aksionarët, anëtarët e këshillit mbikëqyrës dhe ata të organit drejtues të një SE-je janë përgjegjës, sipas dispozitave përkatëse të ligjit shqiptar për shoqëritë tregtare, për çdo dëm të shkaktuar ndaj SE-së si rezultat i shkeljes së detyrimeve ligjore, statutore apo të tjera që rrjedhin nga funksioni i tyre. Kjo e barazon përgjegjësinë me atë që do të kishin në një shoqëri aksionare shqiptare: p.sh., administratorët mbajnë përgjegjësi nëse me faj shkaktojnë dëm shoqërisë (themel i padive civile nga vetë shoqëria), ose aksionarët mund të mbajnë përgjegjësi në raste abuzimi të formës ligjore (p.sh. teoria e ngritjes së velos korporative). Kjo siguron se parimet e përgjegjësisë fiduciare (detyrës së kujdesit dhe besnikërisë) zbatohen plotësisht edhe në SE-të në Shqipëri.</w:t>
      </w:r>
    </w:p>
    <w:p w14:paraId="5FE918C6"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Kreu IV (vijon me Nenet 47–50) – Pas rregullave të strukturës dhe administrimit, kreu IV vijon me mbledhjen e përgjithshme të aksionarëve (nenet 47–48) dhe me pasqyrat financiare (nenet 49–50).</w:t>
      </w:r>
    </w:p>
    <w:p w14:paraId="0C684B8F"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47 (Kompetencat e mbledhjes së përgjithshme) – Konfirmon se mbledhja e përgjithshme e aksionarëve në një SE ka kompetencat që i jepen asaj nga ky ligj ose nga ligji shqiptar për shoqëritë tregtare. Parimi: përveçse kur parashikohet ndryshe në këtë ligj, mënyra e organizimit të asamblesë, thirrja, pjesëmarrja, përfaqësimi, kompetencat, vendimmarrja, të drejtat dhe detyrimet e asamblesë së aksionarëve dhe të vetë aksionarëve i nënshtrohen dispozitave përkatëse për shoqëritë aksionare të ligjit shqiptar. Kjo është një klauzolë shumë e rëndësishme e integrimit: do të thotë se rregullat tona ekzistuese mbi asamblenë (p.sh. periodikisht të paktën një herë në vit, kuorumi 50% për vendime të zakonshme, 2/3 për vendime të veçanta, e drejta e aksionarëve për pyetje, për propozim kandidatësh për bord, etj.) vlejnë edhe për asamblenë e SE-së, me vetëm ato ndryshime që ky ligj mund të ketë parashikuar specifikisht. Në paragrafin e parë të nenit 47 thuhet se </w:t>
      </w:r>
      <w:r w:rsidRPr="00D9283B">
        <w:rPr>
          <w:rFonts w:ascii="Times New Roman" w:eastAsia="Times New Roman" w:hAnsi="Times New Roman" w:cs="Times New Roman"/>
          <w:kern w:val="0"/>
          <w:lang w:val="sq-AL"/>
          <w14:ligatures w14:val="none"/>
        </w:rPr>
        <w:lastRenderedPageBreak/>
        <w:t>asambleja vendos për çështjet për të cilat ka kompetencë sipas këtij ligji ose ligjit shqiptar për shoqëritë aksionare. Kjo përfshin: emërimin e auditorëve, miratimin e bilanceve, shpërndarjen e fitimit, ndryshimet në statut, rritje/ulje kapitali, emërim/dismissal të këshillit mbikëqyrës (në sistemin dualist) ose anëtarëve të bordit (në sistemin monist) nëse statuti ia jep asamblesë këtë kompetencë, etj.</w:t>
      </w:r>
    </w:p>
    <w:p w14:paraId="18276872"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48 (Mbledhja e përgjithshme vjetore dhe të tjera) – Përcakton frekuencën minimale dhe rregulla bazë të mbledhjeve të aksionarëve. Një mbledhje e përgjithshme vjetore duhet të mbahet të paktën një herë në vit, brenda 6 muajve nga mbyllja e vitit financiar. Kjo është e njëjtë me kërkesën e ligjit shqiptar dhe direktivave të BE-së. Gjithashtu, asambletë e përgjithshme mund të thirren në çdo kohë nga organi drejtues, organi administrativ, këshilli mbikëqyrës ose çdo organ apo autoritet tjetër kompetent sipas legjislacionit kombëtar për shoqëritë aksionare në shtetin anëtar përkatës. Kjo do të thotë: nëse ligji shqiptar (ose ai i shtetit të BE-së, në kontekst, por meqë SE-ja është në Shqipëri, ligji shqiptar) parashikon që një numër i caktuar aksionarësh (p.sh. 5% e kapitalit) mund të kërkojnë thirrjen e asamblesë, apo gjykata mund të urdhërojë thirrjen në raste të caktuara, atëherë e njëjta gjë vlen për SE-në. Ky nen siguron se asambleja vjetore do të mbahet rregullisht dhe rregullon thirrjen e asambleve të tjera, harmonizuar me parimet tona.</w:t>
      </w:r>
    </w:p>
    <w:p w14:paraId="3ADE996F" w14:textId="77777777" w:rsidR="00A85B5D" w:rsidRPr="00D9283B" w:rsidRDefault="00A85B5D" w:rsidP="00A85B5D">
      <w:pPr>
        <w:spacing w:before="100" w:beforeAutospacing="1" w:after="100" w:afterAutospacing="1" w:line="240" w:lineRule="auto"/>
        <w:ind w:left="1440"/>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(Pas nenit 48, dokumenti i ngarkuar tregon se fillon KREU IV me pasqyrat financiare, por me shumë gjasa, nenet 49 dhe 50 janë ende pjesë e Kreut IV, pjesa e dytë e tij për llogaritë vjetore.)</w:t>
      </w:r>
    </w:p>
    <w:p w14:paraId="08B0FDC3" w14:textId="619C5518"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49 (Zbatimi i rregullave kombëtare për pasqyrat financiare) – Përcakton se, me përjashtim të rasteve kur ky ligj parashikon ndryshe në nenin 50, një SE në Shqipëri i nënshtrohet rregullave që zbatohen për shoqëritë aksionare sipas ligjit shqiptar sa i takon: hartimit të pasqyrave financiare vjetore dhe, kur kërkohet, pasqyrave të konsoliduara; raportit vjetor shoqërues; auditimit; dhe publikimit/dorëzimit të pasqyrave financiare. Kjo në thelb do të thotë se SE-të do të ndjekin Ligjin “Për kontabilitetin dhe pasqyrat financiare” dhe rregullat e standardeve kombëtare/IFRS si çdo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 tjetër e madhe, do t’i nënshtrohen auditimit ligjor nëse plotësojnë kriteret (dhe me shumë gjasa do i plotësojnë, se SE-ja ka kapital min 120k €), dhe do të depozitojnë bilancet e tyre në QKB ose organin përkatës për publikim, njësoj si shoqëritë aksionare të zakonshme. Nuk ka trajtim të veçantë për SE-në, përveç se do të duhen edhe konsolidime nëse ka filiale.</w:t>
      </w:r>
    </w:p>
    <w:p w14:paraId="0903CB6E" w14:textId="77777777" w:rsidR="00A85B5D" w:rsidRPr="00D9283B" w:rsidRDefault="00A85B5D" w:rsidP="00A85B5D">
      <w:pPr>
        <w:numPr>
          <w:ilvl w:val="2"/>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50 (Dispozita të veçanta për institucionet financiare dhe të sigurimit) – Ky nen thotë se një SE që është institucion i mbikëqyrur nga Banka e Shqipërisë dhe/ose nga Autoriteti i Mbikëqyrjes Financiare (AMF) i nënshtrohet rregullave të posaçme të legjislacionit sektorial për pasqyrat financiare vjetore, konsoliduara, raportin vjetor, auditimin dhe publikimin e tyre. Pra, nëse kemi një SE bankë apo një SE shoqëri sigurimi, ajo duhet </w:t>
      </w:r>
      <w:r w:rsidRPr="00D9283B">
        <w:rPr>
          <w:rFonts w:ascii="Times New Roman" w:eastAsia="Times New Roman" w:hAnsi="Times New Roman" w:cs="Times New Roman"/>
          <w:kern w:val="0"/>
          <w:lang w:val="sq-AL"/>
          <w14:ligatures w14:val="none"/>
        </w:rPr>
        <w:lastRenderedPageBreak/>
        <w:t>të ndjekë rregullat specifike të kontabilitetit bankar/sigurimeve dhe raportimit që vendosin Banka e Shqipërisë apo AMF-ja. Kjo është e logjikshme sepse këto institucione kanë kërkesa shtesë (p.sh. format e raporteve prudenciale). Neni 50 në këtë mënyrë vendos një mbivendosje të rregullave sektoriale mbi ato të përgjithshmet për pasqyrat, për SE-të e sektorëve financiarë. Kjo lidhet edhe me nenin 5 të projektligjit ku thuhet se autoriteti financiar mund të kundërshtojë transferimin e selisë – në fakt, projektligji mban konsistencë duke njohur rolin e këtyre autoriteteve në të gjitha aspektet (edhe financiare) të SE-ve që operojnë në ato fusha.</w:t>
      </w:r>
    </w:p>
    <w:p w14:paraId="719FE72A" w14:textId="77777777" w:rsidR="00A85B5D" w:rsidRPr="00D9283B" w:rsidRDefault="00A85B5D" w:rsidP="00A85B5D">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Kreu V (Nenet 51–54) – </w:t>
      </w:r>
      <w:r w:rsidRPr="00D9283B">
        <w:rPr>
          <w:rFonts w:ascii="Times New Roman" w:eastAsia="Times New Roman" w:hAnsi="Times New Roman" w:cs="Times New Roman"/>
          <w:i/>
          <w:iCs/>
          <w:kern w:val="0"/>
          <w:lang w:val="sq-AL"/>
          <w14:ligatures w14:val="none"/>
        </w:rPr>
        <w:t>Shpërbërja, likuidimi, falimentimi dhe dispozita të fundit</w:t>
      </w:r>
      <w:r w:rsidRPr="00D9283B">
        <w:rPr>
          <w:rFonts w:ascii="Times New Roman" w:eastAsia="Times New Roman" w:hAnsi="Times New Roman" w:cs="Times New Roman"/>
          <w:kern w:val="0"/>
          <w:lang w:val="sq-AL"/>
          <w14:ligatures w14:val="none"/>
        </w:rPr>
        <w:t>. Ky kre përfshin trajtimin ligjor të mbylljes së një SE-je, aktet nënligjore të nevojshme, si dhe dispozitat përfundimtare si shfuqizime e hyrja në fuqi.</w:t>
      </w:r>
    </w:p>
    <w:p w14:paraId="1E743CE8" w14:textId="5B92BA98"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51 (Zbatimi i së drejtës kombëtare për procedurat e përfundimit të aktivitetit) – Përcakton se për shpërbërjen, likuidimin, falimentimin, pezullimin e pagesave dhe procedurat e ngjashme ndaj një SE-je, zbatohen dispozitat ligjore që zbatohen për shoqëritë aksionare shqiptare. Praktikisht, nëse një SE ndeshet me insolvencë apo vendoset të mbyllet, do të ndiqen rregullat e Ligjit “Për falimentimin” dhe ato të Ligjit “Për shoqëritë tregtare” që lidhen me likuidimin e shoqërive, njësoj sikur të ishte shoqëri aksionare. Kjo garanton se nuk krijohet një regjim i veçantë falimentimi për SE-në – ajo trajtohet si çdo </w:t>
      </w:r>
      <w:r w:rsidR="00170019">
        <w:rPr>
          <w:rFonts w:ascii="Times New Roman" w:eastAsia="Times New Roman" w:hAnsi="Times New Roman" w:cs="Times New Roman"/>
          <w:kern w:val="0"/>
          <w:lang w:val="sq-AL"/>
          <w14:ligatures w14:val="none"/>
        </w:rPr>
        <w:t>shoqëri</w:t>
      </w:r>
      <w:r w:rsidRPr="00D9283B">
        <w:rPr>
          <w:rFonts w:ascii="Times New Roman" w:eastAsia="Times New Roman" w:hAnsi="Times New Roman" w:cs="Times New Roman"/>
          <w:kern w:val="0"/>
          <w:lang w:val="sq-AL"/>
          <w14:ligatures w14:val="none"/>
        </w:rPr>
        <w:t xml:space="preserve"> vendase në aspektin procedural. Për më tepër, neni 51 parashikon se, pa paragjykuar ndonjë kërkesë të ligjit kombëtar për publikime shtesë, nisja dhe përfundimi i procedurave së shpërbërjes, likuidimit, falimentimit a pezullimit pagesave, si dhe çdo vendim për vazhdimin e veprimtarisë (nëse anulohen procedurat), publikohen sipas nenit 2 të këtij ligji. Kjo do të thotë se çdo hap i tillë do të regjistrohet e publikohet në QKB (neni 2 fliste për publikimin e të dhënave të SE-së në regjistrin tregtar). Kjo rrit transparencën për palët e interesuara (p.sh. kreditorët e një SE-je do ta marrin vesh nisjen e falimentit nga publikimi në QKB).</w:t>
      </w:r>
    </w:p>
    <w:p w14:paraId="6C51537D"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 xml:space="preserve">Neni 52 (Aktet nënligjore në zbatim të ligjit) – Ngarkon institucionet e ekzekutivit me nxjerrjen e akteve nënligjore të nevojshme për zbatimin e plotë të këtij ligji. Në veçanti: Këshilli i Ministrave ngarkohet të miratojë procedurat e hollësishme për deklarimin, trajtimin dhe shkëmbimin e të dhënave të detyrueshme sipas legjislacionit tatimor, të sigurimeve shoqërore e shëndetësore, të punës dhe atij të statistikave, si dhe të miratojë procedurën e lëshimit të numrit unik të identifikimit të një SE-je. Kjo nënkupton që krijimi i SE-ve kërkon koordinim me sisteme të ndryshme (p.sh. marrja e NIPT-it, regjistrimi në organet tatimore, skemat e sigurimeve shoqërore, raportimi statistikave zyrtare – Këshilli i Ministrave do nxjerrë një VKM për këto). Më tej, Ministri (i përgjegjës për ekonominë), me propozim të drejtorit të QKB-së, do të përcaktojë formën dhe përmbajtjen e dokumenteve që lëshon QKB dhe formatet e përgjigjeve për çdo veprim të kryer sipas këtij ligji. Kjo i referohet formularistikës: p.sh. formulari i aplikimit për regjistrimin e një SE-je, certifikata e regjistrimit, certifikata e paragoditjes së transferimit, format e njoftimeve standarde, etj., që do të përcaktohen me urdhër të ministrit. Po ashtu, ngarkohet ministri të miratojë procedurat e hollësishme për regjistrimin elektronik dhe shfaqjen në regjistër të një SE-je – kjo lidhet me adaptimin e infrastrukturës së QKB-së për të trajtuar një formë të re shoqërie, me </w:t>
      </w:r>
      <w:r w:rsidRPr="00D9283B">
        <w:rPr>
          <w:rFonts w:ascii="Times New Roman" w:eastAsia="Times New Roman" w:hAnsi="Times New Roman" w:cs="Times New Roman"/>
          <w:kern w:val="0"/>
          <w:lang w:val="sq-AL"/>
          <w14:ligatures w14:val="none"/>
        </w:rPr>
        <w:lastRenderedPageBreak/>
        <w:t>kode të veçanta identifikimi ndoshta (p.sh. një shenjë identifikuese se është SE). Këto akte nënligjore do të sigurojnë që ligji të zbatohet në praktikë pa vakuume rregullatore.</w:t>
      </w:r>
    </w:p>
    <w:p w14:paraId="06FCDFFE" w14:textId="77777777" w:rsidR="00A85B5D" w:rsidRPr="00D9283B"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53 (Shfuqizime në datën e anëtarësimit të Republikës së Shqipërisë në Bashkimin Evropian) – Kjo është një dispozitë e veçantë tranzitore që përcakton se në datën kur Shqipëria bëhet anëtare e BE-së, të gjitha dispozitat e këtij ligji shfuqizohen. Arsyeja e kësaj klauzole është se, me anëtarësimin, do të fillojë zbatimi direkt i Rregullores (KE) 2157/2001 në vendin tonë dhe nuk do të lejohet mbajtja e një ligji kombëtar transpozues të një akti që tashmë do ketë fuqi direkte. Prandaj, ligji është menduar si i përkohshëm (derisa të hyjmë në BE). Shfuqizimi total siguron që pas asaj date, çdo SE në Shqipëri do t’i nënshtrohet drejtpërdrejt Rregullores dhe ligjeve tona të përgjithshme, dhe ky ligj i tanishëm do të zhduket nga sistemi ynë ligjor (për të shmangur dyfishime apo kontradikta me Rregulloren). Kjo është një qasje e përdorur edhe për ligje të tjera transpozuese të rregulloreve në vendet kandidate. Deri në anëtarësim, ky ligj do të ketë fuqi të plotë, por në momentin e anëtarësimit, SE-të e regjistruara këtu do të vazhdojnë ekzistencën e tyre në bazë të Rregullores së BE-së (që do zbatohet drejtpërdrejt), dhe detajet e tyre do të rregullohen nga ligji ynë i shoqërive aty ku lejohet nga Rregullorja.</w:t>
      </w:r>
    </w:p>
    <w:p w14:paraId="2E29D73C" w14:textId="77777777" w:rsidR="00A85B5D" w:rsidRPr="00A85B5D" w:rsidRDefault="00A85B5D" w:rsidP="00A85B5D">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283B">
        <w:rPr>
          <w:rFonts w:ascii="Times New Roman" w:eastAsia="Times New Roman" w:hAnsi="Times New Roman" w:cs="Times New Roman"/>
          <w:kern w:val="0"/>
          <w:lang w:val="sq-AL"/>
          <w14:ligatures w14:val="none"/>
        </w:rPr>
        <w:t>Neni 54 (Hyrja në fuqi) – Përcakton se ligji hyn në fuqi 15 ditë pas botimit në Fletoren Zyrtare. Ky është formulimi standard për ligjet e zakonshme, pas miratimit dhe dekretimit nga Presidenti</w:t>
      </w:r>
      <w:r w:rsidRPr="00A85B5D">
        <w:rPr>
          <w:rFonts w:ascii="Times New Roman" w:eastAsia="Times New Roman" w:hAnsi="Times New Roman" w:cs="Times New Roman"/>
          <w:kern w:val="0"/>
          <w:lang w:val="sq-AL"/>
          <w14:ligatures w14:val="none"/>
        </w:rPr>
        <w:t>.</w:t>
      </w:r>
    </w:p>
    <w:p w14:paraId="1632E8F9"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VII. INSTITUCIONET DHE ORGANET QË NGARKOHEN PËR ZBATIMIN E AKTIT</w:t>
      </w:r>
    </w:p>
    <w:p w14:paraId="3A205992" w14:textId="77777777" w:rsidR="00A85B5D" w:rsidRPr="009F1224"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Zbatimi praktik i këtij ligji do të realizohet nga disa institucione kyçe, sipas fushës së kompetencës së secilës:</w:t>
      </w:r>
    </w:p>
    <w:p w14:paraId="061909F6" w14:textId="77777777" w:rsidR="00A85B5D" w:rsidRPr="009F1224" w:rsidRDefault="00A85B5D" w:rsidP="00A85B5D">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Qendra Kombëtare e Biznesit (QKB) – Si organ përgjegjës për regjistrimin e subjekteve tregtare në Shqipëri, QKB-ja është institucioni kryesor që do të vihet në funksionim nga ky ligj. Ajo do të kryejë regjistrimin e Shoqërive Evropiane (SE) në regjistrin tregtar, do të lëshojë certifikatat për veprimet para-transferimit apo para-bashkimit dhe do të bëjë fshirjen apo ndryshimet në regjistër kur një SE zhvendos selinë ose transformohet. QKB-së i besohet gjithashtu monitorimi i disa kërkesave thelbësore: p.sh., të kontrollojë që një SE me seli në Shqipëri të ketë administrimin qendror këtu dhe, në rast shkeljeje, të ndërmarrë hapat ligjorë (kërkesë gjykatës për likuidim). QKB-ja do të shërbejë si pika qendrore e kontaktit me regjistrat e huaj: do të njoftojë Zyrën së Publikimeve Zyrtare të BE-së për çdo regjistrim SE-je të re, do të koordinohet me regjistrat e huaj për transferimet e selive (duke dërguar e pranuar njoftime), dhe do të publikuojë nisjen/mbylljen e procedurave të likuidimit, falimentimit a pezullimit të pagesave të ndonjë SE-je. Për zbatimin e këtyre detyrave, QKB-ja mund të ketë nevojë të përditësojë sistemin e vet elektronik (për të shtuar format e reja ligjore SE dhe procedurat specifike), por korniza ligjore i jep asaj autoritet të plotë të veprojë.</w:t>
      </w:r>
    </w:p>
    <w:p w14:paraId="099FE6A1" w14:textId="77777777" w:rsidR="00A85B5D" w:rsidRPr="009F1224" w:rsidRDefault="00A85B5D" w:rsidP="00A85B5D">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 xml:space="preserve">Gjykatat shqiptare – Organet gjyqësore do të kenë kompetenca të rëndësishme në aspekte të ndryshme të zbatimit: (i) Në trajtimin e kundërshtimeve nga aksionarët për vlerën e kompensimit në para: çdo aksionar që nuk pajtohet me ofertën financiare gjatë transferimit të selisë ose bashkimit ka të drejtë t’i drejtohet gjykatës (nenet 13 dhe 22), e cila do të </w:t>
      </w:r>
      <w:r w:rsidRPr="009F1224">
        <w:rPr>
          <w:rFonts w:ascii="Times New Roman" w:eastAsia="Times New Roman" w:hAnsi="Times New Roman" w:cs="Times New Roman"/>
          <w:kern w:val="0"/>
          <w:lang w:val="sq-AL"/>
          <w14:ligatures w14:val="none"/>
        </w:rPr>
        <w:lastRenderedPageBreak/>
        <w:t>vlerësojë drejtësinë e kompensimit dhe mund ta rregullojë atë. (ii) Në procedurat e likuidimit dhe falimentimit: nëse QKB kërkon likuidimin e një SE-je për shkak të zhvendosjes së paligjshme të administrimit jashtë (sipas nenit 2), gjykata kompetente do të hapë procedurën e likuidimit. Po ashtu, falimentimi i një SE-je do të shqyrtohet nga gjykata sipas ligjit të falimentimit (neni 51). (iii) Në rishikimin e vendimeve të autoriteteve: p.sh., nëse Banka e Shqipërisë apo AMF-ja kundërshtojnë transferimin e selisë së një SE-je financiare, SE-ja mund t’i drejtohet gjykatës për të shqyrtuar ligjshmërinë e kundërshtimit (neni 5, pika përkatëse). Gjykatat, pra, do të sigurojnë mbrojtjen gjyqësore të të drejtave të aksionarëve, kreditorëve dhe vetë shoqërive, duke garantuar që zbatimi i ligjit të bëhet me respektimin e procedurave dhe të drejtave kushtetuese.</w:t>
      </w:r>
    </w:p>
    <w:p w14:paraId="565F742C" w14:textId="77777777" w:rsidR="00A85B5D" w:rsidRPr="009F1224" w:rsidRDefault="00A85B5D" w:rsidP="00A85B5D">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Banka e Shqipërisë dhe Autoriteti i Mbikëqyrjes Financiare (AMF) – Këto organe rregullatore përfshihen kur SE-ja ushtron veprimtari në sektorin bankar, financiar ose të sigurimeve. Sipas nenit 50, një SE e tillë i nënshtrohet rregullave të veçanta financiare që këto institucione administrojnë (standardet e raportimit financiar, kërkesat prudenciale, etj.). Gjithashtu, Banka e Shqipërisë/AMF kanë të drejtën ligjore të kundërshtojnë transferimin e selisë së një SE-je jashtë vendit, nëse ajo SE është nën mbikëqyrjen e tyre (p.sh. një bankë e licencuar shqiptare e organizuar si SE). Kundërshtimi i tyre do të thotë se nuk mund të kryhet transferimi pa u zgjidhur më parë çështjet e ngritura (kjo mund të çojë në një proces gjyqësor administrativ). Për më tepër, këto autoritete do të jenë pjesë e procesit konsultativ dhe rregullator: bie fjala, në rastet kur SE-të financiare duhet të marrin miratime specifike për veprime të caktuara (shtim kapitali, ndryshim strukture pronësie, etj.), Banka e Shqipërisë/AMF do të ruajnë kompetencat e tyre sikurse për çdo institucion tjetër financiar. Pra, roli i tyre në zbatim është të sigurojnë stabilitetin financiar dhe respektimin e rregullave sektoriale nga SE-të që operojnë në fushat e tyre.</w:t>
      </w:r>
    </w:p>
    <w:p w14:paraId="26F892FA" w14:textId="77777777" w:rsidR="00A85B5D" w:rsidRPr="009F1224" w:rsidRDefault="00A85B5D" w:rsidP="00A85B5D">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Ministria përgjegjëse për ekonominë (dhe institucionet e linjës) – Duke qenë se projektligji është inicuar nga Ministria e Financave dhe Ekonomisë (ose struktura e re e Ministrisë së Ekonomisë, Kulturës dhe Inovacionit – MEKI), kjo ministri do të ketë përgjegjësinë e monitorimit të zbatimit të ligjit në tërësi. Në veçanti, ministria do të duhet të nxjerrë aktet nënligjore të parashikuara në nenin 52 (urdhra ministri për procedurat dhe dokumentet e QKB-së, etj.) dhe të koordinojë me Këshillin e Ministrave për nxjerrjen e VKM-ve të nevojshme. Gjithashtu, ministria (në bashkëpunim me Ministrinë e Drejtësisë nëse është rasti) do të mbikëqyrë harmonizimin e mëtejshëm të legjislacionit që lidhet me këtë ligj – p.sh. nëse duhen amenduar dispozita të Ligjit për Shoqëritë Tregtare ose akteve të tjera për t’u sinkronizuar me praninë e SE-ve. Ministria e Shëndetësisë dhe Mbrojtjes Sociale, nga ana e saj, do të luajë rol për aspektin e pjesëmarrjes së punonjësve: për shembull, në hartimin e udhëzimeve apo rregullave dytësore se si do të zbatohen në praktikë kërkesat për përfshirjen e sindikatave a përfaqësive të punëtorëve në proceset e negocimit (kjo sipas RIA pritet të bëhet në bashkëpunim mes ministrisë së ekonomisë dhe asaj të çështjeve sociale). Po ashtu, Ministria e Financave (nëse e veçojmë nga ekonomia) mund të jetë e përfshirë për pjesën e procedurave tatimore dhe të regjistrimit fiskal të SE-ve, sipas detyrave në nenin 52 (shkëmbimi i të dhënave me organet tatimore). Në thelb, organet ekzekutive do të sigurojnë që kuadri rregullator i detajuar të vihet në vend dhe se politikat e krijimit të SE-ve ecin paralel me objektivat e integrimit dhe zhvillimit të biznesit.</w:t>
      </w:r>
    </w:p>
    <w:p w14:paraId="292B563E" w14:textId="77777777" w:rsidR="00A85B5D" w:rsidRPr="009F1224" w:rsidRDefault="00A85B5D" w:rsidP="00A85B5D">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 xml:space="preserve">Këshilli i Ministrave – Si organ vendimmarrës qeveritar, ai ngarkohet me nxjerrjen e akteve nënligjore me rëndësi (siç u cek më lart: VKM për procedurat e deklarimit e shkëmbimit të të dhënave ndërinstitucionale dhe për marrjen e numrit unik të identifikimit). Gjithashtu, </w:t>
      </w:r>
      <w:r w:rsidRPr="009F1224">
        <w:rPr>
          <w:rFonts w:ascii="Times New Roman" w:eastAsia="Times New Roman" w:hAnsi="Times New Roman" w:cs="Times New Roman"/>
          <w:kern w:val="0"/>
          <w:lang w:val="sq-AL"/>
          <w14:ligatures w14:val="none"/>
        </w:rPr>
        <w:lastRenderedPageBreak/>
        <w:t>Këshilli i Ministrave do të jetë autoriteti formal që i propozon Kuvendit ndryshimet eventuale ligjore që mund të nevojiten në fusha të tjera për shkak të këtij ligji. Në zbatimin e drejtpërdrejtë, KM ka rol më pak të drejtpërdrejtë, por për çdo çështje politike a praktike që mund të dalë (p.sh. nxitja e informimit të sipërmarrjeve mbi SE-të, apo ndonjë vendimmarrje e veçantë në raste specifike), qeveria në nivel kabineti do të ketë përgjegjësinë përkatëse. Një detyrë specifike që KM e ka pikërisht nga ky ligj është njoftimi i organeve të BE-së: neni 4 ngarkon QKB të njoftojë Zyrën e Publikimeve, por praktikisht kjo bëhet nën autoritetin e Ministrisë së linjës dhe përmes rrugëve zyrtare qeveritare. Po ashtu, Këshilli i Ministrave, në rast anëtarësimi në BE, do të duhet të kujdeset për shfuqizimin në kohë të këtij ligji dhe integrimin e SE-ve ekzistuese në kornizën e re (kjo sigurisht me një projektligj shfuqizues ose klauzolë automatike, siç parashikohet).</w:t>
      </w:r>
    </w:p>
    <w:p w14:paraId="31AA1904"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VIII. PERSONAT DHE INSTITUCIONET QË KANË KONTRIBUAR NË HARTIMIN E PROJEKTAKTIT</w:t>
      </w:r>
    </w:p>
    <w:p w14:paraId="658E8D16" w14:textId="24021A1C" w:rsidR="00A85B5D" w:rsidRPr="009F1224"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1224">
        <w:rPr>
          <w:rFonts w:ascii="Times New Roman" w:eastAsia="Times New Roman" w:hAnsi="Times New Roman" w:cs="Times New Roman"/>
          <w:kern w:val="0"/>
          <w:lang w:val="sq-AL"/>
          <w14:ligatures w14:val="none"/>
        </w:rPr>
        <w:t xml:space="preserve">Hartimi i këtij projektligji është rezultat i një procesi ndërinstitucional dhe konsultativ, ku kanë kontribuar një sërë institucionesh dhe ekspertësh. Nisma fillestare dhe drejtimi i procesit teknik është kryer nga Ministria </w:t>
      </w:r>
      <w:r w:rsidR="009F1224">
        <w:rPr>
          <w:rFonts w:ascii="Times New Roman" w:eastAsia="Times New Roman" w:hAnsi="Times New Roman" w:cs="Times New Roman"/>
          <w:kern w:val="0"/>
          <w:lang w:val="sq-AL"/>
          <w14:ligatures w14:val="none"/>
        </w:rPr>
        <w:t>përgjegjëse për</w:t>
      </w:r>
      <w:r w:rsidRPr="009F1224">
        <w:rPr>
          <w:rFonts w:ascii="Times New Roman" w:eastAsia="Times New Roman" w:hAnsi="Times New Roman" w:cs="Times New Roman"/>
          <w:kern w:val="0"/>
          <w:lang w:val="sq-AL"/>
          <w14:ligatures w14:val="none"/>
        </w:rPr>
        <w:t xml:space="preserve"> Ekonomi</w:t>
      </w:r>
      <w:r w:rsidR="009F1224">
        <w:rPr>
          <w:rFonts w:ascii="Times New Roman" w:eastAsia="Times New Roman" w:hAnsi="Times New Roman" w:cs="Times New Roman"/>
          <w:kern w:val="0"/>
          <w:lang w:val="sq-AL"/>
          <w14:ligatures w14:val="none"/>
        </w:rPr>
        <w:t>n</w:t>
      </w:r>
      <w:r w:rsidRPr="009F1224">
        <w:rPr>
          <w:rFonts w:ascii="Times New Roman" w:eastAsia="Times New Roman" w:hAnsi="Times New Roman" w:cs="Times New Roman"/>
          <w:kern w:val="0"/>
          <w:lang w:val="sq-AL"/>
          <w14:ligatures w14:val="none"/>
        </w:rPr>
        <w:t>ë (aktualisht përgjegjëse edhe për politikat e zhvillimit ekonomik dhe integrimin ekonomik evropian). Brenda kësaj ministrie u ngrit një grup pune i posaçëm me profesionistë ligjorë dhe ekonomiko-financiarë, i cili koordinoi përgatitjen e draftit.</w:t>
      </w:r>
    </w:p>
    <w:p w14:paraId="171BBBA4" w14:textId="4069B840" w:rsidR="00A85B5D" w:rsidRPr="00F63C9B"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F63C9B">
        <w:rPr>
          <w:rFonts w:ascii="Times New Roman" w:eastAsia="Times New Roman" w:hAnsi="Times New Roman" w:cs="Times New Roman"/>
          <w:kern w:val="0"/>
          <w:lang w:val="sq-AL"/>
          <w14:ligatures w14:val="none"/>
        </w:rPr>
        <w:t xml:space="preserve">Kontribut të veçantë teknik në hartimin e projektligjit ka dhënë asistenca ndërkombëtare: nën kujdesin e projektit të GIZ-it gjerman SANECA II (Support to Albania on Economic Integration, trade policy and trade facilitation), janë angazhuar ekspertë që ndihmuan në analizën e boshllëkut ligjor të kapitullit të </w:t>
      </w:r>
      <w:r w:rsidR="00170019">
        <w:rPr>
          <w:rFonts w:ascii="Times New Roman" w:eastAsia="Times New Roman" w:hAnsi="Times New Roman" w:cs="Times New Roman"/>
          <w:kern w:val="0"/>
          <w:lang w:val="sq-AL"/>
          <w14:ligatures w14:val="none"/>
        </w:rPr>
        <w:t>shoqëri</w:t>
      </w:r>
      <w:r w:rsidRPr="00F63C9B">
        <w:rPr>
          <w:rFonts w:ascii="Times New Roman" w:eastAsia="Times New Roman" w:hAnsi="Times New Roman" w:cs="Times New Roman"/>
          <w:kern w:val="0"/>
          <w:lang w:val="sq-AL"/>
          <w14:ligatures w14:val="none"/>
        </w:rPr>
        <w:t>ve gjatë vitit 2024. Ky projekt siguroi ekspertizë për të identifikuar mangësitë në legjislacion (p.sh. mungesën e SE-së) dhe propozoi rrugët më të mira për transpozim. Ekspertët ndërkombëtarë të SANECA/GIZ kanë kontribuar direkt në përgatitjen e skicës së parë të këtij ligji dhe të dokumentit RIA shoqërues, duke sjellë praktikat më të mira nga vendet e BE-së. Në raportin e RIA, përmendet se gjatë 2024, me mbështetjen e SANECA II, u realizua analiza dhe filloi draftimi.</w:t>
      </w:r>
    </w:p>
    <w:p w14:paraId="23A25604" w14:textId="77777777" w:rsidR="00A85B5D" w:rsidRPr="00A85B5D" w:rsidRDefault="00A85B5D" w:rsidP="00A85B5D">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A85B5D">
        <w:rPr>
          <w:rFonts w:ascii="Times New Roman" w:eastAsia="Times New Roman" w:hAnsi="Times New Roman" w:cs="Times New Roman"/>
          <w:b/>
          <w:bCs/>
          <w:kern w:val="0"/>
          <w:lang w:val="sq-AL"/>
          <w14:ligatures w14:val="none"/>
        </w:rPr>
        <w:t>IX. RAPORTI I VLERËSIMIT TË TË ARDHURAVE DHE SHPENZIMEVE BUXHETORE</w:t>
      </w:r>
    </w:p>
    <w:p w14:paraId="25CAA18F" w14:textId="77777777" w:rsidR="00A85B5D" w:rsidRPr="003305B5" w:rsidRDefault="00A85B5D" w:rsidP="00A85B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3305B5">
        <w:rPr>
          <w:rFonts w:ascii="Times New Roman" w:eastAsia="Times New Roman" w:hAnsi="Times New Roman" w:cs="Times New Roman"/>
          <w:kern w:val="0"/>
          <w:lang w:val="sq-AL"/>
          <w14:ligatures w14:val="none"/>
        </w:rPr>
        <w:t>Ndikimi buxhetor i këtij projektligji vlerësohet të jetë minimal dhe i përballueshëm, me kosto kryesisht afatshkurtra për administratën dhe përfitime potenciale afatgjata për ekonominë dhe buxhetin e shtetit. Më konkretisht:</w:t>
      </w:r>
    </w:p>
    <w:p w14:paraId="69A4B713" w14:textId="77777777" w:rsidR="00A85B5D" w:rsidRPr="003305B5" w:rsidRDefault="00A85B5D" w:rsidP="00A85B5D">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3305B5">
        <w:rPr>
          <w:rFonts w:ascii="Times New Roman" w:eastAsia="Times New Roman" w:hAnsi="Times New Roman" w:cs="Times New Roman"/>
          <w:kern w:val="0"/>
          <w:lang w:val="sq-AL"/>
          <w14:ligatures w14:val="none"/>
        </w:rPr>
        <w:t xml:space="preserve">Shpenzimet e pritura nga ana e administratës publike: Implementimi i ligjit do të kërkojë disa investime një-herë të vogla. Së pari, Qendra Kombëtare e Biznesit duhet të përshtasë sistemin e saj elektronik të regjistrimit dhe databazën për të trajtuar formën e re të Shoqërisë Evropiane, si dhe të trajnojë stafin mbi procedurat e reja (p.sh. procedurat e transferimit ndërkufitar, lëshimi i certifikatave specifike, etj.). Vlerësimi i bërë në dokumentin e RIA sugjeron një kosto totale rreth 50,000–80,000 euro për këto përshtatje tekniko-organizative. Kjo shumë parashikohet të mbulohet nëpërmjet asistencës së </w:t>
      </w:r>
      <w:r w:rsidRPr="003305B5">
        <w:rPr>
          <w:rFonts w:ascii="Times New Roman" w:eastAsia="Times New Roman" w:hAnsi="Times New Roman" w:cs="Times New Roman"/>
          <w:kern w:val="0"/>
          <w:lang w:val="sq-AL"/>
          <w14:ligatures w14:val="none"/>
        </w:rPr>
        <w:lastRenderedPageBreak/>
        <w:t>donatorëve ose rialokimeve buxhetore të vogla brenda Ministrisë përgjegjëse, pa kërkuar fonde shtesë nga buxheti i shtetit. Së dyti, parashikohet organizimi i një fushate ndërgjegjësimi dhe informimi për bizneset me potencial ndërkufitar lidhur me përfitimet e formës së SE-së. Kostoja e kësaj fushate (seminare, botime udhëzuese, bashkëpunim me dhomat e tregtisë) vlerësohet në 30,000–50,000 euro, e cila gjithashtu pritet të financohet nga projekte donatorësh ose programe ekzistuese të promovimit të investimeve. Përtej këtyre, kostot e vazhdueshme administrative pritet të jenë të papërfillshme: QKB-ja do të trajtojë regjistrimin e SE-ve me të njëjtin personel dhe infrastrukture aktuale (volumi i pritur i SE-ve është i vogël – 50 deri në 2028), ndërsa puna shtesë e ministrive (për monitorim, raportim integrimi, etj.) përfshihet lehtësisht në aktivitetin rutinë. Rrjedhimisht, ky projektligj nuk kërkon rritje të strukturore të personelit as krijimin e agjencive të reja publike. Edhe detyrat shtesë (p.sh. shqyrtimi gjyqësor i çështjeve) janë pjesë e funksionit normal të gjykatave dhe nuk shkaktojnë shpenzime të reja të materializuara.</w:t>
      </w:r>
    </w:p>
    <w:p w14:paraId="6F1042B8" w14:textId="77777777" w:rsidR="00A85B5D" w:rsidRPr="003305B5" w:rsidRDefault="00A85B5D" w:rsidP="00A85B5D">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3305B5">
        <w:rPr>
          <w:rFonts w:ascii="Times New Roman" w:eastAsia="Times New Roman" w:hAnsi="Times New Roman" w:cs="Times New Roman"/>
          <w:kern w:val="0"/>
          <w:lang w:val="sq-AL"/>
          <w14:ligatures w14:val="none"/>
        </w:rPr>
        <w:t>Efektet në të ardhurat buxhetore: Në afatin e shkurtër, miratimi i këtij ligji nuk ka një efekt të drejtpërdrejtë as negativ as pozitiv në të ardhurat, pasi ai vetë nuk parashikon tarifa apo taksa të reja. Tarifat e regjistrimit të SE-ve në QKB pritet të jenë të ngjashme me ato të shoqërive aksionare (ose lehtësisht më të larta për të reflektuar punën shtesë, çka do të vendoset me akt nënligjor), por numri i këtyre regjistrimeve fillimisht do të jetë i vogël. Në afatin e mesëm dhe të gjatë, megjithatë, ndikimi i ligjit mund të jetë pozitiv në të ardhurat buxhetore për shkak të efektit nxitës ekonomik: krijimi i SE-ve mundëson zgjerimin e aktiviteteve tregtare ndërkufitare, rritjen e investimeve dhe të xhirove të bizneseve shqiptare, që në kthim do të thotë më shumë fitime për t’u tatimuar, më shumë qarkullim për TVSH, dhe më shumë punësim (pra kontribute shoqërore). Një analizë e kryer në nivel BE ka treguar se SE-të aktive kanë sjellë ulje të kostove administrative për grupet ndërkombëtare dhe kanë lehtësuar zgjerimin e firmave në tregje të reja. Të njëjtat përfitime pritet të materializohen edhe për bizneset shqiptare që do të adoptojnë formën e SE-së, duke i bërë ato më fitimprurëse e më konkuruese – rrjedhimisht kontributi i tyre në tatimin mbi fitimin e dividentët mund të rritet. Për më tepër, vendosja e një juridiksioni tërheqës për investitorët (Shqipëria ofron SE-në, gjë që disa vende të rajonit mund të mos e ofrojnë ende) mund të tërheqë kapital të huaj shtesë, si investime të reja ose si relokim të selive rajonale të grupeve në vendin tonë. Ky kapital i huaj do të krijojë vende pune dhe aktivitet ekonomik që gjenerojnë të ardhura tatimore. Edhe pse është vështirë të kuantifikohet saktë shifra e rritjes së të ardhurave, trendi pritet pozitiv. Në RIA është llogaritur si objektiv operimi i 50 SE-ve deri në 2028, të cilat (nëse supozojmë se secila kursen 2–5% të kostove dhe rrit aktivitetin) do të shtonin indirekt kontributin e tyre fiskal. P.sh., nëse 50 SE gjenerojnë përmes zgjerimit një fitim të shtuar total prej 10 milion € në vit, tatimi 15% mbi to do t’i sillte buxhetit rreth 1.5 milion € shtesë pas disa vitesh. Natyrisht, këto janë projeksione orientuese.</w:t>
      </w:r>
    </w:p>
    <w:p w14:paraId="5DDC7F7C" w14:textId="2F63A2B1" w:rsidR="00A85B5D" w:rsidRPr="003305B5" w:rsidRDefault="00A85B5D" w:rsidP="00A85B5D">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3305B5">
        <w:rPr>
          <w:rFonts w:ascii="Times New Roman" w:eastAsia="Times New Roman" w:hAnsi="Times New Roman" w:cs="Times New Roman"/>
          <w:kern w:val="0"/>
          <w:lang w:val="sq-AL"/>
          <w14:ligatures w14:val="none"/>
        </w:rPr>
        <w:t xml:space="preserve">Efektet në buxhetin vendor: Krijimi i SE-ve nuk ka ndonjë implikim specifik për buxhetet e pushtetit vendor, përveç efektit të përgjithshëm ekonomik (rritja e aktivitetit biznesor lokal). Taksat vendore të biznesit (si tabelat, pastrimi, trualli) do të vazhdojnë të paguhen nga SE-të njësoj si nga </w:t>
      </w:r>
      <w:r w:rsidR="00170019">
        <w:rPr>
          <w:rFonts w:ascii="Times New Roman" w:eastAsia="Times New Roman" w:hAnsi="Times New Roman" w:cs="Times New Roman"/>
          <w:kern w:val="0"/>
          <w:lang w:val="sq-AL"/>
          <w14:ligatures w14:val="none"/>
        </w:rPr>
        <w:t>shoqëri</w:t>
      </w:r>
      <w:r w:rsidRPr="003305B5">
        <w:rPr>
          <w:rFonts w:ascii="Times New Roman" w:eastAsia="Times New Roman" w:hAnsi="Times New Roman" w:cs="Times New Roman"/>
          <w:kern w:val="0"/>
          <w:lang w:val="sq-AL"/>
          <w14:ligatures w14:val="none"/>
        </w:rPr>
        <w:t>të ekzistuese, pa ndryshim. Nuk pritet as rritje as ulje e të ardhurave vendore specifikisht për shkak të këtij ligji.</w:t>
      </w:r>
    </w:p>
    <w:p w14:paraId="6F138E96" w14:textId="4E63F8E6" w:rsidR="00A85B5D" w:rsidRPr="003305B5" w:rsidRDefault="00A85B5D" w:rsidP="00A85B5D">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3305B5">
        <w:rPr>
          <w:rFonts w:ascii="Times New Roman" w:eastAsia="Times New Roman" w:hAnsi="Times New Roman" w:cs="Times New Roman"/>
          <w:kern w:val="0"/>
          <w:lang w:val="sq-AL"/>
          <w14:ligatures w14:val="none"/>
        </w:rPr>
        <w:t>Duke qenë se numri i SE-ve fillimisht do të jetë i vogël, çdo kosto e vazhdueshme do të integrohet lehtësisht në buxhetin ekzistues operativ të QKB-së dhe institucioneve të tjera.</w:t>
      </w:r>
    </w:p>
    <w:p w14:paraId="52297C10" w14:textId="2918AEA6" w:rsidR="00A85B5D" w:rsidRDefault="00A85B5D" w:rsidP="003305B5">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3305B5">
        <w:rPr>
          <w:rFonts w:ascii="Times New Roman" w:eastAsia="Times New Roman" w:hAnsi="Times New Roman" w:cs="Times New Roman"/>
          <w:kern w:val="0"/>
          <w:lang w:val="sq-AL"/>
          <w14:ligatures w14:val="none"/>
        </w:rPr>
        <w:lastRenderedPageBreak/>
        <w:t>Në përmbledhje, Raporti i Kostos dhe Përfitimit del pozitiv: kostot financiare për shtetin janë të ulëta dhe kryesisht një-herëshe, ndërsa përfitimet afatgjata, megjithëse jo plotësisht të matshme sot, pritet të jenë të rëndësishme në terma të rritjes ekonomike dhe të ardhurave publike. Edhe nga këndvështrimi i bizneseve, kostot e tyre për t’u përshtatur me formën e re (p.sh. shpenzimet për konsulencë ligjore kur krijojnë një SE, apo për mbajtjen e dy niveleve bordesh nëse zgjedhin modelin dualist) konsiderohen të justifikuara nga përfitimet (aksesi në tregun e brendshëm, kursimi i nevojës për shumë filiale kombëtare, unifikimi i strukturës korporative etj.).</w:t>
      </w:r>
      <w:r w:rsidRPr="00A85B5D">
        <w:rPr>
          <w:rFonts w:ascii="Times New Roman" w:eastAsia="Times New Roman" w:hAnsi="Times New Roman" w:cs="Times New Roman"/>
          <w:kern w:val="0"/>
          <w:lang w:val="sq-AL"/>
          <w14:ligatures w14:val="none"/>
        </w:rPr>
        <w:t xml:space="preserve"> </w:t>
      </w:r>
    </w:p>
    <w:p w14:paraId="039845BC" w14:textId="1976B5EC" w:rsidR="003305B5" w:rsidRPr="003305B5" w:rsidRDefault="003305B5" w:rsidP="003305B5">
      <w:pPr>
        <w:spacing w:before="100" w:beforeAutospacing="1" w:after="100" w:afterAutospacing="1" w:line="240" w:lineRule="auto"/>
        <w:jc w:val="center"/>
        <w:rPr>
          <w:rFonts w:ascii="Times New Roman" w:eastAsia="Times New Roman" w:hAnsi="Times New Roman" w:cs="Times New Roman"/>
          <w:b/>
          <w:bCs/>
          <w:kern w:val="0"/>
          <w:lang w:val="sq-AL"/>
          <w14:ligatures w14:val="none"/>
        </w:rPr>
      </w:pPr>
      <w:r w:rsidRPr="003305B5">
        <w:rPr>
          <w:rFonts w:ascii="Times New Roman" w:eastAsia="Times New Roman" w:hAnsi="Times New Roman" w:cs="Times New Roman"/>
          <w:b/>
          <w:bCs/>
          <w:kern w:val="0"/>
          <w:lang w:val="sq-AL"/>
          <w14:ligatures w14:val="none"/>
        </w:rPr>
        <w:t>MINISTRI</w:t>
      </w:r>
    </w:p>
    <w:p w14:paraId="115571A7" w14:textId="77777777" w:rsidR="00D670B1" w:rsidRPr="00A85B5D" w:rsidRDefault="00D670B1" w:rsidP="00A85B5D">
      <w:pPr>
        <w:jc w:val="both"/>
        <w:rPr>
          <w:rFonts w:ascii="Times New Roman" w:hAnsi="Times New Roman" w:cs="Times New Roman"/>
          <w:lang w:val="sq-AL"/>
        </w:rPr>
      </w:pPr>
    </w:p>
    <w:sectPr w:rsidR="00D670B1" w:rsidRPr="00A85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65A73"/>
    <w:multiLevelType w:val="multilevel"/>
    <w:tmpl w:val="75C2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943E7"/>
    <w:multiLevelType w:val="multilevel"/>
    <w:tmpl w:val="7AC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21863"/>
    <w:multiLevelType w:val="multilevel"/>
    <w:tmpl w:val="A46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D6CE5"/>
    <w:multiLevelType w:val="multilevel"/>
    <w:tmpl w:val="BB34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0301F"/>
    <w:multiLevelType w:val="multilevel"/>
    <w:tmpl w:val="C05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C1498"/>
    <w:multiLevelType w:val="multilevel"/>
    <w:tmpl w:val="6E4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23AF2"/>
    <w:multiLevelType w:val="multilevel"/>
    <w:tmpl w:val="36D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B670B"/>
    <w:multiLevelType w:val="multilevel"/>
    <w:tmpl w:val="CB5A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7"/>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D"/>
    <w:rsid w:val="00037F53"/>
    <w:rsid w:val="000934AB"/>
    <w:rsid w:val="000F122D"/>
    <w:rsid w:val="00170019"/>
    <w:rsid w:val="002C346C"/>
    <w:rsid w:val="003305B5"/>
    <w:rsid w:val="00460B23"/>
    <w:rsid w:val="00590078"/>
    <w:rsid w:val="006306F4"/>
    <w:rsid w:val="006F34B5"/>
    <w:rsid w:val="0080175D"/>
    <w:rsid w:val="008A62BA"/>
    <w:rsid w:val="009F1224"/>
    <w:rsid w:val="00A5476A"/>
    <w:rsid w:val="00A85B5D"/>
    <w:rsid w:val="00D159F4"/>
    <w:rsid w:val="00D670B1"/>
    <w:rsid w:val="00D9283B"/>
    <w:rsid w:val="00DE2C55"/>
    <w:rsid w:val="00EF1FF3"/>
    <w:rsid w:val="00F63C9B"/>
    <w:rsid w:val="00FD1DF9"/>
    <w:rsid w:val="00FE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3F3C"/>
  <w15:chartTrackingRefBased/>
  <w15:docId w15:val="{A8721784-EA7F-4FE8-809F-6E19D8DA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B5D"/>
    <w:rPr>
      <w:rFonts w:eastAsiaTheme="majorEastAsia" w:cstheme="majorBidi"/>
      <w:color w:val="272727" w:themeColor="text1" w:themeTint="D8"/>
    </w:rPr>
  </w:style>
  <w:style w:type="paragraph" w:styleId="Title">
    <w:name w:val="Title"/>
    <w:basedOn w:val="Normal"/>
    <w:next w:val="Normal"/>
    <w:link w:val="TitleChar"/>
    <w:uiPriority w:val="10"/>
    <w:qFormat/>
    <w:rsid w:val="00A85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B5D"/>
    <w:pPr>
      <w:spacing w:before="160"/>
      <w:jc w:val="center"/>
    </w:pPr>
    <w:rPr>
      <w:i/>
      <w:iCs/>
      <w:color w:val="404040" w:themeColor="text1" w:themeTint="BF"/>
    </w:rPr>
  </w:style>
  <w:style w:type="character" w:customStyle="1" w:styleId="QuoteChar">
    <w:name w:val="Quote Char"/>
    <w:basedOn w:val="DefaultParagraphFont"/>
    <w:link w:val="Quote"/>
    <w:uiPriority w:val="29"/>
    <w:rsid w:val="00A85B5D"/>
    <w:rPr>
      <w:i/>
      <w:iCs/>
      <w:color w:val="404040" w:themeColor="text1" w:themeTint="BF"/>
    </w:rPr>
  </w:style>
  <w:style w:type="paragraph" w:styleId="ListParagraph">
    <w:name w:val="List Paragraph"/>
    <w:basedOn w:val="Normal"/>
    <w:uiPriority w:val="34"/>
    <w:qFormat/>
    <w:rsid w:val="00A85B5D"/>
    <w:pPr>
      <w:ind w:left="720"/>
      <w:contextualSpacing/>
    </w:pPr>
  </w:style>
  <w:style w:type="character" w:styleId="IntenseEmphasis">
    <w:name w:val="Intense Emphasis"/>
    <w:basedOn w:val="DefaultParagraphFont"/>
    <w:uiPriority w:val="21"/>
    <w:qFormat/>
    <w:rsid w:val="00A85B5D"/>
    <w:rPr>
      <w:i/>
      <w:iCs/>
      <w:color w:val="0F4761" w:themeColor="accent1" w:themeShade="BF"/>
    </w:rPr>
  </w:style>
  <w:style w:type="paragraph" w:styleId="IntenseQuote">
    <w:name w:val="Intense Quote"/>
    <w:basedOn w:val="Normal"/>
    <w:next w:val="Normal"/>
    <w:link w:val="IntenseQuoteChar"/>
    <w:uiPriority w:val="30"/>
    <w:qFormat/>
    <w:rsid w:val="00A85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B5D"/>
    <w:rPr>
      <w:i/>
      <w:iCs/>
      <w:color w:val="0F4761" w:themeColor="accent1" w:themeShade="BF"/>
    </w:rPr>
  </w:style>
  <w:style w:type="character" w:styleId="IntenseReference">
    <w:name w:val="Intense Reference"/>
    <w:basedOn w:val="DefaultParagraphFont"/>
    <w:uiPriority w:val="32"/>
    <w:qFormat/>
    <w:rsid w:val="00A85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42036">
      <w:bodyDiv w:val="1"/>
      <w:marLeft w:val="0"/>
      <w:marRight w:val="0"/>
      <w:marTop w:val="0"/>
      <w:marBottom w:val="0"/>
      <w:divBdr>
        <w:top w:val="none" w:sz="0" w:space="0" w:color="auto"/>
        <w:left w:val="none" w:sz="0" w:space="0" w:color="auto"/>
        <w:bottom w:val="none" w:sz="0" w:space="0" w:color="auto"/>
        <w:right w:val="none" w:sz="0" w:space="0" w:color="auto"/>
      </w:divBdr>
      <w:divsChild>
        <w:div w:id="1955861904">
          <w:marLeft w:val="0"/>
          <w:marRight w:val="0"/>
          <w:marTop w:val="0"/>
          <w:marBottom w:val="0"/>
          <w:divBdr>
            <w:top w:val="none" w:sz="0" w:space="0" w:color="auto"/>
            <w:left w:val="none" w:sz="0" w:space="0" w:color="auto"/>
            <w:bottom w:val="none" w:sz="0" w:space="0" w:color="auto"/>
            <w:right w:val="none" w:sz="0" w:space="0" w:color="auto"/>
          </w:divBdr>
          <w:divsChild>
            <w:div w:id="1385062486">
              <w:marLeft w:val="0"/>
              <w:marRight w:val="0"/>
              <w:marTop w:val="0"/>
              <w:marBottom w:val="0"/>
              <w:divBdr>
                <w:top w:val="none" w:sz="0" w:space="0" w:color="auto"/>
                <w:left w:val="none" w:sz="0" w:space="0" w:color="auto"/>
                <w:bottom w:val="none" w:sz="0" w:space="0" w:color="auto"/>
                <w:right w:val="none" w:sz="0" w:space="0" w:color="auto"/>
              </w:divBdr>
            </w:div>
          </w:divsChild>
        </w:div>
        <w:div w:id="164757742">
          <w:marLeft w:val="0"/>
          <w:marRight w:val="0"/>
          <w:marTop w:val="0"/>
          <w:marBottom w:val="0"/>
          <w:divBdr>
            <w:top w:val="none" w:sz="0" w:space="0" w:color="auto"/>
            <w:left w:val="none" w:sz="0" w:space="0" w:color="auto"/>
            <w:bottom w:val="none" w:sz="0" w:space="0" w:color="auto"/>
            <w:right w:val="none" w:sz="0" w:space="0" w:color="auto"/>
          </w:divBdr>
          <w:divsChild>
            <w:div w:id="1119490349">
              <w:marLeft w:val="0"/>
              <w:marRight w:val="0"/>
              <w:marTop w:val="0"/>
              <w:marBottom w:val="0"/>
              <w:divBdr>
                <w:top w:val="none" w:sz="0" w:space="0" w:color="auto"/>
                <w:left w:val="none" w:sz="0" w:space="0" w:color="auto"/>
                <w:bottom w:val="none" w:sz="0" w:space="0" w:color="auto"/>
                <w:right w:val="none" w:sz="0" w:space="0" w:color="auto"/>
              </w:divBdr>
              <w:divsChild>
                <w:div w:id="18165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13603</Words>
  <Characters>77538</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dcterms:created xsi:type="dcterms:W3CDTF">2025-08-08T09:50:00Z</dcterms:created>
  <dcterms:modified xsi:type="dcterms:W3CDTF">2025-08-08T09:50:00Z</dcterms:modified>
</cp:coreProperties>
</file>