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D1F" w14:textId="77777777" w:rsidR="008675CA" w:rsidRPr="006571D4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Cs w:val="24"/>
        </w:rPr>
      </w:pPr>
      <w:r w:rsidRPr="006571D4">
        <w:rPr>
          <w:rFonts w:ascii="Times New Roman" w:hAnsi="Times New Roman"/>
          <w:i w:val="0"/>
          <w:iCs/>
          <w:szCs w:val="24"/>
        </w:rPr>
        <w:t>MODEL</w:t>
      </w:r>
      <w:r w:rsidR="00463C25" w:rsidRPr="006571D4">
        <w:rPr>
          <w:rFonts w:ascii="Times New Roman" w:hAnsi="Times New Roman"/>
          <w:i w:val="0"/>
          <w:iCs/>
          <w:szCs w:val="24"/>
        </w:rPr>
        <w:t xml:space="preserve">I </w:t>
      </w:r>
      <w:r w:rsidRPr="006571D4">
        <w:rPr>
          <w:rFonts w:ascii="Times New Roman" w:hAnsi="Times New Roman"/>
          <w:i w:val="0"/>
          <w:iCs/>
          <w:szCs w:val="24"/>
        </w:rPr>
        <w:t>P</w:t>
      </w:r>
      <w:r w:rsidR="00044810" w:rsidRPr="006571D4">
        <w:rPr>
          <w:rFonts w:ascii="Times New Roman" w:hAnsi="Times New Roman"/>
          <w:i w:val="0"/>
          <w:iCs/>
          <w:szCs w:val="24"/>
        </w:rPr>
        <w:t>Ë</w:t>
      </w:r>
      <w:r w:rsidRPr="006571D4">
        <w:rPr>
          <w:rFonts w:ascii="Times New Roman" w:hAnsi="Times New Roman"/>
          <w:i w:val="0"/>
          <w:iCs/>
          <w:szCs w:val="24"/>
        </w:rPr>
        <w:t>R DOKUMENTIN KONSULTATIV</w:t>
      </w:r>
    </w:p>
    <w:p w14:paraId="6372D3DD" w14:textId="11D6DA5E" w:rsidR="008675CA" w:rsidRPr="006571D4" w:rsidRDefault="00E54C97" w:rsidP="001E4573">
      <w:pPr>
        <w:pStyle w:val="BodyText"/>
        <w:jc w:val="center"/>
        <w:rPr>
          <w:rFonts w:ascii="Times New Roman" w:hAnsi="Times New Roman"/>
          <w:sz w:val="24"/>
          <w:szCs w:val="24"/>
        </w:rPr>
      </w:pPr>
      <w:r w:rsidRPr="006571D4">
        <w:rPr>
          <w:rFonts w:ascii="Times New Roman" w:hAnsi="Times New Roman"/>
          <w:sz w:val="24"/>
          <w:szCs w:val="24"/>
        </w:rPr>
        <w:t>P</w:t>
      </w:r>
      <w:r w:rsidR="00044810" w:rsidRPr="006571D4">
        <w:rPr>
          <w:rFonts w:ascii="Times New Roman" w:hAnsi="Times New Roman"/>
          <w:sz w:val="24"/>
          <w:szCs w:val="24"/>
        </w:rPr>
        <w:t>ë</w:t>
      </w:r>
      <w:r w:rsidRPr="006571D4">
        <w:rPr>
          <w:rFonts w:ascii="Times New Roman" w:hAnsi="Times New Roman"/>
          <w:sz w:val="24"/>
          <w:szCs w:val="24"/>
        </w:rPr>
        <w:t xml:space="preserve">r </w:t>
      </w:r>
      <w:r w:rsidR="00C20B3F" w:rsidRPr="006571D4">
        <w:rPr>
          <w:rFonts w:ascii="Times New Roman" w:hAnsi="Times New Roman"/>
          <w:sz w:val="24"/>
          <w:szCs w:val="24"/>
        </w:rPr>
        <w:t>Projektvendimin</w:t>
      </w:r>
      <w:r w:rsidR="005D2540" w:rsidRPr="006571D4">
        <w:rPr>
          <w:rFonts w:ascii="Times New Roman" w:hAnsi="Times New Roman"/>
          <w:sz w:val="24"/>
          <w:szCs w:val="24"/>
        </w:rPr>
        <w:t xml:space="preserve"> </w:t>
      </w:r>
      <w:r w:rsidR="006571D4">
        <w:rPr>
          <w:rFonts w:ascii="Times New Roman" w:hAnsi="Times New Roman"/>
          <w:sz w:val="24"/>
          <w:szCs w:val="24"/>
        </w:rPr>
        <w:t>“</w:t>
      </w:r>
      <w:r w:rsidR="00C20B3F" w:rsidRPr="006571D4">
        <w:rPr>
          <w:rFonts w:ascii="Times New Roman" w:hAnsi="Times New Roman"/>
          <w:b/>
          <w:sz w:val="24"/>
          <w:szCs w:val="24"/>
        </w:rPr>
        <w:t>Për miratimin e Strategjisë Afatmesme të Menaxhimit të Borxhit 202</w:t>
      </w:r>
      <w:r w:rsidR="00EF0DD1" w:rsidRPr="006571D4">
        <w:rPr>
          <w:rFonts w:ascii="Times New Roman" w:hAnsi="Times New Roman"/>
          <w:b/>
          <w:sz w:val="24"/>
          <w:szCs w:val="24"/>
        </w:rPr>
        <w:t>5</w:t>
      </w:r>
      <w:r w:rsidR="00C20B3F" w:rsidRPr="006571D4">
        <w:rPr>
          <w:rFonts w:ascii="Times New Roman" w:hAnsi="Times New Roman"/>
          <w:b/>
          <w:sz w:val="24"/>
          <w:szCs w:val="24"/>
        </w:rPr>
        <w:t>-202</w:t>
      </w:r>
      <w:r w:rsidR="00EF0DD1" w:rsidRPr="006571D4">
        <w:rPr>
          <w:rFonts w:ascii="Times New Roman" w:hAnsi="Times New Roman"/>
          <w:b/>
          <w:sz w:val="24"/>
          <w:szCs w:val="24"/>
        </w:rPr>
        <w:t>9</w:t>
      </w:r>
      <w:r w:rsidR="006571D4">
        <w:rPr>
          <w:rFonts w:ascii="Times New Roman" w:hAnsi="Times New Roman"/>
          <w:sz w:val="24"/>
          <w:szCs w:val="24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571D4" w14:paraId="3BF55563" w14:textId="77777777" w:rsidTr="009F3A30">
        <w:tc>
          <w:tcPr>
            <w:tcW w:w="9212" w:type="dxa"/>
          </w:tcPr>
          <w:p w14:paraId="4736AAD0" w14:textId="77777777" w:rsidR="008675CA" w:rsidRPr="006571D4" w:rsidRDefault="008675C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54C97" w:rsidRPr="006571D4">
              <w:rPr>
                <w:rFonts w:ascii="Times New Roman" w:hAnsi="Times New Roman"/>
                <w:i/>
                <w:sz w:val="24"/>
                <w:szCs w:val="24"/>
              </w:rPr>
              <w:t>Përcaktoni/shkruani komentet e kujt po kërkoni (veçanërisht), p.sh. komente (t</w:t>
            </w:r>
            <w:r w:rsidR="00044810" w:rsidRPr="006571D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E54C97"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përgjithshme) publike, nga komuniteti ekspert në fushën përkatëse, nga organet përfaqësuese të komunitetit të biznesit, nga organizatat joqeveritare dhe individët me përvojë në fushën përkatëse, etj.)</w:t>
            </w:r>
          </w:p>
          <w:p w14:paraId="5313C30A" w14:textId="77777777" w:rsidR="00A64A4B" w:rsidRPr="006571D4" w:rsidRDefault="00A64A4B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FAA3F2" w14:textId="13FC72D1" w:rsidR="001E4573" w:rsidRPr="006571D4" w:rsidRDefault="00C20B3F" w:rsidP="009F3A30">
            <w:pPr>
              <w:pStyle w:val="BodyText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Për draft</w:t>
            </w:r>
            <w:r w:rsidR="00D1086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vendimin</w:t>
            </w:r>
            <w:r w:rsidR="00A64A4B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“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Për miratimin e Strategjisë Afatmesme të Menaxhimit të Borxhit 202</w:t>
            </w:r>
            <w:r w:rsidR="00EF0DD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-202</w:t>
            </w:r>
            <w:r w:rsidR="00EF0DD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A64A4B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”, priten komente </w:t>
            </w:r>
            <w:r w:rsidR="007879C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nga komunit</w:t>
            </w:r>
            <w:r w:rsidR="00D1086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eti</w:t>
            </w:r>
            <w:r w:rsidR="000141C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i</w:t>
            </w:r>
            <w:r w:rsidR="00D1086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ekspert</w:t>
            </w:r>
            <w:r w:rsidR="000141C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ëve</w:t>
            </w:r>
            <w:r w:rsidR="00D1086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të fushës</w:t>
            </w:r>
            <w:r w:rsidR="007879C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.</w:t>
            </w:r>
          </w:p>
          <w:p w14:paraId="107036DC" w14:textId="77777777" w:rsidR="001E4573" w:rsidRPr="006571D4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D98B09" w14:textId="77777777" w:rsidR="008675CA" w:rsidRPr="006571D4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6571D4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571D4">
        <w:rPr>
          <w:rFonts w:ascii="Times New Roman" w:hAnsi="Times New Roman"/>
          <w:sz w:val="24"/>
          <w:szCs w:val="24"/>
        </w:rPr>
        <w:t>Kohëzgjatja e konsultimeve</w:t>
      </w:r>
      <w:r w:rsidR="008675CA" w:rsidRPr="006571D4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571D4" w14:paraId="0A95A18B" w14:textId="77777777" w:rsidTr="009F3A30">
        <w:tc>
          <w:tcPr>
            <w:tcW w:w="9212" w:type="dxa"/>
          </w:tcPr>
          <w:p w14:paraId="7A137B08" w14:textId="315FC652" w:rsidR="008675CA" w:rsidRPr="006571D4" w:rsidRDefault="002F093E" w:rsidP="009F3A30">
            <w:pPr>
              <w:pStyle w:val="BodyText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  <w:r w:rsidR="00A64A4B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javë</w:t>
            </w:r>
            <w:r w:rsidR="00E4678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.</w:t>
            </w:r>
          </w:p>
          <w:p w14:paraId="5863E002" w14:textId="77777777" w:rsidR="001E4573" w:rsidRPr="006571D4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630BCB" w14:textId="77777777" w:rsidR="008675CA" w:rsidRPr="006571D4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6571D4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571D4">
        <w:rPr>
          <w:rFonts w:ascii="Times New Roman" w:hAnsi="Times New Roman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571D4" w14:paraId="0FF81B91" w14:textId="77777777" w:rsidTr="009F3A30">
        <w:tc>
          <w:tcPr>
            <w:tcW w:w="9212" w:type="dxa"/>
          </w:tcPr>
          <w:p w14:paraId="350DED6E" w14:textId="358F188C" w:rsidR="008675CA" w:rsidRPr="006571D4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>Shkruani si mund të p</w:t>
            </w:r>
            <w:r w:rsidR="00044810" w:rsidRPr="006571D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20B3F" w:rsidRPr="006571D4">
              <w:rPr>
                <w:rFonts w:ascii="Times New Roman" w:hAnsi="Times New Roman"/>
                <w:i/>
                <w:sz w:val="24"/>
                <w:szCs w:val="24"/>
              </w:rPr>
              <w:t>rgjigjen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palët e interesuara/publiku në konsultime, p.sh. Me email:, Me post</w:t>
            </w:r>
            <w:r w:rsidR="00044810" w:rsidRPr="006571D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në:, Duke plotësuar formularin në internet në RENJKP (siguroni linket e drejtpërdrejta)</w:t>
            </w:r>
            <w:r w:rsidR="008675CA" w:rsidRPr="006571D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462215D0" w14:textId="1E912DDF" w:rsidR="008675CA" w:rsidRPr="006571D4" w:rsidRDefault="00A64A4B" w:rsidP="009F3A30">
            <w:pPr>
              <w:pStyle w:val="BodyText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Me anë të postës normale</w:t>
            </w:r>
            <w:r w:rsid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, 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asaj elektronike</w:t>
            </w:r>
            <w:r w:rsid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, si dhe nëpërmjet RENJKP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.</w:t>
            </w:r>
          </w:p>
          <w:p w14:paraId="725A5EEA" w14:textId="2648EB2E" w:rsidR="002F093E" w:rsidRPr="006571D4" w:rsidRDefault="002F093E" w:rsidP="002F093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463429" w14:textId="77777777" w:rsidR="008675CA" w:rsidRPr="006571D4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6571D4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571D4">
        <w:rPr>
          <w:rFonts w:ascii="Times New Roman" w:hAnsi="Times New Roman"/>
          <w:sz w:val="24"/>
          <w:szCs w:val="24"/>
        </w:rPr>
        <w:t>Kontakti</w:t>
      </w:r>
      <w:r w:rsidR="008675CA" w:rsidRPr="006571D4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571D4" w14:paraId="12B24D1C" w14:textId="77777777" w:rsidTr="009F3A30">
        <w:tc>
          <w:tcPr>
            <w:tcW w:w="9212" w:type="dxa"/>
          </w:tcPr>
          <w:p w14:paraId="21A97BF5" w14:textId="77777777" w:rsidR="008675CA" w:rsidRPr="006571D4" w:rsidRDefault="00E54C97" w:rsidP="00E54C97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>Duhet t</w:t>
            </w:r>
            <w:r w:rsidR="00044810" w:rsidRPr="006571D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jepen t</w:t>
            </w:r>
            <w:r w:rsidR="00044810" w:rsidRPr="006571D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dh</w:t>
            </w:r>
            <w:r w:rsidR="00044810" w:rsidRPr="006571D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>nat e kontaktit të koordinatorit përkatës për konsultime publike dhe /ose të ndonjë personi tjetër t</w:t>
            </w:r>
            <w:r w:rsidR="00044810" w:rsidRPr="006571D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cilit i drejtohen pyetjet.</w:t>
            </w:r>
          </w:p>
          <w:p w14:paraId="2045242C" w14:textId="2353736B" w:rsidR="00A64A4B" w:rsidRPr="006571D4" w:rsidRDefault="0062523A" w:rsidP="00E54C97">
            <w:pPr>
              <w:pStyle w:val="BodyText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hyperlink r:id="rId5" w:history="1">
              <w:r w:rsidRPr="006571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brikena.jazxhi@financa.gov.al</w:t>
              </w:r>
            </w:hyperlink>
          </w:p>
          <w:p w14:paraId="23C484C3" w14:textId="3BCCC91C" w:rsidR="0062523A" w:rsidRPr="006571D4" w:rsidRDefault="0062523A" w:rsidP="00E54C97">
            <w:pPr>
              <w:pStyle w:val="BodyText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hyperlink r:id="rId6" w:history="1">
              <w:r w:rsidRPr="006571D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erla.kadiu@financa.gov.al</w:t>
              </w:r>
            </w:hyperlink>
          </w:p>
          <w:p w14:paraId="3637B89E" w14:textId="6BAB2C9E" w:rsidR="0062523A" w:rsidRPr="006571D4" w:rsidRDefault="0062523A" w:rsidP="00E54C97">
            <w:pPr>
              <w:pStyle w:val="BodyText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5D44D821" w14:textId="77777777" w:rsidR="008675CA" w:rsidRPr="006571D4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6571D4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571D4">
        <w:rPr>
          <w:rFonts w:ascii="Times New Roman" w:hAnsi="Times New Roman"/>
          <w:sz w:val="24"/>
          <w:szCs w:val="24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571D4" w14:paraId="7239AD1E" w14:textId="77777777" w:rsidTr="009F3A30">
        <w:tc>
          <w:tcPr>
            <w:tcW w:w="9212" w:type="dxa"/>
          </w:tcPr>
          <w:p w14:paraId="4B33EEB9" w14:textId="77777777" w:rsidR="008675CA" w:rsidRPr="006571D4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>Siguroni informacionin nëse ato janë të organizuar.</w:t>
            </w:r>
          </w:p>
          <w:p w14:paraId="225A0334" w14:textId="3D112192" w:rsidR="00E54C97" w:rsidRPr="006571D4" w:rsidRDefault="007879CA" w:rsidP="0050234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Nuk është parashikua</w:t>
            </w:r>
            <w:r w:rsidR="00D1086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r organizimi i takimeve publike, pasi strategjia është e një natyre specifike dhe teknike.</w:t>
            </w:r>
            <w:r w:rsidR="00502348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</w:tr>
    </w:tbl>
    <w:p w14:paraId="29B33FD3" w14:textId="77777777" w:rsidR="008675CA" w:rsidRPr="006571D4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CA45918" w14:textId="07B18191" w:rsidR="008675CA" w:rsidRPr="006571D4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571D4">
        <w:rPr>
          <w:rFonts w:ascii="Times New Roman" w:hAnsi="Times New Roman"/>
          <w:sz w:val="24"/>
          <w:szCs w:val="24"/>
        </w:rPr>
        <w:t>Sfondi i propozimit legjislativ</w:t>
      </w:r>
      <w:r w:rsidR="000F3CC5" w:rsidRPr="006571D4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571D4" w14:paraId="5017327A" w14:textId="77777777" w:rsidTr="009F3A30">
        <w:tc>
          <w:tcPr>
            <w:tcW w:w="9212" w:type="dxa"/>
          </w:tcPr>
          <w:p w14:paraId="61B23939" w14:textId="0D4A259D" w:rsidR="001C0232" w:rsidRPr="006571D4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71D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Përshkruani pse ka nevojë për rregulloren e re/të ndryshuar, d.m.th cila është gjendja aktuale, si është e rregulluar, cilat janë sfidat, problemet dhe mangësitë ekzistuese si të praktikës, ashtu edhe  t</w:t>
            </w:r>
            <w:r w:rsidR="00044810" w:rsidRPr="006571D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rregulloreve ekzistuese, çfar</w:t>
            </w:r>
            <w:r w:rsidR="00044810" w:rsidRPr="006571D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eshte bërë në të kaluarën ashtu siç duhet me k</w:t>
            </w:r>
            <w:r w:rsidR="000F3CC5" w:rsidRPr="006571D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>to politika.</w:t>
            </w:r>
          </w:p>
          <w:p w14:paraId="0DF7C6C3" w14:textId="5A2A984F" w:rsidR="001E4573" w:rsidRPr="006571D4" w:rsidRDefault="007879CA" w:rsidP="007879CA">
            <w:pPr>
              <w:pStyle w:val="BodyText"/>
              <w:spacing w:after="0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Strategjia Afatmesme e Menaxhimit të Borxhit </w:t>
            </w:r>
            <w:r w:rsidR="002F093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(SAMB) 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hartohet dhe përditësohet </w:t>
            </w:r>
            <w:r w:rsidR="002F0709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rregullisht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dhe miratohet me vendim te Këshillit të</w:t>
            </w:r>
            <w:r w:rsidR="002F093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Ministrave. Gjithashtu, s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trategjia hartohet dhe përditësohet në linjë me Ligjin Vjetor të Buxhetit aktual, kuadrin Makro-Fiskal të Qeverisë, si edhe me politikat monetare që Banka e Shqipërisë synon të </w:t>
            </w:r>
            <w:r w:rsidR="00E4678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zbatojë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r w:rsidR="007F1CB3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në periudhën afatmesme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.</w:t>
            </w:r>
          </w:p>
          <w:p w14:paraId="4F68CFEE" w14:textId="77777777" w:rsidR="007879CA" w:rsidRPr="006571D4" w:rsidRDefault="007879CA" w:rsidP="007879CA">
            <w:pPr>
              <w:pStyle w:val="BodyText"/>
              <w:spacing w:after="0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  <w:p w14:paraId="3DDBBC2E" w14:textId="7E97BB9D" w:rsidR="007879CA" w:rsidRPr="006571D4" w:rsidRDefault="000F3CC5" w:rsidP="007879CA">
            <w:pPr>
              <w:pStyle w:val="BodyText"/>
              <w:spacing w:after="0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“</w:t>
            </w:r>
            <w:r w:rsidR="002F093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Strategjia</w:t>
            </w:r>
            <w:r w:rsidR="007879C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Afatmesme </w:t>
            </w:r>
            <w:r w:rsidR="00E4678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e</w:t>
            </w:r>
            <w:r w:rsidR="007879C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Menaxhimit të Borxhit 202</w:t>
            </w:r>
            <w:r w:rsidR="00EF0DD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7879C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-2</w:t>
            </w:r>
            <w:r w:rsidR="002F093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02</w:t>
            </w:r>
            <w:r w:rsidR="00EF0DD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2F093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”, </w:t>
            </w:r>
            <w:r w:rsidR="00E4678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="002F093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sht</w:t>
            </w:r>
            <w:r w:rsidR="00E4678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="002F093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nj</w:t>
            </w:r>
            <w:r w:rsidR="00E4678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="002F093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plan afatmes</w:t>
            </w:r>
            <w:r w:rsidR="00E4678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="002F093E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m, i cili </w:t>
            </w:r>
            <w:r w:rsidR="007879C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përcakton mënyrat e financimit të deficitit buxhetor në periudhën 202</w:t>
            </w:r>
            <w:r w:rsidR="00EF0DD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7879C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-202</w:t>
            </w:r>
            <w:r w:rsidR="00EF0DD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7879C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, si edhe objektivat që duhen realizuar në kuadër të plotësimit të nevojave për financim në periudhën afatmesme, uljes s</w:t>
            </w:r>
            <w:r w:rsidR="000141C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 riskut dhe mbajtjes nën kontr</w:t>
            </w:r>
            <w:r w:rsidR="007879C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oll të kostos, zhvillimit të tregut të titujve shtetërorë dhe rritjes së qëndrueshmërisë së borxhit.</w:t>
            </w:r>
          </w:p>
          <w:p w14:paraId="31CEF892" w14:textId="77777777" w:rsidR="007879CA" w:rsidRPr="006571D4" w:rsidRDefault="007879CA" w:rsidP="007879CA">
            <w:pPr>
              <w:pStyle w:val="BodyText"/>
              <w:spacing w:after="0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  <w:p w14:paraId="30F39E20" w14:textId="49ECF902" w:rsidR="007879CA" w:rsidRPr="006571D4" w:rsidRDefault="002F093E" w:rsidP="007879CA">
            <w:pPr>
              <w:pStyle w:val="BodyText"/>
              <w:spacing w:after="0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SAMB</w:t>
            </w:r>
            <w:r w:rsidR="007879C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ka një ndikim të rëndësishëm në realizimin e huamarrjes në përputhje me nevojat buxhetore të parashikuara në ligjin e buxhetit, si edhe në ruajtjen e balancës ndërmjet kostos dh</w:t>
            </w:r>
            <w:r w:rsidR="00E4678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e riskut të lidhur me borxhin. </w:t>
            </w:r>
          </w:p>
          <w:p w14:paraId="7590D3B8" w14:textId="77777777" w:rsidR="001E4573" w:rsidRPr="006571D4" w:rsidRDefault="001E4573" w:rsidP="00E46781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4F85D3F" w14:textId="77777777" w:rsidR="008675CA" w:rsidRPr="006571D4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71DF514" w14:textId="77777777" w:rsidR="00E54C97" w:rsidRPr="006571D4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6571D4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571D4">
        <w:rPr>
          <w:rFonts w:ascii="Times New Roman" w:hAnsi="Times New Roman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571D4" w14:paraId="59FC2C08" w14:textId="77777777" w:rsidTr="009F3A30">
        <w:tc>
          <w:tcPr>
            <w:tcW w:w="9212" w:type="dxa"/>
          </w:tcPr>
          <w:p w14:paraId="2C492EA2" w14:textId="60884A02" w:rsidR="008675CA" w:rsidRPr="006571D4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>Renditni dhe përshkruani në mënyrë të shkurtër dhe kon</w:t>
            </w:r>
            <w:r w:rsidR="007F652A" w:rsidRPr="006571D4">
              <w:rPr>
                <w:rFonts w:ascii="Times New Roman" w:hAnsi="Times New Roman"/>
                <w:i/>
                <w:sz w:val="24"/>
                <w:szCs w:val="24"/>
              </w:rPr>
              <w:t>ç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>ize të gjitha propozimet dhe ndryshimet që doni të prezantoni me rregullore</w:t>
            </w:r>
            <w:r w:rsidR="007F652A" w:rsidRPr="006571D4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e re. Përdorni nj</w:t>
            </w:r>
            <w:r w:rsidR="00044810" w:rsidRPr="006571D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gjuhë të thjeshtë.</w:t>
            </w:r>
          </w:p>
          <w:p w14:paraId="65EA8CD1" w14:textId="7C2BE32B" w:rsidR="002F0709" w:rsidRPr="006571D4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eastAsia="Calibri" w:hAnsi="Times New Roman"/>
                <w:bCs/>
                <w:color w:val="2F5496" w:themeColor="accent1" w:themeShade="BF"/>
                <w:kern w:val="24"/>
                <w:sz w:val="24"/>
                <w:szCs w:val="24"/>
              </w:rPr>
              <w:t>Projek</w:t>
            </w:r>
            <w:r w:rsidR="007F652A" w:rsidRPr="006571D4">
              <w:rPr>
                <w:rFonts w:ascii="Times New Roman" w:eastAsia="Calibri" w:hAnsi="Times New Roman"/>
                <w:bCs/>
                <w:color w:val="2F5496" w:themeColor="accent1" w:themeShade="BF"/>
                <w:kern w:val="24"/>
                <w:sz w:val="24"/>
                <w:szCs w:val="24"/>
              </w:rPr>
              <w:t>t-</w:t>
            </w:r>
            <w:r w:rsidRPr="006571D4">
              <w:rPr>
                <w:rFonts w:ascii="Times New Roman" w:eastAsia="Calibri" w:hAnsi="Times New Roman"/>
                <w:bCs/>
                <w:color w:val="2F5496" w:themeColor="accent1" w:themeShade="BF"/>
                <w:kern w:val="24"/>
                <w:sz w:val="24"/>
                <w:szCs w:val="24"/>
              </w:rPr>
              <w:t xml:space="preserve">akti përmban kontekstin strategjik, i cili përshkruan qëllimin e hartimit të këtij dokumenti, analizimin e portofolit aktual të borxhit, </w:t>
            </w:r>
            <w:r w:rsidR="007F1CB3" w:rsidRPr="006571D4">
              <w:rPr>
                <w:rFonts w:ascii="Times New Roman" w:eastAsia="Calibri" w:hAnsi="Times New Roman"/>
                <w:bCs/>
                <w:color w:val="2F5496" w:themeColor="accent1" w:themeShade="BF"/>
                <w:kern w:val="24"/>
                <w:sz w:val="24"/>
                <w:szCs w:val="24"/>
              </w:rPr>
              <w:t xml:space="preserve">drejtimet kryesore dhe objektivat specifikë të strategjisë, burimet e financimit, </w:t>
            </w:r>
            <w:r w:rsidRPr="006571D4">
              <w:rPr>
                <w:rFonts w:ascii="Times New Roman" w:eastAsia="Calibri" w:hAnsi="Times New Roman"/>
                <w:bCs/>
                <w:color w:val="2F5496" w:themeColor="accent1" w:themeShade="BF"/>
                <w:kern w:val="24"/>
                <w:sz w:val="24"/>
                <w:szCs w:val="24"/>
              </w:rPr>
              <w:t>4 strategjitë e financimit</w:t>
            </w:r>
            <w:r w:rsidR="000141C1" w:rsidRPr="006571D4">
              <w:rPr>
                <w:rFonts w:ascii="Times New Roman" w:eastAsia="Calibri" w:hAnsi="Times New Roman"/>
                <w:bCs/>
                <w:color w:val="2F5496" w:themeColor="accent1" w:themeShade="BF"/>
                <w:kern w:val="24"/>
                <w:sz w:val="24"/>
                <w:szCs w:val="24"/>
              </w:rPr>
              <w:t>,</w:t>
            </w:r>
            <w:r w:rsidRPr="006571D4">
              <w:rPr>
                <w:rFonts w:ascii="Times New Roman" w:eastAsia="Calibri" w:hAnsi="Times New Roman"/>
                <w:bCs/>
                <w:color w:val="2F5496" w:themeColor="accent1" w:themeShade="BF"/>
                <w:kern w:val="24"/>
                <w:sz w:val="24"/>
                <w:szCs w:val="24"/>
              </w:rPr>
              <w:t xml:space="preserve"> 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si dhe</w:t>
            </w:r>
            <w:r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mënyrën e raportimit dhe monitorimit të strategjisë.</w:t>
            </w:r>
          </w:p>
          <w:p w14:paraId="72292270" w14:textId="77777777" w:rsidR="002F0709" w:rsidRPr="006571D4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  <w:p w14:paraId="2F1B0DD6" w14:textId="77777777" w:rsidR="002F0709" w:rsidRPr="006571D4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SAMB ka objektiva parësore:</w:t>
            </w:r>
          </w:p>
          <w:p w14:paraId="3BEE9AFE" w14:textId="0B4AE283" w:rsidR="002F0709" w:rsidRPr="006571D4" w:rsidRDefault="002F0709" w:rsidP="002F0709">
            <w:pPr>
              <w:numPr>
                <w:ilvl w:val="0"/>
                <w:numId w:val="5"/>
              </w:num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>Plotësimi</w:t>
            </w:r>
            <w:r w:rsidR="007F652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>n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 xml:space="preserve"> </w:t>
            </w:r>
            <w:r w:rsidR="007F652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>e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 xml:space="preserve"> nevojave të Qeverisë për financim në kohë, si dhe nevojave </w:t>
            </w:r>
            <w:r w:rsidR="007F1CB3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>për të shërbyer borxhin aktual,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 xml:space="preserve"> me kosto sa më të ulët duke mbajtur nivele të pranueshme të ekspozimit ndaj  risqeve;</w:t>
            </w:r>
          </w:p>
          <w:p w14:paraId="4BBCCA5B" w14:textId="7817D433" w:rsidR="002F0709" w:rsidRPr="006571D4" w:rsidRDefault="002F0709" w:rsidP="002F0709">
            <w:pPr>
              <w:numPr>
                <w:ilvl w:val="0"/>
                <w:numId w:val="5"/>
              </w:num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>Përmirësimi</w:t>
            </w:r>
            <w:r w:rsidR="007F652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>n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 xml:space="preserve"> dhe ruajtj</w:t>
            </w:r>
            <w:r w:rsidR="007F652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>en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 xml:space="preserve"> e eficencës së tregut primar, mbështetur nga zhvillimi i mëtejshëm i tregut sekondar të titujve shtetërorë vendas.</w:t>
            </w:r>
          </w:p>
          <w:p w14:paraId="24ABD4DC" w14:textId="77777777" w:rsidR="002F0709" w:rsidRPr="006571D4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  <w:p w14:paraId="6F11C08E" w14:textId="77777777" w:rsidR="002F0709" w:rsidRPr="006571D4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Qëllimi:</w:t>
            </w:r>
          </w:p>
          <w:p w14:paraId="1714F01D" w14:textId="77777777" w:rsidR="002F0709" w:rsidRPr="006571D4" w:rsidRDefault="002F0709" w:rsidP="002F0709">
            <w:pPr>
              <w:numPr>
                <w:ilvl w:val="0"/>
                <w:numId w:val="6"/>
              </w:num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>Menaxhimi me efikasitet i portofolit të borxhit me fokus uljen e ekspozimit ndaj risqeve;</w:t>
            </w:r>
          </w:p>
          <w:p w14:paraId="194C4B00" w14:textId="77777777" w:rsidR="002F0709" w:rsidRPr="006571D4" w:rsidRDefault="002F0709" w:rsidP="002F0709">
            <w:pPr>
              <w:numPr>
                <w:ilvl w:val="0"/>
                <w:numId w:val="6"/>
              </w:num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>Rritja e transparencës ndaj investitorëve/palëve të interesuara në lidhje me planet e huamarrjes së qeverisë; si dhe</w:t>
            </w:r>
          </w:p>
          <w:p w14:paraId="1EE5F6E6" w14:textId="77777777" w:rsidR="002F0709" w:rsidRPr="006571D4" w:rsidRDefault="002F0709" w:rsidP="002F0709">
            <w:pPr>
              <w:numPr>
                <w:ilvl w:val="0"/>
                <w:numId w:val="6"/>
              </w:numPr>
              <w:tabs>
                <w:tab w:val="left" w:pos="567"/>
              </w:tabs>
              <w:spacing w:after="160" w:line="259" w:lineRule="auto"/>
              <w:contextualSpacing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eastAsia="en-GB"/>
              </w:rPr>
              <w:t>Kuantifikimi i objektivave në periudhën afatshkurtër dhe afatmesme.</w:t>
            </w:r>
          </w:p>
          <w:p w14:paraId="773D9C5C" w14:textId="77777777" w:rsidR="002F0709" w:rsidRPr="006571D4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  <w:p w14:paraId="11A46837" w14:textId="36FCC92F" w:rsidR="002F0709" w:rsidRPr="006571D4" w:rsidRDefault="002F0709" w:rsidP="002F0709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Struktura e përgjithshme e SAMB është si më poshtë vijon: </w:t>
            </w:r>
          </w:p>
          <w:p w14:paraId="6B3EC3F2" w14:textId="77777777" w:rsidR="002F0709" w:rsidRPr="006571D4" w:rsidRDefault="002F0709" w:rsidP="007F652A">
            <w:pPr>
              <w:tabs>
                <w:tab w:val="left" w:pos="567"/>
              </w:tabs>
              <w:ind w:left="330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-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ab/>
              <w:t>Analizimi i Portofolit Aktual të Borxhit</w:t>
            </w:r>
          </w:p>
          <w:p w14:paraId="61EFFD12" w14:textId="1F078329" w:rsidR="002F0709" w:rsidRPr="006571D4" w:rsidRDefault="002F0709" w:rsidP="007F652A">
            <w:pPr>
              <w:tabs>
                <w:tab w:val="left" w:pos="567"/>
              </w:tabs>
              <w:ind w:firstLine="330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-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ab/>
              <w:t>Strategjia Afatmesme 202</w:t>
            </w:r>
            <w:r w:rsidR="00EF0DD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-202</w:t>
            </w:r>
            <w:r w:rsidR="00EF0DD1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  <w:p w14:paraId="4ECC7394" w14:textId="77777777" w:rsidR="002F0709" w:rsidRPr="006571D4" w:rsidRDefault="002F0709" w:rsidP="002F0709">
            <w:pPr>
              <w:tabs>
                <w:tab w:val="left" w:pos="567"/>
              </w:tabs>
              <w:spacing w:after="120" w:line="259" w:lineRule="auto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  <w:p w14:paraId="147ADF04" w14:textId="77777777" w:rsidR="002F0709" w:rsidRPr="006571D4" w:rsidRDefault="002F0709" w:rsidP="002F0709">
            <w:pPr>
              <w:jc w:val="both"/>
              <w:rPr>
                <w:rFonts w:ascii="Times New Roman" w:hAnsi="Times New Roman"/>
                <w:bCs/>
                <w:color w:val="2F5496" w:themeColor="accent1" w:themeShade="BF"/>
                <w:kern w:val="24"/>
                <w:sz w:val="24"/>
                <w:szCs w:val="24"/>
                <w:lang w:eastAsia="en-GB"/>
              </w:rPr>
            </w:pPr>
            <w:r w:rsidRPr="006571D4">
              <w:rPr>
                <w:rFonts w:ascii="Times New Roman" w:hAnsi="Times New Roman"/>
                <w:bCs/>
                <w:color w:val="2F5496" w:themeColor="accent1" w:themeShade="BF"/>
                <w:kern w:val="24"/>
                <w:sz w:val="24"/>
                <w:szCs w:val="24"/>
                <w:lang w:eastAsia="en-GB"/>
              </w:rPr>
              <w:t>SAMB, krahas strategjisë bazë, e cila i referohet skenarit më të mundshëm të financimit, ka konceptuar edhe tre strategji alternative financimi, duke vlerësuar për çdo rast ndikimet e mundshme mbi kostot, risqet dhe shkallën e zhvillimit të tregut të titujve shtetërorë.</w:t>
            </w:r>
          </w:p>
          <w:p w14:paraId="0CC7B026" w14:textId="77777777" w:rsidR="001C0232" w:rsidRPr="006571D4" w:rsidRDefault="001C0232" w:rsidP="002F0709">
            <w:pPr>
              <w:jc w:val="both"/>
              <w:rPr>
                <w:rFonts w:ascii="Times New Roman" w:hAnsi="Times New Roman"/>
                <w:bCs/>
                <w:color w:val="2F5496" w:themeColor="accent1" w:themeShade="BF"/>
                <w:kern w:val="24"/>
                <w:sz w:val="24"/>
                <w:szCs w:val="24"/>
                <w:lang w:eastAsia="en-GB"/>
              </w:rPr>
            </w:pPr>
          </w:p>
          <w:p w14:paraId="17AAC9A2" w14:textId="77777777" w:rsidR="002F0709" w:rsidRPr="006571D4" w:rsidRDefault="002F0709" w:rsidP="002F0709">
            <w:pPr>
              <w:spacing w:after="160" w:line="259" w:lineRule="auto"/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>Dokumenti i strategjisë së re në ndryshim nga strategjia aktuale parashikon:</w:t>
            </w:r>
          </w:p>
          <w:p w14:paraId="624D04EF" w14:textId="2DC0D901" w:rsidR="00EF0DD1" w:rsidRPr="006571D4" w:rsidRDefault="00EF0DD1" w:rsidP="002F0709">
            <w:pPr>
              <w:spacing w:after="160" w:line="259" w:lineRule="auto"/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>-P</w:t>
            </w:r>
            <w:r w:rsidR="000B5878"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>rdit</w:t>
            </w:r>
            <w:r w:rsidR="000B5878"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>sim t</w:t>
            </w:r>
            <w:r w:rsidR="000B5878"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 xml:space="preserve"> treguesv</w:t>
            </w:r>
            <w:r w:rsidR="000B5878"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 xml:space="preserve"> t</w:t>
            </w:r>
            <w:r w:rsidR="000B5878"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 xml:space="preserve">  riskut duke targetuar tregues risku m</w:t>
            </w:r>
            <w:r w:rsidR="000B5878"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 xml:space="preserve"> agresiv deri n</w:t>
            </w:r>
            <w:r w:rsidR="000B5878"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 xml:space="preserve"> fund t</w:t>
            </w:r>
            <w:r w:rsidR="000B5878"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 xml:space="preserve"> vitit 2029</w:t>
            </w:r>
            <w:r w:rsidR="000B5878" w:rsidRPr="006571D4">
              <w:rPr>
                <w:rFonts w:ascii="Times New Roman" w:eastAsia="Calibri" w:hAnsi="Times New Roman"/>
                <w:color w:val="2F5496" w:themeColor="accent1" w:themeShade="BF"/>
                <w:sz w:val="24"/>
                <w:szCs w:val="24"/>
              </w:rPr>
              <w:t>.</w:t>
            </w:r>
          </w:p>
          <w:p w14:paraId="7A7AF454" w14:textId="77777777" w:rsidR="001E4573" w:rsidRPr="006571D4" w:rsidRDefault="001E4573" w:rsidP="00EF0DD1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20FF0" w14:textId="77777777" w:rsidR="008675CA" w:rsidRPr="006571D4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6571D4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6571D4">
        <w:rPr>
          <w:rFonts w:ascii="Times New Roman" w:hAnsi="Times New Roman"/>
          <w:sz w:val="24"/>
          <w:szCs w:val="24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6571D4" w14:paraId="6F85D1AB" w14:textId="77777777" w:rsidTr="009F3A30">
        <w:tc>
          <w:tcPr>
            <w:tcW w:w="9212" w:type="dxa"/>
          </w:tcPr>
          <w:p w14:paraId="137B2358" w14:textId="77777777" w:rsidR="001E4573" w:rsidRPr="006571D4" w:rsidRDefault="00E54C97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>Listoni pyetje për të cilat po kërkoni reagime. Ato mund të lidhen me propozimet tuaja (p.sh. A jeni dakord me propozimin për ..., A jeni dakord që duhet të ndërmerren veprime të mëtejshme për të parandaluar/rritur ..., A jeni dakord që ne e quajm</w:t>
            </w:r>
            <w:r w:rsidR="00044810" w:rsidRPr="006571D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shkelje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 w:rsidRPr="006571D4">
              <w:rPr>
                <w:rFonts w:ascii="Times New Roman" w:hAnsi="Times New Roman"/>
                <w:i/>
                <w:sz w:val="24"/>
                <w:szCs w:val="24"/>
              </w:rPr>
              <w:t>A e bën organizata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85430" w:rsidRPr="006571D4">
              <w:rPr>
                <w:rFonts w:ascii="Times New Roman" w:hAnsi="Times New Roman"/>
                <w:i/>
                <w:sz w:val="24"/>
                <w:szCs w:val="24"/>
              </w:rPr>
              <w:t>j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uaj ..., etj.). Ju mund të merrni parasysh kufizimin e gjatësisë së përgjigjeve </w:t>
            </w:r>
            <w:r w:rsidR="00785430" w:rsidRPr="006571D4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044810" w:rsidRPr="006571D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785430"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r 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pyetje</w:t>
            </w:r>
            <w:r w:rsidR="00785430" w:rsidRPr="006571D4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6571D4">
              <w:rPr>
                <w:rFonts w:ascii="Times New Roman" w:hAnsi="Times New Roman"/>
                <w:i/>
                <w:sz w:val="24"/>
                <w:szCs w:val="24"/>
              </w:rPr>
              <w:t xml:space="preserve"> individuale (p.sh. 250/500 fjalë).</w:t>
            </w:r>
          </w:p>
          <w:p w14:paraId="444B6686" w14:textId="77777777" w:rsidR="006571D4" w:rsidRPr="006571D4" w:rsidRDefault="006571D4" w:rsidP="009F3A30">
            <w:pPr>
              <w:pStyle w:val="BodyText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Disa nga </w:t>
            </w:r>
            <w:r w:rsidR="00046C32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pyetje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t</w:t>
            </w:r>
            <w:r w:rsidR="00046C32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e mundshme mund t</w:t>
            </w:r>
            <w:r w:rsidR="007879C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="00046C32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je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n</w:t>
            </w:r>
            <w:r w:rsidR="007879CA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="00046C32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: </w:t>
            </w:r>
          </w:p>
          <w:p w14:paraId="20630F0F" w14:textId="05270083" w:rsidR="001E4573" w:rsidRPr="006571D4" w:rsidRDefault="000141C1" w:rsidP="006571D4">
            <w:pPr>
              <w:pStyle w:val="BodyTex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A pajtoheni me qart</w:t>
            </w:r>
            <w:r w:rsidR="00FA6283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sin</w:t>
            </w:r>
            <w:r w:rsidR="00FA6283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e informacionit t</w:t>
            </w:r>
            <w:r w:rsidR="00FA6283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dh</w:t>
            </w:r>
            <w:r w:rsidR="00FA6283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n</w:t>
            </w:r>
            <w:r w:rsidR="00FA6283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n</w:t>
            </w:r>
            <w:r w:rsidR="00FA6283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strategjit</w:t>
            </w:r>
            <w:r w:rsidR="00FA6283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e konceptuara</w:t>
            </w:r>
            <w:r w:rsidR="00046C32"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?</w:t>
            </w:r>
          </w:p>
          <w:p w14:paraId="4861820C" w14:textId="6A5F53B3" w:rsidR="006571D4" w:rsidRPr="006571D4" w:rsidRDefault="006571D4" w:rsidP="006571D4">
            <w:pPr>
              <w:pStyle w:val="BodyTex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A jeni dakord q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strategjia e re duhet 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synoj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nj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rb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rje 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portofolit 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borxhit me nj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risk akoma m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vogel 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ekspozimit ndaj valut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s s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huaj? </w:t>
            </w:r>
          </w:p>
          <w:p w14:paraId="5FC6E6B7" w14:textId="08D54417" w:rsidR="006571D4" w:rsidRPr="006571D4" w:rsidRDefault="006571D4" w:rsidP="006571D4">
            <w:pPr>
              <w:pStyle w:val="BodyTex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Ç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far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mendimi keni p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r uljen e m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tejshme 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tavanit 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borxhit n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valute 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huaj n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Strategjin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e re? </w:t>
            </w:r>
          </w:p>
          <w:p w14:paraId="6C8DEAF2" w14:textId="1CB9515D" w:rsidR="006571D4" w:rsidRPr="006571D4" w:rsidRDefault="006571D4" w:rsidP="006571D4">
            <w:pPr>
              <w:pStyle w:val="BodyTex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Ç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far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alternativa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sh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apo mekanizma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sh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tjerë mendoni se do 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kontribuonin n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zhvillimin e tregut 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brendsh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m 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titujve qeveritare t</w:t>
            </w: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ë</w:t>
            </w:r>
            <w:r w:rsidRPr="006571D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 xml:space="preserve"> borxhit? </w:t>
            </w:r>
          </w:p>
          <w:p w14:paraId="2E582530" w14:textId="77777777" w:rsidR="006571D4" w:rsidRPr="006571D4" w:rsidRDefault="006571D4" w:rsidP="006571D4">
            <w:pPr>
              <w:pStyle w:val="BodyText"/>
              <w:ind w:left="720"/>
              <w:jc w:val="both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  <w:p w14:paraId="3D4086F2" w14:textId="77777777" w:rsidR="001E4573" w:rsidRPr="006571D4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BC99291" w14:textId="77777777" w:rsidR="008675CA" w:rsidRPr="006571D4" w:rsidRDefault="008675CA" w:rsidP="008675CA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6571D4" w:rsidRDefault="008675CA">
      <w:pPr>
        <w:rPr>
          <w:rFonts w:ascii="Times New Roman" w:hAnsi="Times New Roman"/>
          <w:sz w:val="24"/>
          <w:szCs w:val="24"/>
        </w:rPr>
      </w:pPr>
    </w:p>
    <w:sectPr w:rsidR="008675CA" w:rsidRPr="006571D4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58F5"/>
    <w:multiLevelType w:val="hybridMultilevel"/>
    <w:tmpl w:val="C9BE1CC6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0CEA"/>
    <w:multiLevelType w:val="hybridMultilevel"/>
    <w:tmpl w:val="43CE8B02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A42D7"/>
    <w:multiLevelType w:val="hybridMultilevel"/>
    <w:tmpl w:val="EF40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D45FA"/>
    <w:multiLevelType w:val="hybridMultilevel"/>
    <w:tmpl w:val="B94C50C6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C5EAE"/>
    <w:multiLevelType w:val="hybridMultilevel"/>
    <w:tmpl w:val="15F0F28A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7449C"/>
    <w:multiLevelType w:val="hybridMultilevel"/>
    <w:tmpl w:val="9B5C9ECA"/>
    <w:lvl w:ilvl="0" w:tplc="39A49BB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A763D0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5A42072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BC38B6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5CA6610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14280F2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818B884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F623B88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C98CB52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A02AAB"/>
    <w:multiLevelType w:val="hybridMultilevel"/>
    <w:tmpl w:val="43D81942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E07DC"/>
    <w:multiLevelType w:val="hybridMultilevel"/>
    <w:tmpl w:val="590C9BDE"/>
    <w:lvl w:ilvl="0" w:tplc="02A241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0A2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FA282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A92D7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D6CCC2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BE21C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AAC07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68235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B1CE6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213547707">
    <w:abstractNumId w:val="0"/>
  </w:num>
  <w:num w:numId="2" w16cid:durableId="74058753">
    <w:abstractNumId w:val="7"/>
  </w:num>
  <w:num w:numId="3" w16cid:durableId="1671329798">
    <w:abstractNumId w:val="3"/>
  </w:num>
  <w:num w:numId="4" w16cid:durableId="591399343">
    <w:abstractNumId w:val="5"/>
  </w:num>
  <w:num w:numId="5" w16cid:durableId="918640408">
    <w:abstractNumId w:val="1"/>
  </w:num>
  <w:num w:numId="6" w16cid:durableId="143663864">
    <w:abstractNumId w:val="4"/>
  </w:num>
  <w:num w:numId="7" w16cid:durableId="1693992782">
    <w:abstractNumId w:val="6"/>
  </w:num>
  <w:num w:numId="8" w16cid:durableId="170128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141C1"/>
    <w:rsid w:val="00044810"/>
    <w:rsid w:val="00046C32"/>
    <w:rsid w:val="000B5878"/>
    <w:rsid w:val="000F3CC5"/>
    <w:rsid w:val="00103C86"/>
    <w:rsid w:val="001A7E47"/>
    <w:rsid w:val="001C0232"/>
    <w:rsid w:val="001E4573"/>
    <w:rsid w:val="002F0709"/>
    <w:rsid w:val="002F093E"/>
    <w:rsid w:val="00453FEB"/>
    <w:rsid w:val="00463C25"/>
    <w:rsid w:val="004C5AE2"/>
    <w:rsid w:val="00502348"/>
    <w:rsid w:val="00574E6C"/>
    <w:rsid w:val="005D2540"/>
    <w:rsid w:val="00612042"/>
    <w:rsid w:val="0062523A"/>
    <w:rsid w:val="006571D4"/>
    <w:rsid w:val="00785430"/>
    <w:rsid w:val="007879CA"/>
    <w:rsid w:val="007F1CB3"/>
    <w:rsid w:val="007F652A"/>
    <w:rsid w:val="008675CA"/>
    <w:rsid w:val="008C463E"/>
    <w:rsid w:val="00A64A4B"/>
    <w:rsid w:val="00A7507E"/>
    <w:rsid w:val="00A930DE"/>
    <w:rsid w:val="00AE2466"/>
    <w:rsid w:val="00BA48F8"/>
    <w:rsid w:val="00BC317E"/>
    <w:rsid w:val="00BD2CC2"/>
    <w:rsid w:val="00C20B3F"/>
    <w:rsid w:val="00CC3D10"/>
    <w:rsid w:val="00D1086E"/>
    <w:rsid w:val="00D64AD2"/>
    <w:rsid w:val="00E46781"/>
    <w:rsid w:val="00E54C97"/>
    <w:rsid w:val="00EE4873"/>
    <w:rsid w:val="00EF0DD1"/>
    <w:rsid w:val="00F633DA"/>
    <w:rsid w:val="00FA48FD"/>
    <w:rsid w:val="00FA6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625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la.kadiu@financa.gov.al" TargetMode="External"/><Relationship Id="rId5" Type="http://schemas.openxmlformats.org/officeDocument/2006/relationships/hyperlink" Target="mailto:brikena.jazxhi@financ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Prende Cubi</cp:lastModifiedBy>
  <cp:revision>2</cp:revision>
  <cp:lastPrinted>2025-09-30T10:04:00Z</cp:lastPrinted>
  <dcterms:created xsi:type="dcterms:W3CDTF">2025-09-30T10:33:00Z</dcterms:created>
  <dcterms:modified xsi:type="dcterms:W3CDTF">2025-09-30T10:33:00Z</dcterms:modified>
</cp:coreProperties>
</file>