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D1F" w14:textId="77777777" w:rsidR="008675CA" w:rsidRPr="0047642B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</w:rPr>
      </w:pPr>
      <w:r w:rsidRPr="0047642B">
        <w:rPr>
          <w:rFonts w:ascii="Times New Roman" w:hAnsi="Times New Roman"/>
          <w:i w:val="0"/>
          <w:iCs/>
          <w:szCs w:val="24"/>
        </w:rPr>
        <w:t>MODEL</w:t>
      </w:r>
      <w:r w:rsidR="00463C25" w:rsidRPr="0047642B">
        <w:rPr>
          <w:rFonts w:ascii="Times New Roman" w:hAnsi="Times New Roman"/>
          <w:i w:val="0"/>
          <w:iCs/>
          <w:szCs w:val="24"/>
        </w:rPr>
        <w:t xml:space="preserve">I </w:t>
      </w:r>
      <w:r w:rsidRPr="0047642B">
        <w:rPr>
          <w:rFonts w:ascii="Times New Roman" w:hAnsi="Times New Roman"/>
          <w:i w:val="0"/>
          <w:iCs/>
          <w:szCs w:val="24"/>
        </w:rPr>
        <w:t>P</w:t>
      </w:r>
      <w:r w:rsidR="00044810" w:rsidRPr="0047642B">
        <w:rPr>
          <w:rFonts w:ascii="Times New Roman" w:hAnsi="Times New Roman"/>
          <w:i w:val="0"/>
          <w:iCs/>
          <w:szCs w:val="24"/>
        </w:rPr>
        <w:t>Ë</w:t>
      </w:r>
      <w:r w:rsidRPr="0047642B">
        <w:rPr>
          <w:rFonts w:ascii="Times New Roman" w:hAnsi="Times New Roman"/>
          <w:i w:val="0"/>
          <w:iCs/>
          <w:szCs w:val="24"/>
        </w:rPr>
        <w:t>R DOKUMENTIN KONSULTATIV</w:t>
      </w:r>
    </w:p>
    <w:p w14:paraId="3B5175BE" w14:textId="78BD9B65" w:rsidR="007A1FEF" w:rsidRPr="0047642B" w:rsidRDefault="00E54C97" w:rsidP="007A1FEF">
      <w:pPr>
        <w:pStyle w:val="ListParagraph"/>
        <w:numPr>
          <w:ilvl w:val="0"/>
          <w:numId w:val="1"/>
        </w:numPr>
        <w:spacing w:line="276" w:lineRule="auto"/>
        <w:ind w:right="48"/>
        <w:jc w:val="both"/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</w:pPr>
      <w:r w:rsidRPr="0047642B">
        <w:rPr>
          <w:rFonts w:ascii="Times New Roman" w:hAnsi="Times New Roman"/>
          <w:sz w:val="24"/>
          <w:szCs w:val="24"/>
        </w:rPr>
        <w:t>P</w:t>
      </w:r>
      <w:r w:rsidR="00044810" w:rsidRPr="0047642B">
        <w:rPr>
          <w:rFonts w:ascii="Times New Roman" w:hAnsi="Times New Roman"/>
          <w:sz w:val="24"/>
          <w:szCs w:val="24"/>
        </w:rPr>
        <w:t>ë</w:t>
      </w:r>
      <w:r w:rsidRPr="0047642B">
        <w:rPr>
          <w:rFonts w:ascii="Times New Roman" w:hAnsi="Times New Roman"/>
          <w:sz w:val="24"/>
          <w:szCs w:val="24"/>
        </w:rPr>
        <w:t xml:space="preserve">r </w:t>
      </w:r>
      <w:r w:rsidR="0047642B" w:rsidRPr="0047642B">
        <w:rPr>
          <w:rFonts w:ascii="Times New Roman" w:hAnsi="Times New Roman"/>
          <w:bCs/>
          <w:spacing w:val="-5"/>
          <w:sz w:val="24"/>
          <w:szCs w:val="24"/>
        </w:rPr>
        <w:t>p</w:t>
      </w:r>
      <w:r w:rsidR="007A1FEF" w:rsidRPr="0047642B">
        <w:rPr>
          <w:rFonts w:ascii="Times New Roman" w:hAnsi="Times New Roman"/>
          <w:bCs/>
          <w:spacing w:val="-5"/>
          <w:sz w:val="24"/>
          <w:szCs w:val="24"/>
        </w:rPr>
        <w:t>rojektligj</w:t>
      </w:r>
      <w:r w:rsidR="0047642B" w:rsidRPr="0047642B">
        <w:rPr>
          <w:rFonts w:ascii="Times New Roman" w:hAnsi="Times New Roman"/>
          <w:bCs/>
          <w:spacing w:val="-5"/>
          <w:sz w:val="24"/>
          <w:szCs w:val="24"/>
        </w:rPr>
        <w:t>in</w:t>
      </w:r>
      <w:r w:rsidR="007A1FEF" w:rsidRPr="0047642B">
        <w:rPr>
          <w:rFonts w:ascii="Times New Roman" w:hAnsi="Times New Roman"/>
          <w:bCs/>
          <w:i/>
          <w:iCs/>
          <w:spacing w:val="-5"/>
          <w:sz w:val="24"/>
          <w:szCs w:val="24"/>
        </w:rPr>
        <w:t xml:space="preserve"> </w:t>
      </w:r>
      <w:r w:rsidR="007A1FEF" w:rsidRPr="0047642B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“Për disa shtesa dhe ndryshime në ligjin nr. 9917, datë 19.5.2008, “Për parandalimin e pastrimit të parave dhe financimit të terrorizmit”, të ndryshuar.</w:t>
      </w:r>
    </w:p>
    <w:p w14:paraId="6372D3DD" w14:textId="6D08F89C" w:rsidR="008675CA" w:rsidRPr="0047642B" w:rsidRDefault="008675CA" w:rsidP="001E4573">
      <w:pPr>
        <w:pStyle w:val="BodyTex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7642B" w14:paraId="3BF55563" w14:textId="77777777" w:rsidTr="009F3A30">
        <w:tc>
          <w:tcPr>
            <w:tcW w:w="9212" w:type="dxa"/>
          </w:tcPr>
          <w:p w14:paraId="4736AAD0" w14:textId="77777777" w:rsidR="008675CA" w:rsidRPr="0047642B" w:rsidRDefault="008675C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54C97" w:rsidRPr="0047642B">
              <w:rPr>
                <w:rFonts w:ascii="Times New Roman" w:hAnsi="Times New Roman"/>
                <w:i/>
                <w:sz w:val="24"/>
                <w:szCs w:val="24"/>
              </w:rPr>
              <w:t>Përcaktoni/shkruani komentet e kujt po kërkoni (veçanërisht), p.sh. komente (t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E54C97"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0D232AD2" w14:textId="77777777" w:rsidR="007A1FEF" w:rsidRPr="0047642B" w:rsidRDefault="007A1FEF" w:rsidP="007A1FEF">
            <w:pPr>
              <w:spacing w:line="276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21B569" w14:textId="4ADA902C" w:rsidR="007A1FEF" w:rsidRPr="0047642B" w:rsidRDefault="007A1FEF" w:rsidP="007A1FEF">
            <w:pPr>
              <w:spacing w:line="276" w:lineRule="auto"/>
              <w:ind w:right="48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Priten komente të përgjithshme nga qytetarët </w:t>
            </w:r>
            <w:r w:rsidR="00AB0933"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dhe ekspert të fushës </w:t>
            </w: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për p</w:t>
            </w:r>
            <w:r w:rsidRPr="0047642B">
              <w:rPr>
                <w:rFonts w:ascii="Times New Roman" w:hAnsi="Times New Roman"/>
                <w:bCs/>
                <w:color w:val="2F5496" w:themeColor="accent1" w:themeShade="BF"/>
                <w:spacing w:val="-5"/>
                <w:sz w:val="24"/>
                <w:szCs w:val="24"/>
              </w:rPr>
              <w:t xml:space="preserve">rojektligjin </w:t>
            </w:r>
            <w:r w:rsidRPr="0047642B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“Për disa shtesa dhe ndryshime në ligjin nr. 9917, datë 19.5.2008, “</w:t>
            </w:r>
            <w:r w:rsidRPr="003C384D"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  <w:t>Për parandalimin e pastrimit të parave dhe financimit të terrorizmit</w:t>
            </w:r>
            <w:r w:rsidRPr="0047642B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”, të ndryshuar.</w:t>
            </w:r>
          </w:p>
          <w:p w14:paraId="107036DC" w14:textId="77777777" w:rsidR="001E4573" w:rsidRPr="0047642B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D98B09" w14:textId="77777777" w:rsidR="008675CA" w:rsidRPr="0047642B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47642B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7642B">
        <w:rPr>
          <w:rFonts w:ascii="Times New Roman" w:hAnsi="Times New Roman"/>
          <w:sz w:val="24"/>
          <w:szCs w:val="24"/>
        </w:rPr>
        <w:t>Kohëzgjatja e konsultimeve</w:t>
      </w:r>
      <w:r w:rsidR="008675CA" w:rsidRPr="0047642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7642B" w14:paraId="0A95A18B" w14:textId="77777777" w:rsidTr="009F3A30">
        <w:tc>
          <w:tcPr>
            <w:tcW w:w="9212" w:type="dxa"/>
          </w:tcPr>
          <w:p w14:paraId="1AABDA40" w14:textId="7856E278" w:rsidR="007A1FEF" w:rsidRPr="0047642B" w:rsidRDefault="007A1FEF" w:rsidP="007A1FEF">
            <w:pPr>
              <w:pStyle w:val="BodyText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Afati kohor është 20 ditë.</w:t>
            </w:r>
          </w:p>
          <w:p w14:paraId="5863E002" w14:textId="59AC57D8" w:rsidR="001E4573" w:rsidRPr="0047642B" w:rsidRDefault="007A1FEF" w:rsidP="009F3A30">
            <w:pPr>
              <w:pStyle w:val="BodyText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Projektligji është publikuar në RENJK në datë 23.10.2025. </w:t>
            </w:r>
          </w:p>
        </w:tc>
      </w:tr>
    </w:tbl>
    <w:p w14:paraId="29630BCB" w14:textId="77777777" w:rsidR="008675CA" w:rsidRPr="0047642B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47642B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7642B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7642B" w14:paraId="0FF81B91" w14:textId="77777777" w:rsidTr="009F3A30">
        <w:tc>
          <w:tcPr>
            <w:tcW w:w="9212" w:type="dxa"/>
          </w:tcPr>
          <w:p w14:paraId="350DED6E" w14:textId="77777777" w:rsidR="008675CA" w:rsidRPr="0047642B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>Shkruani si mund të p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>rgjigjen  palët e interesuara/publiku në konsultime, p.sh. Me email:, Me post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në:, Duke plotësuar formularin në internet në RENJKP (siguroni linket e drejtpërdrejta)</w:t>
            </w:r>
            <w:r w:rsidR="008675CA" w:rsidRPr="004764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25A5EEA" w14:textId="4ED16BEC" w:rsidR="008675CA" w:rsidRPr="0047642B" w:rsidRDefault="007A1FEF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Qytetarët mund të përgjigjen duke plotësuar formularin në RENJK</w:t>
            </w:r>
            <w:r w:rsidR="00F37F2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P</w:t>
            </w: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.</w:t>
            </w:r>
          </w:p>
        </w:tc>
      </w:tr>
    </w:tbl>
    <w:p w14:paraId="3C463429" w14:textId="77777777" w:rsidR="008675CA" w:rsidRPr="0047642B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47642B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7642B">
        <w:rPr>
          <w:rFonts w:ascii="Times New Roman" w:hAnsi="Times New Roman"/>
          <w:sz w:val="24"/>
          <w:szCs w:val="24"/>
        </w:rPr>
        <w:t>Kontakti</w:t>
      </w:r>
      <w:r w:rsidR="008675CA" w:rsidRPr="0047642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7642B" w14:paraId="12B24D1C" w14:textId="77777777" w:rsidTr="009F3A30">
        <w:tc>
          <w:tcPr>
            <w:tcW w:w="9212" w:type="dxa"/>
          </w:tcPr>
          <w:p w14:paraId="71B1CA7B" w14:textId="77777777" w:rsidR="008675CA" w:rsidRPr="0047642B" w:rsidRDefault="00E54C97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>Duhet t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jepen t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dh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>nat e kontaktit të koordinatorit përkatës për konsultime publike dhe /ose të ndonjë personi tjetër t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cilit i drejtohen pyetjet.</w:t>
            </w:r>
          </w:p>
          <w:p w14:paraId="3637B89E" w14:textId="5C1A8C9F" w:rsidR="007A1FEF" w:rsidRPr="0047642B" w:rsidRDefault="007A1FEF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47642B">
                <w:rPr>
                  <w:rStyle w:val="Hyperlink"/>
                  <w:rFonts w:ascii="Times New Roman" w:hAnsi="Times New Roman"/>
                  <w:color w:val="2F5496" w:themeColor="accent1" w:themeShade="BF"/>
                  <w:sz w:val="24"/>
                  <w:szCs w:val="24"/>
                </w:rPr>
                <w:t>prende.cubi@financa.gov.al</w:t>
              </w:r>
            </w:hyperlink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 </w:t>
            </w:r>
          </w:p>
        </w:tc>
      </w:tr>
    </w:tbl>
    <w:p w14:paraId="5D44D821" w14:textId="77777777" w:rsidR="008675CA" w:rsidRPr="0047642B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47642B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7642B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7642B" w14:paraId="7239AD1E" w14:textId="77777777" w:rsidTr="009F3A30">
        <w:tc>
          <w:tcPr>
            <w:tcW w:w="9212" w:type="dxa"/>
          </w:tcPr>
          <w:p w14:paraId="4B33EEB9" w14:textId="77777777" w:rsidR="008675CA" w:rsidRPr="0047642B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>Siguroni informacionin nëse ato janë të organizuar.</w:t>
            </w:r>
          </w:p>
          <w:p w14:paraId="225A0334" w14:textId="5848E215" w:rsidR="00E54C97" w:rsidRPr="0047642B" w:rsidRDefault="00AB0933" w:rsidP="009F3A30">
            <w:pPr>
              <w:pStyle w:val="BodyText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Nuk janë parashikuar të zhvillohen takime.</w:t>
            </w:r>
          </w:p>
        </w:tc>
      </w:tr>
    </w:tbl>
    <w:p w14:paraId="29B33FD3" w14:textId="77777777" w:rsidR="008675CA" w:rsidRPr="0047642B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47642B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7642B">
        <w:rPr>
          <w:rFonts w:ascii="Times New Roman" w:hAnsi="Times New Roman"/>
          <w:sz w:val="24"/>
          <w:szCs w:val="24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7642B" w14:paraId="5017327A" w14:textId="77777777" w:rsidTr="009F3A30">
        <w:tc>
          <w:tcPr>
            <w:tcW w:w="9212" w:type="dxa"/>
          </w:tcPr>
          <w:p w14:paraId="27FAC696" w14:textId="77777777" w:rsidR="001E4573" w:rsidRPr="0047642B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rregulloreve ekzistuese, çfar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eshte bërë në të kaluarën ashtu siç duhet me keto politika.</w:t>
            </w:r>
          </w:p>
          <w:p w14:paraId="79495788" w14:textId="77777777" w:rsidR="007A1FEF" w:rsidRPr="0047642B" w:rsidRDefault="007A1FEF" w:rsidP="007A1FEF">
            <w:pPr>
              <w:pStyle w:val="BodyText"/>
              <w:tabs>
                <w:tab w:val="left" w:pos="540"/>
              </w:tabs>
              <w:spacing w:after="0" w:line="276" w:lineRule="auto"/>
              <w:ind w:right="43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lastRenderedPageBreak/>
              <w:t xml:space="preserve">Qëllimi i këtij projektligji është mbrojtja e sistemit financiar dhe e ekonomisë në tërësi nga kërcënimet e pastrimit të parave dhe financimit të terrorizmit, duke forcuar integritetin e sistemit parandalues në vend dhe duke kontribuar për sigurinë si dhe përmbushjen e detyrimeve ndërkombëtare të fushës. </w:t>
            </w:r>
          </w:p>
          <w:p w14:paraId="5EEEE539" w14:textId="77777777" w:rsidR="007A1FEF" w:rsidRPr="0047642B" w:rsidRDefault="007A1FEF" w:rsidP="007A1FEF">
            <w:pPr>
              <w:pStyle w:val="BodyText"/>
              <w:tabs>
                <w:tab w:val="left" w:pos="540"/>
              </w:tabs>
              <w:spacing w:after="0" w:line="276" w:lineRule="auto"/>
              <w:ind w:right="43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73E12244" w14:textId="704D4221" w:rsidR="007A1FEF" w:rsidRPr="0047642B" w:rsidRDefault="007A1FEF" w:rsidP="007A1FEF">
            <w:pPr>
              <w:pStyle w:val="BodyText"/>
              <w:tabs>
                <w:tab w:val="left" w:pos="540"/>
              </w:tabs>
              <w:spacing w:after="0" w:line="276" w:lineRule="auto"/>
              <w:ind w:right="43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Në funksion të këtij qëllimi të përgjithshëm synohet:</w:t>
            </w:r>
          </w:p>
          <w:p w14:paraId="1EEC8537" w14:textId="77777777" w:rsidR="007A1FEF" w:rsidRPr="0047642B" w:rsidRDefault="007A1FEF" w:rsidP="007A1FEF">
            <w:pPr>
              <w:pStyle w:val="BodyText"/>
              <w:tabs>
                <w:tab w:val="left" w:pos="540"/>
              </w:tabs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72BF41DB" w14:textId="77777777" w:rsidR="007A1FEF" w:rsidRPr="0047642B" w:rsidRDefault="007A1FEF" w:rsidP="007A1FE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40"/>
                <w:tab w:val="left" w:pos="1080"/>
              </w:tabs>
              <w:autoSpaceDE w:val="0"/>
              <w:autoSpaceDN w:val="0"/>
              <w:spacing w:line="276" w:lineRule="auto"/>
              <w:ind w:right="48"/>
              <w:contextualSpacing w:val="0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zvogëlimi i rreziqeve të pastrimit të parave dhe financimit të terrorizmit nëpërmjet politikave, koordinimit dhe bashkëpunimit;</w:t>
            </w:r>
          </w:p>
          <w:p w14:paraId="2E4E5536" w14:textId="77777777" w:rsidR="007A1FEF" w:rsidRPr="0047642B" w:rsidRDefault="007A1FEF" w:rsidP="007A1FE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40"/>
                <w:tab w:val="left" w:pos="1080"/>
              </w:tabs>
              <w:autoSpaceDE w:val="0"/>
              <w:autoSpaceDN w:val="0"/>
              <w:spacing w:line="276" w:lineRule="auto"/>
              <w:ind w:right="48"/>
              <w:contextualSpacing w:val="0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parandalimi i hyrjes së produkteve të veprave penale apo veprimtarisë kriminale, si dhe të fondeve në mbështetje të terrorizmit në sektorin</w:t>
            </w:r>
            <w:r w:rsidRPr="0047642B">
              <w:rPr>
                <w:rFonts w:ascii="Times New Roman" w:hAnsi="Times New Roman"/>
                <w:color w:val="2F5496" w:themeColor="accent1" w:themeShade="BF"/>
                <w:spacing w:val="40"/>
                <w:sz w:val="24"/>
                <w:szCs w:val="24"/>
              </w:rPr>
              <w:t xml:space="preserve"> </w:t>
            </w: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financiar apo në sektorë të tjerë ose zbulimi dhe raportimi i tyre;</w:t>
            </w:r>
          </w:p>
          <w:p w14:paraId="0E27CCC4" w14:textId="77777777" w:rsidR="007A1FEF" w:rsidRPr="0047642B" w:rsidRDefault="007A1FEF" w:rsidP="007A1FE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40"/>
                <w:tab w:val="left" w:pos="1080"/>
              </w:tabs>
              <w:autoSpaceDE w:val="0"/>
              <w:autoSpaceDN w:val="0"/>
              <w:spacing w:line="276" w:lineRule="auto"/>
              <w:ind w:right="48"/>
              <w:contextualSpacing w:val="0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zbulimi dhe goditja e kërcënimeve për pastrim të parave/financim të </w:t>
            </w:r>
            <w:r w:rsidRPr="0047642B">
              <w:rPr>
                <w:rFonts w:ascii="Times New Roman" w:hAnsi="Times New Roman"/>
                <w:color w:val="2F5496" w:themeColor="accent1" w:themeShade="BF"/>
                <w:spacing w:val="-2"/>
                <w:sz w:val="24"/>
                <w:szCs w:val="24"/>
              </w:rPr>
              <w:t>terrorizmit.</w:t>
            </w:r>
          </w:p>
          <w:p w14:paraId="7590D3B8" w14:textId="77777777" w:rsidR="001E4573" w:rsidRPr="0047642B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4F85D3F" w14:textId="77777777" w:rsidR="008675CA" w:rsidRPr="0047642B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71DF514" w14:textId="77777777" w:rsidR="00E54C97" w:rsidRPr="0047642B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47642B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7642B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7642B" w14:paraId="59FC2C08" w14:textId="77777777" w:rsidTr="009F3A30">
        <w:tc>
          <w:tcPr>
            <w:tcW w:w="9212" w:type="dxa"/>
          </w:tcPr>
          <w:p w14:paraId="2C492EA2" w14:textId="77777777" w:rsidR="008675CA" w:rsidRPr="0047642B" w:rsidRDefault="00E54C97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gjuhë të thjeshtë.</w:t>
            </w:r>
          </w:p>
          <w:p w14:paraId="0E8ECB4F" w14:textId="77777777" w:rsidR="001E4573" w:rsidRPr="0047642B" w:rsidRDefault="001E4573" w:rsidP="009F3A30">
            <w:pPr>
              <w:pStyle w:val="BodyText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21958B99" w14:textId="1C1D79AA" w:rsidR="007A1FEF" w:rsidRPr="0047642B" w:rsidRDefault="007A1FEF" w:rsidP="007A1FEF">
            <w:pPr>
              <w:pStyle w:val="BodyText"/>
              <w:tabs>
                <w:tab w:val="left" w:pos="0"/>
              </w:tabs>
              <w:spacing w:line="276" w:lineRule="auto"/>
              <w:ind w:right="48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Ky projektligj synon përafrimin e legjislacionit kombëtar me rekomandimet e Financial Action Task Force (FATF), konkretisht me rekomandimet si vijon:</w:t>
            </w:r>
          </w:p>
          <w:p w14:paraId="01192E86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Rekomandimin 1 “Vlerësimi i rreziqeve dhe zbatimi i rreziqeve mbi baza rreziku”; </w:t>
            </w:r>
          </w:p>
          <w:p w14:paraId="3E1A7829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Rekomandimin 8 “Organizatat jofitimprurëse”;</w:t>
            </w:r>
          </w:p>
          <w:p w14:paraId="1880A08E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Rekomandimin 10 “Vigjilenca e duhur”; </w:t>
            </w:r>
          </w:p>
          <w:p w14:paraId="1417AE60" w14:textId="23334FD4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5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Rekomandimin 40 “Bashkëpunimi ndërkombëtar”, duke adresuar boshllëqet ekzistuese në kuadrin normativ dhe duke përmirësuar instrumentet ligjore në fushën e parandalimit të pastrimit të parave dhe financimit të terrorizmit. </w:t>
            </w:r>
          </w:p>
          <w:p w14:paraId="0EA139AD" w14:textId="77777777" w:rsidR="003733C4" w:rsidRPr="0047642B" w:rsidRDefault="003733C4" w:rsidP="003733C4">
            <w:pPr>
              <w:pStyle w:val="BodyText"/>
              <w:widowControl w:val="0"/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left="630"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105F268C" w14:textId="5A2E4ECE" w:rsidR="007A1FEF" w:rsidRPr="0047642B" w:rsidRDefault="007A1FEF" w:rsidP="007A1FEF">
            <w:pPr>
              <w:pStyle w:val="BodyText"/>
              <w:tabs>
                <w:tab w:val="left" w:pos="0"/>
              </w:tabs>
              <w:spacing w:line="276" w:lineRule="auto"/>
              <w:ind w:right="48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Referuar sa më sipër:</w:t>
            </w:r>
          </w:p>
          <w:p w14:paraId="2D568554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Sa i përket Rekomandimit 1 të FATF, projektligji vendos theksin tek vlerësimi i rreziqeve dhe zbatimi i një qasjeje të bazuar në rrezik, duke shmangur aplikimin formal apo të përgjithshëm të masave dhe duke mundësuar një mbikëqyrje më efektive.</w:t>
            </w:r>
          </w:p>
          <w:p w14:paraId="6B45B165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Në lidhje me Rekomandimin 8 të FATF, rregullimi i veçantë për organizatat jofitimprurëse synon të parandalojë përdorimin e tyre për financime të paligjshme, pa cenuar misionin e tyre social e komunitar.</w:t>
            </w:r>
          </w:p>
          <w:p w14:paraId="6BB34D46" w14:textId="7CF3345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Rekomandimi 10 i FATF lidhet me forcimin e detyrimeve për njohjen e klientit (KYC – Kno</w:t>
            </w:r>
            <w:r w:rsidR="007D64B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Your Customer), ruajtjen dhe administrimin e të dhënave, duke shtuar sigurinë në marrëdhëniet tregtare dhe financiare.</w:t>
            </w:r>
          </w:p>
          <w:p w14:paraId="58A871B0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4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Rekomandimi 40 parashikon format e bashkëpunimit ndërkombëtar, duke rritur </w:t>
            </w: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lastRenderedPageBreak/>
              <w:t>aftësinë e institucioneve shqiptare për të shkëmbyer informacion dhe për të bashkërenduar veprime me homologët e huaj, veçanërisht në kuadër të integrimit evropian dhe luftës globale kundër krimit të organizuar.</w:t>
            </w:r>
          </w:p>
          <w:p w14:paraId="511E3F22" w14:textId="77777777" w:rsidR="007A1FEF" w:rsidRPr="0047642B" w:rsidRDefault="007A1FEF" w:rsidP="007A1FEF">
            <w:pPr>
              <w:pStyle w:val="BodyText"/>
              <w:tabs>
                <w:tab w:val="left" w:pos="0"/>
              </w:tabs>
              <w:spacing w:line="276" w:lineRule="auto"/>
              <w:ind w:right="48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2245D946" w14:textId="3D922514" w:rsidR="007A1FEF" w:rsidRPr="0047642B" w:rsidRDefault="007A1FEF" w:rsidP="007A1FEF">
            <w:pPr>
              <w:pStyle w:val="BodyText"/>
              <w:tabs>
                <w:tab w:val="left" w:pos="0"/>
              </w:tabs>
              <w:spacing w:line="276" w:lineRule="auto"/>
              <w:ind w:right="48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Përparësitë e projektligjit:</w:t>
            </w:r>
          </w:p>
          <w:p w14:paraId="6CAD20CD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Forcon kuadrin ligjor për të parandaluar pastrimin e parave, financimin e terrorizmit dhe financimin e armëve të shkatërrimit në masë.</w:t>
            </w:r>
          </w:p>
          <w:p w14:paraId="48D05886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Përshtat sistemin me standardet ndërkombëtare, duke rritur besueshmërinë e Shqipërisë në raportin e bashkëpunimit me partnerët strategjikë.</w:t>
            </w:r>
          </w:p>
          <w:p w14:paraId="7BE0F6DA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Rrit transparencën dhe sigurinë në sektorin financiar e jofitimprurës.</w:t>
            </w:r>
          </w:p>
          <w:p w14:paraId="006AF1CD" w14:textId="77777777" w:rsidR="007A1FEF" w:rsidRPr="0047642B" w:rsidRDefault="007A1FEF" w:rsidP="007A1FEF">
            <w:pPr>
              <w:pStyle w:val="BodyText"/>
              <w:tabs>
                <w:tab w:val="left" w:pos="0"/>
              </w:tabs>
              <w:spacing w:line="276" w:lineRule="auto"/>
              <w:ind w:right="48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0044F068" w14:textId="2AA54DDA" w:rsidR="007A1FEF" w:rsidRPr="0047642B" w:rsidRDefault="007A1FEF" w:rsidP="007A1FEF">
            <w:pPr>
              <w:pStyle w:val="BodyText"/>
              <w:tabs>
                <w:tab w:val="left" w:pos="0"/>
              </w:tabs>
              <w:spacing w:line="276" w:lineRule="auto"/>
              <w:ind w:right="48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Efektet e pritshme:</w:t>
            </w:r>
          </w:p>
          <w:p w14:paraId="6FC77638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Ulja e risqeve për përdorimin e sektorëve financiarë dhe jofitimprurës për qëllime kriminale.</w:t>
            </w:r>
          </w:p>
          <w:p w14:paraId="520F3FE3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Lehtësim i bashkëpunimit ndërkombëtar dhe akses më i gjerë në informacion për autoritetet shqiptare.</w:t>
            </w:r>
          </w:p>
          <w:p w14:paraId="2E12C98C" w14:textId="77777777" w:rsidR="007A1FEF" w:rsidRPr="0047642B" w:rsidRDefault="007A1FEF" w:rsidP="007A1FEF">
            <w:pPr>
              <w:pStyle w:val="BodyText"/>
              <w:widowControl w:val="0"/>
              <w:numPr>
                <w:ilvl w:val="0"/>
                <w:numId w:val="3"/>
              </w:numPr>
              <w:tabs>
                <w:tab w:val="clear" w:pos="567"/>
                <w:tab w:val="left" w:pos="0"/>
              </w:tabs>
              <w:autoSpaceDE w:val="0"/>
              <w:autoSpaceDN w:val="0"/>
              <w:spacing w:after="0" w:line="276" w:lineRule="auto"/>
              <w:ind w:right="48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47642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Forcim i reputacionit të vendit në procesin e integrimit evropian dhe shmangie e vendosjes në lista të pafavorshme ndërkombëtare (p.sh. lista gri e FATF).</w:t>
            </w:r>
          </w:p>
          <w:p w14:paraId="7A7AF454" w14:textId="77777777" w:rsidR="001E4573" w:rsidRPr="0047642B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20FF0" w14:textId="77777777" w:rsidR="008675CA" w:rsidRPr="0047642B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47642B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7642B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47642B" w14:paraId="6F85D1AB" w14:textId="77777777" w:rsidTr="009F3A30">
        <w:tc>
          <w:tcPr>
            <w:tcW w:w="9212" w:type="dxa"/>
          </w:tcPr>
          <w:p w14:paraId="170509BF" w14:textId="3753A38D" w:rsidR="002D28F9" w:rsidRPr="0047642B" w:rsidRDefault="00E54C97" w:rsidP="002D28F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47642B">
              <w:rPr>
                <w:rFonts w:ascii="Times New Roman" w:hAnsi="Times New Roman"/>
                <w:i/>
                <w:sz w:val="24"/>
                <w:szCs w:val="24"/>
              </w:rPr>
              <w:t>A e bën organizata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85430" w:rsidRPr="0047642B">
              <w:rPr>
                <w:rFonts w:ascii="Times New Roman" w:hAnsi="Times New Roman"/>
                <w:i/>
                <w:sz w:val="24"/>
                <w:szCs w:val="24"/>
              </w:rPr>
              <w:t>j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uaj ..., etj.). Ju mund të merrni parasysh kufizimin e gjatësisë së përgjigjeve </w:t>
            </w:r>
            <w:r w:rsidR="00785430" w:rsidRPr="004764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044810" w:rsidRPr="004764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785430"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r 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pyetje</w:t>
            </w:r>
            <w:r w:rsidR="00785430" w:rsidRPr="004764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47642B">
              <w:rPr>
                <w:rFonts w:ascii="Times New Roman" w:hAnsi="Times New Roman"/>
                <w:i/>
                <w:sz w:val="24"/>
                <w:szCs w:val="24"/>
              </w:rPr>
              <w:t xml:space="preserve"> individuale (p.sh. 250/500 fjalë).</w:t>
            </w:r>
          </w:p>
          <w:p w14:paraId="4F607956" w14:textId="77777777" w:rsidR="002D28F9" w:rsidRPr="007D64BA" w:rsidRDefault="002D28F9" w:rsidP="002D28F9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CE37ADD" w14:textId="3179B22D" w:rsidR="002D28F9" w:rsidRPr="007D64BA" w:rsidRDefault="000D6DB4" w:rsidP="009F3A30">
            <w:pPr>
              <w:pStyle w:val="BodyText"/>
              <w:jc w:val="both"/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</w:pP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A jeni dakord me propozimet e p</w:t>
            </w:r>
            <w:r w:rsid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ë</w:t>
            </w: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rcaktuara n</w:t>
            </w:r>
            <w:r w:rsid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ë</w:t>
            </w: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 xml:space="preserve"> k</w:t>
            </w:r>
            <w:r w:rsid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ë</w:t>
            </w: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t</w:t>
            </w:r>
            <w:r w:rsid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ë</w:t>
            </w: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 xml:space="preserve"> projektligj?</w:t>
            </w:r>
          </w:p>
          <w:p w14:paraId="6DCDB1D9" w14:textId="192BEABD" w:rsidR="007D64BA" w:rsidRPr="007D64BA" w:rsidRDefault="007D64BA" w:rsidP="009F3A30">
            <w:pPr>
              <w:pStyle w:val="BodyText"/>
              <w:jc w:val="both"/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</w:pP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A pajtoheni me përkufizimin tonë për</w:t>
            </w: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 xml:space="preserve"> financimin e arm</w:t>
            </w:r>
            <w:r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ë</w:t>
            </w: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ve t</w:t>
            </w:r>
            <w:r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ë</w:t>
            </w: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 xml:space="preserve"> shkat</w:t>
            </w:r>
            <w:r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ë</w:t>
            </w: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rrimit n</w:t>
            </w:r>
            <w:r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ë</w:t>
            </w: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 xml:space="preserve"> mas</w:t>
            </w:r>
            <w:r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ë</w:t>
            </w:r>
            <w:r w:rsidRPr="007D64BA"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  <w:t>?</w:t>
            </w:r>
          </w:p>
          <w:p w14:paraId="64982CE4" w14:textId="77777777" w:rsidR="000D6DB4" w:rsidRPr="007D64BA" w:rsidRDefault="000D6DB4" w:rsidP="009F3A30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06CE958" w14:textId="77777777" w:rsidR="001E4573" w:rsidRPr="0047642B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4086F2" w14:textId="77777777" w:rsidR="001E4573" w:rsidRPr="0047642B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BC99291" w14:textId="77777777" w:rsidR="008675CA" w:rsidRPr="0047642B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0D6DB4" w:rsidRDefault="008675CA">
      <w:pPr>
        <w:rPr>
          <w:rFonts w:ascii="Times New Roman" w:hAnsi="Times New Roman"/>
          <w:sz w:val="24"/>
          <w:szCs w:val="24"/>
          <w:lang w:val="it-IT"/>
        </w:rPr>
      </w:pPr>
    </w:p>
    <w:sectPr w:rsidR="008675CA" w:rsidRPr="000D6DB4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45F9"/>
    <w:multiLevelType w:val="hybridMultilevel"/>
    <w:tmpl w:val="57C80EE0"/>
    <w:lvl w:ilvl="0" w:tplc="FFFFFFFF">
      <w:start w:val="1"/>
      <w:numFmt w:val="decimal"/>
      <w:lvlText w:val="%1."/>
      <w:lvlJc w:val="left"/>
      <w:pPr>
        <w:ind w:left="54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DCB66C4"/>
    <w:multiLevelType w:val="hybridMultilevel"/>
    <w:tmpl w:val="51D25022"/>
    <w:lvl w:ilvl="0" w:tplc="B532B534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4583751A"/>
    <w:multiLevelType w:val="hybridMultilevel"/>
    <w:tmpl w:val="43242674"/>
    <w:lvl w:ilvl="0" w:tplc="B532B534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C9A430B"/>
    <w:multiLevelType w:val="hybridMultilevel"/>
    <w:tmpl w:val="91306324"/>
    <w:lvl w:ilvl="0" w:tplc="B532B5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4468C"/>
    <w:multiLevelType w:val="hybridMultilevel"/>
    <w:tmpl w:val="68EEE144"/>
    <w:lvl w:ilvl="0" w:tplc="ED3809FE">
      <w:start w:val="1"/>
      <w:numFmt w:val="decimal"/>
      <w:lvlText w:val="%1."/>
      <w:lvlJc w:val="left"/>
      <w:pPr>
        <w:ind w:left="63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B7F0700"/>
    <w:multiLevelType w:val="hybridMultilevel"/>
    <w:tmpl w:val="01AA4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989606">
    <w:abstractNumId w:val="4"/>
  </w:num>
  <w:num w:numId="2" w16cid:durableId="472908847">
    <w:abstractNumId w:val="0"/>
  </w:num>
  <w:num w:numId="3" w16cid:durableId="1288781200">
    <w:abstractNumId w:val="3"/>
  </w:num>
  <w:num w:numId="4" w16cid:durableId="1410228577">
    <w:abstractNumId w:val="1"/>
  </w:num>
  <w:num w:numId="5" w16cid:durableId="2023437115">
    <w:abstractNumId w:val="2"/>
  </w:num>
  <w:num w:numId="6" w16cid:durableId="31342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CA"/>
    <w:rsid w:val="00044810"/>
    <w:rsid w:val="000D6DB4"/>
    <w:rsid w:val="000E4A24"/>
    <w:rsid w:val="00103C86"/>
    <w:rsid w:val="001E4573"/>
    <w:rsid w:val="002D28F9"/>
    <w:rsid w:val="003057E9"/>
    <w:rsid w:val="003733C4"/>
    <w:rsid w:val="003C384D"/>
    <w:rsid w:val="00453FEB"/>
    <w:rsid w:val="00463C25"/>
    <w:rsid w:val="0047642B"/>
    <w:rsid w:val="004C5AE2"/>
    <w:rsid w:val="005405F7"/>
    <w:rsid w:val="00574E6C"/>
    <w:rsid w:val="006A31BE"/>
    <w:rsid w:val="00785430"/>
    <w:rsid w:val="007A1FEF"/>
    <w:rsid w:val="007D64BA"/>
    <w:rsid w:val="00865B7B"/>
    <w:rsid w:val="008675CA"/>
    <w:rsid w:val="00AB0212"/>
    <w:rsid w:val="00AB0933"/>
    <w:rsid w:val="00AF76C2"/>
    <w:rsid w:val="00BD2CC2"/>
    <w:rsid w:val="00C43ED3"/>
    <w:rsid w:val="00CC3D10"/>
    <w:rsid w:val="00E54C97"/>
    <w:rsid w:val="00F3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1"/>
    <w:qFormat/>
    <w:rsid w:val="007A1F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nde.cubi@financ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Prende Cubi</cp:lastModifiedBy>
  <cp:revision>11</cp:revision>
  <dcterms:created xsi:type="dcterms:W3CDTF">2025-10-28T09:47:00Z</dcterms:created>
  <dcterms:modified xsi:type="dcterms:W3CDTF">2025-10-29T08:26:00Z</dcterms:modified>
</cp:coreProperties>
</file>