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E7232" w14:textId="77777777" w:rsidR="00B8519D" w:rsidRPr="00693506" w:rsidRDefault="00B8519D" w:rsidP="00E7258E">
      <w:pPr>
        <w:spacing w:line="240" w:lineRule="auto"/>
        <w:jc w:val="both"/>
        <w:rPr>
          <w:rFonts w:ascii="Times New Roman" w:hAnsi="Times New Roman" w:cs="Times New Roman"/>
          <w:color w:val="000000" w:themeColor="text1"/>
          <w:sz w:val="24"/>
          <w:szCs w:val="24"/>
        </w:rPr>
      </w:pPr>
      <w:bookmarkStart w:id="0" w:name="_GoBack"/>
      <w:bookmarkEnd w:id="0"/>
    </w:p>
    <w:p w14:paraId="330FB6D7" w14:textId="77777777" w:rsidR="00253786" w:rsidRPr="00693506" w:rsidRDefault="00253786" w:rsidP="00253786">
      <w:pPr>
        <w:jc w:val="center"/>
        <w:rPr>
          <w:rFonts w:ascii="Times New Roman" w:hAnsi="Times New Roman" w:cs="Times New Roman"/>
          <w:b/>
          <w:bCs/>
          <w:iCs/>
          <w:color w:val="000000" w:themeColor="text1"/>
          <w:sz w:val="24"/>
          <w:szCs w:val="24"/>
          <w:lang w:bidi="en-GB"/>
        </w:rPr>
      </w:pPr>
      <w:r w:rsidRPr="00693506">
        <w:rPr>
          <w:rFonts w:ascii="Times New Roman" w:hAnsi="Times New Roman" w:cs="Times New Roman"/>
          <w:b/>
          <w:bCs/>
          <w:iCs/>
          <w:color w:val="000000" w:themeColor="text1"/>
          <w:sz w:val="24"/>
          <w:szCs w:val="24"/>
          <w:lang w:bidi="en-GB"/>
        </w:rPr>
        <w:t>Raport për rezultatet e konsultimit publik</w:t>
      </w:r>
    </w:p>
    <w:p w14:paraId="7CE6254D" w14:textId="77777777" w:rsidR="00253786" w:rsidRPr="00693506" w:rsidRDefault="00253786" w:rsidP="00253786">
      <w:pPr>
        <w:rPr>
          <w:rFonts w:ascii="Times New Roman" w:hAnsi="Times New Roman" w:cs="Times New Roman"/>
          <w:color w:val="000000" w:themeColor="text1"/>
          <w:sz w:val="24"/>
          <w:szCs w:val="24"/>
        </w:rPr>
      </w:pPr>
    </w:p>
    <w:p w14:paraId="2431FAF4" w14:textId="77777777" w:rsidR="00253786" w:rsidRPr="00693506" w:rsidRDefault="00253786" w:rsidP="00253786">
      <w:pPr>
        <w:pStyle w:val="ListParagraph"/>
        <w:numPr>
          <w:ilvl w:val="0"/>
          <w:numId w:val="1"/>
        </w:numPr>
        <w:tabs>
          <w:tab w:val="left" w:pos="567"/>
        </w:tabs>
        <w:spacing w:after="120" w:line="240" w:lineRule="auto"/>
        <w:contextualSpacing w:val="0"/>
        <w:jc w:val="both"/>
        <w:rPr>
          <w:rFonts w:ascii="Times New Roman" w:hAnsi="Times New Roman" w:cs="Times New Roman"/>
          <w:b/>
          <w:bCs/>
          <w:color w:val="000000" w:themeColor="text1"/>
          <w:sz w:val="24"/>
          <w:szCs w:val="24"/>
        </w:rPr>
      </w:pPr>
      <w:r w:rsidRPr="00693506">
        <w:rPr>
          <w:rFonts w:ascii="Times New Roman" w:hAnsi="Times New Roman" w:cs="Times New Roman"/>
          <w:b/>
          <w:bCs/>
          <w:color w:val="000000" w:themeColor="text1"/>
          <w:sz w:val="24"/>
          <w:szCs w:val="24"/>
        </w:rPr>
        <w:t>Titulli i draft aktit</w:t>
      </w:r>
    </w:p>
    <w:p w14:paraId="2C751F69" w14:textId="36973A9D" w:rsidR="00253786" w:rsidRPr="00BE215D" w:rsidRDefault="00253786" w:rsidP="00BE215D">
      <w:pPr>
        <w:pStyle w:val="BodyText"/>
        <w:tabs>
          <w:tab w:val="left" w:pos="540"/>
        </w:tabs>
        <w:jc w:val="both"/>
        <w:rPr>
          <w:bCs/>
          <w:color w:val="000000" w:themeColor="text1"/>
        </w:rPr>
      </w:pPr>
      <w:r w:rsidRPr="00693506">
        <w:rPr>
          <w:color w:val="000000" w:themeColor="text1"/>
        </w:rPr>
        <w:t xml:space="preserve">    </w:t>
      </w:r>
      <w:r w:rsidR="00D70E65">
        <w:rPr>
          <w:rFonts w:eastAsia="Calibri"/>
        </w:rPr>
        <w:t xml:space="preserve">“Për disa shtesa dhe ndryshime në ligjin nr. </w:t>
      </w:r>
      <w:r w:rsidR="002F394D">
        <w:rPr>
          <w:rFonts w:eastAsia="Calibri"/>
        </w:rPr>
        <w:t>37</w:t>
      </w:r>
      <w:r w:rsidR="00D70E65">
        <w:rPr>
          <w:rFonts w:eastAsia="Calibri"/>
        </w:rPr>
        <w:t xml:space="preserve">, datë </w:t>
      </w:r>
      <w:r w:rsidR="002F394D">
        <w:rPr>
          <w:rFonts w:eastAsia="Calibri"/>
        </w:rPr>
        <w:t xml:space="preserve">30.03.2017 </w:t>
      </w:r>
      <w:r w:rsidR="00D70E65">
        <w:rPr>
          <w:rFonts w:eastAsia="Calibri"/>
        </w:rPr>
        <w:t xml:space="preserve"> “Kodi </w:t>
      </w:r>
      <w:r w:rsidR="002F394D">
        <w:rPr>
          <w:rFonts w:eastAsia="Calibri"/>
        </w:rPr>
        <w:t>i Drejt</w:t>
      </w:r>
      <w:r w:rsidR="00D70E65">
        <w:rPr>
          <w:rFonts w:eastAsia="Calibri"/>
        </w:rPr>
        <w:t>ë</w:t>
      </w:r>
      <w:r w:rsidR="002F394D">
        <w:rPr>
          <w:rFonts w:eastAsia="Calibri"/>
        </w:rPr>
        <w:t>sisë Penale për të Mitur</w:t>
      </w:r>
      <w:r w:rsidR="00D70E65">
        <w:rPr>
          <w:rFonts w:eastAsia="Calibri"/>
        </w:rPr>
        <w:t>”.</w:t>
      </w:r>
    </w:p>
    <w:p w14:paraId="2442BE89" w14:textId="77777777" w:rsidR="00253786" w:rsidRPr="00693506" w:rsidRDefault="00253786" w:rsidP="00253786">
      <w:pPr>
        <w:ind w:left="360"/>
        <w:jc w:val="both"/>
        <w:rPr>
          <w:rFonts w:ascii="Times New Roman" w:hAnsi="Times New Roman" w:cs="Times New Roman"/>
          <w:b/>
          <w:bCs/>
          <w:color w:val="000000" w:themeColor="text1"/>
          <w:sz w:val="24"/>
          <w:szCs w:val="24"/>
        </w:rPr>
      </w:pPr>
    </w:p>
    <w:p w14:paraId="2F945ADF" w14:textId="77777777" w:rsidR="00253786" w:rsidRPr="00693506" w:rsidRDefault="00253786" w:rsidP="00253786">
      <w:pPr>
        <w:pStyle w:val="ListParagraph"/>
        <w:numPr>
          <w:ilvl w:val="0"/>
          <w:numId w:val="1"/>
        </w:numPr>
        <w:tabs>
          <w:tab w:val="left" w:pos="567"/>
        </w:tabs>
        <w:spacing w:after="120" w:line="240" w:lineRule="auto"/>
        <w:contextualSpacing w:val="0"/>
        <w:jc w:val="both"/>
        <w:rPr>
          <w:rFonts w:ascii="Times New Roman" w:hAnsi="Times New Roman" w:cs="Times New Roman"/>
          <w:i/>
          <w:iCs/>
          <w:color w:val="000000" w:themeColor="text1"/>
          <w:sz w:val="24"/>
          <w:szCs w:val="24"/>
        </w:rPr>
      </w:pPr>
      <w:r w:rsidRPr="00693506">
        <w:rPr>
          <w:rFonts w:ascii="Times New Roman" w:hAnsi="Times New Roman" w:cs="Times New Roman"/>
          <w:b/>
          <w:bCs/>
          <w:color w:val="000000" w:themeColor="text1"/>
          <w:sz w:val="24"/>
          <w:szCs w:val="24"/>
        </w:rPr>
        <w:t>Kohëzgjatja e konsultimeve</w:t>
      </w:r>
    </w:p>
    <w:p w14:paraId="39EBDF2D" w14:textId="0489BF20" w:rsidR="00253786" w:rsidRPr="00693506" w:rsidRDefault="00253786" w:rsidP="00253786">
      <w:pPr>
        <w:pStyle w:val="BodyText"/>
        <w:jc w:val="both"/>
        <w:rPr>
          <w:color w:val="000000" w:themeColor="text1"/>
        </w:rPr>
      </w:pPr>
      <w:r w:rsidRPr="00693506">
        <w:rPr>
          <w:color w:val="000000" w:themeColor="text1"/>
        </w:rPr>
        <w:t xml:space="preserve">      Konsultimet në portalin e regjistrit elektronik: 20 ditë pune</w:t>
      </w:r>
      <w:r w:rsidR="00FE7FAF">
        <w:rPr>
          <w:color w:val="000000" w:themeColor="text1"/>
        </w:rPr>
        <w:t xml:space="preserve"> (</w:t>
      </w:r>
      <w:r w:rsidR="005747DA">
        <w:rPr>
          <w:color w:val="000000" w:themeColor="text1"/>
        </w:rPr>
        <w:t>05.01.2026</w:t>
      </w:r>
      <w:r w:rsidR="00FE7FAF">
        <w:rPr>
          <w:color w:val="000000" w:themeColor="text1"/>
        </w:rPr>
        <w:t xml:space="preserve"> – </w:t>
      </w:r>
      <w:r w:rsidR="005747DA">
        <w:rPr>
          <w:color w:val="000000" w:themeColor="text1"/>
        </w:rPr>
        <w:t>02.02.2026</w:t>
      </w:r>
      <w:r w:rsidR="00FE7FAF">
        <w:rPr>
          <w:color w:val="000000" w:themeColor="text1"/>
        </w:rPr>
        <w:t>)</w:t>
      </w:r>
    </w:p>
    <w:p w14:paraId="28DDA454" w14:textId="77777777" w:rsidR="00253786" w:rsidRPr="00693506" w:rsidRDefault="00253786" w:rsidP="00253786">
      <w:pPr>
        <w:ind w:left="360"/>
        <w:jc w:val="both"/>
        <w:rPr>
          <w:rFonts w:ascii="Times New Roman" w:hAnsi="Times New Roman" w:cs="Times New Roman"/>
          <w:i/>
          <w:iCs/>
          <w:color w:val="000000" w:themeColor="text1"/>
          <w:sz w:val="24"/>
          <w:szCs w:val="24"/>
        </w:rPr>
      </w:pPr>
    </w:p>
    <w:p w14:paraId="59F60255" w14:textId="77777777" w:rsidR="00253786" w:rsidRPr="00693506" w:rsidRDefault="00253786" w:rsidP="00253786">
      <w:pPr>
        <w:pStyle w:val="ListParagraph"/>
        <w:numPr>
          <w:ilvl w:val="0"/>
          <w:numId w:val="1"/>
        </w:numPr>
        <w:tabs>
          <w:tab w:val="left" w:pos="567"/>
        </w:tabs>
        <w:spacing w:after="120" w:line="240" w:lineRule="auto"/>
        <w:contextualSpacing w:val="0"/>
        <w:jc w:val="both"/>
        <w:rPr>
          <w:rFonts w:ascii="Times New Roman" w:hAnsi="Times New Roman" w:cs="Times New Roman"/>
          <w:color w:val="000000" w:themeColor="text1"/>
          <w:sz w:val="24"/>
          <w:szCs w:val="24"/>
        </w:rPr>
      </w:pPr>
      <w:r w:rsidRPr="00693506">
        <w:rPr>
          <w:rFonts w:ascii="Times New Roman" w:hAnsi="Times New Roman" w:cs="Times New Roman"/>
          <w:b/>
          <w:bCs/>
          <w:color w:val="000000" w:themeColor="text1"/>
          <w:sz w:val="24"/>
          <w:szCs w:val="24"/>
        </w:rPr>
        <w:t>Metoda e konsultimit</w:t>
      </w:r>
    </w:p>
    <w:p w14:paraId="4DC44C39" w14:textId="77777777" w:rsidR="00253786" w:rsidRPr="00693506" w:rsidRDefault="00253786" w:rsidP="00253786">
      <w:pPr>
        <w:pStyle w:val="BodyText"/>
        <w:jc w:val="both"/>
        <w:rPr>
          <w:color w:val="000000" w:themeColor="text1"/>
        </w:rPr>
      </w:pPr>
      <w:r w:rsidRPr="00693506">
        <w:rPr>
          <w:color w:val="000000" w:themeColor="text1"/>
        </w:rPr>
        <w:t>Metodat e konsultimit publik të përdorura si vijon:</w:t>
      </w:r>
    </w:p>
    <w:p w14:paraId="4D56F3E7" w14:textId="34846FCA" w:rsidR="00253786" w:rsidRPr="00693506" w:rsidRDefault="00253786" w:rsidP="004A025A">
      <w:pPr>
        <w:pStyle w:val="BodyText"/>
        <w:jc w:val="both"/>
        <w:rPr>
          <w:color w:val="000000" w:themeColor="text1"/>
        </w:rPr>
      </w:pPr>
      <w:bookmarkStart w:id="1" w:name="_Hlk157502382"/>
      <w:r w:rsidRPr="00693506">
        <w:rPr>
          <w:color w:val="000000" w:themeColor="text1"/>
        </w:rPr>
        <w:t xml:space="preserve">Konsultimi në portalin “Regjistri Elektronik për Njoftimet dhe </w:t>
      </w:r>
      <w:r w:rsidR="00BE6E46">
        <w:rPr>
          <w:color w:val="000000" w:themeColor="text1"/>
        </w:rPr>
        <w:t>K</w:t>
      </w:r>
      <w:r w:rsidRPr="00693506">
        <w:rPr>
          <w:color w:val="000000" w:themeColor="text1"/>
        </w:rPr>
        <w:t>onsultimet Publike”</w:t>
      </w:r>
      <w:r w:rsidR="00164865">
        <w:rPr>
          <w:color w:val="000000" w:themeColor="text1"/>
        </w:rPr>
        <w:t>,</w:t>
      </w:r>
      <w:r w:rsidRPr="00693506">
        <w:rPr>
          <w:color w:val="000000" w:themeColor="text1"/>
        </w:rPr>
        <w:t xml:space="preserve"> për periudhën </w:t>
      </w:r>
      <w:r w:rsidR="005747DA" w:rsidRPr="005747DA">
        <w:rPr>
          <w:color w:val="000000" w:themeColor="text1"/>
        </w:rPr>
        <w:t>05.01.2026 – 02.02.2026</w:t>
      </w:r>
      <w:r w:rsidRPr="00693506">
        <w:rPr>
          <w:color w:val="000000" w:themeColor="text1"/>
        </w:rPr>
        <w:t>, gjatë së cilës</w:t>
      </w:r>
      <w:r w:rsidR="003A3213" w:rsidRPr="00693506">
        <w:rPr>
          <w:color w:val="000000" w:themeColor="text1"/>
        </w:rPr>
        <w:t xml:space="preserve"> </w:t>
      </w:r>
      <w:r w:rsidRPr="00693506">
        <w:rPr>
          <w:color w:val="000000" w:themeColor="text1"/>
        </w:rPr>
        <w:t>janë përcjellë komente</w:t>
      </w:r>
      <w:r w:rsidR="004A025A" w:rsidRPr="00693506">
        <w:rPr>
          <w:color w:val="000000" w:themeColor="text1"/>
        </w:rPr>
        <w:t xml:space="preserve"> përmes këtij po</w:t>
      </w:r>
      <w:r w:rsidR="00BE6E46">
        <w:rPr>
          <w:color w:val="000000" w:themeColor="text1"/>
        </w:rPr>
        <w:t>r</w:t>
      </w:r>
      <w:r w:rsidR="004A025A" w:rsidRPr="00693506">
        <w:rPr>
          <w:color w:val="000000" w:themeColor="text1"/>
        </w:rPr>
        <w:t>tali</w:t>
      </w:r>
      <w:r w:rsidR="00AD4255" w:rsidRPr="00693506">
        <w:rPr>
          <w:color w:val="000000" w:themeColor="text1"/>
        </w:rPr>
        <w:t>.</w:t>
      </w:r>
      <w:r w:rsidR="004A025A" w:rsidRPr="00693506">
        <w:rPr>
          <w:color w:val="000000" w:themeColor="text1"/>
        </w:rPr>
        <w:t xml:space="preserve"> </w:t>
      </w:r>
    </w:p>
    <w:p w14:paraId="228AD58E" w14:textId="77777777" w:rsidR="001C622E" w:rsidRPr="00693506" w:rsidRDefault="001C622E" w:rsidP="001C622E">
      <w:pPr>
        <w:pStyle w:val="BodyText"/>
        <w:spacing w:after="0"/>
        <w:jc w:val="both"/>
        <w:rPr>
          <w:color w:val="000000" w:themeColor="text1"/>
        </w:rPr>
      </w:pPr>
    </w:p>
    <w:p w14:paraId="0424CE82" w14:textId="093B9F55" w:rsidR="00D70E65" w:rsidRDefault="00023471" w:rsidP="00253786">
      <w:pPr>
        <w:jc w:val="both"/>
        <w:rPr>
          <w:rFonts w:ascii="Times New Roman" w:hAnsi="Times New Roman" w:cs="Times New Roman"/>
          <w:color w:val="000000" w:themeColor="text1"/>
          <w:sz w:val="24"/>
          <w:szCs w:val="24"/>
        </w:rPr>
      </w:pPr>
      <w:r w:rsidRPr="00693506">
        <w:rPr>
          <w:rFonts w:ascii="Times New Roman" w:hAnsi="Times New Roman" w:cs="Times New Roman"/>
          <w:color w:val="000000" w:themeColor="text1"/>
          <w:sz w:val="24"/>
          <w:szCs w:val="24"/>
        </w:rPr>
        <w:t xml:space="preserve">Projektligji, relacioni shpjegues, </w:t>
      </w:r>
      <w:r w:rsidR="00BA12B0" w:rsidRPr="00693506">
        <w:rPr>
          <w:rFonts w:ascii="Times New Roman" w:hAnsi="Times New Roman" w:cs="Times New Roman"/>
          <w:color w:val="000000" w:themeColor="text1"/>
          <w:sz w:val="24"/>
          <w:szCs w:val="24"/>
        </w:rPr>
        <w:t xml:space="preserve">si dhe </w:t>
      </w:r>
      <w:r w:rsidR="001C622E">
        <w:rPr>
          <w:rFonts w:ascii="Times New Roman" w:hAnsi="Times New Roman" w:cs="Times New Roman"/>
          <w:color w:val="000000" w:themeColor="text1"/>
          <w:sz w:val="24"/>
          <w:szCs w:val="24"/>
        </w:rPr>
        <w:t>dokumenti i konsultimit publik</w:t>
      </w:r>
      <w:r w:rsidRPr="00693506">
        <w:rPr>
          <w:rFonts w:ascii="Times New Roman" w:hAnsi="Times New Roman" w:cs="Times New Roman"/>
          <w:color w:val="000000" w:themeColor="text1"/>
          <w:sz w:val="24"/>
          <w:szCs w:val="24"/>
        </w:rPr>
        <w:t xml:space="preserve"> janë publikuar në RENJK ku çdo i interesuar është njohur me dokumentet përkatëse. Gjithashtu, institucionet me të cilat është kryer konsultimi janë njohur me këto dokumente përmes përcjelljes s</w:t>
      </w:r>
      <w:r w:rsidR="00AD4255" w:rsidRPr="00693506">
        <w:rPr>
          <w:rFonts w:ascii="Times New Roman" w:hAnsi="Times New Roman" w:cs="Times New Roman"/>
          <w:color w:val="000000" w:themeColor="text1"/>
          <w:sz w:val="24"/>
          <w:szCs w:val="24"/>
        </w:rPr>
        <w:t>ë</w:t>
      </w:r>
      <w:r w:rsidRPr="00693506">
        <w:rPr>
          <w:rFonts w:ascii="Times New Roman" w:hAnsi="Times New Roman" w:cs="Times New Roman"/>
          <w:color w:val="000000" w:themeColor="text1"/>
          <w:sz w:val="24"/>
          <w:szCs w:val="24"/>
        </w:rPr>
        <w:t xml:space="preserve"> tyre në rrugë zyrtare. </w:t>
      </w:r>
      <w:r w:rsidR="00AD4255" w:rsidRPr="00263186">
        <w:rPr>
          <w:rFonts w:ascii="Times New Roman" w:hAnsi="Times New Roman" w:cs="Times New Roman"/>
          <w:color w:val="000000" w:themeColor="text1"/>
          <w:sz w:val="24"/>
          <w:szCs w:val="24"/>
        </w:rPr>
        <w:t>K</w:t>
      </w:r>
      <w:r w:rsidR="00253786" w:rsidRPr="00263186">
        <w:rPr>
          <w:rFonts w:ascii="Times New Roman" w:hAnsi="Times New Roman" w:cs="Times New Roman"/>
          <w:color w:val="000000" w:themeColor="text1"/>
          <w:sz w:val="24"/>
          <w:szCs w:val="24"/>
        </w:rPr>
        <w:t>ontribute</w:t>
      </w:r>
      <w:r w:rsidR="00AD4255" w:rsidRPr="00263186">
        <w:rPr>
          <w:rFonts w:ascii="Times New Roman" w:hAnsi="Times New Roman" w:cs="Times New Roman"/>
          <w:color w:val="000000" w:themeColor="text1"/>
          <w:sz w:val="24"/>
          <w:szCs w:val="24"/>
        </w:rPr>
        <w:t>t</w:t>
      </w:r>
      <w:r w:rsidR="00253786" w:rsidRPr="00263186">
        <w:rPr>
          <w:rFonts w:ascii="Times New Roman" w:hAnsi="Times New Roman" w:cs="Times New Roman"/>
          <w:color w:val="000000" w:themeColor="text1"/>
          <w:sz w:val="24"/>
          <w:szCs w:val="24"/>
        </w:rPr>
        <w:t xml:space="preserve"> në kuadër të procesit të konsultimit dhe përmirësimit të përmbajtjes së projektligjit, janë përcjellë</w:t>
      </w:r>
      <w:r w:rsidR="00AD4323" w:rsidRPr="00263186">
        <w:rPr>
          <w:rFonts w:ascii="Times New Roman" w:hAnsi="Times New Roman" w:cs="Times New Roman"/>
          <w:color w:val="000000" w:themeColor="text1"/>
          <w:sz w:val="24"/>
          <w:szCs w:val="24"/>
        </w:rPr>
        <w:t xml:space="preserve"> </w:t>
      </w:r>
      <w:r w:rsidR="00253786" w:rsidRPr="00263186">
        <w:rPr>
          <w:rFonts w:ascii="Times New Roman" w:hAnsi="Times New Roman" w:cs="Times New Roman"/>
          <w:color w:val="000000" w:themeColor="text1"/>
          <w:sz w:val="24"/>
          <w:szCs w:val="24"/>
        </w:rPr>
        <w:t xml:space="preserve">nëpërmjet </w:t>
      </w:r>
      <w:r w:rsidR="00A95575" w:rsidRPr="00263186">
        <w:rPr>
          <w:rFonts w:ascii="Times New Roman" w:hAnsi="Times New Roman" w:cs="Times New Roman"/>
          <w:color w:val="000000" w:themeColor="text1"/>
          <w:sz w:val="24"/>
          <w:szCs w:val="24"/>
        </w:rPr>
        <w:t>portalit t</w:t>
      </w:r>
      <w:r w:rsidR="00DC316F" w:rsidRPr="00263186">
        <w:rPr>
          <w:rFonts w:ascii="Times New Roman" w:hAnsi="Times New Roman" w:cs="Times New Roman"/>
          <w:color w:val="000000" w:themeColor="text1"/>
          <w:sz w:val="24"/>
          <w:szCs w:val="24"/>
        </w:rPr>
        <w:t>ë</w:t>
      </w:r>
      <w:r w:rsidR="00A95575" w:rsidRPr="00263186">
        <w:rPr>
          <w:rFonts w:ascii="Times New Roman" w:hAnsi="Times New Roman" w:cs="Times New Roman"/>
          <w:color w:val="000000" w:themeColor="text1"/>
          <w:sz w:val="24"/>
          <w:szCs w:val="24"/>
        </w:rPr>
        <w:t xml:space="preserve"> RENJK</w:t>
      </w:r>
      <w:r w:rsidR="00122D8D" w:rsidRPr="00263186">
        <w:rPr>
          <w:rFonts w:ascii="Times New Roman" w:hAnsi="Times New Roman" w:cs="Times New Roman"/>
          <w:color w:val="000000" w:themeColor="text1"/>
          <w:sz w:val="24"/>
          <w:szCs w:val="24"/>
        </w:rPr>
        <w:t>, si dhe n</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 xml:space="preserve"> rrug</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 xml:space="preserve"> zyrtare nga institucionet pran</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 xml:space="preserve"> t</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 xml:space="preserve"> cil</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 xml:space="preserve">ve </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sht</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 xml:space="preserve"> p</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rcjell</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 xml:space="preserve"> p</w:t>
      </w:r>
      <w:r w:rsidR="00DC316F" w:rsidRPr="00263186">
        <w:rPr>
          <w:rFonts w:ascii="Times New Roman" w:hAnsi="Times New Roman" w:cs="Times New Roman"/>
          <w:color w:val="000000" w:themeColor="text1"/>
          <w:sz w:val="24"/>
          <w:szCs w:val="24"/>
        </w:rPr>
        <w:t>ë</w:t>
      </w:r>
      <w:r w:rsidR="00122D8D" w:rsidRPr="00263186">
        <w:rPr>
          <w:rFonts w:ascii="Times New Roman" w:hAnsi="Times New Roman" w:cs="Times New Roman"/>
          <w:color w:val="000000" w:themeColor="text1"/>
          <w:sz w:val="24"/>
          <w:szCs w:val="24"/>
        </w:rPr>
        <w:t>r mendim projektakti.</w:t>
      </w:r>
      <w:bookmarkEnd w:id="1"/>
      <w:r w:rsidR="00CD0153">
        <w:rPr>
          <w:rFonts w:ascii="Times New Roman" w:hAnsi="Times New Roman" w:cs="Times New Roman"/>
          <w:color w:val="000000" w:themeColor="text1"/>
          <w:sz w:val="24"/>
          <w:szCs w:val="24"/>
        </w:rPr>
        <w:t xml:space="preserve"> </w:t>
      </w:r>
    </w:p>
    <w:p w14:paraId="5E26625A" w14:textId="77777777" w:rsidR="00D70E65" w:rsidRPr="00693506" w:rsidRDefault="00D70E65" w:rsidP="00253786">
      <w:pPr>
        <w:jc w:val="both"/>
        <w:rPr>
          <w:rFonts w:ascii="Times New Roman" w:hAnsi="Times New Roman" w:cs="Times New Roman"/>
          <w:color w:val="000000" w:themeColor="text1"/>
          <w:sz w:val="24"/>
          <w:szCs w:val="24"/>
        </w:rPr>
      </w:pPr>
    </w:p>
    <w:p w14:paraId="7BFCD458" w14:textId="77777777" w:rsidR="00253786" w:rsidRPr="00693506" w:rsidRDefault="00253786" w:rsidP="00253786">
      <w:pPr>
        <w:pStyle w:val="ListParagraph"/>
        <w:numPr>
          <w:ilvl w:val="0"/>
          <w:numId w:val="1"/>
        </w:numPr>
        <w:tabs>
          <w:tab w:val="left" w:pos="567"/>
        </w:tabs>
        <w:spacing w:after="120" w:line="240" w:lineRule="auto"/>
        <w:contextualSpacing w:val="0"/>
        <w:jc w:val="both"/>
        <w:rPr>
          <w:rFonts w:ascii="Times New Roman" w:hAnsi="Times New Roman" w:cs="Times New Roman"/>
          <w:b/>
          <w:bCs/>
          <w:color w:val="000000" w:themeColor="text1"/>
          <w:sz w:val="24"/>
          <w:szCs w:val="24"/>
        </w:rPr>
      </w:pPr>
      <w:r w:rsidRPr="00693506">
        <w:rPr>
          <w:rFonts w:ascii="Times New Roman" w:hAnsi="Times New Roman" w:cs="Times New Roman"/>
          <w:b/>
          <w:bCs/>
          <w:color w:val="000000" w:themeColor="text1"/>
          <w:sz w:val="24"/>
          <w:szCs w:val="24"/>
        </w:rPr>
        <w:t>Palët e interesit të përfshira</w:t>
      </w:r>
    </w:p>
    <w:p w14:paraId="36D6814E" w14:textId="56AF3092" w:rsidR="00573E19" w:rsidRPr="00573E19" w:rsidRDefault="00573E19" w:rsidP="00573E19">
      <w:pPr>
        <w:tabs>
          <w:tab w:val="left" w:pos="7552"/>
        </w:tabs>
        <w:jc w:val="both"/>
        <w:rPr>
          <w:rFonts w:ascii="Times New Roman" w:hAnsi="Times New Roman" w:cs="Times New Roman"/>
          <w:bCs/>
          <w:color w:val="000000" w:themeColor="text1"/>
          <w:sz w:val="24"/>
          <w:szCs w:val="24"/>
          <w:lang w:val="en-US"/>
        </w:rPr>
      </w:pPr>
      <w:r w:rsidRPr="00573E19">
        <w:rPr>
          <w:rFonts w:ascii="Times New Roman" w:hAnsi="Times New Roman" w:cs="Times New Roman"/>
          <w:color w:val="000000" w:themeColor="text1"/>
          <w:sz w:val="24"/>
          <w:szCs w:val="24"/>
        </w:rPr>
        <w:t>Projektligji “Për</w:t>
      </w:r>
      <w:bookmarkStart w:id="2" w:name="_Hlk215737034"/>
      <w:r w:rsidRPr="00573E19">
        <w:rPr>
          <w:rFonts w:ascii="Times New Roman" w:hAnsi="Times New Roman" w:cs="Times New Roman"/>
          <w:color w:val="000000" w:themeColor="text1"/>
          <w:sz w:val="24"/>
          <w:szCs w:val="24"/>
        </w:rPr>
        <w:t xml:space="preserve"> disa shtesa dhe ndryshime në ligjin </w:t>
      </w:r>
      <w:r w:rsidRPr="00573E19">
        <w:rPr>
          <w:rFonts w:ascii="Times New Roman" w:hAnsi="Times New Roman" w:cs="Times New Roman"/>
          <w:bCs/>
          <w:color w:val="000000" w:themeColor="text1"/>
          <w:sz w:val="24"/>
          <w:szCs w:val="24"/>
        </w:rPr>
        <w:t>nr. 37, datë 30.03.2017 “Kodi i Drejtësisë Penale për të Mitur</w:t>
      </w:r>
      <w:bookmarkEnd w:id="2"/>
      <w:r w:rsidRPr="00573E19">
        <w:rPr>
          <w:rFonts w:ascii="Times New Roman" w:hAnsi="Times New Roman" w:cs="Times New Roman"/>
          <w:bCs/>
          <w:color w:val="000000" w:themeColor="text1"/>
          <w:sz w:val="24"/>
          <w:szCs w:val="24"/>
        </w:rPr>
        <w:t xml:space="preserve">””, ka për qëllim harmonizimin e legjislacionit penal-procedural për të miturit me legjislacionin e Bashkimit Evropian. </w:t>
      </w:r>
      <w:r w:rsidRPr="00573E19">
        <w:rPr>
          <w:rFonts w:ascii="Times New Roman" w:hAnsi="Times New Roman" w:cs="Times New Roman"/>
          <w:bCs/>
          <w:color w:val="000000" w:themeColor="text1"/>
          <w:sz w:val="24"/>
          <w:szCs w:val="24"/>
          <w:lang w:val="en-US"/>
        </w:rPr>
        <w:t>Nga analiza e kryer në kuadër të tabelave të përputhshmërisë rezultoi se Kodi i Drejtësisë Penale për të Mitur nuk ishte në përputhje të plotë me direktivat e sipërpërmendura, pavarësisht përpjekjeve të ndërmarra gjatë viteve për t’i transpozuar në legjislacionin shqiptar. Për sa më sipër, qëllimi i këtij projektligji është të forcojë garancitë procedurale për të miturit të pandehur dhe të miturit nën hetim në procesin penal.</w:t>
      </w:r>
    </w:p>
    <w:p w14:paraId="298283DE" w14:textId="5D6903CB" w:rsidR="00CD0153" w:rsidRDefault="00CD0153" w:rsidP="00AE30FA">
      <w:pPr>
        <w:tabs>
          <w:tab w:val="left" w:pos="7552"/>
        </w:tabs>
        <w:jc w:val="both"/>
        <w:rPr>
          <w:rFonts w:ascii="Times New Roman" w:hAnsi="Times New Roman" w:cs="Times New Roman"/>
          <w:color w:val="000000" w:themeColor="text1"/>
          <w:sz w:val="24"/>
          <w:szCs w:val="24"/>
        </w:rPr>
      </w:pPr>
    </w:p>
    <w:p w14:paraId="23E1FF1F" w14:textId="02DBFA24" w:rsidR="005466A2" w:rsidRDefault="00112744" w:rsidP="00AE30FA">
      <w:pPr>
        <w:tabs>
          <w:tab w:val="left" w:pos="755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Më pas</w:t>
      </w:r>
      <w:r w:rsidR="00122D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është vijuar me publikimin në RENJK</w:t>
      </w:r>
      <w:r w:rsidR="00122D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me qëllim njohjen me përmbajtjen e tij </w:t>
      </w:r>
      <w:r w:rsidR="001822C3">
        <w:rPr>
          <w:rFonts w:ascii="Times New Roman" w:hAnsi="Times New Roman" w:cs="Times New Roman"/>
          <w:color w:val="000000" w:themeColor="text1"/>
          <w:sz w:val="24"/>
          <w:szCs w:val="24"/>
        </w:rPr>
        <w:t>nga</w:t>
      </w:r>
      <w:r>
        <w:rPr>
          <w:rFonts w:ascii="Times New Roman" w:hAnsi="Times New Roman" w:cs="Times New Roman"/>
          <w:color w:val="000000" w:themeColor="text1"/>
          <w:sz w:val="24"/>
          <w:szCs w:val="24"/>
        </w:rPr>
        <w:t xml:space="preserve"> të gjithë palëve të interesuara. Gjithashtu, nëpërmjet rrugëve zyrtare projektligji i është dërguar për mendim institucioneve të interesuara.</w:t>
      </w:r>
    </w:p>
    <w:p w14:paraId="71A29751" w14:textId="77777777" w:rsidR="0063482E" w:rsidRPr="00693506" w:rsidRDefault="0063482E" w:rsidP="00253786">
      <w:pPr>
        <w:pStyle w:val="BodyText"/>
        <w:jc w:val="both"/>
        <w:rPr>
          <w:color w:val="000000" w:themeColor="text1"/>
        </w:rPr>
      </w:pPr>
    </w:p>
    <w:p w14:paraId="48407C51" w14:textId="13349876" w:rsidR="00675E35" w:rsidRPr="003B610A" w:rsidRDefault="00253786" w:rsidP="00E7258E">
      <w:pPr>
        <w:pStyle w:val="ListParagraph"/>
        <w:numPr>
          <w:ilvl w:val="0"/>
          <w:numId w:val="1"/>
        </w:numPr>
        <w:tabs>
          <w:tab w:val="left" w:pos="567"/>
        </w:tabs>
        <w:spacing w:after="120" w:line="240" w:lineRule="auto"/>
        <w:contextualSpacing w:val="0"/>
        <w:jc w:val="both"/>
        <w:rPr>
          <w:rFonts w:ascii="Times New Roman" w:hAnsi="Times New Roman" w:cs="Times New Roman"/>
          <w:i/>
          <w:iCs/>
          <w:color w:val="000000" w:themeColor="text1"/>
          <w:sz w:val="24"/>
          <w:szCs w:val="24"/>
        </w:rPr>
      </w:pPr>
      <w:r w:rsidRPr="00693506">
        <w:rPr>
          <w:rFonts w:ascii="Times New Roman" w:hAnsi="Times New Roman" w:cs="Times New Roman"/>
          <w:b/>
          <w:bCs/>
          <w:color w:val="000000" w:themeColor="text1"/>
          <w:sz w:val="24"/>
          <w:szCs w:val="24"/>
        </w:rPr>
        <w:t>Pasqyra e komenteve të pranuara me arsyetimin e komenteve të pranuara/ refuzuara</w:t>
      </w:r>
    </w:p>
    <w:tbl>
      <w:tblPr>
        <w:tblStyle w:val="1"/>
        <w:tblW w:w="15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20"/>
        <w:gridCol w:w="3590"/>
        <w:gridCol w:w="2520"/>
        <w:gridCol w:w="1710"/>
        <w:gridCol w:w="4140"/>
      </w:tblGrid>
      <w:tr w:rsidR="00D34D73" w:rsidRPr="00D34D73" w14:paraId="3E053D94" w14:textId="77777777" w:rsidTr="00775169">
        <w:trPr>
          <w:trHeight w:val="1338"/>
        </w:trPr>
        <w:tc>
          <w:tcPr>
            <w:tcW w:w="3420" w:type="dxa"/>
            <w:tcMar>
              <w:top w:w="100" w:type="dxa"/>
              <w:left w:w="100" w:type="dxa"/>
              <w:bottom w:w="100" w:type="dxa"/>
              <w:right w:w="100" w:type="dxa"/>
            </w:tcMar>
          </w:tcPr>
          <w:p w14:paraId="43C74A34" w14:textId="77777777" w:rsidR="00D34D73" w:rsidRPr="00775169" w:rsidRDefault="00D34D73" w:rsidP="00D34D73">
            <w:pPr>
              <w:pStyle w:val="BodyText"/>
              <w:jc w:val="both"/>
              <w:rPr>
                <w:b/>
                <w:bCs/>
                <w:lang w:val="en-GB"/>
              </w:rPr>
            </w:pPr>
            <w:r w:rsidRPr="00775169">
              <w:rPr>
                <w:b/>
                <w:bCs/>
              </w:rPr>
              <w:t>Çështja e  adresuar</w:t>
            </w:r>
          </w:p>
          <w:p w14:paraId="02E92740" w14:textId="7A94EF80" w:rsidR="00D34D73" w:rsidRPr="00D34D73" w:rsidRDefault="00D34D73" w:rsidP="00EC1EAF">
            <w:pPr>
              <w:jc w:val="center"/>
              <w:rPr>
                <w:rFonts w:ascii="Times New Roman" w:eastAsia="Times New Roman" w:hAnsi="Times New Roman" w:cs="Times New Roman"/>
                <w:b/>
                <w:bCs/>
                <w:color w:val="000000" w:themeColor="text1"/>
                <w:sz w:val="24"/>
                <w:szCs w:val="24"/>
              </w:rPr>
            </w:pPr>
            <w:r w:rsidRPr="00775169">
              <w:rPr>
                <w:rFonts w:ascii="Times New Roman" w:hAnsi="Times New Roman" w:cs="Times New Roman"/>
                <w:b/>
                <w:bCs/>
                <w:sz w:val="24"/>
                <w:szCs w:val="24"/>
              </w:rPr>
              <w:t>(</w:t>
            </w:r>
            <w:r w:rsidRPr="00775169">
              <w:rPr>
                <w:rFonts w:ascii="Times New Roman" w:hAnsi="Times New Roman" w:cs="Times New Roman"/>
                <w:b/>
                <w:bCs/>
                <w:i/>
                <w:sz w:val="24"/>
                <w:szCs w:val="24"/>
              </w:rPr>
              <w:t>psh. përkufizimi i ri i…, kushtet për regjistrimin e…, rregullimi i…, etj.)</w:t>
            </w:r>
          </w:p>
        </w:tc>
        <w:tc>
          <w:tcPr>
            <w:tcW w:w="3590" w:type="dxa"/>
          </w:tcPr>
          <w:p w14:paraId="27FA60C3" w14:textId="77777777" w:rsidR="00D34D73" w:rsidRPr="00775169" w:rsidRDefault="00D34D73" w:rsidP="00D34D73">
            <w:pPr>
              <w:pStyle w:val="BodyText"/>
              <w:jc w:val="both"/>
              <w:rPr>
                <w:b/>
                <w:bCs/>
              </w:rPr>
            </w:pPr>
            <w:r w:rsidRPr="00775169">
              <w:rPr>
                <w:b/>
                <w:bCs/>
              </w:rPr>
              <w:t>Komenti</w:t>
            </w:r>
          </w:p>
          <w:p w14:paraId="63E5845D" w14:textId="0376784E" w:rsidR="00D34D73" w:rsidRPr="00D34D73" w:rsidRDefault="00D34D73" w:rsidP="00EC1EAF">
            <w:pPr>
              <w:widowControl w:val="0"/>
              <w:pBdr>
                <w:top w:val="nil"/>
                <w:left w:val="nil"/>
                <w:bottom w:val="nil"/>
                <w:right w:val="nil"/>
                <w:between w:val="nil"/>
              </w:pBdr>
              <w:jc w:val="center"/>
              <w:rPr>
                <w:rFonts w:ascii="Times New Roman" w:hAnsi="Times New Roman" w:cs="Times New Roman"/>
                <w:b/>
                <w:color w:val="000000" w:themeColor="text1"/>
                <w:sz w:val="24"/>
                <w:szCs w:val="24"/>
              </w:rPr>
            </w:pPr>
            <w:r w:rsidRPr="00775169">
              <w:rPr>
                <w:rFonts w:ascii="Times New Roman" w:hAnsi="Times New Roman" w:cs="Times New Roman"/>
                <w:i/>
                <w:iCs/>
                <w:sz w:val="24"/>
                <w:szCs w:val="24"/>
              </w:rPr>
              <w:t>(grumbulloni dhe përmblidhni komente identike/të ngjashme nga palët e ndryshme të interesuara së bashku)</w:t>
            </w:r>
          </w:p>
        </w:tc>
        <w:tc>
          <w:tcPr>
            <w:tcW w:w="2520" w:type="dxa"/>
          </w:tcPr>
          <w:p w14:paraId="4487AFEF" w14:textId="1395FFFB" w:rsidR="00D34D73" w:rsidRPr="00D34D73" w:rsidRDefault="00D34D73" w:rsidP="00775169">
            <w:pPr>
              <w:widowControl w:val="0"/>
              <w:pBdr>
                <w:top w:val="nil"/>
                <w:left w:val="nil"/>
                <w:bottom w:val="nil"/>
                <w:right w:val="nil"/>
                <w:between w:val="nil"/>
              </w:pBdr>
              <w:jc w:val="center"/>
              <w:rPr>
                <w:rFonts w:ascii="Times New Roman" w:hAnsi="Times New Roman" w:cs="Times New Roman"/>
                <w:b/>
                <w:color w:val="000000" w:themeColor="text1"/>
                <w:sz w:val="24"/>
                <w:szCs w:val="24"/>
              </w:rPr>
            </w:pPr>
            <w:r w:rsidRPr="00775169">
              <w:rPr>
                <w:rFonts w:ascii="Times New Roman" w:hAnsi="Times New Roman" w:cs="Times New Roman"/>
                <w:b/>
                <w:bCs/>
                <w:sz w:val="24"/>
                <w:szCs w:val="24"/>
              </w:rPr>
              <w:t>Palët e interesuara</w:t>
            </w:r>
            <w:r w:rsidRPr="00775169">
              <w:rPr>
                <w:rFonts w:ascii="Times New Roman" w:hAnsi="Times New Roman" w:cs="Times New Roman"/>
                <w:sz w:val="24"/>
                <w:szCs w:val="24"/>
              </w:rPr>
              <w:t xml:space="preserve"> </w:t>
            </w:r>
            <w:r w:rsidRPr="00775169">
              <w:rPr>
                <w:rFonts w:ascii="Times New Roman" w:hAnsi="Times New Roman" w:cs="Times New Roman"/>
                <w:i/>
                <w:iCs/>
                <w:sz w:val="24"/>
                <w:szCs w:val="24"/>
              </w:rPr>
              <w:t>(renditni të gjithë ata që adresuan çështjen në mënyrë të ngjashme)</w:t>
            </w:r>
          </w:p>
        </w:tc>
        <w:tc>
          <w:tcPr>
            <w:tcW w:w="1710" w:type="dxa"/>
          </w:tcPr>
          <w:p w14:paraId="75A5007F" w14:textId="094278BB" w:rsidR="00D34D73" w:rsidRPr="00D34D73" w:rsidRDefault="00D34D73" w:rsidP="00EC1EAF">
            <w:pPr>
              <w:widowControl w:val="0"/>
              <w:pBdr>
                <w:top w:val="nil"/>
                <w:left w:val="nil"/>
                <w:bottom w:val="nil"/>
                <w:right w:val="nil"/>
                <w:between w:val="nil"/>
              </w:pBdr>
              <w:jc w:val="center"/>
              <w:rPr>
                <w:rFonts w:ascii="Times New Roman" w:hAnsi="Times New Roman" w:cs="Times New Roman"/>
                <w:b/>
                <w:color w:val="000000" w:themeColor="text1"/>
                <w:sz w:val="24"/>
                <w:szCs w:val="24"/>
              </w:rPr>
            </w:pPr>
            <w:r w:rsidRPr="00775169">
              <w:rPr>
                <w:rFonts w:ascii="Times New Roman" w:hAnsi="Times New Roman" w:cs="Times New Roman"/>
                <w:b/>
                <w:bCs/>
                <w:sz w:val="24"/>
                <w:szCs w:val="24"/>
              </w:rPr>
              <w:t>Vendimi</w:t>
            </w:r>
            <w:r w:rsidRPr="00775169">
              <w:rPr>
                <w:rFonts w:ascii="Times New Roman" w:hAnsi="Times New Roman" w:cs="Times New Roman"/>
                <w:sz w:val="24"/>
                <w:szCs w:val="24"/>
              </w:rPr>
              <w:t xml:space="preserve"> (I pranuar/I pranuar pjesërisht/I refuzuar)</w:t>
            </w:r>
          </w:p>
        </w:tc>
        <w:tc>
          <w:tcPr>
            <w:tcW w:w="4140" w:type="dxa"/>
            <w:tcMar>
              <w:top w:w="100" w:type="dxa"/>
              <w:left w:w="100" w:type="dxa"/>
              <w:bottom w:w="100" w:type="dxa"/>
              <w:right w:w="100" w:type="dxa"/>
            </w:tcMar>
          </w:tcPr>
          <w:p w14:paraId="464AC8C6" w14:textId="5AE4FCAD" w:rsidR="00D34D73" w:rsidRPr="00D34D73" w:rsidRDefault="00D34D73" w:rsidP="00EC1EAF">
            <w:pPr>
              <w:widowControl w:val="0"/>
              <w:pBdr>
                <w:top w:val="nil"/>
                <w:left w:val="nil"/>
                <w:bottom w:val="nil"/>
                <w:right w:val="nil"/>
                <w:between w:val="nil"/>
              </w:pBdr>
              <w:jc w:val="center"/>
              <w:rPr>
                <w:rFonts w:ascii="Times New Roman" w:eastAsia="Times New Roman" w:hAnsi="Times New Roman" w:cs="Times New Roman"/>
                <w:b/>
                <w:color w:val="000000" w:themeColor="text1"/>
                <w:sz w:val="24"/>
                <w:szCs w:val="24"/>
              </w:rPr>
            </w:pPr>
            <w:r w:rsidRPr="00775169">
              <w:rPr>
                <w:rFonts w:ascii="Times New Roman" w:hAnsi="Times New Roman" w:cs="Times New Roman"/>
                <w:b/>
                <w:bCs/>
                <w:sz w:val="24"/>
                <w:szCs w:val="24"/>
              </w:rPr>
              <w:t>Justifikimi</w:t>
            </w:r>
          </w:p>
        </w:tc>
      </w:tr>
      <w:tr w:rsidR="00D34D73" w:rsidRPr="00693506" w14:paraId="4ED0B330" w14:textId="77777777" w:rsidTr="00775169">
        <w:trPr>
          <w:trHeight w:val="1338"/>
        </w:trPr>
        <w:tc>
          <w:tcPr>
            <w:tcW w:w="3420" w:type="dxa"/>
            <w:tcMar>
              <w:top w:w="100" w:type="dxa"/>
              <w:left w:w="100" w:type="dxa"/>
              <w:bottom w:w="100" w:type="dxa"/>
              <w:right w:w="100" w:type="dxa"/>
            </w:tcMar>
          </w:tcPr>
          <w:p w14:paraId="3AD1E297" w14:textId="393155FC" w:rsidR="00D34D73" w:rsidRPr="00663E2C" w:rsidRDefault="00573E19" w:rsidP="005F3BFB">
            <w:pPr>
              <w:jc w:val="both"/>
              <w:rPr>
                <w:rFonts w:ascii="Times New Roman" w:hAnsi="Times New Roman" w:cs="Times New Roman"/>
                <w:color w:val="000000" w:themeColor="text1"/>
                <w:sz w:val="24"/>
                <w:szCs w:val="24"/>
              </w:rPr>
            </w:pPr>
            <w:bookmarkStart w:id="3" w:name="_Hlk157436192"/>
            <w:r>
              <w:rPr>
                <w:rFonts w:ascii="Times New Roman" w:hAnsi="Times New Roman" w:cs="Times New Roman"/>
                <w:color w:val="000000" w:themeColor="text1"/>
                <w:sz w:val="24"/>
                <w:szCs w:val="24"/>
              </w:rPr>
              <w:t>Zbatimi i gjykimit të shkurtuar kur subjekte janë të miturit</w:t>
            </w:r>
          </w:p>
        </w:tc>
        <w:tc>
          <w:tcPr>
            <w:tcW w:w="3590" w:type="dxa"/>
          </w:tcPr>
          <w:p w14:paraId="20EEA089" w14:textId="0A948D29" w:rsidR="00D34D73" w:rsidRPr="00573E19" w:rsidRDefault="00573E19" w:rsidP="00D52285">
            <w:pPr>
              <w:jc w:val="both"/>
              <w:rPr>
                <w:rFonts w:ascii="Times New Roman" w:hAnsi="Times New Roman"/>
                <w:iCs/>
                <w:color w:val="000000"/>
                <w:sz w:val="24"/>
                <w:szCs w:val="24"/>
                <w:lang w:val="en-US"/>
              </w:rPr>
            </w:pPr>
            <w:r w:rsidRPr="00573E19">
              <w:rPr>
                <w:rFonts w:ascii="Times New Roman" w:hAnsi="Times New Roman"/>
                <w:iCs/>
                <w:color w:val="000000"/>
                <w:sz w:val="24"/>
                <w:szCs w:val="24"/>
                <w:lang w:val="en-US"/>
              </w:rPr>
              <w:t xml:space="preserve">Me hyrjen në fuqi të ligjit nr.37/2017, ka pasur praktika të ndryshme gjyqësore në drejtim të zbatimit të nenit 403, pika 2, të KPP-së, për veprat penale që parashikojnë dënim me burgim të përjetshëm kur të akuzuar janë persona ndaj të cilëve ligji ndalon dhënien e një dënimi të tillë, sikundër të miturit. (neni 97/2 i KDPM). Në nenin 5 të KDPM-së, “Raporti me ligjet e tjera”, përcaktohet se dispozitat e Kodit Penal, të Kodit të Procedurës Penale dhe të ligjeve të tjera, zbatohen në procesin e drejtësisë penale për të mitur vetëm për çështje që nuk janë të rregulluara nga ky Kod ose nëse përmbajnë rregullime më të favorshme për të miturit. Pra, sipas këtij neni, </w:t>
            </w:r>
            <w:r w:rsidRPr="00573E19">
              <w:rPr>
                <w:rFonts w:ascii="Times New Roman" w:hAnsi="Times New Roman"/>
                <w:iCs/>
                <w:color w:val="000000"/>
                <w:sz w:val="24"/>
                <w:szCs w:val="24"/>
                <w:lang w:val="en-US"/>
              </w:rPr>
              <w:lastRenderedPageBreak/>
              <w:t xml:space="preserve">KDPM-ja është ligj i mëvonshëm (lex posteriori) ndaj Kodit të Procedurës Penale dhe Kodit Penal, ashtu edhe ligj i posaçëm (lex speciali), në raport me këto Kode. Konkretisht, në nenin 403, paragrafi i dytë i Kodit Penal parashikohet se: “Nuk lejohet kërkesa për gjykimin të shkurtuar për veprat penale për të cilat parashikohet dënim me burgim të përjetshëm”, duke mos e lidhur me subjektin e kryerjes së veprës penale ritin e gjykimit të shkurtuar, por me veprën penale. Me vendimin nr.00-2024-2161, (167), datë 04.07.2024, Kolegji Penal i Gjykatës së Lartë ka mbajtur qëndrimin njësues se: “Ndalimi i parashikuar nga neni 403, pika 2, i KPP-së zbatohet edhe për subjektet, ndaj të cilave ligji penal ndalon dhënien e dënimit me burgim të përjetshëm”. Sipas kësaj gjykate, edhe pse KDPM favorizon të miturit dhe nuk lejon aplikimin e denimit me burgim të përjetshëm për ta, ndërkohë KPP kufizon zbatimin e këtij riti për vepra për të </w:t>
            </w:r>
            <w:r w:rsidRPr="00573E19">
              <w:rPr>
                <w:rFonts w:ascii="Times New Roman" w:hAnsi="Times New Roman"/>
                <w:iCs/>
                <w:color w:val="000000"/>
                <w:sz w:val="24"/>
                <w:szCs w:val="24"/>
                <w:lang w:val="en-US"/>
              </w:rPr>
              <w:lastRenderedPageBreak/>
              <w:t xml:space="preserve">cilat parashikohet denim me burgim të përjetshëm, ka vlerësuar se në përplasje mes ligjeve me shumicë të cilësuar, kur njeri prej tyre është lex specialis vetëm për të miturit në konflikt me ligjin, zbatohet KPP me kufizimet procedurale të ritit të gjykimit të shkurtuar për të miturit që kryejnë vepra penale për të cilat Kodi Penal parashikon denime me burgim të përjetshëm. Pra, kjo gjykatë ka interpretuar në mënyrë ngushtuese të drejtat procedurale të të miturve në konflikt me ligjin, duke i dhënë prevalencë lex generalis, (KPP), dhe duke ia zgjeruar kuptimin, gati në krijim norme të re ligjore, përmes nenit 403, pika 2, i cili tashmë zbatohet nga gjykatat e zakonshme në ndalim të gjykimit të shkurtuar për vepra penale të caktuara, edhe kur këto kryen nga të miturit në konflikt me ligjin, duke i mohuar dhe uljen e denimit, që vjen si pasojë e këtij riti procedural. Ky vendim njësues është kundërshtuar nga kërkuesi, (i mitur në konflikt me ligjin), në </w:t>
            </w:r>
            <w:r w:rsidRPr="00573E19">
              <w:rPr>
                <w:rFonts w:ascii="Times New Roman" w:hAnsi="Times New Roman"/>
                <w:iCs/>
                <w:color w:val="000000"/>
                <w:sz w:val="24"/>
                <w:szCs w:val="24"/>
                <w:lang w:val="en-US"/>
              </w:rPr>
              <w:lastRenderedPageBreak/>
              <w:t xml:space="preserve">Gjykatën Kushtetuese, e cila me një vendimmarrje kolegji është shprehur se: “… Interpretimi i bërë nga Kolegji Penal i Gjykatës së Lartë në rastin e kërkuesit, i cili përfundimisht ka lënë në fuqi vendimet e gjykatave të faktit të dhëna ndaj tij, nuk rezulton që të mos respektojë kërkesat kushtetuese për një gjykim të drejtë ose të bjerë ndesh me vetë thelbin e kësaj të drejte. Ky vendim nuk rezulton të jetë i pamjaftueshëm, të ketë kundërthënie apo kontradiksion të hapur ose të fshehtë, të jetë arbitrar ose haptazi i paarsyeshëm apo të mos respektojë parimet dhe standardet kushtetuese të elaboruara në jurisprudencën e kësaj Gjykate”. (vendim moskalimi nr.323, datë 04.12.2025). Ndërkohë, kjo gjykatë më herët, me vendimin nr.4, datë 31.01.2024, kishte shprehur qëndrimin e saj mbi paqartësitë mes normave juridike në këtë kontekst dhe pasiguritë juridike që i shoqëronin të miturit në konflikt me ligjin, si dhe detyrën e Gjykatës së Lartë, mbi njësimin e </w:t>
            </w:r>
            <w:r w:rsidRPr="00573E19">
              <w:rPr>
                <w:rFonts w:ascii="Times New Roman" w:hAnsi="Times New Roman"/>
                <w:iCs/>
                <w:color w:val="000000"/>
                <w:sz w:val="24"/>
                <w:szCs w:val="24"/>
                <w:lang w:val="en-US"/>
              </w:rPr>
              <w:lastRenderedPageBreak/>
              <w:t xml:space="preserve">praktikës gjyqësore, duke e lenë të hapur mundësinë e kontrollit kushtetues mbi shkeljen e standardeve, pasi të shprehej GJL me vendim unifikues. Konkretisht sipas saj: “Në analizë të KDPM-së rezulton se nuk ka asnjë normë të posaçme që të përcaktojë në mënyrë të shprehur zbatimin e gjykimit të shkurtuar për të miturit në konflikt me ligjin, të cilët dënohen për vepra penale, për të cilat parashikohet dënimi me burgim të përjetshëm. Në drejtim të standardeve të vendosur edhe nga GJEDNJ-ja, sipas së cilave dispozitat e zbatueshme të ligjit të brendshëm duhet të jenë mjaftueshmërisht të aksesueshme, të qarta dhe të parashikueshme në zbatimin e tyre, duket sikur në rastin konkret, për shkak se nuk ka një dispozitë të posaçme në lidhje me gjykimin e shkurtuar për të miturit, janë gjykatat që përmes interpretimit që u bëjnë dispozitave ligjore qartësojnë normat dhe unifikojnë zbatimin e tyre në vendimet gjyqësore, duke i bërë ato </w:t>
            </w:r>
            <w:r w:rsidRPr="00573E19">
              <w:rPr>
                <w:rFonts w:ascii="Times New Roman" w:hAnsi="Times New Roman"/>
                <w:iCs/>
                <w:color w:val="000000"/>
                <w:sz w:val="24"/>
                <w:szCs w:val="24"/>
                <w:lang w:val="en-US"/>
              </w:rPr>
              <w:lastRenderedPageBreak/>
              <w:t xml:space="preserve">të aksesueshme për publikun. Në këtë kontekst, Gjykata vë në dukje se ekzistenca e dy vendimeve gjyqësore të Gjykatës së Lartë, ku ajo është shprehur në mënyrë të ndryshme për zbatimin e gjykimit të shkurtuar në rastet e të miturve në konflikt me ligjin, nuk mund të passjellë pritshmëri të ligjshme të kërkuesit për zbatimin e tij, në kushtet kur nuk është kryer një interpretim unifikues apo njësues në lidhje me të.”. Sipas KShH, edhe pse duket se dhe Gjykata Kushtetuese ka mbajtur një qëndrim kolegji mbi vendimin njësues, duke mos ia nënshtruar kontrollit kushtetues në seancë gjyqësore, do të duhej të kapërcehet praktika dhe interpretimi ngushtues i të drejtave procedurale të të miturve i Gjykatës së Lartë ndaj nenit 430/2 të KPP, përmes ndërhyrjes legjislative, pasi ky intepretim nuk rezulton në standardet më të larta mbrojtëse ndaj të miturve në konflikt me ligjin. Në vështrim të metodës së interpretimit pajtues, rezulton që jo </w:t>
            </w:r>
            <w:r w:rsidRPr="00573E19">
              <w:rPr>
                <w:rFonts w:ascii="Times New Roman" w:hAnsi="Times New Roman"/>
                <w:iCs/>
                <w:color w:val="000000"/>
                <w:sz w:val="24"/>
                <w:szCs w:val="24"/>
                <w:lang w:val="en-US"/>
              </w:rPr>
              <w:lastRenderedPageBreak/>
              <w:t xml:space="preserve">vetëm GJL nuk ka realizuar intepretimin më pajtues me Kushtetutën dhe Konventën Për të Drejtat e Fëmijës, por as Gjykata Kushtetuese pas interpretimit njesues të Gjykatës së Lartë nuk ka ushtruar kontroll kushtetues mbi interpretimin njësues të GJL, e cila ka pasjellë pasoja antikushtetuese për të miturit në konflikt me ligjin. Kjo Gjykatë ka ritheksuar në standardet e saj rëndësinë e metodës së interpretimit pajtues, sipas së cilës mes disa lloj interpretimeve gjykatat kanë detyrë të zgjedhin interpretimin që passjell rezultatin që është në pajtim me vlerat kushtetuese, duke marrë parasysh këtu të drejtat themelore të individëve. (shih vendimet nr.7, datë 24.02.2016; nr. 29, datë 31.05.2010 të Gjykatës Kushtetuese). Megjithatë, në kontekstin e rastit konkret, vlerësojmë se gjykatat më të larta nuk kanë bërë asnjë përpjekje për ta interpretuar normën ligjore në atë drejtim që ajo të prodhojë një rezultat të pajtueshëm me </w:t>
            </w:r>
            <w:r w:rsidRPr="00573E19">
              <w:rPr>
                <w:rFonts w:ascii="Times New Roman" w:hAnsi="Times New Roman"/>
                <w:iCs/>
                <w:color w:val="000000"/>
                <w:sz w:val="24"/>
                <w:szCs w:val="24"/>
                <w:lang w:val="en-US"/>
              </w:rPr>
              <w:lastRenderedPageBreak/>
              <w:t xml:space="preserve">Kushtetutën, duke garantuar të drejtat kushtetuese të të miturve. Për rrjedhojë, KShH vlerëson se, përtej vendimit njësues të Gjykatës së Lartë, i cili është burim i së drejtës për gjykatat në zgjidhjen e çështjeve me subjekte të mitur, duke qenë se politika penale është kompetencë e ligjvënësit, si përgjegjës për hartimin e politikave penale, pra për marrjen e tërësisë së masave me karakter penal, që synojnë të parandalojnë kriminalitetin, si dhe për përcaktimin e strategjisë së përgjithshme të luftës kundër kriminalitetit në vend, por edhe për humanizmin dhe respektimin e drejtësisë sociale, mund të rishikohet edhe njëherë KDPM, pai ka vend për forcim të garancive juridike ndaj të drejtave të të miturve në proceset penale, në raport me gjykimin e shkurtuar si rit procedurial. Veçoritë e institutit të gjykimit të shkurtuar janë trajtuar edhe nga GJEDNJ-ja në jurisprudencën e saj. GJEDNJ-ja duke analizuar institutin në fjalë, ka </w:t>
            </w:r>
            <w:r w:rsidRPr="00573E19">
              <w:rPr>
                <w:rFonts w:ascii="Times New Roman" w:hAnsi="Times New Roman"/>
                <w:iCs/>
                <w:color w:val="000000"/>
                <w:sz w:val="24"/>
                <w:szCs w:val="24"/>
                <w:lang w:val="en-US"/>
              </w:rPr>
              <w:lastRenderedPageBreak/>
              <w:t>theksuar se kjo procedurë paraqet avantazhe të padiskutueshme për të pandehurin: në rast dënimi, ky i fundit gëzon një ulje të dënimit. (Hermi kundër Italisë, nr. 18114/02, datë 18.10.2006 dhe Hany kundër Italisë, nr. 17543/05, datë 6.11.2007). Në vlerësimin e KShH, nëse një dispozitë e cilësuar si procedurale për faktin se parashikohet në ligjin procedural, ka një ndikim në ashpërsinë e masës së dënimit që duhet të jepet nga gjykata, atëherë ajo është një dispozitë penale materiale, ndaj të cilës ka vend për t’u zbatuar parimi i sanksionuar në nenin 29, pika 2 të Kushtetutës, e drejta e mosdënimit pa ligj. Një qëndrim i tillë ka gjetur zbatim edhe në jurisprudencën e GJEDNJ-së, e cila ka vlerësuar se një dispozitë procedurale që ndikon në dënimin e caktuar, duhet të cilësohet si një dispozitë penale materiale, ndaj të cilës ka vend për t’u zbatuar nenin 7, paragrafi i parë i KEDNJ-së. (ibid, Scoppola kundër Italisë, vendimi i datës 17.9.2009</w:t>
            </w:r>
            <w:proofErr w:type="gramStart"/>
            <w:r w:rsidRPr="00573E19">
              <w:rPr>
                <w:rFonts w:ascii="Times New Roman" w:hAnsi="Times New Roman"/>
                <w:iCs/>
                <w:color w:val="000000"/>
                <w:sz w:val="24"/>
                <w:szCs w:val="24"/>
                <w:lang w:val="en-US"/>
              </w:rPr>
              <w:t>).Thënë</w:t>
            </w:r>
            <w:proofErr w:type="gramEnd"/>
            <w:r w:rsidRPr="00573E19">
              <w:rPr>
                <w:rFonts w:ascii="Times New Roman" w:hAnsi="Times New Roman"/>
                <w:iCs/>
                <w:color w:val="000000"/>
                <w:sz w:val="24"/>
                <w:szCs w:val="24"/>
                <w:lang w:val="en-US"/>
              </w:rPr>
              <w:t xml:space="preserve"> ndryshe, </w:t>
            </w:r>
            <w:r w:rsidRPr="00573E19">
              <w:rPr>
                <w:rFonts w:ascii="Times New Roman" w:hAnsi="Times New Roman"/>
                <w:iCs/>
                <w:color w:val="000000"/>
                <w:sz w:val="24"/>
                <w:szCs w:val="24"/>
                <w:lang w:val="en-US"/>
              </w:rPr>
              <w:lastRenderedPageBreak/>
              <w:t xml:space="preserve">aplikimi i gjykimit të shkurtuar passjell edhe një zbritje tjetër të denimit, përtej atij maksimal të parashikuar në KDPM. (neni 97/2), dhe mosaplikimi i tij si aspekt procedural për shkak të vendimit njësues të Gjykatës së Lartë, bën që një i mitur në konflikt me ligjin, i dënuar maksimalisht 12 vjet sipas nenit 97/2 të KDPM të mos përfitojë zbritjen me 1/3 sipas nenit 406/1 të </w:t>
            </w:r>
            <w:proofErr w:type="gramStart"/>
            <w:r w:rsidRPr="00573E19">
              <w:rPr>
                <w:rFonts w:ascii="Times New Roman" w:hAnsi="Times New Roman"/>
                <w:iCs/>
                <w:color w:val="000000"/>
                <w:sz w:val="24"/>
                <w:szCs w:val="24"/>
                <w:lang w:val="en-US"/>
              </w:rPr>
              <w:t>KPP ,</w:t>
            </w:r>
            <w:proofErr w:type="gramEnd"/>
            <w:r w:rsidRPr="00573E19">
              <w:rPr>
                <w:rFonts w:ascii="Times New Roman" w:hAnsi="Times New Roman"/>
                <w:iCs/>
                <w:color w:val="000000"/>
                <w:sz w:val="24"/>
                <w:szCs w:val="24"/>
                <w:lang w:val="en-US"/>
              </w:rPr>
              <w:t xml:space="preserve"> dhe për rrjedhojë t’i rëndohet dënimi në kuptimin material, deri në kufijtë e cenimit të parimit që askush nuk mund të dënohet pa ligj. Procesi penal për të miturit, qofshin këto viktimë apo të mitur në konflikt me ligjin, udhëhiqet nga parimi i interesit më të lartë të fëmijës. Zhvillimi i një procesi gjyqësor të drejtë, të shpejtë dhe efektiv, është parësore në rastin e gjykimeve të tilla, ndaj dhe zbatimi i procedurës së gjykimit të shkurtuar, nuk është në kundërshtim dhe as nuk cenon procesin e rregullt dhe të drejtë ligjor dhe njëkohësisht realizon më së miri dhe administrimin e mirë të </w:t>
            </w:r>
            <w:r w:rsidRPr="00573E19">
              <w:rPr>
                <w:rFonts w:ascii="Times New Roman" w:hAnsi="Times New Roman"/>
                <w:iCs/>
                <w:color w:val="000000"/>
                <w:sz w:val="24"/>
                <w:szCs w:val="24"/>
                <w:lang w:val="en-US"/>
              </w:rPr>
              <w:lastRenderedPageBreak/>
              <w:t xml:space="preserve">drejtësisë, si qëllim i ligjvënësit dhe humanizmin e dënimit penal për të miturit në konflikt me ligjin, duke balancuar interesat e drejtësisë penale. Për sa më lart, KShH vlerëson se ka vend për përmirësim procedural në ndryshimet e KDPM në lidhje me rritjen e garancive procedurale për kategorinë e të miturve në konflikt me ligjin. Ashtu sikundër dhe Gjykata Kushtetuese ka vlerësuar shtetet, (ligjvënësit) nuk pengohen në dhënien e garancive më të larta procedurale, përtej atyre që garanton KEDNJ. Ligjvënësi nuk mund të vendosë kufizime që tejkalojnë ato të parashikuara nga KEDNJ-ja, por ai nuk pengohet që nëpërmjet legjislacionit të zgjerojë hapësirën e të drejtave dhe lirive dhe t’i japë një dimension më të madh realizimit të mbrojtjes së individit (shih vendimet nr. 9, datë 23.03.2010; nr.24, datë 13.06.2007 të Gjykatës Kushtetuese). Edhe sipas nenit 53 të KEDNJ-së, asnjë nga dispozitat e kësaj Konvente nuk duhet të interpretohet sikur </w:t>
            </w:r>
            <w:r w:rsidRPr="00573E19">
              <w:rPr>
                <w:rFonts w:ascii="Times New Roman" w:hAnsi="Times New Roman"/>
                <w:iCs/>
                <w:color w:val="000000"/>
                <w:sz w:val="24"/>
                <w:szCs w:val="24"/>
                <w:lang w:val="en-US"/>
              </w:rPr>
              <w:lastRenderedPageBreak/>
              <w:t xml:space="preserve">kufizon ose cenon të drejtat e njeriut dhe liritë themelore që mund të sigurohen nga legjislacioni i çdo pale të lartë kontraktuese ose nga çdo marrëveshje tjetër në të cilën kjo palë e lartë kontraktuese është palë. Po në këtë kontekst, kjo Gjykatë ka theksuar se në lidhje me një të drejtë themelore, respektimi i detyrimeve ndërkombëtare nuk mundet asnjëherë të jetë shkak i një zvogëlimi të mbrojtjes së saj në krahasim me ato të parashikuara tashmë nga rendi i brendshëm, por mund dhe duhet, përkundrazi, të përbëjë instrument efikas të zgjerimit të vetë mbrojtjes (shih vendimet nr. 4, datë 15.02.2021; nr. 20, datë 01.06.2011 të Gjykatës Kushtetuese). </w:t>
            </w:r>
          </w:p>
        </w:tc>
        <w:tc>
          <w:tcPr>
            <w:tcW w:w="2520" w:type="dxa"/>
          </w:tcPr>
          <w:p w14:paraId="3DFCD4C3" w14:textId="633E4685" w:rsidR="00D34D73" w:rsidRPr="008C3FD3" w:rsidRDefault="00D90BB6" w:rsidP="008C3FD3">
            <w:pPr>
              <w:widowControl w:val="0"/>
              <w:pBdr>
                <w:top w:val="nil"/>
                <w:left w:val="nil"/>
                <w:bottom w:val="nil"/>
                <w:right w:val="nil"/>
                <w:between w:val="nil"/>
              </w:pBd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Komiteti Shqiptar i Helsinkit</w:t>
            </w:r>
          </w:p>
        </w:tc>
        <w:tc>
          <w:tcPr>
            <w:tcW w:w="1710" w:type="dxa"/>
          </w:tcPr>
          <w:p w14:paraId="7D916DE6" w14:textId="53F699A1" w:rsidR="00D34D73" w:rsidRPr="00D90BB6" w:rsidRDefault="00D90BB6" w:rsidP="00CE3767">
            <w:pPr>
              <w:widowControl w:val="0"/>
              <w:pBdr>
                <w:top w:val="nil"/>
                <w:left w:val="nil"/>
                <w:bottom w:val="nil"/>
                <w:right w:val="nil"/>
                <w:between w:val="nil"/>
              </w:pBdr>
              <w:jc w:val="center"/>
              <w:rPr>
                <w:rFonts w:ascii="Times New Roman" w:hAnsi="Times New Roman" w:cs="Times New Roman"/>
                <w:color w:val="000000" w:themeColor="text1"/>
                <w:sz w:val="24"/>
                <w:szCs w:val="24"/>
              </w:rPr>
            </w:pPr>
            <w:r w:rsidRPr="00D90BB6">
              <w:rPr>
                <w:rFonts w:ascii="Times New Roman" w:hAnsi="Times New Roman" w:cs="Times New Roman"/>
                <w:color w:val="000000" w:themeColor="text1"/>
                <w:sz w:val="24"/>
                <w:szCs w:val="24"/>
              </w:rPr>
              <w:t>I refuzuar</w:t>
            </w:r>
          </w:p>
        </w:tc>
        <w:tc>
          <w:tcPr>
            <w:tcW w:w="4140" w:type="dxa"/>
            <w:tcMar>
              <w:top w:w="100" w:type="dxa"/>
              <w:left w:w="100" w:type="dxa"/>
              <w:bottom w:w="100" w:type="dxa"/>
              <w:right w:w="100" w:type="dxa"/>
            </w:tcMar>
          </w:tcPr>
          <w:p w14:paraId="0BCE3FC7" w14:textId="067FEA7D" w:rsidR="00DE44D7" w:rsidRPr="00DE44D7" w:rsidRDefault="00DE44D7" w:rsidP="00DE44D7">
            <w:pPr>
              <w:widowControl w:val="0"/>
              <w:pBdr>
                <w:top w:val="nil"/>
                <w:left w:val="nil"/>
                <w:bottom w:val="nil"/>
                <w:right w:val="nil"/>
                <w:between w:val="nil"/>
              </w:pBdr>
              <w:jc w:val="both"/>
              <w:rPr>
                <w:rFonts w:ascii="Times New Roman" w:hAnsi="Times New Roman" w:cs="Times New Roman"/>
                <w:bCs/>
                <w:color w:val="000000" w:themeColor="text1"/>
                <w:sz w:val="24"/>
                <w:szCs w:val="24"/>
                <w:lang w:val="en-US"/>
              </w:rPr>
            </w:pPr>
            <w:r w:rsidRPr="00DE44D7">
              <w:rPr>
                <w:rFonts w:ascii="Times New Roman" w:hAnsi="Times New Roman" w:cs="Times New Roman"/>
                <w:bCs/>
                <w:color w:val="000000" w:themeColor="text1"/>
                <w:sz w:val="24"/>
                <w:szCs w:val="24"/>
                <w:lang w:val="en-US"/>
              </w:rPr>
              <w:t>Vlerësojmë se çështja e ngritur lidhet me interpretimin dhe fushën e zbatimit të nenit 403, pika 2, të Kodit të Procedurës Penale, që rregullon kushtet dhe kufizimet për aplikimin e gjykimit të shkurtuar. Edhe argumentet e paraqitura mbështeten kryesisht në praktikën gjyqësore të Gjykatës së Lartë dhe Gjykatës Kushtetuese mbi këtë dispozitë procedurale, si dhe në nevojën për rishikimin e këtij rregullimi.</w:t>
            </w:r>
          </w:p>
          <w:p w14:paraId="02715F55" w14:textId="77777777" w:rsidR="00DE44D7" w:rsidRPr="00DE44D7" w:rsidRDefault="00DE44D7" w:rsidP="00DE44D7">
            <w:pPr>
              <w:widowControl w:val="0"/>
              <w:pBdr>
                <w:top w:val="nil"/>
                <w:left w:val="nil"/>
                <w:bottom w:val="nil"/>
                <w:right w:val="nil"/>
                <w:between w:val="nil"/>
              </w:pBdr>
              <w:jc w:val="both"/>
              <w:rPr>
                <w:rFonts w:ascii="Times New Roman" w:hAnsi="Times New Roman" w:cs="Times New Roman"/>
                <w:bCs/>
                <w:color w:val="000000" w:themeColor="text1"/>
                <w:sz w:val="24"/>
                <w:szCs w:val="24"/>
                <w:lang w:val="en-US"/>
              </w:rPr>
            </w:pPr>
            <w:r w:rsidRPr="00DE44D7">
              <w:rPr>
                <w:rFonts w:ascii="Times New Roman" w:hAnsi="Times New Roman" w:cs="Times New Roman"/>
                <w:bCs/>
                <w:color w:val="000000" w:themeColor="text1"/>
                <w:sz w:val="24"/>
                <w:szCs w:val="24"/>
                <w:lang w:val="en-US"/>
              </w:rPr>
              <w:t xml:space="preserve">Projektligji aktual ka si objekt ndryshimin e Kodit të Drejtësisë Penale për të Mitur dhe nuk synon të ndërhyjë në institutin e gjykimit të shkurtuar, i cili rregullohet nga Kodi i Procedurës Penale. Për rrjedhojë, çdo ndryshim që synon zgjerimin ose kufizimin e rasteve të aplikimit të gjykimit të shkurtuar, përfshirë edhe për të miturit në konflikt me ligjin, duhet të vlerësohet në kuadër të </w:t>
            </w:r>
            <w:r w:rsidRPr="00DE44D7">
              <w:rPr>
                <w:rFonts w:ascii="Times New Roman" w:hAnsi="Times New Roman" w:cs="Times New Roman"/>
                <w:bCs/>
                <w:color w:val="000000" w:themeColor="text1"/>
                <w:sz w:val="24"/>
                <w:szCs w:val="24"/>
                <w:lang w:val="en-US"/>
              </w:rPr>
              <w:lastRenderedPageBreak/>
              <w:t>rishikimit të dispozitave përkatëse të Kodit të Procedurës Penale, duke pasur parasysh ndikimin horizontal që ato kanë në të gjithë sistemin procedural penal.</w:t>
            </w:r>
          </w:p>
          <w:p w14:paraId="5262EF88" w14:textId="77777777" w:rsidR="00DE44D7" w:rsidRPr="00DE44D7" w:rsidRDefault="00DE44D7" w:rsidP="00DE44D7">
            <w:pPr>
              <w:widowControl w:val="0"/>
              <w:pBdr>
                <w:top w:val="nil"/>
                <w:left w:val="nil"/>
                <w:bottom w:val="nil"/>
                <w:right w:val="nil"/>
                <w:between w:val="nil"/>
              </w:pBdr>
              <w:jc w:val="both"/>
              <w:rPr>
                <w:rFonts w:ascii="Times New Roman" w:hAnsi="Times New Roman" w:cs="Times New Roman"/>
                <w:bCs/>
                <w:color w:val="000000" w:themeColor="text1"/>
                <w:sz w:val="24"/>
                <w:szCs w:val="24"/>
                <w:lang w:val="en-US"/>
              </w:rPr>
            </w:pPr>
            <w:r w:rsidRPr="00DE44D7">
              <w:rPr>
                <w:rFonts w:ascii="Times New Roman" w:hAnsi="Times New Roman" w:cs="Times New Roman"/>
                <w:bCs/>
                <w:color w:val="000000" w:themeColor="text1"/>
                <w:sz w:val="24"/>
                <w:szCs w:val="24"/>
                <w:lang w:val="en-US"/>
              </w:rPr>
              <w:t>Gjithashtu, duhet mbajtur në konsideratë se, sipas qëndrimit të unifikuar të Kolegjit Penal të Gjykatës së Lartë, ndalimi i parashikuar në nenin 403, pika 2, të Kodit të Procedurës Penale lidhet me natyrën e veprës penale dhe jo me subjektin e saj. Gjykata ka arsyetuar se, edhe kur ligji ndalon dhënien e dënimit me burgim të përjetshëm për kategori të caktuara subjektesh, si të miturit ose gratë, kjo nuk ndryshon faktin se ndalimi i gjykimit të shkurtuar është vendosur nga ligjvënësi në funksion të veprave penale për të cilat parashikohet ky lloj dënimi. Për rrjedhojë, përjashtimi nga përfitimi i uljes së dënimit me një të tretën zbatohet për shkak të kategorisë së veprës penale dhe jo të masës konkrete të dënimit që përfundimisht caktohet ndaj të pandehurit.</w:t>
            </w:r>
          </w:p>
          <w:p w14:paraId="388C2254" w14:textId="77777777" w:rsidR="00DE44D7" w:rsidRPr="00DE44D7" w:rsidRDefault="00DE44D7" w:rsidP="00DE44D7">
            <w:pPr>
              <w:widowControl w:val="0"/>
              <w:pBdr>
                <w:top w:val="nil"/>
                <w:left w:val="nil"/>
                <w:bottom w:val="nil"/>
                <w:right w:val="nil"/>
                <w:between w:val="nil"/>
              </w:pBdr>
              <w:jc w:val="both"/>
              <w:rPr>
                <w:rFonts w:ascii="Times New Roman" w:hAnsi="Times New Roman" w:cs="Times New Roman"/>
                <w:bCs/>
                <w:color w:val="000000" w:themeColor="text1"/>
                <w:sz w:val="24"/>
                <w:szCs w:val="24"/>
                <w:lang w:val="en-US"/>
              </w:rPr>
            </w:pPr>
            <w:r w:rsidRPr="00DE44D7">
              <w:rPr>
                <w:rFonts w:ascii="Times New Roman" w:hAnsi="Times New Roman" w:cs="Times New Roman"/>
                <w:bCs/>
                <w:color w:val="000000" w:themeColor="text1"/>
                <w:sz w:val="24"/>
                <w:szCs w:val="24"/>
                <w:lang w:val="en-US"/>
              </w:rPr>
              <w:t xml:space="preserve">Në këto kushte, nuk vlerësohet e përshtatshme që përmes ndryshimeve në Kodin e Drejtësisë Penale për të Mitur të ndërhyhet në një regjim procedural të parashikuar nga Kodi i Procedurës </w:t>
            </w:r>
            <w:r w:rsidRPr="00DE44D7">
              <w:rPr>
                <w:rFonts w:ascii="Times New Roman" w:hAnsi="Times New Roman" w:cs="Times New Roman"/>
                <w:bCs/>
                <w:color w:val="000000" w:themeColor="text1"/>
                <w:sz w:val="24"/>
                <w:szCs w:val="24"/>
                <w:lang w:val="en-US"/>
              </w:rPr>
              <w:lastRenderedPageBreak/>
              <w:t>Penale, pasi kjo do të tejkalonte objektin dhe qëllimin e projektligjit dhe do të sillte ndërhyrje të pjesshme në një institut procedural që kërkon vlerësim tërësor në kuadër të legjislacionit procedural penal.</w:t>
            </w:r>
          </w:p>
          <w:p w14:paraId="4F32115B" w14:textId="19E73200" w:rsidR="00D34D73" w:rsidRPr="00AA040A" w:rsidRDefault="00D34D73" w:rsidP="00BF3AB6">
            <w:pPr>
              <w:widowControl w:val="0"/>
              <w:pBdr>
                <w:top w:val="nil"/>
                <w:left w:val="nil"/>
                <w:bottom w:val="nil"/>
                <w:right w:val="nil"/>
                <w:between w:val="nil"/>
              </w:pBdr>
              <w:jc w:val="both"/>
              <w:rPr>
                <w:rFonts w:ascii="Times New Roman" w:hAnsi="Times New Roman" w:cs="Times New Roman"/>
                <w:bCs/>
                <w:color w:val="000000" w:themeColor="text1"/>
                <w:sz w:val="24"/>
                <w:szCs w:val="24"/>
                <w:lang w:val="en-US"/>
              </w:rPr>
            </w:pPr>
          </w:p>
        </w:tc>
      </w:tr>
      <w:tr w:rsidR="003D0BE2" w:rsidRPr="00693506" w14:paraId="7377E1C8" w14:textId="77777777" w:rsidTr="00775169">
        <w:trPr>
          <w:trHeight w:val="1338"/>
        </w:trPr>
        <w:tc>
          <w:tcPr>
            <w:tcW w:w="3420" w:type="dxa"/>
            <w:tcMar>
              <w:top w:w="100" w:type="dxa"/>
              <w:left w:w="100" w:type="dxa"/>
              <w:bottom w:w="100" w:type="dxa"/>
              <w:right w:w="100" w:type="dxa"/>
            </w:tcMar>
          </w:tcPr>
          <w:p w14:paraId="229CD5BB" w14:textId="60CE71FA" w:rsidR="003D0BE2" w:rsidRPr="00663E2C" w:rsidRDefault="00573E19" w:rsidP="003D0BE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Gjykimi në mungesë për të miturit</w:t>
            </w:r>
          </w:p>
        </w:tc>
        <w:tc>
          <w:tcPr>
            <w:tcW w:w="3590" w:type="dxa"/>
          </w:tcPr>
          <w:p w14:paraId="721D181B" w14:textId="77777777" w:rsidR="00573E19" w:rsidRPr="00573E19" w:rsidRDefault="00573E19" w:rsidP="00573E19">
            <w:pPr>
              <w:jc w:val="both"/>
              <w:rPr>
                <w:rFonts w:ascii="Times New Roman" w:hAnsi="Times New Roman"/>
                <w:color w:val="000000"/>
                <w:sz w:val="24"/>
                <w:szCs w:val="24"/>
                <w:lang w:val="en-US"/>
              </w:rPr>
            </w:pPr>
            <w:r w:rsidRPr="00573E19">
              <w:rPr>
                <w:rFonts w:ascii="Times New Roman" w:hAnsi="Times New Roman"/>
                <w:color w:val="000000"/>
                <w:sz w:val="24"/>
                <w:szCs w:val="24"/>
                <w:lang w:val="en-US"/>
              </w:rPr>
              <w:t xml:space="preserve">Më tej, neni 12 i projektligjit, i cili ndryshon dhe shton nenin 91 të KDM, parashikon se: “4/2. Kur rrethanat që kanë sjellë zbatimin e pikave 4 dhe 4/1 të këtij neni pushojnë së ekzistuari, i mituri ka të drejtë të shoqërohet nga përfaqësuesi ligjor gjatë të gjitha </w:t>
            </w:r>
            <w:r w:rsidRPr="00573E19">
              <w:rPr>
                <w:rFonts w:ascii="Times New Roman" w:hAnsi="Times New Roman"/>
                <w:color w:val="000000"/>
                <w:sz w:val="24"/>
                <w:szCs w:val="24"/>
                <w:lang w:val="en-US"/>
              </w:rPr>
              <w:lastRenderedPageBreak/>
              <w:t xml:space="preserve">seancave gjyqësore të mbetura. Autoritetet publike të përfshira në procedimin penal shmangin deklaratat publike ose përdorimin e gjuhës që paraqet të miturin si fajtor përpara se të jetë dhënë një vendim i formës së prerë mbi akuzën. Kur i mituri është gjykuar dhe dënuar në mungesë dhe nuk është informuar në mënyrë efektive për gjykimin, ai ka të drejtë për një gjykim të ri ose për një mjet tjetër juridik që mundëson rivlerësim të plotë të çështjes, në respektim të plotë të të drejtave të mbrojtjes. Gjykata merr masat e duhura për mbrojtjen e identitetit dhe privatësisë së të miturit në komunikimet publike dhe në media, përfshirë ndalimin e publikimit të të dhënave që mund të çojnë në identifikimin e tij.”. Aktualisht, neni 91 (Gjykimi në prani të të miturit dhe kufizimet), i KDPM ka këtë përmbajtje: “1. Gjykimi zhvillohet vetëm në prani të të miturit. 2. Gjykata, me iniciativën e vet ose me kërkesë të palës, mund të marrë vendim lidhur me largimin e të miturit nga salla e </w:t>
            </w:r>
            <w:r w:rsidRPr="00573E19">
              <w:rPr>
                <w:rFonts w:ascii="Times New Roman" w:hAnsi="Times New Roman"/>
                <w:color w:val="000000"/>
                <w:sz w:val="24"/>
                <w:szCs w:val="24"/>
                <w:lang w:val="en-US"/>
              </w:rPr>
              <w:lastRenderedPageBreak/>
              <w:t xml:space="preserve">gjyqit gjatë shqyrtimit vetëm të një ose disa provave, nëse kjo është në interesin më të lartë të të miturit. 3. Mungesa e të miturit gjatë procesit gjyqësor duhet të jetë për një periudhë sa më të shkurtër. 4. Gjyqtari gjatë gjykimit ka të drejtë të ndalojë pjesëmarrjen e përfaqësuesit ligjor gjatë veprimit procedural vetën, nëse kjo gjë është në interesin më të lartë të fëmijës. 5. Menjëherë pas miratimit të vendimit, sipas pikës 2, të këtij neni, gjykata i shpjegon palëve të drejtën për të kundërshtuar këtë vendim, brenda së njëjtës seancë, duke i dhënë gjykatës argumentet e tyre. Në rast kundërshtimi, gjykata, pezullon shqyrtimin e provës deri në marrjen e vendimit. Vendimi lidhur me pranimin ose jo të kundër shtimit merret menjëherë. 6. Pasi i mituri kthehet në sallën e gjyqit, gjykata, i shpjegon të miturit, aq sa është e nevojshme dhe në mënyrë të kuptueshme, përmbajtjen e provave të shqyrtuara në mungesë të tij. 7. Në të gjitha rastet kur gjykata shqyrton provat në mungesë të të </w:t>
            </w:r>
            <w:r w:rsidRPr="00573E19">
              <w:rPr>
                <w:rFonts w:ascii="Times New Roman" w:hAnsi="Times New Roman"/>
                <w:color w:val="000000"/>
                <w:sz w:val="24"/>
                <w:szCs w:val="24"/>
                <w:lang w:val="en-US"/>
              </w:rPr>
              <w:lastRenderedPageBreak/>
              <w:t xml:space="preserve">miturit, mbrojtësi ose përfaqë suesi ligjor duhet të jenë të pranishëm.” </w:t>
            </w:r>
          </w:p>
          <w:p w14:paraId="75C02F03" w14:textId="46F24953" w:rsidR="003D0BE2" w:rsidRPr="00573E19" w:rsidRDefault="00573E19" w:rsidP="003D0BE2">
            <w:pPr>
              <w:jc w:val="both"/>
              <w:rPr>
                <w:rFonts w:ascii="Times New Roman" w:hAnsi="Times New Roman"/>
                <w:color w:val="000000"/>
                <w:sz w:val="24"/>
                <w:szCs w:val="24"/>
                <w:lang w:val="en-US"/>
              </w:rPr>
            </w:pPr>
            <w:r w:rsidRPr="00573E19">
              <w:rPr>
                <w:rFonts w:ascii="Times New Roman" w:hAnsi="Times New Roman"/>
                <w:color w:val="000000"/>
                <w:sz w:val="24"/>
                <w:szCs w:val="24"/>
                <w:lang w:val="en-US"/>
              </w:rPr>
              <w:t xml:space="preserve">Nga sa më lart, duke krahasuar standardet më të mira kombëtare dhe ndërkombëtare në lidhje me gjykimin në mungesë për të pandehurit, me ndërhyrjet përkatëse, konstatohet se parashikimi mbi të drejtën e të miturit “për një gjykim të ri ose për një mjet tjetër juridik që mundëson rivlerësim të plotë të çështjes, në respektim të plotë të të drejtave të mbrojtjes”, është i diskutueshëm sa i përket parashikimeve sa më cilësore të ligjit. Togfjalëshi “ose për një mjet tjetër juridik që mundëson rivlerësim të plotë të çështjes”, është transpozuar mot a mo nga Direktiva 2016/343/BE, e Parlamentit Evropian dhe e Këshillit, e datës 9 mars 2016, “Për forcimin e disa aspekteve të parimit të pafajësisë dhe të së drejtës për të qenë prezent në gjykim në procedimet penale”, neni 8, paragrafi 4, dhe neni 9, të cilat i drejtohen vendeve anëtare të BE për adoptim legjislacioni kombëtar, </w:t>
            </w:r>
            <w:r w:rsidRPr="00573E19">
              <w:rPr>
                <w:rFonts w:ascii="Times New Roman" w:hAnsi="Times New Roman"/>
                <w:color w:val="000000"/>
                <w:sz w:val="24"/>
                <w:szCs w:val="24"/>
                <w:lang w:val="en-US"/>
              </w:rPr>
              <w:lastRenderedPageBreak/>
              <w:t xml:space="preserve">por që do duhet përshtatur edhe në kontekstin shqiptar, pasi e thënë në këtë mënyrë lë vend për keqinterpretim. Legjislacioni penal, konkretisht KPP ka parashikuar rihapjen e procesit, përmes rishikimit të vendimit gjyqësor të formës së prerë, kur i mituri është gjykuar dhe dënuar në mungesë, (neni 449 e në vijim). Për rrjedhojë, duhet riformuluar i gjithë paragrafi 4/2, i nenit 12 të projektligjit, pasi togfjalëshi “mjet tjetër juridik që mundëson rivlerësim të plotë të çështjes”, është i paqartë dhe nuk reflekton mjetin procedural si kërkesa për rishikim si e vetmja mënyre ankimi e jashtëzakonshme pë rihapjen e procesit pas një vendimi gjyqësor të formës së prerë, në mungesë, dhe rigjykimin në themel. </w:t>
            </w:r>
          </w:p>
        </w:tc>
        <w:tc>
          <w:tcPr>
            <w:tcW w:w="2520" w:type="dxa"/>
          </w:tcPr>
          <w:p w14:paraId="68D87C40" w14:textId="7723E153" w:rsidR="003D0BE2" w:rsidRPr="00663E2C" w:rsidRDefault="00D90BB6" w:rsidP="003D0BE2">
            <w:pPr>
              <w:widowControl w:val="0"/>
              <w:pBdr>
                <w:top w:val="nil"/>
                <w:left w:val="nil"/>
                <w:bottom w:val="nil"/>
                <w:right w:val="nil"/>
                <w:between w:val="nil"/>
              </w:pBd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Komiteti Shqiptar i Helsinkit</w:t>
            </w:r>
          </w:p>
        </w:tc>
        <w:tc>
          <w:tcPr>
            <w:tcW w:w="1710" w:type="dxa"/>
          </w:tcPr>
          <w:p w14:paraId="54238E52" w14:textId="5C4FB335" w:rsidR="003D0BE2" w:rsidRPr="00D90BB6" w:rsidRDefault="00D90BB6" w:rsidP="003D0BE2">
            <w:pPr>
              <w:widowControl w:val="0"/>
              <w:pBdr>
                <w:top w:val="nil"/>
                <w:left w:val="nil"/>
                <w:bottom w:val="nil"/>
                <w:right w:val="nil"/>
                <w:between w:val="nil"/>
              </w:pBdr>
              <w:jc w:val="center"/>
              <w:rPr>
                <w:rFonts w:ascii="Times New Roman" w:hAnsi="Times New Roman" w:cs="Times New Roman"/>
                <w:color w:val="000000" w:themeColor="text1"/>
                <w:sz w:val="24"/>
                <w:szCs w:val="24"/>
              </w:rPr>
            </w:pPr>
            <w:r w:rsidRPr="00D90BB6">
              <w:rPr>
                <w:rFonts w:ascii="Times New Roman" w:hAnsi="Times New Roman" w:cs="Times New Roman"/>
                <w:color w:val="000000" w:themeColor="text1"/>
                <w:sz w:val="24"/>
                <w:szCs w:val="24"/>
              </w:rPr>
              <w:t>I pranuar pjesërisht</w:t>
            </w:r>
          </w:p>
        </w:tc>
        <w:tc>
          <w:tcPr>
            <w:tcW w:w="4140" w:type="dxa"/>
            <w:tcMar>
              <w:top w:w="100" w:type="dxa"/>
              <w:left w:w="100" w:type="dxa"/>
              <w:bottom w:w="100" w:type="dxa"/>
              <w:right w:w="100" w:type="dxa"/>
            </w:tcMar>
          </w:tcPr>
          <w:p w14:paraId="61D613BB" w14:textId="0E1A9120" w:rsidR="00967B50" w:rsidRPr="00967B50" w:rsidRDefault="00967B50" w:rsidP="00967B50">
            <w:pPr>
              <w:widowControl w:val="0"/>
              <w:pBdr>
                <w:top w:val="nil"/>
                <w:left w:val="nil"/>
                <w:bottom w:val="nil"/>
                <w:right w:val="nil"/>
                <w:between w:val="nil"/>
              </w:pBdr>
              <w:jc w:val="both"/>
              <w:rPr>
                <w:rFonts w:ascii="Times New Roman" w:hAnsi="Times New Roman" w:cs="Times New Roman"/>
                <w:sz w:val="24"/>
                <w:szCs w:val="24"/>
                <w:lang w:val="en-US"/>
              </w:rPr>
            </w:pPr>
            <w:r w:rsidRPr="00967B50">
              <w:rPr>
                <w:rFonts w:ascii="Times New Roman" w:hAnsi="Times New Roman" w:cs="Times New Roman"/>
                <w:sz w:val="24"/>
                <w:szCs w:val="24"/>
                <w:lang w:val="en-US"/>
              </w:rPr>
              <w:t xml:space="preserve">Bazuar në sugjerimin e përcjellë, Ministria e Drejtësisë ka rishqyrtuar ndërhyrjen e propozuar në nenin 91, duke vlerësuar përputhshmërinë e saj me dispozitat ekzistuese të Kodit të Procedurës Penale dhe kërkesat e Direktivës përkatëse. Në këtë kuadër, është konstatuar se neni 91, pika 1, </w:t>
            </w:r>
            <w:r w:rsidRPr="00967B50">
              <w:rPr>
                <w:rFonts w:ascii="Times New Roman" w:hAnsi="Times New Roman" w:cs="Times New Roman"/>
                <w:sz w:val="24"/>
                <w:szCs w:val="24"/>
                <w:lang w:val="en-US"/>
              </w:rPr>
              <w:lastRenderedPageBreak/>
              <w:t xml:space="preserve">parashikon shprehimisht se gjykimi i të miturit zhvillohet vetëm në praninë e tij. </w:t>
            </w:r>
            <w:r>
              <w:rPr>
                <w:rFonts w:ascii="Times New Roman" w:hAnsi="Times New Roman" w:cs="Times New Roman"/>
                <w:sz w:val="24"/>
                <w:szCs w:val="24"/>
                <w:lang w:val="en-US"/>
              </w:rPr>
              <w:t>Gjithashtu</w:t>
            </w:r>
            <w:r w:rsidRPr="00967B50">
              <w:rPr>
                <w:rFonts w:ascii="Times New Roman" w:hAnsi="Times New Roman" w:cs="Times New Roman"/>
                <w:sz w:val="24"/>
                <w:szCs w:val="24"/>
                <w:lang w:val="en-US"/>
              </w:rPr>
              <w:t>, edhe neni 452, pika 6, përcakton se ndaj të pandehurit të mitur nuk lejohet zhvillimi i gjykimit në mungesë.</w:t>
            </w:r>
          </w:p>
          <w:p w14:paraId="6CBFCC2A" w14:textId="7953D83D" w:rsidR="00967B50" w:rsidRPr="00967B50" w:rsidRDefault="00967B50" w:rsidP="00967B50">
            <w:pPr>
              <w:widowControl w:val="0"/>
              <w:pBdr>
                <w:top w:val="nil"/>
                <w:left w:val="nil"/>
                <w:bottom w:val="nil"/>
                <w:right w:val="nil"/>
                <w:between w:val="nil"/>
              </w:pBdr>
              <w:jc w:val="both"/>
              <w:rPr>
                <w:rFonts w:ascii="Times New Roman" w:hAnsi="Times New Roman" w:cs="Times New Roman"/>
                <w:sz w:val="24"/>
                <w:szCs w:val="24"/>
                <w:lang w:val="en-US"/>
              </w:rPr>
            </w:pPr>
            <w:r w:rsidRPr="00967B50">
              <w:rPr>
                <w:rFonts w:ascii="Times New Roman" w:hAnsi="Times New Roman" w:cs="Times New Roman"/>
                <w:sz w:val="24"/>
                <w:szCs w:val="24"/>
                <w:lang w:val="en-US"/>
              </w:rPr>
              <w:t>Për sa i përket kërkesës së Direktivës, kjo lidhet me rastet kur legjislacioni i shteteve anëtare parashikon mundësinë e zhvillimit të gjykimit në mungesë. Duke qenë se legjislacioni shqiptar nuk e lejon zhvillimin e gjykimit në mungesë për të miturit, kjo kërkesë nuk gjen zbatim në këtë rast</w:t>
            </w:r>
            <w:r>
              <w:rPr>
                <w:rFonts w:ascii="Times New Roman" w:hAnsi="Times New Roman" w:cs="Times New Roman"/>
                <w:sz w:val="24"/>
                <w:szCs w:val="24"/>
                <w:lang w:val="en-US"/>
              </w:rPr>
              <w:t>, ndaj është hequr si parashikim</w:t>
            </w:r>
            <w:r w:rsidRPr="00967B50">
              <w:rPr>
                <w:rFonts w:ascii="Times New Roman" w:hAnsi="Times New Roman" w:cs="Times New Roman"/>
                <w:sz w:val="24"/>
                <w:szCs w:val="24"/>
                <w:lang w:val="en-US"/>
              </w:rPr>
              <w:t xml:space="preserve">. </w:t>
            </w:r>
            <w:r>
              <w:rPr>
                <w:rFonts w:ascii="Times New Roman" w:hAnsi="Times New Roman" w:cs="Times New Roman"/>
                <w:sz w:val="24"/>
                <w:szCs w:val="24"/>
                <w:lang w:val="en-US"/>
              </w:rPr>
              <w:t>Sidoqoftë</w:t>
            </w:r>
            <w:r w:rsidRPr="00967B50">
              <w:rPr>
                <w:rFonts w:ascii="Times New Roman" w:hAnsi="Times New Roman" w:cs="Times New Roman"/>
                <w:sz w:val="24"/>
                <w:szCs w:val="24"/>
                <w:lang w:val="en-US"/>
              </w:rPr>
              <w:t xml:space="preserve">, garancia për ushtrimin e një mjeti juridik efektiv është e parashikuar në nenin 449 të Kodit të Procedurës Penale, i cili siguron mundësinë e rishikimit të </w:t>
            </w:r>
            <w:r w:rsidRPr="00967B50">
              <w:rPr>
                <w:rFonts w:ascii="Times New Roman" w:hAnsi="Times New Roman" w:cs="Times New Roman"/>
                <w:sz w:val="24"/>
                <w:szCs w:val="24"/>
              </w:rPr>
              <w:t>vendimeve që kanë marrë formë të prerë</w:t>
            </w:r>
            <w:r w:rsidRPr="00967B50">
              <w:rPr>
                <w:rFonts w:ascii="Times New Roman" w:hAnsi="Times New Roman" w:cs="Times New Roman"/>
                <w:sz w:val="24"/>
                <w:szCs w:val="24"/>
                <w:lang w:val="en-US"/>
              </w:rPr>
              <w:t>.</w:t>
            </w:r>
          </w:p>
          <w:p w14:paraId="7317CF48" w14:textId="46998ED1" w:rsidR="003D0BE2" w:rsidRDefault="003D0BE2" w:rsidP="003D0BE2">
            <w:pPr>
              <w:widowControl w:val="0"/>
              <w:pBdr>
                <w:top w:val="nil"/>
                <w:left w:val="nil"/>
                <w:bottom w:val="nil"/>
                <w:right w:val="nil"/>
                <w:between w:val="nil"/>
              </w:pBdr>
              <w:jc w:val="both"/>
              <w:rPr>
                <w:rFonts w:ascii="Times New Roman" w:hAnsi="Times New Roman" w:cs="Times New Roman"/>
                <w:sz w:val="24"/>
                <w:szCs w:val="24"/>
              </w:rPr>
            </w:pPr>
          </w:p>
        </w:tc>
      </w:tr>
      <w:tr w:rsidR="003D0BE2" w:rsidRPr="00693506" w14:paraId="0BF103E0" w14:textId="77777777" w:rsidTr="00775169">
        <w:trPr>
          <w:trHeight w:val="1338"/>
        </w:trPr>
        <w:tc>
          <w:tcPr>
            <w:tcW w:w="3420" w:type="dxa"/>
            <w:tcMar>
              <w:top w:w="100" w:type="dxa"/>
              <w:left w:w="100" w:type="dxa"/>
              <w:bottom w:w="100" w:type="dxa"/>
              <w:right w:w="100" w:type="dxa"/>
            </w:tcMar>
          </w:tcPr>
          <w:p w14:paraId="42BBE3CB" w14:textId="6A01E432" w:rsidR="003D0BE2" w:rsidRPr="00C35A64" w:rsidRDefault="00C35A64" w:rsidP="003D0BE2">
            <w:pPr>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lastRenderedPageBreak/>
              <w:t>F</w:t>
            </w:r>
            <w:r w:rsidRPr="00C35A64">
              <w:rPr>
                <w:rFonts w:ascii="Times New Roman" w:hAnsi="Times New Roman" w:cs="Times New Roman"/>
                <w:bCs/>
                <w:color w:val="000000" w:themeColor="text1"/>
                <w:sz w:val="24"/>
                <w:szCs w:val="24"/>
              </w:rPr>
              <w:t>orcimi</w:t>
            </w:r>
            <w:r>
              <w:rPr>
                <w:rFonts w:ascii="Times New Roman" w:hAnsi="Times New Roman" w:cs="Times New Roman"/>
                <w:bCs/>
                <w:color w:val="000000" w:themeColor="text1"/>
                <w:sz w:val="24"/>
                <w:szCs w:val="24"/>
              </w:rPr>
              <w:t xml:space="preserve"> i</w:t>
            </w:r>
            <w:r w:rsidRPr="00C35A64">
              <w:rPr>
                <w:rFonts w:ascii="Times New Roman" w:hAnsi="Times New Roman" w:cs="Times New Roman"/>
                <w:bCs/>
                <w:color w:val="000000" w:themeColor="text1"/>
                <w:sz w:val="24"/>
                <w:szCs w:val="24"/>
              </w:rPr>
              <w:t xml:space="preserve"> standardeve ligjore për vendosjen dhe arsyetimin e masave të heqjes së lirisë ndaj të miturve</w:t>
            </w:r>
          </w:p>
        </w:tc>
        <w:tc>
          <w:tcPr>
            <w:tcW w:w="3590" w:type="dxa"/>
          </w:tcPr>
          <w:p w14:paraId="3D1EABE0" w14:textId="702935B1" w:rsidR="003D0BE2" w:rsidRPr="00573E19" w:rsidRDefault="00573E19" w:rsidP="003D0BE2">
            <w:pPr>
              <w:jc w:val="both"/>
              <w:rPr>
                <w:rFonts w:ascii="Times New Roman" w:hAnsi="Times New Roman"/>
                <w:color w:val="000000"/>
                <w:sz w:val="24"/>
                <w:szCs w:val="24"/>
                <w:lang w:val="en-US"/>
              </w:rPr>
            </w:pPr>
            <w:r w:rsidRPr="00573E19">
              <w:rPr>
                <w:rFonts w:ascii="Times New Roman" w:hAnsi="Times New Roman"/>
                <w:color w:val="000000"/>
                <w:sz w:val="24"/>
                <w:szCs w:val="24"/>
                <w:lang w:val="en-US"/>
              </w:rPr>
              <w:t xml:space="preserve">Në vazhdim, neni 13 i projektligjit, me të cilën është shtuar neni 109/1 i KDPM, ka këtë përmbajtje: 1. Heqja e lirisë së të miturit, përfshirë arrestimin, ndalimin dhe burgimin, përdoret vetëm si masë e fundit dhe </w:t>
            </w:r>
            <w:r w:rsidRPr="00573E19">
              <w:rPr>
                <w:rFonts w:ascii="Times New Roman" w:hAnsi="Times New Roman"/>
                <w:color w:val="000000"/>
                <w:sz w:val="24"/>
                <w:szCs w:val="24"/>
                <w:lang w:val="en-US"/>
              </w:rPr>
              <w:lastRenderedPageBreak/>
              <w:t xml:space="preserve">për kohën më të shkurtër të përshtatshme. Përpara se të urdhërojë heqjen e lirisë, organi kompetent shqyrton dhe u jep përparësi masave alternative ndaj heqjes së lirisë, në përputhje me këtë Kod. 2. Çdo vendim që vendos ose zgjat heqjen e lirisë duhet të përmbajë një arsyetim të posaçëm dhe të argumentuar, duke sqaruar pse asnjë masë tjetër më pak kufizuese nuk do të ishte e mjaftueshme në rastin konkret. Nevoja dhe proporcionaliteti i heqjes së lirisë rishikohen nga gjykata në intervale të rregullta dhe, në çdo rast, brenda afateve të parashikuara nga ligji.”(…) Nisur nga jurisprudenca e Gjykatës Kushtetuese, e cila vitet e fundit, në lidhje me proporcionalitetin e kufizimeve në vështrim të nenit 17 të Kushtetutës, përfshirë masat e arrestit, si masa të ndërmjetme, analizon kriteret kushtetuese, në nivel doktrine zyrtare kushtetuese, nevoja, domosdoshmëria dhe përshtatshmëria, (shih vendimet nr.19/2024, nr.40/2024), si dhe </w:t>
            </w:r>
            <w:r w:rsidRPr="00573E19">
              <w:rPr>
                <w:rFonts w:ascii="Times New Roman" w:hAnsi="Times New Roman"/>
                <w:color w:val="000000"/>
                <w:sz w:val="24"/>
                <w:szCs w:val="24"/>
                <w:lang w:val="en-US"/>
              </w:rPr>
              <w:lastRenderedPageBreak/>
              <w:t xml:space="preserve">kriteret autonome të GJEDNJ lidhur me proporcionalitetin e masave të arrestit apo ndalimit, sipas së cilës arsyetimi i këtyre vendimeve duhe të jetë i detajuar, jo stereotip, abstrakt, i përgjithshëm, (Merabishvili kundër Gjeorgjisë, datë 28.11.2017, prg.222, Becciev kundër Moldavisë, datë 04.10-2005, prg.58-59) do të ishte i rekomandueshëm edhe riformulimi dhe qartësimi i parashikimit në fjalë, (prg i dytë dhe i tretë i nenit 109/1), me standarde specifike dhe kritere të matshme, në funksion të respektimit të standardit më të lartë të arsyetimit të vendimit gjyqësor të kësaj kategorie vendimesh. Duke pasqyruar në ligj standardet jurisprudenciale, njëkohësisht udhëzohen dhe gjykatat që kontrollet e vendimeve të heqjes së lirisë, t’i arsyetojnë sipas parametrave kushtetues në përputhje me nevojën, domosdoshmërinë dhe përshtatshmërinë, duke forcuar </w:t>
            </w:r>
            <w:r w:rsidRPr="00573E19">
              <w:rPr>
                <w:rFonts w:ascii="Times New Roman" w:hAnsi="Times New Roman"/>
                <w:color w:val="000000"/>
                <w:sz w:val="24"/>
                <w:szCs w:val="24"/>
                <w:lang w:val="en-US"/>
              </w:rPr>
              <w:lastRenderedPageBreak/>
              <w:t xml:space="preserve">edhe kontrollin gjyqësor efektiv mbi to, nga gjykatat më të larta. </w:t>
            </w:r>
          </w:p>
        </w:tc>
        <w:tc>
          <w:tcPr>
            <w:tcW w:w="2520" w:type="dxa"/>
          </w:tcPr>
          <w:p w14:paraId="5CB49501" w14:textId="36882257" w:rsidR="003D0BE2" w:rsidRDefault="00D90BB6" w:rsidP="003D0BE2">
            <w:pPr>
              <w:widowControl w:val="0"/>
              <w:pBdr>
                <w:top w:val="nil"/>
                <w:left w:val="nil"/>
                <w:bottom w:val="nil"/>
                <w:right w:val="nil"/>
                <w:between w:val="nil"/>
              </w:pBd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Komiteti Shqiptar i Helsinkit</w:t>
            </w:r>
          </w:p>
        </w:tc>
        <w:tc>
          <w:tcPr>
            <w:tcW w:w="1710" w:type="dxa"/>
          </w:tcPr>
          <w:p w14:paraId="16C51F08" w14:textId="5CAC0251" w:rsidR="003D0BE2" w:rsidRPr="00D90BB6" w:rsidRDefault="00D90BB6" w:rsidP="00D90BB6">
            <w:pPr>
              <w:widowControl w:val="0"/>
              <w:pBdr>
                <w:top w:val="nil"/>
                <w:left w:val="nil"/>
                <w:bottom w:val="nil"/>
                <w:right w:val="nil"/>
                <w:between w:val="nil"/>
              </w:pBdr>
              <w:jc w:val="center"/>
              <w:rPr>
                <w:rFonts w:ascii="Times New Roman" w:hAnsi="Times New Roman" w:cs="Times New Roman"/>
                <w:color w:val="000000" w:themeColor="text1"/>
                <w:sz w:val="24"/>
                <w:szCs w:val="24"/>
              </w:rPr>
            </w:pPr>
            <w:r w:rsidRPr="00D90BB6">
              <w:rPr>
                <w:rFonts w:ascii="Times New Roman" w:hAnsi="Times New Roman" w:cs="Times New Roman"/>
                <w:color w:val="000000" w:themeColor="text1"/>
                <w:sz w:val="24"/>
                <w:szCs w:val="24"/>
              </w:rPr>
              <w:t>I refuzuar</w:t>
            </w:r>
          </w:p>
        </w:tc>
        <w:tc>
          <w:tcPr>
            <w:tcW w:w="4140" w:type="dxa"/>
            <w:tcMar>
              <w:top w:w="100" w:type="dxa"/>
              <w:left w:w="100" w:type="dxa"/>
              <w:bottom w:w="100" w:type="dxa"/>
              <w:right w:w="100" w:type="dxa"/>
            </w:tcMar>
          </w:tcPr>
          <w:p w14:paraId="4D549B26" w14:textId="77777777" w:rsidR="00CE2740" w:rsidRPr="00CE2740" w:rsidRDefault="00CE2740" w:rsidP="00CE2740">
            <w:pPr>
              <w:widowControl w:val="0"/>
              <w:pBdr>
                <w:top w:val="nil"/>
                <w:left w:val="nil"/>
                <w:bottom w:val="nil"/>
                <w:right w:val="nil"/>
                <w:between w:val="nil"/>
              </w:pBdr>
              <w:jc w:val="both"/>
              <w:rPr>
                <w:rFonts w:ascii="Times New Roman" w:hAnsi="Times New Roman" w:cs="Times New Roman"/>
                <w:sz w:val="24"/>
                <w:szCs w:val="24"/>
                <w:lang w:val="en-US"/>
              </w:rPr>
            </w:pPr>
            <w:r w:rsidRPr="00CE2740">
              <w:rPr>
                <w:rFonts w:ascii="Times New Roman" w:hAnsi="Times New Roman" w:cs="Times New Roman"/>
                <w:sz w:val="24"/>
                <w:szCs w:val="24"/>
                <w:lang w:val="en-US"/>
              </w:rPr>
              <w:t xml:space="preserve">Projektligji, nëpërmjet nenit 109/1, parashikon se heqja e lirisë ndaj të miturit zbatohet vetëm si masë e fundit, për kohën më të shkurtër të përshtatshme, si dhe detyrimin që çdo vendim për vendosjen ose zgjatjen e saj të përmbajë </w:t>
            </w:r>
            <w:r w:rsidRPr="00CE2740">
              <w:rPr>
                <w:rFonts w:ascii="Times New Roman" w:hAnsi="Times New Roman" w:cs="Times New Roman"/>
                <w:sz w:val="24"/>
                <w:szCs w:val="24"/>
                <w:lang w:val="en-US"/>
              </w:rPr>
              <w:lastRenderedPageBreak/>
              <w:t>një arsyetim të posaçëm, duke shpjeguar pse masat më pak kufizuese nuk janë të mjaftueshme. Këto parashikime pasqyrojnë parimet e nevojës dhe proporcionalitetit në përputhje me standardet kushtetuese dhe ndërkombëtare.</w:t>
            </w:r>
          </w:p>
          <w:p w14:paraId="41D0EEE0" w14:textId="77777777" w:rsidR="00CE2740" w:rsidRPr="00CE2740" w:rsidRDefault="00CE2740" w:rsidP="00CE2740">
            <w:pPr>
              <w:widowControl w:val="0"/>
              <w:pBdr>
                <w:top w:val="nil"/>
                <w:left w:val="nil"/>
                <w:bottom w:val="nil"/>
                <w:right w:val="nil"/>
                <w:between w:val="nil"/>
              </w:pBdr>
              <w:jc w:val="both"/>
              <w:rPr>
                <w:rFonts w:ascii="Times New Roman" w:hAnsi="Times New Roman" w:cs="Times New Roman"/>
                <w:sz w:val="24"/>
                <w:szCs w:val="24"/>
                <w:lang w:val="en-US"/>
              </w:rPr>
            </w:pPr>
            <w:r w:rsidRPr="00CE2740">
              <w:rPr>
                <w:rFonts w:ascii="Times New Roman" w:hAnsi="Times New Roman" w:cs="Times New Roman"/>
                <w:sz w:val="24"/>
                <w:szCs w:val="24"/>
                <w:lang w:val="en-US"/>
              </w:rPr>
              <w:t xml:space="preserve">Nga ana tjetër, </w:t>
            </w:r>
            <w:r w:rsidRPr="00CE2740">
              <w:rPr>
                <w:rFonts w:ascii="Times New Roman" w:hAnsi="Times New Roman" w:cs="Times New Roman"/>
                <w:bCs/>
                <w:sz w:val="24"/>
                <w:szCs w:val="24"/>
                <w:lang w:val="en-US"/>
              </w:rPr>
              <w:t>neni 94 i Kodit të Drejtësisë Penale për të Mitur</w:t>
            </w:r>
            <w:r w:rsidRPr="00CE2740">
              <w:rPr>
                <w:rFonts w:ascii="Times New Roman" w:hAnsi="Times New Roman" w:cs="Times New Roman"/>
                <w:sz w:val="24"/>
                <w:szCs w:val="24"/>
                <w:lang w:val="en-US"/>
              </w:rPr>
              <w:t xml:space="preserve"> përcakton parimet që udhëheqin gjykatën në marrjen e vendimeve ndaj të miturve, duke vendosur burgimin si mjet të fundit dhe duke kërkuar që të merret në konsideratë interesi më i lartë i të miturit, raporti i vlerësimit individual, trajtimi i tij në funksion të mirëqenies, përshtatja e masës me rrethanat e çështjes, mosha, nevojat individuale, si dhe objektivi i riintegrimit dhe rehabilitimit të të miturit, ndërsa </w:t>
            </w:r>
            <w:r w:rsidRPr="00CE2740">
              <w:rPr>
                <w:rFonts w:ascii="Times New Roman" w:hAnsi="Times New Roman" w:cs="Times New Roman"/>
                <w:bCs/>
                <w:sz w:val="24"/>
                <w:szCs w:val="24"/>
                <w:lang w:val="en-US"/>
              </w:rPr>
              <w:t>neni 47 i Kodit Penal</w:t>
            </w:r>
            <w:r w:rsidRPr="00CE2740">
              <w:rPr>
                <w:rFonts w:ascii="Times New Roman" w:hAnsi="Times New Roman" w:cs="Times New Roman"/>
                <w:sz w:val="24"/>
                <w:szCs w:val="24"/>
                <w:lang w:val="en-US"/>
              </w:rPr>
              <w:t xml:space="preserve"> parashikon kriteret e përgjithshme që gjykata duhet të respektojë në caktimin e dënimit.</w:t>
            </w:r>
          </w:p>
          <w:p w14:paraId="0768DAB3" w14:textId="77777777" w:rsidR="00CE2740" w:rsidRPr="00CE2740" w:rsidRDefault="00CE2740" w:rsidP="00CE2740">
            <w:pPr>
              <w:widowControl w:val="0"/>
              <w:pBdr>
                <w:top w:val="nil"/>
                <w:left w:val="nil"/>
                <w:bottom w:val="nil"/>
                <w:right w:val="nil"/>
                <w:between w:val="nil"/>
              </w:pBdr>
              <w:jc w:val="both"/>
              <w:rPr>
                <w:rFonts w:ascii="Times New Roman" w:hAnsi="Times New Roman" w:cs="Times New Roman"/>
                <w:sz w:val="24"/>
                <w:szCs w:val="24"/>
                <w:lang w:val="en-US"/>
              </w:rPr>
            </w:pPr>
            <w:r w:rsidRPr="00CE2740">
              <w:rPr>
                <w:rFonts w:ascii="Times New Roman" w:hAnsi="Times New Roman" w:cs="Times New Roman"/>
                <w:sz w:val="24"/>
                <w:szCs w:val="24"/>
                <w:lang w:val="en-US"/>
              </w:rPr>
              <w:t xml:space="preserve">Për rrjedhojë, nuk vlerësohet e nevojshme që standardet e zhvilluara nga jurisprudenca të riprodhohen në mënyrë të detajuar në tekstin e ligjit, pasi kjo do të çonte në mbingarkim të dispozitës me elemente interpretative, ndërkohë që zbatimi i tyre garantohet nëpërmjet </w:t>
            </w:r>
            <w:r w:rsidRPr="00CE2740">
              <w:rPr>
                <w:rFonts w:ascii="Times New Roman" w:hAnsi="Times New Roman" w:cs="Times New Roman"/>
                <w:sz w:val="24"/>
                <w:szCs w:val="24"/>
                <w:lang w:val="en-US"/>
              </w:rPr>
              <w:lastRenderedPageBreak/>
              <w:t>kuadrit normativ ekzistues dhe praktikës detyruese gjyqësore. Për këtë arsye, propozimi nuk është pranuar.</w:t>
            </w:r>
          </w:p>
          <w:p w14:paraId="23443D51" w14:textId="764CDAB8" w:rsidR="003D0BE2" w:rsidRDefault="003D0BE2" w:rsidP="003D0BE2">
            <w:pPr>
              <w:widowControl w:val="0"/>
              <w:pBdr>
                <w:top w:val="nil"/>
                <w:left w:val="nil"/>
                <w:bottom w:val="nil"/>
                <w:right w:val="nil"/>
                <w:between w:val="nil"/>
              </w:pBdr>
              <w:jc w:val="both"/>
              <w:rPr>
                <w:rFonts w:ascii="Times New Roman" w:hAnsi="Times New Roman" w:cs="Times New Roman"/>
                <w:sz w:val="24"/>
                <w:szCs w:val="24"/>
              </w:rPr>
            </w:pPr>
          </w:p>
        </w:tc>
      </w:tr>
      <w:bookmarkEnd w:id="3"/>
    </w:tbl>
    <w:p w14:paraId="6C283944" w14:textId="4FF3B290" w:rsidR="00FF0AE1" w:rsidRPr="00693506" w:rsidRDefault="00FF0AE1" w:rsidP="008779A3">
      <w:pPr>
        <w:tabs>
          <w:tab w:val="left" w:pos="3914"/>
        </w:tabs>
        <w:spacing w:line="240" w:lineRule="auto"/>
        <w:rPr>
          <w:rFonts w:ascii="Times New Roman" w:hAnsi="Times New Roman" w:cs="Times New Roman"/>
          <w:color w:val="000000" w:themeColor="text1"/>
          <w:sz w:val="24"/>
          <w:szCs w:val="24"/>
        </w:rPr>
      </w:pPr>
    </w:p>
    <w:sectPr w:rsidR="00FF0AE1" w:rsidRPr="00693506" w:rsidSect="005F4258">
      <w:headerReference w:type="default" r:id="rId10"/>
      <w:footerReference w:type="default" r:id="rId11"/>
      <w:pgSz w:w="16839" w:h="11907"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2A5B1" w14:textId="77777777" w:rsidR="00177878" w:rsidRDefault="00177878">
      <w:pPr>
        <w:spacing w:line="240" w:lineRule="auto"/>
      </w:pPr>
      <w:r>
        <w:separator/>
      </w:r>
    </w:p>
  </w:endnote>
  <w:endnote w:type="continuationSeparator" w:id="0">
    <w:p w14:paraId="62A69557" w14:textId="77777777" w:rsidR="00177878" w:rsidRDefault="001778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A2E47" w14:textId="77777777" w:rsidR="007E6CAC" w:rsidRDefault="007E6CAC">
    <w:pPr>
      <w:jc w:val="right"/>
    </w:pPr>
    <w:r>
      <w:fldChar w:fldCharType="begin"/>
    </w:r>
    <w:r>
      <w:instrText>PAGE</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D57136" w14:textId="77777777" w:rsidR="00177878" w:rsidRDefault="00177878">
      <w:pPr>
        <w:spacing w:line="240" w:lineRule="auto"/>
      </w:pPr>
      <w:r>
        <w:separator/>
      </w:r>
    </w:p>
  </w:footnote>
  <w:footnote w:type="continuationSeparator" w:id="0">
    <w:p w14:paraId="3498F11A" w14:textId="77777777" w:rsidR="00177878" w:rsidRDefault="001778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8F58D" w14:textId="74D8AA93" w:rsidR="007E6CAC" w:rsidRPr="00573E19" w:rsidRDefault="007E6CAC" w:rsidP="00573E19">
    <w:pPr>
      <w:jc w:val="both"/>
      <w:rPr>
        <w:rFonts w:ascii="Times New Roman" w:eastAsiaTheme="minorHAnsi" w:hAnsi="Times New Roman" w:cs="Times New Roman"/>
        <w:b/>
        <w:bCs/>
      </w:rPr>
    </w:pPr>
    <w:r>
      <w:rPr>
        <w:rFonts w:ascii="Times New Roman" w:eastAsiaTheme="minorHAnsi" w:hAnsi="Times New Roman" w:cs="Times New Roman"/>
        <w:b/>
      </w:rPr>
      <w:t xml:space="preserve">RAPORTI I KONSULTIMIT PUBLIK PËR PROJEKTLIGJIN </w:t>
    </w:r>
    <w:r w:rsidR="00573E19" w:rsidRPr="00573E19">
      <w:rPr>
        <w:rFonts w:ascii="Times New Roman" w:eastAsiaTheme="minorHAnsi" w:hAnsi="Times New Roman" w:cs="Times New Roman"/>
        <w:b/>
      </w:rPr>
      <w:t xml:space="preserve">“PËR DISA SHTESA DHE NDRYSHIME NË LIGJIN </w:t>
    </w:r>
    <w:r w:rsidR="00573E19" w:rsidRPr="00573E19">
      <w:rPr>
        <w:rFonts w:ascii="Times New Roman" w:eastAsiaTheme="minorHAnsi" w:hAnsi="Times New Roman" w:cs="Times New Roman"/>
        <w:b/>
        <w:bCs/>
      </w:rPr>
      <w:t>NR. 37, DATË 30.03.2017 “KODI I DREJTËSISË PENALE PËR TË MITUR””.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0502"/>
    <w:multiLevelType w:val="hybridMultilevel"/>
    <w:tmpl w:val="AC222518"/>
    <w:lvl w:ilvl="0" w:tplc="71DC6A2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F01D0"/>
    <w:multiLevelType w:val="hybridMultilevel"/>
    <w:tmpl w:val="87CAB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C59FC"/>
    <w:multiLevelType w:val="hybridMultilevel"/>
    <w:tmpl w:val="BBC87C2A"/>
    <w:lvl w:ilvl="0" w:tplc="6180D6CA">
      <w:start w:val="3"/>
      <w:numFmt w:val="bullet"/>
      <w:lvlText w:val="-"/>
      <w:lvlJc w:val="left"/>
      <w:pPr>
        <w:ind w:left="720" w:hanging="360"/>
      </w:pPr>
      <w:rPr>
        <w:rFonts w:ascii="Times New Roman" w:eastAsia="Calibr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09B4739B"/>
    <w:multiLevelType w:val="hybridMultilevel"/>
    <w:tmpl w:val="13D40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92C9E"/>
    <w:multiLevelType w:val="hybridMultilevel"/>
    <w:tmpl w:val="B49C6D4A"/>
    <w:lvl w:ilvl="0" w:tplc="6FD6EA7C">
      <w:start w:val="2"/>
      <w:numFmt w:val="bullet"/>
      <w:lvlText w:val="-"/>
      <w:lvlJc w:val="left"/>
      <w:pPr>
        <w:ind w:left="2520" w:hanging="360"/>
      </w:pPr>
      <w:rPr>
        <w:rFonts w:ascii="Times New Roman" w:eastAsiaTheme="minorHAnsi" w:hAnsi="Times New Roman" w:cs="Times New Roman"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48903DB"/>
    <w:multiLevelType w:val="hybridMultilevel"/>
    <w:tmpl w:val="DB665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00B3E"/>
    <w:multiLevelType w:val="hybridMultilevel"/>
    <w:tmpl w:val="3002354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D82702"/>
    <w:multiLevelType w:val="hybridMultilevel"/>
    <w:tmpl w:val="ADE0E4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81403"/>
    <w:multiLevelType w:val="hybridMultilevel"/>
    <w:tmpl w:val="E18A01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825E9"/>
    <w:multiLevelType w:val="hybridMultilevel"/>
    <w:tmpl w:val="FE4C3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16030"/>
    <w:multiLevelType w:val="hybridMultilevel"/>
    <w:tmpl w:val="6574896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20490C"/>
    <w:multiLevelType w:val="hybridMultilevel"/>
    <w:tmpl w:val="0B16C7C0"/>
    <w:lvl w:ilvl="0" w:tplc="A54AB700">
      <w:numFmt w:val="bullet"/>
      <w:lvlText w:val="-"/>
      <w:lvlJc w:val="left"/>
      <w:pPr>
        <w:ind w:left="720" w:hanging="360"/>
      </w:pPr>
      <w:rPr>
        <w:rFonts w:ascii="Times New Roman" w:eastAsia="Arial"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32372100"/>
    <w:multiLevelType w:val="hybridMultilevel"/>
    <w:tmpl w:val="DF682200"/>
    <w:lvl w:ilvl="0" w:tplc="B1FEF23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27A9E"/>
    <w:multiLevelType w:val="hybridMultilevel"/>
    <w:tmpl w:val="29CCE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C1823"/>
    <w:multiLevelType w:val="hybridMultilevel"/>
    <w:tmpl w:val="E166C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005B3B"/>
    <w:multiLevelType w:val="hybridMultilevel"/>
    <w:tmpl w:val="9B00B574"/>
    <w:lvl w:ilvl="0" w:tplc="D58E52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CE73BA"/>
    <w:multiLevelType w:val="hybridMultilevel"/>
    <w:tmpl w:val="D1F2C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315017"/>
    <w:multiLevelType w:val="hybridMultilevel"/>
    <w:tmpl w:val="AB4AC938"/>
    <w:lvl w:ilvl="0" w:tplc="35DCACB8">
      <w:numFmt w:val="bullet"/>
      <w:lvlText w:val="-"/>
      <w:lvlJc w:val="left"/>
      <w:pPr>
        <w:ind w:left="720" w:hanging="360"/>
      </w:pPr>
      <w:rPr>
        <w:rFonts w:ascii="Times New Roman" w:eastAsia="Arial"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44E254BF"/>
    <w:multiLevelType w:val="hybridMultilevel"/>
    <w:tmpl w:val="CC54331C"/>
    <w:lvl w:ilvl="0" w:tplc="3DF2FD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347163"/>
    <w:multiLevelType w:val="hybridMultilevel"/>
    <w:tmpl w:val="E668A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5145FA"/>
    <w:multiLevelType w:val="hybridMultilevel"/>
    <w:tmpl w:val="E33ABB44"/>
    <w:lvl w:ilvl="0" w:tplc="9E1623B2">
      <w:start w:val="1"/>
      <w:numFmt w:val="decimal"/>
      <w:lvlText w:val="%1."/>
      <w:lvlJc w:val="left"/>
      <w:pPr>
        <w:ind w:left="720" w:hanging="360"/>
      </w:pPr>
      <w:rPr>
        <w:rFonts w:ascii="Times New Roman" w:eastAsia="Arial"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70869"/>
    <w:multiLevelType w:val="hybridMultilevel"/>
    <w:tmpl w:val="AFA4D904"/>
    <w:lvl w:ilvl="0" w:tplc="041C0001">
      <w:start w:val="1"/>
      <w:numFmt w:val="bullet"/>
      <w:lvlText w:val=""/>
      <w:lvlJc w:val="left"/>
      <w:pPr>
        <w:ind w:left="783" w:hanging="360"/>
      </w:pPr>
      <w:rPr>
        <w:rFonts w:ascii="Symbol" w:hAnsi="Symbol" w:hint="default"/>
      </w:rPr>
    </w:lvl>
    <w:lvl w:ilvl="1" w:tplc="041C0003" w:tentative="1">
      <w:start w:val="1"/>
      <w:numFmt w:val="bullet"/>
      <w:lvlText w:val="o"/>
      <w:lvlJc w:val="left"/>
      <w:pPr>
        <w:ind w:left="1503" w:hanging="360"/>
      </w:pPr>
      <w:rPr>
        <w:rFonts w:ascii="Courier New" w:hAnsi="Courier New" w:cs="Courier New" w:hint="default"/>
      </w:rPr>
    </w:lvl>
    <w:lvl w:ilvl="2" w:tplc="041C0005" w:tentative="1">
      <w:start w:val="1"/>
      <w:numFmt w:val="bullet"/>
      <w:lvlText w:val=""/>
      <w:lvlJc w:val="left"/>
      <w:pPr>
        <w:ind w:left="2223" w:hanging="360"/>
      </w:pPr>
      <w:rPr>
        <w:rFonts w:ascii="Wingdings" w:hAnsi="Wingdings" w:hint="default"/>
      </w:rPr>
    </w:lvl>
    <w:lvl w:ilvl="3" w:tplc="041C0001" w:tentative="1">
      <w:start w:val="1"/>
      <w:numFmt w:val="bullet"/>
      <w:lvlText w:val=""/>
      <w:lvlJc w:val="left"/>
      <w:pPr>
        <w:ind w:left="2943" w:hanging="360"/>
      </w:pPr>
      <w:rPr>
        <w:rFonts w:ascii="Symbol" w:hAnsi="Symbol" w:hint="default"/>
      </w:rPr>
    </w:lvl>
    <w:lvl w:ilvl="4" w:tplc="041C0003" w:tentative="1">
      <w:start w:val="1"/>
      <w:numFmt w:val="bullet"/>
      <w:lvlText w:val="o"/>
      <w:lvlJc w:val="left"/>
      <w:pPr>
        <w:ind w:left="3663" w:hanging="360"/>
      </w:pPr>
      <w:rPr>
        <w:rFonts w:ascii="Courier New" w:hAnsi="Courier New" w:cs="Courier New" w:hint="default"/>
      </w:rPr>
    </w:lvl>
    <w:lvl w:ilvl="5" w:tplc="041C0005" w:tentative="1">
      <w:start w:val="1"/>
      <w:numFmt w:val="bullet"/>
      <w:lvlText w:val=""/>
      <w:lvlJc w:val="left"/>
      <w:pPr>
        <w:ind w:left="4383" w:hanging="360"/>
      </w:pPr>
      <w:rPr>
        <w:rFonts w:ascii="Wingdings" w:hAnsi="Wingdings" w:hint="default"/>
      </w:rPr>
    </w:lvl>
    <w:lvl w:ilvl="6" w:tplc="041C0001" w:tentative="1">
      <w:start w:val="1"/>
      <w:numFmt w:val="bullet"/>
      <w:lvlText w:val=""/>
      <w:lvlJc w:val="left"/>
      <w:pPr>
        <w:ind w:left="5103" w:hanging="360"/>
      </w:pPr>
      <w:rPr>
        <w:rFonts w:ascii="Symbol" w:hAnsi="Symbol" w:hint="default"/>
      </w:rPr>
    </w:lvl>
    <w:lvl w:ilvl="7" w:tplc="041C0003" w:tentative="1">
      <w:start w:val="1"/>
      <w:numFmt w:val="bullet"/>
      <w:lvlText w:val="o"/>
      <w:lvlJc w:val="left"/>
      <w:pPr>
        <w:ind w:left="5823" w:hanging="360"/>
      </w:pPr>
      <w:rPr>
        <w:rFonts w:ascii="Courier New" w:hAnsi="Courier New" w:cs="Courier New" w:hint="default"/>
      </w:rPr>
    </w:lvl>
    <w:lvl w:ilvl="8" w:tplc="041C0005" w:tentative="1">
      <w:start w:val="1"/>
      <w:numFmt w:val="bullet"/>
      <w:lvlText w:val=""/>
      <w:lvlJc w:val="left"/>
      <w:pPr>
        <w:ind w:left="6543" w:hanging="360"/>
      </w:pPr>
      <w:rPr>
        <w:rFonts w:ascii="Wingdings" w:hAnsi="Wingdings" w:hint="default"/>
      </w:rPr>
    </w:lvl>
  </w:abstractNum>
  <w:abstractNum w:abstractNumId="22" w15:restartNumberingAfterBreak="0">
    <w:nsid w:val="5C823B31"/>
    <w:multiLevelType w:val="hybridMultilevel"/>
    <w:tmpl w:val="C0144A74"/>
    <w:lvl w:ilvl="0" w:tplc="5F8C13B0">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442C43"/>
    <w:multiLevelType w:val="hybridMultilevel"/>
    <w:tmpl w:val="608A29F8"/>
    <w:lvl w:ilvl="0" w:tplc="6616D9E2">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7C587E"/>
    <w:multiLevelType w:val="hybridMultilevel"/>
    <w:tmpl w:val="EA542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6A6403"/>
    <w:multiLevelType w:val="hybridMultilevel"/>
    <w:tmpl w:val="2242A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5737F6"/>
    <w:multiLevelType w:val="hybridMultilevel"/>
    <w:tmpl w:val="4EBC06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5D8D"/>
    <w:multiLevelType w:val="hybridMultilevel"/>
    <w:tmpl w:val="4FC6F072"/>
    <w:lvl w:ilvl="0" w:tplc="04090001">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77D3FB7"/>
    <w:multiLevelType w:val="hybridMultilevel"/>
    <w:tmpl w:val="00A04CD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22"/>
  </w:num>
  <w:num w:numId="5">
    <w:abstractNumId w:val="18"/>
  </w:num>
  <w:num w:numId="6">
    <w:abstractNumId w:val="26"/>
  </w:num>
  <w:num w:numId="7">
    <w:abstractNumId w:val="23"/>
  </w:num>
  <w:num w:numId="8">
    <w:abstractNumId w:val="12"/>
  </w:num>
  <w:num w:numId="9">
    <w:abstractNumId w:val="3"/>
  </w:num>
  <w:num w:numId="10">
    <w:abstractNumId w:val="9"/>
  </w:num>
  <w:num w:numId="11">
    <w:abstractNumId w:val="5"/>
  </w:num>
  <w:num w:numId="12">
    <w:abstractNumId w:val="24"/>
  </w:num>
  <w:num w:numId="13">
    <w:abstractNumId w:val="16"/>
  </w:num>
  <w:num w:numId="14">
    <w:abstractNumId w:val="19"/>
  </w:num>
  <w:num w:numId="15">
    <w:abstractNumId w:val="25"/>
  </w:num>
  <w:num w:numId="16">
    <w:abstractNumId w:val="13"/>
  </w:num>
  <w:num w:numId="17">
    <w:abstractNumId w:val="8"/>
  </w:num>
  <w:num w:numId="18">
    <w:abstractNumId w:val="1"/>
  </w:num>
  <w:num w:numId="19">
    <w:abstractNumId w:val="11"/>
  </w:num>
  <w:num w:numId="20">
    <w:abstractNumId w:val="17"/>
  </w:num>
  <w:num w:numId="21">
    <w:abstractNumId w:val="21"/>
  </w:num>
  <w:num w:numId="22">
    <w:abstractNumId w:val="4"/>
  </w:num>
  <w:num w:numId="23">
    <w:abstractNumId w:val="10"/>
  </w:num>
  <w:num w:numId="24">
    <w:abstractNumId w:val="2"/>
  </w:num>
  <w:num w:numId="25">
    <w:abstractNumId w:val="27"/>
  </w:num>
  <w:num w:numId="26">
    <w:abstractNumId w:val="6"/>
  </w:num>
  <w:num w:numId="27">
    <w:abstractNumId w:val="15"/>
  </w:num>
  <w:num w:numId="28">
    <w:abstractNumId w:val="7"/>
  </w:num>
  <w:num w:numId="29">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GB" w:vendorID="64" w:dllVersion="4096"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19D"/>
    <w:rsid w:val="00000FA3"/>
    <w:rsid w:val="0001105E"/>
    <w:rsid w:val="00011A76"/>
    <w:rsid w:val="00015BB2"/>
    <w:rsid w:val="00023471"/>
    <w:rsid w:val="00023C51"/>
    <w:rsid w:val="00026E1A"/>
    <w:rsid w:val="000346FB"/>
    <w:rsid w:val="00042FCA"/>
    <w:rsid w:val="00053248"/>
    <w:rsid w:val="00054704"/>
    <w:rsid w:val="00054D0B"/>
    <w:rsid w:val="00062DD6"/>
    <w:rsid w:val="000641DA"/>
    <w:rsid w:val="0008229F"/>
    <w:rsid w:val="00085BA3"/>
    <w:rsid w:val="000926A8"/>
    <w:rsid w:val="00093FF1"/>
    <w:rsid w:val="0009790E"/>
    <w:rsid w:val="000A224B"/>
    <w:rsid w:val="000A3327"/>
    <w:rsid w:val="000B5861"/>
    <w:rsid w:val="000B7613"/>
    <w:rsid w:val="000C23DB"/>
    <w:rsid w:val="000C2A20"/>
    <w:rsid w:val="000C30F1"/>
    <w:rsid w:val="000C4AF4"/>
    <w:rsid w:val="000C55A6"/>
    <w:rsid w:val="000D5431"/>
    <w:rsid w:val="000D5C4B"/>
    <w:rsid w:val="000D6B4F"/>
    <w:rsid w:val="000E20C0"/>
    <w:rsid w:val="000F583B"/>
    <w:rsid w:val="001010B5"/>
    <w:rsid w:val="0010123A"/>
    <w:rsid w:val="001073D3"/>
    <w:rsid w:val="00110AE8"/>
    <w:rsid w:val="00112744"/>
    <w:rsid w:val="001127A4"/>
    <w:rsid w:val="00115EE1"/>
    <w:rsid w:val="001207A4"/>
    <w:rsid w:val="001210D3"/>
    <w:rsid w:val="00121CF6"/>
    <w:rsid w:val="001228A3"/>
    <w:rsid w:val="00122D8D"/>
    <w:rsid w:val="0012780F"/>
    <w:rsid w:val="0013398E"/>
    <w:rsid w:val="00136F8E"/>
    <w:rsid w:val="00137B6B"/>
    <w:rsid w:val="00147CA1"/>
    <w:rsid w:val="00152366"/>
    <w:rsid w:val="0015269F"/>
    <w:rsid w:val="0015430B"/>
    <w:rsid w:val="001571DF"/>
    <w:rsid w:val="0015732D"/>
    <w:rsid w:val="0015735F"/>
    <w:rsid w:val="001574BD"/>
    <w:rsid w:val="001605AA"/>
    <w:rsid w:val="00164865"/>
    <w:rsid w:val="001701D8"/>
    <w:rsid w:val="001717C4"/>
    <w:rsid w:val="00173F27"/>
    <w:rsid w:val="00177878"/>
    <w:rsid w:val="001801D6"/>
    <w:rsid w:val="001822C3"/>
    <w:rsid w:val="001855A9"/>
    <w:rsid w:val="0018675B"/>
    <w:rsid w:val="00186B56"/>
    <w:rsid w:val="00194DD2"/>
    <w:rsid w:val="00196A96"/>
    <w:rsid w:val="001A14AE"/>
    <w:rsid w:val="001C084B"/>
    <w:rsid w:val="001C622E"/>
    <w:rsid w:val="001C6912"/>
    <w:rsid w:val="001C70B9"/>
    <w:rsid w:val="001D2A7F"/>
    <w:rsid w:val="001D4228"/>
    <w:rsid w:val="001E332E"/>
    <w:rsid w:val="001E35EC"/>
    <w:rsid w:val="001E5814"/>
    <w:rsid w:val="001E6E95"/>
    <w:rsid w:val="001F7D66"/>
    <w:rsid w:val="00200D13"/>
    <w:rsid w:val="0020401F"/>
    <w:rsid w:val="002050E9"/>
    <w:rsid w:val="002051FC"/>
    <w:rsid w:val="002053FF"/>
    <w:rsid w:val="00205A76"/>
    <w:rsid w:val="00206549"/>
    <w:rsid w:val="002076B5"/>
    <w:rsid w:val="002105E0"/>
    <w:rsid w:val="002122BD"/>
    <w:rsid w:val="00213B28"/>
    <w:rsid w:val="00215C5F"/>
    <w:rsid w:val="00221E39"/>
    <w:rsid w:val="00221EBB"/>
    <w:rsid w:val="00227B4B"/>
    <w:rsid w:val="00231608"/>
    <w:rsid w:val="002335BB"/>
    <w:rsid w:val="00253786"/>
    <w:rsid w:val="002605C1"/>
    <w:rsid w:val="00263186"/>
    <w:rsid w:val="00270782"/>
    <w:rsid w:val="00272B62"/>
    <w:rsid w:val="00276ACD"/>
    <w:rsid w:val="00287568"/>
    <w:rsid w:val="0029000D"/>
    <w:rsid w:val="002909FB"/>
    <w:rsid w:val="0029193E"/>
    <w:rsid w:val="00293D1F"/>
    <w:rsid w:val="002B0455"/>
    <w:rsid w:val="002B382E"/>
    <w:rsid w:val="002B4C64"/>
    <w:rsid w:val="002B554E"/>
    <w:rsid w:val="002C1326"/>
    <w:rsid w:val="002C3470"/>
    <w:rsid w:val="002C6272"/>
    <w:rsid w:val="002C7323"/>
    <w:rsid w:val="002C7B76"/>
    <w:rsid w:val="002D1C01"/>
    <w:rsid w:val="002D621A"/>
    <w:rsid w:val="002D6C72"/>
    <w:rsid w:val="002E2C53"/>
    <w:rsid w:val="002E3FF1"/>
    <w:rsid w:val="002E628C"/>
    <w:rsid w:val="002E6779"/>
    <w:rsid w:val="002E7449"/>
    <w:rsid w:val="002F0803"/>
    <w:rsid w:val="002F1B48"/>
    <w:rsid w:val="002F394D"/>
    <w:rsid w:val="002F507F"/>
    <w:rsid w:val="002F6952"/>
    <w:rsid w:val="002F7214"/>
    <w:rsid w:val="003050F3"/>
    <w:rsid w:val="003160C5"/>
    <w:rsid w:val="0031705D"/>
    <w:rsid w:val="003240F5"/>
    <w:rsid w:val="0033132E"/>
    <w:rsid w:val="003337A1"/>
    <w:rsid w:val="00337392"/>
    <w:rsid w:val="0034114C"/>
    <w:rsid w:val="003431E8"/>
    <w:rsid w:val="00350466"/>
    <w:rsid w:val="00355987"/>
    <w:rsid w:val="00356363"/>
    <w:rsid w:val="00361F8D"/>
    <w:rsid w:val="00362B8D"/>
    <w:rsid w:val="003654C6"/>
    <w:rsid w:val="003670BA"/>
    <w:rsid w:val="00371AD1"/>
    <w:rsid w:val="00377A18"/>
    <w:rsid w:val="003878D9"/>
    <w:rsid w:val="00390516"/>
    <w:rsid w:val="003905AE"/>
    <w:rsid w:val="003930C6"/>
    <w:rsid w:val="003A087E"/>
    <w:rsid w:val="003A2342"/>
    <w:rsid w:val="003A266A"/>
    <w:rsid w:val="003A3213"/>
    <w:rsid w:val="003B3037"/>
    <w:rsid w:val="003B610A"/>
    <w:rsid w:val="003B6319"/>
    <w:rsid w:val="003C1831"/>
    <w:rsid w:val="003C2E74"/>
    <w:rsid w:val="003C585D"/>
    <w:rsid w:val="003D0BE2"/>
    <w:rsid w:val="003D70EF"/>
    <w:rsid w:val="003E262D"/>
    <w:rsid w:val="003E341E"/>
    <w:rsid w:val="003F7D22"/>
    <w:rsid w:val="00400DD3"/>
    <w:rsid w:val="00405045"/>
    <w:rsid w:val="00406791"/>
    <w:rsid w:val="004078E0"/>
    <w:rsid w:val="004175ED"/>
    <w:rsid w:val="004207A5"/>
    <w:rsid w:val="00421857"/>
    <w:rsid w:val="004232F5"/>
    <w:rsid w:val="00427ADB"/>
    <w:rsid w:val="00427C3C"/>
    <w:rsid w:val="00427DB3"/>
    <w:rsid w:val="004318DF"/>
    <w:rsid w:val="00431B75"/>
    <w:rsid w:val="004329C3"/>
    <w:rsid w:val="00444084"/>
    <w:rsid w:val="00445846"/>
    <w:rsid w:val="00454A10"/>
    <w:rsid w:val="00461B9C"/>
    <w:rsid w:val="00465A4C"/>
    <w:rsid w:val="004722BC"/>
    <w:rsid w:val="00474366"/>
    <w:rsid w:val="00474D5C"/>
    <w:rsid w:val="00476C14"/>
    <w:rsid w:val="00484D56"/>
    <w:rsid w:val="00485E5D"/>
    <w:rsid w:val="004A025A"/>
    <w:rsid w:val="004A0F91"/>
    <w:rsid w:val="004A270B"/>
    <w:rsid w:val="004A2B4E"/>
    <w:rsid w:val="004B2844"/>
    <w:rsid w:val="004B7F05"/>
    <w:rsid w:val="004D0B72"/>
    <w:rsid w:val="004D3FC9"/>
    <w:rsid w:val="004D7DB6"/>
    <w:rsid w:val="004E3D76"/>
    <w:rsid w:val="004E575C"/>
    <w:rsid w:val="00501AF5"/>
    <w:rsid w:val="005033F1"/>
    <w:rsid w:val="00505B66"/>
    <w:rsid w:val="00505C7D"/>
    <w:rsid w:val="0050705E"/>
    <w:rsid w:val="00514226"/>
    <w:rsid w:val="005232C7"/>
    <w:rsid w:val="00530093"/>
    <w:rsid w:val="005302D9"/>
    <w:rsid w:val="00531B65"/>
    <w:rsid w:val="0053451E"/>
    <w:rsid w:val="005359F1"/>
    <w:rsid w:val="00541031"/>
    <w:rsid w:val="005466A2"/>
    <w:rsid w:val="00550606"/>
    <w:rsid w:val="00550E35"/>
    <w:rsid w:val="0055116A"/>
    <w:rsid w:val="00551522"/>
    <w:rsid w:val="00554E29"/>
    <w:rsid w:val="00560281"/>
    <w:rsid w:val="00561A43"/>
    <w:rsid w:val="0056623A"/>
    <w:rsid w:val="00573E19"/>
    <w:rsid w:val="0057427A"/>
    <w:rsid w:val="005747DA"/>
    <w:rsid w:val="005752F1"/>
    <w:rsid w:val="005755D0"/>
    <w:rsid w:val="00576615"/>
    <w:rsid w:val="00581617"/>
    <w:rsid w:val="00581FEA"/>
    <w:rsid w:val="00582838"/>
    <w:rsid w:val="0058712E"/>
    <w:rsid w:val="00590528"/>
    <w:rsid w:val="00593D04"/>
    <w:rsid w:val="00596475"/>
    <w:rsid w:val="005965A2"/>
    <w:rsid w:val="005A0817"/>
    <w:rsid w:val="005A2AA5"/>
    <w:rsid w:val="005A2D9C"/>
    <w:rsid w:val="005A484B"/>
    <w:rsid w:val="005A5DE0"/>
    <w:rsid w:val="005A6EF4"/>
    <w:rsid w:val="005B0FFD"/>
    <w:rsid w:val="005B1281"/>
    <w:rsid w:val="005B1AA3"/>
    <w:rsid w:val="005B4F7B"/>
    <w:rsid w:val="005C1755"/>
    <w:rsid w:val="005C20D8"/>
    <w:rsid w:val="005C7B40"/>
    <w:rsid w:val="005D18E5"/>
    <w:rsid w:val="005F0AC9"/>
    <w:rsid w:val="005F3BFB"/>
    <w:rsid w:val="005F4258"/>
    <w:rsid w:val="005F6EF5"/>
    <w:rsid w:val="0060229B"/>
    <w:rsid w:val="0060299F"/>
    <w:rsid w:val="00602B54"/>
    <w:rsid w:val="00602F06"/>
    <w:rsid w:val="00611B29"/>
    <w:rsid w:val="00613358"/>
    <w:rsid w:val="0061361B"/>
    <w:rsid w:val="0061656A"/>
    <w:rsid w:val="00620AC4"/>
    <w:rsid w:val="00622317"/>
    <w:rsid w:val="00622A41"/>
    <w:rsid w:val="00623BA4"/>
    <w:rsid w:val="00625A22"/>
    <w:rsid w:val="00626E40"/>
    <w:rsid w:val="006319A7"/>
    <w:rsid w:val="00632570"/>
    <w:rsid w:val="00633AB7"/>
    <w:rsid w:val="0063482E"/>
    <w:rsid w:val="006407C3"/>
    <w:rsid w:val="0064644A"/>
    <w:rsid w:val="006508C6"/>
    <w:rsid w:val="00650F08"/>
    <w:rsid w:val="00653E34"/>
    <w:rsid w:val="0065471F"/>
    <w:rsid w:val="0065660C"/>
    <w:rsid w:val="00661C3D"/>
    <w:rsid w:val="00663AD1"/>
    <w:rsid w:val="00663E2C"/>
    <w:rsid w:val="00664495"/>
    <w:rsid w:val="00666B97"/>
    <w:rsid w:val="006705A4"/>
    <w:rsid w:val="00671FE0"/>
    <w:rsid w:val="00675E35"/>
    <w:rsid w:val="00677462"/>
    <w:rsid w:val="0068099A"/>
    <w:rsid w:val="00682850"/>
    <w:rsid w:val="00683A15"/>
    <w:rsid w:val="006842C4"/>
    <w:rsid w:val="00686BDD"/>
    <w:rsid w:val="00692DA3"/>
    <w:rsid w:val="006932F9"/>
    <w:rsid w:val="00693506"/>
    <w:rsid w:val="0069364C"/>
    <w:rsid w:val="006A1CF4"/>
    <w:rsid w:val="006B5AC4"/>
    <w:rsid w:val="006B6442"/>
    <w:rsid w:val="006C2AA2"/>
    <w:rsid w:val="006D32F1"/>
    <w:rsid w:val="006D4050"/>
    <w:rsid w:val="006F0470"/>
    <w:rsid w:val="006F0F9A"/>
    <w:rsid w:val="006F1D2D"/>
    <w:rsid w:val="006F3397"/>
    <w:rsid w:val="00700329"/>
    <w:rsid w:val="0070229C"/>
    <w:rsid w:val="00702318"/>
    <w:rsid w:val="007123E6"/>
    <w:rsid w:val="00714990"/>
    <w:rsid w:val="00715778"/>
    <w:rsid w:val="00716262"/>
    <w:rsid w:val="00720574"/>
    <w:rsid w:val="00730D48"/>
    <w:rsid w:val="00742BB0"/>
    <w:rsid w:val="007436A7"/>
    <w:rsid w:val="00745B5B"/>
    <w:rsid w:val="00760235"/>
    <w:rsid w:val="007615D3"/>
    <w:rsid w:val="00775169"/>
    <w:rsid w:val="0078041A"/>
    <w:rsid w:val="00783C66"/>
    <w:rsid w:val="00784D3C"/>
    <w:rsid w:val="00795E9F"/>
    <w:rsid w:val="007970EF"/>
    <w:rsid w:val="007B284F"/>
    <w:rsid w:val="007B31F9"/>
    <w:rsid w:val="007B32DC"/>
    <w:rsid w:val="007C267F"/>
    <w:rsid w:val="007C52F2"/>
    <w:rsid w:val="007C5F44"/>
    <w:rsid w:val="007C7369"/>
    <w:rsid w:val="007C7BAD"/>
    <w:rsid w:val="007D45C5"/>
    <w:rsid w:val="007D5019"/>
    <w:rsid w:val="007D50B1"/>
    <w:rsid w:val="007D7918"/>
    <w:rsid w:val="007E09E7"/>
    <w:rsid w:val="007E12D3"/>
    <w:rsid w:val="007E31F5"/>
    <w:rsid w:val="007E33B3"/>
    <w:rsid w:val="007E59EB"/>
    <w:rsid w:val="007E5EAD"/>
    <w:rsid w:val="007E6CAC"/>
    <w:rsid w:val="007F5CAF"/>
    <w:rsid w:val="007F675D"/>
    <w:rsid w:val="0080056F"/>
    <w:rsid w:val="00801A50"/>
    <w:rsid w:val="00803FFD"/>
    <w:rsid w:val="008120B7"/>
    <w:rsid w:val="008219A6"/>
    <w:rsid w:val="008225AD"/>
    <w:rsid w:val="00822644"/>
    <w:rsid w:val="0082313F"/>
    <w:rsid w:val="008276E1"/>
    <w:rsid w:val="00827E77"/>
    <w:rsid w:val="008435A7"/>
    <w:rsid w:val="00846901"/>
    <w:rsid w:val="008504A8"/>
    <w:rsid w:val="00855BB2"/>
    <w:rsid w:val="00860C40"/>
    <w:rsid w:val="00861CC4"/>
    <w:rsid w:val="00863189"/>
    <w:rsid w:val="00863906"/>
    <w:rsid w:val="00866CAD"/>
    <w:rsid w:val="008777CC"/>
    <w:rsid w:val="008779A3"/>
    <w:rsid w:val="00882DD5"/>
    <w:rsid w:val="00884878"/>
    <w:rsid w:val="00885DBD"/>
    <w:rsid w:val="00885FD1"/>
    <w:rsid w:val="0089667C"/>
    <w:rsid w:val="008A2E47"/>
    <w:rsid w:val="008A46D9"/>
    <w:rsid w:val="008A47FB"/>
    <w:rsid w:val="008A5679"/>
    <w:rsid w:val="008A5791"/>
    <w:rsid w:val="008B2531"/>
    <w:rsid w:val="008B57D7"/>
    <w:rsid w:val="008B71BB"/>
    <w:rsid w:val="008B7228"/>
    <w:rsid w:val="008C3FD3"/>
    <w:rsid w:val="008C6C95"/>
    <w:rsid w:val="008C7FB5"/>
    <w:rsid w:val="008D4616"/>
    <w:rsid w:val="008D5445"/>
    <w:rsid w:val="008D5B44"/>
    <w:rsid w:val="008E1156"/>
    <w:rsid w:val="008F619F"/>
    <w:rsid w:val="00901200"/>
    <w:rsid w:val="00902A0C"/>
    <w:rsid w:val="00902AFA"/>
    <w:rsid w:val="00903C69"/>
    <w:rsid w:val="0091019E"/>
    <w:rsid w:val="009112B5"/>
    <w:rsid w:val="00920028"/>
    <w:rsid w:val="00922526"/>
    <w:rsid w:val="00930011"/>
    <w:rsid w:val="0093072C"/>
    <w:rsid w:val="00930A3F"/>
    <w:rsid w:val="009325E0"/>
    <w:rsid w:val="00935083"/>
    <w:rsid w:val="00935691"/>
    <w:rsid w:val="00935F32"/>
    <w:rsid w:val="00937B7F"/>
    <w:rsid w:val="0094251C"/>
    <w:rsid w:val="00943038"/>
    <w:rsid w:val="00946D78"/>
    <w:rsid w:val="00950C1D"/>
    <w:rsid w:val="00950E52"/>
    <w:rsid w:val="0096525F"/>
    <w:rsid w:val="009656D5"/>
    <w:rsid w:val="009659E4"/>
    <w:rsid w:val="00967B50"/>
    <w:rsid w:val="00972367"/>
    <w:rsid w:val="009759FC"/>
    <w:rsid w:val="00975C6A"/>
    <w:rsid w:val="009907F9"/>
    <w:rsid w:val="009954DF"/>
    <w:rsid w:val="009A02C0"/>
    <w:rsid w:val="009B1320"/>
    <w:rsid w:val="009B61E7"/>
    <w:rsid w:val="009C5B9A"/>
    <w:rsid w:val="009D025B"/>
    <w:rsid w:val="009E02AE"/>
    <w:rsid w:val="009F05ED"/>
    <w:rsid w:val="009F2308"/>
    <w:rsid w:val="00A054C0"/>
    <w:rsid w:val="00A15DB8"/>
    <w:rsid w:val="00A20E47"/>
    <w:rsid w:val="00A22B3D"/>
    <w:rsid w:val="00A2414A"/>
    <w:rsid w:val="00A255A2"/>
    <w:rsid w:val="00A25948"/>
    <w:rsid w:val="00A2664D"/>
    <w:rsid w:val="00A34863"/>
    <w:rsid w:val="00A355FE"/>
    <w:rsid w:val="00A37243"/>
    <w:rsid w:val="00A41066"/>
    <w:rsid w:val="00A46F85"/>
    <w:rsid w:val="00A5185F"/>
    <w:rsid w:val="00A54B5A"/>
    <w:rsid w:val="00A54EB2"/>
    <w:rsid w:val="00A60419"/>
    <w:rsid w:val="00A6665D"/>
    <w:rsid w:val="00A66FC4"/>
    <w:rsid w:val="00A7013B"/>
    <w:rsid w:val="00A725E4"/>
    <w:rsid w:val="00A72C29"/>
    <w:rsid w:val="00A74290"/>
    <w:rsid w:val="00A75BBB"/>
    <w:rsid w:val="00A80699"/>
    <w:rsid w:val="00A80C31"/>
    <w:rsid w:val="00A844E9"/>
    <w:rsid w:val="00A85745"/>
    <w:rsid w:val="00A92DF6"/>
    <w:rsid w:val="00A94C7F"/>
    <w:rsid w:val="00A95575"/>
    <w:rsid w:val="00AA040A"/>
    <w:rsid w:val="00AA2006"/>
    <w:rsid w:val="00AA283B"/>
    <w:rsid w:val="00AA2E88"/>
    <w:rsid w:val="00AA5805"/>
    <w:rsid w:val="00AB5514"/>
    <w:rsid w:val="00AC0A2A"/>
    <w:rsid w:val="00AC1F31"/>
    <w:rsid w:val="00AC3FD6"/>
    <w:rsid w:val="00AD2431"/>
    <w:rsid w:val="00AD259C"/>
    <w:rsid w:val="00AD3F76"/>
    <w:rsid w:val="00AD4255"/>
    <w:rsid w:val="00AD4323"/>
    <w:rsid w:val="00AE30FA"/>
    <w:rsid w:val="00AE4529"/>
    <w:rsid w:val="00AE5CDF"/>
    <w:rsid w:val="00AE68C0"/>
    <w:rsid w:val="00AF15B7"/>
    <w:rsid w:val="00B06588"/>
    <w:rsid w:val="00B065EB"/>
    <w:rsid w:val="00B10ADA"/>
    <w:rsid w:val="00B16078"/>
    <w:rsid w:val="00B271F2"/>
    <w:rsid w:val="00B30935"/>
    <w:rsid w:val="00B31274"/>
    <w:rsid w:val="00B33D20"/>
    <w:rsid w:val="00B34831"/>
    <w:rsid w:val="00B40959"/>
    <w:rsid w:val="00B425BC"/>
    <w:rsid w:val="00B457D6"/>
    <w:rsid w:val="00B556D4"/>
    <w:rsid w:val="00B5626D"/>
    <w:rsid w:val="00B669CA"/>
    <w:rsid w:val="00B71E3F"/>
    <w:rsid w:val="00B728C9"/>
    <w:rsid w:val="00B7731E"/>
    <w:rsid w:val="00B8201C"/>
    <w:rsid w:val="00B8519D"/>
    <w:rsid w:val="00B90C5F"/>
    <w:rsid w:val="00B93611"/>
    <w:rsid w:val="00BA00DB"/>
    <w:rsid w:val="00BA0911"/>
    <w:rsid w:val="00BA12B0"/>
    <w:rsid w:val="00BA236B"/>
    <w:rsid w:val="00BA5DB3"/>
    <w:rsid w:val="00BA6DC0"/>
    <w:rsid w:val="00BB1D52"/>
    <w:rsid w:val="00BB49CB"/>
    <w:rsid w:val="00BB4AAE"/>
    <w:rsid w:val="00BC127F"/>
    <w:rsid w:val="00BC28E8"/>
    <w:rsid w:val="00BE215D"/>
    <w:rsid w:val="00BE501E"/>
    <w:rsid w:val="00BE5432"/>
    <w:rsid w:val="00BE6E46"/>
    <w:rsid w:val="00BF1E8D"/>
    <w:rsid w:val="00BF35BB"/>
    <w:rsid w:val="00BF3AB6"/>
    <w:rsid w:val="00BF72F5"/>
    <w:rsid w:val="00C020AE"/>
    <w:rsid w:val="00C02830"/>
    <w:rsid w:val="00C05098"/>
    <w:rsid w:val="00C0561F"/>
    <w:rsid w:val="00C069B4"/>
    <w:rsid w:val="00C12A3C"/>
    <w:rsid w:val="00C12D99"/>
    <w:rsid w:val="00C20157"/>
    <w:rsid w:val="00C20D8A"/>
    <w:rsid w:val="00C23339"/>
    <w:rsid w:val="00C24930"/>
    <w:rsid w:val="00C25A26"/>
    <w:rsid w:val="00C3372C"/>
    <w:rsid w:val="00C34FDA"/>
    <w:rsid w:val="00C35A64"/>
    <w:rsid w:val="00C37B34"/>
    <w:rsid w:val="00C47C30"/>
    <w:rsid w:val="00C505B6"/>
    <w:rsid w:val="00C53063"/>
    <w:rsid w:val="00C54434"/>
    <w:rsid w:val="00C54A9B"/>
    <w:rsid w:val="00C57D8A"/>
    <w:rsid w:val="00C6024E"/>
    <w:rsid w:val="00C61AF8"/>
    <w:rsid w:val="00C63E58"/>
    <w:rsid w:val="00C66652"/>
    <w:rsid w:val="00C711DD"/>
    <w:rsid w:val="00C71D22"/>
    <w:rsid w:val="00C74183"/>
    <w:rsid w:val="00C81585"/>
    <w:rsid w:val="00C855DB"/>
    <w:rsid w:val="00C87DB7"/>
    <w:rsid w:val="00C9213E"/>
    <w:rsid w:val="00CA04FD"/>
    <w:rsid w:val="00CA281A"/>
    <w:rsid w:val="00CA4639"/>
    <w:rsid w:val="00CA7413"/>
    <w:rsid w:val="00CA76A5"/>
    <w:rsid w:val="00CB0C1A"/>
    <w:rsid w:val="00CB6950"/>
    <w:rsid w:val="00CB7238"/>
    <w:rsid w:val="00CC0F9B"/>
    <w:rsid w:val="00CC4C23"/>
    <w:rsid w:val="00CD0153"/>
    <w:rsid w:val="00CD45D8"/>
    <w:rsid w:val="00CD4AD8"/>
    <w:rsid w:val="00CD6973"/>
    <w:rsid w:val="00CD69D2"/>
    <w:rsid w:val="00CE1F96"/>
    <w:rsid w:val="00CE2740"/>
    <w:rsid w:val="00CE33F6"/>
    <w:rsid w:val="00CE3767"/>
    <w:rsid w:val="00CF6808"/>
    <w:rsid w:val="00D00223"/>
    <w:rsid w:val="00D11FE6"/>
    <w:rsid w:val="00D148B9"/>
    <w:rsid w:val="00D1585D"/>
    <w:rsid w:val="00D1727A"/>
    <w:rsid w:val="00D17EE8"/>
    <w:rsid w:val="00D229B9"/>
    <w:rsid w:val="00D33CF8"/>
    <w:rsid w:val="00D34D73"/>
    <w:rsid w:val="00D40F47"/>
    <w:rsid w:val="00D4391A"/>
    <w:rsid w:val="00D447D8"/>
    <w:rsid w:val="00D52285"/>
    <w:rsid w:val="00D52E6C"/>
    <w:rsid w:val="00D56452"/>
    <w:rsid w:val="00D60AA2"/>
    <w:rsid w:val="00D60ECA"/>
    <w:rsid w:val="00D65886"/>
    <w:rsid w:val="00D67937"/>
    <w:rsid w:val="00D70E65"/>
    <w:rsid w:val="00D7194E"/>
    <w:rsid w:val="00D75C4D"/>
    <w:rsid w:val="00D84549"/>
    <w:rsid w:val="00D8607A"/>
    <w:rsid w:val="00D90BB6"/>
    <w:rsid w:val="00D93F66"/>
    <w:rsid w:val="00D97C2D"/>
    <w:rsid w:val="00DA329F"/>
    <w:rsid w:val="00DA6AF3"/>
    <w:rsid w:val="00DB428A"/>
    <w:rsid w:val="00DB5DEA"/>
    <w:rsid w:val="00DB7C6F"/>
    <w:rsid w:val="00DC2012"/>
    <w:rsid w:val="00DC2D62"/>
    <w:rsid w:val="00DC316F"/>
    <w:rsid w:val="00DD02B7"/>
    <w:rsid w:val="00DD39BB"/>
    <w:rsid w:val="00DE2ECD"/>
    <w:rsid w:val="00DE44D7"/>
    <w:rsid w:val="00DE5B05"/>
    <w:rsid w:val="00DF39F9"/>
    <w:rsid w:val="00DF3E25"/>
    <w:rsid w:val="00DF5A32"/>
    <w:rsid w:val="00E0026C"/>
    <w:rsid w:val="00E020ED"/>
    <w:rsid w:val="00E022D2"/>
    <w:rsid w:val="00E0569A"/>
    <w:rsid w:val="00E0601D"/>
    <w:rsid w:val="00E06D2E"/>
    <w:rsid w:val="00E10DA4"/>
    <w:rsid w:val="00E113FF"/>
    <w:rsid w:val="00E17F06"/>
    <w:rsid w:val="00E20C27"/>
    <w:rsid w:val="00E2292D"/>
    <w:rsid w:val="00E25EAD"/>
    <w:rsid w:val="00E3320F"/>
    <w:rsid w:val="00E408CA"/>
    <w:rsid w:val="00E4740C"/>
    <w:rsid w:val="00E54E54"/>
    <w:rsid w:val="00E55C0B"/>
    <w:rsid w:val="00E60B7C"/>
    <w:rsid w:val="00E61EC4"/>
    <w:rsid w:val="00E67FC0"/>
    <w:rsid w:val="00E705E5"/>
    <w:rsid w:val="00E70EDB"/>
    <w:rsid w:val="00E7258E"/>
    <w:rsid w:val="00E749CB"/>
    <w:rsid w:val="00E74B73"/>
    <w:rsid w:val="00E751B9"/>
    <w:rsid w:val="00E7621C"/>
    <w:rsid w:val="00E81197"/>
    <w:rsid w:val="00E85B2A"/>
    <w:rsid w:val="00E87AFA"/>
    <w:rsid w:val="00E90A7D"/>
    <w:rsid w:val="00E9353A"/>
    <w:rsid w:val="00E96336"/>
    <w:rsid w:val="00E96D10"/>
    <w:rsid w:val="00E97894"/>
    <w:rsid w:val="00E97AAA"/>
    <w:rsid w:val="00EA5844"/>
    <w:rsid w:val="00EA7D4E"/>
    <w:rsid w:val="00EB0165"/>
    <w:rsid w:val="00EB4EB8"/>
    <w:rsid w:val="00EB5242"/>
    <w:rsid w:val="00EB5734"/>
    <w:rsid w:val="00EC1EAF"/>
    <w:rsid w:val="00EC2BD1"/>
    <w:rsid w:val="00EC3941"/>
    <w:rsid w:val="00ED0B46"/>
    <w:rsid w:val="00EE137E"/>
    <w:rsid w:val="00EE4945"/>
    <w:rsid w:val="00EE4D7D"/>
    <w:rsid w:val="00EF0429"/>
    <w:rsid w:val="00EF39B6"/>
    <w:rsid w:val="00EF6293"/>
    <w:rsid w:val="00EF65C7"/>
    <w:rsid w:val="00F03002"/>
    <w:rsid w:val="00F10102"/>
    <w:rsid w:val="00F15395"/>
    <w:rsid w:val="00F16E07"/>
    <w:rsid w:val="00F2019C"/>
    <w:rsid w:val="00F26282"/>
    <w:rsid w:val="00F34FD2"/>
    <w:rsid w:val="00F35393"/>
    <w:rsid w:val="00F44137"/>
    <w:rsid w:val="00F4791D"/>
    <w:rsid w:val="00F51C41"/>
    <w:rsid w:val="00F531E2"/>
    <w:rsid w:val="00F5525B"/>
    <w:rsid w:val="00F56FE7"/>
    <w:rsid w:val="00F571A0"/>
    <w:rsid w:val="00F60370"/>
    <w:rsid w:val="00F63CBC"/>
    <w:rsid w:val="00F710A8"/>
    <w:rsid w:val="00F75BF6"/>
    <w:rsid w:val="00F80423"/>
    <w:rsid w:val="00F851EA"/>
    <w:rsid w:val="00F85747"/>
    <w:rsid w:val="00F90C97"/>
    <w:rsid w:val="00F961F0"/>
    <w:rsid w:val="00F964A7"/>
    <w:rsid w:val="00F97BB1"/>
    <w:rsid w:val="00FA327A"/>
    <w:rsid w:val="00FA546F"/>
    <w:rsid w:val="00FA6CD6"/>
    <w:rsid w:val="00FC3DB0"/>
    <w:rsid w:val="00FD582A"/>
    <w:rsid w:val="00FD7083"/>
    <w:rsid w:val="00FE2FEF"/>
    <w:rsid w:val="00FE63C7"/>
    <w:rsid w:val="00FE7FAF"/>
    <w:rsid w:val="00FF0AE1"/>
    <w:rsid w:val="00FF73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3EC79"/>
  <w15:docId w15:val="{1DFD3C40-2D89-4D2F-99D6-3C75FB88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15DB8"/>
    <w:rPr>
      <w:lang w:val="sq-AL"/>
    </w:rPr>
  </w:style>
  <w:style w:type="paragraph" w:styleId="Heading1">
    <w:name w:val="heading 1"/>
    <w:basedOn w:val="Normal"/>
    <w:next w:val="Normal"/>
    <w:rsid w:val="00554E29"/>
    <w:pPr>
      <w:keepNext/>
      <w:keepLines/>
      <w:spacing w:before="400" w:after="120"/>
      <w:outlineLvl w:val="0"/>
    </w:pPr>
    <w:rPr>
      <w:sz w:val="40"/>
      <w:szCs w:val="40"/>
    </w:rPr>
  </w:style>
  <w:style w:type="paragraph" w:styleId="Heading2">
    <w:name w:val="heading 2"/>
    <w:basedOn w:val="Normal"/>
    <w:next w:val="Normal"/>
    <w:rsid w:val="00554E29"/>
    <w:pPr>
      <w:keepNext/>
      <w:keepLines/>
      <w:spacing w:before="360" w:after="120"/>
      <w:outlineLvl w:val="1"/>
    </w:pPr>
    <w:rPr>
      <w:sz w:val="32"/>
      <w:szCs w:val="32"/>
    </w:rPr>
  </w:style>
  <w:style w:type="paragraph" w:styleId="Heading3">
    <w:name w:val="heading 3"/>
    <w:basedOn w:val="Normal"/>
    <w:next w:val="Normal"/>
    <w:rsid w:val="00554E29"/>
    <w:pPr>
      <w:keepNext/>
      <w:keepLines/>
      <w:spacing w:before="320" w:after="80"/>
      <w:outlineLvl w:val="2"/>
    </w:pPr>
    <w:rPr>
      <w:color w:val="434343"/>
      <w:sz w:val="28"/>
      <w:szCs w:val="28"/>
    </w:rPr>
  </w:style>
  <w:style w:type="paragraph" w:styleId="Heading4">
    <w:name w:val="heading 4"/>
    <w:basedOn w:val="Normal"/>
    <w:next w:val="Normal"/>
    <w:rsid w:val="00554E29"/>
    <w:pPr>
      <w:keepNext/>
      <w:keepLines/>
      <w:spacing w:before="280" w:after="80"/>
      <w:outlineLvl w:val="3"/>
    </w:pPr>
    <w:rPr>
      <w:color w:val="666666"/>
      <w:sz w:val="24"/>
      <w:szCs w:val="24"/>
    </w:rPr>
  </w:style>
  <w:style w:type="paragraph" w:styleId="Heading5">
    <w:name w:val="heading 5"/>
    <w:basedOn w:val="Normal"/>
    <w:next w:val="Normal"/>
    <w:rsid w:val="00554E29"/>
    <w:pPr>
      <w:keepNext/>
      <w:keepLines/>
      <w:spacing w:before="240" w:after="80"/>
      <w:outlineLvl w:val="4"/>
    </w:pPr>
    <w:rPr>
      <w:color w:val="666666"/>
    </w:rPr>
  </w:style>
  <w:style w:type="paragraph" w:styleId="Heading6">
    <w:name w:val="heading 6"/>
    <w:basedOn w:val="Normal"/>
    <w:next w:val="Normal"/>
    <w:rsid w:val="00554E2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554E29"/>
    <w:pPr>
      <w:keepNext/>
      <w:keepLines/>
      <w:spacing w:after="60"/>
    </w:pPr>
    <w:rPr>
      <w:sz w:val="52"/>
      <w:szCs w:val="52"/>
    </w:rPr>
  </w:style>
  <w:style w:type="paragraph" w:styleId="Subtitle">
    <w:name w:val="Subtitle"/>
    <w:basedOn w:val="Normal"/>
    <w:next w:val="Normal"/>
    <w:rsid w:val="00554E29"/>
    <w:pPr>
      <w:keepNext/>
      <w:keepLines/>
      <w:spacing w:after="320"/>
    </w:pPr>
    <w:rPr>
      <w:color w:val="666666"/>
      <w:sz w:val="30"/>
      <w:szCs w:val="30"/>
    </w:rPr>
  </w:style>
  <w:style w:type="table" w:customStyle="1" w:styleId="1">
    <w:name w:val="1"/>
    <w:basedOn w:val="TableNormal"/>
    <w:rsid w:val="00554E29"/>
    <w:tblPr>
      <w:tblStyleRowBandSize w:val="1"/>
      <w:tblStyleColBandSize w:val="1"/>
      <w:tblCellMar>
        <w:top w:w="100" w:type="dxa"/>
        <w:left w:w="100" w:type="dxa"/>
        <w:bottom w:w="100" w:type="dxa"/>
        <w:right w:w="100" w:type="dxa"/>
      </w:tblCellMar>
    </w:tblPr>
  </w:style>
  <w:style w:type="paragraph" w:styleId="ListParagraph">
    <w:name w:val="List Paragraph"/>
    <w:aliases w:val="Table of contents numbered,List Paragraph in table,Colorful List - Accent 11,lp1,Akapit z listą BS,List Paragraph1,List Paragraph nowy,List Paragraph (numbered (a)),Liste 1,Normal 1,List Paragraph 1,Bullets,Paragraphe de liste reco,Dot pt"/>
    <w:basedOn w:val="Normal"/>
    <w:link w:val="ListParagraphChar"/>
    <w:uiPriority w:val="34"/>
    <w:qFormat/>
    <w:rsid w:val="00CC0F9B"/>
    <w:pPr>
      <w:ind w:left="720"/>
      <w:contextualSpacing/>
    </w:pPr>
  </w:style>
  <w:style w:type="paragraph" w:styleId="BalloonText">
    <w:name w:val="Balloon Text"/>
    <w:basedOn w:val="Normal"/>
    <w:link w:val="BalloonTextChar"/>
    <w:uiPriority w:val="99"/>
    <w:semiHidden/>
    <w:unhideWhenUsed/>
    <w:rsid w:val="00BE50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01E"/>
    <w:rPr>
      <w:rFonts w:ascii="Segoe UI" w:hAnsi="Segoe UI" w:cs="Segoe UI"/>
      <w:sz w:val="18"/>
      <w:szCs w:val="18"/>
    </w:rPr>
  </w:style>
  <w:style w:type="paragraph" w:styleId="CommentText">
    <w:name w:val="annotation text"/>
    <w:basedOn w:val="Normal"/>
    <w:link w:val="CommentTextChar"/>
    <w:uiPriority w:val="99"/>
    <w:unhideWhenUsed/>
    <w:rsid w:val="004329C3"/>
    <w:pPr>
      <w:spacing w:line="240" w:lineRule="auto"/>
    </w:pPr>
    <w:rPr>
      <w:sz w:val="20"/>
      <w:szCs w:val="20"/>
      <w:lang w:eastAsia="sq-AL"/>
    </w:rPr>
  </w:style>
  <w:style w:type="character" w:customStyle="1" w:styleId="CommentTextChar">
    <w:name w:val="Comment Text Char"/>
    <w:basedOn w:val="DefaultParagraphFont"/>
    <w:link w:val="CommentText"/>
    <w:uiPriority w:val="99"/>
    <w:rsid w:val="004329C3"/>
    <w:rPr>
      <w:sz w:val="20"/>
      <w:szCs w:val="20"/>
      <w:lang w:eastAsia="sq-AL"/>
    </w:rPr>
  </w:style>
  <w:style w:type="paragraph" w:styleId="Header">
    <w:name w:val="header"/>
    <w:basedOn w:val="Normal"/>
    <w:link w:val="HeaderChar"/>
    <w:uiPriority w:val="99"/>
    <w:unhideWhenUsed/>
    <w:rsid w:val="007B284F"/>
    <w:pPr>
      <w:tabs>
        <w:tab w:val="center" w:pos="4680"/>
        <w:tab w:val="right" w:pos="9360"/>
      </w:tabs>
      <w:spacing w:line="240" w:lineRule="auto"/>
    </w:pPr>
  </w:style>
  <w:style w:type="character" w:customStyle="1" w:styleId="HeaderChar">
    <w:name w:val="Header Char"/>
    <w:basedOn w:val="DefaultParagraphFont"/>
    <w:link w:val="Header"/>
    <w:uiPriority w:val="99"/>
    <w:rsid w:val="007B284F"/>
  </w:style>
  <w:style w:type="paragraph" w:styleId="Footer">
    <w:name w:val="footer"/>
    <w:basedOn w:val="Normal"/>
    <w:link w:val="FooterChar"/>
    <w:uiPriority w:val="99"/>
    <w:unhideWhenUsed/>
    <w:rsid w:val="007B284F"/>
    <w:pPr>
      <w:tabs>
        <w:tab w:val="center" w:pos="4680"/>
        <w:tab w:val="right" w:pos="9360"/>
      </w:tabs>
      <w:spacing w:line="240" w:lineRule="auto"/>
    </w:pPr>
  </w:style>
  <w:style w:type="character" w:customStyle="1" w:styleId="FooterChar">
    <w:name w:val="Footer Char"/>
    <w:basedOn w:val="DefaultParagraphFont"/>
    <w:link w:val="Footer"/>
    <w:uiPriority w:val="99"/>
    <w:rsid w:val="007B284F"/>
  </w:style>
  <w:style w:type="paragraph" w:styleId="BodyText">
    <w:name w:val="Body Text"/>
    <w:basedOn w:val="Normal"/>
    <w:link w:val="BodyTextChar"/>
    <w:uiPriority w:val="99"/>
    <w:qFormat/>
    <w:rsid w:val="006407C3"/>
    <w:pPr>
      <w:suppressAutoHyphens/>
      <w:spacing w:after="120" w:line="240" w:lineRule="auto"/>
    </w:pPr>
    <w:rPr>
      <w:rFonts w:ascii="Times New Roman" w:eastAsia="MS Mincho" w:hAnsi="Times New Roman" w:cs="Times New Roman"/>
      <w:sz w:val="24"/>
      <w:szCs w:val="24"/>
      <w:lang w:eastAsia="ar-SA"/>
    </w:rPr>
  </w:style>
  <w:style w:type="character" w:customStyle="1" w:styleId="BodyTextChar">
    <w:name w:val="Body Text Char"/>
    <w:basedOn w:val="DefaultParagraphFont"/>
    <w:link w:val="BodyText"/>
    <w:uiPriority w:val="99"/>
    <w:rsid w:val="006407C3"/>
    <w:rPr>
      <w:rFonts w:ascii="Times New Roman" w:eastAsia="MS Mincho" w:hAnsi="Times New Roman" w:cs="Times New Roman"/>
      <w:sz w:val="24"/>
      <w:szCs w:val="24"/>
      <w:lang w:val="en-US" w:eastAsia="ar-SA"/>
    </w:rPr>
  </w:style>
  <w:style w:type="paragraph" w:styleId="NoSpacing">
    <w:name w:val="No Spacing"/>
    <w:link w:val="NoSpacingChar"/>
    <w:uiPriority w:val="1"/>
    <w:qFormat/>
    <w:rsid w:val="006407C3"/>
    <w:pPr>
      <w:spacing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6407C3"/>
    <w:rPr>
      <w:rFonts w:ascii="Times New Roman" w:eastAsia="Times New Roman" w:hAnsi="Times New Roman" w:cs="Times New Roman"/>
      <w:sz w:val="24"/>
      <w:szCs w:val="24"/>
      <w:lang w:val="en-US"/>
    </w:rPr>
  </w:style>
  <w:style w:type="table" w:styleId="TableGrid">
    <w:name w:val="Table Grid"/>
    <w:basedOn w:val="TableNormal"/>
    <w:uiPriority w:val="59"/>
    <w:rsid w:val="00DD02B7"/>
    <w:pPr>
      <w:spacing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27ADB"/>
    <w:rPr>
      <w:sz w:val="16"/>
      <w:szCs w:val="16"/>
    </w:rPr>
  </w:style>
  <w:style w:type="paragraph" w:styleId="CommentSubject">
    <w:name w:val="annotation subject"/>
    <w:basedOn w:val="CommentText"/>
    <w:next w:val="CommentText"/>
    <w:link w:val="CommentSubjectChar"/>
    <w:uiPriority w:val="99"/>
    <w:semiHidden/>
    <w:unhideWhenUsed/>
    <w:rsid w:val="00427ADB"/>
    <w:rPr>
      <w:b/>
      <w:bCs/>
      <w:lang w:eastAsia="en-US"/>
    </w:rPr>
  </w:style>
  <w:style w:type="character" w:customStyle="1" w:styleId="CommentSubjectChar">
    <w:name w:val="Comment Subject Char"/>
    <w:basedOn w:val="CommentTextChar"/>
    <w:link w:val="CommentSubject"/>
    <w:uiPriority w:val="99"/>
    <w:semiHidden/>
    <w:rsid w:val="00427ADB"/>
    <w:rPr>
      <w:b/>
      <w:bCs/>
      <w:sz w:val="20"/>
      <w:szCs w:val="20"/>
      <w:lang w:eastAsia="sq-AL"/>
    </w:rPr>
  </w:style>
  <w:style w:type="paragraph" w:styleId="FootnoteText">
    <w:name w:val="footnote text"/>
    <w:basedOn w:val="Normal"/>
    <w:link w:val="FootnoteTextChar"/>
    <w:uiPriority w:val="99"/>
    <w:semiHidden/>
    <w:unhideWhenUsed/>
    <w:rsid w:val="00E55C0B"/>
    <w:pPr>
      <w:spacing w:line="240" w:lineRule="auto"/>
    </w:pPr>
    <w:rPr>
      <w:sz w:val="20"/>
      <w:szCs w:val="20"/>
    </w:rPr>
  </w:style>
  <w:style w:type="character" w:customStyle="1" w:styleId="FootnoteTextChar">
    <w:name w:val="Footnote Text Char"/>
    <w:basedOn w:val="DefaultParagraphFont"/>
    <w:link w:val="FootnoteText"/>
    <w:uiPriority w:val="99"/>
    <w:semiHidden/>
    <w:rsid w:val="00E55C0B"/>
    <w:rPr>
      <w:sz w:val="20"/>
      <w:szCs w:val="20"/>
    </w:rPr>
  </w:style>
  <w:style w:type="character" w:styleId="FootnoteReference">
    <w:name w:val="footnote reference"/>
    <w:basedOn w:val="DefaultParagraphFont"/>
    <w:uiPriority w:val="99"/>
    <w:semiHidden/>
    <w:unhideWhenUsed/>
    <w:rsid w:val="00E55C0B"/>
    <w:rPr>
      <w:vertAlign w:val="superscript"/>
    </w:rPr>
  </w:style>
  <w:style w:type="character" w:customStyle="1" w:styleId="normalchar">
    <w:name w:val="normal__char"/>
    <w:basedOn w:val="DefaultParagraphFont"/>
    <w:rsid w:val="008779A3"/>
  </w:style>
  <w:style w:type="paragraph" w:customStyle="1" w:styleId="Paragrafi">
    <w:name w:val="Paragrafi"/>
    <w:link w:val="ParagrafiChar"/>
    <w:rsid w:val="00EF0429"/>
    <w:pPr>
      <w:widowControl w:val="0"/>
      <w:spacing w:line="240" w:lineRule="auto"/>
      <w:ind w:firstLine="720"/>
      <w:jc w:val="both"/>
    </w:pPr>
    <w:rPr>
      <w:rFonts w:ascii="CG Times" w:eastAsia="Times New Roman" w:hAnsi="CG Times" w:cs="Times New Roman"/>
      <w:szCs w:val="20"/>
    </w:rPr>
  </w:style>
  <w:style w:type="character" w:customStyle="1" w:styleId="ParagrafiChar">
    <w:name w:val="Paragrafi Char"/>
    <w:basedOn w:val="DefaultParagraphFont"/>
    <w:link w:val="Paragrafi"/>
    <w:locked/>
    <w:rsid w:val="00EF0429"/>
    <w:rPr>
      <w:rFonts w:ascii="CG Times" w:eastAsia="Times New Roman" w:hAnsi="CG Times" w:cs="Times New Roman"/>
      <w:szCs w:val="20"/>
    </w:rPr>
  </w:style>
  <w:style w:type="character" w:styleId="Hyperlink">
    <w:name w:val="Hyperlink"/>
    <w:basedOn w:val="DefaultParagraphFont"/>
    <w:uiPriority w:val="99"/>
    <w:unhideWhenUsed/>
    <w:rsid w:val="0080056F"/>
    <w:rPr>
      <w:color w:val="0000FF" w:themeColor="hyperlink"/>
      <w:u w:val="single"/>
    </w:rPr>
  </w:style>
  <w:style w:type="paragraph" w:customStyle="1" w:styleId="BazLigjPropozues">
    <w:name w:val="Baz_Ligj_Propozues"/>
    <w:rsid w:val="004078E0"/>
    <w:pPr>
      <w:keepNext/>
      <w:widowControl w:val="0"/>
      <w:spacing w:line="240" w:lineRule="auto"/>
      <w:ind w:firstLine="720"/>
      <w:jc w:val="both"/>
    </w:pPr>
    <w:rPr>
      <w:rFonts w:ascii="CG Times" w:eastAsia="Times New Roman" w:hAnsi="CG Times" w:cs="Times New Roman"/>
      <w:color w:val="000000"/>
      <w:lang w:val="en-GB"/>
    </w:rPr>
  </w:style>
  <w:style w:type="paragraph" w:customStyle="1" w:styleId="NeniTitull">
    <w:name w:val="Neni_Titull"/>
    <w:next w:val="Normal"/>
    <w:rsid w:val="00683A15"/>
    <w:pPr>
      <w:keepNext/>
      <w:widowControl w:val="0"/>
      <w:spacing w:line="240" w:lineRule="auto"/>
      <w:jc w:val="center"/>
      <w:outlineLvl w:val="2"/>
    </w:pPr>
    <w:rPr>
      <w:rFonts w:ascii="CG Times" w:eastAsia="Times New Roman" w:hAnsi="CG Times" w:cs="Times New Roman"/>
      <w:b/>
      <w:szCs w:val="20"/>
      <w:lang w:val="en-GB"/>
    </w:rPr>
  </w:style>
  <w:style w:type="paragraph" w:customStyle="1" w:styleId="Hapesira7">
    <w:name w:val="Hapesira 7"/>
    <w:basedOn w:val="Paragrafi"/>
    <w:qFormat/>
    <w:rsid w:val="004B2844"/>
    <w:pPr>
      <w:ind w:firstLine="284"/>
    </w:pPr>
    <w:rPr>
      <w:rFonts w:ascii="Garamond" w:eastAsia="MS Mincho" w:hAnsi="Garamond" w:cs="CG Times"/>
      <w:sz w:val="14"/>
      <w:szCs w:val="24"/>
    </w:rPr>
  </w:style>
  <w:style w:type="paragraph" w:customStyle="1" w:styleId="NeniNr">
    <w:name w:val="Neni_Nr"/>
    <w:next w:val="Normal"/>
    <w:rsid w:val="004B2844"/>
    <w:pPr>
      <w:keepNext/>
      <w:widowControl w:val="0"/>
      <w:spacing w:line="240" w:lineRule="auto"/>
      <w:jc w:val="center"/>
    </w:pPr>
    <w:rPr>
      <w:rFonts w:ascii="CG Times" w:eastAsia="Times New Roman" w:hAnsi="CG Times" w:cs="Times New Roman"/>
      <w:szCs w:val="20"/>
      <w:lang w:val="en-GB"/>
    </w:rPr>
  </w:style>
  <w:style w:type="paragraph" w:customStyle="1" w:styleId="KapitulliTitull">
    <w:name w:val="Kapitulli_Titull"/>
    <w:rsid w:val="00541031"/>
    <w:pPr>
      <w:keepNext/>
      <w:widowControl w:val="0"/>
      <w:spacing w:line="240" w:lineRule="auto"/>
      <w:jc w:val="center"/>
    </w:pPr>
    <w:rPr>
      <w:rFonts w:ascii="CG Times" w:eastAsia="Times New Roman" w:hAnsi="CG Times" w:cs="Times New Roman"/>
      <w:caps/>
      <w:lang w:val="en-GB"/>
    </w:rPr>
  </w:style>
  <w:style w:type="character" w:customStyle="1" w:styleId="ListParagraphChar">
    <w:name w:val="List Paragraph Char"/>
    <w:aliases w:val="Table of contents numbered Char,List Paragraph in table Char,Colorful List - Accent 11 Char,lp1 Char,Akapit z listą BS Char,List Paragraph1 Char,List Paragraph nowy Char,List Paragraph (numbered (a)) Char,Liste 1 Char,Normal 1 Char"/>
    <w:link w:val="ListParagraph"/>
    <w:uiPriority w:val="34"/>
    <w:qFormat/>
    <w:rsid w:val="001855A9"/>
  </w:style>
  <w:style w:type="paragraph" w:customStyle="1" w:styleId="paragrafi0">
    <w:name w:val="paragrafi"/>
    <w:basedOn w:val="Normal"/>
    <w:rsid w:val="00625A22"/>
    <w:pPr>
      <w:spacing w:line="240" w:lineRule="auto"/>
      <w:ind w:firstLine="720"/>
      <w:jc w:val="both"/>
    </w:pPr>
    <w:rPr>
      <w:rFonts w:ascii="CG Times" w:eastAsiaTheme="minorHAnsi" w:hAnsi="CG Times" w:cs="Times New Roman"/>
      <w:lang w:eastAsia="sq-AL"/>
    </w:rPr>
  </w:style>
  <w:style w:type="paragraph" w:styleId="Revision">
    <w:name w:val="Revision"/>
    <w:hidden/>
    <w:uiPriority w:val="99"/>
    <w:semiHidden/>
    <w:rsid w:val="00D34D73"/>
    <w:pPr>
      <w:spacing w:line="240" w:lineRule="auto"/>
    </w:pPr>
    <w:rPr>
      <w:lang w:val="sq-AL"/>
    </w:rPr>
  </w:style>
  <w:style w:type="character" w:customStyle="1" w:styleId="fontstyle01">
    <w:name w:val="fontstyle01"/>
    <w:basedOn w:val="DefaultParagraphFont"/>
    <w:rsid w:val="00DF39F9"/>
    <w:rPr>
      <w:rFonts w:ascii="Garamond" w:hAnsi="Garamond" w:hint="default"/>
      <w:b w:val="0"/>
      <w:bCs w:val="0"/>
      <w:i w:val="0"/>
      <w:iCs w:val="0"/>
      <w:color w:val="000000"/>
      <w:sz w:val="22"/>
      <w:szCs w:val="22"/>
    </w:rPr>
  </w:style>
  <w:style w:type="character" w:styleId="UnresolvedMention">
    <w:name w:val="Unresolved Mention"/>
    <w:basedOn w:val="DefaultParagraphFont"/>
    <w:uiPriority w:val="99"/>
    <w:semiHidden/>
    <w:unhideWhenUsed/>
    <w:rsid w:val="005F3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05530">
      <w:bodyDiv w:val="1"/>
      <w:marLeft w:val="0"/>
      <w:marRight w:val="0"/>
      <w:marTop w:val="0"/>
      <w:marBottom w:val="0"/>
      <w:divBdr>
        <w:top w:val="none" w:sz="0" w:space="0" w:color="auto"/>
        <w:left w:val="none" w:sz="0" w:space="0" w:color="auto"/>
        <w:bottom w:val="none" w:sz="0" w:space="0" w:color="auto"/>
        <w:right w:val="none" w:sz="0" w:space="0" w:color="auto"/>
      </w:divBdr>
    </w:div>
    <w:div w:id="516163496">
      <w:bodyDiv w:val="1"/>
      <w:marLeft w:val="0"/>
      <w:marRight w:val="0"/>
      <w:marTop w:val="0"/>
      <w:marBottom w:val="0"/>
      <w:divBdr>
        <w:top w:val="none" w:sz="0" w:space="0" w:color="auto"/>
        <w:left w:val="none" w:sz="0" w:space="0" w:color="auto"/>
        <w:bottom w:val="none" w:sz="0" w:space="0" w:color="auto"/>
        <w:right w:val="none" w:sz="0" w:space="0" w:color="auto"/>
      </w:divBdr>
      <w:divsChild>
        <w:div w:id="1791587990">
          <w:marLeft w:val="0"/>
          <w:marRight w:val="0"/>
          <w:marTop w:val="0"/>
          <w:marBottom w:val="0"/>
          <w:divBdr>
            <w:top w:val="none" w:sz="0" w:space="0" w:color="auto"/>
            <w:left w:val="none" w:sz="0" w:space="0" w:color="auto"/>
            <w:bottom w:val="none" w:sz="0" w:space="0" w:color="auto"/>
            <w:right w:val="none" w:sz="0" w:space="0" w:color="auto"/>
          </w:divBdr>
        </w:div>
        <w:div w:id="24453194">
          <w:marLeft w:val="0"/>
          <w:marRight w:val="0"/>
          <w:marTop w:val="0"/>
          <w:marBottom w:val="0"/>
          <w:divBdr>
            <w:top w:val="none" w:sz="0" w:space="0" w:color="auto"/>
            <w:left w:val="none" w:sz="0" w:space="0" w:color="auto"/>
            <w:bottom w:val="none" w:sz="0" w:space="0" w:color="auto"/>
            <w:right w:val="none" w:sz="0" w:space="0" w:color="auto"/>
          </w:divBdr>
        </w:div>
        <w:div w:id="1336031874">
          <w:marLeft w:val="0"/>
          <w:marRight w:val="0"/>
          <w:marTop w:val="0"/>
          <w:marBottom w:val="0"/>
          <w:divBdr>
            <w:top w:val="none" w:sz="0" w:space="0" w:color="auto"/>
            <w:left w:val="none" w:sz="0" w:space="0" w:color="auto"/>
            <w:bottom w:val="none" w:sz="0" w:space="0" w:color="auto"/>
            <w:right w:val="none" w:sz="0" w:space="0" w:color="auto"/>
          </w:divBdr>
        </w:div>
        <w:div w:id="966665054">
          <w:marLeft w:val="0"/>
          <w:marRight w:val="0"/>
          <w:marTop w:val="0"/>
          <w:marBottom w:val="0"/>
          <w:divBdr>
            <w:top w:val="none" w:sz="0" w:space="0" w:color="auto"/>
            <w:left w:val="none" w:sz="0" w:space="0" w:color="auto"/>
            <w:bottom w:val="none" w:sz="0" w:space="0" w:color="auto"/>
            <w:right w:val="none" w:sz="0" w:space="0" w:color="auto"/>
          </w:divBdr>
        </w:div>
        <w:div w:id="1322613215">
          <w:marLeft w:val="0"/>
          <w:marRight w:val="0"/>
          <w:marTop w:val="0"/>
          <w:marBottom w:val="0"/>
          <w:divBdr>
            <w:top w:val="none" w:sz="0" w:space="0" w:color="auto"/>
            <w:left w:val="none" w:sz="0" w:space="0" w:color="auto"/>
            <w:bottom w:val="none" w:sz="0" w:space="0" w:color="auto"/>
            <w:right w:val="none" w:sz="0" w:space="0" w:color="auto"/>
          </w:divBdr>
        </w:div>
        <w:div w:id="417094672">
          <w:marLeft w:val="0"/>
          <w:marRight w:val="0"/>
          <w:marTop w:val="0"/>
          <w:marBottom w:val="0"/>
          <w:divBdr>
            <w:top w:val="none" w:sz="0" w:space="0" w:color="auto"/>
            <w:left w:val="none" w:sz="0" w:space="0" w:color="auto"/>
            <w:bottom w:val="none" w:sz="0" w:space="0" w:color="auto"/>
            <w:right w:val="none" w:sz="0" w:space="0" w:color="auto"/>
          </w:divBdr>
        </w:div>
        <w:div w:id="50428530">
          <w:marLeft w:val="0"/>
          <w:marRight w:val="0"/>
          <w:marTop w:val="0"/>
          <w:marBottom w:val="0"/>
          <w:divBdr>
            <w:top w:val="none" w:sz="0" w:space="0" w:color="auto"/>
            <w:left w:val="none" w:sz="0" w:space="0" w:color="auto"/>
            <w:bottom w:val="none" w:sz="0" w:space="0" w:color="auto"/>
            <w:right w:val="none" w:sz="0" w:space="0" w:color="auto"/>
          </w:divBdr>
        </w:div>
        <w:div w:id="212082460">
          <w:marLeft w:val="0"/>
          <w:marRight w:val="0"/>
          <w:marTop w:val="0"/>
          <w:marBottom w:val="0"/>
          <w:divBdr>
            <w:top w:val="none" w:sz="0" w:space="0" w:color="auto"/>
            <w:left w:val="none" w:sz="0" w:space="0" w:color="auto"/>
            <w:bottom w:val="none" w:sz="0" w:space="0" w:color="auto"/>
            <w:right w:val="none" w:sz="0" w:space="0" w:color="auto"/>
          </w:divBdr>
        </w:div>
        <w:div w:id="2058433563">
          <w:marLeft w:val="0"/>
          <w:marRight w:val="0"/>
          <w:marTop w:val="0"/>
          <w:marBottom w:val="0"/>
          <w:divBdr>
            <w:top w:val="none" w:sz="0" w:space="0" w:color="auto"/>
            <w:left w:val="none" w:sz="0" w:space="0" w:color="auto"/>
            <w:bottom w:val="none" w:sz="0" w:space="0" w:color="auto"/>
            <w:right w:val="none" w:sz="0" w:space="0" w:color="auto"/>
          </w:divBdr>
        </w:div>
        <w:div w:id="2014725961">
          <w:marLeft w:val="0"/>
          <w:marRight w:val="0"/>
          <w:marTop w:val="0"/>
          <w:marBottom w:val="0"/>
          <w:divBdr>
            <w:top w:val="none" w:sz="0" w:space="0" w:color="auto"/>
            <w:left w:val="none" w:sz="0" w:space="0" w:color="auto"/>
            <w:bottom w:val="none" w:sz="0" w:space="0" w:color="auto"/>
            <w:right w:val="none" w:sz="0" w:space="0" w:color="auto"/>
          </w:divBdr>
        </w:div>
        <w:div w:id="1610772060">
          <w:marLeft w:val="0"/>
          <w:marRight w:val="0"/>
          <w:marTop w:val="0"/>
          <w:marBottom w:val="0"/>
          <w:divBdr>
            <w:top w:val="none" w:sz="0" w:space="0" w:color="auto"/>
            <w:left w:val="none" w:sz="0" w:space="0" w:color="auto"/>
            <w:bottom w:val="none" w:sz="0" w:space="0" w:color="auto"/>
            <w:right w:val="none" w:sz="0" w:space="0" w:color="auto"/>
          </w:divBdr>
        </w:div>
        <w:div w:id="1757437959">
          <w:marLeft w:val="0"/>
          <w:marRight w:val="0"/>
          <w:marTop w:val="0"/>
          <w:marBottom w:val="0"/>
          <w:divBdr>
            <w:top w:val="none" w:sz="0" w:space="0" w:color="auto"/>
            <w:left w:val="none" w:sz="0" w:space="0" w:color="auto"/>
            <w:bottom w:val="none" w:sz="0" w:space="0" w:color="auto"/>
            <w:right w:val="none" w:sz="0" w:space="0" w:color="auto"/>
          </w:divBdr>
        </w:div>
        <w:div w:id="40906723">
          <w:marLeft w:val="0"/>
          <w:marRight w:val="0"/>
          <w:marTop w:val="0"/>
          <w:marBottom w:val="0"/>
          <w:divBdr>
            <w:top w:val="none" w:sz="0" w:space="0" w:color="auto"/>
            <w:left w:val="none" w:sz="0" w:space="0" w:color="auto"/>
            <w:bottom w:val="none" w:sz="0" w:space="0" w:color="auto"/>
            <w:right w:val="none" w:sz="0" w:space="0" w:color="auto"/>
          </w:divBdr>
        </w:div>
      </w:divsChild>
    </w:div>
    <w:div w:id="585378845">
      <w:bodyDiv w:val="1"/>
      <w:marLeft w:val="0"/>
      <w:marRight w:val="0"/>
      <w:marTop w:val="0"/>
      <w:marBottom w:val="0"/>
      <w:divBdr>
        <w:top w:val="none" w:sz="0" w:space="0" w:color="auto"/>
        <w:left w:val="none" w:sz="0" w:space="0" w:color="auto"/>
        <w:bottom w:val="none" w:sz="0" w:space="0" w:color="auto"/>
        <w:right w:val="none" w:sz="0" w:space="0" w:color="auto"/>
      </w:divBdr>
      <w:divsChild>
        <w:div w:id="205682751">
          <w:marLeft w:val="0"/>
          <w:marRight w:val="0"/>
          <w:marTop w:val="0"/>
          <w:marBottom w:val="0"/>
          <w:divBdr>
            <w:top w:val="none" w:sz="0" w:space="0" w:color="auto"/>
            <w:left w:val="none" w:sz="0" w:space="0" w:color="auto"/>
            <w:bottom w:val="none" w:sz="0" w:space="0" w:color="auto"/>
            <w:right w:val="none" w:sz="0" w:space="0" w:color="auto"/>
          </w:divBdr>
        </w:div>
        <w:div w:id="818771684">
          <w:marLeft w:val="0"/>
          <w:marRight w:val="0"/>
          <w:marTop w:val="0"/>
          <w:marBottom w:val="0"/>
          <w:divBdr>
            <w:top w:val="none" w:sz="0" w:space="0" w:color="auto"/>
            <w:left w:val="none" w:sz="0" w:space="0" w:color="auto"/>
            <w:bottom w:val="none" w:sz="0" w:space="0" w:color="auto"/>
            <w:right w:val="none" w:sz="0" w:space="0" w:color="auto"/>
          </w:divBdr>
        </w:div>
        <w:div w:id="1332368096">
          <w:marLeft w:val="0"/>
          <w:marRight w:val="0"/>
          <w:marTop w:val="0"/>
          <w:marBottom w:val="0"/>
          <w:divBdr>
            <w:top w:val="none" w:sz="0" w:space="0" w:color="auto"/>
            <w:left w:val="none" w:sz="0" w:space="0" w:color="auto"/>
            <w:bottom w:val="none" w:sz="0" w:space="0" w:color="auto"/>
            <w:right w:val="none" w:sz="0" w:space="0" w:color="auto"/>
          </w:divBdr>
        </w:div>
      </w:divsChild>
    </w:div>
    <w:div w:id="589437529">
      <w:bodyDiv w:val="1"/>
      <w:marLeft w:val="0"/>
      <w:marRight w:val="0"/>
      <w:marTop w:val="0"/>
      <w:marBottom w:val="0"/>
      <w:divBdr>
        <w:top w:val="none" w:sz="0" w:space="0" w:color="auto"/>
        <w:left w:val="none" w:sz="0" w:space="0" w:color="auto"/>
        <w:bottom w:val="none" w:sz="0" w:space="0" w:color="auto"/>
        <w:right w:val="none" w:sz="0" w:space="0" w:color="auto"/>
      </w:divBdr>
      <w:divsChild>
        <w:div w:id="1591311870">
          <w:marLeft w:val="0"/>
          <w:marRight w:val="0"/>
          <w:marTop w:val="0"/>
          <w:marBottom w:val="0"/>
          <w:divBdr>
            <w:top w:val="none" w:sz="0" w:space="0" w:color="auto"/>
            <w:left w:val="none" w:sz="0" w:space="0" w:color="auto"/>
            <w:bottom w:val="none" w:sz="0" w:space="0" w:color="auto"/>
            <w:right w:val="none" w:sz="0" w:space="0" w:color="auto"/>
          </w:divBdr>
          <w:divsChild>
            <w:div w:id="1778595179">
              <w:marLeft w:val="0"/>
              <w:marRight w:val="0"/>
              <w:marTop w:val="0"/>
              <w:marBottom w:val="0"/>
              <w:divBdr>
                <w:top w:val="none" w:sz="0" w:space="0" w:color="auto"/>
                <w:left w:val="none" w:sz="0" w:space="0" w:color="auto"/>
                <w:bottom w:val="none" w:sz="0" w:space="0" w:color="auto"/>
                <w:right w:val="none" w:sz="0" w:space="0" w:color="auto"/>
              </w:divBdr>
              <w:divsChild>
                <w:div w:id="814488224">
                  <w:marLeft w:val="0"/>
                  <w:marRight w:val="0"/>
                  <w:marTop w:val="0"/>
                  <w:marBottom w:val="0"/>
                  <w:divBdr>
                    <w:top w:val="none" w:sz="0" w:space="0" w:color="auto"/>
                    <w:left w:val="none" w:sz="0" w:space="0" w:color="auto"/>
                    <w:bottom w:val="none" w:sz="0" w:space="0" w:color="auto"/>
                    <w:right w:val="none" w:sz="0" w:space="0" w:color="auto"/>
                  </w:divBdr>
                  <w:divsChild>
                    <w:div w:id="826868624">
                      <w:marLeft w:val="0"/>
                      <w:marRight w:val="0"/>
                      <w:marTop w:val="0"/>
                      <w:marBottom w:val="0"/>
                      <w:divBdr>
                        <w:top w:val="none" w:sz="0" w:space="0" w:color="auto"/>
                        <w:left w:val="none" w:sz="0" w:space="0" w:color="auto"/>
                        <w:bottom w:val="none" w:sz="0" w:space="0" w:color="auto"/>
                        <w:right w:val="none" w:sz="0" w:space="0" w:color="auto"/>
                      </w:divBdr>
                      <w:divsChild>
                        <w:div w:id="1561939941">
                          <w:marLeft w:val="0"/>
                          <w:marRight w:val="0"/>
                          <w:marTop w:val="0"/>
                          <w:marBottom w:val="0"/>
                          <w:divBdr>
                            <w:top w:val="none" w:sz="0" w:space="0" w:color="auto"/>
                            <w:left w:val="none" w:sz="0" w:space="0" w:color="auto"/>
                            <w:bottom w:val="none" w:sz="0" w:space="0" w:color="auto"/>
                            <w:right w:val="none" w:sz="0" w:space="0" w:color="auto"/>
                          </w:divBdr>
                          <w:divsChild>
                            <w:div w:id="65939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026650">
      <w:bodyDiv w:val="1"/>
      <w:marLeft w:val="0"/>
      <w:marRight w:val="0"/>
      <w:marTop w:val="0"/>
      <w:marBottom w:val="0"/>
      <w:divBdr>
        <w:top w:val="none" w:sz="0" w:space="0" w:color="auto"/>
        <w:left w:val="none" w:sz="0" w:space="0" w:color="auto"/>
        <w:bottom w:val="none" w:sz="0" w:space="0" w:color="auto"/>
        <w:right w:val="none" w:sz="0" w:space="0" w:color="auto"/>
      </w:divBdr>
    </w:div>
    <w:div w:id="846559692">
      <w:bodyDiv w:val="1"/>
      <w:marLeft w:val="0"/>
      <w:marRight w:val="0"/>
      <w:marTop w:val="0"/>
      <w:marBottom w:val="0"/>
      <w:divBdr>
        <w:top w:val="none" w:sz="0" w:space="0" w:color="auto"/>
        <w:left w:val="none" w:sz="0" w:space="0" w:color="auto"/>
        <w:bottom w:val="none" w:sz="0" w:space="0" w:color="auto"/>
        <w:right w:val="none" w:sz="0" w:space="0" w:color="auto"/>
      </w:divBdr>
    </w:div>
    <w:div w:id="914169538">
      <w:bodyDiv w:val="1"/>
      <w:marLeft w:val="0"/>
      <w:marRight w:val="0"/>
      <w:marTop w:val="0"/>
      <w:marBottom w:val="0"/>
      <w:divBdr>
        <w:top w:val="none" w:sz="0" w:space="0" w:color="auto"/>
        <w:left w:val="none" w:sz="0" w:space="0" w:color="auto"/>
        <w:bottom w:val="none" w:sz="0" w:space="0" w:color="auto"/>
        <w:right w:val="none" w:sz="0" w:space="0" w:color="auto"/>
      </w:divBdr>
    </w:div>
    <w:div w:id="1039671984">
      <w:bodyDiv w:val="1"/>
      <w:marLeft w:val="0"/>
      <w:marRight w:val="0"/>
      <w:marTop w:val="0"/>
      <w:marBottom w:val="0"/>
      <w:divBdr>
        <w:top w:val="none" w:sz="0" w:space="0" w:color="auto"/>
        <w:left w:val="none" w:sz="0" w:space="0" w:color="auto"/>
        <w:bottom w:val="none" w:sz="0" w:space="0" w:color="auto"/>
        <w:right w:val="none" w:sz="0" w:space="0" w:color="auto"/>
      </w:divBdr>
    </w:div>
    <w:div w:id="1187329783">
      <w:bodyDiv w:val="1"/>
      <w:marLeft w:val="0"/>
      <w:marRight w:val="0"/>
      <w:marTop w:val="0"/>
      <w:marBottom w:val="0"/>
      <w:divBdr>
        <w:top w:val="none" w:sz="0" w:space="0" w:color="auto"/>
        <w:left w:val="none" w:sz="0" w:space="0" w:color="auto"/>
        <w:bottom w:val="none" w:sz="0" w:space="0" w:color="auto"/>
        <w:right w:val="none" w:sz="0" w:space="0" w:color="auto"/>
      </w:divBdr>
    </w:div>
    <w:div w:id="1224482348">
      <w:bodyDiv w:val="1"/>
      <w:marLeft w:val="0"/>
      <w:marRight w:val="0"/>
      <w:marTop w:val="0"/>
      <w:marBottom w:val="0"/>
      <w:divBdr>
        <w:top w:val="none" w:sz="0" w:space="0" w:color="auto"/>
        <w:left w:val="none" w:sz="0" w:space="0" w:color="auto"/>
        <w:bottom w:val="none" w:sz="0" w:space="0" w:color="auto"/>
        <w:right w:val="none" w:sz="0" w:space="0" w:color="auto"/>
      </w:divBdr>
    </w:div>
    <w:div w:id="1369720874">
      <w:bodyDiv w:val="1"/>
      <w:marLeft w:val="0"/>
      <w:marRight w:val="0"/>
      <w:marTop w:val="0"/>
      <w:marBottom w:val="0"/>
      <w:divBdr>
        <w:top w:val="none" w:sz="0" w:space="0" w:color="auto"/>
        <w:left w:val="none" w:sz="0" w:space="0" w:color="auto"/>
        <w:bottom w:val="none" w:sz="0" w:space="0" w:color="auto"/>
        <w:right w:val="none" w:sz="0" w:space="0" w:color="auto"/>
      </w:divBdr>
      <w:divsChild>
        <w:div w:id="1474324396">
          <w:marLeft w:val="0"/>
          <w:marRight w:val="0"/>
          <w:marTop w:val="0"/>
          <w:marBottom w:val="0"/>
          <w:divBdr>
            <w:top w:val="none" w:sz="0" w:space="0" w:color="auto"/>
            <w:left w:val="none" w:sz="0" w:space="0" w:color="auto"/>
            <w:bottom w:val="none" w:sz="0" w:space="0" w:color="auto"/>
            <w:right w:val="none" w:sz="0" w:space="0" w:color="auto"/>
          </w:divBdr>
        </w:div>
        <w:div w:id="1388652699">
          <w:marLeft w:val="0"/>
          <w:marRight w:val="0"/>
          <w:marTop w:val="0"/>
          <w:marBottom w:val="0"/>
          <w:divBdr>
            <w:top w:val="none" w:sz="0" w:space="0" w:color="auto"/>
            <w:left w:val="none" w:sz="0" w:space="0" w:color="auto"/>
            <w:bottom w:val="none" w:sz="0" w:space="0" w:color="auto"/>
            <w:right w:val="none" w:sz="0" w:space="0" w:color="auto"/>
          </w:divBdr>
        </w:div>
        <w:div w:id="1331643884">
          <w:marLeft w:val="0"/>
          <w:marRight w:val="0"/>
          <w:marTop w:val="0"/>
          <w:marBottom w:val="0"/>
          <w:divBdr>
            <w:top w:val="none" w:sz="0" w:space="0" w:color="auto"/>
            <w:left w:val="none" w:sz="0" w:space="0" w:color="auto"/>
            <w:bottom w:val="none" w:sz="0" w:space="0" w:color="auto"/>
            <w:right w:val="none" w:sz="0" w:space="0" w:color="auto"/>
          </w:divBdr>
        </w:div>
        <w:div w:id="152257605">
          <w:marLeft w:val="0"/>
          <w:marRight w:val="0"/>
          <w:marTop w:val="0"/>
          <w:marBottom w:val="0"/>
          <w:divBdr>
            <w:top w:val="none" w:sz="0" w:space="0" w:color="auto"/>
            <w:left w:val="none" w:sz="0" w:space="0" w:color="auto"/>
            <w:bottom w:val="none" w:sz="0" w:space="0" w:color="auto"/>
            <w:right w:val="none" w:sz="0" w:space="0" w:color="auto"/>
          </w:divBdr>
        </w:div>
        <w:div w:id="790630815">
          <w:marLeft w:val="0"/>
          <w:marRight w:val="0"/>
          <w:marTop w:val="0"/>
          <w:marBottom w:val="0"/>
          <w:divBdr>
            <w:top w:val="none" w:sz="0" w:space="0" w:color="auto"/>
            <w:left w:val="none" w:sz="0" w:space="0" w:color="auto"/>
            <w:bottom w:val="none" w:sz="0" w:space="0" w:color="auto"/>
            <w:right w:val="none" w:sz="0" w:space="0" w:color="auto"/>
          </w:divBdr>
        </w:div>
        <w:div w:id="2060855747">
          <w:marLeft w:val="0"/>
          <w:marRight w:val="0"/>
          <w:marTop w:val="0"/>
          <w:marBottom w:val="0"/>
          <w:divBdr>
            <w:top w:val="none" w:sz="0" w:space="0" w:color="auto"/>
            <w:left w:val="none" w:sz="0" w:space="0" w:color="auto"/>
            <w:bottom w:val="none" w:sz="0" w:space="0" w:color="auto"/>
            <w:right w:val="none" w:sz="0" w:space="0" w:color="auto"/>
          </w:divBdr>
        </w:div>
        <w:div w:id="975138429">
          <w:marLeft w:val="0"/>
          <w:marRight w:val="0"/>
          <w:marTop w:val="0"/>
          <w:marBottom w:val="0"/>
          <w:divBdr>
            <w:top w:val="none" w:sz="0" w:space="0" w:color="auto"/>
            <w:left w:val="none" w:sz="0" w:space="0" w:color="auto"/>
            <w:bottom w:val="none" w:sz="0" w:space="0" w:color="auto"/>
            <w:right w:val="none" w:sz="0" w:space="0" w:color="auto"/>
          </w:divBdr>
        </w:div>
        <w:div w:id="1705328525">
          <w:marLeft w:val="0"/>
          <w:marRight w:val="0"/>
          <w:marTop w:val="0"/>
          <w:marBottom w:val="0"/>
          <w:divBdr>
            <w:top w:val="none" w:sz="0" w:space="0" w:color="auto"/>
            <w:left w:val="none" w:sz="0" w:space="0" w:color="auto"/>
            <w:bottom w:val="none" w:sz="0" w:space="0" w:color="auto"/>
            <w:right w:val="none" w:sz="0" w:space="0" w:color="auto"/>
          </w:divBdr>
        </w:div>
        <w:div w:id="705985631">
          <w:marLeft w:val="0"/>
          <w:marRight w:val="0"/>
          <w:marTop w:val="0"/>
          <w:marBottom w:val="0"/>
          <w:divBdr>
            <w:top w:val="none" w:sz="0" w:space="0" w:color="auto"/>
            <w:left w:val="none" w:sz="0" w:space="0" w:color="auto"/>
            <w:bottom w:val="none" w:sz="0" w:space="0" w:color="auto"/>
            <w:right w:val="none" w:sz="0" w:space="0" w:color="auto"/>
          </w:divBdr>
        </w:div>
        <w:div w:id="129518303">
          <w:marLeft w:val="0"/>
          <w:marRight w:val="0"/>
          <w:marTop w:val="0"/>
          <w:marBottom w:val="0"/>
          <w:divBdr>
            <w:top w:val="none" w:sz="0" w:space="0" w:color="auto"/>
            <w:left w:val="none" w:sz="0" w:space="0" w:color="auto"/>
            <w:bottom w:val="none" w:sz="0" w:space="0" w:color="auto"/>
            <w:right w:val="none" w:sz="0" w:space="0" w:color="auto"/>
          </w:divBdr>
        </w:div>
        <w:div w:id="1499416852">
          <w:marLeft w:val="0"/>
          <w:marRight w:val="0"/>
          <w:marTop w:val="0"/>
          <w:marBottom w:val="0"/>
          <w:divBdr>
            <w:top w:val="none" w:sz="0" w:space="0" w:color="auto"/>
            <w:left w:val="none" w:sz="0" w:space="0" w:color="auto"/>
            <w:bottom w:val="none" w:sz="0" w:space="0" w:color="auto"/>
            <w:right w:val="none" w:sz="0" w:space="0" w:color="auto"/>
          </w:divBdr>
        </w:div>
        <w:div w:id="476066490">
          <w:marLeft w:val="0"/>
          <w:marRight w:val="0"/>
          <w:marTop w:val="0"/>
          <w:marBottom w:val="0"/>
          <w:divBdr>
            <w:top w:val="none" w:sz="0" w:space="0" w:color="auto"/>
            <w:left w:val="none" w:sz="0" w:space="0" w:color="auto"/>
            <w:bottom w:val="none" w:sz="0" w:space="0" w:color="auto"/>
            <w:right w:val="none" w:sz="0" w:space="0" w:color="auto"/>
          </w:divBdr>
        </w:div>
        <w:div w:id="464079569">
          <w:marLeft w:val="0"/>
          <w:marRight w:val="0"/>
          <w:marTop w:val="0"/>
          <w:marBottom w:val="0"/>
          <w:divBdr>
            <w:top w:val="none" w:sz="0" w:space="0" w:color="auto"/>
            <w:left w:val="none" w:sz="0" w:space="0" w:color="auto"/>
            <w:bottom w:val="none" w:sz="0" w:space="0" w:color="auto"/>
            <w:right w:val="none" w:sz="0" w:space="0" w:color="auto"/>
          </w:divBdr>
        </w:div>
      </w:divsChild>
    </w:div>
    <w:div w:id="1564949993">
      <w:bodyDiv w:val="1"/>
      <w:marLeft w:val="0"/>
      <w:marRight w:val="0"/>
      <w:marTop w:val="0"/>
      <w:marBottom w:val="0"/>
      <w:divBdr>
        <w:top w:val="none" w:sz="0" w:space="0" w:color="auto"/>
        <w:left w:val="none" w:sz="0" w:space="0" w:color="auto"/>
        <w:bottom w:val="none" w:sz="0" w:space="0" w:color="auto"/>
        <w:right w:val="none" w:sz="0" w:space="0" w:color="auto"/>
      </w:divBdr>
    </w:div>
    <w:div w:id="1853451670">
      <w:bodyDiv w:val="1"/>
      <w:marLeft w:val="0"/>
      <w:marRight w:val="0"/>
      <w:marTop w:val="0"/>
      <w:marBottom w:val="0"/>
      <w:divBdr>
        <w:top w:val="none" w:sz="0" w:space="0" w:color="auto"/>
        <w:left w:val="none" w:sz="0" w:space="0" w:color="auto"/>
        <w:bottom w:val="none" w:sz="0" w:space="0" w:color="auto"/>
        <w:right w:val="none" w:sz="0" w:space="0" w:color="auto"/>
      </w:divBdr>
    </w:div>
    <w:div w:id="2075858016">
      <w:bodyDiv w:val="1"/>
      <w:marLeft w:val="0"/>
      <w:marRight w:val="0"/>
      <w:marTop w:val="0"/>
      <w:marBottom w:val="0"/>
      <w:divBdr>
        <w:top w:val="none" w:sz="0" w:space="0" w:color="auto"/>
        <w:left w:val="none" w:sz="0" w:space="0" w:color="auto"/>
        <w:bottom w:val="none" w:sz="0" w:space="0" w:color="auto"/>
        <w:right w:val="none" w:sz="0" w:space="0" w:color="auto"/>
      </w:divBdr>
      <w:divsChild>
        <w:div w:id="629701167">
          <w:marLeft w:val="0"/>
          <w:marRight w:val="0"/>
          <w:marTop w:val="0"/>
          <w:marBottom w:val="0"/>
          <w:divBdr>
            <w:top w:val="none" w:sz="0" w:space="0" w:color="auto"/>
            <w:left w:val="none" w:sz="0" w:space="0" w:color="auto"/>
            <w:bottom w:val="none" w:sz="0" w:space="0" w:color="auto"/>
            <w:right w:val="none" w:sz="0" w:space="0" w:color="auto"/>
          </w:divBdr>
          <w:divsChild>
            <w:div w:id="2049260052">
              <w:marLeft w:val="0"/>
              <w:marRight w:val="0"/>
              <w:marTop w:val="0"/>
              <w:marBottom w:val="0"/>
              <w:divBdr>
                <w:top w:val="none" w:sz="0" w:space="0" w:color="auto"/>
                <w:left w:val="none" w:sz="0" w:space="0" w:color="auto"/>
                <w:bottom w:val="none" w:sz="0" w:space="0" w:color="auto"/>
                <w:right w:val="none" w:sz="0" w:space="0" w:color="auto"/>
              </w:divBdr>
              <w:divsChild>
                <w:div w:id="1983655889">
                  <w:marLeft w:val="0"/>
                  <w:marRight w:val="0"/>
                  <w:marTop w:val="0"/>
                  <w:marBottom w:val="0"/>
                  <w:divBdr>
                    <w:top w:val="none" w:sz="0" w:space="0" w:color="auto"/>
                    <w:left w:val="none" w:sz="0" w:space="0" w:color="auto"/>
                    <w:bottom w:val="none" w:sz="0" w:space="0" w:color="auto"/>
                    <w:right w:val="none" w:sz="0" w:space="0" w:color="auto"/>
                  </w:divBdr>
                  <w:divsChild>
                    <w:div w:id="1299188773">
                      <w:marLeft w:val="0"/>
                      <w:marRight w:val="0"/>
                      <w:marTop w:val="0"/>
                      <w:marBottom w:val="0"/>
                      <w:divBdr>
                        <w:top w:val="none" w:sz="0" w:space="0" w:color="auto"/>
                        <w:left w:val="none" w:sz="0" w:space="0" w:color="auto"/>
                        <w:bottom w:val="none" w:sz="0" w:space="0" w:color="auto"/>
                        <w:right w:val="none" w:sz="0" w:space="0" w:color="auto"/>
                      </w:divBdr>
                      <w:divsChild>
                        <w:div w:id="200555479">
                          <w:marLeft w:val="0"/>
                          <w:marRight w:val="0"/>
                          <w:marTop w:val="0"/>
                          <w:marBottom w:val="0"/>
                          <w:divBdr>
                            <w:top w:val="none" w:sz="0" w:space="0" w:color="auto"/>
                            <w:left w:val="none" w:sz="0" w:space="0" w:color="auto"/>
                            <w:bottom w:val="none" w:sz="0" w:space="0" w:color="auto"/>
                            <w:right w:val="none" w:sz="0" w:space="0" w:color="auto"/>
                          </w:divBdr>
                          <w:divsChild>
                            <w:div w:id="1467697664">
                              <w:marLeft w:val="0"/>
                              <w:marRight w:val="0"/>
                              <w:marTop w:val="0"/>
                              <w:marBottom w:val="0"/>
                              <w:divBdr>
                                <w:top w:val="none" w:sz="0" w:space="0" w:color="auto"/>
                                <w:left w:val="none" w:sz="0" w:space="0" w:color="auto"/>
                                <w:bottom w:val="none" w:sz="0" w:space="0" w:color="auto"/>
                                <w:right w:val="none" w:sz="0" w:space="0" w:color="auto"/>
                              </w:divBdr>
                              <w:divsChild>
                                <w:div w:id="1783528462">
                                  <w:marLeft w:val="0"/>
                                  <w:marRight w:val="0"/>
                                  <w:marTop w:val="0"/>
                                  <w:marBottom w:val="0"/>
                                  <w:divBdr>
                                    <w:top w:val="none" w:sz="0" w:space="0" w:color="auto"/>
                                    <w:left w:val="none" w:sz="0" w:space="0" w:color="auto"/>
                                    <w:bottom w:val="none" w:sz="0" w:space="0" w:color="auto"/>
                                    <w:right w:val="none" w:sz="0" w:space="0" w:color="auto"/>
                                  </w:divBdr>
                                  <w:divsChild>
                                    <w:div w:id="1979798496">
                                      <w:marLeft w:val="0"/>
                                      <w:marRight w:val="0"/>
                                      <w:marTop w:val="0"/>
                                      <w:marBottom w:val="0"/>
                                      <w:divBdr>
                                        <w:top w:val="none" w:sz="0" w:space="0" w:color="auto"/>
                                        <w:left w:val="none" w:sz="0" w:space="0" w:color="auto"/>
                                        <w:bottom w:val="none" w:sz="0" w:space="0" w:color="auto"/>
                                        <w:right w:val="none" w:sz="0" w:space="0" w:color="auto"/>
                                      </w:divBdr>
                                      <w:divsChild>
                                        <w:div w:id="1941335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0x00E1B1B8547ACD2F4CB4622AF8B1F5AA6C</ContentTypeId>
    <TemplateUrl xmlns="http://schemas.microsoft.com/sharepoint/v3" xsi:nil="true"/>
    <ProtocolNumberIn xmlns="http://schemas.microsoft.com/sharepoint/v3" xsi:nil="true"/>
    <DocumentTypeId xmlns="http://schemas.microsoft.com/sharepoint/v3">3</DocumentTypeId>
    <ProtocolNumberOut xmlns="http://schemas.microsoft.com/sharepoint/v3">1509</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4D6ED20075C24448B95AA8DF97433FED" ma:contentTypeVersion="" ma:contentTypeDescription="" ma:contentTypeScope="" ma:versionID="b6e61575e4634c0aee6fdc5b037f6eb5">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A0B07-9177-4F1B-A52E-9B9C955A2F6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D41D049-5ED5-4988-913E-132CBDEAB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CC8F4-71AA-4B0E-8FE4-F5F0E11E21DC}">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3622</Words>
  <Characters>20648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Raporti i konsultimit publik</vt:lpstr>
    </vt:vector>
  </TitlesOfParts>
  <Company>BASTARDS TeaM</Company>
  <LinksUpToDate>false</LinksUpToDate>
  <CharactersWithSpaces>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konsultimit publik</dc:title>
  <dc:creator>Planet</dc:creator>
  <cp:lastModifiedBy>Greis Como</cp:lastModifiedBy>
  <cp:revision>2</cp:revision>
  <cp:lastPrinted>2024-01-30T12:24:00Z</cp:lastPrinted>
  <dcterms:created xsi:type="dcterms:W3CDTF">2026-09-01T05:31:00Z</dcterms:created>
  <dcterms:modified xsi:type="dcterms:W3CDTF">2026-09-01T05:31:00Z</dcterms:modified>
</cp:coreProperties>
</file>