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9D27" w14:textId="77777777" w:rsidR="00C76278" w:rsidRPr="00C76278" w:rsidRDefault="00C76278" w:rsidP="00C76278">
      <w:pPr>
        <w:autoSpaceDE w:val="0"/>
        <w:autoSpaceDN w:val="0"/>
        <w:adjustRightInd w:val="0"/>
        <w:spacing w:after="0" w:line="240" w:lineRule="auto"/>
        <w:ind w:firstLine="284"/>
        <w:jc w:val="center"/>
        <w:rPr>
          <w:rFonts w:ascii="Times New Roman" w:eastAsia="Arial Unicode MS" w:hAnsi="Times New Roman" w:cs="Times New Roman"/>
          <w:b/>
          <w:bCs/>
          <w:kern w:val="0"/>
          <w:bdr w:val="nil"/>
          <w14:ligatures w14:val="none"/>
        </w:rPr>
      </w:pPr>
      <w:r w:rsidRPr="00C76278">
        <w:rPr>
          <w:rFonts w:ascii="Times New Roman" w:eastAsia="Arial Unicode MS" w:hAnsi="Times New Roman" w:cs="Times New Roman"/>
          <w:b/>
          <w:bCs/>
          <w:kern w:val="0"/>
          <w:bdr w:val="nil"/>
          <w14:ligatures w14:val="none"/>
        </w:rPr>
        <w:t>PROJEKT LIGJ</w:t>
      </w:r>
    </w:p>
    <w:p w14:paraId="1480AEB9" w14:textId="77777777" w:rsidR="00C76278" w:rsidRPr="00C76278" w:rsidRDefault="00C76278" w:rsidP="00C76278">
      <w:pPr>
        <w:autoSpaceDE w:val="0"/>
        <w:autoSpaceDN w:val="0"/>
        <w:adjustRightInd w:val="0"/>
        <w:spacing w:after="0" w:line="240" w:lineRule="auto"/>
        <w:ind w:firstLine="284"/>
        <w:jc w:val="center"/>
        <w:rPr>
          <w:rFonts w:ascii="Times New Roman" w:eastAsia="Arial Unicode MS" w:hAnsi="Times New Roman" w:cs="Times New Roman"/>
          <w:b/>
          <w:bCs/>
          <w:kern w:val="0"/>
          <w:bdr w:val="nil"/>
          <w14:ligatures w14:val="none"/>
        </w:rPr>
      </w:pPr>
    </w:p>
    <w:p w14:paraId="27BBA29C" w14:textId="77777777" w:rsidR="00C76278" w:rsidRPr="00C76278" w:rsidRDefault="00C76278" w:rsidP="00C76278">
      <w:pPr>
        <w:autoSpaceDE w:val="0"/>
        <w:autoSpaceDN w:val="0"/>
        <w:adjustRightInd w:val="0"/>
        <w:spacing w:after="0" w:line="240" w:lineRule="auto"/>
        <w:ind w:firstLine="284"/>
        <w:jc w:val="center"/>
        <w:rPr>
          <w:rFonts w:ascii="Times New Roman" w:eastAsia="Arial Unicode MS" w:hAnsi="Times New Roman" w:cs="Times New Roman"/>
          <w:b/>
          <w:bCs/>
          <w:kern w:val="0"/>
          <w:bdr w:val="nil"/>
          <w14:ligatures w14:val="none"/>
        </w:rPr>
      </w:pPr>
      <w:r w:rsidRPr="00C76278">
        <w:rPr>
          <w:rFonts w:ascii="Times New Roman" w:eastAsia="Arial Unicode MS" w:hAnsi="Times New Roman" w:cs="Times New Roman"/>
          <w:b/>
          <w:bCs/>
          <w:kern w:val="0"/>
          <w:bdr w:val="nil"/>
          <w14:ligatures w14:val="none"/>
        </w:rPr>
        <w:t xml:space="preserve">Nr. ____/2025 </w:t>
      </w:r>
    </w:p>
    <w:p w14:paraId="645A0560" w14:textId="77777777" w:rsidR="00C76278" w:rsidRPr="00C76278" w:rsidRDefault="00C76278" w:rsidP="00C76278">
      <w:pPr>
        <w:autoSpaceDE w:val="0"/>
        <w:autoSpaceDN w:val="0"/>
        <w:adjustRightInd w:val="0"/>
        <w:spacing w:after="0" w:line="240" w:lineRule="auto"/>
        <w:ind w:firstLine="284"/>
        <w:jc w:val="center"/>
        <w:rPr>
          <w:rFonts w:ascii="Times New Roman" w:eastAsia="Arial Unicode MS" w:hAnsi="Times New Roman" w:cs="Times New Roman"/>
          <w:b/>
          <w:bCs/>
          <w:kern w:val="0"/>
          <w:bdr w:val="nil"/>
          <w14:ligatures w14:val="none"/>
        </w:rPr>
      </w:pPr>
    </w:p>
    <w:p w14:paraId="7AE0D0D0" w14:textId="68262BC1" w:rsidR="00C76278" w:rsidRPr="005A2AF4" w:rsidRDefault="00C76278" w:rsidP="005A2AF4">
      <w:pPr>
        <w:autoSpaceDE w:val="0"/>
        <w:autoSpaceDN w:val="0"/>
        <w:adjustRightInd w:val="0"/>
        <w:spacing w:after="0" w:line="240" w:lineRule="auto"/>
        <w:jc w:val="center"/>
        <w:rPr>
          <w:rFonts w:ascii="Times New Roman" w:eastAsia="Arial Unicode MS" w:hAnsi="Times New Roman" w:cs="Times New Roman"/>
          <w:b/>
          <w:bCs/>
          <w:kern w:val="0"/>
          <w:bdr w:val="nil"/>
          <w:lang w:val="en-US"/>
          <w14:ligatures w14:val="none"/>
        </w:rPr>
      </w:pPr>
      <w:r w:rsidRPr="00C76278">
        <w:rPr>
          <w:rFonts w:ascii="Times New Roman" w:eastAsia="Arial Unicode MS" w:hAnsi="Times New Roman" w:cs="Times New Roman"/>
          <w:b/>
          <w:bCs/>
          <w:kern w:val="0"/>
          <w:bdr w:val="nil"/>
          <w14:ligatures w14:val="none"/>
        </w:rPr>
        <w:t xml:space="preserve">PËR DISA SHTESA DHE NDRYSHIME NË LIGJIN NR. </w:t>
      </w:r>
      <w:r w:rsidR="00A32EFB" w:rsidRPr="00A32EFB">
        <w:rPr>
          <w:rFonts w:ascii="Times New Roman" w:eastAsia="Arial Unicode MS" w:hAnsi="Times New Roman" w:cs="Times New Roman"/>
          <w:b/>
          <w:bCs/>
          <w:kern w:val="0"/>
          <w:bdr w:val="nil"/>
          <w14:ligatures w14:val="none"/>
        </w:rPr>
        <w:t>10 236, datë 18.2.2010</w:t>
      </w:r>
      <w:r w:rsidRPr="00C76278">
        <w:rPr>
          <w:rFonts w:ascii="Times New Roman" w:eastAsia="Arial Unicode MS" w:hAnsi="Times New Roman" w:cs="Times New Roman"/>
          <w:b/>
          <w:bCs/>
          <w:kern w:val="0"/>
          <w:bdr w:val="nil"/>
          <w14:ligatures w14:val="none"/>
        </w:rPr>
        <w:t xml:space="preserve">, </w:t>
      </w:r>
      <w:r w:rsidR="005A2AF4" w:rsidRPr="005A2AF4">
        <w:rPr>
          <w:rFonts w:ascii="Times New Roman" w:eastAsia="Arial Unicode MS" w:hAnsi="Times New Roman" w:cs="Times New Roman"/>
          <w:b/>
          <w:bCs/>
          <w:kern w:val="0"/>
          <w:bdr w:val="nil"/>
          <w:lang w:val="en-US"/>
          <w14:ligatures w14:val="none"/>
        </w:rPr>
        <w:t xml:space="preserve"> </w:t>
      </w:r>
      <w:r w:rsidR="005A2AF4">
        <w:rPr>
          <w:rFonts w:ascii="Times New Roman" w:eastAsia="Arial Unicode MS" w:hAnsi="Times New Roman" w:cs="Times New Roman"/>
          <w:b/>
          <w:bCs/>
          <w:kern w:val="0"/>
          <w:bdr w:val="nil"/>
          <w:lang w:val="en-US"/>
          <w14:ligatures w14:val="none"/>
        </w:rPr>
        <w:t>“</w:t>
      </w:r>
      <w:r w:rsidR="005A2AF4" w:rsidRPr="005A2AF4">
        <w:rPr>
          <w:rFonts w:ascii="Times New Roman" w:eastAsia="Arial Unicode MS" w:hAnsi="Times New Roman" w:cs="Times New Roman"/>
          <w:b/>
          <w:bCs/>
          <w:kern w:val="0"/>
          <w:bdr w:val="nil"/>
          <w:lang w:val="en-US"/>
          <w14:ligatures w14:val="none"/>
        </w:rPr>
        <w:t>PËR MARRJEN NË KONTROLL TË SHOQËRIVE ME OFERTË PUBLIKE</w:t>
      </w:r>
      <w:r w:rsidR="005A2AF4">
        <w:rPr>
          <w:rFonts w:ascii="Times New Roman" w:eastAsia="Arial Unicode MS" w:hAnsi="Times New Roman" w:cs="Times New Roman"/>
          <w:b/>
          <w:bCs/>
          <w:kern w:val="0"/>
          <w:bdr w:val="nil"/>
          <w:lang w:val="en-US"/>
          <w14:ligatures w14:val="none"/>
        </w:rPr>
        <w:t>”</w:t>
      </w:r>
      <w:r w:rsidRPr="00C76278">
        <w:rPr>
          <w:rFonts w:ascii="Times New Roman" w:eastAsia="Arial Unicode MS" w:hAnsi="Times New Roman" w:cs="Times New Roman"/>
          <w:b/>
          <w:bCs/>
          <w:kern w:val="0"/>
          <w:bdr w:val="nil"/>
          <w:vertAlign w:val="superscript"/>
          <w14:ligatures w14:val="none"/>
        </w:rPr>
        <w:footnoteReference w:id="1"/>
      </w:r>
    </w:p>
    <w:p w14:paraId="1DB7B147" w14:textId="77777777" w:rsidR="00C76278" w:rsidRPr="00C76278" w:rsidRDefault="00C76278" w:rsidP="00C76278">
      <w:pPr>
        <w:autoSpaceDE w:val="0"/>
        <w:autoSpaceDN w:val="0"/>
        <w:adjustRightInd w:val="0"/>
        <w:spacing w:after="0" w:line="240" w:lineRule="auto"/>
        <w:rPr>
          <w:rFonts w:ascii="Times New Roman" w:eastAsia="Arial Unicode MS" w:hAnsi="Times New Roman" w:cs="Times New Roman"/>
          <w:b/>
          <w:bCs/>
          <w:kern w:val="0"/>
          <w:bdr w:val="nil"/>
          <w14:ligatures w14:val="none"/>
        </w:rPr>
      </w:pPr>
    </w:p>
    <w:p w14:paraId="01E54661" w14:textId="77777777" w:rsidR="00A86051" w:rsidRDefault="00C76278" w:rsidP="00C76278">
      <w:pPr>
        <w:autoSpaceDE w:val="0"/>
        <w:autoSpaceDN w:val="0"/>
        <w:adjustRightInd w:val="0"/>
        <w:spacing w:after="0" w:line="240" w:lineRule="auto"/>
        <w:ind w:firstLine="284"/>
        <w:jc w:val="both"/>
        <w:rPr>
          <w:rFonts w:ascii="Times New Roman" w:eastAsia="Arial Unicode MS" w:hAnsi="Times New Roman" w:cs="Times New Roman"/>
          <w:kern w:val="0"/>
          <w:bdr w:val="nil"/>
          <w14:ligatures w14:val="none"/>
        </w:rPr>
      </w:pPr>
      <w:r w:rsidRPr="00C76278">
        <w:rPr>
          <w:rFonts w:ascii="Times New Roman" w:eastAsia="Arial Unicode MS" w:hAnsi="Times New Roman" w:cs="Times New Roman"/>
          <w:kern w:val="0"/>
          <w:bdr w:val="nil"/>
          <w14:ligatures w14:val="none"/>
        </w:rPr>
        <w:t xml:space="preserve">Në mbështetje të neneve 78 dhe 83, pika 1, të Kushtetutës, me propozimin e Këshillit të Ministrave, </w:t>
      </w:r>
    </w:p>
    <w:p w14:paraId="7A4DE429" w14:textId="77777777" w:rsidR="00A86051" w:rsidRDefault="00A86051" w:rsidP="00A86051">
      <w:pPr>
        <w:autoSpaceDE w:val="0"/>
        <w:autoSpaceDN w:val="0"/>
        <w:adjustRightInd w:val="0"/>
        <w:spacing w:after="0" w:line="240" w:lineRule="auto"/>
        <w:jc w:val="both"/>
        <w:rPr>
          <w:rFonts w:ascii="Times New Roman" w:eastAsia="Arial Unicode MS" w:hAnsi="Times New Roman" w:cs="Times New Roman"/>
          <w:kern w:val="0"/>
          <w:bdr w:val="nil"/>
          <w14:ligatures w14:val="none"/>
        </w:rPr>
      </w:pPr>
    </w:p>
    <w:p w14:paraId="2B18B20F" w14:textId="5E3F79B2" w:rsidR="00C76278" w:rsidRPr="00201A1C" w:rsidRDefault="00C76278" w:rsidP="00A86051">
      <w:pPr>
        <w:autoSpaceDE w:val="0"/>
        <w:autoSpaceDN w:val="0"/>
        <w:adjustRightInd w:val="0"/>
        <w:spacing w:after="0" w:line="240" w:lineRule="auto"/>
        <w:jc w:val="center"/>
        <w:rPr>
          <w:rFonts w:ascii="Times New Roman" w:eastAsia="Arial Unicode MS" w:hAnsi="Times New Roman" w:cs="Times New Roman"/>
          <w:b/>
          <w:bCs/>
          <w:kern w:val="0"/>
          <w:bdr w:val="nil"/>
          <w14:ligatures w14:val="none"/>
        </w:rPr>
      </w:pPr>
      <w:r w:rsidRPr="00201A1C">
        <w:rPr>
          <w:rFonts w:ascii="Times New Roman" w:eastAsia="Arial Unicode MS" w:hAnsi="Times New Roman" w:cs="Times New Roman"/>
          <w:b/>
          <w:bCs/>
          <w:kern w:val="0"/>
          <w:bdr w:val="nil"/>
          <w14:ligatures w14:val="none"/>
        </w:rPr>
        <w:t>KUVENDI I REPUBLIKËS SË SHQIPËRISË</w:t>
      </w:r>
    </w:p>
    <w:p w14:paraId="6D73A4F1" w14:textId="77777777" w:rsidR="00C76278" w:rsidRPr="00C76278" w:rsidRDefault="00C76278" w:rsidP="00C76278">
      <w:pPr>
        <w:autoSpaceDE w:val="0"/>
        <w:autoSpaceDN w:val="0"/>
        <w:adjustRightInd w:val="0"/>
        <w:spacing w:after="0" w:line="240" w:lineRule="auto"/>
        <w:ind w:firstLine="284"/>
        <w:rPr>
          <w:rFonts w:ascii="Times New Roman" w:eastAsia="Arial Unicode MS" w:hAnsi="Times New Roman" w:cs="Times New Roman"/>
          <w:kern w:val="0"/>
          <w:bdr w:val="nil"/>
          <w14:ligatures w14:val="none"/>
        </w:rPr>
      </w:pPr>
    </w:p>
    <w:p w14:paraId="088B93EF" w14:textId="77777777" w:rsidR="00C76278" w:rsidRPr="00C76278" w:rsidRDefault="00C76278" w:rsidP="003D36B9">
      <w:pPr>
        <w:autoSpaceDE w:val="0"/>
        <w:autoSpaceDN w:val="0"/>
        <w:adjustRightInd w:val="0"/>
        <w:spacing w:after="0" w:line="240" w:lineRule="auto"/>
        <w:jc w:val="center"/>
        <w:rPr>
          <w:rFonts w:ascii="Times New Roman" w:eastAsia="Arial Unicode MS" w:hAnsi="Times New Roman" w:cs="Times New Roman"/>
          <w:b/>
          <w:bCs/>
          <w:kern w:val="0"/>
          <w:bdr w:val="nil"/>
          <w14:ligatures w14:val="none"/>
        </w:rPr>
      </w:pPr>
      <w:r w:rsidRPr="00C76278">
        <w:rPr>
          <w:rFonts w:ascii="Times New Roman" w:eastAsia="Arial Unicode MS" w:hAnsi="Times New Roman" w:cs="Times New Roman"/>
          <w:b/>
          <w:bCs/>
          <w:kern w:val="0"/>
          <w:bdr w:val="nil"/>
          <w14:ligatures w14:val="none"/>
        </w:rPr>
        <w:t>VENDOSI</w:t>
      </w:r>
    </w:p>
    <w:p w14:paraId="6DB6FE54" w14:textId="77777777" w:rsidR="00C76278" w:rsidRPr="00C76278" w:rsidRDefault="00C76278" w:rsidP="00C76278">
      <w:pPr>
        <w:autoSpaceDE w:val="0"/>
        <w:autoSpaceDN w:val="0"/>
        <w:adjustRightInd w:val="0"/>
        <w:spacing w:after="0" w:line="240" w:lineRule="auto"/>
        <w:rPr>
          <w:rFonts w:ascii="Times New Roman" w:eastAsia="Arial Unicode MS" w:hAnsi="Times New Roman" w:cs="Times New Roman"/>
          <w:kern w:val="0"/>
          <w:bdr w:val="nil"/>
          <w14:ligatures w14:val="none"/>
        </w:rPr>
      </w:pPr>
    </w:p>
    <w:p w14:paraId="2047D9CC" w14:textId="0E2E7CCD" w:rsidR="00C76278" w:rsidRPr="00C76278" w:rsidRDefault="00C76278" w:rsidP="00CE73F0">
      <w:pPr>
        <w:autoSpaceDE w:val="0"/>
        <w:autoSpaceDN w:val="0"/>
        <w:adjustRightInd w:val="0"/>
        <w:spacing w:after="0" w:line="240" w:lineRule="auto"/>
        <w:jc w:val="both"/>
        <w:rPr>
          <w:rFonts w:ascii="Times New Roman" w:eastAsia="Arial Unicode MS" w:hAnsi="Times New Roman" w:cs="Times New Roman"/>
          <w:kern w:val="0"/>
          <w:bdr w:val="nil"/>
          <w14:ligatures w14:val="none"/>
        </w:rPr>
      </w:pPr>
      <w:r w:rsidRPr="00C76278">
        <w:rPr>
          <w:rFonts w:ascii="Times New Roman" w:eastAsia="Arial Unicode MS" w:hAnsi="Times New Roman" w:cs="Times New Roman"/>
          <w:kern w:val="0"/>
          <w:bdr w:val="nil"/>
          <w14:ligatures w14:val="none"/>
        </w:rPr>
        <w:t xml:space="preserve">Në ligjin </w:t>
      </w:r>
      <w:r w:rsidR="005A2AF4">
        <w:rPr>
          <w:rFonts w:ascii="Times New Roman" w:eastAsia="Arial Unicode MS" w:hAnsi="Times New Roman" w:cs="Times New Roman"/>
          <w:kern w:val="0"/>
          <w:bdr w:val="nil"/>
          <w14:ligatures w14:val="none"/>
        </w:rPr>
        <w:t xml:space="preserve">nr. </w:t>
      </w:r>
      <w:r w:rsidR="005A2AF4" w:rsidRPr="005A2AF4">
        <w:rPr>
          <w:rFonts w:ascii="Times New Roman" w:eastAsia="Arial Unicode MS" w:hAnsi="Times New Roman" w:cs="Times New Roman"/>
          <w:kern w:val="0"/>
          <w:bdr w:val="nil"/>
          <w14:ligatures w14:val="none"/>
        </w:rPr>
        <w:t>10 236, datë 18.2.2010</w:t>
      </w:r>
      <w:r w:rsidRPr="00C76278">
        <w:rPr>
          <w:rFonts w:ascii="Times New Roman" w:eastAsia="Arial Unicode MS" w:hAnsi="Times New Roman" w:cs="Times New Roman"/>
          <w:kern w:val="0"/>
          <w:bdr w:val="nil"/>
          <w14:ligatures w14:val="none"/>
        </w:rPr>
        <w:t xml:space="preserve">, </w:t>
      </w:r>
      <w:r w:rsidR="003D36B9">
        <w:rPr>
          <w:rFonts w:ascii="Times New Roman" w:eastAsia="Arial Unicode MS" w:hAnsi="Times New Roman" w:cs="Times New Roman"/>
          <w:kern w:val="0"/>
          <w:bdr w:val="nil"/>
          <w14:ligatures w14:val="none"/>
        </w:rPr>
        <w:t>“</w:t>
      </w:r>
      <w:r w:rsidR="005A2AF4" w:rsidRPr="00AF55C4">
        <w:rPr>
          <w:rFonts w:ascii="Times New Roman" w:eastAsia="Arial Unicode MS" w:hAnsi="Times New Roman" w:cs="Times New Roman"/>
          <w:i/>
          <w:iCs/>
          <w:kern w:val="0"/>
          <w:bdr w:val="nil"/>
          <w14:ligatures w14:val="none"/>
        </w:rPr>
        <w:t>Për marrjen në kontroll të shoqërive me ofertë publike</w:t>
      </w:r>
      <w:r w:rsidR="005A2AF4">
        <w:rPr>
          <w:rFonts w:ascii="Times New Roman" w:eastAsia="Arial Unicode MS" w:hAnsi="Times New Roman" w:cs="Times New Roman"/>
          <w:kern w:val="0"/>
          <w:bdr w:val="nil"/>
          <w14:ligatures w14:val="none"/>
        </w:rPr>
        <w:t>”</w:t>
      </w:r>
      <w:r w:rsidRPr="00C76278">
        <w:rPr>
          <w:rFonts w:ascii="Times New Roman" w:eastAsia="Arial Unicode MS" w:hAnsi="Times New Roman" w:cs="Times New Roman"/>
          <w:kern w:val="0"/>
          <w:bdr w:val="nil"/>
          <w14:ligatures w14:val="none"/>
        </w:rPr>
        <w:t xml:space="preserve">, bëhen këto shtesa dhe ndryshime: </w:t>
      </w:r>
    </w:p>
    <w:p w14:paraId="2D23F39D" w14:textId="77777777" w:rsidR="00C76278" w:rsidRDefault="00C76278" w:rsidP="004C6011">
      <w:pPr>
        <w:jc w:val="both"/>
        <w:rPr>
          <w:rFonts w:ascii="Times New Roman" w:hAnsi="Times New Roman" w:cs="Times New Roman"/>
          <w:b/>
          <w:bCs/>
          <w:color w:val="0070C0"/>
        </w:rPr>
      </w:pPr>
    </w:p>
    <w:p w14:paraId="56A064CB" w14:textId="77777777" w:rsidR="003F2673" w:rsidRDefault="003F2673" w:rsidP="003F2673">
      <w:pPr>
        <w:pStyle w:val="NormalWeb"/>
        <w:jc w:val="center"/>
        <w:rPr>
          <w:rFonts w:eastAsia="Arial Unicode MS"/>
          <w:b/>
          <w:bCs/>
          <w:bdr w:val="nil"/>
          <w:lang w:eastAsia="en-US"/>
        </w:rPr>
      </w:pPr>
      <w:r w:rsidRPr="003F2673">
        <w:rPr>
          <w:rFonts w:eastAsia="Arial Unicode MS"/>
          <w:b/>
          <w:bCs/>
          <w:bdr w:val="nil"/>
          <w:lang w:eastAsia="en-US"/>
        </w:rPr>
        <w:t>Neni 1</w:t>
      </w:r>
    </w:p>
    <w:p w14:paraId="70B11074" w14:textId="2379B89B" w:rsidR="00112360" w:rsidRDefault="00F16D72" w:rsidP="00F16D72">
      <w:pPr>
        <w:pStyle w:val="NormalWeb"/>
        <w:jc w:val="both"/>
        <w:rPr>
          <w:rFonts w:eastAsia="Arial Unicode MS"/>
          <w:bdr w:val="nil"/>
          <w:lang w:eastAsia="en-US"/>
        </w:rPr>
      </w:pPr>
      <w:r w:rsidRPr="00F16D72">
        <w:rPr>
          <w:rFonts w:eastAsia="Arial Unicode MS"/>
          <w:bdr w:val="nil"/>
          <w:lang w:eastAsia="en-US"/>
        </w:rPr>
        <w:t xml:space="preserve">Në nenin 1, pika 2 ndryshon si më poshtë: </w:t>
      </w:r>
    </w:p>
    <w:p w14:paraId="35052B05" w14:textId="76317728" w:rsidR="00F16D72" w:rsidRPr="00F16D72" w:rsidRDefault="00F16D72" w:rsidP="00F16D72">
      <w:pPr>
        <w:pStyle w:val="NormalWeb"/>
        <w:jc w:val="both"/>
        <w:rPr>
          <w:rFonts w:eastAsia="Arial Unicode MS"/>
          <w:i/>
          <w:iCs/>
          <w:bdr w:val="nil"/>
          <w:lang w:eastAsia="en-US"/>
        </w:rPr>
      </w:pPr>
      <w:r w:rsidRPr="00F16D72">
        <w:rPr>
          <w:rFonts w:eastAsia="Arial Unicode MS"/>
          <w:bdr w:val="nil"/>
          <w:lang w:eastAsia="en-US"/>
        </w:rPr>
        <w:t>“</w:t>
      </w:r>
      <w:r w:rsidRPr="00F16D72">
        <w:rPr>
          <w:rFonts w:eastAsia="Arial Unicode MS"/>
          <w:i/>
          <w:iCs/>
          <w:bdr w:val="nil"/>
          <w:lang w:eastAsia="en-US"/>
        </w:rPr>
        <w:t>2. Ky ligj zbatohet për:</w:t>
      </w:r>
    </w:p>
    <w:p w14:paraId="03B8EA5A" w14:textId="360D1209" w:rsidR="000F7ACA" w:rsidRDefault="00F16D72" w:rsidP="00F16D72">
      <w:pPr>
        <w:pStyle w:val="NormalWeb"/>
        <w:jc w:val="both"/>
        <w:rPr>
          <w:rFonts w:eastAsia="Arial Unicode MS"/>
          <w:i/>
          <w:iCs/>
          <w:bdr w:val="nil"/>
          <w:lang w:eastAsia="en-US"/>
        </w:rPr>
      </w:pPr>
      <w:r w:rsidRPr="00F16D72">
        <w:rPr>
          <w:rFonts w:eastAsia="Arial Unicode MS"/>
          <w:i/>
          <w:iCs/>
          <w:bdr w:val="nil"/>
          <w:lang w:eastAsia="en-US"/>
        </w:rPr>
        <w:t>a) ofertat e shpallura publikisht për marrjen në zotërim të titujve</w:t>
      </w:r>
      <w:r w:rsidR="005B1BF6" w:rsidRPr="005B1BF6">
        <w:t xml:space="preserve"> </w:t>
      </w:r>
      <w:r w:rsidR="005B1BF6" w:rsidRPr="005B1BF6">
        <w:rPr>
          <w:rFonts w:eastAsia="Arial Unicode MS"/>
          <w:i/>
          <w:iCs/>
          <w:bdr w:val="nil"/>
          <w:lang w:eastAsia="en-US"/>
        </w:rPr>
        <w:t>me të drejtë vote</w:t>
      </w:r>
      <w:r w:rsidRPr="00F16D72">
        <w:rPr>
          <w:rFonts w:eastAsia="Arial Unicode MS"/>
          <w:i/>
          <w:iCs/>
          <w:bdr w:val="nil"/>
          <w:lang w:eastAsia="en-US"/>
        </w:rPr>
        <w:t>, të emetuar nga shoqëri publike me seli në Republikë</w:t>
      </w:r>
      <w:r w:rsidR="00C51788">
        <w:rPr>
          <w:rFonts w:eastAsia="Arial Unicode MS"/>
          <w:i/>
          <w:iCs/>
          <w:bdr w:val="nil"/>
          <w:lang w:eastAsia="en-US"/>
        </w:rPr>
        <w:t>n</w:t>
      </w:r>
      <w:r w:rsidRPr="00F16D72">
        <w:rPr>
          <w:rFonts w:eastAsia="Arial Unicode MS"/>
          <w:i/>
          <w:iCs/>
          <w:bdr w:val="nil"/>
          <w:lang w:eastAsia="en-US"/>
        </w:rPr>
        <w:t xml:space="preserve"> </w:t>
      </w:r>
      <w:r w:rsidR="00C51788">
        <w:rPr>
          <w:rFonts w:eastAsia="Arial Unicode MS"/>
          <w:i/>
          <w:iCs/>
          <w:bdr w:val="nil"/>
          <w:lang w:eastAsia="en-US"/>
        </w:rPr>
        <w:t>e</w:t>
      </w:r>
      <w:r w:rsidRPr="00F16D72">
        <w:rPr>
          <w:rFonts w:eastAsia="Arial Unicode MS"/>
          <w:i/>
          <w:iCs/>
          <w:bdr w:val="nil"/>
          <w:lang w:eastAsia="en-US"/>
        </w:rPr>
        <w:t xml:space="preserve"> Shqipërisë dhe të pranuar për tregtim në tregun e rregulluar në Shqipëri</w:t>
      </w:r>
      <w:r w:rsidR="00C51788">
        <w:rPr>
          <w:rFonts w:eastAsia="Arial Unicode MS"/>
          <w:i/>
          <w:iCs/>
          <w:bdr w:val="nil"/>
          <w:lang w:eastAsia="en-US"/>
        </w:rPr>
        <w:t>;</w:t>
      </w:r>
    </w:p>
    <w:p w14:paraId="4DA6EC7B" w14:textId="2FBFA542" w:rsidR="00F16D72" w:rsidRPr="00F16D72" w:rsidRDefault="00F16D72" w:rsidP="00F16D72">
      <w:pPr>
        <w:pStyle w:val="NormalWeb"/>
        <w:jc w:val="both"/>
        <w:rPr>
          <w:rFonts w:eastAsia="Arial Unicode MS"/>
          <w:i/>
          <w:iCs/>
          <w:bdr w:val="nil"/>
          <w:lang w:eastAsia="en-US"/>
        </w:rPr>
      </w:pPr>
      <w:r w:rsidRPr="00F16D72">
        <w:rPr>
          <w:rFonts w:eastAsia="Arial Unicode MS"/>
          <w:i/>
          <w:iCs/>
          <w:bdr w:val="nil"/>
          <w:lang w:eastAsia="en-US"/>
        </w:rPr>
        <w:t xml:space="preserve">b) </w:t>
      </w:r>
      <w:r w:rsidR="00996942" w:rsidRPr="00996942">
        <w:rPr>
          <w:rFonts w:eastAsia="Arial Unicode MS"/>
          <w:i/>
          <w:iCs/>
          <w:bdr w:val="nil"/>
          <w:lang w:eastAsia="en-US"/>
        </w:rPr>
        <w:t>ofertat e shpallura publikisht për marrjen në zotërim të titujve</w:t>
      </w:r>
      <w:r w:rsidR="00C51788" w:rsidRPr="00C51788">
        <w:rPr>
          <w:rFonts w:eastAsia="Arial Unicode MS"/>
          <w:i/>
          <w:iCs/>
          <w:bdr w:val="nil"/>
          <w:lang w:eastAsia="en-US"/>
        </w:rPr>
        <w:t xml:space="preserve"> </w:t>
      </w:r>
      <w:r w:rsidR="00C51788" w:rsidRPr="005B1BF6">
        <w:rPr>
          <w:rFonts w:eastAsia="Arial Unicode MS"/>
          <w:i/>
          <w:iCs/>
          <w:bdr w:val="nil"/>
          <w:lang w:eastAsia="en-US"/>
        </w:rPr>
        <w:t>me të drejtë vote</w:t>
      </w:r>
      <w:r w:rsidR="00996942" w:rsidRPr="00996942">
        <w:rPr>
          <w:rFonts w:eastAsia="Arial Unicode MS"/>
          <w:i/>
          <w:iCs/>
          <w:bdr w:val="nil"/>
          <w:lang w:eastAsia="en-US"/>
        </w:rPr>
        <w:t xml:space="preserve">, të emetuar nga shoqëri publike </w:t>
      </w:r>
      <w:r w:rsidR="00996942" w:rsidRPr="00F16D72">
        <w:rPr>
          <w:rFonts w:eastAsia="Arial Unicode MS"/>
          <w:i/>
          <w:iCs/>
          <w:bdr w:val="nil"/>
          <w:lang w:eastAsia="en-US"/>
        </w:rPr>
        <w:t>me seli</w:t>
      </w:r>
      <w:r w:rsidR="00996942" w:rsidRPr="00996942">
        <w:rPr>
          <w:rFonts w:eastAsia="Arial Unicode MS"/>
          <w:i/>
          <w:iCs/>
          <w:bdr w:val="nil"/>
          <w:lang w:eastAsia="en-US"/>
        </w:rPr>
        <w:t xml:space="preserve"> </w:t>
      </w:r>
      <w:r w:rsidRPr="00F16D72">
        <w:rPr>
          <w:rFonts w:eastAsia="Arial Unicode MS"/>
          <w:i/>
          <w:iCs/>
          <w:bdr w:val="nil"/>
          <w:lang w:eastAsia="en-US"/>
        </w:rPr>
        <w:t xml:space="preserve">në një shtet anëtar të Bashkimit Evropian ose të Zonës Ekonomike Evropiane, kur këta tituj janë të pranuar për tregtim në tregun e rregulluar </w:t>
      </w:r>
      <w:r w:rsidR="00EA4799">
        <w:rPr>
          <w:rFonts w:eastAsia="Arial Unicode MS"/>
          <w:i/>
          <w:iCs/>
          <w:bdr w:val="nil"/>
          <w:lang w:eastAsia="en-US"/>
        </w:rPr>
        <w:t>t</w:t>
      </w:r>
      <w:r w:rsidRPr="00F16D72">
        <w:rPr>
          <w:rFonts w:eastAsia="Arial Unicode MS"/>
          <w:i/>
          <w:iCs/>
          <w:bdr w:val="nil"/>
          <w:lang w:eastAsia="en-US"/>
        </w:rPr>
        <w:t>ë Republikë</w:t>
      </w:r>
      <w:r w:rsidR="00EA4799">
        <w:rPr>
          <w:rFonts w:eastAsia="Arial Unicode MS"/>
          <w:i/>
          <w:iCs/>
          <w:bdr w:val="nil"/>
          <w:lang w:eastAsia="en-US"/>
        </w:rPr>
        <w:t>s</w:t>
      </w:r>
      <w:r w:rsidRPr="00F16D72">
        <w:rPr>
          <w:rFonts w:eastAsia="Arial Unicode MS"/>
          <w:i/>
          <w:iCs/>
          <w:bdr w:val="nil"/>
          <w:lang w:eastAsia="en-US"/>
        </w:rPr>
        <w:t xml:space="preserve"> </w:t>
      </w:r>
      <w:r w:rsidR="00EA4799">
        <w:rPr>
          <w:rFonts w:eastAsia="Arial Unicode MS"/>
          <w:i/>
          <w:iCs/>
          <w:bdr w:val="nil"/>
          <w:lang w:eastAsia="en-US"/>
        </w:rPr>
        <w:t>së</w:t>
      </w:r>
      <w:r w:rsidRPr="00F16D72">
        <w:rPr>
          <w:rFonts w:eastAsia="Arial Unicode MS"/>
          <w:i/>
          <w:iCs/>
          <w:bdr w:val="nil"/>
          <w:lang w:eastAsia="en-US"/>
        </w:rPr>
        <w:t xml:space="preserve"> Shqipërisë.</w:t>
      </w:r>
      <w:r w:rsidRPr="00F16D72">
        <w:rPr>
          <w:rFonts w:eastAsia="Arial Unicode MS"/>
          <w:bdr w:val="nil"/>
          <w:lang w:eastAsia="en-US"/>
        </w:rPr>
        <w:t>”</w:t>
      </w:r>
      <w:r w:rsidR="00996942">
        <w:rPr>
          <w:rFonts w:eastAsia="Arial Unicode MS"/>
          <w:bdr w:val="nil"/>
          <w:lang w:eastAsia="en-US"/>
        </w:rPr>
        <w:t xml:space="preserve"> </w:t>
      </w:r>
      <w:r w:rsidR="00C51788">
        <w:rPr>
          <w:rFonts w:eastAsia="Arial Unicode MS"/>
          <w:bdr w:val="nil"/>
          <w:lang w:eastAsia="en-US"/>
        </w:rPr>
        <w:t xml:space="preserve"> </w:t>
      </w:r>
    </w:p>
    <w:p w14:paraId="76A8D311" w14:textId="2B7EF2BA" w:rsidR="00112360" w:rsidRPr="003F2673" w:rsidRDefault="00112360" w:rsidP="003F2673">
      <w:pPr>
        <w:pStyle w:val="NormalWeb"/>
        <w:jc w:val="center"/>
        <w:rPr>
          <w:rFonts w:eastAsia="Arial Unicode MS"/>
          <w:b/>
          <w:bCs/>
          <w:bdr w:val="nil"/>
          <w:lang w:eastAsia="en-US"/>
        </w:rPr>
      </w:pPr>
      <w:r>
        <w:rPr>
          <w:rFonts w:eastAsia="Arial Unicode MS"/>
          <w:b/>
          <w:bCs/>
          <w:bdr w:val="nil"/>
          <w:lang w:eastAsia="en-US"/>
        </w:rPr>
        <w:t>Neni 2</w:t>
      </w:r>
    </w:p>
    <w:p w14:paraId="6247A114" w14:textId="3827BE43" w:rsidR="003F2673" w:rsidRPr="00DA6956" w:rsidRDefault="00DA6956" w:rsidP="003F2673">
      <w:pPr>
        <w:pStyle w:val="NormalWeb"/>
        <w:rPr>
          <w:rFonts w:eastAsia="Arial Unicode MS"/>
          <w:bdr w:val="nil"/>
          <w:lang w:eastAsia="en-US"/>
        </w:rPr>
      </w:pPr>
      <w:r w:rsidRPr="00DA6956">
        <w:rPr>
          <w:rFonts w:eastAsia="Arial Unicode MS"/>
          <w:bdr w:val="nil"/>
          <w:lang w:eastAsia="en-US"/>
        </w:rPr>
        <w:t>Në nenin 2</w:t>
      </w:r>
      <w:r>
        <w:rPr>
          <w:rFonts w:eastAsia="Arial Unicode MS"/>
          <w:bdr w:val="nil"/>
          <w:lang w:eastAsia="en-US"/>
        </w:rPr>
        <w:t>, bëhen shtesat si më poshtë:</w:t>
      </w:r>
    </w:p>
    <w:p w14:paraId="16D0B944" w14:textId="77777777" w:rsidR="00AE5F29" w:rsidRDefault="003F2673" w:rsidP="003F2673">
      <w:pPr>
        <w:pStyle w:val="NormalWeb"/>
        <w:numPr>
          <w:ilvl w:val="0"/>
          <w:numId w:val="36"/>
        </w:numPr>
        <w:ind w:left="360"/>
        <w:jc w:val="both"/>
        <w:rPr>
          <w:rFonts w:eastAsia="Arial Unicode MS"/>
          <w:bdr w:val="nil"/>
          <w:lang w:eastAsia="en-US"/>
        </w:rPr>
      </w:pPr>
      <w:r w:rsidRPr="00DA6956">
        <w:rPr>
          <w:rFonts w:eastAsia="Arial Unicode MS"/>
          <w:bdr w:val="nil"/>
          <w:lang w:eastAsia="en-US"/>
        </w:rPr>
        <w:t xml:space="preserve">Në pikën “gj”, pas fjalisë së parë shtohet </w:t>
      </w:r>
      <w:r w:rsidR="00E217E7">
        <w:rPr>
          <w:rFonts w:eastAsia="Arial Unicode MS"/>
          <w:bdr w:val="nil"/>
          <w:lang w:eastAsia="en-US"/>
        </w:rPr>
        <w:t>fjalia</w:t>
      </w:r>
      <w:r w:rsidRPr="00DA6956">
        <w:rPr>
          <w:rFonts w:eastAsia="Arial Unicode MS"/>
          <w:bdr w:val="nil"/>
          <w:lang w:eastAsia="en-US"/>
        </w:rPr>
        <w:t xml:space="preserve">: </w:t>
      </w:r>
    </w:p>
    <w:p w14:paraId="4E73956A" w14:textId="624F49D7" w:rsidR="00747594" w:rsidRDefault="003F2673" w:rsidP="00AE5F29">
      <w:pPr>
        <w:pStyle w:val="NormalWeb"/>
        <w:ind w:left="360"/>
        <w:jc w:val="both"/>
        <w:rPr>
          <w:rFonts w:eastAsia="Arial Unicode MS"/>
          <w:bdr w:val="nil"/>
          <w:lang w:eastAsia="en-US"/>
        </w:rPr>
      </w:pPr>
      <w:r w:rsidRPr="00DA6956">
        <w:rPr>
          <w:rFonts w:eastAsia="Arial Unicode MS"/>
          <w:bdr w:val="nil"/>
          <w:lang w:eastAsia="en-US"/>
        </w:rPr>
        <w:lastRenderedPageBreak/>
        <w:t>“</w:t>
      </w:r>
      <w:r w:rsidRPr="00AE5F29">
        <w:rPr>
          <w:rFonts w:eastAsia="Arial Unicode MS"/>
          <w:i/>
          <w:iCs/>
          <w:bdr w:val="nil"/>
          <w:lang w:eastAsia="en-US"/>
        </w:rPr>
        <w:t xml:space="preserve">Ofertat mund të jenë të detyrueshme ose vullnetare, sipas </w:t>
      </w:r>
      <w:r w:rsidR="00E217E7" w:rsidRPr="00AE5F29">
        <w:rPr>
          <w:rFonts w:eastAsia="Arial Unicode MS"/>
          <w:i/>
          <w:iCs/>
          <w:bdr w:val="nil"/>
          <w:lang w:eastAsia="en-US"/>
        </w:rPr>
        <w:t>përcaktimeve</w:t>
      </w:r>
      <w:r w:rsidRPr="00AE5F29">
        <w:rPr>
          <w:rFonts w:eastAsia="Arial Unicode MS"/>
          <w:i/>
          <w:iCs/>
          <w:bdr w:val="nil"/>
          <w:lang w:eastAsia="en-US"/>
        </w:rPr>
        <w:t xml:space="preserve"> të këtij ligji.</w:t>
      </w:r>
      <w:r w:rsidRPr="00DA6956">
        <w:rPr>
          <w:rFonts w:eastAsia="Arial Unicode MS"/>
          <w:bdr w:val="nil"/>
          <w:lang w:eastAsia="en-US"/>
        </w:rPr>
        <w:t>”</w:t>
      </w:r>
    </w:p>
    <w:p w14:paraId="61932CCE" w14:textId="543AD782" w:rsidR="00AE5F29" w:rsidRPr="00AE5F29" w:rsidRDefault="003F2673" w:rsidP="00667826">
      <w:pPr>
        <w:pStyle w:val="NormalWeb"/>
        <w:numPr>
          <w:ilvl w:val="0"/>
          <w:numId w:val="36"/>
        </w:numPr>
        <w:ind w:left="360"/>
        <w:jc w:val="both"/>
        <w:rPr>
          <w:color w:val="0070C0"/>
        </w:rPr>
      </w:pPr>
      <w:r w:rsidRPr="00747594">
        <w:rPr>
          <w:rFonts w:eastAsia="Arial Unicode MS"/>
          <w:bdr w:val="nil"/>
          <w:lang w:eastAsia="en-US"/>
        </w:rPr>
        <w:t xml:space="preserve">Pas </w:t>
      </w:r>
      <w:r w:rsidR="00747594">
        <w:rPr>
          <w:rFonts w:eastAsia="Arial Unicode MS"/>
          <w:bdr w:val="nil"/>
          <w:lang w:eastAsia="en-US"/>
        </w:rPr>
        <w:t>shkronjës</w:t>
      </w:r>
      <w:r w:rsidRPr="00747594">
        <w:rPr>
          <w:rFonts w:eastAsia="Arial Unicode MS"/>
          <w:bdr w:val="nil"/>
          <w:lang w:eastAsia="en-US"/>
        </w:rPr>
        <w:t xml:space="preserve"> “n” shtohet </w:t>
      </w:r>
      <w:r w:rsidR="00AB724C">
        <w:rPr>
          <w:rFonts w:eastAsia="Arial Unicode MS"/>
          <w:bdr w:val="nil"/>
          <w:lang w:eastAsia="en-US"/>
        </w:rPr>
        <w:t>shkronja</w:t>
      </w:r>
      <w:r w:rsidRPr="00747594">
        <w:rPr>
          <w:rFonts w:eastAsia="Arial Unicode MS"/>
          <w:bdr w:val="nil"/>
          <w:lang w:eastAsia="en-US"/>
        </w:rPr>
        <w:t xml:space="preserve"> “n/1” me këtë përmbajtje: </w:t>
      </w:r>
    </w:p>
    <w:p w14:paraId="2EBEBC3B" w14:textId="6269EB92" w:rsidR="003F2673" w:rsidRDefault="00AE5F29" w:rsidP="009335E1">
      <w:pPr>
        <w:pStyle w:val="NormalWeb"/>
        <w:ind w:left="360"/>
        <w:jc w:val="both"/>
        <w:rPr>
          <w:rFonts w:eastAsia="Arial Unicode MS"/>
          <w:bdr w:val="nil"/>
          <w:lang w:eastAsia="en-US"/>
        </w:rPr>
      </w:pPr>
      <w:r>
        <w:rPr>
          <w:rFonts w:eastAsia="Arial Unicode MS"/>
          <w:bdr w:val="nil"/>
          <w:lang w:eastAsia="en-US"/>
        </w:rPr>
        <w:t>“</w:t>
      </w:r>
      <w:r w:rsidR="00CC20EC" w:rsidRPr="00CC20EC">
        <w:rPr>
          <w:rFonts w:eastAsia="Arial Unicode MS"/>
          <w:i/>
          <w:iCs/>
          <w:bdr w:val="nil"/>
          <w:lang w:eastAsia="en-US"/>
        </w:rPr>
        <w:t>n/1</w:t>
      </w:r>
      <w:r w:rsidR="00402722">
        <w:rPr>
          <w:rFonts w:eastAsia="Arial Unicode MS"/>
          <w:i/>
          <w:iCs/>
          <w:bdr w:val="nil"/>
          <w:lang w:eastAsia="en-US"/>
        </w:rPr>
        <w:t>)</w:t>
      </w:r>
      <w:r w:rsidR="00747594" w:rsidRPr="00CC20EC">
        <w:rPr>
          <w:rFonts w:eastAsia="Arial Unicode MS"/>
          <w:i/>
          <w:iCs/>
          <w:bdr w:val="nil"/>
          <w:lang w:eastAsia="en-US"/>
        </w:rPr>
        <w:t>“</w:t>
      </w:r>
      <w:r w:rsidR="00747594" w:rsidRPr="00AE5F29">
        <w:rPr>
          <w:rFonts w:eastAsia="Arial Unicode MS"/>
          <w:i/>
          <w:iCs/>
          <w:bdr w:val="nil"/>
          <w:lang w:eastAsia="en-US"/>
        </w:rPr>
        <w:t>Tituj me votim të shumëfishtë” nënkuptojnë tituj të përfshirë në një klasë të veçantë dhe të ndarë, dhe që mbajnë më shumë se një votë secili.</w:t>
      </w:r>
      <w:r w:rsidRPr="00AB724C">
        <w:rPr>
          <w:rFonts w:eastAsia="Arial Unicode MS"/>
          <w:bdr w:val="nil"/>
          <w:lang w:eastAsia="en-US"/>
        </w:rPr>
        <w:t>”</w:t>
      </w:r>
    </w:p>
    <w:p w14:paraId="411A501C" w14:textId="4C8C7846" w:rsidR="00F7407D" w:rsidRPr="00AE5F29" w:rsidRDefault="00F7407D" w:rsidP="00F7407D">
      <w:pPr>
        <w:pStyle w:val="NormalWeb"/>
        <w:numPr>
          <w:ilvl w:val="0"/>
          <w:numId w:val="36"/>
        </w:numPr>
        <w:ind w:left="360"/>
        <w:jc w:val="both"/>
        <w:rPr>
          <w:color w:val="0070C0"/>
        </w:rPr>
      </w:pPr>
      <w:r w:rsidRPr="00747594">
        <w:rPr>
          <w:rFonts w:eastAsia="Arial Unicode MS"/>
          <w:bdr w:val="nil"/>
          <w:lang w:eastAsia="en-US"/>
        </w:rPr>
        <w:t xml:space="preserve">Pas </w:t>
      </w:r>
      <w:r>
        <w:rPr>
          <w:rFonts w:eastAsia="Arial Unicode MS"/>
          <w:bdr w:val="nil"/>
          <w:lang w:eastAsia="en-US"/>
        </w:rPr>
        <w:t>shkronjës</w:t>
      </w:r>
      <w:r w:rsidRPr="00747594">
        <w:rPr>
          <w:rFonts w:eastAsia="Arial Unicode MS"/>
          <w:bdr w:val="nil"/>
          <w:lang w:eastAsia="en-US"/>
        </w:rPr>
        <w:t xml:space="preserve"> “</w:t>
      </w:r>
      <w:r>
        <w:rPr>
          <w:rFonts w:eastAsia="Arial Unicode MS"/>
          <w:bdr w:val="nil"/>
          <w:lang w:eastAsia="en-US"/>
        </w:rPr>
        <w:t>o</w:t>
      </w:r>
      <w:r w:rsidRPr="00747594">
        <w:rPr>
          <w:rFonts w:eastAsia="Arial Unicode MS"/>
          <w:bdr w:val="nil"/>
          <w:lang w:eastAsia="en-US"/>
        </w:rPr>
        <w:t xml:space="preserve">” shtohet </w:t>
      </w:r>
      <w:r>
        <w:rPr>
          <w:rFonts w:eastAsia="Arial Unicode MS"/>
          <w:bdr w:val="nil"/>
          <w:lang w:eastAsia="en-US"/>
        </w:rPr>
        <w:t>shkronja</w:t>
      </w:r>
      <w:r w:rsidRPr="00747594">
        <w:rPr>
          <w:rFonts w:eastAsia="Arial Unicode MS"/>
          <w:bdr w:val="nil"/>
          <w:lang w:eastAsia="en-US"/>
        </w:rPr>
        <w:t xml:space="preserve"> “</w:t>
      </w:r>
      <w:r w:rsidR="003F6BBE">
        <w:rPr>
          <w:rFonts w:eastAsia="Arial Unicode MS"/>
          <w:bdr w:val="nil"/>
          <w:lang w:eastAsia="en-US"/>
        </w:rPr>
        <w:t>p</w:t>
      </w:r>
      <w:r w:rsidRPr="00747594">
        <w:rPr>
          <w:rFonts w:eastAsia="Arial Unicode MS"/>
          <w:bdr w:val="nil"/>
          <w:lang w:eastAsia="en-US"/>
        </w:rPr>
        <w:t xml:space="preserve">” me këtë përmbajtje: </w:t>
      </w:r>
    </w:p>
    <w:p w14:paraId="674F350A" w14:textId="1FF211CC" w:rsidR="009329D2" w:rsidRPr="00112360" w:rsidRDefault="00C13112" w:rsidP="00075951">
      <w:pPr>
        <w:ind w:left="360"/>
        <w:jc w:val="both"/>
        <w:rPr>
          <w:rFonts w:ascii="Times New Roman" w:hAnsi="Times New Roman" w:cs="Times New Roman"/>
          <w:i/>
          <w:iCs/>
        </w:rPr>
      </w:pPr>
      <w:r>
        <w:rPr>
          <w:rFonts w:ascii="Times New Roman" w:hAnsi="Times New Roman" w:cs="Times New Roman"/>
        </w:rPr>
        <w:t>“</w:t>
      </w:r>
      <w:r w:rsidR="00E30135" w:rsidRPr="00E30135">
        <w:rPr>
          <w:rFonts w:ascii="Times New Roman" w:hAnsi="Times New Roman" w:cs="Times New Roman"/>
          <w:i/>
          <w:iCs/>
        </w:rPr>
        <w:t>p)</w:t>
      </w:r>
      <w:r w:rsidR="009329D2" w:rsidRPr="00E30135">
        <w:rPr>
          <w:rFonts w:ascii="Times New Roman" w:hAnsi="Times New Roman" w:cs="Times New Roman"/>
          <w:i/>
          <w:iCs/>
        </w:rPr>
        <w:t>“</w:t>
      </w:r>
      <w:r w:rsidR="009329D2" w:rsidRPr="00C13112">
        <w:rPr>
          <w:rFonts w:ascii="Times New Roman" w:hAnsi="Times New Roman" w:cs="Times New Roman"/>
          <w:i/>
          <w:iCs/>
        </w:rPr>
        <w:t xml:space="preserve">Shtetet Anëtare” </w:t>
      </w:r>
      <w:r w:rsidRPr="00C13112">
        <w:rPr>
          <w:rFonts w:ascii="Times New Roman" w:hAnsi="Times New Roman" w:cs="Times New Roman"/>
          <w:i/>
          <w:iCs/>
        </w:rPr>
        <w:t>janë</w:t>
      </w:r>
      <w:r w:rsidR="009329D2" w:rsidRPr="00C13112">
        <w:rPr>
          <w:rFonts w:ascii="Times New Roman" w:hAnsi="Times New Roman" w:cs="Times New Roman"/>
          <w:i/>
          <w:iCs/>
        </w:rPr>
        <w:t xml:space="preserve"> </w:t>
      </w:r>
      <w:r w:rsidRPr="00C13112">
        <w:rPr>
          <w:rFonts w:ascii="Times New Roman" w:hAnsi="Times New Roman" w:cs="Times New Roman"/>
          <w:i/>
          <w:iCs/>
        </w:rPr>
        <w:t xml:space="preserve">shtetet </w:t>
      </w:r>
      <w:r w:rsidR="008F7AA0">
        <w:rPr>
          <w:rFonts w:ascii="Times New Roman" w:hAnsi="Times New Roman" w:cs="Times New Roman"/>
          <w:i/>
          <w:iCs/>
        </w:rPr>
        <w:t xml:space="preserve">e </w:t>
      </w:r>
      <w:r w:rsidR="00075951" w:rsidRPr="00075951">
        <w:rPr>
          <w:rFonts w:ascii="Times New Roman" w:hAnsi="Times New Roman" w:cs="Times New Roman"/>
          <w:i/>
          <w:iCs/>
        </w:rPr>
        <w:t>Bashkimit Evropian ose të Zonës Ekonomike Evropiane</w:t>
      </w:r>
      <w:r w:rsidR="009329D2" w:rsidRPr="00C13112">
        <w:rPr>
          <w:rFonts w:ascii="Times New Roman" w:hAnsi="Times New Roman" w:cs="Times New Roman"/>
          <w:i/>
          <w:iCs/>
        </w:rPr>
        <w:t>.</w:t>
      </w:r>
      <w:r w:rsidRPr="00C13112">
        <w:rPr>
          <w:rFonts w:ascii="Times New Roman" w:hAnsi="Times New Roman" w:cs="Times New Roman"/>
        </w:rPr>
        <w:t>”</w:t>
      </w:r>
    </w:p>
    <w:p w14:paraId="6EE6C4FA" w14:textId="198B427B" w:rsidR="003F2673" w:rsidRPr="009335E1" w:rsidRDefault="009335E1" w:rsidP="009335E1">
      <w:pPr>
        <w:pStyle w:val="NormalWeb"/>
        <w:jc w:val="center"/>
        <w:rPr>
          <w:b/>
          <w:bCs/>
        </w:rPr>
      </w:pPr>
      <w:r w:rsidRPr="009335E1">
        <w:rPr>
          <w:b/>
          <w:bCs/>
        </w:rPr>
        <w:t xml:space="preserve">Neni </w:t>
      </w:r>
      <w:r w:rsidR="00112360">
        <w:rPr>
          <w:b/>
          <w:bCs/>
        </w:rPr>
        <w:t>3</w:t>
      </w:r>
    </w:p>
    <w:p w14:paraId="12C1E16D" w14:textId="631ED5DB" w:rsidR="00534ABA" w:rsidRPr="00534ABA" w:rsidRDefault="00534ABA" w:rsidP="00534ABA">
      <w:pPr>
        <w:pStyle w:val="NormalWeb"/>
        <w:jc w:val="both"/>
        <w:rPr>
          <w:bCs/>
        </w:rPr>
      </w:pPr>
      <w:r w:rsidRPr="00257F3A">
        <w:rPr>
          <w:bCs/>
        </w:rPr>
        <w:t>Në nenin 3</w:t>
      </w:r>
      <w:r w:rsidR="00BB5F6D" w:rsidRPr="00257F3A">
        <w:rPr>
          <w:bCs/>
        </w:rPr>
        <w:t xml:space="preserve">, </w:t>
      </w:r>
      <w:r w:rsidR="00257F3A" w:rsidRPr="00257F3A">
        <w:rPr>
          <w:bCs/>
        </w:rPr>
        <w:t>në shkronjën “d”</w:t>
      </w:r>
      <w:r w:rsidR="00257F3A">
        <w:rPr>
          <w:bCs/>
        </w:rPr>
        <w:t>, pas togfjalëshit “</w:t>
      </w:r>
      <w:r w:rsidR="00257F3A" w:rsidRPr="00534ABA">
        <w:rPr>
          <w:bCs/>
          <w:i/>
          <w:iCs/>
        </w:rPr>
        <w:t>në interesin më të mirë të shoqërisë, si një e tërë</w:t>
      </w:r>
      <w:r w:rsidR="00257F3A">
        <w:rPr>
          <w:bCs/>
        </w:rPr>
        <w:t>”</w:t>
      </w:r>
      <w:r w:rsidR="00257F3A" w:rsidRPr="00257F3A">
        <w:rPr>
          <w:bCs/>
        </w:rPr>
        <w:t xml:space="preserve"> </w:t>
      </w:r>
      <w:r w:rsidR="00257F3A">
        <w:rPr>
          <w:bCs/>
        </w:rPr>
        <w:t xml:space="preserve">shtohet </w:t>
      </w:r>
      <w:r w:rsidR="002F3929">
        <w:rPr>
          <w:bCs/>
        </w:rPr>
        <w:t xml:space="preserve">togfjalëshi </w:t>
      </w:r>
      <w:r w:rsidR="00BB5F6D" w:rsidRPr="00257F3A">
        <w:rPr>
          <w:bCs/>
        </w:rPr>
        <w:t xml:space="preserve"> </w:t>
      </w:r>
      <w:r w:rsidRPr="00534ABA">
        <w:rPr>
          <w:bCs/>
        </w:rPr>
        <w:t>“</w:t>
      </w:r>
      <w:r w:rsidRPr="00534ABA">
        <w:rPr>
          <w:bCs/>
          <w:i/>
          <w:iCs/>
        </w:rPr>
        <w:t>dhe nuk u mohon aksionarëve mundësinë për të vendosur mbi vlerën e ofertës</w:t>
      </w:r>
      <w:r w:rsidRPr="00534ABA">
        <w:rPr>
          <w:bCs/>
        </w:rPr>
        <w:t>”.</w:t>
      </w:r>
    </w:p>
    <w:p w14:paraId="6F2BADB4" w14:textId="4635F856" w:rsidR="006D7E3F" w:rsidRDefault="006D7E3F" w:rsidP="00ED4187">
      <w:pPr>
        <w:pStyle w:val="NormalWeb"/>
        <w:jc w:val="center"/>
        <w:rPr>
          <w:b/>
          <w:bCs/>
        </w:rPr>
      </w:pPr>
      <w:r>
        <w:rPr>
          <w:b/>
          <w:bCs/>
        </w:rPr>
        <w:t>Neni 4</w:t>
      </w:r>
    </w:p>
    <w:p w14:paraId="45B8BAC2" w14:textId="53F26B10" w:rsidR="006D7E3F" w:rsidRDefault="006D7E3F" w:rsidP="00501C95">
      <w:pPr>
        <w:pStyle w:val="NormalWeb"/>
        <w:jc w:val="both"/>
      </w:pPr>
      <w:r w:rsidRPr="00CF48BC">
        <w:t>Në nenin 7</w:t>
      </w:r>
      <w:r w:rsidR="00F622F6" w:rsidRPr="00CF48BC">
        <w:t xml:space="preserve">, </w:t>
      </w:r>
      <w:r w:rsidR="00501C95">
        <w:t>n</w:t>
      </w:r>
      <w:r w:rsidR="00F622F6" w:rsidRPr="00CF48BC">
        <w:t xml:space="preserve">ë pikën 1, pas shkronjës </w:t>
      </w:r>
      <w:r w:rsidR="00CF48BC">
        <w:t>“j”, shtohet shkronja “</w:t>
      </w:r>
      <w:r w:rsidR="00C31ACA">
        <w:t>k</w:t>
      </w:r>
      <w:r w:rsidR="00CF48BC">
        <w:t>”, me kë</w:t>
      </w:r>
      <w:r w:rsidR="00E85346">
        <w:t>të përmbajtje:</w:t>
      </w:r>
    </w:p>
    <w:p w14:paraId="04711B3D" w14:textId="437975D7" w:rsidR="00E85346" w:rsidRDefault="00E85346" w:rsidP="00CF48BC">
      <w:pPr>
        <w:pStyle w:val="NormalWeb"/>
        <w:jc w:val="both"/>
      </w:pPr>
      <w:r>
        <w:t>“</w:t>
      </w:r>
      <w:r w:rsidR="003F6BBE" w:rsidRPr="00BC6B8B">
        <w:rPr>
          <w:i/>
          <w:iCs/>
        </w:rPr>
        <w:t>k)</w:t>
      </w:r>
      <w:r w:rsidR="003F6BBE">
        <w:t xml:space="preserve"> </w:t>
      </w:r>
      <w:r w:rsidR="00B32496" w:rsidRPr="00B300E1">
        <w:rPr>
          <w:i/>
          <w:iCs/>
        </w:rPr>
        <w:t xml:space="preserve">Të dhëna të detajuara </w:t>
      </w:r>
      <w:r w:rsidR="00936383" w:rsidRPr="00B300E1">
        <w:rPr>
          <w:i/>
          <w:iCs/>
        </w:rPr>
        <w:t>mbi mënyrën e pagesës</w:t>
      </w:r>
      <w:r w:rsidR="00936383">
        <w:t xml:space="preserve"> së </w:t>
      </w:r>
      <w:r w:rsidR="00936383">
        <w:rPr>
          <w:i/>
          <w:iCs/>
        </w:rPr>
        <w:t>d</w:t>
      </w:r>
      <w:r w:rsidR="003B4D93">
        <w:rPr>
          <w:i/>
          <w:iCs/>
        </w:rPr>
        <w:t>ëmshpërblimit</w:t>
      </w:r>
      <w:r w:rsidR="002C6994" w:rsidRPr="002C6994">
        <w:rPr>
          <w:i/>
          <w:iCs/>
        </w:rPr>
        <w:t xml:space="preserve"> </w:t>
      </w:r>
      <w:r w:rsidR="00772F57" w:rsidRPr="00772F57">
        <w:rPr>
          <w:i/>
          <w:iCs/>
        </w:rPr>
        <w:t>për çdo humbje të shkaktuar</w:t>
      </w:r>
      <w:r w:rsidR="002C6994" w:rsidRPr="002C6994">
        <w:rPr>
          <w:i/>
          <w:iCs/>
        </w:rPr>
        <w:t xml:space="preserve"> si rezultat </w:t>
      </w:r>
      <w:r w:rsidR="00641620">
        <w:rPr>
          <w:i/>
          <w:iCs/>
        </w:rPr>
        <w:t xml:space="preserve">i </w:t>
      </w:r>
      <w:r w:rsidR="00031A25">
        <w:rPr>
          <w:i/>
          <w:iCs/>
        </w:rPr>
        <w:t>zbatimit të normave</w:t>
      </w:r>
      <w:r w:rsidR="00031A25" w:rsidRPr="00031A25">
        <w:rPr>
          <w:i/>
          <w:iCs/>
        </w:rPr>
        <w:t xml:space="preserve"> </w:t>
      </w:r>
      <w:r w:rsidR="00772F57">
        <w:rPr>
          <w:i/>
          <w:iCs/>
        </w:rPr>
        <w:t>nga Asambleja e Përgjithshme</w:t>
      </w:r>
      <w:r w:rsidR="00031A25">
        <w:rPr>
          <w:i/>
          <w:iCs/>
        </w:rPr>
        <w:t xml:space="preserve"> sipas</w:t>
      </w:r>
      <w:r w:rsidR="002C6994" w:rsidRPr="002C6994">
        <w:rPr>
          <w:i/>
          <w:iCs/>
        </w:rPr>
        <w:t xml:space="preserve"> </w:t>
      </w:r>
      <w:r w:rsidR="00772F57">
        <w:rPr>
          <w:i/>
          <w:iCs/>
        </w:rPr>
        <w:t>nenit</w:t>
      </w:r>
      <w:r w:rsidR="002C6994" w:rsidRPr="002C6994">
        <w:rPr>
          <w:i/>
          <w:iCs/>
        </w:rPr>
        <w:t xml:space="preserve"> 17, pika </w:t>
      </w:r>
      <w:r w:rsidR="00772F57">
        <w:rPr>
          <w:i/>
          <w:iCs/>
        </w:rPr>
        <w:t>1</w:t>
      </w:r>
      <w:r w:rsidR="002C6994" w:rsidRPr="002C6994">
        <w:rPr>
          <w:i/>
          <w:iCs/>
        </w:rPr>
        <w:t>, të ligjit</w:t>
      </w:r>
      <w:r w:rsidR="00B300E1">
        <w:rPr>
          <w:i/>
          <w:iCs/>
        </w:rPr>
        <w:t xml:space="preserve"> </w:t>
      </w:r>
      <w:r w:rsidR="00B300E1" w:rsidRPr="00B300E1">
        <w:rPr>
          <w:i/>
          <w:iCs/>
        </w:rPr>
        <w:t>dhe metod</w:t>
      </w:r>
      <w:r w:rsidR="00B300E1">
        <w:rPr>
          <w:i/>
          <w:iCs/>
        </w:rPr>
        <w:t>a</w:t>
      </w:r>
      <w:r w:rsidR="00B300E1" w:rsidRPr="00B300E1">
        <w:rPr>
          <w:i/>
          <w:iCs/>
        </w:rPr>
        <w:t xml:space="preserve"> e përdorur për përcaktimin e tij</w:t>
      </w:r>
      <w:r w:rsidR="002C6994">
        <w:t>”</w:t>
      </w:r>
    </w:p>
    <w:p w14:paraId="23B527C2" w14:textId="167A5C17" w:rsidR="003F2673" w:rsidRDefault="00ED4187" w:rsidP="00ED4187">
      <w:pPr>
        <w:pStyle w:val="NormalWeb"/>
        <w:jc w:val="center"/>
        <w:rPr>
          <w:b/>
          <w:bCs/>
        </w:rPr>
      </w:pPr>
      <w:r w:rsidRPr="00AC10BC">
        <w:rPr>
          <w:b/>
          <w:bCs/>
        </w:rPr>
        <w:t xml:space="preserve">Neni </w:t>
      </w:r>
      <w:r w:rsidR="00CC5C45">
        <w:rPr>
          <w:b/>
          <w:bCs/>
        </w:rPr>
        <w:t>5</w:t>
      </w:r>
    </w:p>
    <w:p w14:paraId="22F913D0" w14:textId="369AED76" w:rsidR="00382AA4" w:rsidRDefault="00FC3B93" w:rsidP="009008EE">
      <w:pPr>
        <w:pStyle w:val="NormalWeb"/>
        <w:jc w:val="both"/>
      </w:pPr>
      <w:r w:rsidRPr="00FC3B93">
        <w:t>Në</w:t>
      </w:r>
      <w:r>
        <w:t xml:space="preserve"> nenin </w:t>
      </w:r>
      <w:r w:rsidR="00B24202">
        <w:t xml:space="preserve">13, </w:t>
      </w:r>
      <w:r w:rsidR="00880F99">
        <w:t xml:space="preserve">bëhen këto </w:t>
      </w:r>
      <w:r w:rsidR="00A7086D">
        <w:t>shtesa:</w:t>
      </w:r>
    </w:p>
    <w:p w14:paraId="3BB59390" w14:textId="25EB2FB8" w:rsidR="00222B90" w:rsidRDefault="00222B90" w:rsidP="00382AA4">
      <w:pPr>
        <w:pStyle w:val="NormalWeb"/>
        <w:numPr>
          <w:ilvl w:val="0"/>
          <w:numId w:val="39"/>
        </w:numPr>
        <w:jc w:val="both"/>
      </w:pPr>
      <w:r>
        <w:t>Në pikë</w:t>
      </w:r>
      <w:r w:rsidR="00B67CBC">
        <w:t>s</w:t>
      </w:r>
      <w:r>
        <w:t xml:space="preserve"> 1, shtohet pika </w:t>
      </w:r>
      <w:r w:rsidR="00B67CBC">
        <w:t>1/1 dhe 1/2,</w:t>
      </w:r>
      <w:r w:rsidRPr="00222B90">
        <w:t xml:space="preserve"> </w:t>
      </w:r>
      <w:r>
        <w:t>me këtë përmbajtje:</w:t>
      </w:r>
    </w:p>
    <w:p w14:paraId="2FB161E5" w14:textId="1FD08D13" w:rsidR="00222B90" w:rsidRDefault="00222B90" w:rsidP="00222B90">
      <w:pPr>
        <w:pStyle w:val="NormalWeb"/>
        <w:jc w:val="both"/>
      </w:pPr>
      <w:r>
        <w:t>“</w:t>
      </w:r>
      <w:r w:rsidR="00B67CBC">
        <w:rPr>
          <w:i/>
          <w:iCs/>
        </w:rPr>
        <w:t>1/1</w:t>
      </w:r>
      <w:r w:rsidRPr="00156D77">
        <w:rPr>
          <w:i/>
          <w:iCs/>
        </w:rPr>
        <w:t xml:space="preserve"> Nëse, pasi oferta bëhet publike dhe para se oferta të mbyllet për pranimin, ofertuesi ose ndonjë person që vepron në bashkëpunim me të</w:t>
      </w:r>
      <w:r>
        <w:rPr>
          <w:i/>
          <w:iCs/>
        </w:rPr>
        <w:t>,</w:t>
      </w:r>
      <w:r w:rsidRPr="00156D77">
        <w:rPr>
          <w:i/>
          <w:iCs/>
        </w:rPr>
        <w:t xml:space="preserve"> blen aksione të të njëjtit lloj apo kategori</w:t>
      </w:r>
      <w:r w:rsidRPr="00156D77">
        <w:rPr>
          <w:i/>
          <w:iCs/>
          <w:lang w:val="en-US"/>
        </w:rPr>
        <w:t xml:space="preserve">, </w:t>
      </w:r>
      <w:r w:rsidRPr="00156D77">
        <w:rPr>
          <w:i/>
          <w:iCs/>
        </w:rPr>
        <w:t>me një çmim më të lartë se çmimi i ofertës, ofertuesi duhet të rrisë ofertën e tij/saj në mënyrë që të mos jetë më e ulët se çmimi më i lartë i paguar për aksionet e kësaj natyre. Rritja publikohet dhe i njoftohet menjëherë Autoritetit, në përputhje me nenin 6 dhe nenin 21 të këtij ligji, dhe ka efekt për të gjithë mbajtësit e aksioneve</w:t>
      </w:r>
      <w:r>
        <w:rPr>
          <w:i/>
          <w:iCs/>
        </w:rPr>
        <w:t xml:space="preserve"> dhe zbatohet pika 2 dhe 3 e nenit 19, të ligjit</w:t>
      </w:r>
      <w:r>
        <w:t>”</w:t>
      </w:r>
    </w:p>
    <w:p w14:paraId="0D38CC4F" w14:textId="67212C39" w:rsidR="009E6B61" w:rsidRDefault="005D748C" w:rsidP="005D748C">
      <w:pPr>
        <w:pStyle w:val="NormalWeb"/>
        <w:jc w:val="both"/>
        <w:rPr>
          <w:i/>
          <w:iCs/>
        </w:rPr>
      </w:pPr>
      <w:r>
        <w:t>“</w:t>
      </w:r>
      <w:r w:rsidRPr="005D748C">
        <w:rPr>
          <w:i/>
          <w:iCs/>
        </w:rPr>
        <w:t>1/</w:t>
      </w:r>
      <w:r w:rsidR="00B67CBC">
        <w:rPr>
          <w:i/>
          <w:iCs/>
        </w:rPr>
        <w:t>2</w:t>
      </w:r>
      <w:r w:rsidRPr="005D748C">
        <w:rPr>
          <w:i/>
          <w:iCs/>
        </w:rPr>
        <w:t>. Autoriteti me vendim mund të rregullojë çmimin lart ose poshtë, në r</w:t>
      </w:r>
      <w:r w:rsidR="00AB265E">
        <w:rPr>
          <w:i/>
          <w:iCs/>
        </w:rPr>
        <w:t>a</w:t>
      </w:r>
      <w:r w:rsidR="00037A31">
        <w:rPr>
          <w:i/>
          <w:iCs/>
        </w:rPr>
        <w:t>s</w:t>
      </w:r>
      <w:r w:rsidR="00AB265E">
        <w:rPr>
          <w:i/>
          <w:iCs/>
        </w:rPr>
        <w:t xml:space="preserve">tet </w:t>
      </w:r>
      <w:r w:rsidRPr="005D748C">
        <w:rPr>
          <w:i/>
          <w:iCs/>
        </w:rPr>
        <w:t>kur çmimi më i lartë është vendosur me marrëveshje midis blerësit dhe shitësit, kur çmimet e tregut të letrave janë manipuluar, kur çmimet e tregut në përgjithësi ose çmimet e caktuara janë ndikuar nga ngjarje të jashtëzakonshme, ose për të mundësuar shpëtimin e një firme në vështirësi. Në raste të tilla Autoriteti zbaton si kriter në përcaktimin e çmimit</w:t>
      </w:r>
      <w:r w:rsidR="0047737F">
        <w:rPr>
          <w:i/>
          <w:iCs/>
        </w:rPr>
        <w:t>,</w:t>
      </w:r>
      <w:r w:rsidRPr="005D748C">
        <w:rPr>
          <w:i/>
          <w:iCs/>
        </w:rPr>
        <w:t xml:space="preserve"> vlerën mesatare të tregut gjatë një periudhe të caktuar, vlerën e ndarjes së kompanisë ose kritere të tjera objektive të vlerësimit të përdorura zakonisht në analizën financiare. Çdo vendim i Autoritetit për të rregulluar çmimin e drejtë duhet të argumentohet dhe të bëhet publik.</w:t>
      </w:r>
    </w:p>
    <w:p w14:paraId="028A8FDB" w14:textId="56BF5324" w:rsidR="004872E2" w:rsidRPr="008B3BC9" w:rsidRDefault="006760B1" w:rsidP="004872E2">
      <w:pPr>
        <w:pStyle w:val="NormalWeb"/>
        <w:numPr>
          <w:ilvl w:val="0"/>
          <w:numId w:val="39"/>
        </w:numPr>
        <w:spacing w:before="0" w:beforeAutospacing="0" w:after="0" w:afterAutospacing="0"/>
        <w:jc w:val="both"/>
      </w:pPr>
      <w:r w:rsidRPr="008B3BC9">
        <w:t>Në pikë 4, në fund të fjalisë shtohet togfjalëshi “</w:t>
      </w:r>
      <w:r w:rsidRPr="008B3BC9">
        <w:rPr>
          <w:i/>
          <w:iCs/>
        </w:rPr>
        <w:t>deri në përfundimin e periudhës së pranimit</w:t>
      </w:r>
      <w:r w:rsidR="00676D62" w:rsidRPr="008B3BC9">
        <w:rPr>
          <w:i/>
          <w:iCs/>
        </w:rPr>
        <w:t xml:space="preserve"> të ofertës</w:t>
      </w:r>
      <w:r w:rsidRPr="008B3BC9">
        <w:rPr>
          <w:i/>
          <w:iCs/>
        </w:rPr>
        <w:t>.</w:t>
      </w:r>
      <w:r w:rsidRPr="008B3BC9">
        <w:t>”</w:t>
      </w:r>
    </w:p>
    <w:p w14:paraId="360E5F95" w14:textId="77777777" w:rsidR="004872E2" w:rsidRDefault="004872E2" w:rsidP="004872E2">
      <w:pPr>
        <w:pStyle w:val="NormalWeb"/>
        <w:spacing w:before="0" w:beforeAutospacing="0" w:after="0" w:afterAutospacing="0"/>
        <w:ind w:left="720"/>
        <w:jc w:val="both"/>
      </w:pPr>
    </w:p>
    <w:p w14:paraId="69EA6C92" w14:textId="27A33E15" w:rsidR="00ED4187" w:rsidRDefault="00112360" w:rsidP="00ED4187">
      <w:pPr>
        <w:pStyle w:val="NormalWeb"/>
        <w:jc w:val="center"/>
        <w:rPr>
          <w:b/>
          <w:bCs/>
        </w:rPr>
      </w:pPr>
      <w:r w:rsidRPr="00112360">
        <w:rPr>
          <w:b/>
          <w:bCs/>
        </w:rPr>
        <w:t xml:space="preserve">Neni </w:t>
      </w:r>
      <w:r w:rsidR="00AB265E">
        <w:rPr>
          <w:b/>
          <w:bCs/>
        </w:rPr>
        <w:t>6</w:t>
      </w:r>
    </w:p>
    <w:p w14:paraId="1B56CB5F" w14:textId="66CFE663" w:rsidR="006A5DEE" w:rsidRDefault="00DD601D" w:rsidP="007C4E4D">
      <w:pPr>
        <w:pStyle w:val="NormalWeb"/>
        <w:jc w:val="both"/>
      </w:pPr>
      <w:r w:rsidRPr="00DD601D">
        <w:t xml:space="preserve">Në </w:t>
      </w:r>
      <w:r>
        <w:t>nenin 1</w:t>
      </w:r>
      <w:r w:rsidR="000A2B70">
        <w:t>6</w:t>
      </w:r>
      <w:r w:rsidR="005E1682">
        <w:t xml:space="preserve">, </w:t>
      </w:r>
      <w:r w:rsidR="006A5DEE">
        <w:t>bëhen këto shtesa</w:t>
      </w:r>
      <w:r w:rsidR="00AC5667">
        <w:t>:</w:t>
      </w:r>
    </w:p>
    <w:p w14:paraId="668114B6" w14:textId="77777777" w:rsidR="00734651" w:rsidRDefault="00AC5667" w:rsidP="00734651">
      <w:pPr>
        <w:pStyle w:val="NormalWeb"/>
        <w:numPr>
          <w:ilvl w:val="0"/>
          <w:numId w:val="42"/>
        </w:numPr>
        <w:spacing w:before="0" w:beforeAutospacing="0" w:after="0" w:afterAutospacing="0"/>
        <w:jc w:val="both"/>
      </w:pPr>
      <w:r>
        <w:t>Në pikën 1, në fund të fjalisë shtohet togfjalëshi “</w:t>
      </w:r>
      <w:r w:rsidRPr="00734651">
        <w:rPr>
          <w:i/>
          <w:iCs/>
        </w:rPr>
        <w:t xml:space="preserve">në mbledhjen e thërritur </w:t>
      </w:r>
      <w:r w:rsidR="00734651" w:rsidRPr="00734651">
        <w:rPr>
          <w:i/>
          <w:iCs/>
        </w:rPr>
        <w:t>me njoftim të shkurtër i cili nuk mbahet brenda dy javëve</w:t>
      </w:r>
      <w:r w:rsidR="00734651">
        <w:t>”</w:t>
      </w:r>
    </w:p>
    <w:p w14:paraId="092A88E7" w14:textId="77777777" w:rsidR="00293121" w:rsidRDefault="00293121" w:rsidP="00E03BDC">
      <w:pPr>
        <w:spacing w:after="0"/>
      </w:pPr>
    </w:p>
    <w:p w14:paraId="1FF3A980" w14:textId="6AB17BFA" w:rsidR="00DD33D8" w:rsidRDefault="00BD4FB3" w:rsidP="00734651">
      <w:pPr>
        <w:pStyle w:val="NormalWeb"/>
        <w:numPr>
          <w:ilvl w:val="0"/>
          <w:numId w:val="42"/>
        </w:numPr>
        <w:spacing w:before="0" w:beforeAutospacing="0" w:after="0" w:afterAutospacing="0"/>
        <w:jc w:val="both"/>
      </w:pPr>
      <w:r>
        <w:t>Pas pikës 1, shtohet pika 1/1, me këtë përmbajtje:</w:t>
      </w:r>
    </w:p>
    <w:p w14:paraId="743A3E20" w14:textId="77777777" w:rsidR="003F1392" w:rsidRDefault="003F1392" w:rsidP="003F1392">
      <w:pPr>
        <w:pStyle w:val="NormalWeb"/>
        <w:spacing w:before="0" w:beforeAutospacing="0" w:after="0" w:afterAutospacing="0"/>
        <w:jc w:val="both"/>
      </w:pPr>
    </w:p>
    <w:p w14:paraId="3C4487CC" w14:textId="5DBC2B3C" w:rsidR="009D2DCA" w:rsidRPr="009D2DCA" w:rsidRDefault="003F1392" w:rsidP="000A2815">
      <w:pPr>
        <w:pStyle w:val="NormalWeb"/>
        <w:spacing w:before="0" w:beforeAutospacing="0" w:after="0"/>
        <w:jc w:val="both"/>
        <w:rPr>
          <w:i/>
          <w:iCs/>
        </w:rPr>
      </w:pPr>
      <w:r>
        <w:t>“</w:t>
      </w:r>
      <w:r w:rsidR="009D2DCA" w:rsidRPr="009D2DCA">
        <w:rPr>
          <w:i/>
          <w:iCs/>
        </w:rPr>
        <w:t>1/1. Në mbledhjen e përgjithshme të aksionarëve të thirrur për të vendosur mbi masat mbrojtëse sipas pikës 1 të këtij neni:</w:t>
      </w:r>
    </w:p>
    <w:p w14:paraId="2C1A7B85" w14:textId="01D4C5EC" w:rsidR="009D2DCA" w:rsidRPr="009D2DCA" w:rsidRDefault="009D2DCA" w:rsidP="009D2DCA">
      <w:pPr>
        <w:pStyle w:val="NormalWeb"/>
        <w:numPr>
          <w:ilvl w:val="0"/>
          <w:numId w:val="43"/>
        </w:numPr>
        <w:spacing w:after="0"/>
        <w:jc w:val="both"/>
        <w:rPr>
          <w:i/>
          <w:iCs/>
        </w:rPr>
      </w:pPr>
      <w:r w:rsidRPr="009D2DCA">
        <w:rPr>
          <w:i/>
          <w:iCs/>
        </w:rPr>
        <w:t>nuk kanë efekt kufizimet mbi ushtrimin e të drejtës së votës të parashikuara në statutin e shoqërisë, objekt;</w:t>
      </w:r>
    </w:p>
    <w:p w14:paraId="0F017210" w14:textId="1D3524A9" w:rsidR="009D2DCA" w:rsidRPr="009D2DCA" w:rsidRDefault="009D2DCA" w:rsidP="009D2DCA">
      <w:pPr>
        <w:pStyle w:val="NormalWeb"/>
        <w:numPr>
          <w:ilvl w:val="0"/>
          <w:numId w:val="43"/>
        </w:numPr>
        <w:spacing w:after="0"/>
        <w:jc w:val="both"/>
        <w:rPr>
          <w:i/>
          <w:iCs/>
        </w:rPr>
      </w:pPr>
      <w:r w:rsidRPr="009D2DCA">
        <w:rPr>
          <w:i/>
          <w:iCs/>
        </w:rPr>
        <w:t>nuk kanë efekt kufizimet mbi ushtrimin e të drejtës së votës të parashikuara në marrëveshje ndërmjet shoqërisë, objekt dhe mbajtësve të titujve të saj ose në marrëveshje ndërmjet vetë mbajtësve të titujve të saj, të lidhura pas hyrjes në fuqi të këtij ligji;</w:t>
      </w:r>
    </w:p>
    <w:p w14:paraId="29350635" w14:textId="717256CA" w:rsidR="003F1392" w:rsidRDefault="009D2DCA" w:rsidP="009D2DCA">
      <w:pPr>
        <w:pStyle w:val="NormalWeb"/>
        <w:numPr>
          <w:ilvl w:val="0"/>
          <w:numId w:val="43"/>
        </w:numPr>
        <w:spacing w:before="0" w:beforeAutospacing="0" w:after="0" w:afterAutospacing="0"/>
        <w:jc w:val="both"/>
      </w:pPr>
      <w:r w:rsidRPr="009D2DCA">
        <w:rPr>
          <w:i/>
          <w:iCs/>
        </w:rPr>
        <w:t>titujt/aksionet me të drejtë votimi të shumëfishtë llogariten me një votë secili.</w:t>
      </w:r>
      <w:r>
        <w:t>”</w:t>
      </w:r>
    </w:p>
    <w:p w14:paraId="0F9E2846" w14:textId="77777777" w:rsidR="00293121" w:rsidRDefault="00293121" w:rsidP="000A2815">
      <w:pPr>
        <w:pStyle w:val="NormalWeb"/>
        <w:spacing w:before="0" w:beforeAutospacing="0" w:after="0" w:afterAutospacing="0"/>
        <w:jc w:val="both"/>
      </w:pPr>
    </w:p>
    <w:p w14:paraId="5A7AAB57" w14:textId="5FE9BB3F" w:rsidR="00B33E86" w:rsidRPr="00DD601D" w:rsidRDefault="00AC5667" w:rsidP="000A2815">
      <w:pPr>
        <w:pStyle w:val="NormalWeb"/>
        <w:numPr>
          <w:ilvl w:val="0"/>
          <w:numId w:val="42"/>
        </w:numPr>
        <w:spacing w:before="0" w:beforeAutospacing="0"/>
        <w:jc w:val="both"/>
      </w:pPr>
      <w:r>
        <w:t>N</w:t>
      </w:r>
      <w:r w:rsidR="00B90DDD">
        <w:t xml:space="preserve">ë </w:t>
      </w:r>
      <w:r w:rsidR="00825C5A">
        <w:t>pik</w:t>
      </w:r>
      <w:r w:rsidR="00B90DDD">
        <w:t>ën</w:t>
      </w:r>
      <w:r w:rsidR="00825C5A">
        <w:t xml:space="preserve"> </w:t>
      </w:r>
      <w:r>
        <w:t>2</w:t>
      </w:r>
      <w:r w:rsidR="00825C5A">
        <w:t xml:space="preserve">, </w:t>
      </w:r>
      <w:r w:rsidR="00B90DDD">
        <w:t>shkronja “c”, n</w:t>
      </w:r>
      <w:r w:rsidR="007C4E4D">
        <w:t xml:space="preserve">ë fund të fjalisë </w:t>
      </w:r>
      <w:r w:rsidR="002B2371">
        <w:t>sht</w:t>
      </w:r>
      <w:r w:rsidR="007C4E4D">
        <w:t>ohet togfjalëshi “</w:t>
      </w:r>
      <w:r w:rsidR="00490D66" w:rsidRPr="00734651">
        <w:rPr>
          <w:i/>
          <w:iCs/>
        </w:rPr>
        <w:t xml:space="preserve">në çdo rast </w:t>
      </w:r>
      <w:r w:rsidR="006E1B93" w:rsidRPr="00734651">
        <w:rPr>
          <w:i/>
          <w:iCs/>
        </w:rPr>
        <w:t>vijimi i</w:t>
      </w:r>
      <w:r w:rsidR="00D1763A" w:rsidRPr="00734651">
        <w:rPr>
          <w:i/>
          <w:iCs/>
        </w:rPr>
        <w:t xml:space="preserve"> zbatimi</w:t>
      </w:r>
      <w:r w:rsidR="006E1B93" w:rsidRPr="00734651">
        <w:rPr>
          <w:i/>
          <w:iCs/>
        </w:rPr>
        <w:t>t</w:t>
      </w:r>
      <w:r w:rsidR="00D1763A" w:rsidRPr="00734651">
        <w:rPr>
          <w:i/>
          <w:iCs/>
        </w:rPr>
        <w:t xml:space="preserve"> </w:t>
      </w:r>
      <w:r w:rsidR="006E1B93" w:rsidRPr="00734651">
        <w:rPr>
          <w:i/>
          <w:iCs/>
        </w:rPr>
        <w:t>të</w:t>
      </w:r>
      <w:r w:rsidR="00D1763A" w:rsidRPr="00734651">
        <w:rPr>
          <w:i/>
          <w:iCs/>
        </w:rPr>
        <w:t xml:space="preserve"> vendimeve në fjalë </w:t>
      </w:r>
      <w:r w:rsidR="006E1B93" w:rsidRPr="00734651">
        <w:rPr>
          <w:i/>
          <w:iCs/>
        </w:rPr>
        <w:t xml:space="preserve">duhet të konfirmohet </w:t>
      </w:r>
      <w:r w:rsidR="002E0A15" w:rsidRPr="00734651">
        <w:rPr>
          <w:i/>
          <w:iCs/>
        </w:rPr>
        <w:t xml:space="preserve">nga </w:t>
      </w:r>
      <w:r w:rsidR="002E0A15" w:rsidRPr="00EA1207">
        <w:rPr>
          <w:i/>
          <w:iCs/>
        </w:rPr>
        <w:t>Asambleja e përgjithshme</w:t>
      </w:r>
      <w:r w:rsidR="002E0A15" w:rsidRPr="00EA1207">
        <w:t>”</w:t>
      </w:r>
    </w:p>
    <w:p w14:paraId="5ADF5E46" w14:textId="72998B77" w:rsidR="00112360" w:rsidRDefault="002E0A15" w:rsidP="00ED4187">
      <w:pPr>
        <w:pStyle w:val="NormalWeb"/>
        <w:jc w:val="center"/>
        <w:rPr>
          <w:b/>
          <w:bCs/>
        </w:rPr>
      </w:pPr>
      <w:r w:rsidRPr="004825EF">
        <w:rPr>
          <w:b/>
          <w:bCs/>
        </w:rPr>
        <w:t>Neni 7</w:t>
      </w:r>
    </w:p>
    <w:p w14:paraId="070776FF" w14:textId="0AD8EC88" w:rsidR="004825EF" w:rsidRPr="004825EF" w:rsidRDefault="00DB12EB" w:rsidP="004825EF">
      <w:pPr>
        <w:pStyle w:val="NormalWeb"/>
        <w:jc w:val="both"/>
      </w:pPr>
      <w:r>
        <w:t xml:space="preserve">Në nenin 17, </w:t>
      </w:r>
      <w:r w:rsidR="00805561">
        <w:t>në pikën 1, shkronja “b”, pas togfjalëshit “</w:t>
      </w:r>
      <w:r w:rsidR="00751B45" w:rsidRPr="00DD7B0A">
        <w:rPr>
          <w:i/>
          <w:iCs/>
        </w:rPr>
        <w:t>të kësaj pike</w:t>
      </w:r>
      <w:r w:rsidR="00751B45">
        <w:t>” shtohet togfjalëshi “</w:t>
      </w:r>
      <w:r w:rsidR="00DD7B0A" w:rsidRPr="00DD7B0A">
        <w:rPr>
          <w:i/>
          <w:iCs/>
        </w:rPr>
        <w:t>kufizimet e të drejtave të votës dhe aksionet me të drejtë të shumëfishtë bëjnë një votë secila</w:t>
      </w:r>
      <w:r w:rsidR="00DD7B0A">
        <w:t>”.</w:t>
      </w:r>
    </w:p>
    <w:p w14:paraId="50D52E79" w14:textId="659BCC58" w:rsidR="001A4D30" w:rsidRDefault="001A4D30" w:rsidP="00ED4187">
      <w:pPr>
        <w:pStyle w:val="NormalWeb"/>
        <w:jc w:val="center"/>
        <w:rPr>
          <w:b/>
          <w:bCs/>
        </w:rPr>
      </w:pPr>
      <w:r>
        <w:rPr>
          <w:b/>
          <w:bCs/>
        </w:rPr>
        <w:t xml:space="preserve">Neni </w:t>
      </w:r>
      <w:r w:rsidR="00C901B5">
        <w:rPr>
          <w:b/>
          <w:bCs/>
        </w:rPr>
        <w:t>8</w:t>
      </w:r>
    </w:p>
    <w:p w14:paraId="3CFCBB2B" w14:textId="37C0951B" w:rsidR="001A4D30" w:rsidRDefault="00DD202A" w:rsidP="00FD3AB4">
      <w:pPr>
        <w:pStyle w:val="NormalWeb"/>
        <w:jc w:val="both"/>
      </w:pPr>
      <w:r w:rsidRPr="00FD3AB4">
        <w:t xml:space="preserve">Në nenin 29, pas pikës 4 shtohet pika </w:t>
      </w:r>
      <w:r w:rsidR="00FD3AB4" w:rsidRPr="00FD3AB4">
        <w:t>5, me përmbajtje si më poshtë:</w:t>
      </w:r>
    </w:p>
    <w:p w14:paraId="0E38659D" w14:textId="2AF5871A" w:rsidR="00FD3AB4" w:rsidRPr="00C50A7F" w:rsidRDefault="00FD3AB4" w:rsidP="00FD3AB4">
      <w:pPr>
        <w:pStyle w:val="NormalWeb"/>
        <w:jc w:val="both"/>
      </w:pPr>
      <w:r>
        <w:t>“</w:t>
      </w:r>
      <w:r w:rsidRPr="001F2D4C">
        <w:rPr>
          <w:i/>
          <w:iCs/>
        </w:rPr>
        <w:t xml:space="preserve">5. </w:t>
      </w:r>
      <w:r w:rsidR="00644B6D">
        <w:rPr>
          <w:i/>
          <w:iCs/>
        </w:rPr>
        <w:t>D</w:t>
      </w:r>
      <w:r w:rsidRPr="001F2D4C">
        <w:rPr>
          <w:i/>
          <w:iCs/>
        </w:rPr>
        <w:t xml:space="preserve">etyrimi për paraqitjen e ofertës së detyrueshme nuk zbatohet </w:t>
      </w:r>
      <w:r w:rsidR="00644B6D">
        <w:rPr>
          <w:i/>
          <w:iCs/>
        </w:rPr>
        <w:t xml:space="preserve">edhe </w:t>
      </w:r>
      <w:r w:rsidRPr="001F2D4C">
        <w:rPr>
          <w:i/>
          <w:iCs/>
        </w:rPr>
        <w:t>kur ndaj shoqërisë, objekt të ofertës, ofertuesit ose personave që veprojnë në bashkëpunim me ta zbatohen instrumentet ose kompetencat e rezolucionit, në përputhje me legjislacionin në fuqi për rimëkëmbjen dhe ndërhyrjen e jashtëzakonshme/rezolucionin në sektorin financiar.</w:t>
      </w:r>
      <w:r w:rsidR="00C50A7F" w:rsidRPr="001F2D4C">
        <w:rPr>
          <w:rFonts w:asciiTheme="minorHAnsi" w:eastAsiaTheme="minorHAnsi" w:hAnsiTheme="minorHAnsi" w:cstheme="minorBidi"/>
          <w:i/>
          <w:iCs/>
          <w:kern w:val="2"/>
          <w:lang w:eastAsia="en-US"/>
          <w14:ligatures w14:val="standardContextual"/>
        </w:rPr>
        <w:t xml:space="preserve"> </w:t>
      </w:r>
      <w:r w:rsidR="00C50A7F" w:rsidRPr="001F2D4C">
        <w:rPr>
          <w:i/>
          <w:iCs/>
        </w:rPr>
        <w:t>Kur masat e rezolucionit përfundojnë pa sjellë transferim përfundimtar të kontrollit, detyrimet e nenit 28 zbatohen sipas rastit.</w:t>
      </w:r>
      <w:r w:rsidR="001F2D4C">
        <w:t>”</w:t>
      </w:r>
    </w:p>
    <w:p w14:paraId="0E15469C" w14:textId="528FE03D" w:rsidR="001A4D30" w:rsidRDefault="00560B10" w:rsidP="001A4D30">
      <w:pPr>
        <w:pStyle w:val="NormalWeb"/>
        <w:jc w:val="center"/>
        <w:rPr>
          <w:b/>
          <w:bCs/>
        </w:rPr>
      </w:pPr>
      <w:r w:rsidRPr="000A2815">
        <w:rPr>
          <w:b/>
          <w:bCs/>
        </w:rPr>
        <w:t xml:space="preserve">Neni </w:t>
      </w:r>
      <w:r w:rsidR="00C901B5">
        <w:rPr>
          <w:b/>
          <w:bCs/>
        </w:rPr>
        <w:t>9</w:t>
      </w:r>
    </w:p>
    <w:p w14:paraId="41A412DE" w14:textId="4E455BA0" w:rsidR="00C901B5" w:rsidRDefault="000D7A4E" w:rsidP="000D7A4E">
      <w:pPr>
        <w:pStyle w:val="NormalWeb"/>
        <w:jc w:val="both"/>
      </w:pPr>
      <w:r w:rsidRPr="008E39E7">
        <w:t>Në nenin 30</w:t>
      </w:r>
      <w:r w:rsidR="008E39E7">
        <w:t xml:space="preserve">, </w:t>
      </w:r>
      <w:r w:rsidR="00346146">
        <w:t>ndrysh</w:t>
      </w:r>
      <w:r w:rsidR="00996FF3">
        <w:t>on</w:t>
      </w:r>
      <w:r w:rsidR="00346146">
        <w:t xml:space="preserve"> </w:t>
      </w:r>
      <w:r w:rsidR="00ED46D5">
        <w:t>si më poshtë</w:t>
      </w:r>
      <w:r w:rsidR="00C901B5">
        <w:t>:</w:t>
      </w:r>
    </w:p>
    <w:p w14:paraId="695AD790" w14:textId="29282218" w:rsidR="0013787E" w:rsidRPr="00C2120E" w:rsidRDefault="00996FF3" w:rsidP="00996FF3">
      <w:pPr>
        <w:pStyle w:val="NormalWeb"/>
        <w:jc w:val="center"/>
        <w:rPr>
          <w:i/>
          <w:iCs/>
        </w:rPr>
      </w:pPr>
      <w:r>
        <w:t>“</w:t>
      </w:r>
      <w:r w:rsidR="0013787E" w:rsidRPr="00C2120E">
        <w:rPr>
          <w:i/>
          <w:iCs/>
        </w:rPr>
        <w:t>Neni 30</w:t>
      </w:r>
    </w:p>
    <w:p w14:paraId="63A2CB6D" w14:textId="30631F18" w:rsidR="00996FF3" w:rsidRPr="00C2120E" w:rsidRDefault="00996FF3" w:rsidP="00996FF3">
      <w:pPr>
        <w:pStyle w:val="NormalWeb"/>
        <w:jc w:val="center"/>
        <w:rPr>
          <w:i/>
          <w:iCs/>
        </w:rPr>
      </w:pPr>
      <w:r w:rsidRPr="00C2120E">
        <w:rPr>
          <w:i/>
          <w:iCs/>
        </w:rPr>
        <w:t>Kompetenca e Autoritetit</w:t>
      </w:r>
    </w:p>
    <w:p w14:paraId="6CCB314B" w14:textId="72F0A1BB" w:rsidR="00FE0524" w:rsidRPr="00C2120E" w:rsidRDefault="0013787E" w:rsidP="0013787E">
      <w:pPr>
        <w:pStyle w:val="NormalWeb"/>
        <w:numPr>
          <w:ilvl w:val="0"/>
          <w:numId w:val="52"/>
        </w:numPr>
        <w:jc w:val="both"/>
        <w:rPr>
          <w:i/>
          <w:iCs/>
        </w:rPr>
      </w:pPr>
      <w:r w:rsidRPr="00C2120E">
        <w:rPr>
          <w:i/>
          <w:iCs/>
        </w:rPr>
        <w:lastRenderedPageBreak/>
        <w:t>A</w:t>
      </w:r>
      <w:r w:rsidR="00996FF3" w:rsidRPr="00C2120E">
        <w:rPr>
          <w:i/>
          <w:iCs/>
        </w:rPr>
        <w:t>utoriteti</w:t>
      </w:r>
      <w:r w:rsidRPr="00C2120E">
        <w:rPr>
          <w:i/>
          <w:iCs/>
        </w:rPr>
        <w:t xml:space="preserve"> është kompetent për zbatimin </w:t>
      </w:r>
      <w:r w:rsidR="00996FF3" w:rsidRPr="00C2120E">
        <w:rPr>
          <w:i/>
          <w:iCs/>
        </w:rPr>
        <w:t>e</w:t>
      </w:r>
      <w:r w:rsidRPr="00C2120E">
        <w:rPr>
          <w:i/>
          <w:iCs/>
        </w:rPr>
        <w:t xml:space="preserve"> dispozitave të këtij Ligji</w:t>
      </w:r>
      <w:r w:rsidR="00C27DC7">
        <w:rPr>
          <w:i/>
          <w:iCs/>
        </w:rPr>
        <w:t xml:space="preserve"> në tërësi</w:t>
      </w:r>
      <w:r w:rsidRPr="00C2120E">
        <w:rPr>
          <w:i/>
          <w:iCs/>
        </w:rPr>
        <w:t>, në të gjitha rastet kur shoqëria objekt oferte ka selinë e regjistruar në Republikën e Shqipërisë</w:t>
      </w:r>
      <w:r w:rsidR="00AC4FD2">
        <w:rPr>
          <w:i/>
          <w:iCs/>
        </w:rPr>
        <w:t>.</w:t>
      </w:r>
    </w:p>
    <w:p w14:paraId="1AFBA901" w14:textId="6EC6B5A0" w:rsidR="00DC3D05" w:rsidRPr="00C2120E" w:rsidRDefault="00A35813" w:rsidP="00CF503A">
      <w:pPr>
        <w:pStyle w:val="NormalWeb"/>
        <w:ind w:left="720"/>
        <w:jc w:val="both"/>
        <w:rPr>
          <w:i/>
          <w:iCs/>
        </w:rPr>
      </w:pPr>
      <w:r w:rsidRPr="00A35813">
        <w:rPr>
          <w:i/>
          <w:iCs/>
        </w:rPr>
        <w:t>Autoriteti i Mbikëqyrjes Financiare është përgjegjës për mbikëqyrjen e zbatimit të dispozitave të këtij ligji.</w:t>
      </w:r>
      <w:r>
        <w:rPr>
          <w:i/>
          <w:iCs/>
        </w:rPr>
        <w:t xml:space="preserve"> </w:t>
      </w:r>
      <w:r w:rsidR="00D564F7" w:rsidRPr="00C2120E">
        <w:rPr>
          <w:i/>
          <w:iCs/>
        </w:rPr>
        <w:t>A</w:t>
      </w:r>
      <w:r w:rsidR="00BE3C0C" w:rsidRPr="00C2120E">
        <w:rPr>
          <w:i/>
          <w:iCs/>
        </w:rPr>
        <w:t xml:space="preserve">utoriteti </w:t>
      </w:r>
      <w:r w:rsidR="00D564F7" w:rsidRPr="00C2120E">
        <w:rPr>
          <w:i/>
          <w:iCs/>
        </w:rPr>
        <w:t>është kompetent për mbikëqyrjen</w:t>
      </w:r>
      <w:r w:rsidR="00496274" w:rsidRPr="00C2120E">
        <w:rPr>
          <w:i/>
          <w:iCs/>
        </w:rPr>
        <w:t xml:space="preserve"> e</w:t>
      </w:r>
      <w:r w:rsidR="00DC3D05" w:rsidRPr="00C2120E">
        <w:rPr>
          <w:i/>
          <w:iCs/>
        </w:rPr>
        <w:t>:</w:t>
      </w:r>
    </w:p>
    <w:p w14:paraId="6B46D96A" w14:textId="77777777" w:rsidR="00DF5DF9" w:rsidRDefault="00DC3D05" w:rsidP="00DF5DF9">
      <w:pPr>
        <w:pStyle w:val="NormalWeb"/>
        <w:numPr>
          <w:ilvl w:val="0"/>
          <w:numId w:val="53"/>
        </w:numPr>
        <w:jc w:val="both"/>
        <w:rPr>
          <w:i/>
          <w:iCs/>
        </w:rPr>
      </w:pPr>
      <w:r w:rsidRPr="00C2120E">
        <w:rPr>
          <w:i/>
          <w:iCs/>
        </w:rPr>
        <w:t>zbatimit të dispozitave të nenit 35, të këtij ligji,</w:t>
      </w:r>
      <w:r w:rsidR="00D564F7" w:rsidRPr="00C2120E">
        <w:rPr>
          <w:i/>
          <w:iCs/>
        </w:rPr>
        <w:t xml:space="preserve"> </w:t>
      </w:r>
      <w:r w:rsidR="0080285D" w:rsidRPr="00C2120E">
        <w:rPr>
          <w:i/>
          <w:iCs/>
        </w:rPr>
        <w:t>nëse aksionet me të drejtë vote të një shoqërie</w:t>
      </w:r>
      <w:r w:rsidR="001B5148" w:rsidRPr="00C2120E">
        <w:rPr>
          <w:i/>
          <w:iCs/>
        </w:rPr>
        <w:t xml:space="preserve"> </w:t>
      </w:r>
      <w:r w:rsidR="00496274" w:rsidRPr="00C2120E">
        <w:rPr>
          <w:i/>
          <w:iCs/>
        </w:rPr>
        <w:t>aksionare me seli në Republikën e Shqipërisë</w:t>
      </w:r>
      <w:r w:rsidR="0080285D" w:rsidRPr="00C2120E">
        <w:rPr>
          <w:i/>
          <w:iCs/>
        </w:rPr>
        <w:t xml:space="preserve">, objekt i ofertës, janë listuar në tregun e </w:t>
      </w:r>
      <w:r w:rsidR="00496274" w:rsidRPr="00C2120E">
        <w:rPr>
          <w:i/>
          <w:iCs/>
        </w:rPr>
        <w:t>rregulluar</w:t>
      </w:r>
      <w:r w:rsidR="0080285D" w:rsidRPr="00C2120E">
        <w:rPr>
          <w:i/>
          <w:iCs/>
        </w:rPr>
        <w:t xml:space="preserve"> të një shteti tjetër anëtar të BE-së ose të një shteti të zonës ekonomike evropiane</w:t>
      </w:r>
      <w:r w:rsidR="00496274" w:rsidRPr="00C2120E">
        <w:rPr>
          <w:i/>
          <w:iCs/>
        </w:rPr>
        <w:t>;</w:t>
      </w:r>
    </w:p>
    <w:p w14:paraId="4DABB954" w14:textId="6C60906F" w:rsidR="00DF5DF9" w:rsidRPr="00DF5DF9" w:rsidRDefault="00DF5DF9" w:rsidP="00DF5DF9">
      <w:pPr>
        <w:pStyle w:val="NormalWeb"/>
        <w:numPr>
          <w:ilvl w:val="0"/>
          <w:numId w:val="53"/>
        </w:numPr>
        <w:jc w:val="both"/>
        <w:rPr>
          <w:i/>
          <w:iCs/>
        </w:rPr>
      </w:pPr>
      <w:r w:rsidRPr="00DF5DF9">
        <w:rPr>
          <w:i/>
          <w:iCs/>
        </w:rPr>
        <w:t>zbatimit të dispozitave të këtij ligji, për përmbajtjen dhe procedurën e ofertave, nëse shoqëria, objekt i ofertës, e ka selinë në një shtet tjetër anëtar të BE-së ose të zonës ekonomike evropiane, me kusht që të plotësohen rastet e parashikuara në nenin 36, pika 1 dhe 2.</w:t>
      </w:r>
    </w:p>
    <w:p w14:paraId="02E678DF" w14:textId="18177971" w:rsidR="00CF503A" w:rsidRDefault="00AE51F1" w:rsidP="00CF503A">
      <w:pPr>
        <w:pStyle w:val="NormalWeb"/>
        <w:numPr>
          <w:ilvl w:val="0"/>
          <w:numId w:val="52"/>
        </w:numPr>
        <w:jc w:val="both"/>
        <w:rPr>
          <w:i/>
          <w:iCs/>
        </w:rPr>
      </w:pPr>
      <w:r w:rsidRPr="00AE51F1">
        <w:rPr>
          <w:i/>
          <w:iCs/>
        </w:rPr>
        <w:t>Kur A</w:t>
      </w:r>
      <w:r>
        <w:rPr>
          <w:i/>
          <w:iCs/>
        </w:rPr>
        <w:t>utoriteti</w:t>
      </w:r>
      <w:r w:rsidRPr="00AE51F1">
        <w:rPr>
          <w:i/>
          <w:iCs/>
        </w:rPr>
        <w:t xml:space="preserve"> është kompetent për mbikëqyrjen e procedurës së marrjes, në rast</w:t>
      </w:r>
      <w:r w:rsidR="003303EC">
        <w:rPr>
          <w:i/>
          <w:iCs/>
        </w:rPr>
        <w:t>in</w:t>
      </w:r>
      <w:r w:rsidRPr="00AE51F1">
        <w:rPr>
          <w:i/>
          <w:iCs/>
        </w:rPr>
        <w:t xml:space="preserve"> e përmendur në </w:t>
      </w:r>
      <w:r w:rsidR="00B461F7">
        <w:rPr>
          <w:i/>
          <w:iCs/>
        </w:rPr>
        <w:t xml:space="preserve">shkronjën b, të pikës </w:t>
      </w:r>
      <w:r w:rsidR="003303EC">
        <w:rPr>
          <w:i/>
          <w:iCs/>
        </w:rPr>
        <w:t>1</w:t>
      </w:r>
      <w:r w:rsidR="00B461F7">
        <w:rPr>
          <w:i/>
          <w:iCs/>
        </w:rPr>
        <w:t xml:space="preserve"> të këtij neni,</w:t>
      </w:r>
      <w:r w:rsidRPr="00AE51F1">
        <w:rPr>
          <w:i/>
          <w:iCs/>
        </w:rPr>
        <w:t xml:space="preserve"> </w:t>
      </w:r>
      <w:r w:rsidR="00633216">
        <w:rPr>
          <w:i/>
          <w:iCs/>
        </w:rPr>
        <w:t xml:space="preserve">Autoriteti </w:t>
      </w:r>
      <w:r w:rsidRPr="00AE51F1">
        <w:rPr>
          <w:i/>
          <w:iCs/>
        </w:rPr>
        <w:t xml:space="preserve">zbaton dispozitat e këtij </w:t>
      </w:r>
      <w:r w:rsidR="003303EC">
        <w:rPr>
          <w:i/>
          <w:iCs/>
        </w:rPr>
        <w:t>l</w:t>
      </w:r>
      <w:r w:rsidRPr="00AE51F1">
        <w:rPr>
          <w:i/>
          <w:iCs/>
        </w:rPr>
        <w:t xml:space="preserve">igji, </w:t>
      </w:r>
      <w:r w:rsidR="003303EC">
        <w:rPr>
          <w:i/>
          <w:iCs/>
        </w:rPr>
        <w:t>me përjashtim të</w:t>
      </w:r>
      <w:r w:rsidRPr="00AE51F1">
        <w:rPr>
          <w:i/>
          <w:iCs/>
        </w:rPr>
        <w:t xml:space="preserve"> </w:t>
      </w:r>
      <w:r w:rsidR="003303EC">
        <w:rPr>
          <w:i/>
          <w:iCs/>
        </w:rPr>
        <w:t>dispozitave të parashikuara në nenin 35, n</w:t>
      </w:r>
      <w:r w:rsidRPr="00AE51F1">
        <w:rPr>
          <w:i/>
          <w:iCs/>
        </w:rPr>
        <w:t>ë vend të tyre zbatohet ligji i Shtetit Anëtar në të cilin shoqëria objekt oferte ka selinë e saj.</w:t>
      </w:r>
    </w:p>
    <w:p w14:paraId="2BCC60B9" w14:textId="564D1A44" w:rsidR="00496274" w:rsidRPr="00BC64DB" w:rsidRDefault="007007D3" w:rsidP="00C84660">
      <w:pPr>
        <w:pStyle w:val="NormalWeb"/>
        <w:numPr>
          <w:ilvl w:val="0"/>
          <w:numId w:val="52"/>
        </w:numPr>
        <w:jc w:val="both"/>
      </w:pPr>
      <w:r w:rsidRPr="007007D3">
        <w:rPr>
          <w:i/>
          <w:iCs/>
        </w:rPr>
        <w:t>Në rast se dokumenti i ofertës është subjekt i miratimit paraprak nga një autoriteti mbikëqyrës të një shteti anëtar dhe është miratuar, ai do të njihet, pa pasur nevojë për miratimin e Autoritetit. Autoriteti mund të kërkoj informacion pranë autoritetit mbikëqyrës që ka miratuar ofertën në rastin kur ky informacion është specifik për tregun ku titujt e kompanisë së ofruar janë të pranuar për tregtim dhe lidhet me proceset që duhen respektuar për të pranuar ofertën dhe për të marrë dëmshpërblimin në mbyllje të ofertës, si dhe me rregullat tatimore që zbatohen për dëmshpërblimin e ofruar për mbajtësit e titujve.</w:t>
      </w:r>
    </w:p>
    <w:p w14:paraId="5048DE93" w14:textId="5167966E" w:rsidR="00BC64DB" w:rsidRDefault="00BC64DB" w:rsidP="00C84660">
      <w:pPr>
        <w:pStyle w:val="NormalWeb"/>
        <w:numPr>
          <w:ilvl w:val="0"/>
          <w:numId w:val="52"/>
        </w:numPr>
        <w:jc w:val="both"/>
        <w:rPr>
          <w:i/>
          <w:iCs/>
        </w:rPr>
      </w:pPr>
      <w:r w:rsidRPr="005E668B">
        <w:rPr>
          <w:i/>
          <w:iCs/>
        </w:rPr>
        <w:t>Autoriteti b</w:t>
      </w:r>
      <w:r w:rsidR="00E560C1" w:rsidRPr="005E668B">
        <w:rPr>
          <w:i/>
          <w:iCs/>
        </w:rPr>
        <w:t xml:space="preserve">ashkëpunon me autoritetet </w:t>
      </w:r>
      <w:r w:rsidRPr="005E668B">
        <w:rPr>
          <w:i/>
          <w:iCs/>
        </w:rPr>
        <w:t>mbikëqyrëse të Shteteve Anëtare që mbikëqyrin tregjet e kapitalit dhe shkëmbejnë informacion për zbatimin e rregullave të kë</w:t>
      </w:r>
      <w:r w:rsidR="005E668B" w:rsidRPr="005E668B">
        <w:rPr>
          <w:i/>
          <w:iCs/>
        </w:rPr>
        <w:t>tij ligji</w:t>
      </w:r>
      <w:r w:rsidRPr="005E668B">
        <w:rPr>
          <w:i/>
          <w:iCs/>
        </w:rPr>
        <w:t xml:space="preserve">. Informacioni i shkëmbyer </w:t>
      </w:r>
      <w:r w:rsidR="005E668B" w:rsidRPr="005E668B">
        <w:rPr>
          <w:i/>
          <w:iCs/>
        </w:rPr>
        <w:t>i nënshtrohet</w:t>
      </w:r>
      <w:r w:rsidRPr="005E668B">
        <w:rPr>
          <w:i/>
          <w:iCs/>
        </w:rPr>
        <w:t xml:space="preserve"> detyrimi</w:t>
      </w:r>
      <w:r w:rsidR="005E668B" w:rsidRPr="005E668B">
        <w:rPr>
          <w:i/>
          <w:iCs/>
        </w:rPr>
        <w:t>t</w:t>
      </w:r>
      <w:r w:rsidRPr="005E668B">
        <w:rPr>
          <w:i/>
          <w:iCs/>
        </w:rPr>
        <w:t xml:space="preserve"> </w:t>
      </w:r>
      <w:r w:rsidR="005E668B" w:rsidRPr="005E668B">
        <w:rPr>
          <w:i/>
          <w:iCs/>
        </w:rPr>
        <w:t>të</w:t>
      </w:r>
      <w:r w:rsidRPr="005E668B">
        <w:rPr>
          <w:i/>
          <w:iCs/>
        </w:rPr>
        <w:t xml:space="preserve"> sekretit profesional</w:t>
      </w:r>
      <w:r w:rsidR="007650AC">
        <w:rPr>
          <w:i/>
          <w:iCs/>
        </w:rPr>
        <w:t>, në përputhje me legjislacionin në fuqi për mbrojtjen e të dhënave personale</w:t>
      </w:r>
      <w:r w:rsidRPr="005E668B">
        <w:rPr>
          <w:i/>
          <w:iCs/>
        </w:rPr>
        <w:t xml:space="preserve">. </w:t>
      </w:r>
    </w:p>
    <w:p w14:paraId="7161E528" w14:textId="4E61B19C" w:rsidR="003C018E" w:rsidRPr="005E668B" w:rsidRDefault="003C018E" w:rsidP="00C84660">
      <w:pPr>
        <w:pStyle w:val="NormalWeb"/>
        <w:numPr>
          <w:ilvl w:val="0"/>
          <w:numId w:val="52"/>
        </w:numPr>
        <w:jc w:val="both"/>
        <w:rPr>
          <w:i/>
          <w:iCs/>
        </w:rPr>
      </w:pPr>
      <w:r w:rsidRPr="003C018E">
        <w:rPr>
          <w:i/>
          <w:iCs/>
        </w:rPr>
        <w:t>Autoriteti,</w:t>
      </w:r>
      <w:r>
        <w:rPr>
          <w:i/>
          <w:iCs/>
        </w:rPr>
        <w:t xml:space="preserve"> </w:t>
      </w:r>
      <w:r w:rsidR="00EF4F1E">
        <w:rPr>
          <w:i/>
          <w:iCs/>
        </w:rPr>
        <w:t xml:space="preserve">në </w:t>
      </w:r>
      <w:r w:rsidR="00785871" w:rsidRPr="00785871">
        <w:rPr>
          <w:i/>
          <w:iCs/>
        </w:rPr>
        <w:t xml:space="preserve">rrethana </w:t>
      </w:r>
      <w:r w:rsidR="002F39E1" w:rsidRPr="002F39E1">
        <w:rPr>
          <w:i/>
          <w:iCs/>
        </w:rPr>
        <w:t>të</w:t>
      </w:r>
      <w:r w:rsidR="00BD1B78">
        <w:rPr>
          <w:i/>
          <w:iCs/>
        </w:rPr>
        <w:t xml:space="preserve"> interesit publik ose të</w:t>
      </w:r>
      <w:r w:rsidR="00AA1126">
        <w:rPr>
          <w:i/>
          <w:iCs/>
        </w:rPr>
        <w:t xml:space="preserve"> rasteve të</w:t>
      </w:r>
      <w:r w:rsidR="002F39E1" w:rsidRPr="002F39E1">
        <w:rPr>
          <w:i/>
          <w:iCs/>
        </w:rPr>
        <w:t xml:space="preserve"> jashtëzakonshme</w:t>
      </w:r>
      <w:r w:rsidR="005F0E36">
        <w:rPr>
          <w:i/>
          <w:iCs/>
        </w:rPr>
        <w:t xml:space="preserve"> të tregut, që përfshijnë</w:t>
      </w:r>
      <w:r w:rsidR="002F39E1">
        <w:rPr>
          <w:i/>
          <w:iCs/>
        </w:rPr>
        <w:t>,</w:t>
      </w:r>
      <w:r w:rsidR="005574BE">
        <w:rPr>
          <w:i/>
          <w:iCs/>
        </w:rPr>
        <w:t xml:space="preserve"> </w:t>
      </w:r>
      <w:r w:rsidR="005574BE" w:rsidRPr="005574BE">
        <w:rPr>
          <w:i/>
          <w:iCs/>
        </w:rPr>
        <w:t>fatkeqësi natyrore,</w:t>
      </w:r>
      <w:r w:rsidR="005C2312">
        <w:rPr>
          <w:i/>
          <w:iCs/>
        </w:rPr>
        <w:t xml:space="preserve"> </w:t>
      </w:r>
      <w:r w:rsidR="00C81D4E" w:rsidRPr="00C81D4E">
        <w:rPr>
          <w:i/>
          <w:iCs/>
        </w:rPr>
        <w:t>kufizimit të lëvizjes</w:t>
      </w:r>
      <w:r w:rsidR="00935BC4" w:rsidRPr="00935BC4">
        <w:rPr>
          <w:rFonts w:asciiTheme="minorHAnsi" w:eastAsiaTheme="minorHAnsi" w:hAnsiTheme="minorHAnsi" w:cstheme="minorBidi"/>
          <w:kern w:val="2"/>
          <w:lang w:eastAsia="en-US"/>
          <w14:ligatures w14:val="standardContextual"/>
        </w:rPr>
        <w:t xml:space="preserve"> </w:t>
      </w:r>
      <w:r w:rsidR="00935BC4" w:rsidRPr="00935BC4">
        <w:rPr>
          <w:i/>
          <w:iCs/>
        </w:rPr>
        <w:t>sipas protokolleve shëndetësore</w:t>
      </w:r>
      <w:r w:rsidR="005C2312">
        <w:rPr>
          <w:i/>
          <w:iCs/>
        </w:rPr>
        <w:t>,</w:t>
      </w:r>
      <w:r w:rsidR="005574BE" w:rsidRPr="005574BE">
        <w:rPr>
          <w:i/>
          <w:iCs/>
        </w:rPr>
        <w:t xml:space="preserve"> </w:t>
      </w:r>
      <w:r w:rsidR="005574BE">
        <w:rPr>
          <w:i/>
          <w:iCs/>
        </w:rPr>
        <w:t>sulme</w:t>
      </w:r>
      <w:r w:rsidR="005574BE" w:rsidRPr="005574BE">
        <w:rPr>
          <w:i/>
          <w:iCs/>
        </w:rPr>
        <w:t xml:space="preserve"> kibernetike, prishje të infrastrukturës së tregut që pengojnë shpalljet brenda afateve</w:t>
      </w:r>
      <w:r w:rsidR="00C023C8">
        <w:rPr>
          <w:i/>
          <w:iCs/>
        </w:rPr>
        <w:t xml:space="preserve">, </w:t>
      </w:r>
      <w:r w:rsidR="00EF4F1E">
        <w:rPr>
          <w:i/>
          <w:iCs/>
        </w:rPr>
        <w:t xml:space="preserve">si dhe ristrukturime me vendime gjyqësore apo masa </w:t>
      </w:r>
      <w:r w:rsidR="008E22F2">
        <w:rPr>
          <w:i/>
          <w:iCs/>
        </w:rPr>
        <w:t xml:space="preserve">në kuadër të </w:t>
      </w:r>
      <w:r w:rsidR="00EF4F1E">
        <w:rPr>
          <w:i/>
          <w:iCs/>
        </w:rPr>
        <w:t>rezolucioni</w:t>
      </w:r>
      <w:r w:rsidR="00911201">
        <w:rPr>
          <w:i/>
          <w:iCs/>
        </w:rPr>
        <w:t>t</w:t>
      </w:r>
      <w:r w:rsidR="00EF4F1E">
        <w:rPr>
          <w:i/>
          <w:iCs/>
        </w:rPr>
        <w:t xml:space="preserve">, me vendim të arsyetuar </w:t>
      </w:r>
      <w:r w:rsidR="00592E34">
        <w:rPr>
          <w:i/>
          <w:iCs/>
        </w:rPr>
        <w:t xml:space="preserve">mund </w:t>
      </w:r>
      <w:r w:rsidR="00D0576D" w:rsidRPr="00D0576D">
        <w:rPr>
          <w:i/>
          <w:iCs/>
        </w:rPr>
        <w:t xml:space="preserve">të </w:t>
      </w:r>
      <w:r w:rsidR="00D0576D">
        <w:rPr>
          <w:i/>
          <w:iCs/>
        </w:rPr>
        <w:t>bëjë</w:t>
      </w:r>
      <w:r w:rsidR="00D0576D" w:rsidRPr="00D0576D">
        <w:rPr>
          <w:i/>
          <w:iCs/>
        </w:rPr>
        <w:t xml:space="preserve"> përjashtime </w:t>
      </w:r>
      <w:r w:rsidR="00CE68CD" w:rsidRPr="00CE68CD">
        <w:rPr>
          <w:i/>
          <w:iCs/>
        </w:rPr>
        <w:t>të kufizuara</w:t>
      </w:r>
      <w:r w:rsidR="00CE68CD">
        <w:rPr>
          <w:i/>
          <w:iCs/>
        </w:rPr>
        <w:t xml:space="preserve"> </w:t>
      </w:r>
      <w:r w:rsidR="00D0576D">
        <w:rPr>
          <w:i/>
          <w:iCs/>
        </w:rPr>
        <w:t xml:space="preserve">nga </w:t>
      </w:r>
      <w:r w:rsidR="00D0576D" w:rsidRPr="00D0576D">
        <w:rPr>
          <w:i/>
          <w:iCs/>
        </w:rPr>
        <w:t xml:space="preserve">rregullat </w:t>
      </w:r>
      <w:r w:rsidR="00592E34">
        <w:rPr>
          <w:i/>
          <w:iCs/>
        </w:rPr>
        <w:t xml:space="preserve">e </w:t>
      </w:r>
      <w:r w:rsidR="00D0576D" w:rsidRPr="00D0576D">
        <w:rPr>
          <w:i/>
          <w:iCs/>
        </w:rPr>
        <w:t>këtij ligji</w:t>
      </w:r>
      <w:r w:rsidR="00D0576D">
        <w:rPr>
          <w:i/>
          <w:iCs/>
        </w:rPr>
        <w:t xml:space="preserve">, duke respektuar parimet e përcaktuara në </w:t>
      </w:r>
      <w:r w:rsidR="00592E34">
        <w:rPr>
          <w:i/>
          <w:iCs/>
        </w:rPr>
        <w:t>nenin 3, të këtij ligji.</w:t>
      </w:r>
    </w:p>
    <w:p w14:paraId="50BD57E5" w14:textId="35B62155" w:rsidR="000D7A4E" w:rsidRPr="00D95F92" w:rsidRDefault="00FC6979" w:rsidP="00911201">
      <w:pPr>
        <w:pStyle w:val="NormalWeb"/>
        <w:numPr>
          <w:ilvl w:val="0"/>
          <w:numId w:val="52"/>
        </w:numPr>
        <w:spacing w:before="0" w:beforeAutospacing="0" w:after="0" w:afterAutospacing="0"/>
        <w:jc w:val="both"/>
        <w:rPr>
          <w:i/>
          <w:iCs/>
        </w:rPr>
      </w:pPr>
      <w:r w:rsidRPr="00D95F92">
        <w:rPr>
          <w:i/>
          <w:iCs/>
        </w:rPr>
        <w:t>Autoriteti me rregullore miraton:</w:t>
      </w:r>
    </w:p>
    <w:p w14:paraId="2D584A4A" w14:textId="60E8A630" w:rsidR="00641620" w:rsidRPr="00D95F92" w:rsidRDefault="00305D2F" w:rsidP="00911201">
      <w:pPr>
        <w:pStyle w:val="NormalWeb"/>
        <w:numPr>
          <w:ilvl w:val="0"/>
          <w:numId w:val="47"/>
        </w:numPr>
        <w:spacing w:before="0" w:beforeAutospacing="0" w:after="0" w:afterAutospacing="0"/>
        <w:ind w:left="1080"/>
        <w:jc w:val="both"/>
        <w:rPr>
          <w:i/>
          <w:iCs/>
        </w:rPr>
      </w:pPr>
      <w:r w:rsidRPr="00D95F92">
        <w:rPr>
          <w:i/>
          <w:iCs/>
        </w:rPr>
        <w:t>format e veprimit në mënyrë të përbashkët</w:t>
      </w:r>
    </w:p>
    <w:p w14:paraId="1DF4CD92" w14:textId="67970E76" w:rsidR="00305D2F" w:rsidRPr="00D95F92" w:rsidRDefault="00A529C2" w:rsidP="00911201">
      <w:pPr>
        <w:pStyle w:val="NormalWeb"/>
        <w:numPr>
          <w:ilvl w:val="0"/>
          <w:numId w:val="47"/>
        </w:numPr>
        <w:ind w:left="1080"/>
        <w:jc w:val="both"/>
        <w:rPr>
          <w:i/>
          <w:iCs/>
        </w:rPr>
      </w:pPr>
      <w:r w:rsidRPr="00D95F92">
        <w:rPr>
          <w:i/>
          <w:iCs/>
        </w:rPr>
        <w:t>llogaritjen e numrit dhe përqindjes së të drejtave të votës</w:t>
      </w:r>
      <w:r w:rsidR="008E6010">
        <w:rPr>
          <w:i/>
          <w:iCs/>
        </w:rPr>
        <w:t xml:space="preserve"> </w:t>
      </w:r>
    </w:p>
    <w:p w14:paraId="17F91825" w14:textId="50AAB9BD" w:rsidR="00A529C2" w:rsidRDefault="003719FB" w:rsidP="00911201">
      <w:pPr>
        <w:pStyle w:val="NormalWeb"/>
        <w:numPr>
          <w:ilvl w:val="0"/>
          <w:numId w:val="47"/>
        </w:numPr>
        <w:ind w:left="1080"/>
        <w:jc w:val="both"/>
        <w:rPr>
          <w:i/>
          <w:iCs/>
        </w:rPr>
      </w:pPr>
      <w:r w:rsidRPr="00D95F92">
        <w:rPr>
          <w:i/>
          <w:iCs/>
        </w:rPr>
        <w:t>sigurimi</w:t>
      </w:r>
      <w:r w:rsidR="00756F06">
        <w:rPr>
          <w:i/>
          <w:iCs/>
        </w:rPr>
        <w:t>t</w:t>
      </w:r>
      <w:r w:rsidR="00AB7EA1">
        <w:rPr>
          <w:i/>
          <w:iCs/>
        </w:rPr>
        <w:t xml:space="preserve"> </w:t>
      </w:r>
      <w:r w:rsidR="00756F06">
        <w:rPr>
          <w:i/>
          <w:iCs/>
        </w:rPr>
        <w:t>të</w:t>
      </w:r>
      <w:r w:rsidRPr="00D95F92">
        <w:rPr>
          <w:i/>
          <w:iCs/>
        </w:rPr>
        <w:t xml:space="preserve"> shpërblimit</w:t>
      </w:r>
    </w:p>
    <w:p w14:paraId="059C1A59" w14:textId="66421ADA" w:rsidR="009071A4" w:rsidRDefault="00C84660" w:rsidP="00911201">
      <w:pPr>
        <w:pStyle w:val="NormalWeb"/>
        <w:numPr>
          <w:ilvl w:val="0"/>
          <w:numId w:val="47"/>
        </w:numPr>
        <w:ind w:left="1080"/>
        <w:jc w:val="both"/>
        <w:rPr>
          <w:i/>
          <w:iCs/>
        </w:rPr>
      </w:pPr>
      <w:r>
        <w:rPr>
          <w:i/>
          <w:iCs/>
        </w:rPr>
        <w:t xml:space="preserve">procedurat për </w:t>
      </w:r>
      <w:r w:rsidRPr="00C84660">
        <w:rPr>
          <w:i/>
          <w:iCs/>
        </w:rPr>
        <w:t>marrjen e masave për parandalimin dhe eliminimin e të metave, që mund të lindin gjatë procedurës së ofertës për marrjen në kontroll.</w:t>
      </w:r>
    </w:p>
    <w:p w14:paraId="1A60E51F" w14:textId="29C6020A" w:rsidR="00745E79" w:rsidRDefault="00745E79" w:rsidP="00911201">
      <w:pPr>
        <w:pStyle w:val="NormalWeb"/>
        <w:numPr>
          <w:ilvl w:val="0"/>
          <w:numId w:val="47"/>
        </w:numPr>
        <w:ind w:left="1080"/>
        <w:jc w:val="both"/>
        <w:rPr>
          <w:i/>
          <w:iCs/>
        </w:rPr>
      </w:pPr>
      <w:r>
        <w:rPr>
          <w:i/>
          <w:iCs/>
        </w:rPr>
        <w:t>procedura</w:t>
      </w:r>
      <w:r w:rsidR="00AB7EA1">
        <w:rPr>
          <w:i/>
          <w:iCs/>
        </w:rPr>
        <w:t>t për</w:t>
      </w:r>
      <w:r>
        <w:rPr>
          <w:i/>
          <w:iCs/>
        </w:rPr>
        <w:t xml:space="preserve"> trajtimit </w:t>
      </w:r>
      <w:r w:rsidR="00AB7EA1">
        <w:rPr>
          <w:i/>
          <w:iCs/>
        </w:rPr>
        <w:t>e</w:t>
      </w:r>
      <w:r>
        <w:rPr>
          <w:i/>
          <w:iCs/>
        </w:rPr>
        <w:t xml:space="preserve"> ankesave</w:t>
      </w:r>
    </w:p>
    <w:p w14:paraId="281779A2" w14:textId="71AEAA2E" w:rsidR="00463523" w:rsidRPr="00611082" w:rsidRDefault="003719FB" w:rsidP="00911201">
      <w:pPr>
        <w:pStyle w:val="NormalWeb"/>
        <w:numPr>
          <w:ilvl w:val="0"/>
          <w:numId w:val="47"/>
        </w:numPr>
        <w:ind w:left="1080"/>
        <w:jc w:val="both"/>
      </w:pPr>
      <w:r w:rsidRPr="00D95F92">
        <w:rPr>
          <w:i/>
          <w:iCs/>
        </w:rPr>
        <w:t>çështje të tjera në zbatim të këtij ligji.</w:t>
      </w:r>
      <w:r>
        <w:t>”</w:t>
      </w:r>
    </w:p>
    <w:p w14:paraId="1261675C" w14:textId="1350B987" w:rsidR="00E32579" w:rsidRDefault="00E32579" w:rsidP="00ED4187">
      <w:pPr>
        <w:pStyle w:val="NormalWeb"/>
        <w:jc w:val="center"/>
        <w:rPr>
          <w:b/>
          <w:bCs/>
        </w:rPr>
      </w:pPr>
      <w:r>
        <w:rPr>
          <w:b/>
          <w:bCs/>
        </w:rPr>
        <w:t>Neni 11</w:t>
      </w:r>
    </w:p>
    <w:p w14:paraId="5A2AF77C" w14:textId="50982CF0" w:rsidR="004912C1" w:rsidRDefault="004912C1" w:rsidP="004912C1">
      <w:pPr>
        <w:pStyle w:val="NormalWeb"/>
        <w:jc w:val="both"/>
      </w:pPr>
      <w:r w:rsidRPr="004912C1">
        <w:t>Neni 31 ndryshon si më poshtë</w:t>
      </w:r>
      <w:r>
        <w:t>:</w:t>
      </w:r>
    </w:p>
    <w:p w14:paraId="528FC415" w14:textId="04475FA2" w:rsidR="00076D66" w:rsidRPr="00CC78AE" w:rsidRDefault="00456F6F" w:rsidP="00076D66">
      <w:pPr>
        <w:pStyle w:val="NormalWeb"/>
        <w:jc w:val="center"/>
        <w:rPr>
          <w:i/>
          <w:iCs/>
        </w:rPr>
      </w:pPr>
      <w:r>
        <w:lastRenderedPageBreak/>
        <w:t>“</w:t>
      </w:r>
      <w:r w:rsidR="00076D66" w:rsidRPr="00CC78AE">
        <w:rPr>
          <w:i/>
          <w:iCs/>
        </w:rPr>
        <w:t>Neni 31</w:t>
      </w:r>
    </w:p>
    <w:p w14:paraId="7B46E303" w14:textId="600E4CCC" w:rsidR="00076D66" w:rsidRPr="00A10A3C" w:rsidRDefault="00C2120E" w:rsidP="00076D66">
      <w:pPr>
        <w:pStyle w:val="NormalWeb"/>
        <w:jc w:val="center"/>
        <w:rPr>
          <w:i/>
          <w:iCs/>
        </w:rPr>
      </w:pPr>
      <w:r w:rsidRPr="00A10A3C">
        <w:rPr>
          <w:i/>
          <w:iCs/>
        </w:rPr>
        <w:t>A</w:t>
      </w:r>
      <w:r w:rsidR="00456F6F" w:rsidRPr="00A10A3C">
        <w:rPr>
          <w:i/>
          <w:iCs/>
        </w:rPr>
        <w:t>nkim</w:t>
      </w:r>
      <w:r w:rsidRPr="00A10A3C">
        <w:rPr>
          <w:i/>
          <w:iCs/>
        </w:rPr>
        <w:t>i</w:t>
      </w:r>
    </w:p>
    <w:p w14:paraId="67BBE207" w14:textId="265A0BC7" w:rsidR="00076D66" w:rsidRPr="00CC78AE" w:rsidRDefault="001E2002" w:rsidP="00076D66">
      <w:pPr>
        <w:pStyle w:val="NormalWeb"/>
        <w:numPr>
          <w:ilvl w:val="0"/>
          <w:numId w:val="50"/>
        </w:numPr>
        <w:jc w:val="both"/>
        <w:rPr>
          <w:i/>
          <w:iCs/>
        </w:rPr>
      </w:pPr>
      <w:r w:rsidRPr="00CC78AE">
        <w:rPr>
          <w:i/>
          <w:iCs/>
        </w:rPr>
        <w:t xml:space="preserve">Ankimi </w:t>
      </w:r>
      <w:r w:rsidR="005D219F" w:rsidRPr="005D219F">
        <w:rPr>
          <w:i/>
          <w:iCs/>
        </w:rPr>
        <w:t>në rrugë gjyqësore</w:t>
      </w:r>
      <w:r w:rsidR="005D219F">
        <w:rPr>
          <w:i/>
          <w:iCs/>
        </w:rPr>
        <w:t xml:space="preserve"> </w:t>
      </w:r>
      <w:r w:rsidRPr="00CC78AE">
        <w:rPr>
          <w:i/>
          <w:iCs/>
        </w:rPr>
        <w:t xml:space="preserve">ndaj akteve </w:t>
      </w:r>
      <w:r w:rsidR="00156EAF">
        <w:rPr>
          <w:i/>
          <w:iCs/>
        </w:rPr>
        <w:t xml:space="preserve">për </w:t>
      </w:r>
      <w:r w:rsidR="00156EAF" w:rsidRPr="00C84660">
        <w:rPr>
          <w:i/>
          <w:iCs/>
        </w:rPr>
        <w:t>marrjen e masave për parandalimin dhe eliminimin e të metave</w:t>
      </w:r>
      <w:r w:rsidR="00156EAF" w:rsidRPr="00CC78AE">
        <w:rPr>
          <w:i/>
          <w:iCs/>
        </w:rPr>
        <w:t xml:space="preserve"> </w:t>
      </w:r>
      <w:r w:rsidR="00327D0B">
        <w:rPr>
          <w:i/>
          <w:iCs/>
        </w:rPr>
        <w:t>apo ndaj</w:t>
      </w:r>
      <w:r w:rsidRPr="00CC78AE">
        <w:rPr>
          <w:i/>
          <w:iCs/>
        </w:rPr>
        <w:t xml:space="preserve"> vendimeve të Autoritetit nuk </w:t>
      </w:r>
      <w:r w:rsidR="00456F6F" w:rsidRPr="00CC78AE">
        <w:rPr>
          <w:i/>
          <w:iCs/>
        </w:rPr>
        <w:t xml:space="preserve">ka </w:t>
      </w:r>
      <w:r w:rsidRPr="00CC78AE">
        <w:rPr>
          <w:i/>
          <w:iCs/>
        </w:rPr>
        <w:t>efekt pezullues</w:t>
      </w:r>
      <w:r w:rsidR="005D219F">
        <w:rPr>
          <w:i/>
          <w:iCs/>
        </w:rPr>
        <w:t>.</w:t>
      </w:r>
    </w:p>
    <w:p w14:paraId="508DD9B0" w14:textId="0983EC70" w:rsidR="00874A50" w:rsidRPr="00BF229A" w:rsidRDefault="00076D66" w:rsidP="00BF229A">
      <w:pPr>
        <w:pStyle w:val="NormalWeb"/>
        <w:numPr>
          <w:ilvl w:val="0"/>
          <w:numId w:val="50"/>
        </w:numPr>
        <w:jc w:val="both"/>
      </w:pPr>
      <w:r w:rsidRPr="00CC78AE">
        <w:rPr>
          <w:i/>
          <w:iCs/>
        </w:rPr>
        <w:t xml:space="preserve">Gjykata, </w:t>
      </w:r>
      <w:r w:rsidRPr="00CC78AE">
        <w:rPr>
          <w:rStyle w:val="Strong"/>
          <w:rFonts w:eastAsiaTheme="majorEastAsia"/>
          <w:b w:val="0"/>
          <w:bCs w:val="0"/>
          <w:i/>
          <w:iCs/>
        </w:rPr>
        <w:t>mund të refuzojë</w:t>
      </w:r>
      <w:r w:rsidRPr="00CC78AE">
        <w:rPr>
          <w:i/>
          <w:iCs/>
        </w:rPr>
        <w:t xml:space="preserve"> shqyrtimin e </w:t>
      </w:r>
      <w:r w:rsidR="006F25FB">
        <w:rPr>
          <w:i/>
          <w:iCs/>
        </w:rPr>
        <w:t>ankesave</w:t>
      </w:r>
      <w:r w:rsidRPr="00CC78AE">
        <w:rPr>
          <w:i/>
          <w:iCs/>
        </w:rPr>
        <w:t xml:space="preserve">, përfshirë masat e përkohshme apo sigurimin e padisë, kur këto </w:t>
      </w:r>
      <w:r w:rsidRPr="00CC78AE">
        <w:rPr>
          <w:rStyle w:val="Strong"/>
          <w:rFonts w:eastAsiaTheme="majorEastAsia"/>
          <w:b w:val="0"/>
          <w:bCs w:val="0"/>
          <w:i/>
          <w:iCs/>
        </w:rPr>
        <w:t>do të ndikonin në mënyrë të pajustifikuar</w:t>
      </w:r>
      <w:r w:rsidRPr="00CC78AE">
        <w:rPr>
          <w:i/>
          <w:iCs/>
        </w:rPr>
        <w:t xml:space="preserve"> rezultatin, barazinë ndërmjet palëve ose kohëzgjatjen e ofertës</w:t>
      </w:r>
      <w:r>
        <w:t>.</w:t>
      </w:r>
      <w:r w:rsidR="00CC78AE">
        <w:t>”</w:t>
      </w:r>
      <w:r>
        <w:t xml:space="preserve"> </w:t>
      </w:r>
      <w:r w:rsidR="00156EAF">
        <w:t xml:space="preserve"> </w:t>
      </w:r>
    </w:p>
    <w:p w14:paraId="6C4817A8" w14:textId="1D9B953F" w:rsidR="00B82F10" w:rsidRDefault="00B82F10" w:rsidP="00BA22FB">
      <w:pPr>
        <w:spacing w:after="0"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Neni 12</w:t>
      </w:r>
    </w:p>
    <w:p w14:paraId="0261D591" w14:textId="77777777" w:rsidR="00B82F10" w:rsidRDefault="00B82F10" w:rsidP="00BA22FB">
      <w:pPr>
        <w:spacing w:after="0" w:line="240" w:lineRule="auto"/>
        <w:jc w:val="center"/>
        <w:rPr>
          <w:rFonts w:ascii="Times New Roman" w:eastAsia="Times New Roman" w:hAnsi="Times New Roman" w:cs="Times New Roman"/>
          <w:b/>
          <w:bCs/>
          <w:kern w:val="0"/>
          <w:lang w:eastAsia="en-GB"/>
          <w14:ligatures w14:val="none"/>
        </w:rPr>
      </w:pPr>
    </w:p>
    <w:p w14:paraId="529595F5" w14:textId="264252D0" w:rsidR="00CF5D84" w:rsidRPr="00CF5D84" w:rsidRDefault="00CF5D84" w:rsidP="00CF5D84">
      <w:pPr>
        <w:spacing w:after="0" w:line="240" w:lineRule="auto"/>
        <w:jc w:val="both"/>
        <w:rPr>
          <w:rFonts w:ascii="Times New Roman" w:eastAsia="Times New Roman" w:hAnsi="Times New Roman" w:cs="Times New Roman"/>
          <w:kern w:val="0"/>
          <w:lang w:eastAsia="en-GB"/>
          <w14:ligatures w14:val="none"/>
        </w:rPr>
      </w:pPr>
      <w:r w:rsidRPr="00CF5D84">
        <w:rPr>
          <w:rFonts w:ascii="Times New Roman" w:eastAsia="Times New Roman" w:hAnsi="Times New Roman" w:cs="Times New Roman"/>
          <w:kern w:val="0"/>
          <w:lang w:eastAsia="en-GB"/>
          <w14:ligatures w14:val="none"/>
        </w:rPr>
        <w:t xml:space="preserve">Pas </w:t>
      </w:r>
      <w:r>
        <w:rPr>
          <w:rFonts w:ascii="Times New Roman" w:eastAsia="Times New Roman" w:hAnsi="Times New Roman" w:cs="Times New Roman"/>
          <w:kern w:val="0"/>
          <w:lang w:eastAsia="en-GB"/>
          <w14:ligatures w14:val="none"/>
        </w:rPr>
        <w:t>nenit 36, shtohet neni 36/1</w:t>
      </w:r>
      <w:r w:rsidR="00FB60FA">
        <w:rPr>
          <w:rFonts w:ascii="Times New Roman" w:eastAsia="Times New Roman" w:hAnsi="Times New Roman" w:cs="Times New Roman"/>
          <w:kern w:val="0"/>
          <w:lang w:eastAsia="en-GB"/>
          <w14:ligatures w14:val="none"/>
        </w:rPr>
        <w:t xml:space="preserve"> dhe 36/2</w:t>
      </w:r>
      <w:r>
        <w:rPr>
          <w:rFonts w:ascii="Times New Roman" w:eastAsia="Times New Roman" w:hAnsi="Times New Roman" w:cs="Times New Roman"/>
          <w:kern w:val="0"/>
          <w:lang w:eastAsia="en-GB"/>
          <w14:ligatures w14:val="none"/>
        </w:rPr>
        <w:t>, me përmbajtjen si më poshtë:</w:t>
      </w:r>
    </w:p>
    <w:p w14:paraId="7D55212E" w14:textId="77777777" w:rsidR="00CF5D84" w:rsidRDefault="00CF5D84" w:rsidP="00BA22FB">
      <w:pPr>
        <w:spacing w:after="0" w:line="240" w:lineRule="auto"/>
        <w:jc w:val="center"/>
        <w:rPr>
          <w:rFonts w:ascii="Times New Roman" w:eastAsia="Times New Roman" w:hAnsi="Times New Roman" w:cs="Times New Roman"/>
          <w:b/>
          <w:bCs/>
          <w:kern w:val="0"/>
          <w:lang w:eastAsia="en-GB"/>
          <w14:ligatures w14:val="none"/>
        </w:rPr>
      </w:pPr>
    </w:p>
    <w:p w14:paraId="61DA9BB6" w14:textId="7362861A" w:rsidR="00CF5D84" w:rsidRPr="00402139" w:rsidRDefault="00CF5D84" w:rsidP="00BA22FB">
      <w:pPr>
        <w:spacing w:after="0" w:line="240" w:lineRule="auto"/>
        <w:jc w:val="center"/>
        <w:rPr>
          <w:rFonts w:ascii="Times New Roman" w:eastAsia="Times New Roman" w:hAnsi="Times New Roman" w:cs="Times New Roman"/>
          <w:i/>
          <w:iCs/>
          <w:kern w:val="0"/>
          <w:lang w:eastAsia="en-GB"/>
          <w14:ligatures w14:val="none"/>
        </w:rPr>
      </w:pPr>
      <w:r>
        <w:rPr>
          <w:rFonts w:ascii="Times New Roman" w:eastAsia="Times New Roman" w:hAnsi="Times New Roman" w:cs="Times New Roman"/>
          <w:kern w:val="0"/>
          <w:lang w:eastAsia="en-GB"/>
          <w14:ligatures w14:val="none"/>
        </w:rPr>
        <w:t>“</w:t>
      </w:r>
      <w:r w:rsidRPr="00402139">
        <w:rPr>
          <w:rFonts w:ascii="Times New Roman" w:eastAsia="Times New Roman" w:hAnsi="Times New Roman" w:cs="Times New Roman"/>
          <w:i/>
          <w:iCs/>
          <w:kern w:val="0"/>
          <w:lang w:eastAsia="en-GB"/>
          <w14:ligatures w14:val="none"/>
        </w:rPr>
        <w:t>Neni 36/1</w:t>
      </w:r>
    </w:p>
    <w:p w14:paraId="109784A0" w14:textId="052A1D99" w:rsidR="00F72A7B" w:rsidRPr="00402139" w:rsidRDefault="00401F0B" w:rsidP="00401F0B">
      <w:pPr>
        <w:spacing w:after="0" w:line="240" w:lineRule="auto"/>
        <w:jc w:val="center"/>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Raportimet te Komisioni Evropian</w:t>
      </w:r>
    </w:p>
    <w:p w14:paraId="5A2C8A85" w14:textId="77777777" w:rsidR="00F72A7B" w:rsidRPr="00402139" w:rsidRDefault="00F72A7B" w:rsidP="00F72A7B">
      <w:pPr>
        <w:spacing w:after="0" w:line="240" w:lineRule="auto"/>
        <w:jc w:val="both"/>
        <w:rPr>
          <w:rFonts w:ascii="Times New Roman" w:eastAsia="Times New Roman" w:hAnsi="Times New Roman" w:cs="Times New Roman"/>
          <w:i/>
          <w:iCs/>
          <w:kern w:val="0"/>
          <w:lang w:eastAsia="en-GB"/>
          <w14:ligatures w14:val="none"/>
        </w:rPr>
      </w:pPr>
    </w:p>
    <w:p w14:paraId="0C02EEE6" w14:textId="6793A646" w:rsidR="001775D0" w:rsidRPr="00402139" w:rsidRDefault="001775D0" w:rsidP="00401F0B">
      <w:pPr>
        <w:pStyle w:val="ListParagraph"/>
        <w:numPr>
          <w:ilvl w:val="0"/>
          <w:numId w:val="54"/>
        </w:numPr>
        <w:spacing w:after="0" w:line="240" w:lineRule="auto"/>
        <w:ind w:left="270"/>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 xml:space="preserve">Autoriteti është pika kombëtare e kontaktit dhe koordinon zbatimin e detyrimeve të raportimit ndaj Komisionit Evropian (“Komisioni”) në fushën e ofertave për marrje në kontroll. </w:t>
      </w:r>
    </w:p>
    <w:p w14:paraId="1F848FDE" w14:textId="2D50B380" w:rsidR="00401F0B" w:rsidRPr="00402139" w:rsidRDefault="00401F0B" w:rsidP="00401F0B">
      <w:pPr>
        <w:pStyle w:val="ListParagraph"/>
        <w:numPr>
          <w:ilvl w:val="0"/>
          <w:numId w:val="54"/>
        </w:numPr>
        <w:spacing w:after="0" w:line="240" w:lineRule="auto"/>
        <w:ind w:left="270"/>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Brenda tremujorit të parë të çdo viti kalendarik, Autoriteti i përcjell Komisionit një raport për ofertat e marrjes në kontroll të përfunduara ose të ndërmarra gjatë vitit pararendës që lidhen me shoqëri, titujt e të cilave janë të pranuar në një treg të rregulluar në Republikën e Shqipërisë. Raporti përfshin, të paktën:</w:t>
      </w:r>
    </w:p>
    <w:p w14:paraId="3B90025A" w14:textId="4BC63C0F" w:rsidR="00401F0B" w:rsidRPr="00402139" w:rsidRDefault="00401F0B" w:rsidP="00401F0B">
      <w:pPr>
        <w:pStyle w:val="ListParagraph"/>
        <w:numPr>
          <w:ilvl w:val="0"/>
          <w:numId w:val="55"/>
        </w:numPr>
        <w:spacing w:after="0" w:line="240" w:lineRule="auto"/>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numrin e ofertave dhe rezultatin e secilës;</w:t>
      </w:r>
    </w:p>
    <w:p w14:paraId="1EB71435" w14:textId="40EA9F12" w:rsidR="00401F0B" w:rsidRPr="00402139" w:rsidRDefault="00401F0B" w:rsidP="00401F0B">
      <w:pPr>
        <w:pStyle w:val="ListParagraph"/>
        <w:numPr>
          <w:ilvl w:val="0"/>
          <w:numId w:val="55"/>
        </w:numPr>
        <w:spacing w:after="0" w:line="240" w:lineRule="auto"/>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identifikimin e ofertuesit dhe të shoqërisë objekt;</w:t>
      </w:r>
    </w:p>
    <w:p w14:paraId="708F031A" w14:textId="667AE419" w:rsidR="00401F0B" w:rsidRPr="00402139" w:rsidRDefault="00401F0B" w:rsidP="00401F0B">
      <w:pPr>
        <w:pStyle w:val="ListParagraph"/>
        <w:numPr>
          <w:ilvl w:val="0"/>
          <w:numId w:val="55"/>
        </w:numPr>
        <w:spacing w:after="0" w:line="240" w:lineRule="auto"/>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çmimin e ofertës dhe përqindjen e kapitalit/votave të fituara;</w:t>
      </w:r>
    </w:p>
    <w:p w14:paraId="3976F215" w14:textId="748A8383" w:rsidR="00401F0B" w:rsidRPr="00402139" w:rsidRDefault="00401F0B" w:rsidP="00401F0B">
      <w:pPr>
        <w:pStyle w:val="ListParagraph"/>
        <w:numPr>
          <w:ilvl w:val="0"/>
          <w:numId w:val="55"/>
        </w:numPr>
        <w:spacing w:after="0" w:line="240" w:lineRule="auto"/>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masat mbrojtëse të marra nga administrimi i shoqërisë objekt dhe rezultatet e tyre;</w:t>
      </w:r>
    </w:p>
    <w:p w14:paraId="2331F05D" w14:textId="614FC444" w:rsidR="00401F0B" w:rsidRPr="00402139" w:rsidRDefault="00401F0B" w:rsidP="00401F0B">
      <w:pPr>
        <w:pStyle w:val="ListParagraph"/>
        <w:numPr>
          <w:ilvl w:val="0"/>
          <w:numId w:val="55"/>
        </w:numPr>
        <w:spacing w:after="0" w:line="240" w:lineRule="auto"/>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 xml:space="preserve">ushtrimin e të drejtave </w:t>
      </w:r>
      <w:r w:rsidR="00C07706" w:rsidRPr="00402139">
        <w:rPr>
          <w:rFonts w:ascii="Times New Roman" w:eastAsia="Times New Roman" w:hAnsi="Times New Roman" w:cs="Times New Roman"/>
          <w:i/>
          <w:iCs/>
          <w:kern w:val="0"/>
          <w:lang w:eastAsia="en-GB"/>
          <w14:ligatures w14:val="none"/>
        </w:rPr>
        <w:t>nenit 25</w:t>
      </w:r>
      <w:r w:rsidRPr="00402139">
        <w:rPr>
          <w:rFonts w:ascii="Times New Roman" w:eastAsia="Times New Roman" w:hAnsi="Times New Roman" w:cs="Times New Roman"/>
          <w:i/>
          <w:iCs/>
          <w:kern w:val="0"/>
          <w:lang w:eastAsia="en-GB"/>
          <w14:ligatures w14:val="none"/>
        </w:rPr>
        <w:t xml:space="preserve"> dhe </w:t>
      </w:r>
      <w:r w:rsidR="00C07706" w:rsidRPr="00402139">
        <w:rPr>
          <w:rFonts w:ascii="Times New Roman" w:eastAsia="Times New Roman" w:hAnsi="Times New Roman" w:cs="Times New Roman"/>
          <w:i/>
          <w:iCs/>
          <w:kern w:val="0"/>
          <w:lang w:eastAsia="en-GB"/>
          <w14:ligatures w14:val="none"/>
        </w:rPr>
        <w:t>26</w:t>
      </w:r>
      <w:r w:rsidRPr="00402139">
        <w:rPr>
          <w:rFonts w:ascii="Times New Roman" w:eastAsia="Times New Roman" w:hAnsi="Times New Roman" w:cs="Times New Roman"/>
          <w:i/>
          <w:iCs/>
          <w:kern w:val="0"/>
          <w:lang w:eastAsia="en-GB"/>
          <w14:ligatures w14:val="none"/>
        </w:rPr>
        <w:t>, nëse ka;</w:t>
      </w:r>
    </w:p>
    <w:p w14:paraId="12F0ADAC" w14:textId="7DF4BC8E" w:rsidR="00401F0B" w:rsidRPr="00402139" w:rsidRDefault="00401F0B" w:rsidP="00401F0B">
      <w:pPr>
        <w:pStyle w:val="ListParagraph"/>
        <w:numPr>
          <w:ilvl w:val="0"/>
          <w:numId w:val="55"/>
        </w:numPr>
        <w:spacing w:after="0" w:line="240" w:lineRule="auto"/>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 xml:space="preserve">çdo të dhënë tjetër të kërkuar nga udhëzimet e Komisionit ose nga aktet nënligjore vendase. </w:t>
      </w:r>
    </w:p>
    <w:p w14:paraId="507C1168" w14:textId="77777777" w:rsidR="00401F0B" w:rsidRPr="00402139" w:rsidRDefault="00401F0B" w:rsidP="00401F0B">
      <w:pPr>
        <w:spacing w:after="0" w:line="240" w:lineRule="auto"/>
        <w:jc w:val="both"/>
        <w:rPr>
          <w:rFonts w:ascii="Times New Roman" w:eastAsia="Times New Roman" w:hAnsi="Times New Roman" w:cs="Times New Roman"/>
          <w:i/>
          <w:iCs/>
          <w:kern w:val="0"/>
          <w:lang w:eastAsia="en-GB"/>
          <w14:ligatures w14:val="none"/>
        </w:rPr>
      </w:pPr>
    </w:p>
    <w:p w14:paraId="3ABC3DE3" w14:textId="77777777" w:rsidR="002747DD" w:rsidRPr="00402139" w:rsidRDefault="002747DD" w:rsidP="00D8614A">
      <w:pPr>
        <w:pStyle w:val="ListParagraph"/>
        <w:numPr>
          <w:ilvl w:val="0"/>
          <w:numId w:val="54"/>
        </w:numPr>
        <w:spacing w:after="0" w:line="240" w:lineRule="auto"/>
        <w:ind w:left="360"/>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Autoriteti i njofton Komisionit për:</w:t>
      </w:r>
    </w:p>
    <w:p w14:paraId="26F714F4" w14:textId="63788168" w:rsidR="00184894" w:rsidRPr="00402139" w:rsidRDefault="00AB1E65" w:rsidP="002747DD">
      <w:pPr>
        <w:pStyle w:val="ListParagraph"/>
        <w:numPr>
          <w:ilvl w:val="0"/>
          <w:numId w:val="57"/>
        </w:numPr>
        <w:spacing w:after="0" w:line="240" w:lineRule="auto"/>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masat ligjore e nënligjore për sanksionet e zbatueshme për shkeljet e këtij ligji, si dhe çdo ndryshim të mëvonshëm</w:t>
      </w:r>
      <w:r w:rsidR="008E3432" w:rsidRPr="00402139">
        <w:rPr>
          <w:rFonts w:ascii="Times New Roman" w:eastAsia="Times New Roman" w:hAnsi="Times New Roman" w:cs="Times New Roman"/>
          <w:i/>
          <w:iCs/>
          <w:kern w:val="0"/>
          <w:lang w:eastAsia="en-GB"/>
          <w14:ligatures w14:val="none"/>
        </w:rPr>
        <w:t>;</w:t>
      </w:r>
      <w:r w:rsidRPr="00402139">
        <w:rPr>
          <w:rFonts w:ascii="Times New Roman" w:eastAsia="Times New Roman" w:hAnsi="Times New Roman" w:cs="Times New Roman"/>
          <w:i/>
          <w:iCs/>
          <w:kern w:val="0"/>
          <w:lang w:eastAsia="en-GB"/>
          <w14:ligatures w14:val="none"/>
        </w:rPr>
        <w:t xml:space="preserve"> </w:t>
      </w:r>
    </w:p>
    <w:p w14:paraId="1A5F0CAF" w14:textId="025381CF" w:rsidR="008E3432" w:rsidRPr="00402139" w:rsidRDefault="008E3432" w:rsidP="002747DD">
      <w:pPr>
        <w:pStyle w:val="ListParagraph"/>
        <w:numPr>
          <w:ilvl w:val="0"/>
          <w:numId w:val="57"/>
        </w:numPr>
        <w:spacing w:after="0" w:line="240" w:lineRule="auto"/>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caktimin e autoritete kompetente dhe për çdo ndarje funksionesh mes tyre, si dhe për çdo ndryshim të mëvonshëm;</w:t>
      </w:r>
    </w:p>
    <w:p w14:paraId="30EF1678" w14:textId="4DF5AD42" w:rsidR="008E3432" w:rsidRPr="002B360E" w:rsidRDefault="005B5207" w:rsidP="002B360E">
      <w:pPr>
        <w:pStyle w:val="ListParagraph"/>
        <w:numPr>
          <w:ilvl w:val="0"/>
          <w:numId w:val="57"/>
        </w:numPr>
        <w:spacing w:after="0" w:line="240" w:lineRule="auto"/>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tekstet e dispozitave kryesore të miratuara në fushën e këtij ligji</w:t>
      </w:r>
      <w:r w:rsidR="00733D55" w:rsidRPr="00402139">
        <w:rPr>
          <w:rFonts w:ascii="Times New Roman" w:eastAsia="Times New Roman" w:hAnsi="Times New Roman" w:cs="Times New Roman"/>
          <w:i/>
          <w:iCs/>
          <w:kern w:val="0"/>
          <w:lang w:eastAsia="en-GB"/>
          <w14:ligatures w14:val="none"/>
        </w:rPr>
        <w:t>, masat e rrepta dhe masat nga transpozimet,</w:t>
      </w:r>
      <w:r w:rsidRPr="00402139">
        <w:rPr>
          <w:rFonts w:ascii="Times New Roman" w:eastAsia="Times New Roman" w:hAnsi="Times New Roman" w:cs="Times New Roman"/>
          <w:i/>
          <w:iCs/>
          <w:kern w:val="0"/>
          <w:lang w:eastAsia="en-GB"/>
          <w14:ligatures w14:val="none"/>
        </w:rPr>
        <w:t xml:space="preserve"> </w:t>
      </w:r>
      <w:r w:rsidR="002B360E" w:rsidRPr="00402139">
        <w:rPr>
          <w:rFonts w:ascii="Times New Roman" w:eastAsia="Times New Roman" w:hAnsi="Times New Roman" w:cs="Times New Roman"/>
          <w:i/>
          <w:iCs/>
          <w:kern w:val="0"/>
          <w:lang w:eastAsia="en-GB"/>
          <w14:ligatures w14:val="none"/>
        </w:rPr>
        <w:t>si dhe për çdo ndryshim të mëvonshëm;</w:t>
      </w:r>
    </w:p>
    <w:p w14:paraId="6FEB93CD" w14:textId="77777777" w:rsidR="00184894" w:rsidRPr="00402139" w:rsidRDefault="00184894" w:rsidP="00184894">
      <w:pPr>
        <w:spacing w:after="0" w:line="240" w:lineRule="auto"/>
        <w:jc w:val="both"/>
        <w:rPr>
          <w:rFonts w:ascii="Times New Roman" w:eastAsia="Times New Roman" w:hAnsi="Times New Roman" w:cs="Times New Roman"/>
          <w:i/>
          <w:iCs/>
          <w:kern w:val="0"/>
          <w:lang w:eastAsia="en-GB"/>
          <w14:ligatures w14:val="none"/>
        </w:rPr>
      </w:pPr>
    </w:p>
    <w:p w14:paraId="589CF0A0" w14:textId="5DA8A79E" w:rsidR="00CF5D84" w:rsidRPr="00402139" w:rsidRDefault="00CF5D84" w:rsidP="00BA22FB">
      <w:pPr>
        <w:spacing w:after="0" w:line="240" w:lineRule="auto"/>
        <w:jc w:val="center"/>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 xml:space="preserve">Neni </w:t>
      </w:r>
      <w:r w:rsidR="00FB60FA" w:rsidRPr="00402139">
        <w:rPr>
          <w:rFonts w:ascii="Times New Roman" w:eastAsia="Times New Roman" w:hAnsi="Times New Roman" w:cs="Times New Roman"/>
          <w:i/>
          <w:iCs/>
          <w:kern w:val="0"/>
          <w:lang w:eastAsia="en-GB"/>
          <w14:ligatures w14:val="none"/>
        </w:rPr>
        <w:t>36/2</w:t>
      </w:r>
    </w:p>
    <w:p w14:paraId="7A26F1B4" w14:textId="77777777" w:rsidR="00FB60FA" w:rsidRPr="00402139" w:rsidRDefault="00FB60FA" w:rsidP="00FB60FA">
      <w:pPr>
        <w:spacing w:after="0" w:line="240" w:lineRule="auto"/>
        <w:jc w:val="center"/>
        <w:rPr>
          <w:rFonts w:ascii="Times New Roman" w:eastAsia="Times New Roman" w:hAnsi="Times New Roman" w:cs="Times New Roman"/>
          <w:i/>
          <w:iCs/>
          <w:kern w:val="0"/>
          <w:lang w:eastAsia="en-GB"/>
          <w14:ligatures w14:val="none"/>
        </w:rPr>
      </w:pPr>
    </w:p>
    <w:p w14:paraId="66AA4724" w14:textId="44E4304B" w:rsidR="00FB60FA" w:rsidRPr="00402139" w:rsidRDefault="00FB60FA" w:rsidP="00FB60FA">
      <w:pPr>
        <w:spacing w:after="0" w:line="240" w:lineRule="auto"/>
        <w:jc w:val="center"/>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ESAP dhe qasja e të dhënave</w:t>
      </w:r>
    </w:p>
    <w:p w14:paraId="5C7605B0" w14:textId="77777777" w:rsidR="00FB60FA" w:rsidRPr="00402139" w:rsidRDefault="00FB60FA" w:rsidP="00FB60FA">
      <w:pPr>
        <w:spacing w:after="0" w:line="240" w:lineRule="auto"/>
        <w:jc w:val="center"/>
        <w:rPr>
          <w:rFonts w:ascii="Times New Roman" w:eastAsia="Times New Roman" w:hAnsi="Times New Roman" w:cs="Times New Roman"/>
          <w:i/>
          <w:iCs/>
          <w:kern w:val="0"/>
          <w:lang w:eastAsia="en-GB"/>
          <w14:ligatures w14:val="none"/>
        </w:rPr>
      </w:pPr>
    </w:p>
    <w:p w14:paraId="52E1D4B1" w14:textId="01721289" w:rsidR="008D17ED" w:rsidRPr="00402139" w:rsidRDefault="00AD572E" w:rsidP="00FB60FA">
      <w:pPr>
        <w:pStyle w:val="ListParagraph"/>
        <w:numPr>
          <w:ilvl w:val="0"/>
          <w:numId w:val="58"/>
        </w:numPr>
        <w:spacing w:after="0" w:line="240" w:lineRule="auto"/>
        <w:ind w:left="450"/>
        <w:jc w:val="both"/>
        <w:rPr>
          <w:rFonts w:ascii="Times New Roman" w:eastAsia="Times New Roman" w:hAnsi="Times New Roman" w:cs="Times New Roman"/>
          <w:i/>
          <w:iCs/>
          <w:kern w:val="0"/>
          <w:lang w:eastAsia="en-GB"/>
          <w14:ligatures w14:val="none"/>
        </w:rPr>
      </w:pPr>
      <w:r w:rsidRPr="00402139">
        <w:rPr>
          <w:rFonts w:ascii="Times New Roman" w:eastAsia="Times New Roman" w:hAnsi="Times New Roman" w:cs="Times New Roman"/>
          <w:i/>
          <w:iCs/>
          <w:kern w:val="0"/>
          <w:lang w:eastAsia="en-GB"/>
          <w14:ligatures w14:val="none"/>
        </w:rPr>
        <w:t>Autoriteti</w:t>
      </w:r>
      <w:r w:rsidR="00FB60FA" w:rsidRPr="00402139">
        <w:rPr>
          <w:rFonts w:ascii="Times New Roman" w:eastAsia="Times New Roman" w:hAnsi="Times New Roman" w:cs="Times New Roman"/>
          <w:i/>
          <w:iCs/>
          <w:kern w:val="0"/>
          <w:lang w:eastAsia="en-GB"/>
          <w14:ligatures w14:val="none"/>
        </w:rPr>
        <w:t xml:space="preserve"> depoziton </w:t>
      </w:r>
      <w:r w:rsidR="00FF4AAE" w:rsidRPr="00402139">
        <w:rPr>
          <w:rFonts w:ascii="Times New Roman" w:eastAsia="Times New Roman" w:hAnsi="Times New Roman" w:cs="Times New Roman"/>
          <w:i/>
          <w:iCs/>
          <w:kern w:val="0"/>
          <w:lang w:eastAsia="en-GB"/>
          <w14:ligatures w14:val="none"/>
        </w:rPr>
        <w:t>informacionin</w:t>
      </w:r>
      <w:r w:rsidR="00FB60FA" w:rsidRPr="00402139">
        <w:rPr>
          <w:rFonts w:ascii="Times New Roman" w:eastAsia="Times New Roman" w:hAnsi="Times New Roman" w:cs="Times New Roman"/>
          <w:i/>
          <w:iCs/>
          <w:kern w:val="0"/>
          <w:lang w:eastAsia="en-GB"/>
          <w14:ligatures w14:val="none"/>
        </w:rPr>
        <w:t xml:space="preserve"> përkatës pranë </w:t>
      </w:r>
      <w:r w:rsidR="004D7D25">
        <w:rPr>
          <w:rFonts w:ascii="Times New Roman" w:eastAsia="Times New Roman" w:hAnsi="Times New Roman" w:cs="Times New Roman"/>
          <w:i/>
          <w:iCs/>
          <w:kern w:val="0"/>
          <w:lang w:eastAsia="en-GB"/>
          <w14:ligatures w14:val="none"/>
        </w:rPr>
        <w:t xml:space="preserve">organit </w:t>
      </w:r>
      <w:r w:rsidR="004D7D25" w:rsidRPr="004D7D25">
        <w:rPr>
          <w:rFonts w:ascii="Times New Roman" w:eastAsia="Times New Roman" w:hAnsi="Times New Roman" w:cs="Times New Roman"/>
          <w:i/>
          <w:iCs/>
          <w:kern w:val="0"/>
          <w:lang w:eastAsia="en-GB"/>
          <w14:ligatures w14:val="none"/>
        </w:rPr>
        <w:t>kompetent për mbledhjen e të dhënave</w:t>
      </w:r>
      <w:r w:rsidR="00FB60FA" w:rsidRPr="00402139">
        <w:rPr>
          <w:rFonts w:ascii="Times New Roman" w:eastAsia="Times New Roman" w:hAnsi="Times New Roman" w:cs="Times New Roman"/>
          <w:i/>
          <w:iCs/>
          <w:kern w:val="0"/>
          <w:lang w:eastAsia="en-GB"/>
          <w14:ligatures w14:val="none"/>
        </w:rPr>
        <w:t xml:space="preserve">, me qëllim </w:t>
      </w:r>
      <w:r w:rsidR="008D17ED" w:rsidRPr="00402139">
        <w:rPr>
          <w:rFonts w:ascii="Times New Roman" w:eastAsia="Times New Roman" w:hAnsi="Times New Roman" w:cs="Times New Roman"/>
          <w:i/>
          <w:iCs/>
          <w:kern w:val="0"/>
          <w:lang w:eastAsia="en-GB"/>
          <w14:ligatures w14:val="none"/>
        </w:rPr>
        <w:t>që ky i fundit ta ngarkojë</w:t>
      </w:r>
      <w:r w:rsidR="00236D8B" w:rsidRPr="00402139">
        <w:rPr>
          <w:rFonts w:ascii="Times New Roman" w:eastAsia="Times New Roman" w:hAnsi="Times New Roman" w:cs="Times New Roman"/>
          <w:i/>
          <w:iCs/>
          <w:kern w:val="0"/>
          <w:lang w:eastAsia="en-GB"/>
          <w14:ligatures w14:val="none"/>
        </w:rPr>
        <w:t xml:space="preserve"> </w:t>
      </w:r>
      <w:r w:rsidR="00FB60FA" w:rsidRPr="00402139">
        <w:rPr>
          <w:rFonts w:ascii="Times New Roman" w:eastAsia="Times New Roman" w:hAnsi="Times New Roman" w:cs="Times New Roman"/>
          <w:i/>
          <w:iCs/>
          <w:kern w:val="0"/>
          <w:lang w:eastAsia="en-GB"/>
          <w14:ligatures w14:val="none"/>
        </w:rPr>
        <w:t>në Platformën e Vetme të Aksesit Evropian (ESAP).</w:t>
      </w:r>
    </w:p>
    <w:p w14:paraId="4C9F7269" w14:textId="0ECC957F" w:rsidR="00FB60FA" w:rsidRPr="00FC2A44" w:rsidRDefault="008D17ED" w:rsidP="00FC2A44">
      <w:pPr>
        <w:pStyle w:val="ListParagraph"/>
        <w:numPr>
          <w:ilvl w:val="0"/>
          <w:numId w:val="58"/>
        </w:numPr>
        <w:spacing w:after="0" w:line="240" w:lineRule="auto"/>
        <w:ind w:left="450"/>
        <w:jc w:val="both"/>
        <w:rPr>
          <w:rFonts w:ascii="Times New Roman" w:eastAsia="Times New Roman" w:hAnsi="Times New Roman" w:cs="Times New Roman"/>
          <w:kern w:val="0"/>
          <w:lang w:eastAsia="en-GB"/>
          <w14:ligatures w14:val="none"/>
        </w:rPr>
      </w:pPr>
      <w:r w:rsidRPr="00402139">
        <w:rPr>
          <w:rFonts w:ascii="Times New Roman" w:eastAsia="Times New Roman" w:hAnsi="Times New Roman" w:cs="Times New Roman"/>
          <w:i/>
          <w:iCs/>
          <w:kern w:val="0"/>
          <w:lang w:eastAsia="en-GB"/>
          <w14:ligatures w14:val="none"/>
        </w:rPr>
        <w:t>Informacioni</w:t>
      </w:r>
      <w:r w:rsidR="00FB60FA" w:rsidRPr="00402139">
        <w:rPr>
          <w:rFonts w:ascii="Times New Roman" w:eastAsia="Times New Roman" w:hAnsi="Times New Roman" w:cs="Times New Roman"/>
          <w:i/>
          <w:iCs/>
          <w:kern w:val="0"/>
          <w:lang w:eastAsia="en-GB"/>
          <w14:ligatures w14:val="none"/>
        </w:rPr>
        <w:t xml:space="preserve"> depozitohen në formate të lexueshme dhe të ripërdorshme, të shoqëruara me meta</w:t>
      </w:r>
      <w:r w:rsidR="002B360E">
        <w:rPr>
          <w:rFonts w:ascii="Times New Roman" w:eastAsia="Times New Roman" w:hAnsi="Times New Roman" w:cs="Times New Roman"/>
          <w:i/>
          <w:iCs/>
          <w:kern w:val="0"/>
          <w:lang w:eastAsia="en-GB"/>
          <w14:ligatures w14:val="none"/>
        </w:rPr>
        <w:t xml:space="preserve"> </w:t>
      </w:r>
      <w:r w:rsidR="00FB60FA" w:rsidRPr="00402139">
        <w:rPr>
          <w:rFonts w:ascii="Times New Roman" w:eastAsia="Times New Roman" w:hAnsi="Times New Roman" w:cs="Times New Roman"/>
          <w:i/>
          <w:iCs/>
          <w:kern w:val="0"/>
          <w:lang w:eastAsia="en-GB"/>
          <w14:ligatures w14:val="none"/>
        </w:rPr>
        <w:t>të</w:t>
      </w:r>
      <w:r w:rsidR="002B360E">
        <w:rPr>
          <w:rFonts w:ascii="Times New Roman" w:eastAsia="Times New Roman" w:hAnsi="Times New Roman" w:cs="Times New Roman"/>
          <w:i/>
          <w:iCs/>
          <w:kern w:val="0"/>
          <w:lang w:eastAsia="en-GB"/>
          <w14:ligatures w14:val="none"/>
        </w:rPr>
        <w:t xml:space="preserve"> </w:t>
      </w:r>
      <w:r w:rsidR="00FB60FA" w:rsidRPr="00402139">
        <w:rPr>
          <w:rFonts w:ascii="Times New Roman" w:eastAsia="Times New Roman" w:hAnsi="Times New Roman" w:cs="Times New Roman"/>
          <w:i/>
          <w:iCs/>
          <w:kern w:val="0"/>
          <w:lang w:eastAsia="en-GB"/>
          <w14:ligatures w14:val="none"/>
        </w:rPr>
        <w:t>dhëna standarde të identifikimit, si dhe tregues të tjerë sipas specifikime</w:t>
      </w:r>
      <w:r w:rsidR="00FC2A44" w:rsidRPr="00402139">
        <w:rPr>
          <w:rFonts w:ascii="Times New Roman" w:eastAsia="Times New Roman" w:hAnsi="Times New Roman" w:cs="Times New Roman"/>
          <w:i/>
          <w:iCs/>
          <w:kern w:val="0"/>
          <w:lang w:eastAsia="en-GB"/>
          <w14:ligatures w14:val="none"/>
        </w:rPr>
        <w:t>ve</w:t>
      </w:r>
      <w:r w:rsidR="00FB60FA" w:rsidRPr="00402139">
        <w:rPr>
          <w:rFonts w:ascii="Times New Roman" w:eastAsia="Times New Roman" w:hAnsi="Times New Roman" w:cs="Times New Roman"/>
          <w:i/>
          <w:iCs/>
          <w:kern w:val="0"/>
          <w:lang w:eastAsia="en-GB"/>
          <w14:ligatures w14:val="none"/>
        </w:rPr>
        <w:t xml:space="preserve"> teknike, standarde</w:t>
      </w:r>
      <w:r w:rsidR="00402139" w:rsidRPr="00402139">
        <w:rPr>
          <w:rFonts w:ascii="Times New Roman" w:eastAsia="Times New Roman" w:hAnsi="Times New Roman" w:cs="Times New Roman"/>
          <w:i/>
          <w:iCs/>
          <w:kern w:val="0"/>
          <w:lang w:eastAsia="en-GB"/>
          <w14:ligatures w14:val="none"/>
        </w:rPr>
        <w:t>ve</w:t>
      </w:r>
      <w:r w:rsidR="00FB60FA" w:rsidRPr="00402139">
        <w:rPr>
          <w:rFonts w:ascii="Times New Roman" w:eastAsia="Times New Roman" w:hAnsi="Times New Roman" w:cs="Times New Roman"/>
          <w:i/>
          <w:iCs/>
          <w:kern w:val="0"/>
          <w:lang w:eastAsia="en-GB"/>
          <w14:ligatures w14:val="none"/>
        </w:rPr>
        <w:t xml:space="preserve"> </w:t>
      </w:r>
      <w:r w:rsidR="00402139" w:rsidRPr="00402139">
        <w:rPr>
          <w:rFonts w:ascii="Times New Roman" w:eastAsia="Times New Roman" w:hAnsi="Times New Roman" w:cs="Times New Roman"/>
          <w:i/>
          <w:iCs/>
          <w:kern w:val="0"/>
          <w:lang w:eastAsia="en-GB"/>
          <w14:ligatures w14:val="none"/>
        </w:rPr>
        <w:t>të</w:t>
      </w:r>
      <w:r w:rsidR="00FB60FA" w:rsidRPr="00402139">
        <w:rPr>
          <w:rFonts w:ascii="Times New Roman" w:eastAsia="Times New Roman" w:hAnsi="Times New Roman" w:cs="Times New Roman"/>
          <w:i/>
          <w:iCs/>
          <w:kern w:val="0"/>
          <w:lang w:eastAsia="en-GB"/>
          <w14:ligatures w14:val="none"/>
        </w:rPr>
        <w:t xml:space="preserve"> metadatave, afate</w:t>
      </w:r>
      <w:r w:rsidR="00402139" w:rsidRPr="00402139">
        <w:rPr>
          <w:rFonts w:ascii="Times New Roman" w:eastAsia="Times New Roman" w:hAnsi="Times New Roman" w:cs="Times New Roman"/>
          <w:i/>
          <w:iCs/>
          <w:kern w:val="0"/>
          <w:lang w:eastAsia="en-GB"/>
          <w14:ligatures w14:val="none"/>
        </w:rPr>
        <w:t>ve</w:t>
      </w:r>
      <w:r w:rsidR="00FB60FA" w:rsidRPr="00402139">
        <w:rPr>
          <w:rFonts w:ascii="Times New Roman" w:eastAsia="Times New Roman" w:hAnsi="Times New Roman" w:cs="Times New Roman"/>
          <w:i/>
          <w:iCs/>
          <w:kern w:val="0"/>
          <w:lang w:eastAsia="en-GB"/>
          <w14:ligatures w14:val="none"/>
        </w:rPr>
        <w:t xml:space="preserve"> dhe procedura</w:t>
      </w:r>
      <w:r w:rsidR="00402139" w:rsidRPr="00402139">
        <w:rPr>
          <w:rFonts w:ascii="Times New Roman" w:eastAsia="Times New Roman" w:hAnsi="Times New Roman" w:cs="Times New Roman"/>
          <w:i/>
          <w:iCs/>
          <w:kern w:val="0"/>
          <w:lang w:eastAsia="en-GB"/>
          <w14:ligatures w14:val="none"/>
        </w:rPr>
        <w:t>ve</w:t>
      </w:r>
      <w:r w:rsidR="00FB60FA" w:rsidRPr="00402139">
        <w:rPr>
          <w:rFonts w:ascii="Times New Roman" w:eastAsia="Times New Roman" w:hAnsi="Times New Roman" w:cs="Times New Roman"/>
          <w:i/>
          <w:iCs/>
          <w:kern w:val="0"/>
          <w:lang w:eastAsia="en-GB"/>
          <w14:ligatures w14:val="none"/>
        </w:rPr>
        <w:t xml:space="preserve"> </w:t>
      </w:r>
      <w:r w:rsidR="00402139" w:rsidRPr="00402139">
        <w:rPr>
          <w:rFonts w:ascii="Times New Roman" w:eastAsia="Times New Roman" w:hAnsi="Times New Roman" w:cs="Times New Roman"/>
          <w:i/>
          <w:iCs/>
          <w:kern w:val="0"/>
          <w:lang w:eastAsia="en-GB"/>
          <w14:ligatures w14:val="none"/>
        </w:rPr>
        <w:t>të</w:t>
      </w:r>
      <w:r w:rsidR="00FB60FA" w:rsidRPr="00402139">
        <w:rPr>
          <w:rFonts w:ascii="Times New Roman" w:eastAsia="Times New Roman" w:hAnsi="Times New Roman" w:cs="Times New Roman"/>
          <w:i/>
          <w:iCs/>
          <w:kern w:val="0"/>
          <w:lang w:eastAsia="en-GB"/>
          <w14:ligatures w14:val="none"/>
        </w:rPr>
        <w:t xml:space="preserve"> depozitimit, si dhe rregulla</w:t>
      </w:r>
      <w:r w:rsidR="00402139" w:rsidRPr="00402139">
        <w:rPr>
          <w:rFonts w:ascii="Times New Roman" w:eastAsia="Times New Roman" w:hAnsi="Times New Roman" w:cs="Times New Roman"/>
          <w:i/>
          <w:iCs/>
          <w:kern w:val="0"/>
          <w:lang w:eastAsia="en-GB"/>
          <w14:ligatures w14:val="none"/>
        </w:rPr>
        <w:t>ve</w:t>
      </w:r>
      <w:r w:rsidR="00FB60FA" w:rsidRPr="00402139">
        <w:rPr>
          <w:rFonts w:ascii="Times New Roman" w:eastAsia="Times New Roman" w:hAnsi="Times New Roman" w:cs="Times New Roman"/>
          <w:i/>
          <w:iCs/>
          <w:kern w:val="0"/>
          <w:lang w:eastAsia="en-GB"/>
          <w14:ligatures w14:val="none"/>
        </w:rPr>
        <w:t xml:space="preserve"> për </w:t>
      </w:r>
      <w:r w:rsidR="00FB60FA" w:rsidRPr="00402139">
        <w:rPr>
          <w:rFonts w:ascii="Times New Roman" w:eastAsia="Times New Roman" w:hAnsi="Times New Roman" w:cs="Times New Roman"/>
          <w:i/>
          <w:iCs/>
          <w:kern w:val="0"/>
          <w:lang w:eastAsia="en-GB"/>
          <w14:ligatures w14:val="none"/>
        </w:rPr>
        <w:lastRenderedPageBreak/>
        <w:t>aksesin publik</w:t>
      </w:r>
      <w:r w:rsidR="00402139" w:rsidRPr="00402139">
        <w:rPr>
          <w:rFonts w:ascii="Times New Roman" w:eastAsia="Times New Roman" w:hAnsi="Times New Roman" w:cs="Times New Roman"/>
          <w:i/>
          <w:iCs/>
          <w:kern w:val="0"/>
          <w:lang w:eastAsia="en-GB"/>
          <w14:ligatures w14:val="none"/>
        </w:rPr>
        <w:t xml:space="preserve">, </w:t>
      </w:r>
      <w:r w:rsidR="00FB60FA" w:rsidRPr="00402139">
        <w:rPr>
          <w:rFonts w:ascii="Times New Roman" w:eastAsia="Times New Roman" w:hAnsi="Times New Roman" w:cs="Times New Roman"/>
          <w:i/>
          <w:iCs/>
          <w:kern w:val="0"/>
          <w:lang w:eastAsia="en-GB"/>
          <w14:ligatures w14:val="none"/>
        </w:rPr>
        <w:t>në përputhje me legjislacionin e Bashkimit Evropian</w:t>
      </w:r>
      <w:r w:rsidR="00153382" w:rsidRPr="00402139">
        <w:rPr>
          <w:rFonts w:ascii="Times New Roman" w:eastAsia="Times New Roman" w:hAnsi="Times New Roman" w:cs="Times New Roman"/>
          <w:i/>
          <w:iCs/>
          <w:kern w:val="0"/>
          <w:lang w:eastAsia="en-GB"/>
          <w14:ligatures w14:val="none"/>
        </w:rPr>
        <w:t xml:space="preserve"> për krijimin dhe funksionimin e ESAP</w:t>
      </w:r>
      <w:r w:rsidR="00FB60FA" w:rsidRPr="00402139">
        <w:rPr>
          <w:rFonts w:ascii="Times New Roman" w:eastAsia="Times New Roman" w:hAnsi="Times New Roman" w:cs="Times New Roman"/>
          <w:i/>
          <w:iCs/>
          <w:kern w:val="0"/>
          <w:lang w:eastAsia="en-GB"/>
          <w14:ligatures w14:val="none"/>
        </w:rPr>
        <w:t>.</w:t>
      </w:r>
      <w:r w:rsidR="00402139">
        <w:rPr>
          <w:rFonts w:ascii="Times New Roman" w:eastAsia="Times New Roman" w:hAnsi="Times New Roman" w:cs="Times New Roman"/>
          <w:kern w:val="0"/>
          <w:lang w:eastAsia="en-GB"/>
          <w14:ligatures w14:val="none"/>
        </w:rPr>
        <w:t>”</w:t>
      </w:r>
    </w:p>
    <w:p w14:paraId="049F8C84" w14:textId="77777777" w:rsidR="00B82F10" w:rsidRDefault="00B82F10" w:rsidP="00D31880">
      <w:pPr>
        <w:spacing w:after="0" w:line="240" w:lineRule="auto"/>
        <w:rPr>
          <w:rFonts w:ascii="Times New Roman" w:eastAsia="Times New Roman" w:hAnsi="Times New Roman" w:cs="Times New Roman"/>
          <w:b/>
          <w:bCs/>
          <w:kern w:val="0"/>
          <w:lang w:eastAsia="en-GB"/>
          <w14:ligatures w14:val="none"/>
        </w:rPr>
      </w:pPr>
    </w:p>
    <w:p w14:paraId="3C595745" w14:textId="0951BD61" w:rsidR="000B677F" w:rsidRPr="00CA55D7" w:rsidRDefault="00BA22FB" w:rsidP="00BA22FB">
      <w:pPr>
        <w:spacing w:after="0" w:line="240" w:lineRule="auto"/>
        <w:jc w:val="center"/>
        <w:rPr>
          <w:rFonts w:ascii="Times New Roman" w:eastAsia="Times New Roman" w:hAnsi="Times New Roman" w:cs="Times New Roman"/>
          <w:b/>
          <w:bCs/>
          <w:kern w:val="0"/>
          <w:lang w:eastAsia="en-GB"/>
          <w14:ligatures w14:val="none"/>
        </w:rPr>
      </w:pPr>
      <w:r w:rsidRPr="00CA55D7">
        <w:rPr>
          <w:rFonts w:ascii="Times New Roman" w:eastAsia="Times New Roman" w:hAnsi="Times New Roman" w:cs="Times New Roman"/>
          <w:b/>
          <w:bCs/>
          <w:kern w:val="0"/>
          <w:lang w:eastAsia="en-GB"/>
          <w14:ligatures w14:val="none"/>
        </w:rPr>
        <w:t>Neni</w:t>
      </w:r>
      <w:r w:rsidR="00CC78AE" w:rsidRPr="00CA55D7">
        <w:rPr>
          <w:rFonts w:ascii="Times New Roman" w:eastAsia="Times New Roman" w:hAnsi="Times New Roman" w:cs="Times New Roman"/>
          <w:b/>
          <w:bCs/>
          <w:kern w:val="0"/>
          <w:lang w:eastAsia="en-GB"/>
          <w14:ligatures w14:val="none"/>
        </w:rPr>
        <w:t xml:space="preserve"> 1</w:t>
      </w:r>
      <w:r w:rsidR="00FB60FA">
        <w:rPr>
          <w:rFonts w:ascii="Times New Roman" w:eastAsia="Times New Roman" w:hAnsi="Times New Roman" w:cs="Times New Roman"/>
          <w:b/>
          <w:bCs/>
          <w:kern w:val="0"/>
          <w:lang w:eastAsia="en-GB"/>
          <w14:ligatures w14:val="none"/>
        </w:rPr>
        <w:t>3</w:t>
      </w:r>
    </w:p>
    <w:p w14:paraId="332F3673" w14:textId="2A0741D9" w:rsidR="00BA22FB" w:rsidRPr="00CA55D7" w:rsidRDefault="00BA22FB" w:rsidP="00BA22FB">
      <w:pPr>
        <w:spacing w:after="0" w:line="240" w:lineRule="auto"/>
        <w:jc w:val="center"/>
        <w:rPr>
          <w:rFonts w:ascii="Times New Roman" w:eastAsia="Times New Roman" w:hAnsi="Times New Roman" w:cs="Times New Roman"/>
          <w:b/>
          <w:bCs/>
          <w:kern w:val="0"/>
          <w:lang w:eastAsia="en-GB"/>
          <w14:ligatures w14:val="none"/>
        </w:rPr>
      </w:pPr>
      <w:r w:rsidRPr="00CA55D7">
        <w:rPr>
          <w:rFonts w:ascii="Times New Roman" w:eastAsia="Times New Roman" w:hAnsi="Times New Roman" w:cs="Times New Roman"/>
          <w:b/>
          <w:bCs/>
          <w:kern w:val="0"/>
          <w:lang w:eastAsia="en-GB"/>
          <w14:ligatures w14:val="none"/>
        </w:rPr>
        <w:t xml:space="preserve">Dispozita </w:t>
      </w:r>
      <w:r w:rsidR="0093366B">
        <w:rPr>
          <w:rFonts w:ascii="Times New Roman" w:eastAsia="Times New Roman" w:hAnsi="Times New Roman" w:cs="Times New Roman"/>
          <w:b/>
          <w:bCs/>
          <w:kern w:val="0"/>
          <w:lang w:eastAsia="en-GB"/>
          <w14:ligatures w14:val="none"/>
        </w:rPr>
        <w:t>të fundit</w:t>
      </w:r>
    </w:p>
    <w:p w14:paraId="2331937D" w14:textId="77777777" w:rsidR="00B50F5F" w:rsidRDefault="00B50F5F" w:rsidP="00BA22FB">
      <w:pPr>
        <w:spacing w:after="0" w:line="240" w:lineRule="auto"/>
        <w:jc w:val="center"/>
        <w:rPr>
          <w:rFonts w:ascii="Times New Roman" w:eastAsia="Times New Roman" w:hAnsi="Times New Roman" w:cs="Times New Roman"/>
          <w:color w:val="FF0000"/>
          <w:kern w:val="0"/>
          <w:lang w:eastAsia="en-GB"/>
          <w14:ligatures w14:val="none"/>
        </w:rPr>
      </w:pPr>
    </w:p>
    <w:p w14:paraId="5CC78D6E" w14:textId="7EDC083E" w:rsidR="00630945" w:rsidRPr="007065B2" w:rsidRDefault="006D7744" w:rsidP="006D7744">
      <w:pPr>
        <w:spacing w:after="0" w:line="240" w:lineRule="auto"/>
        <w:jc w:val="both"/>
        <w:rPr>
          <w:rFonts w:ascii="Times New Roman" w:hAnsi="Times New Roman" w:cs="Times New Roman"/>
          <w:i/>
          <w:iCs/>
        </w:rPr>
      </w:pPr>
      <w:r w:rsidRPr="006D7744">
        <w:rPr>
          <w:rFonts w:ascii="Times New Roman" w:hAnsi="Times New Roman" w:cs="Times New Roman"/>
        </w:rPr>
        <w:t>K</w:t>
      </w:r>
      <w:r w:rsidR="00DC5C50" w:rsidRPr="006D7744">
        <w:rPr>
          <w:rFonts w:ascii="Times New Roman" w:hAnsi="Times New Roman" w:cs="Times New Roman"/>
        </w:rPr>
        <w:t xml:space="preserve">udo në tekstin e ligjit </w:t>
      </w:r>
      <w:r w:rsidR="00B468B3" w:rsidRPr="006D7744">
        <w:rPr>
          <w:rFonts w:ascii="Times New Roman" w:hAnsi="Times New Roman" w:cs="Times New Roman"/>
        </w:rPr>
        <w:t>togfjalëshi</w:t>
      </w:r>
      <w:r w:rsidR="00630945" w:rsidRPr="006D7744">
        <w:rPr>
          <w:rFonts w:ascii="Times New Roman" w:hAnsi="Times New Roman" w:cs="Times New Roman"/>
        </w:rPr>
        <w:t xml:space="preserve"> </w:t>
      </w:r>
      <w:r w:rsidRPr="006D7744">
        <w:rPr>
          <w:rFonts w:ascii="Times New Roman" w:hAnsi="Times New Roman" w:cs="Times New Roman"/>
        </w:rPr>
        <w:t>“</w:t>
      </w:r>
      <w:r w:rsidR="00630945" w:rsidRPr="006D7744">
        <w:rPr>
          <w:rFonts w:ascii="Times New Roman" w:hAnsi="Times New Roman" w:cs="Times New Roman"/>
          <w:i/>
          <w:iCs/>
        </w:rPr>
        <w:t>ligji</w:t>
      </w:r>
      <w:r w:rsidR="007065B2">
        <w:rPr>
          <w:rFonts w:ascii="Times New Roman" w:hAnsi="Times New Roman" w:cs="Times New Roman"/>
          <w:i/>
          <w:iCs/>
        </w:rPr>
        <w:t>n</w:t>
      </w:r>
      <w:r w:rsidR="0009436A">
        <w:rPr>
          <w:rFonts w:ascii="Times New Roman" w:hAnsi="Times New Roman" w:cs="Times New Roman"/>
          <w:i/>
          <w:iCs/>
        </w:rPr>
        <w:t>/</w:t>
      </w:r>
      <w:r w:rsidR="007065B2">
        <w:rPr>
          <w:rFonts w:ascii="Times New Roman" w:hAnsi="Times New Roman" w:cs="Times New Roman"/>
          <w:i/>
          <w:iCs/>
        </w:rPr>
        <w:t>t</w:t>
      </w:r>
      <w:r w:rsidR="00630945" w:rsidRPr="006D7744">
        <w:rPr>
          <w:rFonts w:ascii="Times New Roman" w:hAnsi="Times New Roman" w:cs="Times New Roman"/>
          <w:i/>
          <w:iCs/>
        </w:rPr>
        <w:t xml:space="preserve"> nr. 9879, datë 21.2.2008 “Për titujt”</w:t>
      </w:r>
      <w:r w:rsidRPr="006D7744">
        <w:rPr>
          <w:rFonts w:ascii="Times New Roman" w:hAnsi="Times New Roman" w:cs="Times New Roman"/>
        </w:rPr>
        <w:t>”, zëvendësohet me togfjalëshin “</w:t>
      </w:r>
      <w:r w:rsidRPr="006D7744">
        <w:rPr>
          <w:rFonts w:ascii="Times New Roman" w:hAnsi="Times New Roman" w:cs="Times New Roman"/>
          <w:i/>
          <w:iCs/>
        </w:rPr>
        <w:t>legjislacionin në fuqi për tregjet e kapitalit</w:t>
      </w:r>
      <w:r w:rsidRPr="006D7744">
        <w:rPr>
          <w:rFonts w:ascii="Times New Roman" w:hAnsi="Times New Roman" w:cs="Times New Roman"/>
        </w:rPr>
        <w:t>”</w:t>
      </w:r>
    </w:p>
    <w:p w14:paraId="344B0E3A" w14:textId="2B5DD2A5" w:rsidR="0078600C" w:rsidRPr="002311EC" w:rsidRDefault="0078600C" w:rsidP="00547433">
      <w:pPr>
        <w:pStyle w:val="NormalWeb"/>
        <w:jc w:val="center"/>
        <w:rPr>
          <w:b/>
          <w:bCs/>
        </w:rPr>
      </w:pPr>
      <w:r w:rsidRPr="002311EC">
        <w:rPr>
          <w:b/>
          <w:bCs/>
        </w:rPr>
        <w:t xml:space="preserve">Neni </w:t>
      </w:r>
      <w:r w:rsidR="00CC78AE">
        <w:rPr>
          <w:b/>
          <w:bCs/>
        </w:rPr>
        <w:t>1</w:t>
      </w:r>
      <w:r w:rsidR="00FB60FA">
        <w:rPr>
          <w:b/>
          <w:bCs/>
        </w:rPr>
        <w:t>4</w:t>
      </w:r>
    </w:p>
    <w:p w14:paraId="45D17CC3" w14:textId="2AAE39B4" w:rsidR="0078600C" w:rsidRPr="002311EC" w:rsidRDefault="0078600C" w:rsidP="00547433">
      <w:pPr>
        <w:pStyle w:val="NormalWeb"/>
        <w:jc w:val="center"/>
        <w:rPr>
          <w:b/>
          <w:bCs/>
        </w:rPr>
      </w:pPr>
      <w:r w:rsidRPr="002311EC">
        <w:rPr>
          <w:b/>
          <w:bCs/>
        </w:rPr>
        <w:t>Aktet nënligjore</w:t>
      </w:r>
    </w:p>
    <w:p w14:paraId="0D1CFCA6" w14:textId="2A44D12D" w:rsidR="00A30BBB" w:rsidRPr="002311EC" w:rsidRDefault="00A30BBB" w:rsidP="00A30BBB">
      <w:pPr>
        <w:pStyle w:val="NormalWeb"/>
        <w:jc w:val="both"/>
      </w:pPr>
      <w:r w:rsidRPr="002311EC">
        <w:t>Ngarkohet Autoriteti i Mbikëqyrjes Financiare për nxjerrjen e akt</w:t>
      </w:r>
      <w:r w:rsidR="006D7744">
        <w:t>it</w:t>
      </w:r>
      <w:r w:rsidRPr="002311EC">
        <w:t xml:space="preserve"> nënligjore</w:t>
      </w:r>
      <w:r w:rsidR="006D7744">
        <w:t xml:space="preserve"> sipas nenit 30, pika 6,</w:t>
      </w:r>
      <w:r w:rsidRPr="002311EC">
        <w:t xml:space="preserve"> brenda </w:t>
      </w:r>
      <w:r w:rsidR="006D7744">
        <w:t>9</w:t>
      </w:r>
      <w:r w:rsidRPr="002311EC">
        <w:t xml:space="preserve"> muajve nga hyrja në fuqi e ligjit</w:t>
      </w:r>
      <w:r w:rsidR="006D7744">
        <w:t xml:space="preserve">. </w:t>
      </w:r>
      <w:r w:rsidRPr="002311EC">
        <w:t xml:space="preserve"> </w:t>
      </w:r>
    </w:p>
    <w:p w14:paraId="42FC432F" w14:textId="09B33AB4" w:rsidR="0045541E" w:rsidRPr="00A30BBB" w:rsidRDefault="0045541E" w:rsidP="0045541E">
      <w:pPr>
        <w:autoSpaceDE w:val="0"/>
        <w:autoSpaceDN w:val="0"/>
        <w:adjustRightInd w:val="0"/>
        <w:jc w:val="center"/>
        <w:rPr>
          <w:rFonts w:ascii="Times New Roman" w:hAnsi="Times New Roman"/>
          <w:b/>
          <w:bCs/>
        </w:rPr>
      </w:pPr>
      <w:r w:rsidRPr="00A30BBB">
        <w:rPr>
          <w:rFonts w:ascii="Times New Roman" w:hAnsi="Times New Roman"/>
          <w:b/>
          <w:bCs/>
        </w:rPr>
        <w:t xml:space="preserve">Neni </w:t>
      </w:r>
      <w:r w:rsidR="00CC78AE">
        <w:rPr>
          <w:rFonts w:ascii="Times New Roman" w:hAnsi="Times New Roman"/>
          <w:b/>
          <w:bCs/>
        </w:rPr>
        <w:t>1</w:t>
      </w:r>
      <w:r w:rsidR="00FB60FA">
        <w:rPr>
          <w:rFonts w:ascii="Times New Roman" w:hAnsi="Times New Roman"/>
          <w:b/>
          <w:bCs/>
        </w:rPr>
        <w:t>5</w:t>
      </w:r>
    </w:p>
    <w:p w14:paraId="36B55E19" w14:textId="2F793072" w:rsidR="0045541E" w:rsidRPr="00A30BBB" w:rsidRDefault="0045541E" w:rsidP="0045541E">
      <w:pPr>
        <w:autoSpaceDE w:val="0"/>
        <w:autoSpaceDN w:val="0"/>
        <w:adjustRightInd w:val="0"/>
        <w:jc w:val="center"/>
        <w:rPr>
          <w:rFonts w:ascii="Times New Roman" w:hAnsi="Times New Roman"/>
          <w:b/>
          <w:bCs/>
        </w:rPr>
      </w:pPr>
      <w:r w:rsidRPr="00A30BBB">
        <w:rPr>
          <w:rFonts w:ascii="Times New Roman" w:hAnsi="Times New Roman"/>
          <w:b/>
          <w:bCs/>
        </w:rPr>
        <w:t>Hyrja në fuqi</w:t>
      </w:r>
    </w:p>
    <w:p w14:paraId="4986174C" w14:textId="2A7828B4" w:rsidR="001A76A9" w:rsidRPr="001A76A9" w:rsidRDefault="001A76A9" w:rsidP="001A76A9">
      <w:pPr>
        <w:autoSpaceDE w:val="0"/>
        <w:autoSpaceDN w:val="0"/>
        <w:adjustRightInd w:val="0"/>
        <w:jc w:val="both"/>
        <w:rPr>
          <w:rFonts w:ascii="Times New Roman" w:hAnsi="Times New Roman" w:cs="Times New Roman"/>
        </w:rPr>
      </w:pPr>
      <w:r w:rsidRPr="001A76A9">
        <w:rPr>
          <w:rFonts w:ascii="Times New Roman" w:hAnsi="Times New Roman" w:cs="Times New Roman"/>
        </w:rPr>
        <w:t xml:space="preserve">Ky Ligj hyn në fuqi </w:t>
      </w:r>
      <w:r w:rsidRPr="0045541E">
        <w:rPr>
          <w:rFonts w:ascii="Times New Roman" w:hAnsi="Times New Roman" w:cs="Times New Roman"/>
        </w:rPr>
        <w:t xml:space="preserve">15 ditë pas botimit në Fletoren </w:t>
      </w:r>
      <w:r>
        <w:rPr>
          <w:rFonts w:ascii="Times New Roman" w:hAnsi="Times New Roman" w:cs="Times New Roman"/>
        </w:rPr>
        <w:t>Z</w:t>
      </w:r>
      <w:r w:rsidRPr="0045541E">
        <w:rPr>
          <w:rFonts w:ascii="Times New Roman" w:hAnsi="Times New Roman" w:cs="Times New Roman"/>
        </w:rPr>
        <w:t>yrtare</w:t>
      </w:r>
      <w:r>
        <w:rPr>
          <w:rFonts w:ascii="Times New Roman" w:hAnsi="Times New Roman" w:cs="Times New Roman"/>
        </w:rPr>
        <w:t>,</w:t>
      </w:r>
      <w:r w:rsidRPr="001A76A9">
        <w:rPr>
          <w:rFonts w:ascii="Times New Roman" w:hAnsi="Times New Roman" w:cs="Times New Roman"/>
        </w:rPr>
        <w:t xml:space="preserve"> me përjashtim të </w:t>
      </w:r>
      <w:r w:rsidR="00D42C78">
        <w:rPr>
          <w:rFonts w:ascii="Times New Roman" w:hAnsi="Times New Roman" w:cs="Times New Roman"/>
        </w:rPr>
        <w:t>nenit 1, pika 2, shkronja “b”</w:t>
      </w:r>
      <w:r w:rsidR="00402139">
        <w:rPr>
          <w:rFonts w:ascii="Times New Roman" w:hAnsi="Times New Roman" w:cs="Times New Roman"/>
        </w:rPr>
        <w:t>,</w:t>
      </w:r>
      <w:r w:rsidR="00D42C78">
        <w:rPr>
          <w:rFonts w:ascii="Times New Roman" w:hAnsi="Times New Roman" w:cs="Times New Roman"/>
        </w:rPr>
        <w:t xml:space="preserve"> të </w:t>
      </w:r>
      <w:r w:rsidRPr="001A76A9">
        <w:rPr>
          <w:rFonts w:ascii="Times New Roman" w:hAnsi="Times New Roman" w:cs="Times New Roman"/>
        </w:rPr>
        <w:t>nenit</w:t>
      </w:r>
      <w:r w:rsidR="006E6E2C">
        <w:rPr>
          <w:rFonts w:ascii="Times New Roman" w:hAnsi="Times New Roman" w:cs="Times New Roman"/>
        </w:rPr>
        <w:t xml:space="preserve"> 30</w:t>
      </w:r>
      <w:r w:rsidRPr="001A76A9">
        <w:rPr>
          <w:rFonts w:ascii="Times New Roman" w:hAnsi="Times New Roman" w:cs="Times New Roman"/>
        </w:rPr>
        <w:t xml:space="preserve">, pika 1, </w:t>
      </w:r>
      <w:r w:rsidR="006E6E2C">
        <w:rPr>
          <w:rFonts w:ascii="Times New Roman" w:hAnsi="Times New Roman" w:cs="Times New Roman"/>
        </w:rPr>
        <w:t>fjalia dytë, duke përfshirë shkronjat “a” dhe “b”</w:t>
      </w:r>
      <w:r w:rsidR="00EE7CCF">
        <w:rPr>
          <w:rFonts w:ascii="Times New Roman" w:hAnsi="Times New Roman" w:cs="Times New Roman"/>
        </w:rPr>
        <w:t>,</w:t>
      </w:r>
      <w:r w:rsidRPr="001A76A9">
        <w:rPr>
          <w:rFonts w:ascii="Times New Roman" w:hAnsi="Times New Roman" w:cs="Times New Roman"/>
        </w:rPr>
        <w:t xml:space="preserve"> </w:t>
      </w:r>
      <w:r w:rsidR="009F6EAA">
        <w:rPr>
          <w:rFonts w:ascii="Times New Roman" w:hAnsi="Times New Roman" w:cs="Times New Roman"/>
        </w:rPr>
        <w:t xml:space="preserve">dhe të pikave </w:t>
      </w:r>
      <w:r w:rsidR="00EE7CCF">
        <w:rPr>
          <w:rFonts w:ascii="Times New Roman" w:hAnsi="Times New Roman" w:cs="Times New Roman"/>
        </w:rPr>
        <w:t xml:space="preserve">2, 3 dhe 4, </w:t>
      </w:r>
      <w:r w:rsidR="00402139">
        <w:rPr>
          <w:rFonts w:ascii="Times New Roman" w:hAnsi="Times New Roman" w:cs="Times New Roman"/>
        </w:rPr>
        <w:t xml:space="preserve">nenit 36/1 dhe 36/2, </w:t>
      </w:r>
      <w:r w:rsidRPr="001A76A9">
        <w:rPr>
          <w:rFonts w:ascii="Times New Roman" w:hAnsi="Times New Roman" w:cs="Times New Roman"/>
        </w:rPr>
        <w:t xml:space="preserve">të cilat hyjnë në fuqi në ditën e anëtarësimit të Republikës së </w:t>
      </w:r>
      <w:r w:rsidR="00D42C78">
        <w:rPr>
          <w:rFonts w:ascii="Times New Roman" w:hAnsi="Times New Roman" w:cs="Times New Roman"/>
        </w:rPr>
        <w:t>Shqipërisë</w:t>
      </w:r>
      <w:r w:rsidRPr="001A76A9">
        <w:rPr>
          <w:rFonts w:ascii="Times New Roman" w:hAnsi="Times New Roman" w:cs="Times New Roman"/>
        </w:rPr>
        <w:t xml:space="preserve"> në Bashkimin Evropian.</w:t>
      </w:r>
    </w:p>
    <w:p w14:paraId="11599B51" w14:textId="6D80D9BE" w:rsidR="0045541E" w:rsidRPr="0045541E" w:rsidRDefault="001A76A9" w:rsidP="001A76A9">
      <w:pPr>
        <w:autoSpaceDE w:val="0"/>
        <w:autoSpaceDN w:val="0"/>
        <w:adjustRightInd w:val="0"/>
        <w:jc w:val="both"/>
        <w:rPr>
          <w:rFonts w:ascii="Times New Roman" w:hAnsi="Times New Roman" w:cs="Times New Roman"/>
        </w:rPr>
      </w:pPr>
      <w:r w:rsidRPr="001A76A9">
        <w:rPr>
          <w:rFonts w:ascii="Times New Roman" w:hAnsi="Times New Roman" w:cs="Times New Roman"/>
        </w:rPr>
        <w:t xml:space="preserve">Në ditën e anëtarësimit të Republikës së </w:t>
      </w:r>
      <w:r w:rsidR="00D42C78">
        <w:rPr>
          <w:rFonts w:ascii="Times New Roman" w:hAnsi="Times New Roman" w:cs="Times New Roman"/>
        </w:rPr>
        <w:t>Shqipërisë</w:t>
      </w:r>
      <w:r w:rsidRPr="001A76A9">
        <w:rPr>
          <w:rFonts w:ascii="Times New Roman" w:hAnsi="Times New Roman" w:cs="Times New Roman"/>
        </w:rPr>
        <w:t xml:space="preserve"> në Bashkimin Evropian, </w:t>
      </w:r>
      <w:r w:rsidR="00F67564">
        <w:rPr>
          <w:rFonts w:ascii="Times New Roman" w:hAnsi="Times New Roman" w:cs="Times New Roman"/>
        </w:rPr>
        <w:t>fjalia e parë e pikës 1, të nenit 30, shfuqizohet.</w:t>
      </w:r>
    </w:p>
    <w:p w14:paraId="35A82D9F" w14:textId="77777777" w:rsidR="0045541E" w:rsidRPr="0045541E" w:rsidRDefault="0045541E" w:rsidP="0045541E">
      <w:pPr>
        <w:autoSpaceDE w:val="0"/>
        <w:autoSpaceDN w:val="0"/>
        <w:adjustRightInd w:val="0"/>
        <w:jc w:val="center"/>
        <w:rPr>
          <w:rFonts w:ascii="Times New Roman" w:hAnsi="Times New Roman" w:cs="Times New Roman"/>
          <w:b/>
          <w:bCs/>
        </w:rPr>
      </w:pPr>
      <w:r w:rsidRPr="0045541E">
        <w:rPr>
          <w:rFonts w:ascii="Times New Roman" w:hAnsi="Times New Roman" w:cs="Times New Roman"/>
          <w:b/>
          <w:bCs/>
        </w:rPr>
        <w:t>K R Y E T A R I</w:t>
      </w:r>
    </w:p>
    <w:p w14:paraId="0FEAF346" w14:textId="77777777" w:rsidR="0045541E" w:rsidRPr="0045541E" w:rsidRDefault="0045541E" w:rsidP="0045541E">
      <w:pPr>
        <w:autoSpaceDE w:val="0"/>
        <w:autoSpaceDN w:val="0"/>
        <w:adjustRightInd w:val="0"/>
        <w:jc w:val="center"/>
        <w:rPr>
          <w:rFonts w:ascii="Times New Roman" w:hAnsi="Times New Roman" w:cs="Times New Roman"/>
          <w:b/>
          <w:bCs/>
        </w:rPr>
      </w:pPr>
    </w:p>
    <w:p w14:paraId="438374FC" w14:textId="66522B10" w:rsidR="0045541E" w:rsidRPr="0045541E" w:rsidRDefault="004064A2" w:rsidP="0045541E">
      <w:pPr>
        <w:autoSpaceDE w:val="0"/>
        <w:autoSpaceDN w:val="0"/>
        <w:adjustRightInd w:val="0"/>
        <w:jc w:val="center"/>
        <w:rPr>
          <w:rFonts w:ascii="Times New Roman" w:hAnsi="Times New Roman" w:cs="Times New Roman"/>
          <w:b/>
          <w:bCs/>
        </w:rPr>
      </w:pPr>
      <w:r>
        <w:rPr>
          <w:rFonts w:ascii="Times New Roman" w:hAnsi="Times New Roman" w:cs="Times New Roman"/>
          <w:b/>
          <w:bCs/>
        </w:rPr>
        <w:t>NIKO PELESHI</w:t>
      </w:r>
    </w:p>
    <w:p w14:paraId="57551EC0" w14:textId="77777777" w:rsidR="00176091" w:rsidRPr="009826A8" w:rsidRDefault="00176091" w:rsidP="004C6011">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p>
    <w:p w14:paraId="778994DF" w14:textId="77777777" w:rsidR="006833DF" w:rsidRPr="009826A8" w:rsidRDefault="006833DF" w:rsidP="004C6011">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p>
    <w:p w14:paraId="74212924" w14:textId="77777777" w:rsidR="006833DF" w:rsidRPr="009826A8" w:rsidRDefault="006833DF" w:rsidP="004C6011">
      <w:pPr>
        <w:pStyle w:val="NormalWeb"/>
        <w:jc w:val="both"/>
        <w:rPr>
          <w:color w:val="000000"/>
        </w:rPr>
      </w:pPr>
    </w:p>
    <w:p w14:paraId="37344D21" w14:textId="77777777" w:rsidR="006833DF" w:rsidRPr="009826A8" w:rsidRDefault="006833DF" w:rsidP="004C6011">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9826A8">
        <w:rPr>
          <w:rFonts w:ascii="Times New Roman" w:eastAsia="Times New Roman" w:hAnsi="Times New Roman" w:cs="Times New Roman"/>
          <w:color w:val="000000"/>
          <w:kern w:val="0"/>
          <w:lang w:eastAsia="en-GB"/>
          <w14:ligatures w14:val="none"/>
        </w:rPr>
        <w:t xml:space="preserve"> </w:t>
      </w:r>
    </w:p>
    <w:p w14:paraId="513CDC9A" w14:textId="77777777" w:rsidR="00AF0DA7" w:rsidRPr="000C0152" w:rsidRDefault="00AF0DA7" w:rsidP="004C6011">
      <w:pPr>
        <w:pStyle w:val="p1"/>
        <w:jc w:val="both"/>
        <w:rPr>
          <w:rFonts w:ascii="Times New Roman" w:hAnsi="Times New Roman"/>
          <w:sz w:val="24"/>
          <w:szCs w:val="24"/>
        </w:rPr>
      </w:pPr>
    </w:p>
    <w:sectPr w:rsidR="00AF0DA7" w:rsidRPr="000C0152">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25AF" w14:textId="77777777" w:rsidR="0011456A" w:rsidRPr="009826A8" w:rsidRDefault="0011456A" w:rsidP="00FF0DA3">
      <w:pPr>
        <w:spacing w:after="0" w:line="240" w:lineRule="auto"/>
      </w:pPr>
      <w:r w:rsidRPr="009826A8">
        <w:separator/>
      </w:r>
    </w:p>
  </w:endnote>
  <w:endnote w:type="continuationSeparator" w:id="0">
    <w:p w14:paraId="3013AD5B" w14:textId="77777777" w:rsidR="0011456A" w:rsidRPr="009826A8" w:rsidRDefault="0011456A" w:rsidP="00FF0DA3">
      <w:pPr>
        <w:spacing w:after="0" w:line="240" w:lineRule="auto"/>
      </w:pPr>
      <w:r w:rsidRPr="009826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ヒラギノ角ゴ Pro W3">
    <w:altName w:val="MS Mincho"/>
    <w:charset w:val="00"/>
    <w:family w:val="roman"/>
    <w:pitch w:val="default"/>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9391019"/>
      <w:docPartObj>
        <w:docPartGallery w:val="Page Numbers (Bottom of Page)"/>
        <w:docPartUnique/>
      </w:docPartObj>
    </w:sdtPr>
    <w:sdtEndPr>
      <w:rPr>
        <w:rStyle w:val="PageNumber"/>
      </w:rPr>
    </w:sdtEndPr>
    <w:sdtContent>
      <w:p w14:paraId="0C3DFCD1" w14:textId="64DA01BF" w:rsidR="00FF0DA3" w:rsidRPr="009826A8" w:rsidRDefault="00FF0DA3" w:rsidP="00D14B60">
        <w:pPr>
          <w:pStyle w:val="Footer"/>
          <w:framePr w:wrap="none" w:vAnchor="text" w:hAnchor="margin" w:xAlign="right" w:y="1"/>
          <w:rPr>
            <w:rStyle w:val="PageNumber"/>
          </w:rPr>
        </w:pPr>
        <w:r w:rsidRPr="009826A8">
          <w:rPr>
            <w:rStyle w:val="PageNumber"/>
          </w:rPr>
          <w:fldChar w:fldCharType="begin"/>
        </w:r>
        <w:r w:rsidRPr="009826A8">
          <w:rPr>
            <w:rStyle w:val="PageNumber"/>
          </w:rPr>
          <w:instrText xml:space="preserve"> PAGE </w:instrText>
        </w:r>
        <w:r w:rsidRPr="009826A8">
          <w:rPr>
            <w:rStyle w:val="PageNumber"/>
          </w:rPr>
          <w:fldChar w:fldCharType="separate"/>
        </w:r>
        <w:r w:rsidRPr="009826A8">
          <w:rPr>
            <w:rStyle w:val="PageNumber"/>
          </w:rPr>
          <w:fldChar w:fldCharType="end"/>
        </w:r>
      </w:p>
    </w:sdtContent>
  </w:sdt>
  <w:p w14:paraId="4F04F529" w14:textId="77777777" w:rsidR="00FF0DA3" w:rsidRPr="009826A8" w:rsidRDefault="00FF0DA3" w:rsidP="00FF0D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456115"/>
      <w:docPartObj>
        <w:docPartGallery w:val="Page Numbers (Bottom of Page)"/>
        <w:docPartUnique/>
      </w:docPartObj>
    </w:sdtPr>
    <w:sdtEndPr>
      <w:rPr>
        <w:rStyle w:val="PageNumber"/>
      </w:rPr>
    </w:sdtEndPr>
    <w:sdtContent>
      <w:p w14:paraId="078DD3D5" w14:textId="31CBC417" w:rsidR="00FF0DA3" w:rsidRPr="009826A8" w:rsidRDefault="00FF0DA3" w:rsidP="00D14B60">
        <w:pPr>
          <w:pStyle w:val="Footer"/>
          <w:framePr w:wrap="none" w:vAnchor="text" w:hAnchor="margin" w:xAlign="right" w:y="1"/>
          <w:rPr>
            <w:rStyle w:val="PageNumber"/>
          </w:rPr>
        </w:pPr>
        <w:r w:rsidRPr="009826A8">
          <w:rPr>
            <w:rStyle w:val="PageNumber"/>
          </w:rPr>
          <w:fldChar w:fldCharType="begin"/>
        </w:r>
        <w:r w:rsidRPr="009826A8">
          <w:rPr>
            <w:rStyle w:val="PageNumber"/>
          </w:rPr>
          <w:instrText xml:space="preserve"> PAGE </w:instrText>
        </w:r>
        <w:r w:rsidRPr="009826A8">
          <w:rPr>
            <w:rStyle w:val="PageNumber"/>
          </w:rPr>
          <w:fldChar w:fldCharType="separate"/>
        </w:r>
        <w:r w:rsidRPr="00D6055C">
          <w:rPr>
            <w:rStyle w:val="PageNumber"/>
          </w:rPr>
          <w:t>1</w:t>
        </w:r>
        <w:r w:rsidRPr="009826A8">
          <w:rPr>
            <w:rStyle w:val="PageNumber"/>
          </w:rPr>
          <w:fldChar w:fldCharType="end"/>
        </w:r>
      </w:p>
    </w:sdtContent>
  </w:sdt>
  <w:p w14:paraId="2A2C7B95" w14:textId="77777777" w:rsidR="00FF0DA3" w:rsidRPr="009826A8" w:rsidRDefault="00FF0DA3" w:rsidP="00FF0D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52BA" w14:textId="77777777" w:rsidR="0011456A" w:rsidRPr="009826A8" w:rsidRDefault="0011456A" w:rsidP="00FF0DA3">
      <w:pPr>
        <w:spacing w:after="0" w:line="240" w:lineRule="auto"/>
      </w:pPr>
      <w:r w:rsidRPr="009826A8">
        <w:separator/>
      </w:r>
    </w:p>
  </w:footnote>
  <w:footnote w:type="continuationSeparator" w:id="0">
    <w:p w14:paraId="1DB099F5" w14:textId="77777777" w:rsidR="0011456A" w:rsidRPr="009826A8" w:rsidRDefault="0011456A" w:rsidP="00FF0DA3">
      <w:pPr>
        <w:spacing w:after="0" w:line="240" w:lineRule="auto"/>
      </w:pPr>
      <w:r w:rsidRPr="009826A8">
        <w:continuationSeparator/>
      </w:r>
    </w:p>
  </w:footnote>
  <w:footnote w:id="1">
    <w:p w14:paraId="572961DC" w14:textId="0CE29D92" w:rsidR="00CC3EE4" w:rsidRDefault="00C76278" w:rsidP="00C76278">
      <w:pPr>
        <w:pStyle w:val="FootnoteText"/>
        <w:jc w:val="both"/>
      </w:pPr>
      <w:r w:rsidRPr="00E4266E">
        <w:rPr>
          <w:rStyle w:val="FootnoteReference"/>
        </w:rPr>
        <w:footnoteRef/>
      </w:r>
      <w:r w:rsidRPr="00E4266E">
        <w:t xml:space="preserve"> Ky ligj </w:t>
      </w:r>
      <w:r>
        <w:t>ës</w:t>
      </w:r>
      <w:r w:rsidRPr="00E4266E">
        <w:t>ht</w:t>
      </w:r>
      <w:r>
        <w:t>ë</w:t>
      </w:r>
      <w:r w:rsidRPr="00E4266E">
        <w:t xml:space="preserve"> i përafruar plotësisht me: </w:t>
      </w:r>
    </w:p>
    <w:p w14:paraId="51E3AF7D" w14:textId="77777777" w:rsidR="00A81746" w:rsidRPr="004C338D" w:rsidRDefault="00C353CE" w:rsidP="0048776B">
      <w:pPr>
        <w:pStyle w:val="FootnoteText"/>
        <w:jc w:val="both"/>
      </w:pPr>
      <w:r w:rsidRPr="004C338D">
        <w:t xml:space="preserve">Direktivën 2004/25/KE e Parlamentit Evropian dhe e Këshillit e 21 prillit 2004, lidhur me ofertat e marrjes në </w:t>
      </w:r>
      <w:r w:rsidR="00595C66" w:rsidRPr="004C338D">
        <w:t>k</w:t>
      </w:r>
      <w:r w:rsidR="00A81746" w:rsidRPr="004C338D">
        <w:t>o</w:t>
      </w:r>
      <w:r w:rsidR="00595C66" w:rsidRPr="004C338D">
        <w:t>ntroll</w:t>
      </w:r>
      <w:r w:rsidRPr="004C338D">
        <w:t xml:space="preserve"> (takeover bids), FZ L 142, 30.4.2004, f. 12–23, </w:t>
      </w:r>
      <w:r w:rsidR="00DA392B" w:rsidRPr="004C338D">
        <w:t>CELEX: 32004L0025</w:t>
      </w:r>
      <w:r w:rsidR="00595C66" w:rsidRPr="004C338D">
        <w:t xml:space="preserve">, </w:t>
      </w:r>
      <w:r w:rsidRPr="004C338D">
        <w:t>ndryshuar kryesisht nga:</w:t>
      </w:r>
      <w:r w:rsidR="00390365" w:rsidRPr="004C338D">
        <w:t xml:space="preserve"> </w:t>
      </w:r>
    </w:p>
    <w:p w14:paraId="67CDA8E6" w14:textId="3527C600" w:rsidR="00EA4D00" w:rsidRPr="0048776B" w:rsidRDefault="00390365" w:rsidP="0048776B">
      <w:pPr>
        <w:pStyle w:val="FootnoteText"/>
        <w:jc w:val="both"/>
      </w:pPr>
      <w:r w:rsidRPr="004C338D">
        <w:t>(i)</w:t>
      </w:r>
      <w:r w:rsidRPr="004C338D">
        <w:rPr>
          <w:rFonts w:asciiTheme="minorHAnsi" w:eastAsiaTheme="minorHAnsi" w:hAnsiTheme="minorHAnsi" w:cstheme="minorBidi"/>
          <w:kern w:val="2"/>
          <w:bdr w:val="none" w:sz="0" w:space="0" w:color="auto"/>
          <w14:ligatures w14:val="standardContextual"/>
        </w:rPr>
        <w:t xml:space="preserve"> </w:t>
      </w:r>
      <w:r w:rsidR="009D7751" w:rsidRPr="004C338D">
        <w:t xml:space="preserve">Rregullorja (KE) nr. 219/2009 </w:t>
      </w:r>
      <w:r w:rsidR="00FE6C13" w:rsidRPr="004C338D">
        <w:t>e Parlamentit Evropian dhe e Këshillit e 11 Mars 20</w:t>
      </w:r>
      <w:r w:rsidR="00A56868" w:rsidRPr="004C338D">
        <w:t>09</w:t>
      </w:r>
      <w:r w:rsidR="00FE6C13" w:rsidRPr="004C338D">
        <w:t xml:space="preserve">, </w:t>
      </w:r>
      <w:r w:rsidR="00C6534D" w:rsidRPr="004C338D">
        <w:t xml:space="preserve">FZ L </w:t>
      </w:r>
      <w:r w:rsidR="00CA31F5" w:rsidRPr="004C338D">
        <w:t xml:space="preserve">87, 31.03.2009 </w:t>
      </w:r>
      <w:r w:rsidR="00B85B05" w:rsidRPr="004C338D">
        <w:t xml:space="preserve">CELEX: 32009R0219 (ii) </w:t>
      </w:r>
      <w:r w:rsidRPr="004C338D">
        <w:t>Direktiva 2014/59/BE (BRRD)</w:t>
      </w:r>
      <w:r w:rsidR="00C353CE" w:rsidRPr="004C338D">
        <w:t xml:space="preserve"> </w:t>
      </w:r>
      <w:r w:rsidR="00A2280F" w:rsidRPr="004C338D">
        <w:t>e Parlamentit Evropian dhe e Këshillit e 15 maj 2014</w:t>
      </w:r>
      <w:r w:rsidR="00A56868" w:rsidRPr="004C338D">
        <w:t>; FZ L</w:t>
      </w:r>
      <w:r w:rsidR="002478EB" w:rsidRPr="004C338D">
        <w:rPr>
          <w:rFonts w:asciiTheme="minorHAnsi" w:eastAsiaTheme="minorHAnsi" w:hAnsiTheme="minorHAnsi" w:cstheme="minorBidi"/>
          <w:kern w:val="2"/>
          <w:bdr w:val="none" w:sz="0" w:space="0" w:color="auto"/>
          <w14:ligatures w14:val="standardContextual"/>
        </w:rPr>
        <w:t xml:space="preserve"> </w:t>
      </w:r>
      <w:r w:rsidR="002478EB" w:rsidRPr="004C338D">
        <w:t>173, 12.06.2014;</w:t>
      </w:r>
      <w:r w:rsidR="00346CC0" w:rsidRPr="004C338D">
        <w:rPr>
          <w:rFonts w:asciiTheme="minorHAnsi" w:eastAsiaTheme="minorHAnsi" w:hAnsiTheme="minorHAnsi" w:cstheme="minorBidi"/>
          <w:kern w:val="2"/>
          <w:bdr w:val="none" w:sz="0" w:space="0" w:color="auto"/>
          <w14:ligatures w14:val="standardContextual"/>
        </w:rPr>
        <w:t xml:space="preserve"> </w:t>
      </w:r>
      <w:r w:rsidR="007512FC" w:rsidRPr="004C338D">
        <w:t>CELEX: 32014L0059; Neni 119</w:t>
      </w:r>
      <w:r w:rsidR="002478EB" w:rsidRPr="004C338D">
        <w:t>;</w:t>
      </w:r>
      <w:r w:rsidR="00A2280F" w:rsidRPr="004C338D">
        <w:t xml:space="preserve"> </w:t>
      </w:r>
      <w:r w:rsidR="00C353CE" w:rsidRPr="004C338D">
        <w:t>(i</w:t>
      </w:r>
      <w:r w:rsidRPr="004C338D">
        <w:t>i</w:t>
      </w:r>
      <w:r w:rsidR="002478EB" w:rsidRPr="004C338D">
        <w:t>i</w:t>
      </w:r>
      <w:r w:rsidR="00C353CE" w:rsidRPr="004C338D">
        <w:t>) Rregullorja (BE) 2021/23 e Parlamentit Evropian dhe e Këshillit e 16 dhjetorit 2020, mbi kornizën e rimëkëmbjes dhe rezolucionit të qendrave të kliringut, që ndër të tjera ndryshon Direktivën 2004/25/KE, FZ L 22, 22.1.2021, f. 1–102; dhe (i</w:t>
      </w:r>
      <w:r w:rsidR="002478EB" w:rsidRPr="004C338D">
        <w:t>v</w:t>
      </w:r>
      <w:r w:rsidR="00C353CE" w:rsidRPr="004C338D">
        <w:t>) Direktiva (BE) 2023/2864 e Parlamentit Evropian dhe e Këshillit e 13 dhjetorit 2023, që ndryshon disa direktiva sa i përket krijimit dhe funksionimit të ESAP (përfshirë shtimin e nenit 16a në Direktivën 2004/25/KE), FZ L, 20.12.2023</w:t>
      </w:r>
      <w:r w:rsidR="00836FCB" w:rsidRPr="004C338D">
        <w:t>;</w:t>
      </w:r>
      <w:r w:rsidR="00836FCB" w:rsidRPr="004C338D">
        <w:rPr>
          <w:rFonts w:asciiTheme="minorHAnsi" w:eastAsiaTheme="minorHAnsi" w:hAnsiTheme="minorHAnsi" w:cstheme="minorBidi"/>
          <w:kern w:val="2"/>
          <w:bdr w:val="none" w:sz="0" w:space="0" w:color="auto"/>
          <w14:ligatures w14:val="standardContextual"/>
        </w:rPr>
        <w:t xml:space="preserve"> </w:t>
      </w:r>
      <w:r w:rsidR="00836FCB" w:rsidRPr="004C338D">
        <w:t>CELEX: 32023L2864</w:t>
      </w:r>
      <w:r w:rsidR="00C353CE" w:rsidRPr="004C338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4526" w14:textId="77777777" w:rsidR="002304A1" w:rsidRDefault="00230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625"/>
    <w:multiLevelType w:val="multilevel"/>
    <w:tmpl w:val="D64E083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24300"/>
    <w:multiLevelType w:val="hybridMultilevel"/>
    <w:tmpl w:val="E22A17A6"/>
    <w:lvl w:ilvl="0" w:tplc="6672A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E1D99"/>
    <w:multiLevelType w:val="hybridMultilevel"/>
    <w:tmpl w:val="BA1A01D6"/>
    <w:lvl w:ilvl="0" w:tplc="B182447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93065"/>
    <w:multiLevelType w:val="hybridMultilevel"/>
    <w:tmpl w:val="BA0A8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2495B"/>
    <w:multiLevelType w:val="hybridMultilevel"/>
    <w:tmpl w:val="B26AFB1C"/>
    <w:lvl w:ilvl="0" w:tplc="E19806D0">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54427"/>
    <w:multiLevelType w:val="hybridMultilevel"/>
    <w:tmpl w:val="A3AA2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90A17"/>
    <w:multiLevelType w:val="hybridMultilevel"/>
    <w:tmpl w:val="B1966690"/>
    <w:lvl w:ilvl="0" w:tplc="273A4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1D2A39"/>
    <w:multiLevelType w:val="multilevel"/>
    <w:tmpl w:val="66F6420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612E3"/>
    <w:multiLevelType w:val="multilevel"/>
    <w:tmpl w:val="861E8D6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026511"/>
    <w:multiLevelType w:val="multilevel"/>
    <w:tmpl w:val="F80EC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915186"/>
    <w:multiLevelType w:val="hybridMultilevel"/>
    <w:tmpl w:val="3BF0E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C5A0C"/>
    <w:multiLevelType w:val="multilevel"/>
    <w:tmpl w:val="8C926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1E4C7C"/>
    <w:multiLevelType w:val="multilevel"/>
    <w:tmpl w:val="07F8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7C39FF"/>
    <w:multiLevelType w:val="hybridMultilevel"/>
    <w:tmpl w:val="1BF27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574B6"/>
    <w:multiLevelType w:val="hybridMultilevel"/>
    <w:tmpl w:val="8FE0E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84B24"/>
    <w:multiLevelType w:val="hybridMultilevel"/>
    <w:tmpl w:val="FB186AF2"/>
    <w:lvl w:ilvl="0" w:tplc="63FC3940">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C302AC"/>
    <w:multiLevelType w:val="hybridMultilevel"/>
    <w:tmpl w:val="737E3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74DA3"/>
    <w:multiLevelType w:val="hybridMultilevel"/>
    <w:tmpl w:val="972AD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C7405"/>
    <w:multiLevelType w:val="hybridMultilevel"/>
    <w:tmpl w:val="9560E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730F5C"/>
    <w:multiLevelType w:val="hybridMultilevel"/>
    <w:tmpl w:val="E3920D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27006C"/>
    <w:multiLevelType w:val="multilevel"/>
    <w:tmpl w:val="9B6C04B4"/>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D049EF"/>
    <w:multiLevelType w:val="multilevel"/>
    <w:tmpl w:val="B51C882A"/>
    <w:lvl w:ilvl="0">
      <w:start w:val="1"/>
      <w:numFmt w:val="lowerLetter"/>
      <w:lvlText w:val="%1)"/>
      <w:lvlJc w:val="left"/>
      <w:pPr>
        <w:ind w:left="720"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7D17A1"/>
    <w:multiLevelType w:val="hybridMultilevel"/>
    <w:tmpl w:val="EDB2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9E0EFE"/>
    <w:multiLevelType w:val="hybridMultilevel"/>
    <w:tmpl w:val="B7E424C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8E0DD6"/>
    <w:multiLevelType w:val="multilevel"/>
    <w:tmpl w:val="064C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A623B5"/>
    <w:multiLevelType w:val="hybridMultilevel"/>
    <w:tmpl w:val="28CC795A"/>
    <w:lvl w:ilvl="0" w:tplc="F68C0208">
      <w:start w:val="1"/>
      <w:numFmt w:val="decimal"/>
      <w:lvlText w:val="%1."/>
      <w:lvlJc w:val="left"/>
      <w:pPr>
        <w:ind w:left="720" w:hanging="360"/>
      </w:pPr>
      <w:rPr>
        <w:rFonts w:ascii="Times New Roman" w:eastAsia="Times New Roman"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B03B74"/>
    <w:multiLevelType w:val="hybridMultilevel"/>
    <w:tmpl w:val="26B0B0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E94016"/>
    <w:multiLevelType w:val="hybridMultilevel"/>
    <w:tmpl w:val="594AD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FD225D"/>
    <w:multiLevelType w:val="hybridMultilevel"/>
    <w:tmpl w:val="041E5B14"/>
    <w:lvl w:ilvl="0" w:tplc="1F16DE9E">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CE6845"/>
    <w:multiLevelType w:val="multilevel"/>
    <w:tmpl w:val="C73A9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460611"/>
    <w:multiLevelType w:val="hybridMultilevel"/>
    <w:tmpl w:val="DC94CC3A"/>
    <w:lvl w:ilvl="0" w:tplc="83E670A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8F76A6"/>
    <w:multiLevelType w:val="hybridMultilevel"/>
    <w:tmpl w:val="BAB2EB0C"/>
    <w:lvl w:ilvl="0" w:tplc="CD4C853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5F7137C"/>
    <w:multiLevelType w:val="hybridMultilevel"/>
    <w:tmpl w:val="921231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C53C3B"/>
    <w:multiLevelType w:val="multilevel"/>
    <w:tmpl w:val="0F7A3C72"/>
    <w:lvl w:ilvl="0">
      <w:start w:val="1"/>
      <w:numFmt w:val="decimal"/>
      <w:lvlText w:val="%1."/>
      <w:lvlJc w:val="left"/>
      <w:pPr>
        <w:tabs>
          <w:tab w:val="num" w:pos="720"/>
        </w:tabs>
        <w:ind w:left="720" w:hanging="360"/>
      </w:pPr>
      <w:rPr>
        <w:b w:val="0"/>
        <w:bCs w:val="0"/>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D241F3"/>
    <w:multiLevelType w:val="hybridMultilevel"/>
    <w:tmpl w:val="88C8D8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081472"/>
    <w:multiLevelType w:val="hybridMultilevel"/>
    <w:tmpl w:val="72A8FBD2"/>
    <w:lvl w:ilvl="0" w:tplc="36BC5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662CAC"/>
    <w:multiLevelType w:val="hybridMultilevel"/>
    <w:tmpl w:val="58587F32"/>
    <w:lvl w:ilvl="0" w:tplc="41941DB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F9F0A61"/>
    <w:multiLevelType w:val="hybridMultilevel"/>
    <w:tmpl w:val="97761F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731891"/>
    <w:multiLevelType w:val="hybridMultilevel"/>
    <w:tmpl w:val="2F94B30C"/>
    <w:lvl w:ilvl="0" w:tplc="96A8292E">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26A1FDB"/>
    <w:multiLevelType w:val="hybridMultilevel"/>
    <w:tmpl w:val="E7F663F8"/>
    <w:lvl w:ilvl="0" w:tplc="A79A623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036ED9"/>
    <w:multiLevelType w:val="hybridMultilevel"/>
    <w:tmpl w:val="90C0B8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6126A5"/>
    <w:multiLevelType w:val="multilevel"/>
    <w:tmpl w:val="A1AAA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425D62"/>
    <w:multiLevelType w:val="hybridMultilevel"/>
    <w:tmpl w:val="67AEE9BE"/>
    <w:lvl w:ilvl="0" w:tplc="0809000F">
      <w:start w:val="1"/>
      <w:numFmt w:val="decimal"/>
      <w:lvlText w:val="%1."/>
      <w:lvlJc w:val="left"/>
      <w:pPr>
        <w:ind w:left="786"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7C201F"/>
    <w:multiLevelType w:val="hybridMultilevel"/>
    <w:tmpl w:val="04B633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B052F7"/>
    <w:multiLevelType w:val="hybridMultilevel"/>
    <w:tmpl w:val="CE423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4A4AE7"/>
    <w:multiLevelType w:val="hybridMultilevel"/>
    <w:tmpl w:val="83408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276994"/>
    <w:multiLevelType w:val="hybridMultilevel"/>
    <w:tmpl w:val="386CF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6F2A8F"/>
    <w:multiLevelType w:val="hybridMultilevel"/>
    <w:tmpl w:val="1C2870B0"/>
    <w:lvl w:ilvl="0" w:tplc="83E670AE">
      <w:start w:val="1"/>
      <w:numFmt w:val="decimal"/>
      <w:lvlText w:val="%1."/>
      <w:lvlJc w:val="left"/>
      <w:pPr>
        <w:ind w:left="720" w:hanging="360"/>
      </w:pPr>
      <w:rPr>
        <w:rFonts w:hint="default"/>
        <w:b w:val="0"/>
        <w:bCs/>
      </w:rPr>
    </w:lvl>
    <w:lvl w:ilvl="1" w:tplc="9392ED3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9F298D"/>
    <w:multiLevelType w:val="multilevel"/>
    <w:tmpl w:val="7ECAAA4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A4634D"/>
    <w:multiLevelType w:val="hybridMultilevel"/>
    <w:tmpl w:val="BB72967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1A756F2"/>
    <w:multiLevelType w:val="multilevel"/>
    <w:tmpl w:val="80D04A4A"/>
    <w:lvl w:ilvl="0">
      <w:start w:val="1"/>
      <w:numFmt w:val="lowerLetter"/>
      <w:lvlText w:val="%1)"/>
      <w:lvlJc w:val="left"/>
      <w:pPr>
        <w:ind w:left="720" w:hanging="360"/>
      </w:pPr>
    </w:lvl>
    <w:lvl w:ilvl="1">
      <w:start w:val="1"/>
      <w:numFmt w:val="decimal"/>
      <w:lvlText w:val="%2."/>
      <w:lvlJc w:val="left"/>
      <w:pPr>
        <w:ind w:left="1440" w:hanging="360"/>
      </w:pPr>
      <w:rPr>
        <w:rFonts w:eastAsiaTheme="majorEastAsia"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DA3E6A"/>
    <w:multiLevelType w:val="multilevel"/>
    <w:tmpl w:val="7ECAAA4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45524B"/>
    <w:multiLevelType w:val="multilevel"/>
    <w:tmpl w:val="B150BCBE"/>
    <w:lvl w:ilvl="0">
      <w:start w:val="1"/>
      <w:numFmt w:val="lowerLetter"/>
      <w:lvlText w:val="%1)"/>
      <w:lvlJc w:val="left"/>
      <w:pPr>
        <w:ind w:left="144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F52E11"/>
    <w:multiLevelType w:val="multilevel"/>
    <w:tmpl w:val="5CE09B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color w:val="0070C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6B4320E"/>
    <w:multiLevelType w:val="hybridMultilevel"/>
    <w:tmpl w:val="CA083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3264F1"/>
    <w:multiLevelType w:val="hybridMultilevel"/>
    <w:tmpl w:val="6400B45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AA52F1"/>
    <w:multiLevelType w:val="hybridMultilevel"/>
    <w:tmpl w:val="033E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62FFB"/>
    <w:multiLevelType w:val="hybridMultilevel"/>
    <w:tmpl w:val="D36C89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927900">
    <w:abstractNumId w:val="7"/>
  </w:num>
  <w:num w:numId="2" w16cid:durableId="878467142">
    <w:abstractNumId w:val="38"/>
  </w:num>
  <w:num w:numId="3" w16cid:durableId="1574780372">
    <w:abstractNumId w:val="12"/>
  </w:num>
  <w:num w:numId="4" w16cid:durableId="1881626907">
    <w:abstractNumId w:val="24"/>
  </w:num>
  <w:num w:numId="5" w16cid:durableId="318656653">
    <w:abstractNumId w:val="36"/>
  </w:num>
  <w:num w:numId="6" w16cid:durableId="1153983825">
    <w:abstractNumId w:val="50"/>
  </w:num>
  <w:num w:numId="7" w16cid:durableId="1118724205">
    <w:abstractNumId w:val="20"/>
  </w:num>
  <w:num w:numId="8" w16cid:durableId="632950191">
    <w:abstractNumId w:val="33"/>
  </w:num>
  <w:num w:numId="9" w16cid:durableId="1668823676">
    <w:abstractNumId w:val="21"/>
  </w:num>
  <w:num w:numId="10" w16cid:durableId="2047216946">
    <w:abstractNumId w:val="42"/>
  </w:num>
  <w:num w:numId="11" w16cid:durableId="190263311">
    <w:abstractNumId w:val="15"/>
  </w:num>
  <w:num w:numId="12" w16cid:durableId="681590100">
    <w:abstractNumId w:val="25"/>
  </w:num>
  <w:num w:numId="13" w16cid:durableId="1092313656">
    <w:abstractNumId w:val="8"/>
  </w:num>
  <w:num w:numId="14" w16cid:durableId="203099199">
    <w:abstractNumId w:val="53"/>
  </w:num>
  <w:num w:numId="15" w16cid:durableId="1570262418">
    <w:abstractNumId w:val="28"/>
  </w:num>
  <w:num w:numId="16" w16cid:durableId="752506100">
    <w:abstractNumId w:val="30"/>
  </w:num>
  <w:num w:numId="17" w16cid:durableId="1506893547">
    <w:abstractNumId w:val="52"/>
  </w:num>
  <w:num w:numId="18" w16cid:durableId="2000889623">
    <w:abstractNumId w:val="47"/>
  </w:num>
  <w:num w:numId="19" w16cid:durableId="57171241">
    <w:abstractNumId w:val="26"/>
  </w:num>
  <w:num w:numId="20" w16cid:durableId="301203464">
    <w:abstractNumId w:val="0"/>
  </w:num>
  <w:num w:numId="21" w16cid:durableId="214437484">
    <w:abstractNumId w:val="31"/>
  </w:num>
  <w:num w:numId="22" w16cid:durableId="1271662683">
    <w:abstractNumId w:val="48"/>
  </w:num>
  <w:num w:numId="23" w16cid:durableId="864295152">
    <w:abstractNumId w:val="51"/>
  </w:num>
  <w:num w:numId="24" w16cid:durableId="1578713209">
    <w:abstractNumId w:val="16"/>
  </w:num>
  <w:num w:numId="25" w16cid:durableId="719399287">
    <w:abstractNumId w:val="57"/>
  </w:num>
  <w:num w:numId="26" w16cid:durableId="870075703">
    <w:abstractNumId w:val="4"/>
  </w:num>
  <w:num w:numId="27" w16cid:durableId="694426909">
    <w:abstractNumId w:val="35"/>
  </w:num>
  <w:num w:numId="28" w16cid:durableId="1786464287">
    <w:abstractNumId w:val="10"/>
  </w:num>
  <w:num w:numId="29" w16cid:durableId="516894882">
    <w:abstractNumId w:val="56"/>
  </w:num>
  <w:num w:numId="30" w16cid:durableId="759446500">
    <w:abstractNumId w:val="40"/>
  </w:num>
  <w:num w:numId="31" w16cid:durableId="706830890">
    <w:abstractNumId w:val="23"/>
  </w:num>
  <w:num w:numId="32" w16cid:durableId="1687827198">
    <w:abstractNumId w:val="49"/>
  </w:num>
  <w:num w:numId="33" w16cid:durableId="657417730">
    <w:abstractNumId w:val="34"/>
  </w:num>
  <w:num w:numId="34" w16cid:durableId="1127427087">
    <w:abstractNumId w:val="55"/>
  </w:num>
  <w:num w:numId="35" w16cid:durableId="1805810810">
    <w:abstractNumId w:val="19"/>
  </w:num>
  <w:num w:numId="36" w16cid:durableId="1594585153">
    <w:abstractNumId w:val="39"/>
  </w:num>
  <w:num w:numId="37" w16cid:durableId="379717556">
    <w:abstractNumId w:val="11"/>
  </w:num>
  <w:num w:numId="38" w16cid:durableId="1355185090">
    <w:abstractNumId w:val="29"/>
  </w:num>
  <w:num w:numId="39" w16cid:durableId="1335843835">
    <w:abstractNumId w:val="22"/>
  </w:num>
  <w:num w:numId="40" w16cid:durableId="448087121">
    <w:abstractNumId w:val="41"/>
  </w:num>
  <w:num w:numId="41" w16cid:durableId="232130046">
    <w:abstractNumId w:val="13"/>
  </w:num>
  <w:num w:numId="42" w16cid:durableId="1723207299">
    <w:abstractNumId w:val="18"/>
  </w:num>
  <w:num w:numId="43" w16cid:durableId="71631733">
    <w:abstractNumId w:val="45"/>
  </w:num>
  <w:num w:numId="44" w16cid:durableId="1548950758">
    <w:abstractNumId w:val="14"/>
  </w:num>
  <w:num w:numId="45" w16cid:durableId="1663653073">
    <w:abstractNumId w:val="5"/>
  </w:num>
  <w:num w:numId="46" w16cid:durableId="1991405376">
    <w:abstractNumId w:val="1"/>
  </w:num>
  <w:num w:numId="47" w16cid:durableId="1404834610">
    <w:abstractNumId w:val="46"/>
  </w:num>
  <w:num w:numId="48" w16cid:durableId="1345130611">
    <w:abstractNumId w:val="43"/>
  </w:num>
  <w:num w:numId="49" w16cid:durableId="1385182115">
    <w:abstractNumId w:val="27"/>
  </w:num>
  <w:num w:numId="50" w16cid:durableId="727463484">
    <w:abstractNumId w:val="54"/>
  </w:num>
  <w:num w:numId="51" w16cid:durableId="895900188">
    <w:abstractNumId w:val="9"/>
  </w:num>
  <w:num w:numId="52" w16cid:durableId="1743719215">
    <w:abstractNumId w:val="32"/>
  </w:num>
  <w:num w:numId="53" w16cid:durableId="1747921817">
    <w:abstractNumId w:val="2"/>
  </w:num>
  <w:num w:numId="54" w16cid:durableId="1770930562">
    <w:abstractNumId w:val="44"/>
  </w:num>
  <w:num w:numId="55" w16cid:durableId="1524710447">
    <w:abstractNumId w:val="3"/>
  </w:num>
  <w:num w:numId="56" w16cid:durableId="508643097">
    <w:abstractNumId w:val="17"/>
  </w:num>
  <w:num w:numId="57" w16cid:durableId="1246651603">
    <w:abstractNumId w:val="37"/>
  </w:num>
  <w:num w:numId="58" w16cid:durableId="500656945">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A7"/>
    <w:rsid w:val="000005AF"/>
    <w:rsid w:val="000012A4"/>
    <w:rsid w:val="0000302B"/>
    <w:rsid w:val="000057F7"/>
    <w:rsid w:val="00006267"/>
    <w:rsid w:val="00006DDF"/>
    <w:rsid w:val="00007783"/>
    <w:rsid w:val="0001043C"/>
    <w:rsid w:val="000236F1"/>
    <w:rsid w:val="0002533A"/>
    <w:rsid w:val="00027367"/>
    <w:rsid w:val="00027CE9"/>
    <w:rsid w:val="00027EEA"/>
    <w:rsid w:val="00030534"/>
    <w:rsid w:val="00030C05"/>
    <w:rsid w:val="00031A25"/>
    <w:rsid w:val="000346E4"/>
    <w:rsid w:val="00037A31"/>
    <w:rsid w:val="00037B32"/>
    <w:rsid w:val="0004305B"/>
    <w:rsid w:val="000522E0"/>
    <w:rsid w:val="0007083D"/>
    <w:rsid w:val="00072EE4"/>
    <w:rsid w:val="00075951"/>
    <w:rsid w:val="00076D66"/>
    <w:rsid w:val="00091323"/>
    <w:rsid w:val="0009436A"/>
    <w:rsid w:val="0009452C"/>
    <w:rsid w:val="00095835"/>
    <w:rsid w:val="00096BDD"/>
    <w:rsid w:val="00097514"/>
    <w:rsid w:val="000A0059"/>
    <w:rsid w:val="000A1EDA"/>
    <w:rsid w:val="000A2815"/>
    <w:rsid w:val="000A2B70"/>
    <w:rsid w:val="000A33E4"/>
    <w:rsid w:val="000A47DE"/>
    <w:rsid w:val="000A52F9"/>
    <w:rsid w:val="000B0BBF"/>
    <w:rsid w:val="000B1681"/>
    <w:rsid w:val="000B1A90"/>
    <w:rsid w:val="000B3EFF"/>
    <w:rsid w:val="000B6495"/>
    <w:rsid w:val="000B6764"/>
    <w:rsid w:val="000B677F"/>
    <w:rsid w:val="000B692D"/>
    <w:rsid w:val="000B7671"/>
    <w:rsid w:val="000B7D8A"/>
    <w:rsid w:val="000C0152"/>
    <w:rsid w:val="000C3D80"/>
    <w:rsid w:val="000C7929"/>
    <w:rsid w:val="000D40B3"/>
    <w:rsid w:val="000D41C9"/>
    <w:rsid w:val="000D47C1"/>
    <w:rsid w:val="000D7A4E"/>
    <w:rsid w:val="000E084F"/>
    <w:rsid w:val="000E0E5C"/>
    <w:rsid w:val="000E229C"/>
    <w:rsid w:val="000F2F1E"/>
    <w:rsid w:val="000F3C2E"/>
    <w:rsid w:val="000F3EA1"/>
    <w:rsid w:val="000F7ACA"/>
    <w:rsid w:val="00101D43"/>
    <w:rsid w:val="00112360"/>
    <w:rsid w:val="0011456A"/>
    <w:rsid w:val="00135FAB"/>
    <w:rsid w:val="00137220"/>
    <w:rsid w:val="0013787E"/>
    <w:rsid w:val="00137A5A"/>
    <w:rsid w:val="00140A53"/>
    <w:rsid w:val="00145E74"/>
    <w:rsid w:val="001528BA"/>
    <w:rsid w:val="00153382"/>
    <w:rsid w:val="001555E2"/>
    <w:rsid w:val="00156CBF"/>
    <w:rsid w:val="00156D77"/>
    <w:rsid w:val="00156EAF"/>
    <w:rsid w:val="0016308D"/>
    <w:rsid w:val="00163A51"/>
    <w:rsid w:val="001655FE"/>
    <w:rsid w:val="00173032"/>
    <w:rsid w:val="001731D9"/>
    <w:rsid w:val="0017367A"/>
    <w:rsid w:val="00176091"/>
    <w:rsid w:val="001775D0"/>
    <w:rsid w:val="001824EB"/>
    <w:rsid w:val="001832E2"/>
    <w:rsid w:val="0018444F"/>
    <w:rsid w:val="00184894"/>
    <w:rsid w:val="00186E6D"/>
    <w:rsid w:val="00191291"/>
    <w:rsid w:val="001952F0"/>
    <w:rsid w:val="001A16AF"/>
    <w:rsid w:val="001A4D30"/>
    <w:rsid w:val="001A76A9"/>
    <w:rsid w:val="001B2A2D"/>
    <w:rsid w:val="001B5148"/>
    <w:rsid w:val="001B53A0"/>
    <w:rsid w:val="001B5D5B"/>
    <w:rsid w:val="001B71F7"/>
    <w:rsid w:val="001C429C"/>
    <w:rsid w:val="001C43E4"/>
    <w:rsid w:val="001C55ED"/>
    <w:rsid w:val="001C55F2"/>
    <w:rsid w:val="001D7A6D"/>
    <w:rsid w:val="001E2002"/>
    <w:rsid w:val="001E37B7"/>
    <w:rsid w:val="001E3E68"/>
    <w:rsid w:val="001E4E8C"/>
    <w:rsid w:val="001E681B"/>
    <w:rsid w:val="001F181A"/>
    <w:rsid w:val="001F1947"/>
    <w:rsid w:val="001F2D4C"/>
    <w:rsid w:val="00201476"/>
    <w:rsid w:val="00201A1C"/>
    <w:rsid w:val="002034BF"/>
    <w:rsid w:val="0020599E"/>
    <w:rsid w:val="0021182A"/>
    <w:rsid w:val="002129A3"/>
    <w:rsid w:val="00214688"/>
    <w:rsid w:val="002170B9"/>
    <w:rsid w:val="00221198"/>
    <w:rsid w:val="0022275F"/>
    <w:rsid w:val="00222B90"/>
    <w:rsid w:val="00224252"/>
    <w:rsid w:val="00225EA7"/>
    <w:rsid w:val="0022790A"/>
    <w:rsid w:val="002304A1"/>
    <w:rsid w:val="002311EC"/>
    <w:rsid w:val="0023197A"/>
    <w:rsid w:val="00233EE2"/>
    <w:rsid w:val="00236D8B"/>
    <w:rsid w:val="002451F9"/>
    <w:rsid w:val="002478EB"/>
    <w:rsid w:val="002526EF"/>
    <w:rsid w:val="00253400"/>
    <w:rsid w:val="00257F3A"/>
    <w:rsid w:val="002608F4"/>
    <w:rsid w:val="002637D4"/>
    <w:rsid w:val="002741F2"/>
    <w:rsid w:val="002747DD"/>
    <w:rsid w:val="00277ED0"/>
    <w:rsid w:val="00280C1C"/>
    <w:rsid w:val="00281A13"/>
    <w:rsid w:val="002831F5"/>
    <w:rsid w:val="0028667D"/>
    <w:rsid w:val="002909EB"/>
    <w:rsid w:val="00293121"/>
    <w:rsid w:val="00293F23"/>
    <w:rsid w:val="00294BA7"/>
    <w:rsid w:val="002B1D22"/>
    <w:rsid w:val="002B2371"/>
    <w:rsid w:val="002B261D"/>
    <w:rsid w:val="002B360E"/>
    <w:rsid w:val="002C6994"/>
    <w:rsid w:val="002D06DC"/>
    <w:rsid w:val="002D0925"/>
    <w:rsid w:val="002D0CDD"/>
    <w:rsid w:val="002D7DBE"/>
    <w:rsid w:val="002E0A15"/>
    <w:rsid w:val="002E16BF"/>
    <w:rsid w:val="002E7824"/>
    <w:rsid w:val="002E7A53"/>
    <w:rsid w:val="002F1259"/>
    <w:rsid w:val="002F15CA"/>
    <w:rsid w:val="002F3929"/>
    <w:rsid w:val="002F39E1"/>
    <w:rsid w:val="002F441B"/>
    <w:rsid w:val="002F535A"/>
    <w:rsid w:val="003057F3"/>
    <w:rsid w:val="00305D2F"/>
    <w:rsid w:val="00310343"/>
    <w:rsid w:val="00312490"/>
    <w:rsid w:val="003132D6"/>
    <w:rsid w:val="0031460F"/>
    <w:rsid w:val="003158F0"/>
    <w:rsid w:val="003245F9"/>
    <w:rsid w:val="00324C5A"/>
    <w:rsid w:val="00325931"/>
    <w:rsid w:val="00327590"/>
    <w:rsid w:val="00327D0B"/>
    <w:rsid w:val="003303EC"/>
    <w:rsid w:val="003341B0"/>
    <w:rsid w:val="00340328"/>
    <w:rsid w:val="00340826"/>
    <w:rsid w:val="003442BA"/>
    <w:rsid w:val="003452EA"/>
    <w:rsid w:val="00346146"/>
    <w:rsid w:val="00346CC0"/>
    <w:rsid w:val="00347032"/>
    <w:rsid w:val="00351028"/>
    <w:rsid w:val="003517F8"/>
    <w:rsid w:val="00356272"/>
    <w:rsid w:val="003719FB"/>
    <w:rsid w:val="00374F15"/>
    <w:rsid w:val="00380D1A"/>
    <w:rsid w:val="00382AA4"/>
    <w:rsid w:val="00387AB7"/>
    <w:rsid w:val="00390365"/>
    <w:rsid w:val="003921E7"/>
    <w:rsid w:val="003922D6"/>
    <w:rsid w:val="00392ADF"/>
    <w:rsid w:val="003933BB"/>
    <w:rsid w:val="00393826"/>
    <w:rsid w:val="003B2E35"/>
    <w:rsid w:val="003B3365"/>
    <w:rsid w:val="003B4D93"/>
    <w:rsid w:val="003B55C1"/>
    <w:rsid w:val="003C018E"/>
    <w:rsid w:val="003C3AB1"/>
    <w:rsid w:val="003D105E"/>
    <w:rsid w:val="003D151C"/>
    <w:rsid w:val="003D36B9"/>
    <w:rsid w:val="003D6DC7"/>
    <w:rsid w:val="003E0C93"/>
    <w:rsid w:val="003E53E0"/>
    <w:rsid w:val="003E6B1C"/>
    <w:rsid w:val="003E6B5D"/>
    <w:rsid w:val="003F1392"/>
    <w:rsid w:val="003F2673"/>
    <w:rsid w:val="003F277B"/>
    <w:rsid w:val="003F3B07"/>
    <w:rsid w:val="003F6957"/>
    <w:rsid w:val="003F6BBE"/>
    <w:rsid w:val="00401F0B"/>
    <w:rsid w:val="00402139"/>
    <w:rsid w:val="00402722"/>
    <w:rsid w:val="004064A2"/>
    <w:rsid w:val="00412466"/>
    <w:rsid w:val="00413B7D"/>
    <w:rsid w:val="0041637A"/>
    <w:rsid w:val="004201D9"/>
    <w:rsid w:val="00444B22"/>
    <w:rsid w:val="00452903"/>
    <w:rsid w:val="004552F0"/>
    <w:rsid w:val="0045541E"/>
    <w:rsid w:val="00455459"/>
    <w:rsid w:val="00456F6F"/>
    <w:rsid w:val="00463523"/>
    <w:rsid w:val="0046583B"/>
    <w:rsid w:val="00470FBA"/>
    <w:rsid w:val="00474190"/>
    <w:rsid w:val="00474BFE"/>
    <w:rsid w:val="00474DA6"/>
    <w:rsid w:val="0047737F"/>
    <w:rsid w:val="004825EF"/>
    <w:rsid w:val="00483C1E"/>
    <w:rsid w:val="00486036"/>
    <w:rsid w:val="004872E2"/>
    <w:rsid w:val="0048776B"/>
    <w:rsid w:val="00490D66"/>
    <w:rsid w:val="004912C1"/>
    <w:rsid w:val="00496274"/>
    <w:rsid w:val="00496D5C"/>
    <w:rsid w:val="004A0E29"/>
    <w:rsid w:val="004A1CD8"/>
    <w:rsid w:val="004A293C"/>
    <w:rsid w:val="004A30A2"/>
    <w:rsid w:val="004A7498"/>
    <w:rsid w:val="004B0977"/>
    <w:rsid w:val="004B3D66"/>
    <w:rsid w:val="004B41E2"/>
    <w:rsid w:val="004B425A"/>
    <w:rsid w:val="004C22C1"/>
    <w:rsid w:val="004C2DF4"/>
    <w:rsid w:val="004C338D"/>
    <w:rsid w:val="004C54BC"/>
    <w:rsid w:val="004C6011"/>
    <w:rsid w:val="004C7460"/>
    <w:rsid w:val="004D194E"/>
    <w:rsid w:val="004D1B75"/>
    <w:rsid w:val="004D6F67"/>
    <w:rsid w:val="004D7D25"/>
    <w:rsid w:val="004E1D83"/>
    <w:rsid w:val="004E30C8"/>
    <w:rsid w:val="004E30E7"/>
    <w:rsid w:val="004F17F4"/>
    <w:rsid w:val="004F56F2"/>
    <w:rsid w:val="004F5F77"/>
    <w:rsid w:val="004F66F9"/>
    <w:rsid w:val="00501C95"/>
    <w:rsid w:val="005035B0"/>
    <w:rsid w:val="00504A89"/>
    <w:rsid w:val="00504C65"/>
    <w:rsid w:val="00504E35"/>
    <w:rsid w:val="00505C3B"/>
    <w:rsid w:val="00505EAD"/>
    <w:rsid w:val="00507417"/>
    <w:rsid w:val="0051026B"/>
    <w:rsid w:val="005151D1"/>
    <w:rsid w:val="00522B7D"/>
    <w:rsid w:val="00525A84"/>
    <w:rsid w:val="00530566"/>
    <w:rsid w:val="00531203"/>
    <w:rsid w:val="00534ABA"/>
    <w:rsid w:val="00547433"/>
    <w:rsid w:val="005574BE"/>
    <w:rsid w:val="00560B10"/>
    <w:rsid w:val="005615A9"/>
    <w:rsid w:val="00567A29"/>
    <w:rsid w:val="00567C2A"/>
    <w:rsid w:val="00570F51"/>
    <w:rsid w:val="0057197C"/>
    <w:rsid w:val="00583328"/>
    <w:rsid w:val="00583769"/>
    <w:rsid w:val="00584B23"/>
    <w:rsid w:val="0058618B"/>
    <w:rsid w:val="00592C3E"/>
    <w:rsid w:val="00592E34"/>
    <w:rsid w:val="00593B00"/>
    <w:rsid w:val="00595C66"/>
    <w:rsid w:val="005A18C2"/>
    <w:rsid w:val="005A2AF4"/>
    <w:rsid w:val="005A4D3F"/>
    <w:rsid w:val="005B0511"/>
    <w:rsid w:val="005B0C84"/>
    <w:rsid w:val="005B1BF6"/>
    <w:rsid w:val="005B5207"/>
    <w:rsid w:val="005C0265"/>
    <w:rsid w:val="005C0BF4"/>
    <w:rsid w:val="005C2312"/>
    <w:rsid w:val="005C5868"/>
    <w:rsid w:val="005C78D9"/>
    <w:rsid w:val="005D219F"/>
    <w:rsid w:val="005D4CC9"/>
    <w:rsid w:val="005D748C"/>
    <w:rsid w:val="005E12F6"/>
    <w:rsid w:val="005E1682"/>
    <w:rsid w:val="005E20F7"/>
    <w:rsid w:val="005E3048"/>
    <w:rsid w:val="005E641D"/>
    <w:rsid w:val="005E668B"/>
    <w:rsid w:val="005F097D"/>
    <w:rsid w:val="005F0E36"/>
    <w:rsid w:val="005F1FB1"/>
    <w:rsid w:val="005F5749"/>
    <w:rsid w:val="006008F1"/>
    <w:rsid w:val="00601FAB"/>
    <w:rsid w:val="006068C4"/>
    <w:rsid w:val="00611082"/>
    <w:rsid w:val="006138C7"/>
    <w:rsid w:val="006146A3"/>
    <w:rsid w:val="00623BB0"/>
    <w:rsid w:val="00630945"/>
    <w:rsid w:val="00632869"/>
    <w:rsid w:val="00633216"/>
    <w:rsid w:val="00636C7E"/>
    <w:rsid w:val="006401D5"/>
    <w:rsid w:val="00641620"/>
    <w:rsid w:val="00644B6D"/>
    <w:rsid w:val="006479F1"/>
    <w:rsid w:val="00647AAE"/>
    <w:rsid w:val="006540B9"/>
    <w:rsid w:val="0065592B"/>
    <w:rsid w:val="0065782B"/>
    <w:rsid w:val="006606BF"/>
    <w:rsid w:val="00660C64"/>
    <w:rsid w:val="00667E1B"/>
    <w:rsid w:val="00671592"/>
    <w:rsid w:val="00672CCF"/>
    <w:rsid w:val="00672E66"/>
    <w:rsid w:val="006739D3"/>
    <w:rsid w:val="00674A32"/>
    <w:rsid w:val="006760B1"/>
    <w:rsid w:val="00676762"/>
    <w:rsid w:val="006767A0"/>
    <w:rsid w:val="00676D62"/>
    <w:rsid w:val="006775B2"/>
    <w:rsid w:val="00677CD1"/>
    <w:rsid w:val="006833DF"/>
    <w:rsid w:val="0068480B"/>
    <w:rsid w:val="00687805"/>
    <w:rsid w:val="0069135C"/>
    <w:rsid w:val="006932A8"/>
    <w:rsid w:val="00694493"/>
    <w:rsid w:val="006A346F"/>
    <w:rsid w:val="006A58EA"/>
    <w:rsid w:val="006A5DEE"/>
    <w:rsid w:val="006A6873"/>
    <w:rsid w:val="006B60BB"/>
    <w:rsid w:val="006C662B"/>
    <w:rsid w:val="006C7018"/>
    <w:rsid w:val="006C7F8E"/>
    <w:rsid w:val="006D096D"/>
    <w:rsid w:val="006D09CA"/>
    <w:rsid w:val="006D3C0B"/>
    <w:rsid w:val="006D669D"/>
    <w:rsid w:val="006D6BE9"/>
    <w:rsid w:val="006D7744"/>
    <w:rsid w:val="006D7900"/>
    <w:rsid w:val="006D7E3F"/>
    <w:rsid w:val="006E0FF6"/>
    <w:rsid w:val="006E1648"/>
    <w:rsid w:val="006E18C9"/>
    <w:rsid w:val="006E1B93"/>
    <w:rsid w:val="006E4C07"/>
    <w:rsid w:val="006E6E2C"/>
    <w:rsid w:val="006F25FB"/>
    <w:rsid w:val="006F3261"/>
    <w:rsid w:val="006F61EC"/>
    <w:rsid w:val="007007D3"/>
    <w:rsid w:val="00700834"/>
    <w:rsid w:val="00703E88"/>
    <w:rsid w:val="007065B2"/>
    <w:rsid w:val="00717AA2"/>
    <w:rsid w:val="007232A9"/>
    <w:rsid w:val="00724A8E"/>
    <w:rsid w:val="00724F19"/>
    <w:rsid w:val="007261C1"/>
    <w:rsid w:val="00733D55"/>
    <w:rsid w:val="00734651"/>
    <w:rsid w:val="0073491E"/>
    <w:rsid w:val="00741ECA"/>
    <w:rsid w:val="00745E79"/>
    <w:rsid w:val="00746AAF"/>
    <w:rsid w:val="00747594"/>
    <w:rsid w:val="007512FC"/>
    <w:rsid w:val="00751888"/>
    <w:rsid w:val="00751B45"/>
    <w:rsid w:val="0075247A"/>
    <w:rsid w:val="00752740"/>
    <w:rsid w:val="007534BD"/>
    <w:rsid w:val="00756F06"/>
    <w:rsid w:val="0075742B"/>
    <w:rsid w:val="00761CC7"/>
    <w:rsid w:val="007650AC"/>
    <w:rsid w:val="0076623B"/>
    <w:rsid w:val="007665DF"/>
    <w:rsid w:val="00772F49"/>
    <w:rsid w:val="00772F57"/>
    <w:rsid w:val="00774002"/>
    <w:rsid w:val="00775AD5"/>
    <w:rsid w:val="00776BAE"/>
    <w:rsid w:val="00784E32"/>
    <w:rsid w:val="00785871"/>
    <w:rsid w:val="0078600C"/>
    <w:rsid w:val="00786500"/>
    <w:rsid w:val="0078685B"/>
    <w:rsid w:val="00794B14"/>
    <w:rsid w:val="00794F0C"/>
    <w:rsid w:val="007A2220"/>
    <w:rsid w:val="007B0D87"/>
    <w:rsid w:val="007B6CB4"/>
    <w:rsid w:val="007C1AFB"/>
    <w:rsid w:val="007C4E4D"/>
    <w:rsid w:val="007D0FA5"/>
    <w:rsid w:val="007D5105"/>
    <w:rsid w:val="007E073E"/>
    <w:rsid w:val="007E6105"/>
    <w:rsid w:val="007F5D59"/>
    <w:rsid w:val="007F7138"/>
    <w:rsid w:val="007F75BF"/>
    <w:rsid w:val="00800173"/>
    <w:rsid w:val="00800527"/>
    <w:rsid w:val="00801E64"/>
    <w:rsid w:val="0080285D"/>
    <w:rsid w:val="00805561"/>
    <w:rsid w:val="00812B03"/>
    <w:rsid w:val="00813B0A"/>
    <w:rsid w:val="00814473"/>
    <w:rsid w:val="00815B26"/>
    <w:rsid w:val="00816233"/>
    <w:rsid w:val="00821EB0"/>
    <w:rsid w:val="0082328B"/>
    <w:rsid w:val="00823432"/>
    <w:rsid w:val="00825928"/>
    <w:rsid w:val="00825C5A"/>
    <w:rsid w:val="00827646"/>
    <w:rsid w:val="008312D3"/>
    <w:rsid w:val="0083165C"/>
    <w:rsid w:val="00832B51"/>
    <w:rsid w:val="00833395"/>
    <w:rsid w:val="00836FCB"/>
    <w:rsid w:val="00840575"/>
    <w:rsid w:val="00845317"/>
    <w:rsid w:val="00845C34"/>
    <w:rsid w:val="008529A3"/>
    <w:rsid w:val="00855C43"/>
    <w:rsid w:val="00862760"/>
    <w:rsid w:val="00865F34"/>
    <w:rsid w:val="00871C13"/>
    <w:rsid w:val="00872117"/>
    <w:rsid w:val="00874A50"/>
    <w:rsid w:val="008771EA"/>
    <w:rsid w:val="00880F99"/>
    <w:rsid w:val="00880FF1"/>
    <w:rsid w:val="008814DA"/>
    <w:rsid w:val="00881A51"/>
    <w:rsid w:val="00883CBA"/>
    <w:rsid w:val="00886CE8"/>
    <w:rsid w:val="00890A82"/>
    <w:rsid w:val="00892C39"/>
    <w:rsid w:val="0089542E"/>
    <w:rsid w:val="00896A65"/>
    <w:rsid w:val="008A4170"/>
    <w:rsid w:val="008A48F0"/>
    <w:rsid w:val="008A6021"/>
    <w:rsid w:val="008B0458"/>
    <w:rsid w:val="008B0A35"/>
    <w:rsid w:val="008B37EA"/>
    <w:rsid w:val="008B3BC9"/>
    <w:rsid w:val="008B58E0"/>
    <w:rsid w:val="008B779B"/>
    <w:rsid w:val="008B7B73"/>
    <w:rsid w:val="008C1A65"/>
    <w:rsid w:val="008C25B5"/>
    <w:rsid w:val="008C5EDD"/>
    <w:rsid w:val="008C75C8"/>
    <w:rsid w:val="008D17ED"/>
    <w:rsid w:val="008D2D12"/>
    <w:rsid w:val="008E22F2"/>
    <w:rsid w:val="008E2513"/>
    <w:rsid w:val="008E3432"/>
    <w:rsid w:val="008E387B"/>
    <w:rsid w:val="008E39E7"/>
    <w:rsid w:val="008E6010"/>
    <w:rsid w:val="008E6675"/>
    <w:rsid w:val="008E67C0"/>
    <w:rsid w:val="008F2C6A"/>
    <w:rsid w:val="008F504A"/>
    <w:rsid w:val="008F660F"/>
    <w:rsid w:val="008F7AA0"/>
    <w:rsid w:val="009008EE"/>
    <w:rsid w:val="009071A4"/>
    <w:rsid w:val="00911201"/>
    <w:rsid w:val="00915D32"/>
    <w:rsid w:val="009222F1"/>
    <w:rsid w:val="00925DAA"/>
    <w:rsid w:val="00926706"/>
    <w:rsid w:val="00927F8E"/>
    <w:rsid w:val="00930641"/>
    <w:rsid w:val="009329D2"/>
    <w:rsid w:val="009335E1"/>
    <w:rsid w:val="0093366B"/>
    <w:rsid w:val="00935BC4"/>
    <w:rsid w:val="00936383"/>
    <w:rsid w:val="009429D1"/>
    <w:rsid w:val="00947EE1"/>
    <w:rsid w:val="00951C5B"/>
    <w:rsid w:val="00952293"/>
    <w:rsid w:val="00965789"/>
    <w:rsid w:val="009672C5"/>
    <w:rsid w:val="00976758"/>
    <w:rsid w:val="009772EF"/>
    <w:rsid w:val="009826A8"/>
    <w:rsid w:val="00983DF0"/>
    <w:rsid w:val="00993F2B"/>
    <w:rsid w:val="009941D7"/>
    <w:rsid w:val="009964A3"/>
    <w:rsid w:val="00996942"/>
    <w:rsid w:val="00996FF3"/>
    <w:rsid w:val="009A74BE"/>
    <w:rsid w:val="009B0354"/>
    <w:rsid w:val="009B666B"/>
    <w:rsid w:val="009C1766"/>
    <w:rsid w:val="009D12CA"/>
    <w:rsid w:val="009D1DA3"/>
    <w:rsid w:val="009D27AE"/>
    <w:rsid w:val="009D2DCA"/>
    <w:rsid w:val="009D301B"/>
    <w:rsid w:val="009D3C8E"/>
    <w:rsid w:val="009D7751"/>
    <w:rsid w:val="009D7965"/>
    <w:rsid w:val="009E0259"/>
    <w:rsid w:val="009E155D"/>
    <w:rsid w:val="009E333A"/>
    <w:rsid w:val="009E4716"/>
    <w:rsid w:val="009E4F6B"/>
    <w:rsid w:val="009E6B61"/>
    <w:rsid w:val="009E7D1E"/>
    <w:rsid w:val="009F6EAA"/>
    <w:rsid w:val="00A030E4"/>
    <w:rsid w:val="00A03C93"/>
    <w:rsid w:val="00A0719A"/>
    <w:rsid w:val="00A10A3C"/>
    <w:rsid w:val="00A10CB9"/>
    <w:rsid w:val="00A12EB8"/>
    <w:rsid w:val="00A13966"/>
    <w:rsid w:val="00A1538C"/>
    <w:rsid w:val="00A15973"/>
    <w:rsid w:val="00A2009B"/>
    <w:rsid w:val="00A2280F"/>
    <w:rsid w:val="00A2423E"/>
    <w:rsid w:val="00A24451"/>
    <w:rsid w:val="00A269AE"/>
    <w:rsid w:val="00A301F3"/>
    <w:rsid w:val="00A30BBB"/>
    <w:rsid w:val="00A32EFB"/>
    <w:rsid w:val="00A340BC"/>
    <w:rsid w:val="00A35813"/>
    <w:rsid w:val="00A37CCB"/>
    <w:rsid w:val="00A47E5B"/>
    <w:rsid w:val="00A524B2"/>
    <w:rsid w:val="00A527AA"/>
    <w:rsid w:val="00A529C2"/>
    <w:rsid w:val="00A56868"/>
    <w:rsid w:val="00A60A3B"/>
    <w:rsid w:val="00A62979"/>
    <w:rsid w:val="00A63A82"/>
    <w:rsid w:val="00A66657"/>
    <w:rsid w:val="00A66C58"/>
    <w:rsid w:val="00A67FF9"/>
    <w:rsid w:val="00A7086D"/>
    <w:rsid w:val="00A734F3"/>
    <w:rsid w:val="00A76D3B"/>
    <w:rsid w:val="00A813C6"/>
    <w:rsid w:val="00A81746"/>
    <w:rsid w:val="00A83DCB"/>
    <w:rsid w:val="00A847C0"/>
    <w:rsid w:val="00A86051"/>
    <w:rsid w:val="00A871EE"/>
    <w:rsid w:val="00A9093D"/>
    <w:rsid w:val="00A90B6A"/>
    <w:rsid w:val="00A95DC3"/>
    <w:rsid w:val="00A965CD"/>
    <w:rsid w:val="00AA1126"/>
    <w:rsid w:val="00AA2339"/>
    <w:rsid w:val="00AB0117"/>
    <w:rsid w:val="00AB1B64"/>
    <w:rsid w:val="00AB1E65"/>
    <w:rsid w:val="00AB265E"/>
    <w:rsid w:val="00AB5095"/>
    <w:rsid w:val="00AB7211"/>
    <w:rsid w:val="00AB724C"/>
    <w:rsid w:val="00AB7EA1"/>
    <w:rsid w:val="00AC05DB"/>
    <w:rsid w:val="00AC10BC"/>
    <w:rsid w:val="00AC2714"/>
    <w:rsid w:val="00AC3AF7"/>
    <w:rsid w:val="00AC404D"/>
    <w:rsid w:val="00AC429A"/>
    <w:rsid w:val="00AC4FD2"/>
    <w:rsid w:val="00AC5667"/>
    <w:rsid w:val="00AD0E4A"/>
    <w:rsid w:val="00AD1A0E"/>
    <w:rsid w:val="00AD572C"/>
    <w:rsid w:val="00AD572E"/>
    <w:rsid w:val="00AD63F0"/>
    <w:rsid w:val="00AE12CF"/>
    <w:rsid w:val="00AE51F1"/>
    <w:rsid w:val="00AE5AAA"/>
    <w:rsid w:val="00AE5F29"/>
    <w:rsid w:val="00AE6802"/>
    <w:rsid w:val="00AF0CBE"/>
    <w:rsid w:val="00AF0DA7"/>
    <w:rsid w:val="00AF2C47"/>
    <w:rsid w:val="00AF3615"/>
    <w:rsid w:val="00AF55C4"/>
    <w:rsid w:val="00B01545"/>
    <w:rsid w:val="00B01597"/>
    <w:rsid w:val="00B051F3"/>
    <w:rsid w:val="00B11769"/>
    <w:rsid w:val="00B117E3"/>
    <w:rsid w:val="00B138B6"/>
    <w:rsid w:val="00B15AF9"/>
    <w:rsid w:val="00B16437"/>
    <w:rsid w:val="00B21361"/>
    <w:rsid w:val="00B22452"/>
    <w:rsid w:val="00B23931"/>
    <w:rsid w:val="00B24202"/>
    <w:rsid w:val="00B26764"/>
    <w:rsid w:val="00B300E1"/>
    <w:rsid w:val="00B30934"/>
    <w:rsid w:val="00B30AC7"/>
    <w:rsid w:val="00B32496"/>
    <w:rsid w:val="00B32D2A"/>
    <w:rsid w:val="00B33E86"/>
    <w:rsid w:val="00B3624F"/>
    <w:rsid w:val="00B45FE2"/>
    <w:rsid w:val="00B461F7"/>
    <w:rsid w:val="00B468B3"/>
    <w:rsid w:val="00B47D69"/>
    <w:rsid w:val="00B5063C"/>
    <w:rsid w:val="00B50F5F"/>
    <w:rsid w:val="00B5497F"/>
    <w:rsid w:val="00B57D18"/>
    <w:rsid w:val="00B61433"/>
    <w:rsid w:val="00B66400"/>
    <w:rsid w:val="00B67CBC"/>
    <w:rsid w:val="00B76FC5"/>
    <w:rsid w:val="00B82F10"/>
    <w:rsid w:val="00B83421"/>
    <w:rsid w:val="00B83F16"/>
    <w:rsid w:val="00B85B05"/>
    <w:rsid w:val="00B8649F"/>
    <w:rsid w:val="00B90DDD"/>
    <w:rsid w:val="00B920C1"/>
    <w:rsid w:val="00B94176"/>
    <w:rsid w:val="00B972D8"/>
    <w:rsid w:val="00BA22FB"/>
    <w:rsid w:val="00BA29C3"/>
    <w:rsid w:val="00BA2FFF"/>
    <w:rsid w:val="00BA3181"/>
    <w:rsid w:val="00BA4C64"/>
    <w:rsid w:val="00BA69E2"/>
    <w:rsid w:val="00BB21E3"/>
    <w:rsid w:val="00BB5F6D"/>
    <w:rsid w:val="00BB68AF"/>
    <w:rsid w:val="00BC2C3C"/>
    <w:rsid w:val="00BC34A6"/>
    <w:rsid w:val="00BC64DB"/>
    <w:rsid w:val="00BC6B8B"/>
    <w:rsid w:val="00BD159F"/>
    <w:rsid w:val="00BD1B78"/>
    <w:rsid w:val="00BD3E59"/>
    <w:rsid w:val="00BD49B9"/>
    <w:rsid w:val="00BD4FB3"/>
    <w:rsid w:val="00BD5109"/>
    <w:rsid w:val="00BD511D"/>
    <w:rsid w:val="00BD5267"/>
    <w:rsid w:val="00BD66AB"/>
    <w:rsid w:val="00BE2AE7"/>
    <w:rsid w:val="00BE3C0C"/>
    <w:rsid w:val="00BE425D"/>
    <w:rsid w:val="00BE6A39"/>
    <w:rsid w:val="00BF229A"/>
    <w:rsid w:val="00BF22A9"/>
    <w:rsid w:val="00BF5E7A"/>
    <w:rsid w:val="00BF6F9B"/>
    <w:rsid w:val="00BF78D2"/>
    <w:rsid w:val="00BF7F41"/>
    <w:rsid w:val="00C0095F"/>
    <w:rsid w:val="00C023C8"/>
    <w:rsid w:val="00C04EAC"/>
    <w:rsid w:val="00C07706"/>
    <w:rsid w:val="00C13112"/>
    <w:rsid w:val="00C143EF"/>
    <w:rsid w:val="00C17FBC"/>
    <w:rsid w:val="00C2120E"/>
    <w:rsid w:val="00C2296F"/>
    <w:rsid w:val="00C2461F"/>
    <w:rsid w:val="00C26816"/>
    <w:rsid w:val="00C27D3B"/>
    <w:rsid w:val="00C27DC7"/>
    <w:rsid w:val="00C31ACA"/>
    <w:rsid w:val="00C32687"/>
    <w:rsid w:val="00C326C5"/>
    <w:rsid w:val="00C35091"/>
    <w:rsid w:val="00C353CE"/>
    <w:rsid w:val="00C4753A"/>
    <w:rsid w:val="00C50A7F"/>
    <w:rsid w:val="00C51788"/>
    <w:rsid w:val="00C540D5"/>
    <w:rsid w:val="00C5568F"/>
    <w:rsid w:val="00C55D56"/>
    <w:rsid w:val="00C61CFD"/>
    <w:rsid w:val="00C6534D"/>
    <w:rsid w:val="00C720BE"/>
    <w:rsid w:val="00C75FDE"/>
    <w:rsid w:val="00C76278"/>
    <w:rsid w:val="00C77DF2"/>
    <w:rsid w:val="00C81D4E"/>
    <w:rsid w:val="00C84660"/>
    <w:rsid w:val="00C901B5"/>
    <w:rsid w:val="00C90D73"/>
    <w:rsid w:val="00C9162F"/>
    <w:rsid w:val="00C91DB8"/>
    <w:rsid w:val="00C9206D"/>
    <w:rsid w:val="00C92F6F"/>
    <w:rsid w:val="00C95C1A"/>
    <w:rsid w:val="00C95C7C"/>
    <w:rsid w:val="00C97646"/>
    <w:rsid w:val="00C97CB3"/>
    <w:rsid w:val="00CA31F5"/>
    <w:rsid w:val="00CA3E1D"/>
    <w:rsid w:val="00CA55D7"/>
    <w:rsid w:val="00CA6CF8"/>
    <w:rsid w:val="00CB013F"/>
    <w:rsid w:val="00CB26E9"/>
    <w:rsid w:val="00CB6A58"/>
    <w:rsid w:val="00CB6A84"/>
    <w:rsid w:val="00CC20EC"/>
    <w:rsid w:val="00CC2D1E"/>
    <w:rsid w:val="00CC3EE4"/>
    <w:rsid w:val="00CC5C45"/>
    <w:rsid w:val="00CC78AE"/>
    <w:rsid w:val="00CD1FCB"/>
    <w:rsid w:val="00CD4876"/>
    <w:rsid w:val="00CE4547"/>
    <w:rsid w:val="00CE562C"/>
    <w:rsid w:val="00CE68CD"/>
    <w:rsid w:val="00CE73F0"/>
    <w:rsid w:val="00CF48BC"/>
    <w:rsid w:val="00CF4E0C"/>
    <w:rsid w:val="00CF503A"/>
    <w:rsid w:val="00CF5D84"/>
    <w:rsid w:val="00CF79A9"/>
    <w:rsid w:val="00D00577"/>
    <w:rsid w:val="00D00A47"/>
    <w:rsid w:val="00D00AD6"/>
    <w:rsid w:val="00D00AF6"/>
    <w:rsid w:val="00D0576D"/>
    <w:rsid w:val="00D0752A"/>
    <w:rsid w:val="00D142E8"/>
    <w:rsid w:val="00D1763A"/>
    <w:rsid w:val="00D31880"/>
    <w:rsid w:val="00D321F4"/>
    <w:rsid w:val="00D403EA"/>
    <w:rsid w:val="00D42C78"/>
    <w:rsid w:val="00D457B3"/>
    <w:rsid w:val="00D47F12"/>
    <w:rsid w:val="00D519F5"/>
    <w:rsid w:val="00D52737"/>
    <w:rsid w:val="00D535DF"/>
    <w:rsid w:val="00D53CF1"/>
    <w:rsid w:val="00D564F7"/>
    <w:rsid w:val="00D6055C"/>
    <w:rsid w:val="00D60D9A"/>
    <w:rsid w:val="00D63244"/>
    <w:rsid w:val="00D64AA0"/>
    <w:rsid w:val="00D65B7A"/>
    <w:rsid w:val="00D74050"/>
    <w:rsid w:val="00D75BA7"/>
    <w:rsid w:val="00D8614A"/>
    <w:rsid w:val="00D86FD3"/>
    <w:rsid w:val="00D915B6"/>
    <w:rsid w:val="00D95F92"/>
    <w:rsid w:val="00D961FD"/>
    <w:rsid w:val="00D97474"/>
    <w:rsid w:val="00DA29DD"/>
    <w:rsid w:val="00DA2C81"/>
    <w:rsid w:val="00DA3531"/>
    <w:rsid w:val="00DA392B"/>
    <w:rsid w:val="00DA592F"/>
    <w:rsid w:val="00DA6956"/>
    <w:rsid w:val="00DB12EB"/>
    <w:rsid w:val="00DB215F"/>
    <w:rsid w:val="00DB2DDD"/>
    <w:rsid w:val="00DC2BFE"/>
    <w:rsid w:val="00DC35EF"/>
    <w:rsid w:val="00DC3D05"/>
    <w:rsid w:val="00DC4F4A"/>
    <w:rsid w:val="00DC5C50"/>
    <w:rsid w:val="00DC6BCC"/>
    <w:rsid w:val="00DC704A"/>
    <w:rsid w:val="00DD202A"/>
    <w:rsid w:val="00DD33D8"/>
    <w:rsid w:val="00DD601D"/>
    <w:rsid w:val="00DD6A77"/>
    <w:rsid w:val="00DD7B0A"/>
    <w:rsid w:val="00DE2E6B"/>
    <w:rsid w:val="00DE6A4C"/>
    <w:rsid w:val="00DE6F12"/>
    <w:rsid w:val="00DE7A82"/>
    <w:rsid w:val="00DF20B0"/>
    <w:rsid w:val="00DF5DF9"/>
    <w:rsid w:val="00E00012"/>
    <w:rsid w:val="00E00D1B"/>
    <w:rsid w:val="00E01526"/>
    <w:rsid w:val="00E01861"/>
    <w:rsid w:val="00E03669"/>
    <w:rsid w:val="00E03BDC"/>
    <w:rsid w:val="00E05458"/>
    <w:rsid w:val="00E12FB3"/>
    <w:rsid w:val="00E152C1"/>
    <w:rsid w:val="00E1673E"/>
    <w:rsid w:val="00E2002D"/>
    <w:rsid w:val="00E209DA"/>
    <w:rsid w:val="00E217E7"/>
    <w:rsid w:val="00E21B7A"/>
    <w:rsid w:val="00E228EC"/>
    <w:rsid w:val="00E24CDA"/>
    <w:rsid w:val="00E25B5E"/>
    <w:rsid w:val="00E267EA"/>
    <w:rsid w:val="00E30135"/>
    <w:rsid w:val="00E319F6"/>
    <w:rsid w:val="00E32579"/>
    <w:rsid w:val="00E3281F"/>
    <w:rsid w:val="00E34B2E"/>
    <w:rsid w:val="00E35088"/>
    <w:rsid w:val="00E36703"/>
    <w:rsid w:val="00E415EC"/>
    <w:rsid w:val="00E43089"/>
    <w:rsid w:val="00E43D6A"/>
    <w:rsid w:val="00E45E6E"/>
    <w:rsid w:val="00E46C13"/>
    <w:rsid w:val="00E479EF"/>
    <w:rsid w:val="00E54D46"/>
    <w:rsid w:val="00E560C1"/>
    <w:rsid w:val="00E67A42"/>
    <w:rsid w:val="00E67C04"/>
    <w:rsid w:val="00E70618"/>
    <w:rsid w:val="00E7068E"/>
    <w:rsid w:val="00E70910"/>
    <w:rsid w:val="00E726E7"/>
    <w:rsid w:val="00E735A6"/>
    <w:rsid w:val="00E81287"/>
    <w:rsid w:val="00E81BF3"/>
    <w:rsid w:val="00E85346"/>
    <w:rsid w:val="00E87C7F"/>
    <w:rsid w:val="00E94FC7"/>
    <w:rsid w:val="00EA1207"/>
    <w:rsid w:val="00EA2BC4"/>
    <w:rsid w:val="00EA4259"/>
    <w:rsid w:val="00EA4799"/>
    <w:rsid w:val="00EA4D00"/>
    <w:rsid w:val="00EB22FF"/>
    <w:rsid w:val="00EB30A7"/>
    <w:rsid w:val="00EC0196"/>
    <w:rsid w:val="00ED0074"/>
    <w:rsid w:val="00ED152D"/>
    <w:rsid w:val="00ED1FE3"/>
    <w:rsid w:val="00ED34E7"/>
    <w:rsid w:val="00ED4187"/>
    <w:rsid w:val="00ED46D5"/>
    <w:rsid w:val="00EE0A47"/>
    <w:rsid w:val="00EE0DAD"/>
    <w:rsid w:val="00EE20D5"/>
    <w:rsid w:val="00EE5D5B"/>
    <w:rsid w:val="00EE7CCF"/>
    <w:rsid w:val="00EF1A67"/>
    <w:rsid w:val="00EF23E4"/>
    <w:rsid w:val="00EF3914"/>
    <w:rsid w:val="00EF44EE"/>
    <w:rsid w:val="00EF4F1E"/>
    <w:rsid w:val="00EF54E5"/>
    <w:rsid w:val="00F015CE"/>
    <w:rsid w:val="00F10C3D"/>
    <w:rsid w:val="00F15A12"/>
    <w:rsid w:val="00F16D72"/>
    <w:rsid w:val="00F2150D"/>
    <w:rsid w:val="00F27981"/>
    <w:rsid w:val="00F300CB"/>
    <w:rsid w:val="00F35555"/>
    <w:rsid w:val="00F35F49"/>
    <w:rsid w:val="00F42CE7"/>
    <w:rsid w:val="00F45125"/>
    <w:rsid w:val="00F456CA"/>
    <w:rsid w:val="00F47548"/>
    <w:rsid w:val="00F55520"/>
    <w:rsid w:val="00F622F6"/>
    <w:rsid w:val="00F6418E"/>
    <w:rsid w:val="00F67564"/>
    <w:rsid w:val="00F67B5C"/>
    <w:rsid w:val="00F70D0B"/>
    <w:rsid w:val="00F72A7B"/>
    <w:rsid w:val="00F7407D"/>
    <w:rsid w:val="00F74A66"/>
    <w:rsid w:val="00F75073"/>
    <w:rsid w:val="00F81D2B"/>
    <w:rsid w:val="00F84CF9"/>
    <w:rsid w:val="00F90D52"/>
    <w:rsid w:val="00F93137"/>
    <w:rsid w:val="00FA0341"/>
    <w:rsid w:val="00FA09D4"/>
    <w:rsid w:val="00FA309D"/>
    <w:rsid w:val="00FA47F1"/>
    <w:rsid w:val="00FA4E69"/>
    <w:rsid w:val="00FB5670"/>
    <w:rsid w:val="00FB60FA"/>
    <w:rsid w:val="00FC2A44"/>
    <w:rsid w:val="00FC3B93"/>
    <w:rsid w:val="00FC4530"/>
    <w:rsid w:val="00FC6979"/>
    <w:rsid w:val="00FD0191"/>
    <w:rsid w:val="00FD2AD1"/>
    <w:rsid w:val="00FD312D"/>
    <w:rsid w:val="00FD33DB"/>
    <w:rsid w:val="00FD3AB4"/>
    <w:rsid w:val="00FD6F61"/>
    <w:rsid w:val="00FE0524"/>
    <w:rsid w:val="00FE6C13"/>
    <w:rsid w:val="00FF0DA3"/>
    <w:rsid w:val="00FF2A75"/>
    <w:rsid w:val="00FF3C45"/>
    <w:rsid w:val="00FF458D"/>
    <w:rsid w:val="00FF4AAE"/>
    <w:rsid w:val="00FF6218"/>
    <w:rsid w:val="05687F27"/>
    <w:rsid w:val="09153E42"/>
    <w:rsid w:val="097A5375"/>
    <w:rsid w:val="0BBF0268"/>
    <w:rsid w:val="1074F392"/>
    <w:rsid w:val="1E187A62"/>
    <w:rsid w:val="2C358F57"/>
    <w:rsid w:val="3041DD8D"/>
    <w:rsid w:val="36A79C03"/>
    <w:rsid w:val="3C334B2C"/>
    <w:rsid w:val="44CA765E"/>
    <w:rsid w:val="455B48D4"/>
    <w:rsid w:val="58E720EC"/>
    <w:rsid w:val="640DDE86"/>
    <w:rsid w:val="6A909281"/>
    <w:rsid w:val="6C1E4283"/>
    <w:rsid w:val="74ACC30F"/>
    <w:rsid w:val="7B7B25E6"/>
    <w:rsid w:val="7D4E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0C99"/>
  <w15:chartTrackingRefBased/>
  <w15:docId w15:val="{4B859E05-2AD7-3148-8C8B-DB18C638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AF0D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D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F0D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F0D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D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D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F0D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F0D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D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DA7"/>
    <w:rPr>
      <w:rFonts w:eastAsiaTheme="majorEastAsia" w:cstheme="majorBidi"/>
      <w:color w:val="272727" w:themeColor="text1" w:themeTint="D8"/>
    </w:rPr>
  </w:style>
  <w:style w:type="paragraph" w:styleId="Title">
    <w:name w:val="Title"/>
    <w:basedOn w:val="Normal"/>
    <w:next w:val="Normal"/>
    <w:link w:val="TitleChar"/>
    <w:uiPriority w:val="10"/>
    <w:qFormat/>
    <w:rsid w:val="00AF0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DA7"/>
    <w:pPr>
      <w:spacing w:before="160"/>
      <w:jc w:val="center"/>
    </w:pPr>
    <w:rPr>
      <w:i/>
      <w:iCs/>
      <w:color w:val="404040" w:themeColor="text1" w:themeTint="BF"/>
    </w:rPr>
  </w:style>
  <w:style w:type="character" w:customStyle="1" w:styleId="QuoteChar">
    <w:name w:val="Quote Char"/>
    <w:basedOn w:val="DefaultParagraphFont"/>
    <w:link w:val="Quote"/>
    <w:uiPriority w:val="29"/>
    <w:rsid w:val="00AF0DA7"/>
    <w:rPr>
      <w:i/>
      <w:iCs/>
      <w:color w:val="404040" w:themeColor="text1" w:themeTint="BF"/>
    </w:rPr>
  </w:style>
  <w:style w:type="paragraph" w:styleId="ListParagraph">
    <w:name w:val="List Paragraph"/>
    <w:basedOn w:val="Normal"/>
    <w:uiPriority w:val="34"/>
    <w:qFormat/>
    <w:rsid w:val="00AF0DA7"/>
    <w:pPr>
      <w:ind w:left="720"/>
      <w:contextualSpacing/>
    </w:pPr>
  </w:style>
  <w:style w:type="character" w:styleId="IntenseEmphasis">
    <w:name w:val="Intense Emphasis"/>
    <w:basedOn w:val="DefaultParagraphFont"/>
    <w:uiPriority w:val="21"/>
    <w:qFormat/>
    <w:rsid w:val="00AF0DA7"/>
    <w:rPr>
      <w:i/>
      <w:iCs/>
      <w:color w:val="2F5496" w:themeColor="accent1" w:themeShade="BF"/>
    </w:rPr>
  </w:style>
  <w:style w:type="paragraph" w:styleId="IntenseQuote">
    <w:name w:val="Intense Quote"/>
    <w:basedOn w:val="Normal"/>
    <w:next w:val="Normal"/>
    <w:link w:val="IntenseQuoteChar"/>
    <w:uiPriority w:val="30"/>
    <w:qFormat/>
    <w:rsid w:val="00AF0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DA7"/>
    <w:rPr>
      <w:i/>
      <w:iCs/>
      <w:color w:val="2F5496" w:themeColor="accent1" w:themeShade="BF"/>
    </w:rPr>
  </w:style>
  <w:style w:type="character" w:styleId="IntenseReference">
    <w:name w:val="Intense Reference"/>
    <w:basedOn w:val="DefaultParagraphFont"/>
    <w:uiPriority w:val="32"/>
    <w:qFormat/>
    <w:rsid w:val="00AF0DA7"/>
    <w:rPr>
      <w:b/>
      <w:bCs/>
      <w:smallCaps/>
      <w:color w:val="2F5496" w:themeColor="accent1" w:themeShade="BF"/>
      <w:spacing w:val="5"/>
    </w:rPr>
  </w:style>
  <w:style w:type="paragraph" w:customStyle="1" w:styleId="p1">
    <w:name w:val="p1"/>
    <w:basedOn w:val="Normal"/>
    <w:rsid w:val="00AF0DA7"/>
    <w:pPr>
      <w:spacing w:after="0" w:line="240" w:lineRule="auto"/>
    </w:pPr>
    <w:rPr>
      <w:rFonts w:ascii="Garamond" w:eastAsia="Times New Roman" w:hAnsi="Garamond" w:cs="Times New Roman"/>
      <w:color w:val="000000"/>
      <w:kern w:val="0"/>
      <w:sz w:val="18"/>
      <w:szCs w:val="18"/>
      <w:lang w:eastAsia="en-GB"/>
      <w14:ligatures w14:val="none"/>
    </w:rPr>
  </w:style>
  <w:style w:type="paragraph" w:styleId="NormalWeb">
    <w:name w:val="Normal (Web)"/>
    <w:basedOn w:val="Normal"/>
    <w:uiPriority w:val="99"/>
    <w:unhideWhenUsed/>
    <w:rsid w:val="007D51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D5105"/>
    <w:rPr>
      <w:b/>
      <w:bCs/>
    </w:rPr>
  </w:style>
  <w:style w:type="character" w:customStyle="1" w:styleId="apple-converted-space">
    <w:name w:val="apple-converted-space"/>
    <w:basedOn w:val="DefaultParagraphFont"/>
    <w:rsid w:val="007D5105"/>
  </w:style>
  <w:style w:type="paragraph" w:styleId="CommentText">
    <w:name w:val="annotation text"/>
    <w:basedOn w:val="Normal"/>
    <w:link w:val="CommentTextChar"/>
    <w:rsid w:val="006833DF"/>
    <w:pPr>
      <w:spacing w:after="200" w:line="240" w:lineRule="auto"/>
    </w:pPr>
    <w:rPr>
      <w:rFonts w:ascii="Lucida Grande" w:eastAsia="ヒラギノ角ゴ Pro W3" w:hAnsi="Lucida Grande" w:cs="Times New Roman"/>
      <w:color w:val="000000"/>
      <w:kern w:val="0"/>
      <w:sz w:val="20"/>
      <w:szCs w:val="20"/>
      <w:lang w:val="en-US"/>
      <w14:ligatures w14:val="none"/>
    </w:rPr>
  </w:style>
  <w:style w:type="character" w:customStyle="1" w:styleId="CommentTextChar">
    <w:name w:val="Comment Text Char"/>
    <w:basedOn w:val="DefaultParagraphFont"/>
    <w:link w:val="CommentText"/>
    <w:rsid w:val="006833DF"/>
    <w:rPr>
      <w:rFonts w:ascii="Lucida Grande" w:eastAsia="ヒラギノ角ゴ Pro W3" w:hAnsi="Lucida Grande" w:cs="Times New Roman"/>
      <w:color w:val="000000"/>
      <w:kern w:val="0"/>
      <w:sz w:val="20"/>
      <w:szCs w:val="20"/>
      <w:lang w:val="en-US"/>
      <w14:ligatures w14:val="none"/>
    </w:rPr>
  </w:style>
  <w:style w:type="character" w:styleId="CommentReference">
    <w:name w:val="annotation reference"/>
    <w:basedOn w:val="DefaultParagraphFont"/>
    <w:uiPriority w:val="99"/>
    <w:semiHidden/>
    <w:unhideWhenUsed/>
    <w:rsid w:val="004C6011"/>
    <w:rPr>
      <w:sz w:val="16"/>
      <w:szCs w:val="16"/>
    </w:rPr>
  </w:style>
  <w:style w:type="paragraph" w:styleId="CommentSubject">
    <w:name w:val="annotation subject"/>
    <w:basedOn w:val="CommentText"/>
    <w:next w:val="CommentText"/>
    <w:link w:val="CommentSubjectChar"/>
    <w:uiPriority w:val="99"/>
    <w:semiHidden/>
    <w:unhideWhenUsed/>
    <w:rsid w:val="004C6011"/>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4C6011"/>
    <w:rPr>
      <w:rFonts w:ascii="Lucida Grande" w:eastAsia="ヒラギノ角ゴ Pro W3" w:hAnsi="Lucida Grande" w:cs="Times New Roman"/>
      <w:b/>
      <w:bCs/>
      <w:color w:val="000000"/>
      <w:kern w:val="0"/>
      <w:sz w:val="20"/>
      <w:szCs w:val="20"/>
      <w:lang w:val="en-US"/>
      <w14:ligatures w14:val="none"/>
    </w:rPr>
  </w:style>
  <w:style w:type="paragraph" w:customStyle="1" w:styleId="Paragrafi">
    <w:name w:val="Paragrafi"/>
    <w:link w:val="ParagrafiChar"/>
    <w:rsid w:val="004C6011"/>
    <w:pPr>
      <w:widowControl w:val="0"/>
      <w:spacing w:after="0" w:line="240" w:lineRule="auto"/>
      <w:ind w:firstLine="720"/>
      <w:jc w:val="both"/>
    </w:pPr>
    <w:rPr>
      <w:rFonts w:ascii="CG Times" w:eastAsia="Times New Roman" w:hAnsi="CG Times" w:cs="Times New Roman"/>
      <w:kern w:val="0"/>
      <w:sz w:val="22"/>
      <w:szCs w:val="20"/>
      <w14:ligatures w14:val="none"/>
    </w:rPr>
  </w:style>
  <w:style w:type="character" w:customStyle="1" w:styleId="ParagrafiChar">
    <w:name w:val="Paragrafi Char"/>
    <w:basedOn w:val="DefaultParagraphFont"/>
    <w:link w:val="Paragrafi"/>
    <w:locked/>
    <w:rsid w:val="004C6011"/>
    <w:rPr>
      <w:rFonts w:ascii="CG Times" w:eastAsia="Times New Roman" w:hAnsi="CG Times" w:cs="Times New Roman"/>
      <w:kern w:val="0"/>
      <w:sz w:val="22"/>
      <w:szCs w:val="20"/>
      <w:lang w:val="en-US"/>
      <w14:ligatures w14:val="none"/>
    </w:rPr>
  </w:style>
  <w:style w:type="paragraph" w:styleId="Revision">
    <w:name w:val="Revision"/>
    <w:hidden/>
    <w:uiPriority w:val="99"/>
    <w:semiHidden/>
    <w:rsid w:val="007D0FA5"/>
    <w:pPr>
      <w:spacing w:after="0" w:line="240" w:lineRule="auto"/>
    </w:pPr>
  </w:style>
  <w:style w:type="paragraph" w:styleId="Footer">
    <w:name w:val="footer"/>
    <w:basedOn w:val="Normal"/>
    <w:link w:val="FooterChar"/>
    <w:uiPriority w:val="99"/>
    <w:unhideWhenUsed/>
    <w:rsid w:val="00FF0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DA3"/>
  </w:style>
  <w:style w:type="character" w:styleId="PageNumber">
    <w:name w:val="page number"/>
    <w:basedOn w:val="DefaultParagraphFont"/>
    <w:uiPriority w:val="99"/>
    <w:semiHidden/>
    <w:unhideWhenUsed/>
    <w:rsid w:val="00FF0DA3"/>
  </w:style>
  <w:style w:type="character" w:styleId="Hyperlink">
    <w:name w:val="Hyperlink"/>
    <w:basedOn w:val="DefaultParagraphFont"/>
    <w:uiPriority w:val="99"/>
    <w:unhideWhenUsed/>
    <w:rsid w:val="006540B9"/>
    <w:rPr>
      <w:color w:val="0563C1" w:themeColor="hyperlink"/>
      <w:u w:val="single"/>
    </w:rPr>
  </w:style>
  <w:style w:type="character" w:styleId="UnresolvedMention">
    <w:name w:val="Unresolved Mention"/>
    <w:basedOn w:val="DefaultParagraphFont"/>
    <w:uiPriority w:val="99"/>
    <w:semiHidden/>
    <w:unhideWhenUsed/>
    <w:rsid w:val="006540B9"/>
    <w:rPr>
      <w:color w:val="605E5C"/>
      <w:shd w:val="clear" w:color="auto" w:fill="E1DFDD"/>
    </w:rPr>
  </w:style>
  <w:style w:type="character" w:styleId="FollowedHyperlink">
    <w:name w:val="FollowedHyperlink"/>
    <w:basedOn w:val="DefaultParagraphFont"/>
    <w:uiPriority w:val="99"/>
    <w:semiHidden/>
    <w:unhideWhenUsed/>
    <w:rsid w:val="00E01861"/>
    <w:rPr>
      <w:color w:val="954F72" w:themeColor="followedHyperlink"/>
      <w:u w:val="single"/>
    </w:rPr>
  </w:style>
  <w:style w:type="paragraph" w:styleId="FootnoteText">
    <w:name w:val="footnote text"/>
    <w:basedOn w:val="Normal"/>
    <w:link w:val="FootnoteTextChar"/>
    <w:uiPriority w:val="99"/>
    <w:semiHidden/>
    <w:unhideWhenUsed/>
    <w:rsid w:val="00C762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FootnoteTextChar">
    <w:name w:val="Footnote Text Char"/>
    <w:basedOn w:val="DefaultParagraphFont"/>
    <w:link w:val="FootnoteText"/>
    <w:uiPriority w:val="99"/>
    <w:semiHidden/>
    <w:rsid w:val="00C76278"/>
    <w:rPr>
      <w:rFonts w:ascii="Times New Roman" w:eastAsia="Arial Unicode MS" w:hAnsi="Times New Roman" w:cs="Times New Roman"/>
      <w:kern w:val="0"/>
      <w:sz w:val="20"/>
      <w:szCs w:val="20"/>
      <w:bdr w:val="nil"/>
      <w:lang w:val="sq-AL"/>
      <w14:ligatures w14:val="none"/>
    </w:rPr>
  </w:style>
  <w:style w:type="character" w:styleId="FootnoteReference">
    <w:name w:val="footnote reference"/>
    <w:basedOn w:val="DefaultParagraphFont"/>
    <w:uiPriority w:val="99"/>
    <w:semiHidden/>
    <w:unhideWhenUsed/>
    <w:rsid w:val="00C76278"/>
    <w:rPr>
      <w:vertAlign w:val="superscript"/>
    </w:rPr>
  </w:style>
  <w:style w:type="paragraph" w:styleId="Header">
    <w:name w:val="header"/>
    <w:basedOn w:val="Normal"/>
    <w:link w:val="HeaderChar"/>
    <w:uiPriority w:val="99"/>
    <w:unhideWhenUsed/>
    <w:rsid w:val="005C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265"/>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753">
      <w:bodyDiv w:val="1"/>
      <w:marLeft w:val="0"/>
      <w:marRight w:val="0"/>
      <w:marTop w:val="0"/>
      <w:marBottom w:val="0"/>
      <w:divBdr>
        <w:top w:val="none" w:sz="0" w:space="0" w:color="auto"/>
        <w:left w:val="none" w:sz="0" w:space="0" w:color="auto"/>
        <w:bottom w:val="none" w:sz="0" w:space="0" w:color="auto"/>
        <w:right w:val="none" w:sz="0" w:space="0" w:color="auto"/>
      </w:divBdr>
    </w:div>
    <w:div w:id="251818736">
      <w:bodyDiv w:val="1"/>
      <w:marLeft w:val="0"/>
      <w:marRight w:val="0"/>
      <w:marTop w:val="0"/>
      <w:marBottom w:val="0"/>
      <w:divBdr>
        <w:top w:val="none" w:sz="0" w:space="0" w:color="auto"/>
        <w:left w:val="none" w:sz="0" w:space="0" w:color="auto"/>
        <w:bottom w:val="none" w:sz="0" w:space="0" w:color="auto"/>
        <w:right w:val="none" w:sz="0" w:space="0" w:color="auto"/>
      </w:divBdr>
      <w:divsChild>
        <w:div w:id="545600662">
          <w:marLeft w:val="0"/>
          <w:marRight w:val="0"/>
          <w:marTop w:val="0"/>
          <w:marBottom w:val="0"/>
          <w:divBdr>
            <w:top w:val="none" w:sz="0" w:space="0" w:color="auto"/>
            <w:left w:val="none" w:sz="0" w:space="0" w:color="auto"/>
            <w:bottom w:val="none" w:sz="0" w:space="0" w:color="auto"/>
            <w:right w:val="none" w:sz="0" w:space="0" w:color="auto"/>
          </w:divBdr>
        </w:div>
        <w:div w:id="2080402640">
          <w:marLeft w:val="0"/>
          <w:marRight w:val="0"/>
          <w:marTop w:val="0"/>
          <w:marBottom w:val="0"/>
          <w:divBdr>
            <w:top w:val="none" w:sz="0" w:space="0" w:color="auto"/>
            <w:left w:val="none" w:sz="0" w:space="0" w:color="auto"/>
            <w:bottom w:val="none" w:sz="0" w:space="0" w:color="auto"/>
            <w:right w:val="none" w:sz="0" w:space="0" w:color="auto"/>
          </w:divBdr>
        </w:div>
      </w:divsChild>
    </w:div>
    <w:div w:id="254361939">
      <w:bodyDiv w:val="1"/>
      <w:marLeft w:val="0"/>
      <w:marRight w:val="0"/>
      <w:marTop w:val="0"/>
      <w:marBottom w:val="0"/>
      <w:divBdr>
        <w:top w:val="none" w:sz="0" w:space="0" w:color="auto"/>
        <w:left w:val="none" w:sz="0" w:space="0" w:color="auto"/>
        <w:bottom w:val="none" w:sz="0" w:space="0" w:color="auto"/>
        <w:right w:val="none" w:sz="0" w:space="0" w:color="auto"/>
      </w:divBdr>
    </w:div>
    <w:div w:id="294484925">
      <w:bodyDiv w:val="1"/>
      <w:marLeft w:val="0"/>
      <w:marRight w:val="0"/>
      <w:marTop w:val="0"/>
      <w:marBottom w:val="0"/>
      <w:divBdr>
        <w:top w:val="none" w:sz="0" w:space="0" w:color="auto"/>
        <w:left w:val="none" w:sz="0" w:space="0" w:color="auto"/>
        <w:bottom w:val="none" w:sz="0" w:space="0" w:color="auto"/>
        <w:right w:val="none" w:sz="0" w:space="0" w:color="auto"/>
      </w:divBdr>
    </w:div>
    <w:div w:id="339049256">
      <w:bodyDiv w:val="1"/>
      <w:marLeft w:val="0"/>
      <w:marRight w:val="0"/>
      <w:marTop w:val="0"/>
      <w:marBottom w:val="0"/>
      <w:divBdr>
        <w:top w:val="none" w:sz="0" w:space="0" w:color="auto"/>
        <w:left w:val="none" w:sz="0" w:space="0" w:color="auto"/>
        <w:bottom w:val="none" w:sz="0" w:space="0" w:color="auto"/>
        <w:right w:val="none" w:sz="0" w:space="0" w:color="auto"/>
      </w:divBdr>
    </w:div>
    <w:div w:id="352340894">
      <w:bodyDiv w:val="1"/>
      <w:marLeft w:val="0"/>
      <w:marRight w:val="0"/>
      <w:marTop w:val="0"/>
      <w:marBottom w:val="0"/>
      <w:divBdr>
        <w:top w:val="none" w:sz="0" w:space="0" w:color="auto"/>
        <w:left w:val="none" w:sz="0" w:space="0" w:color="auto"/>
        <w:bottom w:val="none" w:sz="0" w:space="0" w:color="auto"/>
        <w:right w:val="none" w:sz="0" w:space="0" w:color="auto"/>
      </w:divBdr>
    </w:div>
    <w:div w:id="399406233">
      <w:bodyDiv w:val="1"/>
      <w:marLeft w:val="0"/>
      <w:marRight w:val="0"/>
      <w:marTop w:val="0"/>
      <w:marBottom w:val="0"/>
      <w:divBdr>
        <w:top w:val="none" w:sz="0" w:space="0" w:color="auto"/>
        <w:left w:val="none" w:sz="0" w:space="0" w:color="auto"/>
        <w:bottom w:val="none" w:sz="0" w:space="0" w:color="auto"/>
        <w:right w:val="none" w:sz="0" w:space="0" w:color="auto"/>
      </w:divBdr>
    </w:div>
    <w:div w:id="402726771">
      <w:bodyDiv w:val="1"/>
      <w:marLeft w:val="0"/>
      <w:marRight w:val="0"/>
      <w:marTop w:val="0"/>
      <w:marBottom w:val="0"/>
      <w:divBdr>
        <w:top w:val="none" w:sz="0" w:space="0" w:color="auto"/>
        <w:left w:val="none" w:sz="0" w:space="0" w:color="auto"/>
        <w:bottom w:val="none" w:sz="0" w:space="0" w:color="auto"/>
        <w:right w:val="none" w:sz="0" w:space="0" w:color="auto"/>
      </w:divBdr>
    </w:div>
    <w:div w:id="454179799">
      <w:bodyDiv w:val="1"/>
      <w:marLeft w:val="0"/>
      <w:marRight w:val="0"/>
      <w:marTop w:val="0"/>
      <w:marBottom w:val="0"/>
      <w:divBdr>
        <w:top w:val="none" w:sz="0" w:space="0" w:color="auto"/>
        <w:left w:val="none" w:sz="0" w:space="0" w:color="auto"/>
        <w:bottom w:val="none" w:sz="0" w:space="0" w:color="auto"/>
        <w:right w:val="none" w:sz="0" w:space="0" w:color="auto"/>
      </w:divBdr>
    </w:div>
    <w:div w:id="455412465">
      <w:bodyDiv w:val="1"/>
      <w:marLeft w:val="0"/>
      <w:marRight w:val="0"/>
      <w:marTop w:val="0"/>
      <w:marBottom w:val="0"/>
      <w:divBdr>
        <w:top w:val="none" w:sz="0" w:space="0" w:color="auto"/>
        <w:left w:val="none" w:sz="0" w:space="0" w:color="auto"/>
        <w:bottom w:val="none" w:sz="0" w:space="0" w:color="auto"/>
        <w:right w:val="none" w:sz="0" w:space="0" w:color="auto"/>
      </w:divBdr>
    </w:div>
    <w:div w:id="472985425">
      <w:bodyDiv w:val="1"/>
      <w:marLeft w:val="0"/>
      <w:marRight w:val="0"/>
      <w:marTop w:val="0"/>
      <w:marBottom w:val="0"/>
      <w:divBdr>
        <w:top w:val="none" w:sz="0" w:space="0" w:color="auto"/>
        <w:left w:val="none" w:sz="0" w:space="0" w:color="auto"/>
        <w:bottom w:val="none" w:sz="0" w:space="0" w:color="auto"/>
        <w:right w:val="none" w:sz="0" w:space="0" w:color="auto"/>
      </w:divBdr>
    </w:div>
    <w:div w:id="484205063">
      <w:bodyDiv w:val="1"/>
      <w:marLeft w:val="0"/>
      <w:marRight w:val="0"/>
      <w:marTop w:val="0"/>
      <w:marBottom w:val="0"/>
      <w:divBdr>
        <w:top w:val="none" w:sz="0" w:space="0" w:color="auto"/>
        <w:left w:val="none" w:sz="0" w:space="0" w:color="auto"/>
        <w:bottom w:val="none" w:sz="0" w:space="0" w:color="auto"/>
        <w:right w:val="none" w:sz="0" w:space="0" w:color="auto"/>
      </w:divBdr>
    </w:div>
    <w:div w:id="485898435">
      <w:bodyDiv w:val="1"/>
      <w:marLeft w:val="0"/>
      <w:marRight w:val="0"/>
      <w:marTop w:val="0"/>
      <w:marBottom w:val="0"/>
      <w:divBdr>
        <w:top w:val="none" w:sz="0" w:space="0" w:color="auto"/>
        <w:left w:val="none" w:sz="0" w:space="0" w:color="auto"/>
        <w:bottom w:val="none" w:sz="0" w:space="0" w:color="auto"/>
        <w:right w:val="none" w:sz="0" w:space="0" w:color="auto"/>
      </w:divBdr>
    </w:div>
    <w:div w:id="492071101">
      <w:bodyDiv w:val="1"/>
      <w:marLeft w:val="0"/>
      <w:marRight w:val="0"/>
      <w:marTop w:val="0"/>
      <w:marBottom w:val="0"/>
      <w:divBdr>
        <w:top w:val="none" w:sz="0" w:space="0" w:color="auto"/>
        <w:left w:val="none" w:sz="0" w:space="0" w:color="auto"/>
        <w:bottom w:val="none" w:sz="0" w:space="0" w:color="auto"/>
        <w:right w:val="none" w:sz="0" w:space="0" w:color="auto"/>
      </w:divBdr>
    </w:div>
    <w:div w:id="519590537">
      <w:bodyDiv w:val="1"/>
      <w:marLeft w:val="0"/>
      <w:marRight w:val="0"/>
      <w:marTop w:val="0"/>
      <w:marBottom w:val="0"/>
      <w:divBdr>
        <w:top w:val="none" w:sz="0" w:space="0" w:color="auto"/>
        <w:left w:val="none" w:sz="0" w:space="0" w:color="auto"/>
        <w:bottom w:val="none" w:sz="0" w:space="0" w:color="auto"/>
        <w:right w:val="none" w:sz="0" w:space="0" w:color="auto"/>
      </w:divBdr>
    </w:div>
    <w:div w:id="538666326">
      <w:bodyDiv w:val="1"/>
      <w:marLeft w:val="0"/>
      <w:marRight w:val="0"/>
      <w:marTop w:val="0"/>
      <w:marBottom w:val="0"/>
      <w:divBdr>
        <w:top w:val="none" w:sz="0" w:space="0" w:color="auto"/>
        <w:left w:val="none" w:sz="0" w:space="0" w:color="auto"/>
        <w:bottom w:val="none" w:sz="0" w:space="0" w:color="auto"/>
        <w:right w:val="none" w:sz="0" w:space="0" w:color="auto"/>
      </w:divBdr>
    </w:div>
    <w:div w:id="562181979">
      <w:bodyDiv w:val="1"/>
      <w:marLeft w:val="0"/>
      <w:marRight w:val="0"/>
      <w:marTop w:val="0"/>
      <w:marBottom w:val="0"/>
      <w:divBdr>
        <w:top w:val="none" w:sz="0" w:space="0" w:color="auto"/>
        <w:left w:val="none" w:sz="0" w:space="0" w:color="auto"/>
        <w:bottom w:val="none" w:sz="0" w:space="0" w:color="auto"/>
        <w:right w:val="none" w:sz="0" w:space="0" w:color="auto"/>
      </w:divBdr>
    </w:div>
    <w:div w:id="601689011">
      <w:bodyDiv w:val="1"/>
      <w:marLeft w:val="0"/>
      <w:marRight w:val="0"/>
      <w:marTop w:val="0"/>
      <w:marBottom w:val="0"/>
      <w:divBdr>
        <w:top w:val="none" w:sz="0" w:space="0" w:color="auto"/>
        <w:left w:val="none" w:sz="0" w:space="0" w:color="auto"/>
        <w:bottom w:val="none" w:sz="0" w:space="0" w:color="auto"/>
        <w:right w:val="none" w:sz="0" w:space="0" w:color="auto"/>
      </w:divBdr>
    </w:div>
    <w:div w:id="607082352">
      <w:bodyDiv w:val="1"/>
      <w:marLeft w:val="0"/>
      <w:marRight w:val="0"/>
      <w:marTop w:val="0"/>
      <w:marBottom w:val="0"/>
      <w:divBdr>
        <w:top w:val="none" w:sz="0" w:space="0" w:color="auto"/>
        <w:left w:val="none" w:sz="0" w:space="0" w:color="auto"/>
        <w:bottom w:val="none" w:sz="0" w:space="0" w:color="auto"/>
        <w:right w:val="none" w:sz="0" w:space="0" w:color="auto"/>
      </w:divBdr>
    </w:div>
    <w:div w:id="607614978">
      <w:bodyDiv w:val="1"/>
      <w:marLeft w:val="0"/>
      <w:marRight w:val="0"/>
      <w:marTop w:val="0"/>
      <w:marBottom w:val="0"/>
      <w:divBdr>
        <w:top w:val="none" w:sz="0" w:space="0" w:color="auto"/>
        <w:left w:val="none" w:sz="0" w:space="0" w:color="auto"/>
        <w:bottom w:val="none" w:sz="0" w:space="0" w:color="auto"/>
        <w:right w:val="none" w:sz="0" w:space="0" w:color="auto"/>
      </w:divBdr>
    </w:div>
    <w:div w:id="617834369">
      <w:bodyDiv w:val="1"/>
      <w:marLeft w:val="0"/>
      <w:marRight w:val="0"/>
      <w:marTop w:val="0"/>
      <w:marBottom w:val="0"/>
      <w:divBdr>
        <w:top w:val="none" w:sz="0" w:space="0" w:color="auto"/>
        <w:left w:val="none" w:sz="0" w:space="0" w:color="auto"/>
        <w:bottom w:val="none" w:sz="0" w:space="0" w:color="auto"/>
        <w:right w:val="none" w:sz="0" w:space="0" w:color="auto"/>
      </w:divBdr>
    </w:div>
    <w:div w:id="623122570">
      <w:bodyDiv w:val="1"/>
      <w:marLeft w:val="0"/>
      <w:marRight w:val="0"/>
      <w:marTop w:val="0"/>
      <w:marBottom w:val="0"/>
      <w:divBdr>
        <w:top w:val="none" w:sz="0" w:space="0" w:color="auto"/>
        <w:left w:val="none" w:sz="0" w:space="0" w:color="auto"/>
        <w:bottom w:val="none" w:sz="0" w:space="0" w:color="auto"/>
        <w:right w:val="none" w:sz="0" w:space="0" w:color="auto"/>
      </w:divBdr>
    </w:div>
    <w:div w:id="635449929">
      <w:bodyDiv w:val="1"/>
      <w:marLeft w:val="0"/>
      <w:marRight w:val="0"/>
      <w:marTop w:val="0"/>
      <w:marBottom w:val="0"/>
      <w:divBdr>
        <w:top w:val="none" w:sz="0" w:space="0" w:color="auto"/>
        <w:left w:val="none" w:sz="0" w:space="0" w:color="auto"/>
        <w:bottom w:val="none" w:sz="0" w:space="0" w:color="auto"/>
        <w:right w:val="none" w:sz="0" w:space="0" w:color="auto"/>
      </w:divBdr>
    </w:div>
    <w:div w:id="645626771">
      <w:bodyDiv w:val="1"/>
      <w:marLeft w:val="0"/>
      <w:marRight w:val="0"/>
      <w:marTop w:val="0"/>
      <w:marBottom w:val="0"/>
      <w:divBdr>
        <w:top w:val="none" w:sz="0" w:space="0" w:color="auto"/>
        <w:left w:val="none" w:sz="0" w:space="0" w:color="auto"/>
        <w:bottom w:val="none" w:sz="0" w:space="0" w:color="auto"/>
        <w:right w:val="none" w:sz="0" w:space="0" w:color="auto"/>
      </w:divBdr>
    </w:div>
    <w:div w:id="683480723">
      <w:bodyDiv w:val="1"/>
      <w:marLeft w:val="0"/>
      <w:marRight w:val="0"/>
      <w:marTop w:val="0"/>
      <w:marBottom w:val="0"/>
      <w:divBdr>
        <w:top w:val="none" w:sz="0" w:space="0" w:color="auto"/>
        <w:left w:val="none" w:sz="0" w:space="0" w:color="auto"/>
        <w:bottom w:val="none" w:sz="0" w:space="0" w:color="auto"/>
        <w:right w:val="none" w:sz="0" w:space="0" w:color="auto"/>
      </w:divBdr>
    </w:div>
    <w:div w:id="709453111">
      <w:bodyDiv w:val="1"/>
      <w:marLeft w:val="0"/>
      <w:marRight w:val="0"/>
      <w:marTop w:val="0"/>
      <w:marBottom w:val="0"/>
      <w:divBdr>
        <w:top w:val="none" w:sz="0" w:space="0" w:color="auto"/>
        <w:left w:val="none" w:sz="0" w:space="0" w:color="auto"/>
        <w:bottom w:val="none" w:sz="0" w:space="0" w:color="auto"/>
        <w:right w:val="none" w:sz="0" w:space="0" w:color="auto"/>
      </w:divBdr>
    </w:div>
    <w:div w:id="734861050">
      <w:bodyDiv w:val="1"/>
      <w:marLeft w:val="0"/>
      <w:marRight w:val="0"/>
      <w:marTop w:val="0"/>
      <w:marBottom w:val="0"/>
      <w:divBdr>
        <w:top w:val="none" w:sz="0" w:space="0" w:color="auto"/>
        <w:left w:val="none" w:sz="0" w:space="0" w:color="auto"/>
        <w:bottom w:val="none" w:sz="0" w:space="0" w:color="auto"/>
        <w:right w:val="none" w:sz="0" w:space="0" w:color="auto"/>
      </w:divBdr>
    </w:div>
    <w:div w:id="735010461">
      <w:bodyDiv w:val="1"/>
      <w:marLeft w:val="0"/>
      <w:marRight w:val="0"/>
      <w:marTop w:val="0"/>
      <w:marBottom w:val="0"/>
      <w:divBdr>
        <w:top w:val="none" w:sz="0" w:space="0" w:color="auto"/>
        <w:left w:val="none" w:sz="0" w:space="0" w:color="auto"/>
        <w:bottom w:val="none" w:sz="0" w:space="0" w:color="auto"/>
        <w:right w:val="none" w:sz="0" w:space="0" w:color="auto"/>
      </w:divBdr>
    </w:div>
    <w:div w:id="802386134">
      <w:bodyDiv w:val="1"/>
      <w:marLeft w:val="0"/>
      <w:marRight w:val="0"/>
      <w:marTop w:val="0"/>
      <w:marBottom w:val="0"/>
      <w:divBdr>
        <w:top w:val="none" w:sz="0" w:space="0" w:color="auto"/>
        <w:left w:val="none" w:sz="0" w:space="0" w:color="auto"/>
        <w:bottom w:val="none" w:sz="0" w:space="0" w:color="auto"/>
        <w:right w:val="none" w:sz="0" w:space="0" w:color="auto"/>
      </w:divBdr>
    </w:div>
    <w:div w:id="803158888">
      <w:bodyDiv w:val="1"/>
      <w:marLeft w:val="0"/>
      <w:marRight w:val="0"/>
      <w:marTop w:val="0"/>
      <w:marBottom w:val="0"/>
      <w:divBdr>
        <w:top w:val="none" w:sz="0" w:space="0" w:color="auto"/>
        <w:left w:val="none" w:sz="0" w:space="0" w:color="auto"/>
        <w:bottom w:val="none" w:sz="0" w:space="0" w:color="auto"/>
        <w:right w:val="none" w:sz="0" w:space="0" w:color="auto"/>
      </w:divBdr>
    </w:div>
    <w:div w:id="805004486">
      <w:bodyDiv w:val="1"/>
      <w:marLeft w:val="0"/>
      <w:marRight w:val="0"/>
      <w:marTop w:val="0"/>
      <w:marBottom w:val="0"/>
      <w:divBdr>
        <w:top w:val="none" w:sz="0" w:space="0" w:color="auto"/>
        <w:left w:val="none" w:sz="0" w:space="0" w:color="auto"/>
        <w:bottom w:val="none" w:sz="0" w:space="0" w:color="auto"/>
        <w:right w:val="none" w:sz="0" w:space="0" w:color="auto"/>
      </w:divBdr>
    </w:div>
    <w:div w:id="820804563">
      <w:bodyDiv w:val="1"/>
      <w:marLeft w:val="0"/>
      <w:marRight w:val="0"/>
      <w:marTop w:val="0"/>
      <w:marBottom w:val="0"/>
      <w:divBdr>
        <w:top w:val="none" w:sz="0" w:space="0" w:color="auto"/>
        <w:left w:val="none" w:sz="0" w:space="0" w:color="auto"/>
        <w:bottom w:val="none" w:sz="0" w:space="0" w:color="auto"/>
        <w:right w:val="none" w:sz="0" w:space="0" w:color="auto"/>
      </w:divBdr>
    </w:div>
    <w:div w:id="855927047">
      <w:bodyDiv w:val="1"/>
      <w:marLeft w:val="0"/>
      <w:marRight w:val="0"/>
      <w:marTop w:val="0"/>
      <w:marBottom w:val="0"/>
      <w:divBdr>
        <w:top w:val="none" w:sz="0" w:space="0" w:color="auto"/>
        <w:left w:val="none" w:sz="0" w:space="0" w:color="auto"/>
        <w:bottom w:val="none" w:sz="0" w:space="0" w:color="auto"/>
        <w:right w:val="none" w:sz="0" w:space="0" w:color="auto"/>
      </w:divBdr>
    </w:div>
    <w:div w:id="944118583">
      <w:bodyDiv w:val="1"/>
      <w:marLeft w:val="0"/>
      <w:marRight w:val="0"/>
      <w:marTop w:val="0"/>
      <w:marBottom w:val="0"/>
      <w:divBdr>
        <w:top w:val="none" w:sz="0" w:space="0" w:color="auto"/>
        <w:left w:val="none" w:sz="0" w:space="0" w:color="auto"/>
        <w:bottom w:val="none" w:sz="0" w:space="0" w:color="auto"/>
        <w:right w:val="none" w:sz="0" w:space="0" w:color="auto"/>
      </w:divBdr>
    </w:div>
    <w:div w:id="978221499">
      <w:bodyDiv w:val="1"/>
      <w:marLeft w:val="0"/>
      <w:marRight w:val="0"/>
      <w:marTop w:val="0"/>
      <w:marBottom w:val="0"/>
      <w:divBdr>
        <w:top w:val="none" w:sz="0" w:space="0" w:color="auto"/>
        <w:left w:val="none" w:sz="0" w:space="0" w:color="auto"/>
        <w:bottom w:val="none" w:sz="0" w:space="0" w:color="auto"/>
        <w:right w:val="none" w:sz="0" w:space="0" w:color="auto"/>
      </w:divBdr>
    </w:div>
    <w:div w:id="985936742">
      <w:bodyDiv w:val="1"/>
      <w:marLeft w:val="0"/>
      <w:marRight w:val="0"/>
      <w:marTop w:val="0"/>
      <w:marBottom w:val="0"/>
      <w:divBdr>
        <w:top w:val="none" w:sz="0" w:space="0" w:color="auto"/>
        <w:left w:val="none" w:sz="0" w:space="0" w:color="auto"/>
        <w:bottom w:val="none" w:sz="0" w:space="0" w:color="auto"/>
        <w:right w:val="none" w:sz="0" w:space="0" w:color="auto"/>
      </w:divBdr>
    </w:div>
    <w:div w:id="1047529798">
      <w:bodyDiv w:val="1"/>
      <w:marLeft w:val="0"/>
      <w:marRight w:val="0"/>
      <w:marTop w:val="0"/>
      <w:marBottom w:val="0"/>
      <w:divBdr>
        <w:top w:val="none" w:sz="0" w:space="0" w:color="auto"/>
        <w:left w:val="none" w:sz="0" w:space="0" w:color="auto"/>
        <w:bottom w:val="none" w:sz="0" w:space="0" w:color="auto"/>
        <w:right w:val="none" w:sz="0" w:space="0" w:color="auto"/>
      </w:divBdr>
    </w:div>
    <w:div w:id="1222326795">
      <w:bodyDiv w:val="1"/>
      <w:marLeft w:val="0"/>
      <w:marRight w:val="0"/>
      <w:marTop w:val="0"/>
      <w:marBottom w:val="0"/>
      <w:divBdr>
        <w:top w:val="none" w:sz="0" w:space="0" w:color="auto"/>
        <w:left w:val="none" w:sz="0" w:space="0" w:color="auto"/>
        <w:bottom w:val="none" w:sz="0" w:space="0" w:color="auto"/>
        <w:right w:val="none" w:sz="0" w:space="0" w:color="auto"/>
      </w:divBdr>
    </w:div>
    <w:div w:id="1288394802">
      <w:bodyDiv w:val="1"/>
      <w:marLeft w:val="0"/>
      <w:marRight w:val="0"/>
      <w:marTop w:val="0"/>
      <w:marBottom w:val="0"/>
      <w:divBdr>
        <w:top w:val="none" w:sz="0" w:space="0" w:color="auto"/>
        <w:left w:val="none" w:sz="0" w:space="0" w:color="auto"/>
        <w:bottom w:val="none" w:sz="0" w:space="0" w:color="auto"/>
        <w:right w:val="none" w:sz="0" w:space="0" w:color="auto"/>
      </w:divBdr>
    </w:div>
    <w:div w:id="1353385730">
      <w:bodyDiv w:val="1"/>
      <w:marLeft w:val="0"/>
      <w:marRight w:val="0"/>
      <w:marTop w:val="0"/>
      <w:marBottom w:val="0"/>
      <w:divBdr>
        <w:top w:val="none" w:sz="0" w:space="0" w:color="auto"/>
        <w:left w:val="none" w:sz="0" w:space="0" w:color="auto"/>
        <w:bottom w:val="none" w:sz="0" w:space="0" w:color="auto"/>
        <w:right w:val="none" w:sz="0" w:space="0" w:color="auto"/>
      </w:divBdr>
    </w:div>
    <w:div w:id="1360358137">
      <w:bodyDiv w:val="1"/>
      <w:marLeft w:val="0"/>
      <w:marRight w:val="0"/>
      <w:marTop w:val="0"/>
      <w:marBottom w:val="0"/>
      <w:divBdr>
        <w:top w:val="none" w:sz="0" w:space="0" w:color="auto"/>
        <w:left w:val="none" w:sz="0" w:space="0" w:color="auto"/>
        <w:bottom w:val="none" w:sz="0" w:space="0" w:color="auto"/>
        <w:right w:val="none" w:sz="0" w:space="0" w:color="auto"/>
      </w:divBdr>
    </w:div>
    <w:div w:id="1364285780">
      <w:bodyDiv w:val="1"/>
      <w:marLeft w:val="0"/>
      <w:marRight w:val="0"/>
      <w:marTop w:val="0"/>
      <w:marBottom w:val="0"/>
      <w:divBdr>
        <w:top w:val="none" w:sz="0" w:space="0" w:color="auto"/>
        <w:left w:val="none" w:sz="0" w:space="0" w:color="auto"/>
        <w:bottom w:val="none" w:sz="0" w:space="0" w:color="auto"/>
        <w:right w:val="none" w:sz="0" w:space="0" w:color="auto"/>
      </w:divBdr>
    </w:div>
    <w:div w:id="1404715937">
      <w:bodyDiv w:val="1"/>
      <w:marLeft w:val="0"/>
      <w:marRight w:val="0"/>
      <w:marTop w:val="0"/>
      <w:marBottom w:val="0"/>
      <w:divBdr>
        <w:top w:val="none" w:sz="0" w:space="0" w:color="auto"/>
        <w:left w:val="none" w:sz="0" w:space="0" w:color="auto"/>
        <w:bottom w:val="none" w:sz="0" w:space="0" w:color="auto"/>
        <w:right w:val="none" w:sz="0" w:space="0" w:color="auto"/>
      </w:divBdr>
    </w:div>
    <w:div w:id="1408073505">
      <w:bodyDiv w:val="1"/>
      <w:marLeft w:val="0"/>
      <w:marRight w:val="0"/>
      <w:marTop w:val="0"/>
      <w:marBottom w:val="0"/>
      <w:divBdr>
        <w:top w:val="none" w:sz="0" w:space="0" w:color="auto"/>
        <w:left w:val="none" w:sz="0" w:space="0" w:color="auto"/>
        <w:bottom w:val="none" w:sz="0" w:space="0" w:color="auto"/>
        <w:right w:val="none" w:sz="0" w:space="0" w:color="auto"/>
      </w:divBdr>
    </w:div>
    <w:div w:id="1425569047">
      <w:bodyDiv w:val="1"/>
      <w:marLeft w:val="0"/>
      <w:marRight w:val="0"/>
      <w:marTop w:val="0"/>
      <w:marBottom w:val="0"/>
      <w:divBdr>
        <w:top w:val="none" w:sz="0" w:space="0" w:color="auto"/>
        <w:left w:val="none" w:sz="0" w:space="0" w:color="auto"/>
        <w:bottom w:val="none" w:sz="0" w:space="0" w:color="auto"/>
        <w:right w:val="none" w:sz="0" w:space="0" w:color="auto"/>
      </w:divBdr>
    </w:div>
    <w:div w:id="1443106508">
      <w:bodyDiv w:val="1"/>
      <w:marLeft w:val="0"/>
      <w:marRight w:val="0"/>
      <w:marTop w:val="0"/>
      <w:marBottom w:val="0"/>
      <w:divBdr>
        <w:top w:val="none" w:sz="0" w:space="0" w:color="auto"/>
        <w:left w:val="none" w:sz="0" w:space="0" w:color="auto"/>
        <w:bottom w:val="none" w:sz="0" w:space="0" w:color="auto"/>
        <w:right w:val="none" w:sz="0" w:space="0" w:color="auto"/>
      </w:divBdr>
    </w:div>
    <w:div w:id="1478107611">
      <w:bodyDiv w:val="1"/>
      <w:marLeft w:val="0"/>
      <w:marRight w:val="0"/>
      <w:marTop w:val="0"/>
      <w:marBottom w:val="0"/>
      <w:divBdr>
        <w:top w:val="none" w:sz="0" w:space="0" w:color="auto"/>
        <w:left w:val="none" w:sz="0" w:space="0" w:color="auto"/>
        <w:bottom w:val="none" w:sz="0" w:space="0" w:color="auto"/>
        <w:right w:val="none" w:sz="0" w:space="0" w:color="auto"/>
      </w:divBdr>
    </w:div>
    <w:div w:id="1513303215">
      <w:bodyDiv w:val="1"/>
      <w:marLeft w:val="0"/>
      <w:marRight w:val="0"/>
      <w:marTop w:val="0"/>
      <w:marBottom w:val="0"/>
      <w:divBdr>
        <w:top w:val="none" w:sz="0" w:space="0" w:color="auto"/>
        <w:left w:val="none" w:sz="0" w:space="0" w:color="auto"/>
        <w:bottom w:val="none" w:sz="0" w:space="0" w:color="auto"/>
        <w:right w:val="none" w:sz="0" w:space="0" w:color="auto"/>
      </w:divBdr>
    </w:div>
    <w:div w:id="1729499443">
      <w:bodyDiv w:val="1"/>
      <w:marLeft w:val="0"/>
      <w:marRight w:val="0"/>
      <w:marTop w:val="0"/>
      <w:marBottom w:val="0"/>
      <w:divBdr>
        <w:top w:val="none" w:sz="0" w:space="0" w:color="auto"/>
        <w:left w:val="none" w:sz="0" w:space="0" w:color="auto"/>
        <w:bottom w:val="none" w:sz="0" w:space="0" w:color="auto"/>
        <w:right w:val="none" w:sz="0" w:space="0" w:color="auto"/>
      </w:divBdr>
    </w:div>
    <w:div w:id="1808008857">
      <w:bodyDiv w:val="1"/>
      <w:marLeft w:val="0"/>
      <w:marRight w:val="0"/>
      <w:marTop w:val="0"/>
      <w:marBottom w:val="0"/>
      <w:divBdr>
        <w:top w:val="none" w:sz="0" w:space="0" w:color="auto"/>
        <w:left w:val="none" w:sz="0" w:space="0" w:color="auto"/>
        <w:bottom w:val="none" w:sz="0" w:space="0" w:color="auto"/>
        <w:right w:val="none" w:sz="0" w:space="0" w:color="auto"/>
      </w:divBdr>
    </w:div>
    <w:div w:id="1831099808">
      <w:bodyDiv w:val="1"/>
      <w:marLeft w:val="0"/>
      <w:marRight w:val="0"/>
      <w:marTop w:val="0"/>
      <w:marBottom w:val="0"/>
      <w:divBdr>
        <w:top w:val="none" w:sz="0" w:space="0" w:color="auto"/>
        <w:left w:val="none" w:sz="0" w:space="0" w:color="auto"/>
        <w:bottom w:val="none" w:sz="0" w:space="0" w:color="auto"/>
        <w:right w:val="none" w:sz="0" w:space="0" w:color="auto"/>
      </w:divBdr>
    </w:div>
    <w:div w:id="1834643765">
      <w:bodyDiv w:val="1"/>
      <w:marLeft w:val="0"/>
      <w:marRight w:val="0"/>
      <w:marTop w:val="0"/>
      <w:marBottom w:val="0"/>
      <w:divBdr>
        <w:top w:val="none" w:sz="0" w:space="0" w:color="auto"/>
        <w:left w:val="none" w:sz="0" w:space="0" w:color="auto"/>
        <w:bottom w:val="none" w:sz="0" w:space="0" w:color="auto"/>
        <w:right w:val="none" w:sz="0" w:space="0" w:color="auto"/>
      </w:divBdr>
    </w:div>
    <w:div w:id="1841844434">
      <w:bodyDiv w:val="1"/>
      <w:marLeft w:val="0"/>
      <w:marRight w:val="0"/>
      <w:marTop w:val="0"/>
      <w:marBottom w:val="0"/>
      <w:divBdr>
        <w:top w:val="none" w:sz="0" w:space="0" w:color="auto"/>
        <w:left w:val="none" w:sz="0" w:space="0" w:color="auto"/>
        <w:bottom w:val="none" w:sz="0" w:space="0" w:color="auto"/>
        <w:right w:val="none" w:sz="0" w:space="0" w:color="auto"/>
      </w:divBdr>
    </w:div>
    <w:div w:id="1900288630">
      <w:bodyDiv w:val="1"/>
      <w:marLeft w:val="0"/>
      <w:marRight w:val="0"/>
      <w:marTop w:val="0"/>
      <w:marBottom w:val="0"/>
      <w:divBdr>
        <w:top w:val="none" w:sz="0" w:space="0" w:color="auto"/>
        <w:left w:val="none" w:sz="0" w:space="0" w:color="auto"/>
        <w:bottom w:val="none" w:sz="0" w:space="0" w:color="auto"/>
        <w:right w:val="none" w:sz="0" w:space="0" w:color="auto"/>
      </w:divBdr>
    </w:div>
    <w:div w:id="1903563590">
      <w:bodyDiv w:val="1"/>
      <w:marLeft w:val="0"/>
      <w:marRight w:val="0"/>
      <w:marTop w:val="0"/>
      <w:marBottom w:val="0"/>
      <w:divBdr>
        <w:top w:val="none" w:sz="0" w:space="0" w:color="auto"/>
        <w:left w:val="none" w:sz="0" w:space="0" w:color="auto"/>
        <w:bottom w:val="none" w:sz="0" w:space="0" w:color="auto"/>
        <w:right w:val="none" w:sz="0" w:space="0" w:color="auto"/>
      </w:divBdr>
    </w:div>
    <w:div w:id="1933121386">
      <w:bodyDiv w:val="1"/>
      <w:marLeft w:val="0"/>
      <w:marRight w:val="0"/>
      <w:marTop w:val="0"/>
      <w:marBottom w:val="0"/>
      <w:divBdr>
        <w:top w:val="none" w:sz="0" w:space="0" w:color="auto"/>
        <w:left w:val="none" w:sz="0" w:space="0" w:color="auto"/>
        <w:bottom w:val="none" w:sz="0" w:space="0" w:color="auto"/>
        <w:right w:val="none" w:sz="0" w:space="0" w:color="auto"/>
      </w:divBdr>
    </w:div>
    <w:div w:id="1939755337">
      <w:bodyDiv w:val="1"/>
      <w:marLeft w:val="0"/>
      <w:marRight w:val="0"/>
      <w:marTop w:val="0"/>
      <w:marBottom w:val="0"/>
      <w:divBdr>
        <w:top w:val="none" w:sz="0" w:space="0" w:color="auto"/>
        <w:left w:val="none" w:sz="0" w:space="0" w:color="auto"/>
        <w:bottom w:val="none" w:sz="0" w:space="0" w:color="auto"/>
        <w:right w:val="none" w:sz="0" w:space="0" w:color="auto"/>
      </w:divBdr>
    </w:div>
    <w:div w:id="1952127645">
      <w:bodyDiv w:val="1"/>
      <w:marLeft w:val="0"/>
      <w:marRight w:val="0"/>
      <w:marTop w:val="0"/>
      <w:marBottom w:val="0"/>
      <w:divBdr>
        <w:top w:val="none" w:sz="0" w:space="0" w:color="auto"/>
        <w:left w:val="none" w:sz="0" w:space="0" w:color="auto"/>
        <w:bottom w:val="none" w:sz="0" w:space="0" w:color="auto"/>
        <w:right w:val="none" w:sz="0" w:space="0" w:color="auto"/>
      </w:divBdr>
    </w:div>
    <w:div w:id="1952473189">
      <w:bodyDiv w:val="1"/>
      <w:marLeft w:val="0"/>
      <w:marRight w:val="0"/>
      <w:marTop w:val="0"/>
      <w:marBottom w:val="0"/>
      <w:divBdr>
        <w:top w:val="none" w:sz="0" w:space="0" w:color="auto"/>
        <w:left w:val="none" w:sz="0" w:space="0" w:color="auto"/>
        <w:bottom w:val="none" w:sz="0" w:space="0" w:color="auto"/>
        <w:right w:val="none" w:sz="0" w:space="0" w:color="auto"/>
      </w:divBdr>
    </w:div>
    <w:div w:id="1972665701">
      <w:bodyDiv w:val="1"/>
      <w:marLeft w:val="0"/>
      <w:marRight w:val="0"/>
      <w:marTop w:val="0"/>
      <w:marBottom w:val="0"/>
      <w:divBdr>
        <w:top w:val="none" w:sz="0" w:space="0" w:color="auto"/>
        <w:left w:val="none" w:sz="0" w:space="0" w:color="auto"/>
        <w:bottom w:val="none" w:sz="0" w:space="0" w:color="auto"/>
        <w:right w:val="none" w:sz="0" w:space="0" w:color="auto"/>
      </w:divBdr>
    </w:div>
    <w:div w:id="1983541705">
      <w:bodyDiv w:val="1"/>
      <w:marLeft w:val="0"/>
      <w:marRight w:val="0"/>
      <w:marTop w:val="0"/>
      <w:marBottom w:val="0"/>
      <w:divBdr>
        <w:top w:val="none" w:sz="0" w:space="0" w:color="auto"/>
        <w:left w:val="none" w:sz="0" w:space="0" w:color="auto"/>
        <w:bottom w:val="none" w:sz="0" w:space="0" w:color="auto"/>
        <w:right w:val="none" w:sz="0" w:space="0" w:color="auto"/>
      </w:divBdr>
    </w:div>
    <w:div w:id="1991133870">
      <w:bodyDiv w:val="1"/>
      <w:marLeft w:val="0"/>
      <w:marRight w:val="0"/>
      <w:marTop w:val="0"/>
      <w:marBottom w:val="0"/>
      <w:divBdr>
        <w:top w:val="none" w:sz="0" w:space="0" w:color="auto"/>
        <w:left w:val="none" w:sz="0" w:space="0" w:color="auto"/>
        <w:bottom w:val="none" w:sz="0" w:space="0" w:color="auto"/>
        <w:right w:val="none" w:sz="0" w:space="0" w:color="auto"/>
      </w:divBdr>
    </w:div>
    <w:div w:id="2013991599">
      <w:bodyDiv w:val="1"/>
      <w:marLeft w:val="0"/>
      <w:marRight w:val="0"/>
      <w:marTop w:val="0"/>
      <w:marBottom w:val="0"/>
      <w:divBdr>
        <w:top w:val="none" w:sz="0" w:space="0" w:color="auto"/>
        <w:left w:val="none" w:sz="0" w:space="0" w:color="auto"/>
        <w:bottom w:val="none" w:sz="0" w:space="0" w:color="auto"/>
        <w:right w:val="none" w:sz="0" w:space="0" w:color="auto"/>
      </w:divBdr>
    </w:div>
    <w:div w:id="2041783940">
      <w:bodyDiv w:val="1"/>
      <w:marLeft w:val="0"/>
      <w:marRight w:val="0"/>
      <w:marTop w:val="0"/>
      <w:marBottom w:val="0"/>
      <w:divBdr>
        <w:top w:val="none" w:sz="0" w:space="0" w:color="auto"/>
        <w:left w:val="none" w:sz="0" w:space="0" w:color="auto"/>
        <w:bottom w:val="none" w:sz="0" w:space="0" w:color="auto"/>
        <w:right w:val="none" w:sz="0" w:space="0" w:color="auto"/>
      </w:divBdr>
    </w:div>
    <w:div w:id="2050492240">
      <w:bodyDiv w:val="1"/>
      <w:marLeft w:val="0"/>
      <w:marRight w:val="0"/>
      <w:marTop w:val="0"/>
      <w:marBottom w:val="0"/>
      <w:divBdr>
        <w:top w:val="none" w:sz="0" w:space="0" w:color="auto"/>
        <w:left w:val="none" w:sz="0" w:space="0" w:color="auto"/>
        <w:bottom w:val="none" w:sz="0" w:space="0" w:color="auto"/>
        <w:right w:val="none" w:sz="0" w:space="0" w:color="auto"/>
      </w:divBdr>
    </w:div>
    <w:div w:id="2074044085">
      <w:bodyDiv w:val="1"/>
      <w:marLeft w:val="0"/>
      <w:marRight w:val="0"/>
      <w:marTop w:val="0"/>
      <w:marBottom w:val="0"/>
      <w:divBdr>
        <w:top w:val="none" w:sz="0" w:space="0" w:color="auto"/>
        <w:left w:val="none" w:sz="0" w:space="0" w:color="auto"/>
        <w:bottom w:val="none" w:sz="0" w:space="0" w:color="auto"/>
        <w:right w:val="none" w:sz="0" w:space="0" w:color="auto"/>
      </w:divBdr>
    </w:div>
    <w:div w:id="21372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B26F0919521F44A9721AB608016B9F" ma:contentTypeVersion="3" ma:contentTypeDescription="Ein neues Dokument erstellen." ma:contentTypeScope="" ma:versionID="38b38dbb692a2a852c72804d203924ad">
  <xsd:schema xmlns:xsd="http://www.w3.org/2001/XMLSchema" xmlns:xs="http://www.w3.org/2001/XMLSchema" xmlns:p="http://schemas.microsoft.com/office/2006/metadata/properties" xmlns:ns2="b5ba63dc-eca7-45de-aa41-e2b6f8654b39" targetNamespace="http://schemas.microsoft.com/office/2006/metadata/properties" ma:root="true" ma:fieldsID="85bc03e063c5764ef4b8b7da3696d281" ns2:_="">
    <xsd:import namespace="b5ba63dc-eca7-45de-aa41-e2b6f8654b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a63dc-eca7-45de-aa41-e2b6f8654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9EA5F-B1C1-42C9-866C-89E2CBA2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a63dc-eca7-45de-aa41-e2b6f8654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CEEDF-558F-435A-9CD7-98DB451ECB82}">
  <ds:schemaRefs>
    <ds:schemaRef ds:uri="http://schemas.microsoft.com/sharepoint/v3/contenttype/forms"/>
  </ds:schemaRefs>
</ds:datastoreItem>
</file>

<file path=customXml/itemProps3.xml><?xml version="1.0" encoding="utf-8"?>
<ds:datastoreItem xmlns:ds="http://schemas.openxmlformats.org/officeDocument/2006/customXml" ds:itemID="{C1133C4F-7C26-FF4C-A7A4-B2BFD8F5414E}">
  <ds:schemaRefs>
    <ds:schemaRef ds:uri="http://schemas.openxmlformats.org/officeDocument/2006/bibliography"/>
  </ds:schemaRefs>
</ds:datastoreItem>
</file>

<file path=customXml/itemProps4.xml><?xml version="1.0" encoding="utf-8"?>
<ds:datastoreItem xmlns:ds="http://schemas.openxmlformats.org/officeDocument/2006/customXml" ds:itemID="{849EF295-0246-4812-96E5-9F078CD170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7143</TotalTime>
  <Pages>6</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Bode</dc:creator>
  <cp:keywords/>
  <dc:description/>
  <cp:lastModifiedBy>Saimir Mucmataj</cp:lastModifiedBy>
  <cp:revision>410</cp:revision>
  <dcterms:created xsi:type="dcterms:W3CDTF">2025-09-15T09:11:00Z</dcterms:created>
  <dcterms:modified xsi:type="dcterms:W3CDTF">2025-10-29T13:30:00Z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0x01010080B26F0919521F44A9721AB608016B9F</vt:lpwstr>
  </property>
  <property fmtid="{D5CDD505-2E9C-101B-9397-08002B2CF9AE}" pid="3" name="MediaServiceImageTags">
    <vt:lpwstr/>
  </property>
  <property fmtid="{D5CDD505-2E9C-101B-9397-08002B2CF9AE}" pid="4" name="Order">
    <vt:r8>422200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