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75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70"/>
        <w:gridCol w:w="4645"/>
      </w:tblGrid>
      <w:tr w:rsidR="000D5974" w:rsidRPr="00BB40AE" w14:paraId="34AB26A6" w14:textId="77777777" w:rsidTr="000D5974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2F8FC4" w14:textId="51D9DE75" w:rsidR="000D5974" w:rsidRPr="000D5974" w:rsidRDefault="000D5974" w:rsidP="00B17990">
            <w:pPr>
              <w:spacing w:line="276" w:lineRule="auto"/>
              <w:rPr>
                <w:b/>
                <w:szCs w:val="24"/>
                <w:lang w:val="sq-AL"/>
              </w:rPr>
            </w:pPr>
            <w:r w:rsidRPr="000D5974">
              <w:rPr>
                <w:b/>
                <w:szCs w:val="24"/>
                <w:lang w:val="sq-AL"/>
              </w:rPr>
              <w:t>RAPORTI I VLERËSIMIT TË NDIKIMIT</w:t>
            </w:r>
          </w:p>
        </w:tc>
      </w:tr>
      <w:tr w:rsidR="00C84F64" w:rsidRPr="00325A1F" w14:paraId="483B3CEF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07D5B1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EMËRTIMI I PROPOZIMIT TË POLITIKËS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9DBBD3" w14:textId="06BFA078" w:rsidR="00CA40EE" w:rsidRPr="00325A1F" w:rsidRDefault="00CA40EE" w:rsidP="00B17990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szCs w:val="24"/>
                <w:lang w:val="sq-AL"/>
              </w:rPr>
              <w:t>Projekt</w:t>
            </w:r>
            <w:r w:rsidR="001155A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igj"/>
                    <w:listEntry w:val="akt/ligj/vendim"/>
                    <w:listEntry w:val="akt"/>
                    <w:listEntry w:val="vendim"/>
                  </w:ddList>
                </w:ffData>
              </w:fldChar>
            </w:r>
            <w:r w:rsidR="001155A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instrText xml:space="preserve"> FORMDROPDOWN </w:instrText>
            </w:r>
            <w:r w:rsidR="001155A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r>
            <w:r w:rsidR="001155A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="001155A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r w:rsidR="002A33A0" w:rsidRPr="00325A1F">
              <w:rPr>
                <w:szCs w:val="24"/>
                <w:lang w:val="sq-AL"/>
              </w:rPr>
              <w:t xml:space="preserve"> </w:t>
            </w:r>
            <w:r w:rsidR="000F5100" w:rsidRPr="00325A1F">
              <w:rPr>
                <w:szCs w:val="24"/>
                <w:lang w:val="sq-AL"/>
              </w:rPr>
              <w:t xml:space="preserve"> </w:t>
            </w:r>
            <w:r w:rsidR="00A50C8B" w:rsidRPr="00A50C8B">
              <w:rPr>
                <w:szCs w:val="24"/>
                <w:lang w:val="sq-AL"/>
              </w:rPr>
              <w:t>“Për disa shtesa dhe ndryshime në ligjin nr. 10 236, datë 18.2.2010,  “Për marrjen në kontroll të shoqërive me ofertë publike”</w:t>
            </w:r>
          </w:p>
        </w:tc>
      </w:tr>
      <w:tr w:rsidR="00C84F64" w:rsidRPr="00325A1F" w14:paraId="0BB8BDE5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9D67E8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MINISTRIA UDHËHEQËSE 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A7E2E8" w14:textId="42C2FB3A" w:rsidR="00CA40EE" w:rsidRPr="00325A1F" w:rsidRDefault="00444DC8" w:rsidP="00444DC8">
            <w:pPr>
              <w:spacing w:line="276" w:lineRule="auto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Ministria </w:t>
            </w:r>
            <w:r w:rsidR="002A66D3" w:rsidRPr="00325A1F">
              <w:rPr>
                <w:szCs w:val="24"/>
                <w:lang w:val="sq-AL"/>
              </w:rPr>
              <w:t xml:space="preserve"> </w:t>
            </w:r>
            <w:proofErr w:type="spellStart"/>
            <w:r w:rsidR="0086522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>Ekonomisë</w:t>
            </w:r>
            <w:proofErr w:type="spellEnd"/>
            <w:r w:rsidR="0086522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86522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>dhe</w:t>
            </w:r>
            <w:proofErr w:type="spellEnd"/>
            <w:r w:rsidR="0086522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86522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>Inovacionit</w:t>
            </w:r>
            <w:proofErr w:type="spellEnd"/>
          </w:p>
        </w:tc>
      </w:tr>
      <w:tr w:rsidR="00C84F64" w:rsidRPr="00325A1F" w14:paraId="14222BD2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59A4FA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FAZA E POLITIKËS/VLERËSIMIT TË NDIKIMIT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1AD9CC" w14:textId="37DC81BE" w:rsidR="00CA40EE" w:rsidRPr="00325A1F" w:rsidRDefault="00AD3B0C" w:rsidP="007B6556">
            <w:pPr>
              <w:spacing w:line="276" w:lineRule="auto"/>
              <w:rPr>
                <w:szCs w:val="24"/>
                <w:lang w:val="sq-AL"/>
              </w:rPr>
            </w:pPr>
            <w:sdt>
              <w:sdtPr>
                <w:rPr>
                  <w:rStyle w:val="BodyTextChar"/>
                  <w:rFonts w:ascii="Times New Roman" w:hAnsi="Times New Roman"/>
                  <w:sz w:val="24"/>
                  <w:szCs w:val="24"/>
                </w:rPr>
                <w:id w:val="1396398853"/>
                <w:lock w:val="sdtLocked"/>
                <w:placeholder>
                  <w:docPart w:val="467F15D558F0444BB35BCB17F1E0E252"/>
                </w:placeholder>
                <w:dropDownList>
                  <w:listItem w:displayText="Zhvillim/Konsultim/Finale" w:value="Zhvillim/Konsultim/Finale"/>
                  <w:listItem w:displayText="Zhvillim" w:value="Zhvillim"/>
                  <w:listItem w:displayText="Konsultim" w:value="Konsultim"/>
                  <w:listItem w:displayText="Finale" w:value="Finale"/>
                </w:dropDownList>
              </w:sdtPr>
              <w:sdtEndPr>
                <w:rPr>
                  <w:rStyle w:val="DefaultParagraphFont"/>
                  <w:color w:val="auto"/>
                  <w:lang w:val="sq-AL"/>
                </w:rPr>
              </w:sdtEndPr>
              <w:sdtContent>
                <w:r w:rsidR="00D24D27">
                  <w:rPr>
                    <w:rStyle w:val="BodyTextChar"/>
                    <w:rFonts w:ascii="Times New Roman" w:hAnsi="Times New Roman"/>
                    <w:sz w:val="24"/>
                    <w:szCs w:val="24"/>
                  </w:rPr>
                  <w:t>Zhvillim</w:t>
                </w:r>
              </w:sdtContent>
            </w:sdt>
          </w:p>
        </w:tc>
      </w:tr>
      <w:tr w:rsidR="00C84F64" w:rsidRPr="00325A1F" w14:paraId="47CEFF3E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F7E06A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BURIMI I PROPOZIMIT TË POLITIKËS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694D80" w14:textId="300AF045" w:rsidR="00CA40EE" w:rsidRPr="00325A1F" w:rsidRDefault="00D24D27" w:rsidP="007B6556">
            <w:pPr>
              <w:spacing w:line="276" w:lineRule="auto"/>
              <w:jc w:val="both"/>
              <w:rPr>
                <w:szCs w:val="24"/>
                <w:lang w:val="sq-AL"/>
              </w:rPr>
            </w:pP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Transpozim  i BE-së"/>
                  </w:ddList>
                </w:ffData>
              </w:fldChar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instrText xml:space="preserve"> FORMDROPDOWN </w:instrText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</w:p>
        </w:tc>
      </w:tr>
      <w:tr w:rsidR="00C84F64" w:rsidRPr="00325A1F" w14:paraId="48A074B2" w14:textId="77777777" w:rsidTr="00D24D27">
        <w:trPr>
          <w:trHeight w:val="410"/>
        </w:trPr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2BBE5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DIREKTIVË/RREGULLORE E BE-së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4F3245" w14:textId="34911A0D" w:rsidR="00B51927" w:rsidRDefault="00D24D27" w:rsidP="007B6556">
            <w:pPr>
              <w:spacing w:line="276" w:lineRule="auto"/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rektiva"/>
                  </w:ddList>
                </w:ffData>
              </w:fldChar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instrText xml:space="preserve"> FORMDROPDOWN </w:instrText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r w:rsidR="00584C71"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  <w:r w:rsidRPr="00CC6CAF">
              <w:rPr>
                <w:szCs w:val="24"/>
                <w:lang w:val="en-US" w:eastAsia="en-US"/>
              </w:rPr>
              <w:t>2004/25/EC takeover bids</w:t>
            </w:r>
          </w:p>
          <w:p w14:paraId="2E8F403F" w14:textId="7A3D8CE7" w:rsidR="00584C71" w:rsidRPr="00325A1F" w:rsidRDefault="002E753B" w:rsidP="002E753B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r w:rsidR="00584C71"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C84F64" w:rsidRPr="00BB40AE" w14:paraId="735B259E" w14:textId="77777777" w:rsidTr="007B6556">
        <w:trPr>
          <w:trHeight w:val="98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A9B943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PUBLIKIMET DHE STRATEGJITË E LIDHURA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352F0E" w14:textId="7C38087C" w:rsidR="00CA40EE" w:rsidRPr="00325A1F" w:rsidRDefault="00B17990" w:rsidP="00B17990">
            <w:pPr>
              <w:spacing w:line="276" w:lineRule="auto"/>
              <w:jc w:val="both"/>
              <w:rPr>
                <w:szCs w:val="24"/>
                <w:lang w:val="sq-AL"/>
              </w:rPr>
            </w:pPr>
            <w:r>
              <w:rPr>
                <w:color w:val="808080" w:themeColor="background1" w:themeShade="80"/>
                <w:szCs w:val="24"/>
              </w:rPr>
              <w:fldChar w:fldCharType="begin">
                <w:ffData>
                  <w:name w:val="Strategjia"/>
                  <w:enabled/>
                  <w:calcOnExit w:val="0"/>
                  <w:textInput>
                    <w:default w:val=" Jepni titullin e strategjisë ose të dokumentit të politikave që ka të bëjë me projektligjin."/>
                    <w:maxLength w:val="200"/>
                  </w:textInput>
                </w:ffData>
              </w:fldChar>
            </w:r>
            <w:bookmarkStart w:id="0" w:name="Strategjia"/>
            <w:r w:rsidRPr="001155AF">
              <w:rPr>
                <w:color w:val="808080" w:themeColor="background1" w:themeShade="80"/>
                <w:szCs w:val="24"/>
                <w:lang w:val="sq-AL"/>
              </w:rPr>
              <w:instrText xml:space="preserve"> FORMTEXT </w:instrText>
            </w:r>
            <w:r>
              <w:rPr>
                <w:color w:val="808080" w:themeColor="background1" w:themeShade="80"/>
                <w:szCs w:val="24"/>
              </w:rPr>
            </w:r>
            <w:r>
              <w:rPr>
                <w:color w:val="808080" w:themeColor="background1" w:themeShade="80"/>
                <w:szCs w:val="24"/>
              </w:rPr>
              <w:fldChar w:fldCharType="separate"/>
            </w:r>
            <w:r w:rsidRPr="001155AF">
              <w:rPr>
                <w:noProof/>
                <w:color w:val="808080" w:themeColor="background1" w:themeShade="80"/>
                <w:szCs w:val="24"/>
                <w:lang w:val="sq-AL"/>
              </w:rPr>
              <w:t xml:space="preserve"> Jepni titullin e strategjisë ose të dokumentit të politikave që ka të bëjë me projektligjin.</w:t>
            </w:r>
            <w:r>
              <w:rPr>
                <w:color w:val="808080" w:themeColor="background1" w:themeShade="80"/>
                <w:szCs w:val="24"/>
              </w:rPr>
              <w:fldChar w:fldCharType="end"/>
            </w:r>
            <w:bookmarkEnd w:id="0"/>
          </w:p>
        </w:tc>
      </w:tr>
      <w:tr w:rsidR="00C84F64" w:rsidRPr="00325A1F" w14:paraId="2507E6DF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BF1011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DATA E KONSULTIMIT PUBLIK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D824C8" w14:textId="56EE3CB0" w:rsidR="00CA40EE" w:rsidRPr="00325A1F" w:rsidRDefault="00AD3B0C" w:rsidP="00D7478D">
            <w:pPr>
              <w:spacing w:line="276" w:lineRule="auto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Data/Asnjë konsultim publik"/>
                <w:tag w:val="Data/Asnjë konsultim publik"/>
                <w:id w:val="2012326733"/>
                <w:placeholder>
                  <w:docPart w:val="FD861CBE38474042B6487F314DCD3331"/>
                </w:placeholder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5CBC" w:rsidRPr="003B5CBC">
                  <w:rPr>
                    <w:color w:val="808080" w:themeColor="background1" w:themeShade="80"/>
                    <w:szCs w:val="24"/>
                    <w:lang w:val="en-US"/>
                  </w:rPr>
                  <w:t>Data/</w:t>
                </w:r>
                <w:proofErr w:type="spellStart"/>
                <w:r w:rsidR="003B5CBC" w:rsidRPr="003B5CBC">
                  <w:rPr>
                    <w:color w:val="808080" w:themeColor="background1" w:themeShade="80"/>
                    <w:szCs w:val="24"/>
                    <w:lang w:val="en-US"/>
                  </w:rPr>
                  <w:t>Asnjë</w:t>
                </w:r>
                <w:proofErr w:type="spellEnd"/>
                <w:r w:rsidR="003B5CBC" w:rsidRPr="003B5CBC">
                  <w:rPr>
                    <w:color w:val="808080" w:themeColor="background1" w:themeShade="80"/>
                    <w:szCs w:val="24"/>
                    <w:lang w:val="en-US"/>
                  </w:rPr>
                  <w:t xml:space="preserve"> </w:t>
                </w:r>
                <w:proofErr w:type="spellStart"/>
                <w:r w:rsidR="003B5CBC" w:rsidRPr="003B5CBC">
                  <w:rPr>
                    <w:color w:val="808080" w:themeColor="background1" w:themeShade="80"/>
                    <w:szCs w:val="24"/>
                    <w:lang w:val="en-US"/>
                  </w:rPr>
                  <w:t>konsultim</w:t>
                </w:r>
                <w:proofErr w:type="spellEnd"/>
                <w:r w:rsidR="003B5CBC" w:rsidRPr="003B5CBC">
                  <w:rPr>
                    <w:color w:val="808080" w:themeColor="background1" w:themeShade="80"/>
                    <w:szCs w:val="24"/>
                    <w:lang w:val="en-US"/>
                  </w:rPr>
                  <w:t xml:space="preserve"> </w:t>
                </w:r>
                <w:proofErr w:type="spellStart"/>
                <w:r w:rsidR="003B5CBC" w:rsidRPr="003B5CBC">
                  <w:rPr>
                    <w:color w:val="808080" w:themeColor="background1" w:themeShade="80"/>
                    <w:szCs w:val="24"/>
                    <w:lang w:val="en-US"/>
                  </w:rPr>
                  <w:t>publik</w:t>
                </w:r>
                <w:proofErr w:type="spellEnd"/>
              </w:sdtContent>
            </w:sdt>
          </w:p>
        </w:tc>
      </w:tr>
      <w:tr w:rsidR="00C84F64" w:rsidRPr="001155AF" w14:paraId="3A928518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30C72A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DATA E VLERËSIMIT TË NDIKIMIT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555B0A" w14:textId="774FBB44" w:rsidR="00CA40EE" w:rsidRPr="00325A1F" w:rsidRDefault="00AD3B0C" w:rsidP="003B5CBC">
            <w:pPr>
              <w:spacing w:line="276" w:lineRule="auto"/>
              <w:jc w:val="both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përfundimi  vlerësimit të ndikimit/versioni i fundit i vlerësimit të ndikimit"/>
                <w:tag w:val="Data e përfundimit të vlerësimit të ndikimit/Data kur është përgatitur versioni i fundit të vlerësimit të ndikimit"/>
                <w:id w:val="339123984"/>
                <w:placeholder>
                  <w:docPart w:val="902FE64B29424F659DBB099D6CE88D80"/>
                </w:placeholder>
                <w:date w:fullDate="2025-10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506">
                  <w:rPr>
                    <w:szCs w:val="24"/>
                    <w:lang w:val="en-US"/>
                  </w:rPr>
                  <w:t>01/10/2025</w:t>
                </w:r>
              </w:sdtContent>
            </w:sdt>
          </w:p>
        </w:tc>
      </w:tr>
      <w:tr w:rsidR="00C84F64" w:rsidRPr="00325A1F" w14:paraId="6185A770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08CA3B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A E KA SHQYRTUAR KRYEMINISTRIA VLERËSIMIN E NDIKIMIT? </w:t>
            </w:r>
          </w:p>
          <w:p w14:paraId="4642EB1C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NËSE PO, JEPNI DATËN E SHQYRTIMIT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07B033" w14:textId="0E088E51" w:rsidR="006B131C" w:rsidRPr="00325A1F" w:rsidRDefault="003B5CBC" w:rsidP="007B6556">
            <w:pPr>
              <w:spacing w:line="276" w:lineRule="auto"/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ShqyrtuarKM"/>
                  <w:enabled/>
                  <w:calcOnExit w:val="0"/>
                  <w:ddList>
                    <w:listEntry w:val="Po/Jo"/>
                    <w:listEntry w:val="Po"/>
                    <w:listEntry w:val="Jo"/>
                  </w:ddList>
                </w:ffData>
              </w:fldChar>
            </w:r>
            <w:bookmarkStart w:id="1" w:name="ShqyrtuarKM"/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instrText xml:space="preserve"> FORMDROPDOWN </w:instrText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bookmarkEnd w:id="1"/>
          </w:p>
          <w:p w14:paraId="10427B6C" w14:textId="1B184025" w:rsidR="008326DB" w:rsidRPr="00325A1F" w:rsidRDefault="00AD3B0C" w:rsidP="003B5CBC">
            <w:pPr>
              <w:tabs>
                <w:tab w:val="left" w:pos="795"/>
              </w:tabs>
              <w:spacing w:line="276" w:lineRule="auto"/>
              <w:jc w:val="both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Data e shqyrtimit nga Kryeministria"/>
                <w:tag w:val="Data e shqyrtimit nga Kryeministria"/>
                <w:id w:val="-1285451"/>
                <w:placeholder>
                  <w:docPart w:val="1AD1A34C84384DA5B2C88EB652FCD115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5CBC" w:rsidRPr="003B5CBC">
                  <w:rPr>
                    <w:rStyle w:val="PlaceholderText"/>
                    <w:rFonts w:eastAsiaTheme="majorEastAsia"/>
                  </w:rPr>
                  <w:t>Data e shqyrtimit</w:t>
                </w:r>
              </w:sdtContent>
            </w:sdt>
          </w:p>
        </w:tc>
      </w:tr>
      <w:tr w:rsidR="00C84F64" w:rsidRPr="00325A1F" w14:paraId="75141EF4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755F48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NUMRI I VLERËSIMIT TË NDIKIMIT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D54711" w14:textId="0113E1F3" w:rsidR="00CA40EE" w:rsidRPr="00325A1F" w:rsidRDefault="00444DC8" w:rsidP="00D7478D">
            <w:pPr>
              <w:spacing w:line="276" w:lineRule="auto"/>
              <w:rPr>
                <w:szCs w:val="24"/>
                <w:lang w:val="sq-AL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Viti"/>
                    <w:maxLength w:val="4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Viti</w:t>
            </w:r>
            <w:r>
              <w:rPr>
                <w:szCs w:val="24"/>
              </w:rPr>
              <w:fldChar w:fldCharType="end"/>
            </w:r>
            <w:r w:rsidR="00FF0F21" w:rsidRPr="00325A1F">
              <w:rPr>
                <w:szCs w:val="24"/>
                <w:lang w:val="sq-AL"/>
              </w:rPr>
              <w:t xml:space="preserve">– </w:t>
            </w:r>
            <w:r w:rsidR="00B5192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L"/>
                    <w:maxLength w:val="4"/>
                  </w:textInput>
                </w:ffData>
              </w:fldChar>
            </w:r>
            <w:r w:rsidR="00B51927">
              <w:rPr>
                <w:szCs w:val="24"/>
              </w:rPr>
              <w:instrText xml:space="preserve"> FORMTEXT </w:instrText>
            </w:r>
            <w:r w:rsidR="00B51927">
              <w:rPr>
                <w:szCs w:val="24"/>
              </w:rPr>
            </w:r>
            <w:r w:rsidR="00B51927">
              <w:rPr>
                <w:szCs w:val="24"/>
              </w:rPr>
              <w:fldChar w:fldCharType="separate"/>
            </w:r>
            <w:r w:rsidR="00B51927">
              <w:rPr>
                <w:noProof/>
                <w:szCs w:val="24"/>
              </w:rPr>
              <w:t>ML</w:t>
            </w:r>
            <w:r w:rsidR="00B51927">
              <w:rPr>
                <w:szCs w:val="24"/>
              </w:rPr>
              <w:fldChar w:fldCharType="end"/>
            </w:r>
            <w:r w:rsidR="00B51927"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FF0F21" w:rsidRPr="00325A1F">
              <w:rPr>
                <w:szCs w:val="24"/>
                <w:lang w:val="sq-AL"/>
              </w:rPr>
              <w:t xml:space="preserve">–  </w:t>
            </w:r>
            <w:r w:rsidR="00B51927">
              <w:rPr>
                <w:szCs w:val="24"/>
                <w:lang w:val="sq-AL"/>
              </w:rPr>
              <w:t xml:space="preserve">Nr. </w:t>
            </w:r>
            <w:r w:rsidR="00B5192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N"/>
                    <w:maxLength w:val="70"/>
                  </w:textInput>
                </w:ffData>
              </w:fldChar>
            </w:r>
            <w:r w:rsidR="00B51927">
              <w:rPr>
                <w:szCs w:val="24"/>
              </w:rPr>
              <w:instrText xml:space="preserve"> FORMTEXT </w:instrText>
            </w:r>
            <w:r w:rsidR="00B51927">
              <w:rPr>
                <w:szCs w:val="24"/>
              </w:rPr>
            </w:r>
            <w:r w:rsidR="00B51927">
              <w:rPr>
                <w:szCs w:val="24"/>
              </w:rPr>
              <w:fldChar w:fldCharType="separate"/>
            </w:r>
            <w:r w:rsidR="00B51927">
              <w:rPr>
                <w:noProof/>
                <w:szCs w:val="24"/>
              </w:rPr>
              <w:t>VN</w:t>
            </w:r>
            <w:r w:rsidR="00B51927">
              <w:rPr>
                <w:szCs w:val="24"/>
              </w:rPr>
              <w:fldChar w:fldCharType="end"/>
            </w:r>
            <w:r w:rsidR="00B51927"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C84F64" w:rsidRPr="00325A1F" w14:paraId="08E498EE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F4774B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TE DHËNA KONTAKTI </w:t>
            </w:r>
          </w:p>
          <w:p w14:paraId="00914D72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(EMRI, E-MAIL, NUMRI I TELEFONIT TË PERSONIT TË KONTAKTIT)</w:t>
            </w:r>
          </w:p>
        </w:tc>
        <w:sdt>
          <w:sdtPr>
            <w:rPr>
              <w:szCs w:val="24"/>
              <w:lang w:val="sq-AL"/>
            </w:rPr>
            <w:id w:val="1361013490"/>
            <w:placeholder>
              <w:docPart w:val="DefaultPlaceholder_1081868574"/>
            </w:placeholder>
          </w:sdtPr>
          <w:sdtEndPr/>
          <w:sdtContent>
            <w:tc>
              <w:tcPr>
                <w:tcW w:w="46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6154AFAE" w14:textId="1D25B550" w:rsidR="00CA40EE" w:rsidRPr="00325A1F" w:rsidRDefault="00B17990" w:rsidP="00B17990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 xml:space="preserve"> </w:t>
                </w:r>
                <w:r w:rsidR="00304BF7">
                  <w:rPr>
                    <w:szCs w:val="24"/>
                    <w:lang w:val="sq-AL"/>
                  </w:rPr>
                  <w:t>S</w:t>
                </w:r>
                <w:r w:rsidR="00C87506">
                  <w:rPr>
                    <w:szCs w:val="24"/>
                    <w:lang w:val="sq-AL"/>
                  </w:rPr>
                  <w:t>a</w:t>
                </w:r>
                <w:r w:rsidR="00304BF7">
                  <w:rPr>
                    <w:szCs w:val="24"/>
                    <w:lang w:val="sq-AL"/>
                  </w:rPr>
                  <w:t>imir.mucmataj@amf.gov.al</w:t>
                </w:r>
              </w:p>
            </w:tc>
          </w:sdtContent>
        </w:sdt>
      </w:tr>
      <w:tr w:rsidR="00CA40EE" w:rsidRPr="00325A1F" w14:paraId="5382CFFE" w14:textId="77777777" w:rsidTr="007B6556">
        <w:trPr>
          <w:trHeight w:val="162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A4EC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</w:tc>
      </w:tr>
      <w:tr w:rsidR="00CA40EE" w:rsidRPr="00325A1F" w14:paraId="5E27A2CA" w14:textId="77777777" w:rsidTr="007B6556">
        <w:trPr>
          <w:trHeight w:val="353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6DCB94" w14:textId="06FFA005" w:rsidR="00CA40EE" w:rsidRPr="00325A1F" w:rsidRDefault="00CA40EE" w:rsidP="00C133FC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PJESA 1: PËRMBLEDHJE EKZEKUTIVE </w:t>
            </w:r>
            <w:r w:rsidR="00C133FC">
              <w:rPr>
                <w:b/>
                <w:szCs w:val="24"/>
                <w:lang w:val="sq-AL"/>
              </w:rPr>
              <w:t>(maksimumi 2 faqe)</w:t>
            </w:r>
          </w:p>
        </w:tc>
      </w:tr>
      <w:tr w:rsidR="00CA40EE" w:rsidRPr="00BB40AE" w14:paraId="677778F6" w14:textId="77777777" w:rsidTr="007B6556">
        <w:trPr>
          <w:trHeight w:val="552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F7CD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PËRKUFIZIMI I PROBLEMIT</w:t>
            </w:r>
          </w:p>
          <w:p w14:paraId="04059F76" w14:textId="27F0E1D2" w:rsidR="00071110" w:rsidRPr="000D5974" w:rsidRDefault="001E0D36" w:rsidP="00027038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>
              <w:rPr>
                <w:i/>
                <w:szCs w:val="24"/>
              </w:rPr>
              <w:fldChar w:fldCharType="begin">
                <w:ffData>
                  <w:name w:val="PerkufizimProblemi"/>
                  <w:enabled w:val="0"/>
                  <w:calcOnExit w:val="0"/>
                  <w:textInput>
                    <w:default w:val="Cili është problemi në shqyrtim dhe cilat janë shkaqet e tij? Jepni arsyet e nevojës së ndërhyrjes së qeverisë. (jo më shumë se 10 rreshta) "/>
                    <w:maxLength w:val="780"/>
                  </w:textInput>
                </w:ffData>
              </w:fldChar>
            </w:r>
            <w:bookmarkStart w:id="2" w:name="PerkufizimProblemi"/>
            <w:r w:rsidRPr="000D5974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0D5974">
              <w:rPr>
                <w:i/>
                <w:noProof/>
                <w:szCs w:val="24"/>
                <w:lang w:val="sq-AL"/>
              </w:rPr>
              <w:t xml:space="preserve">Cili është problemi në shqyrtim dhe cilat janë shkaqet e tij? Jepni arsyet e nevojës së ndërhyrjes së qeverisë. (jo më shumë se 10 rreshta) </w:t>
            </w:r>
            <w:r>
              <w:rPr>
                <w:i/>
                <w:szCs w:val="24"/>
              </w:rPr>
              <w:fldChar w:fldCharType="end"/>
            </w:r>
            <w:bookmarkEnd w:id="2"/>
          </w:p>
          <w:p w14:paraId="5DDFED54" w14:textId="77777777" w:rsidR="008B6E9E" w:rsidRDefault="008B6E9E" w:rsidP="001E0D36"/>
          <w:p w14:paraId="72A08681" w14:textId="77777777" w:rsidR="008B6E9E" w:rsidRPr="00CC6CAF" w:rsidRDefault="008B6E9E" w:rsidP="008B6E9E">
            <w:pPr>
              <w:spacing w:before="100" w:beforeAutospacing="1" w:after="100" w:afterAutospacing="1"/>
              <w:jc w:val="both"/>
              <w:rPr>
                <w:szCs w:val="24"/>
                <w:lang w:val="en-US" w:eastAsia="en-US"/>
              </w:rPr>
            </w:pPr>
            <w:proofErr w:type="spellStart"/>
            <w:r w:rsidRPr="00CC6CAF">
              <w:rPr>
                <w:szCs w:val="24"/>
                <w:lang w:val="en-US" w:eastAsia="en-US"/>
              </w:rPr>
              <w:t>Kuadri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aktual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ligjor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për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ofertat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CC6CAF">
              <w:rPr>
                <w:szCs w:val="24"/>
                <w:lang w:val="en-US" w:eastAsia="en-US"/>
              </w:rPr>
              <w:t>marrjes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në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kontroll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(takeover bids) </w:t>
            </w:r>
            <w:proofErr w:type="spellStart"/>
            <w:r w:rsidRPr="00CC6CAF">
              <w:rPr>
                <w:szCs w:val="24"/>
                <w:lang w:val="en-US" w:eastAsia="en-US"/>
              </w:rPr>
              <w:t>është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i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paplotësuar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dhe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pjesërisht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i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vjetëruar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krahasuar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me </w:t>
            </w:r>
            <w:proofErr w:type="spellStart"/>
            <w:r w:rsidRPr="00CC6CAF">
              <w:rPr>
                <w:szCs w:val="24"/>
                <w:lang w:val="en-US" w:eastAsia="en-US"/>
              </w:rPr>
              <w:t>kërkesat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CC6CAF">
              <w:rPr>
                <w:szCs w:val="24"/>
                <w:lang w:val="en-US" w:eastAsia="en-US"/>
              </w:rPr>
              <w:t>Direktivës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2004/25/EC. </w:t>
            </w:r>
            <w:proofErr w:type="spellStart"/>
            <w:r w:rsidRPr="00CC6CAF">
              <w:rPr>
                <w:szCs w:val="24"/>
                <w:lang w:val="en-US" w:eastAsia="en-US"/>
              </w:rPr>
              <w:t>Kjo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krijon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pasiguri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juridike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për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investitorët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dhe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shoqëritë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aksionare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CC6CAF">
              <w:rPr>
                <w:szCs w:val="24"/>
                <w:lang w:val="en-US" w:eastAsia="en-US"/>
              </w:rPr>
              <w:t>veçanërisht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në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fushat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kritike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si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çmimi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i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drejtë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CC6CAF">
              <w:rPr>
                <w:szCs w:val="24"/>
                <w:lang w:val="en-US" w:eastAsia="en-US"/>
              </w:rPr>
              <w:t>mbrojtja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CC6CAF">
              <w:rPr>
                <w:szCs w:val="24"/>
                <w:lang w:val="en-US" w:eastAsia="en-US"/>
              </w:rPr>
              <w:t>aksionarëve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minoritarë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CC6CAF">
              <w:rPr>
                <w:szCs w:val="24"/>
                <w:lang w:val="en-US" w:eastAsia="en-US"/>
              </w:rPr>
              <w:t>masat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mbrojtëse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bordit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gjatë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një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oferte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dhe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procedurat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në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situata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ndërkufitare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(</w:t>
            </w:r>
            <w:proofErr w:type="spellStart"/>
            <w:r w:rsidRPr="00CC6CAF">
              <w:rPr>
                <w:szCs w:val="24"/>
                <w:lang w:val="en-US" w:eastAsia="en-US"/>
              </w:rPr>
              <w:t>kur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selia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është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në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një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shtet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dhe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listimi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në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një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tjetër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). </w:t>
            </w:r>
            <w:proofErr w:type="spellStart"/>
            <w:r w:rsidRPr="00CC6CAF">
              <w:rPr>
                <w:szCs w:val="24"/>
                <w:lang w:val="en-US" w:eastAsia="en-US"/>
              </w:rPr>
              <w:t>Mungojnë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detyrimet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CC6CAF">
              <w:rPr>
                <w:szCs w:val="24"/>
                <w:lang w:val="en-US" w:eastAsia="en-US"/>
              </w:rPr>
              <w:t>qarta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për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raportim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Komisioni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Evropian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dhe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për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depozitimin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CC6CAF">
              <w:rPr>
                <w:szCs w:val="24"/>
                <w:lang w:val="en-US" w:eastAsia="en-US"/>
              </w:rPr>
              <w:t>informacionit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në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ESAP </w:t>
            </w:r>
            <w:proofErr w:type="spellStart"/>
            <w:r w:rsidRPr="00CC6CAF">
              <w:rPr>
                <w:szCs w:val="24"/>
                <w:lang w:val="en-US" w:eastAsia="en-US"/>
              </w:rPr>
              <w:t>në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formate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lexueshme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nga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makina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CC6CAF">
              <w:rPr>
                <w:szCs w:val="24"/>
                <w:lang w:val="en-US" w:eastAsia="en-US"/>
              </w:rPr>
              <w:t>siç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kërkohet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nga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acquis. Pa </w:t>
            </w:r>
            <w:proofErr w:type="spellStart"/>
            <w:r w:rsidRPr="00CC6CAF">
              <w:rPr>
                <w:szCs w:val="24"/>
                <w:lang w:val="en-US" w:eastAsia="en-US"/>
              </w:rPr>
              <w:t>ndërhyrje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qeveritare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CC6CAF">
              <w:rPr>
                <w:szCs w:val="24"/>
                <w:lang w:val="en-US" w:eastAsia="en-US"/>
              </w:rPr>
              <w:t>ekziston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rreziku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i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shtrembërimit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kushteve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tregut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CC6CAF">
              <w:rPr>
                <w:szCs w:val="24"/>
                <w:lang w:val="en-US" w:eastAsia="en-US"/>
              </w:rPr>
              <w:t>rritje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CC6CAF">
              <w:rPr>
                <w:szCs w:val="24"/>
                <w:lang w:val="en-US" w:eastAsia="en-US"/>
              </w:rPr>
              <w:t>kostos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së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kapitalit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CC6CAF">
              <w:rPr>
                <w:szCs w:val="24"/>
                <w:lang w:val="en-US" w:eastAsia="en-US"/>
              </w:rPr>
              <w:t>pengesë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për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listime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në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tregun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vendas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dhe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dobësim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i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besimit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investitorëve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. </w:t>
            </w:r>
            <w:proofErr w:type="spellStart"/>
            <w:r w:rsidRPr="00CC6CAF">
              <w:rPr>
                <w:szCs w:val="24"/>
                <w:lang w:val="en-US" w:eastAsia="en-US"/>
              </w:rPr>
              <w:t>Ndërhyrja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ligjore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është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CC6CAF">
              <w:rPr>
                <w:szCs w:val="24"/>
                <w:lang w:val="en-US" w:eastAsia="en-US"/>
              </w:rPr>
              <w:t>nevojshme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për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siguruar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përafrim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plotë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me BE-</w:t>
            </w:r>
            <w:proofErr w:type="spellStart"/>
            <w:r w:rsidRPr="00CC6CAF">
              <w:rPr>
                <w:szCs w:val="24"/>
                <w:lang w:val="en-US" w:eastAsia="en-US"/>
              </w:rPr>
              <w:t>në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(</w:t>
            </w:r>
            <w:proofErr w:type="spellStart"/>
            <w:r w:rsidRPr="00CC6CAF">
              <w:rPr>
                <w:szCs w:val="24"/>
                <w:lang w:val="en-US" w:eastAsia="en-US"/>
              </w:rPr>
              <w:t>në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funksion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objektivit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politik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2030), </w:t>
            </w:r>
            <w:proofErr w:type="spellStart"/>
            <w:r w:rsidRPr="00CC6CAF">
              <w:rPr>
                <w:szCs w:val="24"/>
                <w:lang w:val="en-US" w:eastAsia="en-US"/>
              </w:rPr>
              <w:t>për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bërë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tregun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shqiptar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kapitaleve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pranueshëm</w:t>
            </w:r>
            <w:proofErr w:type="spellEnd"/>
            <w:r w:rsidRPr="00CC6CAF">
              <w:rPr>
                <w:szCs w:val="24"/>
                <w:lang w:val="en-US" w:eastAsia="en-US"/>
              </w:rPr>
              <w:t>/</w:t>
            </w:r>
            <w:proofErr w:type="spellStart"/>
            <w:r w:rsidRPr="00CC6CAF">
              <w:rPr>
                <w:szCs w:val="24"/>
                <w:lang w:val="en-US" w:eastAsia="en-US"/>
              </w:rPr>
              <w:t>aksesueshëm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brenda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hapësirës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ekonomike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evropiane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dhe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për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të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rritur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transparencën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CC6CAF">
              <w:rPr>
                <w:szCs w:val="24"/>
                <w:lang w:val="en-US" w:eastAsia="en-US"/>
              </w:rPr>
              <w:t>mbrojtjen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CC6CAF">
              <w:rPr>
                <w:szCs w:val="24"/>
                <w:lang w:val="en-US" w:eastAsia="en-US"/>
              </w:rPr>
              <w:t>investitorit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dhe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stabilitetin</w:t>
            </w:r>
            <w:proofErr w:type="spellEnd"/>
            <w:r w:rsidRPr="00CC6CAF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CC6CAF">
              <w:rPr>
                <w:szCs w:val="24"/>
                <w:lang w:val="en-US" w:eastAsia="en-US"/>
              </w:rPr>
              <w:t>financiar</w:t>
            </w:r>
            <w:proofErr w:type="spellEnd"/>
            <w:r w:rsidRPr="00CC6CAF">
              <w:rPr>
                <w:szCs w:val="24"/>
                <w:lang w:val="en-US" w:eastAsia="en-US"/>
              </w:rPr>
              <w:t>.</w:t>
            </w:r>
          </w:p>
          <w:p w14:paraId="4843AE03" w14:textId="145361E9" w:rsidR="001E0D36" w:rsidRPr="000D5974" w:rsidRDefault="001E0D36" w:rsidP="001E0D36">
            <w:pPr>
              <w:rPr>
                <w:lang w:val="sq-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  <w:maxLength w:val="780"/>
                  </w:textInput>
                </w:ffData>
              </w:fldChar>
            </w:r>
            <w:r w:rsidRPr="000D5974">
              <w:rPr>
                <w:lang w:val="sq-AL"/>
              </w:rPr>
              <w:instrText xml:space="preserve"> FORMTEXT </w:instrText>
            </w:r>
            <w:r>
              <w:fldChar w:fldCharType="separate"/>
            </w:r>
            <w:r w:rsidRPr="000D5974">
              <w:rPr>
                <w:noProof/>
                <w:lang w:val="sq-AL"/>
              </w:rPr>
              <w:t xml:space="preserve"> </w:t>
            </w:r>
            <w:r>
              <w:fldChar w:fldCharType="end"/>
            </w:r>
          </w:p>
        </w:tc>
      </w:tr>
      <w:tr w:rsidR="00CA40EE" w:rsidRPr="00325A1F" w14:paraId="39CA30C9" w14:textId="77777777" w:rsidTr="007B6556">
        <w:trPr>
          <w:trHeight w:val="543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6755" w14:textId="6BC2B85F" w:rsidR="00CA40EE" w:rsidRPr="00325A1F" w:rsidRDefault="00CA40EE" w:rsidP="007B6556">
            <w:pPr>
              <w:spacing w:line="276" w:lineRule="auto"/>
              <w:jc w:val="both"/>
              <w:rPr>
                <w:b/>
                <w:i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lastRenderedPageBreak/>
              <w:t>OBJEKTIVAT</w:t>
            </w:r>
          </w:p>
          <w:p w14:paraId="07A69F56" w14:textId="58AF77E9" w:rsidR="008576E4" w:rsidRDefault="006E7CFB" w:rsidP="00C05B46">
            <w:pPr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fldChar w:fldCharType="begin">
                <w:ffData>
                  <w:name w:val="Objektivat"/>
                  <w:enabled w:val="0"/>
                  <w:calcOnExit w:val="0"/>
                  <w:textInput>
                    <w:default w:val="Cilat janë objektivat dhe rezultatet e synuara të propozimit? (jo më shumë se 7  rreshta)"/>
                    <w:maxLength w:val="546"/>
                  </w:textInput>
                </w:ffData>
              </w:fldChar>
            </w:r>
            <w:bookmarkStart w:id="3" w:name="Objektivat"/>
            <w:r w:rsidRPr="001155AF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1155AF">
              <w:rPr>
                <w:i/>
                <w:noProof/>
                <w:szCs w:val="24"/>
                <w:lang w:val="sq-AL"/>
              </w:rPr>
              <w:t xml:space="preserve">Cilat janë objektivat dhe rezultatet e synuara të propozimit? </w:t>
            </w:r>
            <w:r>
              <w:rPr>
                <w:i/>
                <w:noProof/>
                <w:szCs w:val="24"/>
              </w:rPr>
              <w:t>(jo më shumë se 7  rreshta)</w:t>
            </w:r>
            <w:r>
              <w:rPr>
                <w:i/>
                <w:szCs w:val="24"/>
              </w:rPr>
              <w:fldChar w:fldCharType="end"/>
            </w:r>
            <w:bookmarkEnd w:id="3"/>
          </w:p>
          <w:p w14:paraId="515E22FF" w14:textId="77777777" w:rsidR="005E6020" w:rsidRDefault="005E6020" w:rsidP="00C05B46">
            <w:pPr>
              <w:spacing w:line="276" w:lineRule="auto"/>
              <w:jc w:val="both"/>
              <w:rPr>
                <w:i/>
                <w:szCs w:val="24"/>
              </w:rPr>
            </w:pPr>
          </w:p>
          <w:p w14:paraId="08CC347F" w14:textId="77777777" w:rsidR="005E6020" w:rsidRPr="008D1B39" w:rsidRDefault="005E6020" w:rsidP="005E6020">
            <w:pPr>
              <w:spacing w:line="276" w:lineRule="auto"/>
              <w:jc w:val="both"/>
              <w:rPr>
                <w:lang w:val="sq-AL"/>
              </w:rPr>
            </w:pPr>
            <w:proofErr w:type="spellStart"/>
            <w:r>
              <w:t>Objektivi</w:t>
            </w:r>
            <w:proofErr w:type="spellEnd"/>
            <w:r>
              <w:t xml:space="preserve"> </w:t>
            </w:r>
            <w:proofErr w:type="spellStart"/>
            <w:r>
              <w:t>kryesor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përafrimi</w:t>
            </w:r>
            <w:proofErr w:type="spellEnd"/>
            <w:r>
              <w:t xml:space="preserve"> material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plotë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ligjit</w:t>
            </w:r>
            <w:proofErr w:type="spellEnd"/>
            <w:r>
              <w:t xml:space="preserve"> </w:t>
            </w:r>
            <w:proofErr w:type="spellStart"/>
            <w:r>
              <w:t>shqiptar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ofertat</w:t>
            </w:r>
            <w:proofErr w:type="spellEnd"/>
            <w:r>
              <w:t xml:space="preserve"> e </w:t>
            </w:r>
            <w:proofErr w:type="spellStart"/>
            <w:r>
              <w:t>marrjes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kontroll</w:t>
            </w:r>
            <w:proofErr w:type="spellEnd"/>
            <w:r>
              <w:t xml:space="preserve"> me </w:t>
            </w:r>
            <w:proofErr w:type="spellStart"/>
            <w:r>
              <w:t>Direktivën</w:t>
            </w:r>
            <w:proofErr w:type="spellEnd"/>
            <w:r>
              <w:t xml:space="preserve"> 2004/25/EC </w:t>
            </w:r>
            <w:proofErr w:type="spellStart"/>
            <w:r>
              <w:t>dhe</w:t>
            </w:r>
            <w:proofErr w:type="spellEnd"/>
            <w:r>
              <w:t xml:space="preserve"> acquis-in </w:t>
            </w:r>
            <w:proofErr w:type="spellStart"/>
            <w:r>
              <w:t>përkatës</w:t>
            </w:r>
            <w:proofErr w:type="spellEnd"/>
            <w:r>
              <w:t xml:space="preserve">,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funksion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integrimit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tregun</w:t>
            </w:r>
            <w:proofErr w:type="spellEnd"/>
            <w:r>
              <w:t xml:space="preserve"> </w:t>
            </w:r>
            <w:proofErr w:type="spellStart"/>
            <w:r>
              <w:t>evropian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kapitaleve</w:t>
            </w:r>
            <w:proofErr w:type="spellEnd"/>
            <w:r>
              <w:t xml:space="preserve">. </w:t>
            </w:r>
            <w:proofErr w:type="spellStart"/>
            <w:r>
              <w:t>Synohet</w:t>
            </w:r>
            <w:proofErr w:type="spellEnd"/>
            <w:r>
              <w:t xml:space="preserve"> </w:t>
            </w:r>
            <w:proofErr w:type="spellStart"/>
            <w:r>
              <w:t>rritja</w:t>
            </w:r>
            <w:proofErr w:type="spellEnd"/>
            <w:r>
              <w:t xml:space="preserve"> e </w:t>
            </w:r>
            <w:proofErr w:type="spellStart"/>
            <w:r>
              <w:t>sigurisë</w:t>
            </w:r>
            <w:proofErr w:type="spellEnd"/>
            <w:r>
              <w:t xml:space="preserve"> </w:t>
            </w:r>
            <w:proofErr w:type="spellStart"/>
            <w:r>
              <w:t>juridike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transparencës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proceset</w:t>
            </w:r>
            <w:proofErr w:type="spellEnd"/>
            <w:r>
              <w:t xml:space="preserve"> e </w:t>
            </w:r>
            <w:proofErr w:type="spellStart"/>
            <w:r>
              <w:t>ofertave</w:t>
            </w:r>
            <w:proofErr w:type="spellEnd"/>
            <w:r>
              <w:t xml:space="preserve">, </w:t>
            </w:r>
            <w:proofErr w:type="spellStart"/>
            <w:r>
              <w:t>përcaktimi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qartë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“</w:t>
            </w:r>
            <w:proofErr w:type="spellStart"/>
            <w:r>
              <w:t>çmimit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drejtë</w:t>
            </w:r>
            <w:proofErr w:type="spellEnd"/>
            <w:r>
              <w:t xml:space="preserve">”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mbrojtje</w:t>
            </w:r>
            <w:proofErr w:type="spellEnd"/>
            <w:r>
              <w:t xml:space="preserve"> e </w:t>
            </w:r>
            <w:proofErr w:type="spellStart"/>
            <w:r>
              <w:t>balancuar</w:t>
            </w:r>
            <w:proofErr w:type="spellEnd"/>
            <w:r>
              <w:t xml:space="preserve"> e </w:t>
            </w:r>
            <w:proofErr w:type="spellStart"/>
            <w:r>
              <w:t>aksionarëve</w:t>
            </w:r>
            <w:proofErr w:type="spellEnd"/>
            <w:r>
              <w:t xml:space="preserve"> </w:t>
            </w:r>
            <w:proofErr w:type="spellStart"/>
            <w:r>
              <w:t>minoritarë</w:t>
            </w:r>
            <w:proofErr w:type="spellEnd"/>
            <w:r>
              <w:t xml:space="preserve">. </w:t>
            </w:r>
            <w:proofErr w:type="spellStart"/>
            <w:r>
              <w:t>Forcohet</w:t>
            </w:r>
            <w:proofErr w:type="spellEnd"/>
            <w:r>
              <w:t xml:space="preserve"> </w:t>
            </w:r>
            <w:proofErr w:type="spellStart"/>
            <w:r>
              <w:t>roli</w:t>
            </w:r>
            <w:proofErr w:type="spellEnd"/>
            <w:r>
              <w:t xml:space="preserve"> </w:t>
            </w:r>
            <w:proofErr w:type="spellStart"/>
            <w:r>
              <w:t>mbikëqyrës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Autoritetit</w:t>
            </w:r>
            <w:proofErr w:type="spellEnd"/>
            <w:r>
              <w:t xml:space="preserve">, duke </w:t>
            </w:r>
            <w:proofErr w:type="spellStart"/>
            <w:r>
              <w:t>përfshirë</w:t>
            </w:r>
            <w:proofErr w:type="spellEnd"/>
            <w:r>
              <w:t xml:space="preserve"> </w:t>
            </w:r>
            <w:proofErr w:type="spellStart"/>
            <w:r>
              <w:t>kompetencat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rastet</w:t>
            </w:r>
            <w:proofErr w:type="spellEnd"/>
            <w:r>
              <w:t xml:space="preserve"> </w:t>
            </w:r>
            <w:proofErr w:type="spellStart"/>
            <w:r>
              <w:t>ndërkufitare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bashkëpunimin</w:t>
            </w:r>
            <w:proofErr w:type="spellEnd"/>
            <w:r>
              <w:t xml:space="preserve"> me </w:t>
            </w:r>
            <w:proofErr w:type="spellStart"/>
            <w:r>
              <w:t>autoritetet</w:t>
            </w:r>
            <w:proofErr w:type="spellEnd"/>
            <w:r>
              <w:t xml:space="preserve"> e BE/ZEE. </w:t>
            </w:r>
            <w:proofErr w:type="spellStart"/>
            <w:r>
              <w:t>Përcaktohen</w:t>
            </w:r>
            <w:proofErr w:type="spellEnd"/>
            <w:r>
              <w:t xml:space="preserve"> </w:t>
            </w:r>
            <w:proofErr w:type="spellStart"/>
            <w:r>
              <w:t>mekanizma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raportim</w:t>
            </w:r>
            <w:proofErr w:type="spellEnd"/>
            <w:r>
              <w:t xml:space="preserve"> </w:t>
            </w:r>
            <w:proofErr w:type="spellStart"/>
            <w:r>
              <w:t>vjetor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Komisioni</w:t>
            </w:r>
            <w:proofErr w:type="spellEnd"/>
            <w:r>
              <w:t xml:space="preserve"> </w:t>
            </w:r>
            <w:proofErr w:type="spellStart"/>
            <w:r>
              <w:t>Evropian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depozitimin</w:t>
            </w:r>
            <w:proofErr w:type="spellEnd"/>
            <w:r>
              <w:t xml:space="preserve"> e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ESAP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formate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lexueshme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makina</w:t>
            </w:r>
            <w:proofErr w:type="spellEnd"/>
            <w:r>
              <w:t xml:space="preserve">. </w:t>
            </w:r>
            <w:proofErr w:type="spellStart"/>
            <w:r>
              <w:t>Rezultati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synuar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treg</w:t>
            </w:r>
            <w:proofErr w:type="spellEnd"/>
            <w:r>
              <w:t xml:space="preserve"> </w:t>
            </w:r>
            <w:proofErr w:type="spellStart"/>
            <w:r>
              <w:t>më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besueshëm</w:t>
            </w:r>
            <w:proofErr w:type="spellEnd"/>
            <w:r>
              <w:t xml:space="preserve">, </w:t>
            </w:r>
            <w:proofErr w:type="spellStart"/>
            <w:r>
              <w:t>më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aksesueshëm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investitorë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më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gatshëm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anëtarësimin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BE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horizontin</w:t>
            </w:r>
            <w:proofErr w:type="spellEnd"/>
            <w:r>
              <w:t xml:space="preserve"> 2030.</w:t>
            </w:r>
          </w:p>
          <w:p w14:paraId="61C410ED" w14:textId="23716E60" w:rsidR="001E0D36" w:rsidRPr="00325A1F" w:rsidRDefault="001E0D36" w:rsidP="001E0D36">
            <w:pPr>
              <w:jc w:val="both"/>
            </w:pPr>
          </w:p>
        </w:tc>
      </w:tr>
      <w:tr w:rsidR="00CA40EE" w:rsidRPr="00325A1F" w14:paraId="3F92AAA3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8628" w14:textId="7693849C" w:rsidR="00CA40EE" w:rsidRPr="00325A1F" w:rsidRDefault="008576E4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OPSIONET E POLITIKAVE</w:t>
            </w:r>
          </w:p>
          <w:p w14:paraId="7F696100" w14:textId="69C96E0E" w:rsidR="008576E4" w:rsidRDefault="006E7CFB" w:rsidP="00027038">
            <w:pPr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opsionet kryesore të politikave? Duhet të bëni krahasimin e avantazheve/përfitimeve kryesore dhe të dizavantazheve/kostove të opsioneve të mundshme.  (jo më shumë se 7 rreshta)"/>
                    <w:maxLength w:val="546"/>
                  </w:textInput>
                </w:ffData>
              </w:fldChar>
            </w:r>
            <w:r w:rsidRPr="001155AF">
              <w:rPr>
                <w:i/>
                <w:szCs w:val="24"/>
                <w:lang w:val="it-IT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1155AF">
              <w:rPr>
                <w:i/>
                <w:noProof/>
                <w:szCs w:val="24"/>
                <w:lang w:val="it-IT"/>
              </w:rPr>
              <w:t xml:space="preserve">Cilat janë opsionet kryesore të politikave? Duhet të bëni krahasimin e avantazheve/përfitimeve kryesore dhe të dizavantazheve/kostove të opsioneve të mundshme.  </w:t>
            </w:r>
            <w:r>
              <w:rPr>
                <w:i/>
                <w:noProof/>
                <w:szCs w:val="24"/>
              </w:rPr>
              <w:t>(jo më shumë se 7 rreshta)</w:t>
            </w:r>
            <w:r>
              <w:rPr>
                <w:i/>
                <w:szCs w:val="24"/>
              </w:rPr>
              <w:fldChar w:fldCharType="end"/>
            </w:r>
          </w:p>
          <w:p w14:paraId="6B1AC6BE" w14:textId="77777777" w:rsidR="00A7096F" w:rsidRDefault="00A7096F" w:rsidP="00027038">
            <w:pPr>
              <w:spacing w:line="276" w:lineRule="auto"/>
              <w:jc w:val="both"/>
              <w:rPr>
                <w:i/>
                <w:szCs w:val="24"/>
              </w:rPr>
            </w:pPr>
          </w:p>
          <w:p w14:paraId="6D88D0CD" w14:textId="77777777" w:rsidR="00A7096F" w:rsidRPr="000344D5" w:rsidRDefault="00A7096F" w:rsidP="00A7096F">
            <w:pPr>
              <w:spacing w:line="276" w:lineRule="auto"/>
              <w:jc w:val="both"/>
              <w:rPr>
                <w:lang w:val="sq-AL"/>
              </w:rPr>
            </w:pPr>
            <w:r w:rsidRPr="000344D5">
              <w:rPr>
                <w:lang w:val="sq-AL"/>
              </w:rPr>
              <w:t>Opsionet e mëposhtme janë vlerësuar në funksion të arritjes së objektivave të politikave:</w:t>
            </w:r>
          </w:p>
          <w:p w14:paraId="34BF3E1C" w14:textId="77777777" w:rsidR="00A7096F" w:rsidRPr="000344D5" w:rsidRDefault="00A7096F" w:rsidP="00A7096F">
            <w:pPr>
              <w:spacing w:line="276" w:lineRule="auto"/>
              <w:jc w:val="both"/>
              <w:rPr>
                <w:lang w:val="sq-AL"/>
              </w:rPr>
            </w:pPr>
          </w:p>
          <w:p w14:paraId="27BE98E8" w14:textId="77777777" w:rsidR="00A7096F" w:rsidRPr="001B2FC2" w:rsidRDefault="00A7096F" w:rsidP="00A7096F">
            <w:pPr>
              <w:pStyle w:val="BodyA"/>
              <w:spacing w:line="276" w:lineRule="auto"/>
              <w:ind w:right="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8D1B39">
              <w:rPr>
                <w:rFonts w:ascii="Times New Roman" w:hAnsi="Times New Roman" w:cs="Times New Roman"/>
                <w:b/>
                <w:lang w:val="sq-AL"/>
              </w:rPr>
              <w:t xml:space="preserve">Opsioni 0 (status </w:t>
            </w:r>
            <w:proofErr w:type="spellStart"/>
            <w:r w:rsidRPr="008D1B39">
              <w:rPr>
                <w:rFonts w:ascii="Times New Roman" w:hAnsi="Times New Roman" w:cs="Times New Roman"/>
                <w:b/>
                <w:lang w:val="sq-AL"/>
              </w:rPr>
              <w:t>quo</w:t>
            </w:r>
            <w:proofErr w:type="spellEnd"/>
            <w:r w:rsidRPr="008D1B39">
              <w:rPr>
                <w:rFonts w:ascii="Times New Roman" w:hAnsi="Times New Roman" w:cs="Times New Roman"/>
                <w:b/>
                <w:lang w:val="sq-AL"/>
              </w:rPr>
              <w:t>):</w:t>
            </w:r>
            <w:r>
              <w:rPr>
                <w:rFonts w:ascii="Times New Roman" w:hAnsi="Times New Roman" w:cs="Times New Roman"/>
                <w:lang w:val="sq-AL"/>
              </w:rPr>
              <w:t>.</w:t>
            </w:r>
            <w:r w:rsidRPr="0035252E">
              <w:rPr>
                <w:rFonts w:ascii="Times New Roman" w:eastAsia="Times New Roman" w:hAnsi="Times New Roman" w:cs="Times New Roman"/>
                <w:color w:val="auto"/>
                <w:szCs w:val="20"/>
                <w:bdr w:val="none" w:sz="0" w:space="0" w:color="auto"/>
                <w:lang w:val="en-GB"/>
              </w:rPr>
              <w:t xml:space="preserve"> </w:t>
            </w:r>
            <w:r>
              <w:t xml:space="preserve"> </w:t>
            </w:r>
            <w:proofErr w:type="spellStart"/>
            <w:r w:rsidRPr="001B2FC2">
              <w:rPr>
                <w:rFonts w:ascii="Times New Roman" w:hAnsi="Times New Roman" w:cs="Times New Roman"/>
                <w:lang w:val="en-GB"/>
              </w:rPr>
              <w:t>Mbajtja</w:t>
            </w:r>
            <w:proofErr w:type="spellEnd"/>
            <w:r w:rsidRPr="001B2FC2">
              <w:rPr>
                <w:rFonts w:ascii="Times New Roman" w:hAnsi="Times New Roman" w:cs="Times New Roman"/>
                <w:lang w:val="en-GB"/>
              </w:rPr>
              <w:t xml:space="preserve"> e </w:t>
            </w:r>
            <w:proofErr w:type="spellStart"/>
            <w:r w:rsidRPr="001B2FC2">
              <w:rPr>
                <w:rFonts w:ascii="Times New Roman" w:hAnsi="Times New Roman" w:cs="Times New Roman"/>
                <w:lang w:val="en-GB"/>
              </w:rPr>
              <w:t>ligjit</w:t>
            </w:r>
            <w:proofErr w:type="spellEnd"/>
            <w:r w:rsidRPr="001B2FC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B2FC2">
              <w:rPr>
                <w:rFonts w:ascii="Times New Roman" w:hAnsi="Times New Roman" w:cs="Times New Roman"/>
                <w:lang w:val="en-GB"/>
              </w:rPr>
              <w:t>ekzistues</w:t>
            </w:r>
            <w:proofErr w:type="spellEnd"/>
            <w:r w:rsidRPr="001B2FC2">
              <w:rPr>
                <w:rFonts w:ascii="Times New Roman" w:hAnsi="Times New Roman" w:cs="Times New Roman"/>
                <w:lang w:val="en-GB"/>
              </w:rPr>
              <w:t xml:space="preserve"> pa </w:t>
            </w:r>
            <w:proofErr w:type="spellStart"/>
            <w:r w:rsidRPr="001B2FC2">
              <w:rPr>
                <w:rFonts w:ascii="Times New Roman" w:hAnsi="Times New Roman" w:cs="Times New Roman"/>
                <w:lang w:val="en-GB"/>
              </w:rPr>
              <w:t>ndryshime</w:t>
            </w:r>
            <w:proofErr w:type="spellEnd"/>
            <w:r w:rsidRPr="001B2FC2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55FCC2DD" w14:textId="77777777" w:rsidR="00A7096F" w:rsidRPr="001B2FC2" w:rsidRDefault="00A7096F" w:rsidP="00A7096F">
            <w:pPr>
              <w:pStyle w:val="BodyA"/>
              <w:spacing w:line="276" w:lineRule="auto"/>
              <w:ind w:right="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1B2FC2">
              <w:rPr>
                <w:rFonts w:ascii="Times New Roman" w:hAnsi="Times New Roman" w:cs="Times New Roman"/>
                <w:lang w:val="en-GB"/>
              </w:rPr>
              <w:t xml:space="preserve">+ Nuk </w:t>
            </w:r>
            <w:proofErr w:type="spellStart"/>
            <w:r w:rsidRPr="001B2FC2">
              <w:rPr>
                <w:rFonts w:ascii="Times New Roman" w:hAnsi="Times New Roman" w:cs="Times New Roman"/>
                <w:lang w:val="en-GB"/>
              </w:rPr>
              <w:t>krijon</w:t>
            </w:r>
            <w:proofErr w:type="spellEnd"/>
            <w:r w:rsidRPr="001B2FC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B2FC2">
              <w:rPr>
                <w:rFonts w:ascii="Times New Roman" w:hAnsi="Times New Roman" w:cs="Times New Roman"/>
                <w:lang w:val="en-GB"/>
              </w:rPr>
              <w:t>kosto</w:t>
            </w:r>
            <w:proofErr w:type="spellEnd"/>
            <w:r w:rsidRPr="001B2FC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B2FC2">
              <w:rPr>
                <w:rFonts w:ascii="Times New Roman" w:hAnsi="Times New Roman" w:cs="Times New Roman"/>
                <w:lang w:val="en-GB"/>
              </w:rPr>
              <w:t>të</w:t>
            </w:r>
            <w:proofErr w:type="spellEnd"/>
            <w:r w:rsidRPr="001B2FC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B2FC2">
              <w:rPr>
                <w:rFonts w:ascii="Times New Roman" w:hAnsi="Times New Roman" w:cs="Times New Roman"/>
                <w:lang w:val="en-GB"/>
              </w:rPr>
              <w:t>menjëhershme</w:t>
            </w:r>
            <w:proofErr w:type="spellEnd"/>
            <w:r w:rsidRPr="001B2FC2">
              <w:rPr>
                <w:rFonts w:ascii="Times New Roman" w:hAnsi="Times New Roman" w:cs="Times New Roman"/>
                <w:lang w:val="en-GB"/>
              </w:rPr>
              <w:t xml:space="preserve"> administrative.</w:t>
            </w:r>
          </w:p>
          <w:p w14:paraId="5CCC762B" w14:textId="77777777" w:rsidR="00A7096F" w:rsidRPr="000344D5" w:rsidRDefault="00A7096F" w:rsidP="00A7096F">
            <w:pPr>
              <w:spacing w:line="276" w:lineRule="auto"/>
              <w:jc w:val="both"/>
              <w:rPr>
                <w:lang w:val="sq-AL"/>
              </w:rPr>
            </w:pPr>
            <w:r w:rsidRPr="001B2FC2">
              <w:t xml:space="preserve">– </w:t>
            </w:r>
            <w:proofErr w:type="spellStart"/>
            <w:r w:rsidRPr="001B2FC2">
              <w:t>Mbeten</w:t>
            </w:r>
            <w:proofErr w:type="spellEnd"/>
            <w:r w:rsidRPr="001B2FC2">
              <w:t xml:space="preserve"> </w:t>
            </w:r>
            <w:proofErr w:type="spellStart"/>
            <w:r w:rsidRPr="001B2FC2">
              <w:t>boshllëqe</w:t>
            </w:r>
            <w:proofErr w:type="spellEnd"/>
            <w:r w:rsidRPr="001B2FC2">
              <w:t xml:space="preserve"> </w:t>
            </w:r>
            <w:proofErr w:type="spellStart"/>
            <w:r w:rsidRPr="001B2FC2">
              <w:t>ndaj</w:t>
            </w:r>
            <w:proofErr w:type="spellEnd"/>
            <w:r w:rsidRPr="001B2FC2">
              <w:t xml:space="preserve"> </w:t>
            </w:r>
            <w:proofErr w:type="spellStart"/>
            <w:r w:rsidRPr="001B2FC2">
              <w:t>Direktivës</w:t>
            </w:r>
            <w:proofErr w:type="spellEnd"/>
            <w:r w:rsidRPr="001B2FC2">
              <w:t xml:space="preserve"> 2004/25/EC, </w:t>
            </w:r>
            <w:proofErr w:type="spellStart"/>
            <w:r w:rsidRPr="001B2FC2">
              <w:t>pasiguri</w:t>
            </w:r>
            <w:proofErr w:type="spellEnd"/>
            <w:r w:rsidRPr="001B2FC2">
              <w:t xml:space="preserve"> </w:t>
            </w:r>
            <w:proofErr w:type="spellStart"/>
            <w:r w:rsidRPr="001B2FC2">
              <w:t>për</w:t>
            </w:r>
            <w:proofErr w:type="spellEnd"/>
            <w:r w:rsidRPr="001B2FC2">
              <w:t xml:space="preserve"> </w:t>
            </w:r>
            <w:proofErr w:type="spellStart"/>
            <w:r w:rsidRPr="001B2FC2">
              <w:t>investitorët</w:t>
            </w:r>
            <w:proofErr w:type="spellEnd"/>
            <w:r w:rsidRPr="001B2FC2">
              <w:t xml:space="preserve">, </w:t>
            </w:r>
            <w:proofErr w:type="spellStart"/>
            <w:r w:rsidRPr="001B2FC2">
              <w:t>rrezik</w:t>
            </w:r>
            <w:proofErr w:type="spellEnd"/>
            <w:r w:rsidRPr="001B2FC2">
              <w:t xml:space="preserve"> </w:t>
            </w:r>
            <w:proofErr w:type="spellStart"/>
            <w:r w:rsidRPr="001B2FC2">
              <w:t>mosintegrimi</w:t>
            </w:r>
            <w:proofErr w:type="spellEnd"/>
            <w:r w:rsidRPr="001B2FC2">
              <w:t xml:space="preserve"> </w:t>
            </w:r>
            <w:proofErr w:type="spellStart"/>
            <w:r w:rsidRPr="001B2FC2">
              <w:t>në</w:t>
            </w:r>
            <w:proofErr w:type="spellEnd"/>
            <w:r w:rsidRPr="001B2FC2">
              <w:t xml:space="preserve"> </w:t>
            </w:r>
            <w:proofErr w:type="spellStart"/>
            <w:r w:rsidRPr="001B2FC2">
              <w:t>tregun</w:t>
            </w:r>
            <w:proofErr w:type="spellEnd"/>
            <w:r w:rsidRPr="001B2FC2">
              <w:t xml:space="preserve"> e BE </w:t>
            </w:r>
            <w:proofErr w:type="spellStart"/>
            <w:r w:rsidRPr="001B2FC2">
              <w:t>dhe</w:t>
            </w:r>
            <w:proofErr w:type="spellEnd"/>
            <w:r w:rsidRPr="001B2FC2">
              <w:t xml:space="preserve"> </w:t>
            </w:r>
            <w:proofErr w:type="spellStart"/>
            <w:r w:rsidRPr="001B2FC2">
              <w:t>ulje</w:t>
            </w:r>
            <w:proofErr w:type="spellEnd"/>
            <w:r w:rsidRPr="001B2FC2">
              <w:t xml:space="preserve"> </w:t>
            </w:r>
            <w:proofErr w:type="spellStart"/>
            <w:r w:rsidRPr="001B2FC2">
              <w:t>interesi</w:t>
            </w:r>
            <w:proofErr w:type="spellEnd"/>
            <w:r w:rsidRPr="001B2FC2">
              <w:t xml:space="preserve"> </w:t>
            </w:r>
            <w:proofErr w:type="spellStart"/>
            <w:r w:rsidRPr="001B2FC2">
              <w:t>për</w:t>
            </w:r>
            <w:proofErr w:type="spellEnd"/>
            <w:r w:rsidRPr="001B2FC2">
              <w:t xml:space="preserve"> </w:t>
            </w:r>
            <w:proofErr w:type="spellStart"/>
            <w:r w:rsidRPr="001B2FC2">
              <w:t>listime</w:t>
            </w:r>
            <w:proofErr w:type="spellEnd"/>
            <w:r w:rsidRPr="001B2FC2">
              <w:t>.</w:t>
            </w:r>
          </w:p>
          <w:p w14:paraId="2F4C506B" w14:textId="77777777" w:rsidR="00A7096F" w:rsidRDefault="00A7096F" w:rsidP="00A7096F">
            <w:pPr>
              <w:spacing w:line="276" w:lineRule="auto"/>
              <w:jc w:val="both"/>
              <w:rPr>
                <w:b/>
                <w:lang w:val="sq-AL"/>
              </w:rPr>
            </w:pPr>
          </w:p>
          <w:p w14:paraId="2ADE4051" w14:textId="68200428" w:rsidR="00A7096F" w:rsidRDefault="00A7096F" w:rsidP="00A7096F">
            <w:pPr>
              <w:spacing w:line="276" w:lineRule="auto"/>
              <w:jc w:val="both"/>
              <w:rPr>
                <w:b/>
                <w:lang w:val="sq-AL"/>
              </w:rPr>
            </w:pPr>
            <w:r w:rsidRPr="008D1B39">
              <w:rPr>
                <w:b/>
                <w:lang w:val="sq-AL"/>
              </w:rPr>
              <w:t>Opsioni 1</w:t>
            </w:r>
            <w:r>
              <w:rPr>
                <w:b/>
                <w:lang w:val="sq-AL"/>
              </w:rPr>
              <w:t xml:space="preserve"> </w:t>
            </w:r>
            <w:r w:rsidRPr="008D1B39">
              <w:rPr>
                <w:b/>
                <w:lang w:val="sq-AL"/>
              </w:rPr>
              <w:t>(</w:t>
            </w:r>
            <w:proofErr w:type="spellStart"/>
            <w:r w:rsidRPr="008D1B39">
              <w:rPr>
                <w:b/>
                <w:lang w:val="sq-AL"/>
              </w:rPr>
              <w:t>jorregullator</w:t>
            </w:r>
            <w:proofErr w:type="spellEnd"/>
            <w:r w:rsidRPr="008D1B39">
              <w:rPr>
                <w:b/>
                <w:lang w:val="sq-AL"/>
              </w:rPr>
              <w:t>)</w:t>
            </w:r>
            <w:r>
              <w:rPr>
                <w:b/>
                <w:lang w:val="sq-AL"/>
              </w:rPr>
              <w:t>:</w:t>
            </w:r>
          </w:p>
          <w:p w14:paraId="2B561E19" w14:textId="26C4D4AF" w:rsidR="00A7096F" w:rsidRPr="001B2FC2" w:rsidRDefault="00A7096F" w:rsidP="00A7096F">
            <w:pPr>
              <w:spacing w:line="276" w:lineRule="auto"/>
              <w:jc w:val="both"/>
              <w:rPr>
                <w:lang w:val="sq-AL"/>
              </w:rPr>
            </w:pPr>
            <w:r w:rsidRPr="001B2FC2">
              <w:rPr>
                <w:lang w:val="sq-AL"/>
              </w:rPr>
              <w:t>Udhëzime/</w:t>
            </w:r>
            <w:r>
              <w:rPr>
                <w:lang w:val="sq-AL"/>
              </w:rPr>
              <w:t>akte nënligjore</w:t>
            </w:r>
            <w:r w:rsidRPr="001B2FC2">
              <w:rPr>
                <w:lang w:val="sq-AL"/>
              </w:rPr>
              <w:t xml:space="preserve"> nga Autoriteti.</w:t>
            </w:r>
          </w:p>
          <w:p w14:paraId="21CD612D" w14:textId="77777777" w:rsidR="00A7096F" w:rsidRPr="001B2FC2" w:rsidRDefault="00A7096F" w:rsidP="00A7096F">
            <w:pPr>
              <w:spacing w:line="276" w:lineRule="auto"/>
              <w:jc w:val="both"/>
              <w:rPr>
                <w:lang w:val="sq-AL"/>
              </w:rPr>
            </w:pPr>
            <w:r w:rsidRPr="001B2FC2">
              <w:rPr>
                <w:lang w:val="sq-AL"/>
              </w:rPr>
              <w:t>+ Fleksibilitet, zbatim më i shpejtë.</w:t>
            </w:r>
          </w:p>
          <w:p w14:paraId="5F15C8BF" w14:textId="77777777" w:rsidR="00A7096F" w:rsidRPr="000344D5" w:rsidRDefault="00A7096F" w:rsidP="00A7096F">
            <w:pPr>
              <w:spacing w:line="276" w:lineRule="auto"/>
              <w:jc w:val="both"/>
              <w:rPr>
                <w:lang w:val="sq-AL"/>
              </w:rPr>
            </w:pPr>
            <w:r w:rsidRPr="001B2FC2">
              <w:rPr>
                <w:lang w:val="sq-AL"/>
              </w:rPr>
              <w:t xml:space="preserve">– Nuk ka detyrim ligjor për palët, nuk mbulon çështje thelbësore (çmimi i drejtë, masat mbrojtëse, raportimi në KE/ESAP), nuk mjafton për përafrim formal me </w:t>
            </w:r>
            <w:proofErr w:type="spellStart"/>
            <w:r w:rsidRPr="001B2FC2">
              <w:rPr>
                <w:lang w:val="sq-AL"/>
              </w:rPr>
              <w:t>acquis</w:t>
            </w:r>
            <w:proofErr w:type="spellEnd"/>
            <w:r w:rsidRPr="001B2FC2">
              <w:rPr>
                <w:lang w:val="sq-AL"/>
              </w:rPr>
              <w:t>.</w:t>
            </w:r>
          </w:p>
          <w:p w14:paraId="61C33993" w14:textId="77777777" w:rsidR="00A7096F" w:rsidRPr="000344D5" w:rsidRDefault="00A7096F" w:rsidP="00A7096F">
            <w:pPr>
              <w:spacing w:line="276" w:lineRule="auto"/>
              <w:jc w:val="both"/>
              <w:rPr>
                <w:lang w:val="sq-AL"/>
              </w:rPr>
            </w:pPr>
          </w:p>
          <w:p w14:paraId="1984B5B7" w14:textId="77777777" w:rsidR="00A7096F" w:rsidRDefault="00A7096F" w:rsidP="00A7096F">
            <w:pPr>
              <w:spacing w:line="276" w:lineRule="auto"/>
              <w:jc w:val="both"/>
              <w:rPr>
                <w:b/>
                <w:lang w:val="sq-AL"/>
              </w:rPr>
            </w:pPr>
            <w:r w:rsidRPr="008D1B39">
              <w:rPr>
                <w:b/>
                <w:lang w:val="sq-AL"/>
              </w:rPr>
              <w:t xml:space="preserve">Opsioni 2 (rregullator): </w:t>
            </w:r>
          </w:p>
          <w:p w14:paraId="133BE3E2" w14:textId="77777777" w:rsidR="00A7096F" w:rsidRPr="0085782D" w:rsidRDefault="00A7096F" w:rsidP="00A7096F">
            <w:pPr>
              <w:spacing w:line="276" w:lineRule="auto"/>
              <w:jc w:val="both"/>
              <w:rPr>
                <w:bCs/>
                <w:lang w:val="sq-AL"/>
              </w:rPr>
            </w:pPr>
            <w:r w:rsidRPr="0085782D">
              <w:rPr>
                <w:bCs/>
                <w:lang w:val="sq-AL"/>
              </w:rPr>
              <w:t>Ndryshime të pjesshme në ligj, vetëm për disa nene kritike.</w:t>
            </w:r>
          </w:p>
          <w:p w14:paraId="7BA203A1" w14:textId="77777777" w:rsidR="00A7096F" w:rsidRPr="0085782D" w:rsidRDefault="00A7096F" w:rsidP="00A7096F">
            <w:pPr>
              <w:spacing w:line="276" w:lineRule="auto"/>
              <w:jc w:val="both"/>
              <w:rPr>
                <w:bCs/>
                <w:lang w:val="sq-AL"/>
              </w:rPr>
            </w:pPr>
            <w:r w:rsidRPr="0085782D">
              <w:rPr>
                <w:bCs/>
                <w:lang w:val="sq-AL"/>
              </w:rPr>
              <w:t xml:space="preserve">+ Ul kostot e </w:t>
            </w:r>
            <w:proofErr w:type="spellStart"/>
            <w:r w:rsidRPr="0085782D">
              <w:rPr>
                <w:bCs/>
                <w:lang w:val="sq-AL"/>
              </w:rPr>
              <w:t>tranzicionit</w:t>
            </w:r>
            <w:proofErr w:type="spellEnd"/>
            <w:r w:rsidRPr="0085782D">
              <w:rPr>
                <w:bCs/>
                <w:lang w:val="sq-AL"/>
              </w:rPr>
              <w:t>.</w:t>
            </w:r>
          </w:p>
          <w:p w14:paraId="11722FFA" w14:textId="77777777" w:rsidR="00A7096F" w:rsidRDefault="00A7096F" w:rsidP="00A7096F">
            <w:pPr>
              <w:spacing w:line="276" w:lineRule="auto"/>
              <w:jc w:val="both"/>
              <w:rPr>
                <w:b/>
                <w:lang w:val="sq-AL"/>
              </w:rPr>
            </w:pPr>
            <w:r w:rsidRPr="0085782D">
              <w:rPr>
                <w:bCs/>
                <w:lang w:val="sq-AL"/>
              </w:rPr>
              <w:t xml:space="preserve">– Ruhet </w:t>
            </w:r>
            <w:proofErr w:type="spellStart"/>
            <w:r w:rsidRPr="0085782D">
              <w:rPr>
                <w:bCs/>
                <w:lang w:val="sq-AL"/>
              </w:rPr>
              <w:t>fragmentariteti</w:t>
            </w:r>
            <w:proofErr w:type="spellEnd"/>
            <w:r w:rsidRPr="0085782D">
              <w:rPr>
                <w:bCs/>
                <w:lang w:val="sq-AL"/>
              </w:rPr>
              <w:t>; boshllëqe në kompetenca ndërkufitare; rrezik interpretimi gjyqësor; përafrim vetëm i pjesshëm</w:t>
            </w:r>
            <w:r w:rsidRPr="0085782D">
              <w:rPr>
                <w:b/>
                <w:lang w:val="sq-AL"/>
              </w:rPr>
              <w:t>.</w:t>
            </w:r>
          </w:p>
          <w:p w14:paraId="64A7404B" w14:textId="77777777" w:rsidR="00A7096F" w:rsidRDefault="00A7096F" w:rsidP="00A7096F">
            <w:pPr>
              <w:spacing w:line="276" w:lineRule="auto"/>
              <w:jc w:val="both"/>
              <w:rPr>
                <w:b/>
                <w:lang w:val="sq-AL"/>
              </w:rPr>
            </w:pPr>
          </w:p>
          <w:p w14:paraId="7F5A591B" w14:textId="77777777" w:rsidR="00A7096F" w:rsidRDefault="00A7096F" w:rsidP="00A7096F">
            <w:pPr>
              <w:spacing w:line="276" w:lineRule="auto"/>
              <w:jc w:val="both"/>
              <w:rPr>
                <w:lang w:val="sq-AL"/>
              </w:rPr>
            </w:pPr>
            <w:r w:rsidRPr="008D1B39">
              <w:rPr>
                <w:b/>
                <w:lang w:val="sq-AL"/>
              </w:rPr>
              <w:t>Opsioni 3 (rregullator)</w:t>
            </w:r>
            <w:r>
              <w:rPr>
                <w:b/>
                <w:lang w:val="sq-AL"/>
              </w:rPr>
              <w:t xml:space="preserve"> i preferuar</w:t>
            </w:r>
            <w:r w:rsidRPr="008D1B39">
              <w:rPr>
                <w:b/>
                <w:lang w:val="sq-AL"/>
              </w:rPr>
              <w:t>:</w:t>
            </w:r>
            <w:r w:rsidRPr="000344D5">
              <w:rPr>
                <w:lang w:val="sq-AL"/>
              </w:rPr>
              <w:t xml:space="preserve"> </w:t>
            </w:r>
          </w:p>
          <w:p w14:paraId="4819552C" w14:textId="77777777" w:rsidR="00A7096F" w:rsidRDefault="00A7096F" w:rsidP="00A7096F">
            <w:pPr>
              <w:spacing w:line="276" w:lineRule="auto"/>
              <w:jc w:val="both"/>
              <w:rPr>
                <w:lang w:val="sq-AL"/>
              </w:rPr>
            </w:pPr>
          </w:p>
          <w:p w14:paraId="0EE55646" w14:textId="77777777" w:rsidR="00A7096F" w:rsidRPr="0085782D" w:rsidRDefault="00A7096F" w:rsidP="00A7096F">
            <w:pPr>
              <w:spacing w:line="276" w:lineRule="auto"/>
              <w:jc w:val="both"/>
              <w:rPr>
                <w:lang w:val="sq-AL"/>
              </w:rPr>
            </w:pPr>
            <w:r w:rsidRPr="0085782D">
              <w:rPr>
                <w:lang w:val="sq-AL"/>
              </w:rPr>
              <w:t>Ndryshim dhe plotësim i plotë i ligjit për ofertat e marrjes në kontroll, përfshirë çmimin e drejtë, mbrojtjen e aksionarëve, kompetencën ndërkufitare të Autoritetit, raportimin te Komisioni dhe ESAP.</w:t>
            </w:r>
          </w:p>
          <w:p w14:paraId="0F2B7461" w14:textId="77777777" w:rsidR="00A7096F" w:rsidRPr="0085782D" w:rsidRDefault="00A7096F" w:rsidP="00A7096F">
            <w:pPr>
              <w:spacing w:line="276" w:lineRule="auto"/>
              <w:jc w:val="both"/>
              <w:rPr>
                <w:lang w:val="sq-AL"/>
              </w:rPr>
            </w:pPr>
            <w:r w:rsidRPr="0085782D">
              <w:rPr>
                <w:lang w:val="sq-AL"/>
              </w:rPr>
              <w:t xml:space="preserve">+ Përafrim material me </w:t>
            </w:r>
            <w:proofErr w:type="spellStart"/>
            <w:r w:rsidRPr="0085782D">
              <w:rPr>
                <w:lang w:val="sq-AL"/>
              </w:rPr>
              <w:t>acquis</w:t>
            </w:r>
            <w:proofErr w:type="spellEnd"/>
            <w:r w:rsidRPr="0085782D">
              <w:rPr>
                <w:lang w:val="sq-AL"/>
              </w:rPr>
              <w:t>; rrit besimin e tregut; ul koston e kapitalit; përgatit integrimin 2030.</w:t>
            </w:r>
          </w:p>
          <w:p w14:paraId="33AF7784" w14:textId="00318BF9" w:rsidR="00A7096F" w:rsidRPr="00A7096F" w:rsidRDefault="00A7096F" w:rsidP="00A7096F">
            <w:pPr>
              <w:spacing w:line="276" w:lineRule="auto"/>
              <w:jc w:val="both"/>
              <w:rPr>
                <w:lang w:val="sq-AL"/>
              </w:rPr>
            </w:pPr>
            <w:r w:rsidRPr="0085782D">
              <w:rPr>
                <w:lang w:val="sq-AL"/>
              </w:rPr>
              <w:t>– Kërkon përshtatje institucionale dhe investim fillestar në kapacitete dhe IT.</w:t>
            </w:r>
          </w:p>
          <w:p w14:paraId="58BF57A8" w14:textId="258E3170" w:rsidR="001E0D36" w:rsidRPr="00325A1F" w:rsidRDefault="001E0D36" w:rsidP="001E0D36">
            <w:pPr>
              <w:jc w:val="both"/>
              <w:rPr>
                <w:lang w:val="sq-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4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40EE" w:rsidRPr="00325A1F" w14:paraId="7ED6FC4A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0A8D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ANALIZA E NDIKIMEVE</w:t>
            </w:r>
          </w:p>
          <w:p w14:paraId="577AE608" w14:textId="69BFFA09" w:rsidR="004045D6" w:rsidRDefault="006E7CFB" w:rsidP="00027038">
            <w:pPr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ndikimet e opsionit të preferuar? Kjo duhet të përshkruajë ndikimet në mënyrë sasiore  (monetare) dhe cilësore (narrative) mbi buxhetin dhe grupet e tjera të prekura. (jo më shumë se 10 rreshta)"/>
                    <w:maxLength w:val="780"/>
                  </w:textInput>
                </w:ffData>
              </w:fldChar>
            </w:r>
            <w:r w:rsidRPr="001155AF">
              <w:rPr>
                <w:i/>
                <w:szCs w:val="24"/>
                <w:lang w:val="it-IT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1155AF">
              <w:rPr>
                <w:i/>
                <w:noProof/>
                <w:szCs w:val="24"/>
                <w:lang w:val="it-IT"/>
              </w:rPr>
              <w:t xml:space="preserve">Cilat janë ndikimet e opsionit të preferuar? Kjo duhet të përshkruajë ndikimet në mënyrë sasiore  (monetare) dhe cilësore (narrative) mbi buxhetin dhe grupet e tjera të prekura. </w:t>
            </w:r>
            <w:r>
              <w:rPr>
                <w:i/>
                <w:noProof/>
                <w:szCs w:val="24"/>
              </w:rPr>
              <w:t>(jo më shumë se 10 rreshta)</w:t>
            </w:r>
            <w:r>
              <w:rPr>
                <w:i/>
                <w:szCs w:val="24"/>
              </w:rPr>
              <w:fldChar w:fldCharType="end"/>
            </w:r>
          </w:p>
          <w:p w14:paraId="30E3B630" w14:textId="77777777" w:rsidR="009B3FF0" w:rsidRDefault="009B3FF0" w:rsidP="00027038">
            <w:pPr>
              <w:spacing w:line="276" w:lineRule="auto"/>
              <w:jc w:val="both"/>
              <w:rPr>
                <w:i/>
                <w:szCs w:val="24"/>
              </w:rPr>
            </w:pPr>
          </w:p>
          <w:p w14:paraId="6F5C7E0B" w14:textId="77777777" w:rsidR="0015023A" w:rsidRDefault="0015023A" w:rsidP="0015023A">
            <w:pPr>
              <w:pStyle w:val="BodyText"/>
              <w:spacing w:after="0"/>
              <w:jc w:val="both"/>
              <w:rPr>
                <w:b/>
                <w:sz w:val="24"/>
                <w:szCs w:val="24"/>
                <w:lang w:val="sq-AL"/>
              </w:rPr>
            </w:pPr>
            <w:r w:rsidRPr="00CB35D5">
              <w:rPr>
                <w:b/>
                <w:sz w:val="24"/>
                <w:szCs w:val="24"/>
                <w:u w:val="single"/>
                <w:lang w:val="sq-AL"/>
              </w:rPr>
              <w:t>Ndikimet ekonomike:</w:t>
            </w:r>
            <w:r w:rsidRPr="00CB35D5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14:paraId="4A5C5AAA" w14:textId="77777777" w:rsidR="0015023A" w:rsidRDefault="0015023A" w:rsidP="0015023A">
            <w:pPr>
              <w:pStyle w:val="BodyText"/>
              <w:spacing w:after="0"/>
              <w:jc w:val="both"/>
              <w:rPr>
                <w:b/>
                <w:sz w:val="24"/>
                <w:szCs w:val="24"/>
                <w:lang w:val="sq-AL"/>
              </w:rPr>
            </w:pPr>
          </w:p>
          <w:p w14:paraId="540F1089" w14:textId="476356EE" w:rsidR="0015023A" w:rsidRPr="00835F88" w:rsidRDefault="0015023A" w:rsidP="0015023A">
            <w:pPr>
              <w:pStyle w:val="BodyA"/>
              <w:spacing w:line="276" w:lineRule="auto"/>
              <w:ind w:right="20"/>
              <w:jc w:val="both"/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</w:pPr>
            <w:r w:rsidRPr="00835F88"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  <w:t xml:space="preserve">Opsioni i preferuar (ndryshim i plotë ligjor) pritet të rrisë sigurinë juridike në ofertat e marrjes në kontroll, të ulë rrezikun </w:t>
            </w:r>
            <w:proofErr w:type="spellStart"/>
            <w:r w:rsidRPr="00835F88"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  <w:t>transaksional</w:t>
            </w:r>
            <w:proofErr w:type="spellEnd"/>
            <w:r w:rsidRPr="00835F88"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  <w:t xml:space="preserve"> dhe të ulë koston e kapitalit për shoqëritë e </w:t>
            </w:r>
            <w:proofErr w:type="spellStart"/>
            <w:r w:rsidRPr="00835F88"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  <w:t>listuara</w:t>
            </w:r>
            <w:proofErr w:type="spellEnd"/>
            <w:r w:rsidRPr="00835F88"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  <w:t xml:space="preserve">, sepse investitorët marrin garanci mbi çmimin e drejtë dhe trajtimin e barabartë. Kuadri i qartë për ofertat detyruese e vullnetare dhe rregullat mbi masat mbrojtëse e bëjnë më të realizueshme blerjet strategjike (M&amp;A), pra i japin tregut më shumë lëvizshmëri. Raportimi vjetor te Komisioni dhe depozitimi i të dhënave në ESAP rrit transparencën ndaj investitorëve ndërkombëtarë dhe e bën tregun shqiptar më “i lexueshëm”, çka pritet të nxisë interes për </w:t>
            </w:r>
            <w:proofErr w:type="spellStart"/>
            <w:r w:rsidRPr="00835F88"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  <w:t>listim</w:t>
            </w:r>
            <w:proofErr w:type="spellEnd"/>
            <w:r w:rsidRPr="00835F88"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  <w:t xml:space="preserve"> dhe financim aksionar. Kostoja financiare për emetuesit (përgatitja e dokumentacionit në format të strukturuar) </w:t>
            </w:r>
            <w:r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  <w:t xml:space="preserve">nuk vlerësohet të ketë ndikim pasi informacioni </w:t>
            </w:r>
            <w:proofErr w:type="spellStart"/>
            <w:r w:rsidR="00A14D21"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  <w:t>aktulalisht</w:t>
            </w:r>
            <w:proofErr w:type="spellEnd"/>
            <w:r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  <w:t xml:space="preserve"> përpunohet nga </w:t>
            </w:r>
            <w:proofErr w:type="spellStart"/>
            <w:r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  <w:t>shoqërit</w:t>
            </w:r>
            <w:proofErr w:type="spellEnd"/>
            <w:r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  <w:t xml:space="preserve"> për arsye tatimore dhe </w:t>
            </w:r>
            <w:proofErr w:type="spellStart"/>
            <w:r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  <w:t>audituese</w:t>
            </w:r>
            <w:proofErr w:type="spellEnd"/>
            <w:r>
              <w:rPr>
                <w:rStyle w:val="rynqvb"/>
                <w:rFonts w:ascii="Times New Roman" w:hAnsi="Times New Roman" w:cs="Times New Roman"/>
                <w:bCs/>
                <w:color w:val="000000" w:themeColor="text1"/>
                <w:bdr w:val="none" w:sz="0" w:space="0" w:color="auto"/>
                <w:lang w:val="sq-AL"/>
              </w:rPr>
              <w:t xml:space="preserve"> sipas legjislacionit fiskal, të kontabilitetit dhe të shoqërive tregtare.</w:t>
            </w:r>
          </w:p>
          <w:p w14:paraId="60FA3D5F" w14:textId="77777777" w:rsidR="0015023A" w:rsidRDefault="0015023A" w:rsidP="0015023A">
            <w:pPr>
              <w:pStyle w:val="BodyText"/>
              <w:spacing w:after="0"/>
              <w:jc w:val="both"/>
              <w:rPr>
                <w:b/>
                <w:sz w:val="24"/>
                <w:szCs w:val="24"/>
                <w:u w:val="single"/>
                <w:lang w:val="sq-AL"/>
              </w:rPr>
            </w:pPr>
            <w:bookmarkStart w:id="4" w:name="_Hlk210215289"/>
          </w:p>
          <w:p w14:paraId="7B114B09" w14:textId="77777777" w:rsidR="0015023A" w:rsidRDefault="0015023A" w:rsidP="0015023A">
            <w:pPr>
              <w:jc w:val="both"/>
              <w:rPr>
                <w:color w:val="000000" w:themeColor="text1"/>
                <w:szCs w:val="24"/>
                <w:lang w:val="sq-AL"/>
              </w:rPr>
            </w:pPr>
            <w:r w:rsidRPr="00CB35D5">
              <w:rPr>
                <w:b/>
                <w:bCs/>
                <w:color w:val="000000" w:themeColor="text1"/>
                <w:szCs w:val="24"/>
                <w:u w:val="single"/>
                <w:lang w:val="sq-AL"/>
              </w:rPr>
              <w:t>Ndikimet sociale</w:t>
            </w:r>
            <w:r w:rsidRPr="00CB35D5">
              <w:rPr>
                <w:color w:val="000000" w:themeColor="text1"/>
                <w:szCs w:val="24"/>
                <w:lang w:val="sq-AL"/>
              </w:rPr>
              <w:t xml:space="preserve"> </w:t>
            </w:r>
            <w:r w:rsidRPr="007830CC">
              <w:rPr>
                <w:color w:val="000000" w:themeColor="text1"/>
                <w:szCs w:val="24"/>
                <w:lang w:val="sq-AL"/>
              </w:rPr>
              <w:t>që pritet të sjellë kjo nism</w:t>
            </w:r>
            <w:r w:rsidRPr="007830CC">
              <w:rPr>
                <w:bCs/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:</w:t>
            </w:r>
          </w:p>
          <w:p w14:paraId="61789D31" w14:textId="77777777" w:rsidR="0015023A" w:rsidRDefault="0015023A" w:rsidP="0015023A">
            <w:pPr>
              <w:jc w:val="both"/>
              <w:rPr>
                <w:color w:val="000000" w:themeColor="text1"/>
                <w:szCs w:val="24"/>
                <w:lang w:val="sq-AL"/>
              </w:rPr>
            </w:pPr>
          </w:p>
          <w:p w14:paraId="6B3343A1" w14:textId="77777777" w:rsidR="0015023A" w:rsidRDefault="0015023A" w:rsidP="0015023A">
            <w:pPr>
              <w:spacing w:line="276" w:lineRule="auto"/>
              <w:jc w:val="both"/>
              <w:rPr>
                <w:color w:val="000000" w:themeColor="text1"/>
                <w:szCs w:val="24"/>
                <w:lang w:val="sq-AL"/>
              </w:rPr>
            </w:pPr>
            <w:r w:rsidRPr="00AB0461">
              <w:rPr>
                <w:color w:val="000000" w:themeColor="text1"/>
                <w:szCs w:val="24"/>
                <w:lang w:val="sq-AL"/>
              </w:rPr>
              <w:t xml:space="preserve">Aksionarët minoritarë dhe investitorët e vegjël mbrohen më fort, sepse ligji detyron trajtim të barabartë dhe përcaktim transparent të çmimit të drejtë; kjo rrit besimin publik tek investimi formal dhe frenon marrëveshjet jo-transparente “nën dorë”. Qartësimi i procedurave dhe i kompetencës ndërkufitare të Autoritetit ul hapësirën për abuzim të pozitës dominuese nga aksionarët e mëdhenj, forcon qeverisjen e shoqërive dhe promovon kulturë më të përgjegjshme </w:t>
            </w:r>
            <w:proofErr w:type="spellStart"/>
            <w:r w:rsidRPr="00AB0461">
              <w:rPr>
                <w:color w:val="000000" w:themeColor="text1"/>
                <w:szCs w:val="24"/>
                <w:lang w:val="sq-AL"/>
              </w:rPr>
              <w:t>korporative</w:t>
            </w:r>
            <w:proofErr w:type="spellEnd"/>
            <w:r w:rsidRPr="00AB0461">
              <w:rPr>
                <w:color w:val="000000" w:themeColor="text1"/>
                <w:szCs w:val="24"/>
                <w:lang w:val="sq-AL"/>
              </w:rPr>
              <w:t xml:space="preserve">. Në plan më të gjerë, rritja e transparencës dhe </w:t>
            </w:r>
            <w:proofErr w:type="spellStart"/>
            <w:r w:rsidRPr="00AB0461">
              <w:rPr>
                <w:color w:val="000000" w:themeColor="text1"/>
                <w:szCs w:val="24"/>
                <w:lang w:val="sq-AL"/>
              </w:rPr>
              <w:t>aksesit</w:t>
            </w:r>
            <w:proofErr w:type="spellEnd"/>
            <w:r w:rsidRPr="00AB0461">
              <w:rPr>
                <w:color w:val="000000" w:themeColor="text1"/>
                <w:szCs w:val="24"/>
                <w:lang w:val="sq-AL"/>
              </w:rPr>
              <w:t xml:space="preserve"> publik në të dhëna (ESAP) mbështet integrimin e tregut shqiptar në hapësirën ekonomike evropiane dhe rrit besimin te institucionet mbikëqyrëse.</w:t>
            </w:r>
          </w:p>
          <w:bookmarkEnd w:id="4"/>
          <w:p w14:paraId="316665CA" w14:textId="77777777" w:rsidR="009B3FF0" w:rsidRDefault="009B3FF0" w:rsidP="00027038">
            <w:pPr>
              <w:spacing w:line="276" w:lineRule="auto"/>
              <w:jc w:val="both"/>
              <w:rPr>
                <w:i/>
                <w:szCs w:val="24"/>
              </w:rPr>
            </w:pPr>
          </w:p>
          <w:p w14:paraId="21135CAC" w14:textId="1E0400CF" w:rsidR="001E0D36" w:rsidRPr="004045D6" w:rsidRDefault="001E0D36" w:rsidP="00027038">
            <w:pPr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80"/>
                  </w:textInput>
                </w:ffData>
              </w:fldChar>
            </w:r>
            <w:r>
              <w:rPr>
                <w:i/>
                <w:szCs w:val="24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szCs w:val="24"/>
              </w:rPr>
              <w:fldChar w:fldCharType="end"/>
            </w:r>
          </w:p>
        </w:tc>
      </w:tr>
      <w:tr w:rsidR="00CA40EE" w:rsidRPr="00325A1F" w14:paraId="62F2DF3F" w14:textId="77777777" w:rsidTr="00E4791F">
        <w:trPr>
          <w:trHeight w:val="1878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9081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lastRenderedPageBreak/>
              <w:t xml:space="preserve">ARSYETIMI I OPSIONIT TË PREFERUAR </w:t>
            </w:r>
          </w:p>
          <w:p w14:paraId="7B73C018" w14:textId="5733FF13" w:rsidR="006B4B0D" w:rsidRDefault="006E7CFB" w:rsidP="00027038">
            <w:pPr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hpjegoni arsyet për zgjedhjen e opsionit të preferuar. Ju lutemi jepni nëse është e mundur koston dhe përfitimin me vlerë të përcaktuar monetare. (jo më shumë se 7 rreshta)"/>
                    <w:maxLength w:val="546"/>
                  </w:textInput>
                </w:ffData>
              </w:fldChar>
            </w:r>
            <w:r>
              <w:rPr>
                <w:i/>
                <w:szCs w:val="24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>
              <w:rPr>
                <w:i/>
                <w:noProof/>
                <w:szCs w:val="24"/>
              </w:rPr>
              <w:t>Shpjegoni arsyet për zgjedhjen e opsionit të preferuar. Ju lutemi jepni nëse është e mundur koston dhe përfitimin me vlerë të përcaktuar monetare. (jo më shumë se 7 rreshta)</w:t>
            </w:r>
            <w:r>
              <w:rPr>
                <w:i/>
                <w:szCs w:val="24"/>
              </w:rPr>
              <w:fldChar w:fldCharType="end"/>
            </w:r>
          </w:p>
          <w:p w14:paraId="4D437603" w14:textId="77777777" w:rsidR="00881A77" w:rsidRDefault="00881A77" w:rsidP="001E0D36">
            <w:pPr>
              <w:spacing w:line="276" w:lineRule="auto"/>
              <w:jc w:val="both"/>
              <w:rPr>
                <w:i/>
                <w:szCs w:val="24"/>
              </w:rPr>
            </w:pPr>
          </w:p>
          <w:p w14:paraId="301324F0" w14:textId="6E3953C5" w:rsidR="00881A77" w:rsidRPr="006327A1" w:rsidRDefault="00881A77" w:rsidP="00D105F3">
            <w:pPr>
              <w:spacing w:line="276" w:lineRule="auto"/>
              <w:jc w:val="both"/>
              <w:rPr>
                <w:color w:val="000000" w:themeColor="text1"/>
                <w:u w:val="single"/>
                <w:lang w:val="sq-AL"/>
              </w:rPr>
            </w:pPr>
            <w:r w:rsidRPr="00167A71">
              <w:rPr>
                <w:szCs w:val="24"/>
                <w:lang w:val="sq-AL"/>
              </w:rPr>
              <w:t xml:space="preserve">Opsioni 3- </w:t>
            </w:r>
            <w:r w:rsidRPr="00D13289">
              <w:rPr>
                <w:szCs w:val="24"/>
              </w:rPr>
              <w:t>(</w:t>
            </w:r>
            <w:proofErr w:type="spellStart"/>
            <w:r w:rsidRPr="00D13289">
              <w:rPr>
                <w:szCs w:val="24"/>
              </w:rPr>
              <w:t>ndryshim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dhe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plotësim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i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plotë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i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ligjit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për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ofertat</w:t>
            </w:r>
            <w:proofErr w:type="spellEnd"/>
            <w:r w:rsidRPr="00D13289">
              <w:rPr>
                <w:szCs w:val="24"/>
              </w:rPr>
              <w:t xml:space="preserve"> e </w:t>
            </w:r>
            <w:proofErr w:type="spellStart"/>
            <w:r w:rsidRPr="00D13289">
              <w:rPr>
                <w:szCs w:val="24"/>
              </w:rPr>
              <w:t>marrjes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në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kontroll</w:t>
            </w:r>
            <w:proofErr w:type="spellEnd"/>
            <w:r w:rsidRPr="00D13289">
              <w:rPr>
                <w:szCs w:val="24"/>
              </w:rPr>
              <w:t xml:space="preserve">) </w:t>
            </w:r>
            <w:proofErr w:type="spellStart"/>
            <w:r w:rsidRPr="00D13289">
              <w:rPr>
                <w:szCs w:val="24"/>
              </w:rPr>
              <w:t>zgjidhet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sepse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është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i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vetmi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opsion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që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siguron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përafrim</w:t>
            </w:r>
            <w:proofErr w:type="spellEnd"/>
            <w:r w:rsidRPr="00D13289">
              <w:rPr>
                <w:szCs w:val="24"/>
              </w:rPr>
              <w:t xml:space="preserve"> material me </w:t>
            </w:r>
            <w:proofErr w:type="spellStart"/>
            <w:r w:rsidRPr="00D13289">
              <w:rPr>
                <w:szCs w:val="24"/>
              </w:rPr>
              <w:t>Direktivën</w:t>
            </w:r>
            <w:proofErr w:type="spellEnd"/>
            <w:r w:rsidRPr="00D13289">
              <w:rPr>
                <w:szCs w:val="24"/>
              </w:rPr>
              <w:t xml:space="preserve"> 2004/25/EC, </w:t>
            </w:r>
            <w:proofErr w:type="spellStart"/>
            <w:r w:rsidRPr="00D13289">
              <w:rPr>
                <w:szCs w:val="24"/>
              </w:rPr>
              <w:t>garanton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mbrojtje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të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barabartë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për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aksionarët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minoritarë</w:t>
            </w:r>
            <w:proofErr w:type="spellEnd"/>
            <w:r w:rsidRPr="00D13289">
              <w:rPr>
                <w:szCs w:val="24"/>
              </w:rPr>
              <w:t xml:space="preserve">, ul </w:t>
            </w:r>
            <w:proofErr w:type="spellStart"/>
            <w:r w:rsidRPr="00D13289">
              <w:rPr>
                <w:szCs w:val="24"/>
              </w:rPr>
              <w:t>pasigurinë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ligjore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për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ofertuesit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dhe</w:t>
            </w:r>
            <w:proofErr w:type="spellEnd"/>
            <w:r w:rsidRPr="00D13289">
              <w:rPr>
                <w:szCs w:val="24"/>
              </w:rPr>
              <w:t xml:space="preserve"> e </w:t>
            </w:r>
            <w:proofErr w:type="spellStart"/>
            <w:r w:rsidRPr="00D13289">
              <w:rPr>
                <w:szCs w:val="24"/>
              </w:rPr>
              <w:t>bën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tregun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shqiptar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të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lexueshëm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dhe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të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pranueshëm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për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investitorët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evropianë</w:t>
            </w:r>
            <w:proofErr w:type="spellEnd"/>
            <w:r w:rsidRPr="00D13289">
              <w:rPr>
                <w:szCs w:val="24"/>
              </w:rPr>
              <w:t xml:space="preserve">. Ky </w:t>
            </w:r>
            <w:proofErr w:type="spellStart"/>
            <w:r w:rsidRPr="00D13289">
              <w:rPr>
                <w:szCs w:val="24"/>
              </w:rPr>
              <w:t>opsion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krijon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kushte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për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listim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dhe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financim</w:t>
            </w:r>
            <w:proofErr w:type="spellEnd"/>
            <w:r w:rsidRPr="00D13289">
              <w:rPr>
                <w:szCs w:val="24"/>
              </w:rPr>
              <w:t xml:space="preserve"> me </w:t>
            </w:r>
            <w:proofErr w:type="spellStart"/>
            <w:r w:rsidRPr="00D13289">
              <w:rPr>
                <w:szCs w:val="24"/>
              </w:rPr>
              <w:t>kapital</w:t>
            </w:r>
            <w:proofErr w:type="spellEnd"/>
            <w:r w:rsidRPr="00D13289">
              <w:rPr>
                <w:szCs w:val="24"/>
              </w:rPr>
              <w:t xml:space="preserve">, ul </w:t>
            </w:r>
            <w:proofErr w:type="spellStart"/>
            <w:r w:rsidRPr="00D13289">
              <w:rPr>
                <w:szCs w:val="24"/>
              </w:rPr>
              <w:t>koston</w:t>
            </w:r>
            <w:proofErr w:type="spellEnd"/>
            <w:r w:rsidRPr="00D13289">
              <w:rPr>
                <w:szCs w:val="24"/>
              </w:rPr>
              <w:t xml:space="preserve"> e </w:t>
            </w:r>
            <w:proofErr w:type="spellStart"/>
            <w:r w:rsidRPr="00D13289">
              <w:rPr>
                <w:szCs w:val="24"/>
              </w:rPr>
              <w:t>kapitalit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në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afat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mesatar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dhe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mbështet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integrimin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në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tregun</w:t>
            </w:r>
            <w:proofErr w:type="spellEnd"/>
            <w:r w:rsidRPr="00D13289">
              <w:rPr>
                <w:szCs w:val="24"/>
              </w:rPr>
              <w:t xml:space="preserve"> e BE </w:t>
            </w:r>
            <w:proofErr w:type="spellStart"/>
            <w:r w:rsidRPr="00D13289">
              <w:rPr>
                <w:szCs w:val="24"/>
              </w:rPr>
              <w:t>deri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në</w:t>
            </w:r>
            <w:proofErr w:type="spellEnd"/>
            <w:r w:rsidRPr="00D13289">
              <w:rPr>
                <w:szCs w:val="24"/>
              </w:rPr>
              <w:t xml:space="preserve"> 2030. Kostoja </w:t>
            </w:r>
            <w:proofErr w:type="spellStart"/>
            <w:r w:rsidRPr="00D13289">
              <w:rPr>
                <w:szCs w:val="24"/>
              </w:rPr>
              <w:t>buxhetore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për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Autoritet</w:t>
            </w:r>
            <w:r w:rsidR="00E4791F">
              <w:rPr>
                <w:szCs w:val="24"/>
              </w:rPr>
              <w:t>in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është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kryesisht</w:t>
            </w:r>
            <w:proofErr w:type="spellEnd"/>
            <w:r w:rsidRPr="00D13289">
              <w:rPr>
                <w:szCs w:val="24"/>
              </w:rPr>
              <w:t xml:space="preserve"> administrative/IT (</w:t>
            </w:r>
            <w:proofErr w:type="spellStart"/>
            <w:r w:rsidRPr="00D13289">
              <w:rPr>
                <w:szCs w:val="24"/>
              </w:rPr>
              <w:t>ndërtimi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i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ndërfaqeve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të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raportimit</w:t>
            </w:r>
            <w:proofErr w:type="spellEnd"/>
            <w:r w:rsidRPr="00D13289">
              <w:rPr>
                <w:szCs w:val="24"/>
              </w:rPr>
              <w:t xml:space="preserve">, ESAP, </w:t>
            </w:r>
            <w:proofErr w:type="spellStart"/>
            <w:r w:rsidRPr="00D13289">
              <w:rPr>
                <w:szCs w:val="24"/>
              </w:rPr>
              <w:t>trajnimi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i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stafit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mbikëqyrës</w:t>
            </w:r>
            <w:proofErr w:type="spellEnd"/>
            <w:r w:rsidRPr="00D13289">
              <w:rPr>
                <w:szCs w:val="24"/>
              </w:rPr>
              <w:t xml:space="preserve">) </w:t>
            </w:r>
            <w:proofErr w:type="spellStart"/>
            <w:r w:rsidRPr="00D13289">
              <w:rPr>
                <w:szCs w:val="24"/>
              </w:rPr>
              <w:t>dhe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mbetet</w:t>
            </w:r>
            <w:proofErr w:type="spellEnd"/>
            <w:r w:rsidRPr="00D13289">
              <w:rPr>
                <w:szCs w:val="24"/>
              </w:rPr>
              <w:t xml:space="preserve"> e </w:t>
            </w:r>
            <w:proofErr w:type="spellStart"/>
            <w:r w:rsidRPr="00D13289">
              <w:rPr>
                <w:szCs w:val="24"/>
              </w:rPr>
              <w:t>kufizuar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krahasuar</w:t>
            </w:r>
            <w:proofErr w:type="spellEnd"/>
            <w:r w:rsidRPr="00D13289">
              <w:rPr>
                <w:szCs w:val="24"/>
              </w:rPr>
              <w:t xml:space="preserve"> me </w:t>
            </w:r>
            <w:proofErr w:type="spellStart"/>
            <w:r w:rsidRPr="00D13289">
              <w:rPr>
                <w:szCs w:val="24"/>
              </w:rPr>
              <w:t>përfitimin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ekonomik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nga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rritja</w:t>
            </w:r>
            <w:proofErr w:type="spellEnd"/>
            <w:r w:rsidRPr="00D13289">
              <w:rPr>
                <w:szCs w:val="24"/>
              </w:rPr>
              <w:t xml:space="preserve"> e </w:t>
            </w:r>
            <w:proofErr w:type="spellStart"/>
            <w:r w:rsidRPr="00D13289">
              <w:rPr>
                <w:szCs w:val="24"/>
              </w:rPr>
              <w:t>transparencës</w:t>
            </w:r>
            <w:proofErr w:type="spellEnd"/>
            <w:r w:rsidRPr="00D13289">
              <w:rPr>
                <w:szCs w:val="24"/>
              </w:rPr>
              <w:t xml:space="preserve">, </w:t>
            </w:r>
            <w:proofErr w:type="spellStart"/>
            <w:r w:rsidRPr="00D13289">
              <w:rPr>
                <w:szCs w:val="24"/>
              </w:rPr>
              <w:t>interesit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të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investitorëve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dhe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disiplinës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së</w:t>
            </w:r>
            <w:proofErr w:type="spellEnd"/>
            <w:r w:rsidRPr="00D13289">
              <w:rPr>
                <w:szCs w:val="24"/>
              </w:rPr>
              <w:t xml:space="preserve"> </w:t>
            </w:r>
            <w:proofErr w:type="spellStart"/>
            <w:r w:rsidRPr="00D13289">
              <w:rPr>
                <w:szCs w:val="24"/>
              </w:rPr>
              <w:t>korporatave</w:t>
            </w:r>
            <w:proofErr w:type="spellEnd"/>
            <w:r>
              <w:rPr>
                <w:szCs w:val="24"/>
              </w:rPr>
              <w:t>.</w:t>
            </w:r>
            <w:r w:rsidRPr="00D13289">
              <w:rPr>
                <w:szCs w:val="24"/>
              </w:rPr>
              <w:t xml:space="preserve"> </w:t>
            </w:r>
          </w:p>
          <w:p w14:paraId="194BDF36" w14:textId="6F2DDB50" w:rsidR="001E0D36" w:rsidRPr="00325A1F" w:rsidRDefault="001E0D36" w:rsidP="001E0D36">
            <w:pPr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6"/>
                  </w:textInput>
                </w:ffData>
              </w:fldChar>
            </w:r>
            <w:r>
              <w:rPr>
                <w:i/>
                <w:szCs w:val="24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szCs w:val="24"/>
              </w:rPr>
              <w:fldChar w:fldCharType="end"/>
            </w:r>
          </w:p>
          <w:p w14:paraId="081152A3" w14:textId="6CB74A27" w:rsidR="00CA40EE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Kostoja e përllogaritur në total e opsionit të preferuar mbi buxhetin e </w:t>
            </w:r>
            <w:r w:rsidR="00DB3066">
              <w:rPr>
                <w:b/>
                <w:szCs w:val="24"/>
                <w:lang w:val="sq-AL"/>
              </w:rPr>
              <w:t>Autoritetit</w:t>
            </w:r>
            <w:r w:rsidRPr="00325A1F">
              <w:rPr>
                <w:b/>
                <w:szCs w:val="24"/>
                <w:lang w:val="sq-AL"/>
              </w:rPr>
              <w:t xml:space="preserve"> gjatë periudhës 3-vjeçare menjëherë pas miratimit të ligjit (kostoja në total në lek, çmimet aktuale, në terma nominalë):</w:t>
            </w:r>
          </w:p>
          <w:p w14:paraId="1ADA44DE" w14:textId="77777777" w:rsidR="00763184" w:rsidRPr="00325A1F" w:rsidRDefault="00763184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  <w:tbl>
            <w:tblPr>
              <w:tblStyle w:val="TableGrid"/>
              <w:tblW w:w="0" w:type="auto"/>
              <w:tblInd w:w="264" w:type="dxa"/>
              <w:tblLayout w:type="fixed"/>
              <w:tblLook w:val="04A0" w:firstRow="1" w:lastRow="0" w:firstColumn="1" w:lastColumn="0" w:noHBand="0" w:noVBand="1"/>
            </w:tblPr>
            <w:tblGrid>
              <w:gridCol w:w="2928"/>
              <w:gridCol w:w="2928"/>
              <w:gridCol w:w="2929"/>
            </w:tblGrid>
            <w:tr w:rsidR="00CA40EE" w:rsidRPr="00325A1F" w14:paraId="1CC39370" w14:textId="77777777" w:rsidTr="00D105F3">
              <w:tc>
                <w:tcPr>
                  <w:tcW w:w="2928" w:type="dxa"/>
                  <w:shd w:val="clear" w:color="auto" w:fill="D9D9D9" w:themeFill="background1" w:themeFillShade="D9"/>
                </w:tcPr>
                <w:p w14:paraId="1B9BFA5A" w14:textId="1E23552A" w:rsidR="00CA40EE" w:rsidRPr="00325A1F" w:rsidRDefault="00CA40EE" w:rsidP="00E5473A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325A1F">
                    <w:rPr>
                      <w:b/>
                      <w:szCs w:val="24"/>
                      <w:lang w:val="sq-AL"/>
                    </w:rPr>
                    <w:t xml:space="preserve">Viti </w: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begin">
                      <w:ffData>
                        <w:name w:val="viti1"/>
                        <w:enabled/>
                        <w:calcOnExit w:val="0"/>
                        <w:textInput>
                          <w:type w:val="number"/>
                          <w:default w:val="1"/>
                          <w:maxLength w:val="4"/>
                        </w:textInput>
                      </w:ffData>
                    </w:fldChar>
                  </w:r>
                  <w:bookmarkStart w:id="5" w:name="viti1"/>
                  <w:r w:rsidR="00315292" w:rsidRPr="00325A1F">
                    <w:rPr>
                      <w:b/>
                      <w:szCs w:val="24"/>
                      <w:u w:val="single"/>
                    </w:rPr>
                    <w:instrText xml:space="preserve"> FORMTEXT </w:instrTex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separate"/>
                  </w:r>
                  <w:r w:rsidR="00315292" w:rsidRPr="00325A1F">
                    <w:rPr>
                      <w:b/>
                      <w:noProof/>
                      <w:szCs w:val="24"/>
                      <w:u w:val="single"/>
                    </w:rPr>
                    <w:t>1</w: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end"/>
                  </w:r>
                  <w:bookmarkEnd w:id="5"/>
                </w:p>
              </w:tc>
              <w:tc>
                <w:tcPr>
                  <w:tcW w:w="2928" w:type="dxa"/>
                  <w:shd w:val="clear" w:color="auto" w:fill="D9D9D9" w:themeFill="background1" w:themeFillShade="D9"/>
                </w:tcPr>
                <w:p w14:paraId="49E01EF1" w14:textId="3A024822" w:rsidR="00CA40EE" w:rsidRPr="00325A1F" w:rsidRDefault="00CA40EE" w:rsidP="00E5473A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325A1F">
                    <w:rPr>
                      <w:b/>
                      <w:szCs w:val="24"/>
                      <w:lang w:val="sq-AL"/>
                    </w:rPr>
                    <w:t xml:space="preserve">Viti </w: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2"/>
                          <w:maxLength w:val="4"/>
                        </w:textInput>
                      </w:ffData>
                    </w:fldChar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instrText xml:space="preserve"> FORMTEXT </w:instrTex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separate"/>
                  </w:r>
                  <w:r w:rsidR="00315292" w:rsidRPr="00325A1F">
                    <w:rPr>
                      <w:b/>
                      <w:noProof/>
                      <w:szCs w:val="24"/>
                      <w:u w:val="single"/>
                    </w:rPr>
                    <w:t>2</w: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2929" w:type="dxa"/>
                  <w:shd w:val="clear" w:color="auto" w:fill="D9D9D9" w:themeFill="background1" w:themeFillShade="D9"/>
                </w:tcPr>
                <w:p w14:paraId="360FF1FF" w14:textId="0987F3A1" w:rsidR="00CA40EE" w:rsidRPr="00325A1F" w:rsidRDefault="00CA40EE" w:rsidP="00E5473A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325A1F">
                    <w:rPr>
                      <w:b/>
                      <w:szCs w:val="24"/>
                      <w:lang w:val="sq-AL"/>
                    </w:rPr>
                    <w:t xml:space="preserve">Viti </w: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3"/>
                          <w:maxLength w:val="4"/>
                        </w:textInput>
                      </w:ffData>
                    </w:fldChar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instrText xml:space="preserve"> FORMTEXT </w:instrTex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separate"/>
                  </w:r>
                  <w:r w:rsidR="00315292" w:rsidRPr="00325A1F">
                    <w:rPr>
                      <w:b/>
                      <w:noProof/>
                      <w:szCs w:val="24"/>
                      <w:u w:val="single"/>
                    </w:rPr>
                    <w:t>3</w: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end"/>
                  </w:r>
                </w:p>
              </w:tc>
            </w:tr>
            <w:tr w:rsidR="00CA40EE" w:rsidRPr="00325A1F" w14:paraId="34733A01" w14:textId="77777777" w:rsidTr="00D105F3">
              <w:trPr>
                <w:trHeight w:val="350"/>
              </w:trPr>
              <w:tc>
                <w:tcPr>
                  <w:tcW w:w="2928" w:type="dxa"/>
                </w:tcPr>
                <w:p w14:paraId="15FBF453" w14:textId="47F393A1" w:rsidR="00CA40EE" w:rsidRPr="00087AEA" w:rsidRDefault="002C181F" w:rsidP="00E5473A">
                  <w:pPr>
                    <w:framePr w:hSpace="187" w:wrap="around" w:vAnchor="page" w:hAnchor="margin" w:y="1758"/>
                    <w:tabs>
                      <w:tab w:val="center" w:pos="1356"/>
                      <w:tab w:val="right" w:pos="2712"/>
                    </w:tabs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bookmarkStart w:id="6" w:name="_Hlk213067367"/>
                  <w:r w:rsidRPr="00087AEA">
                    <w:lastRenderedPageBreak/>
                    <w:t xml:space="preserve">Kosto </w:t>
                  </w:r>
                  <w:proofErr w:type="spellStart"/>
                  <w:r w:rsidR="00422D58" w:rsidRPr="00087AEA">
                    <w:t>për</w:t>
                  </w:r>
                  <w:proofErr w:type="spellEnd"/>
                  <w:r w:rsidR="00422D58" w:rsidRPr="00087AEA">
                    <w:t xml:space="preserve"> </w:t>
                  </w:r>
                  <w:proofErr w:type="spellStart"/>
                  <w:r w:rsidR="00422D58" w:rsidRPr="00087AEA">
                    <w:t>kapacitet</w:t>
                  </w:r>
                  <w:proofErr w:type="spellEnd"/>
                  <w:r w:rsidR="00422D58" w:rsidRPr="00087AEA">
                    <w:t xml:space="preserve"> IT, </w:t>
                  </w:r>
                  <w:proofErr w:type="spellStart"/>
                  <w:r w:rsidR="00422D58" w:rsidRPr="00087AEA">
                    <w:t>adaptim</w:t>
                  </w:r>
                  <w:proofErr w:type="spellEnd"/>
                  <w:r w:rsidR="00422D58" w:rsidRPr="00087AEA">
                    <w:t xml:space="preserve"> </w:t>
                  </w:r>
                  <w:proofErr w:type="spellStart"/>
                  <w:r w:rsidR="00422D58" w:rsidRPr="00087AEA">
                    <w:t>të</w:t>
                  </w:r>
                  <w:proofErr w:type="spellEnd"/>
                  <w:r w:rsidR="00422D58" w:rsidRPr="00087AEA">
                    <w:t xml:space="preserve"> </w:t>
                  </w:r>
                  <w:proofErr w:type="spellStart"/>
                  <w:r w:rsidR="00422D58" w:rsidRPr="00087AEA">
                    <w:t>sistemeve</w:t>
                  </w:r>
                  <w:proofErr w:type="spellEnd"/>
                  <w:r w:rsidR="00422D58" w:rsidRPr="00087AEA">
                    <w:t xml:space="preserve"> </w:t>
                  </w:r>
                  <w:proofErr w:type="spellStart"/>
                  <w:r w:rsidR="00422D58" w:rsidRPr="00087AEA">
                    <w:t>raportuese</w:t>
                  </w:r>
                  <w:proofErr w:type="spellEnd"/>
                  <w:r w:rsidR="00C84937" w:rsidRPr="00087AEA">
                    <w:t>)</w:t>
                  </w:r>
                </w:p>
              </w:tc>
              <w:tc>
                <w:tcPr>
                  <w:tcW w:w="2928" w:type="dxa"/>
                </w:tcPr>
                <w:p w14:paraId="7DD8D650" w14:textId="791FB00E" w:rsidR="00CA40EE" w:rsidRPr="00087AEA" w:rsidRDefault="00BE2CBC" w:rsidP="00E5473A">
                  <w:pPr>
                    <w:framePr w:hSpace="187" w:wrap="around" w:vAnchor="page" w:hAnchor="margin" w:y="1758"/>
                    <w:tabs>
                      <w:tab w:val="left" w:pos="600"/>
                      <w:tab w:val="right" w:pos="2712"/>
                    </w:tabs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087AEA">
                    <w:t>Kosto</w:t>
                  </w:r>
                  <w:r w:rsidR="000703E1" w:rsidRPr="00087AEA">
                    <w:t xml:space="preserve"> </w:t>
                  </w:r>
                  <w:proofErr w:type="spellStart"/>
                  <w:r w:rsidR="00672D75" w:rsidRPr="00087AEA">
                    <w:t>për</w:t>
                  </w:r>
                  <w:proofErr w:type="spellEnd"/>
                  <w:r w:rsidR="00672D75" w:rsidRPr="00087AEA">
                    <w:t xml:space="preserve"> </w:t>
                  </w:r>
                  <w:proofErr w:type="spellStart"/>
                  <w:r w:rsidR="000703E1" w:rsidRPr="00087AEA">
                    <w:t>trajnime</w:t>
                  </w:r>
                  <w:proofErr w:type="spellEnd"/>
                  <w:r w:rsidR="000703E1" w:rsidRPr="00087AEA">
                    <w:t xml:space="preserve">, </w:t>
                  </w:r>
                  <w:proofErr w:type="spellStart"/>
                  <w:r w:rsidR="000703E1" w:rsidRPr="00087AEA">
                    <w:t>mbështetje</w:t>
                  </w:r>
                  <w:proofErr w:type="spellEnd"/>
                  <w:r w:rsidR="000703E1" w:rsidRPr="00087AEA">
                    <w:t xml:space="preserve"> e </w:t>
                  </w:r>
                  <w:proofErr w:type="spellStart"/>
                  <w:r w:rsidR="000703E1" w:rsidRPr="00087AEA">
                    <w:t>zbatimit</w:t>
                  </w:r>
                  <w:proofErr w:type="spellEnd"/>
                  <w:r w:rsidR="000703E1" w:rsidRPr="00087AEA">
                    <w:t xml:space="preserve"> </w:t>
                  </w:r>
                  <w:proofErr w:type="spellStart"/>
                  <w:r w:rsidR="000703E1" w:rsidRPr="00087AEA">
                    <w:t>te</w:t>
                  </w:r>
                  <w:proofErr w:type="spellEnd"/>
                  <w:r w:rsidR="000703E1" w:rsidRPr="00087AEA">
                    <w:t xml:space="preserve"> </w:t>
                  </w:r>
                  <w:proofErr w:type="spellStart"/>
                  <w:r w:rsidR="000703E1" w:rsidRPr="00087AEA">
                    <w:t>operatorët</w:t>
                  </w:r>
                  <w:proofErr w:type="spellEnd"/>
                  <w:r w:rsidR="000703E1" w:rsidRPr="00087AEA">
                    <w:t xml:space="preserve"> e </w:t>
                  </w:r>
                  <w:proofErr w:type="spellStart"/>
                  <w:r w:rsidR="000703E1" w:rsidRPr="00087AEA">
                    <w:t>tregut</w:t>
                  </w:r>
                  <w:proofErr w:type="spellEnd"/>
                  <w:r w:rsidR="000703E1" w:rsidRPr="00087AEA">
                    <w:t>.</w:t>
                  </w:r>
                </w:p>
              </w:tc>
              <w:tc>
                <w:tcPr>
                  <w:tcW w:w="2929" w:type="dxa"/>
                </w:tcPr>
                <w:p w14:paraId="02A2A3D1" w14:textId="14C863A1" w:rsidR="00CA40EE" w:rsidRPr="00087AEA" w:rsidRDefault="00BE2CBC" w:rsidP="00E5473A">
                  <w:pPr>
                    <w:framePr w:hSpace="187" w:wrap="around" w:vAnchor="page" w:hAnchor="margin" w:y="1758"/>
                    <w:tabs>
                      <w:tab w:val="center" w:pos="1356"/>
                      <w:tab w:val="right" w:pos="2713"/>
                    </w:tabs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087AEA">
                    <w:t>Kosto</w:t>
                  </w:r>
                  <w:r w:rsidR="00015E45" w:rsidRPr="00087AEA">
                    <w:t xml:space="preserve"> </w:t>
                  </w:r>
                  <w:proofErr w:type="spellStart"/>
                  <w:r w:rsidR="00015E45" w:rsidRPr="00087AEA">
                    <w:t>lekë</w:t>
                  </w:r>
                  <w:proofErr w:type="spellEnd"/>
                  <w:r w:rsidR="00015E45" w:rsidRPr="00087AEA">
                    <w:t xml:space="preserve"> </w:t>
                  </w:r>
                  <w:proofErr w:type="spellStart"/>
                  <w:r w:rsidR="00672D75" w:rsidRPr="00087AEA">
                    <w:t>për</w:t>
                  </w:r>
                  <w:proofErr w:type="spellEnd"/>
                  <w:r w:rsidR="00672D75" w:rsidRPr="00087AEA">
                    <w:t xml:space="preserve"> </w:t>
                  </w:r>
                  <w:proofErr w:type="spellStart"/>
                  <w:r w:rsidR="00015E45" w:rsidRPr="00087AEA">
                    <w:t>trajnime</w:t>
                  </w:r>
                  <w:proofErr w:type="spellEnd"/>
                  <w:r w:rsidR="00015E45" w:rsidRPr="00087AEA">
                    <w:t xml:space="preserve"> </w:t>
                  </w:r>
                  <w:proofErr w:type="spellStart"/>
                  <w:r w:rsidR="00015E45" w:rsidRPr="00087AEA">
                    <w:t>të</w:t>
                  </w:r>
                  <w:proofErr w:type="spellEnd"/>
                  <w:r w:rsidR="00015E45" w:rsidRPr="00087AEA">
                    <w:t xml:space="preserve"> </w:t>
                  </w:r>
                  <w:proofErr w:type="spellStart"/>
                  <w:proofErr w:type="gramStart"/>
                  <w:r w:rsidR="00015E45" w:rsidRPr="00087AEA">
                    <w:t>vazhduara</w:t>
                  </w:r>
                  <w:proofErr w:type="spellEnd"/>
                  <w:r w:rsidR="00015E45" w:rsidRPr="00087AEA">
                    <w:t xml:space="preserve">, </w:t>
                  </w:r>
                  <w:r w:rsidR="00C84937" w:rsidRPr="00087AEA">
                    <w:t xml:space="preserve"> </w:t>
                  </w:r>
                  <w:proofErr w:type="spellStart"/>
                  <w:r w:rsidR="00C84937" w:rsidRPr="00087AEA">
                    <w:t>përditësime</w:t>
                  </w:r>
                  <w:proofErr w:type="spellEnd"/>
                  <w:proofErr w:type="gramEnd"/>
                  <w:r w:rsidR="00C84937" w:rsidRPr="00087AEA">
                    <w:t xml:space="preserve"> </w:t>
                  </w:r>
                  <w:proofErr w:type="spellStart"/>
                  <w:r w:rsidR="00C84937" w:rsidRPr="00087AEA">
                    <w:t>të</w:t>
                  </w:r>
                  <w:proofErr w:type="spellEnd"/>
                  <w:r w:rsidR="00C84937" w:rsidRPr="00087AEA">
                    <w:t xml:space="preserve"> </w:t>
                  </w:r>
                  <w:proofErr w:type="spellStart"/>
                  <w:r w:rsidR="00C84937" w:rsidRPr="00087AEA">
                    <w:t>lehta</w:t>
                  </w:r>
                  <w:proofErr w:type="spellEnd"/>
                  <w:r w:rsidR="00C84937" w:rsidRPr="00087AEA">
                    <w:t xml:space="preserve"> </w:t>
                  </w:r>
                  <w:proofErr w:type="spellStart"/>
                  <w:r w:rsidR="00C84937" w:rsidRPr="00087AEA">
                    <w:t>rregullatore</w:t>
                  </w:r>
                  <w:proofErr w:type="spellEnd"/>
                </w:p>
              </w:tc>
            </w:tr>
            <w:bookmarkEnd w:id="6"/>
          </w:tbl>
          <w:p w14:paraId="66A29770" w14:textId="77777777" w:rsidR="00275BC6" w:rsidRDefault="00275BC6" w:rsidP="00275BC6">
            <w:pPr>
              <w:spacing w:line="276" w:lineRule="auto"/>
              <w:jc w:val="both"/>
              <w:rPr>
                <w:bCs/>
                <w:szCs w:val="24"/>
              </w:rPr>
            </w:pPr>
          </w:p>
          <w:p w14:paraId="7F7A0A12" w14:textId="015708B2" w:rsidR="00672D75" w:rsidRDefault="00672D75" w:rsidP="00E4791F">
            <w:pPr>
              <w:spacing w:line="276" w:lineRule="auto"/>
              <w:jc w:val="both"/>
              <w:rPr>
                <w:bCs/>
                <w:szCs w:val="24"/>
              </w:rPr>
            </w:pPr>
            <w:r w:rsidRPr="00672D75">
              <w:rPr>
                <w:b/>
                <w:szCs w:val="24"/>
              </w:rPr>
              <w:t>Viti 1:</w:t>
            </w:r>
            <w:r>
              <w:rPr>
                <w:bCs/>
                <w:szCs w:val="24"/>
              </w:rPr>
              <w:t xml:space="preserve"> </w:t>
            </w:r>
            <w:r w:rsidR="00D62789">
              <w:t xml:space="preserve"> </w:t>
            </w:r>
            <w:proofErr w:type="spellStart"/>
            <w:r w:rsidR="00D62789">
              <w:t>Kostot</w:t>
            </w:r>
            <w:proofErr w:type="spellEnd"/>
            <w:r w:rsidR="00D62789">
              <w:t xml:space="preserve"> IT </w:t>
            </w:r>
            <w:proofErr w:type="spellStart"/>
            <w:r w:rsidR="00D62789">
              <w:t>që</w:t>
            </w:r>
            <w:proofErr w:type="spellEnd"/>
            <w:r w:rsidR="00D62789">
              <w:t xml:space="preserve"> </w:t>
            </w:r>
            <w:proofErr w:type="spellStart"/>
            <w:r w:rsidR="00D62789">
              <w:t>lidhen</w:t>
            </w:r>
            <w:proofErr w:type="spellEnd"/>
            <w:r w:rsidR="00D62789">
              <w:t xml:space="preserve"> me </w:t>
            </w:r>
            <w:proofErr w:type="spellStart"/>
            <w:r w:rsidR="00D62789">
              <w:t>ofertat</w:t>
            </w:r>
            <w:proofErr w:type="spellEnd"/>
            <w:r w:rsidR="00D62789">
              <w:t xml:space="preserve"> e </w:t>
            </w:r>
            <w:proofErr w:type="spellStart"/>
            <w:r w:rsidR="00D62789">
              <w:t>marrjes</w:t>
            </w:r>
            <w:proofErr w:type="spellEnd"/>
            <w:r w:rsidR="00D62789">
              <w:t xml:space="preserve"> </w:t>
            </w:r>
            <w:proofErr w:type="spellStart"/>
            <w:r w:rsidR="00D62789">
              <w:t>në</w:t>
            </w:r>
            <w:proofErr w:type="spellEnd"/>
            <w:r w:rsidR="00D62789">
              <w:t xml:space="preserve"> </w:t>
            </w:r>
            <w:proofErr w:type="spellStart"/>
            <w:r w:rsidR="00D62789">
              <w:t>kontroll</w:t>
            </w:r>
            <w:proofErr w:type="spellEnd"/>
            <w:r w:rsidR="00D62789">
              <w:t xml:space="preserve"> </w:t>
            </w:r>
            <w:proofErr w:type="spellStart"/>
            <w:r w:rsidR="00D62789">
              <w:t>nuk</w:t>
            </w:r>
            <w:proofErr w:type="spellEnd"/>
            <w:r w:rsidR="00D62789">
              <w:t xml:space="preserve"> </w:t>
            </w:r>
            <w:proofErr w:type="spellStart"/>
            <w:r w:rsidR="00D62789">
              <w:t>burojnë</w:t>
            </w:r>
            <w:proofErr w:type="spellEnd"/>
            <w:r w:rsidR="00D62789">
              <w:t xml:space="preserve"> </w:t>
            </w:r>
            <w:proofErr w:type="spellStart"/>
            <w:r w:rsidR="00D62789">
              <w:t>vetëm</w:t>
            </w:r>
            <w:proofErr w:type="spellEnd"/>
            <w:r w:rsidR="00D62789">
              <w:t xml:space="preserve"> </w:t>
            </w:r>
            <w:proofErr w:type="spellStart"/>
            <w:r w:rsidR="00D62789">
              <w:t>nga</w:t>
            </w:r>
            <w:proofErr w:type="spellEnd"/>
            <w:r w:rsidR="00D62789">
              <w:t xml:space="preserve"> </w:t>
            </w:r>
            <w:proofErr w:type="spellStart"/>
            <w:r w:rsidR="00D62789">
              <w:t>përmbajtja</w:t>
            </w:r>
            <w:proofErr w:type="spellEnd"/>
            <w:r w:rsidR="00D62789">
              <w:t xml:space="preserve"> e </w:t>
            </w:r>
            <w:proofErr w:type="spellStart"/>
            <w:r w:rsidR="00D62789">
              <w:t>këtij</w:t>
            </w:r>
            <w:proofErr w:type="spellEnd"/>
            <w:r w:rsidR="00D62789">
              <w:t xml:space="preserve"> </w:t>
            </w:r>
            <w:proofErr w:type="spellStart"/>
            <w:r w:rsidR="00D62789">
              <w:t>projektligji</w:t>
            </w:r>
            <w:proofErr w:type="spellEnd"/>
            <w:r w:rsidR="00D62789">
              <w:t xml:space="preserve">, </w:t>
            </w:r>
            <w:proofErr w:type="spellStart"/>
            <w:r w:rsidR="00D62789">
              <w:t>por</w:t>
            </w:r>
            <w:proofErr w:type="spellEnd"/>
            <w:r w:rsidR="00D62789">
              <w:t xml:space="preserve"> </w:t>
            </w:r>
            <w:proofErr w:type="spellStart"/>
            <w:r w:rsidR="00D62789">
              <w:t>nga</w:t>
            </w:r>
            <w:proofErr w:type="spellEnd"/>
            <w:r w:rsidR="00D62789">
              <w:t xml:space="preserve"> </w:t>
            </w:r>
            <w:proofErr w:type="spellStart"/>
            <w:r w:rsidR="00D62789">
              <w:t>kërkesat</w:t>
            </w:r>
            <w:proofErr w:type="spellEnd"/>
            <w:r w:rsidR="00D62789">
              <w:t xml:space="preserve"> </w:t>
            </w:r>
            <w:proofErr w:type="spellStart"/>
            <w:r w:rsidR="00D62789">
              <w:t>horizontale</w:t>
            </w:r>
            <w:proofErr w:type="spellEnd"/>
            <w:r w:rsidR="00D62789">
              <w:t xml:space="preserve"> </w:t>
            </w:r>
            <w:proofErr w:type="spellStart"/>
            <w:r w:rsidR="00D62789">
              <w:t>për</w:t>
            </w:r>
            <w:proofErr w:type="spellEnd"/>
            <w:r w:rsidR="00D62789">
              <w:t xml:space="preserve"> </w:t>
            </w:r>
            <w:proofErr w:type="spellStart"/>
            <w:r w:rsidR="00D62789">
              <w:t>raportim</w:t>
            </w:r>
            <w:proofErr w:type="spellEnd"/>
            <w:r w:rsidR="00D62789">
              <w:t xml:space="preserve"> </w:t>
            </w:r>
            <w:proofErr w:type="spellStart"/>
            <w:r w:rsidR="00D62789">
              <w:t>dhe</w:t>
            </w:r>
            <w:proofErr w:type="spellEnd"/>
            <w:r w:rsidR="00D62789">
              <w:t xml:space="preserve"> </w:t>
            </w:r>
            <w:proofErr w:type="spellStart"/>
            <w:r w:rsidR="00D62789">
              <w:t>depozitim</w:t>
            </w:r>
            <w:proofErr w:type="spellEnd"/>
            <w:r w:rsidR="00D62789">
              <w:t xml:space="preserve"> </w:t>
            </w:r>
            <w:proofErr w:type="spellStart"/>
            <w:r w:rsidR="00D62789">
              <w:t>elektronik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dhënave</w:t>
            </w:r>
            <w:proofErr w:type="spellEnd"/>
            <w:r w:rsidR="00D62789">
              <w:t xml:space="preserve"> (p.sh. </w:t>
            </w:r>
            <w:proofErr w:type="spellStart"/>
            <w:r w:rsidR="00D62789">
              <w:t>rrjedhat</w:t>
            </w:r>
            <w:proofErr w:type="spellEnd"/>
            <w:r w:rsidR="00D62789">
              <w:t xml:space="preserve"> </w:t>
            </w:r>
            <w:proofErr w:type="spellStart"/>
            <w:r w:rsidR="00D62789">
              <w:t>vjetore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raportimit</w:t>
            </w:r>
            <w:proofErr w:type="spellEnd"/>
            <w:r w:rsidR="00D62789">
              <w:t xml:space="preserve"> </w:t>
            </w:r>
            <w:proofErr w:type="spellStart"/>
            <w:r w:rsidR="00D62789">
              <w:t>dhe</w:t>
            </w:r>
            <w:proofErr w:type="spellEnd"/>
            <w:r w:rsidR="00D62789">
              <w:t xml:space="preserve"> </w:t>
            </w:r>
            <w:proofErr w:type="spellStart"/>
            <w:r w:rsidR="00D62789">
              <w:t>depozitimi</w:t>
            </w:r>
            <w:proofErr w:type="spellEnd"/>
            <w:r w:rsidR="00D62789">
              <w:t xml:space="preserve"> </w:t>
            </w:r>
            <w:proofErr w:type="spellStart"/>
            <w:r w:rsidR="00D62789">
              <w:t>në</w:t>
            </w:r>
            <w:proofErr w:type="spellEnd"/>
            <w:r w:rsidR="00D62789">
              <w:t xml:space="preserve"> ESAP </w:t>
            </w:r>
            <w:proofErr w:type="spellStart"/>
            <w:r w:rsidR="00D62789">
              <w:t>në</w:t>
            </w:r>
            <w:proofErr w:type="spellEnd"/>
            <w:r w:rsidR="00D62789">
              <w:t xml:space="preserve"> </w:t>
            </w:r>
            <w:proofErr w:type="spellStart"/>
            <w:r w:rsidR="00D62789">
              <w:t>formate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lexueshme</w:t>
            </w:r>
            <w:proofErr w:type="spellEnd"/>
            <w:r w:rsidR="00D62789">
              <w:t xml:space="preserve"> </w:t>
            </w:r>
            <w:proofErr w:type="spellStart"/>
            <w:r w:rsidR="00D62789">
              <w:t>nga</w:t>
            </w:r>
            <w:proofErr w:type="spellEnd"/>
            <w:r w:rsidR="00D62789">
              <w:t xml:space="preserve"> </w:t>
            </w:r>
            <w:proofErr w:type="spellStart"/>
            <w:r w:rsidR="00D62789">
              <w:t>makina</w:t>
            </w:r>
            <w:proofErr w:type="spellEnd"/>
            <w:r w:rsidR="00D62789">
              <w:t xml:space="preserve">). </w:t>
            </w:r>
            <w:proofErr w:type="spellStart"/>
            <w:r w:rsidR="00D62789">
              <w:t>Këto</w:t>
            </w:r>
            <w:proofErr w:type="spellEnd"/>
            <w:r w:rsidR="00D62789">
              <w:t xml:space="preserve"> </w:t>
            </w:r>
            <w:proofErr w:type="spellStart"/>
            <w:r w:rsidR="00D62789">
              <w:t>detyrime</w:t>
            </w:r>
            <w:proofErr w:type="spellEnd"/>
            <w:r w:rsidR="00D62789">
              <w:t xml:space="preserve"> </w:t>
            </w:r>
            <w:proofErr w:type="spellStart"/>
            <w:r w:rsidR="00D62789">
              <w:t>janë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përmendura</w:t>
            </w:r>
            <w:proofErr w:type="spellEnd"/>
            <w:r w:rsidR="00D62789">
              <w:t xml:space="preserve"> </w:t>
            </w:r>
            <w:proofErr w:type="spellStart"/>
            <w:r w:rsidR="00D62789">
              <w:t>në</w:t>
            </w:r>
            <w:proofErr w:type="spellEnd"/>
            <w:r w:rsidR="00D62789">
              <w:t xml:space="preserve"> </w:t>
            </w:r>
            <w:proofErr w:type="spellStart"/>
            <w:r w:rsidR="00D62789">
              <w:t>dokument</w:t>
            </w:r>
            <w:proofErr w:type="spellEnd"/>
            <w:r w:rsidR="00D62789">
              <w:t xml:space="preserve"> </w:t>
            </w:r>
            <w:proofErr w:type="spellStart"/>
            <w:r w:rsidR="00D62789">
              <w:t>si</w:t>
            </w:r>
            <w:proofErr w:type="spellEnd"/>
            <w:r w:rsidR="00D62789">
              <w:t xml:space="preserve"> </w:t>
            </w:r>
            <w:proofErr w:type="spellStart"/>
            <w:r w:rsidR="00D62789">
              <w:t>pjesë</w:t>
            </w:r>
            <w:proofErr w:type="spellEnd"/>
            <w:r w:rsidR="00D62789">
              <w:t xml:space="preserve"> e </w:t>
            </w:r>
            <w:proofErr w:type="spellStart"/>
            <w:r w:rsidR="00D62789">
              <w:t>mekanizmave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përgjithshëm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transparencës</w:t>
            </w:r>
            <w:proofErr w:type="spellEnd"/>
            <w:r w:rsidR="00D62789">
              <w:t xml:space="preserve"> </w:t>
            </w:r>
            <w:proofErr w:type="spellStart"/>
            <w:r w:rsidR="00D62789">
              <w:t>dhe</w:t>
            </w:r>
            <w:proofErr w:type="spellEnd"/>
            <w:r w:rsidR="00D62789">
              <w:t xml:space="preserve"> </w:t>
            </w:r>
            <w:proofErr w:type="spellStart"/>
            <w:r w:rsidR="00D62789">
              <w:t>raportimit</w:t>
            </w:r>
            <w:proofErr w:type="spellEnd"/>
            <w:r w:rsidR="00D62789">
              <w:t xml:space="preserve"> </w:t>
            </w:r>
            <w:proofErr w:type="spellStart"/>
            <w:r w:rsidR="00D62789">
              <w:t>ndër-institucional</w:t>
            </w:r>
            <w:proofErr w:type="spellEnd"/>
            <w:r w:rsidR="00D62789">
              <w:t xml:space="preserve">, </w:t>
            </w:r>
            <w:proofErr w:type="spellStart"/>
            <w:r w:rsidR="00D62789">
              <w:t>pra</w:t>
            </w:r>
            <w:proofErr w:type="spellEnd"/>
            <w:r w:rsidR="00D62789">
              <w:t xml:space="preserve"> </w:t>
            </w:r>
            <w:proofErr w:type="spellStart"/>
            <w:r w:rsidR="00D62789">
              <w:t>prekin</w:t>
            </w:r>
            <w:proofErr w:type="spellEnd"/>
            <w:r w:rsidR="00D62789">
              <w:t xml:space="preserve"> </w:t>
            </w:r>
            <w:proofErr w:type="spellStart"/>
            <w:r w:rsidR="00D62789">
              <w:t>njësoj</w:t>
            </w:r>
            <w:proofErr w:type="spellEnd"/>
            <w:r w:rsidR="00D62789">
              <w:t xml:space="preserve"> </w:t>
            </w:r>
            <w:proofErr w:type="spellStart"/>
            <w:r w:rsidR="00D62789">
              <w:t>akte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tjera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tregut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kapitaleve</w:t>
            </w:r>
            <w:proofErr w:type="spellEnd"/>
            <w:r w:rsidR="00D62789">
              <w:t xml:space="preserve"> </w:t>
            </w:r>
            <w:proofErr w:type="spellStart"/>
            <w:r w:rsidR="00D62789">
              <w:t>dhe</w:t>
            </w:r>
            <w:proofErr w:type="spellEnd"/>
            <w:r w:rsidR="00D62789">
              <w:t xml:space="preserve"> </w:t>
            </w:r>
            <w:proofErr w:type="spellStart"/>
            <w:r w:rsidR="00D62789">
              <w:t>infrastrukturën</w:t>
            </w:r>
            <w:proofErr w:type="spellEnd"/>
            <w:r w:rsidR="00D62789">
              <w:t xml:space="preserve"> e </w:t>
            </w:r>
            <w:proofErr w:type="spellStart"/>
            <w:r w:rsidR="00D62789">
              <w:t>përbashkët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autoritetit</w:t>
            </w:r>
            <w:proofErr w:type="spellEnd"/>
            <w:r w:rsidR="00D62789">
              <w:t>/</w:t>
            </w:r>
            <w:proofErr w:type="spellStart"/>
            <w:r w:rsidR="00D62789">
              <w:t>operatorëve</w:t>
            </w:r>
            <w:proofErr w:type="spellEnd"/>
            <w:r w:rsidR="00D62789">
              <w:t xml:space="preserve"> (jo </w:t>
            </w:r>
            <w:proofErr w:type="spellStart"/>
            <w:r w:rsidR="00D62789">
              <w:t>vetëm</w:t>
            </w:r>
            <w:proofErr w:type="spellEnd"/>
            <w:r w:rsidR="00D62789">
              <w:t xml:space="preserve"> “takeover”). </w:t>
            </w:r>
            <w:proofErr w:type="spellStart"/>
            <w:r w:rsidR="00D62789">
              <w:t>Për</w:t>
            </w:r>
            <w:proofErr w:type="spellEnd"/>
            <w:r w:rsidR="00D62789">
              <w:t xml:space="preserve"> </w:t>
            </w:r>
            <w:proofErr w:type="spellStart"/>
            <w:r w:rsidR="00D62789">
              <w:t>këtë</w:t>
            </w:r>
            <w:proofErr w:type="spellEnd"/>
            <w:r w:rsidR="00D62789">
              <w:t xml:space="preserve"> </w:t>
            </w:r>
            <w:proofErr w:type="spellStart"/>
            <w:r w:rsidR="00D62789">
              <w:t>arsye</w:t>
            </w:r>
            <w:proofErr w:type="spellEnd"/>
            <w:r w:rsidR="00D62789">
              <w:t xml:space="preserve">, </w:t>
            </w:r>
            <w:proofErr w:type="spellStart"/>
            <w:r w:rsidR="00D62789">
              <w:t>vlerësimi</w:t>
            </w:r>
            <w:proofErr w:type="spellEnd"/>
            <w:r w:rsidR="00D62789">
              <w:t xml:space="preserve"> </w:t>
            </w:r>
            <w:proofErr w:type="spellStart"/>
            <w:r w:rsidR="00D62789">
              <w:t>buxhetor</w:t>
            </w:r>
            <w:proofErr w:type="spellEnd"/>
            <w:r w:rsidR="00D62789">
              <w:t xml:space="preserve"> </w:t>
            </w:r>
            <w:proofErr w:type="spellStart"/>
            <w:r w:rsidR="00D62789">
              <w:t>i</w:t>
            </w:r>
            <w:proofErr w:type="spellEnd"/>
            <w:r w:rsidR="00D62789">
              <w:t xml:space="preserve"> IT-</w:t>
            </w:r>
            <w:proofErr w:type="spellStart"/>
            <w:r w:rsidR="00D62789">
              <w:t>së</w:t>
            </w:r>
            <w:proofErr w:type="spellEnd"/>
            <w:r w:rsidR="00D62789">
              <w:t xml:space="preserve"> </w:t>
            </w:r>
            <w:proofErr w:type="spellStart"/>
            <w:r w:rsidR="00D62789">
              <w:t>duhet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trajtohet</w:t>
            </w:r>
            <w:proofErr w:type="spellEnd"/>
            <w:r w:rsidR="00D62789">
              <w:t xml:space="preserve"> </w:t>
            </w:r>
            <w:proofErr w:type="spellStart"/>
            <w:r w:rsidR="00D62789">
              <w:t>në</w:t>
            </w:r>
            <w:proofErr w:type="spellEnd"/>
            <w:r w:rsidR="00D62789">
              <w:t xml:space="preserve"> </w:t>
            </w:r>
            <w:proofErr w:type="spellStart"/>
            <w:r w:rsidR="00D62789">
              <w:t>aktin</w:t>
            </w:r>
            <w:proofErr w:type="spellEnd"/>
            <w:r w:rsidR="00D62789">
              <w:t xml:space="preserve"> </w:t>
            </w:r>
            <w:proofErr w:type="spellStart"/>
            <w:r w:rsidR="00D62789">
              <w:t>që</w:t>
            </w:r>
            <w:proofErr w:type="spellEnd"/>
            <w:r w:rsidR="00D62789">
              <w:t xml:space="preserve"> do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miratojë</w:t>
            </w:r>
            <w:proofErr w:type="spellEnd"/>
            <w:r w:rsidR="00D62789">
              <w:t xml:space="preserve"> </w:t>
            </w:r>
            <w:proofErr w:type="spellStart"/>
            <w:r w:rsidR="00D62789">
              <w:rPr>
                <w:rStyle w:val="Strong"/>
                <w:rFonts w:eastAsiaTheme="majorEastAsia"/>
              </w:rPr>
              <w:t>Direktivën</w:t>
            </w:r>
            <w:proofErr w:type="spellEnd"/>
            <w:r w:rsidR="00D62789">
              <w:rPr>
                <w:rStyle w:val="Strong"/>
                <w:rFonts w:eastAsiaTheme="majorEastAsia"/>
              </w:rPr>
              <w:t xml:space="preserve"> 2023/2864</w:t>
            </w:r>
            <w:r w:rsidR="00D62789">
              <w:t xml:space="preserve">, </w:t>
            </w:r>
            <w:proofErr w:type="spellStart"/>
            <w:r w:rsidR="00D62789">
              <w:t>si</w:t>
            </w:r>
            <w:proofErr w:type="spellEnd"/>
            <w:r w:rsidR="00D62789">
              <w:t xml:space="preserve"> </w:t>
            </w:r>
            <w:proofErr w:type="spellStart"/>
            <w:r w:rsidR="00D62789">
              <w:t>akt</w:t>
            </w:r>
            <w:proofErr w:type="spellEnd"/>
            <w:r w:rsidR="00D62789">
              <w:t xml:space="preserve"> </w:t>
            </w:r>
            <w:proofErr w:type="spellStart"/>
            <w:r w:rsidR="00D62789">
              <w:t>ku</w:t>
            </w:r>
            <w:proofErr w:type="spellEnd"/>
            <w:r w:rsidR="00D62789">
              <w:t xml:space="preserve"> do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përcaktohen</w:t>
            </w:r>
            <w:proofErr w:type="spellEnd"/>
            <w:r w:rsidR="00D62789">
              <w:t xml:space="preserve"> </w:t>
            </w:r>
            <w:proofErr w:type="spellStart"/>
            <w:r w:rsidR="00D62789">
              <w:t>standardet</w:t>
            </w:r>
            <w:proofErr w:type="spellEnd"/>
            <w:r w:rsidR="00D62789">
              <w:t xml:space="preserve"> </w:t>
            </w:r>
            <w:proofErr w:type="spellStart"/>
            <w:r w:rsidR="00D62789">
              <w:t>teknike</w:t>
            </w:r>
            <w:proofErr w:type="spellEnd"/>
            <w:r w:rsidR="00D62789">
              <w:t xml:space="preserve">, </w:t>
            </w:r>
            <w:proofErr w:type="spellStart"/>
            <w:r w:rsidR="00D62789">
              <w:t>formatet</w:t>
            </w:r>
            <w:proofErr w:type="spellEnd"/>
            <w:r w:rsidR="00D62789">
              <w:t xml:space="preserve">, </w:t>
            </w:r>
            <w:proofErr w:type="spellStart"/>
            <w:r w:rsidR="00D62789">
              <w:t>ndërfaqet</w:t>
            </w:r>
            <w:proofErr w:type="spellEnd"/>
            <w:r w:rsidR="00D62789">
              <w:t xml:space="preserve"> </w:t>
            </w:r>
            <w:proofErr w:type="spellStart"/>
            <w:r w:rsidR="00D62789">
              <w:t>dhe</w:t>
            </w:r>
            <w:proofErr w:type="spellEnd"/>
            <w:r w:rsidR="00D62789">
              <w:t xml:space="preserve"> </w:t>
            </w:r>
            <w:proofErr w:type="spellStart"/>
            <w:r w:rsidR="00D62789">
              <w:t>ciklet</w:t>
            </w:r>
            <w:proofErr w:type="spellEnd"/>
            <w:r w:rsidR="00D62789">
              <w:t xml:space="preserve"> e </w:t>
            </w:r>
            <w:proofErr w:type="spellStart"/>
            <w:r w:rsidR="00D62789">
              <w:t>raportimit</w:t>
            </w:r>
            <w:proofErr w:type="spellEnd"/>
            <w:r w:rsidR="00D62789">
              <w:t xml:space="preserve"> </w:t>
            </w:r>
            <w:proofErr w:type="spellStart"/>
            <w:r w:rsidR="00D62789">
              <w:t>në</w:t>
            </w:r>
            <w:proofErr w:type="spellEnd"/>
            <w:r w:rsidR="00D62789">
              <w:t xml:space="preserve"> </w:t>
            </w:r>
            <w:proofErr w:type="spellStart"/>
            <w:r w:rsidR="00D62789">
              <w:t>nivel</w:t>
            </w:r>
            <w:proofErr w:type="spellEnd"/>
            <w:r w:rsidR="00D62789">
              <w:t xml:space="preserve"> </w:t>
            </w:r>
            <w:proofErr w:type="spellStart"/>
            <w:r w:rsidR="00D62789">
              <w:t>sistemi</w:t>
            </w:r>
            <w:proofErr w:type="spellEnd"/>
            <w:r w:rsidR="00D62789">
              <w:t xml:space="preserve">, </w:t>
            </w:r>
            <w:proofErr w:type="spellStart"/>
            <w:r w:rsidR="00D62789">
              <w:t>ndërsa</w:t>
            </w:r>
            <w:proofErr w:type="spellEnd"/>
            <w:r w:rsidR="00D62789">
              <w:t xml:space="preserve"> </w:t>
            </w:r>
            <w:proofErr w:type="spellStart"/>
            <w:r w:rsidR="00D62789">
              <w:t>projektligji</w:t>
            </w:r>
            <w:proofErr w:type="spellEnd"/>
            <w:r w:rsidR="00D62789">
              <w:t xml:space="preserve"> “takeover” </w:t>
            </w:r>
            <w:proofErr w:type="spellStart"/>
            <w:r w:rsidR="00D62789">
              <w:t>duhet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reflektojë</w:t>
            </w:r>
            <w:proofErr w:type="spellEnd"/>
            <w:r w:rsidR="00D62789">
              <w:t xml:space="preserve"> </w:t>
            </w:r>
            <w:proofErr w:type="spellStart"/>
            <w:r w:rsidR="00D62789">
              <w:t>vetëm</w:t>
            </w:r>
            <w:proofErr w:type="spellEnd"/>
            <w:r w:rsidR="00D62789">
              <w:t xml:space="preserve"> </w:t>
            </w:r>
            <w:proofErr w:type="spellStart"/>
            <w:r w:rsidR="00D62789">
              <w:t>implikimet</w:t>
            </w:r>
            <w:proofErr w:type="spellEnd"/>
            <w:r w:rsidR="00D62789">
              <w:t xml:space="preserve"> </w:t>
            </w:r>
            <w:proofErr w:type="spellStart"/>
            <w:r w:rsidR="00D62789">
              <w:t>materiale</w:t>
            </w:r>
            <w:proofErr w:type="spellEnd"/>
            <w:r w:rsidR="00D62789">
              <w:t xml:space="preserve">/substantive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rregullës</w:t>
            </w:r>
            <w:proofErr w:type="spellEnd"/>
            <w:r w:rsidR="00D62789">
              <w:t xml:space="preserve">. </w:t>
            </w:r>
            <w:proofErr w:type="spellStart"/>
            <w:r w:rsidR="00D62789">
              <w:t>Kjo</w:t>
            </w:r>
            <w:proofErr w:type="spellEnd"/>
            <w:r w:rsidR="00D62789">
              <w:t xml:space="preserve"> </w:t>
            </w:r>
            <w:proofErr w:type="spellStart"/>
            <w:r w:rsidR="00D62789">
              <w:t>shmang</w:t>
            </w:r>
            <w:proofErr w:type="spellEnd"/>
            <w:r w:rsidR="00D62789">
              <w:t xml:space="preserve"> </w:t>
            </w:r>
            <w:proofErr w:type="spellStart"/>
            <w:r w:rsidR="00D62789">
              <w:t>dyfishimet</w:t>
            </w:r>
            <w:proofErr w:type="spellEnd"/>
            <w:r w:rsidR="00D62789">
              <w:t xml:space="preserve">, </w:t>
            </w:r>
            <w:proofErr w:type="spellStart"/>
            <w:r w:rsidR="00D62789">
              <w:t>siguron</w:t>
            </w:r>
            <w:proofErr w:type="spellEnd"/>
            <w:r w:rsidR="00D62789">
              <w:t xml:space="preserve"> </w:t>
            </w:r>
            <w:proofErr w:type="spellStart"/>
            <w:r w:rsidR="00D62789">
              <w:t>konsistencë</w:t>
            </w:r>
            <w:proofErr w:type="spellEnd"/>
            <w:r w:rsidR="00D62789">
              <w:t xml:space="preserve"> </w:t>
            </w:r>
            <w:proofErr w:type="spellStart"/>
            <w:r w:rsidR="00D62789">
              <w:t>ndërsektoriale</w:t>
            </w:r>
            <w:proofErr w:type="spellEnd"/>
            <w:r w:rsidR="00D62789">
              <w:t xml:space="preserve"> </w:t>
            </w:r>
            <w:proofErr w:type="spellStart"/>
            <w:r w:rsidR="00D62789">
              <w:t>dhe</w:t>
            </w:r>
            <w:proofErr w:type="spellEnd"/>
            <w:r w:rsidR="00D62789">
              <w:t xml:space="preserve"> </w:t>
            </w:r>
            <w:proofErr w:type="spellStart"/>
            <w:r w:rsidR="00D62789">
              <w:t>lejon</w:t>
            </w:r>
            <w:proofErr w:type="spellEnd"/>
            <w:r w:rsidR="00D62789">
              <w:t xml:space="preserve"> </w:t>
            </w:r>
            <w:proofErr w:type="spellStart"/>
            <w:r w:rsidR="00D62789">
              <w:t>një</w:t>
            </w:r>
            <w:proofErr w:type="spellEnd"/>
            <w:r w:rsidR="00D62789">
              <w:t xml:space="preserve"> </w:t>
            </w:r>
            <w:proofErr w:type="spellStart"/>
            <w:r w:rsidR="00D62789">
              <w:t>buxhetim</w:t>
            </w:r>
            <w:proofErr w:type="spellEnd"/>
            <w:r w:rsidR="00D62789">
              <w:t xml:space="preserve"> </w:t>
            </w:r>
            <w:proofErr w:type="spellStart"/>
            <w:r w:rsidR="00D62789">
              <w:t>më</w:t>
            </w:r>
            <w:proofErr w:type="spellEnd"/>
            <w:r w:rsidR="00D62789">
              <w:t xml:space="preserve"> realist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kostove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zhvillimit</w:t>
            </w:r>
            <w:proofErr w:type="spellEnd"/>
            <w:r w:rsidR="00D62789">
              <w:t xml:space="preserve"> </w:t>
            </w:r>
            <w:proofErr w:type="spellStart"/>
            <w:r w:rsidR="00D62789">
              <w:t>dhe</w:t>
            </w:r>
            <w:proofErr w:type="spellEnd"/>
            <w:r w:rsidR="00D62789">
              <w:t xml:space="preserve"> </w:t>
            </w:r>
            <w:proofErr w:type="spellStart"/>
            <w:r w:rsidR="00D62789">
              <w:t>mirëmbajtjes</w:t>
            </w:r>
            <w:proofErr w:type="spellEnd"/>
            <w:r w:rsidR="00D62789">
              <w:t xml:space="preserve"> IT, </w:t>
            </w:r>
            <w:proofErr w:type="spellStart"/>
            <w:r w:rsidR="00D62789">
              <w:t>pasi</w:t>
            </w:r>
            <w:proofErr w:type="spellEnd"/>
            <w:r w:rsidR="00D62789">
              <w:t xml:space="preserve"> </w:t>
            </w:r>
            <w:proofErr w:type="spellStart"/>
            <w:r w:rsidR="00D62789">
              <w:t>këto</w:t>
            </w:r>
            <w:proofErr w:type="spellEnd"/>
            <w:r w:rsidR="00D62789">
              <w:t xml:space="preserve"> </w:t>
            </w:r>
            <w:proofErr w:type="spellStart"/>
            <w:r w:rsidR="00D62789">
              <w:t>kosto</w:t>
            </w:r>
            <w:proofErr w:type="spellEnd"/>
            <w:r w:rsidR="00D62789">
              <w:t xml:space="preserve"> do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ndahen</w:t>
            </w:r>
            <w:proofErr w:type="spellEnd"/>
            <w:r w:rsidR="00D62789">
              <w:t xml:space="preserve"> </w:t>
            </w:r>
            <w:proofErr w:type="spellStart"/>
            <w:r w:rsidR="00D62789">
              <w:t>dhe</w:t>
            </w:r>
            <w:proofErr w:type="spellEnd"/>
            <w:r w:rsidR="00D62789">
              <w:t xml:space="preserve"> </w:t>
            </w:r>
            <w:proofErr w:type="spellStart"/>
            <w:r w:rsidR="00D62789">
              <w:t>optimizohen</w:t>
            </w:r>
            <w:proofErr w:type="spellEnd"/>
            <w:r w:rsidR="00D62789">
              <w:t xml:space="preserve"> </w:t>
            </w:r>
            <w:proofErr w:type="spellStart"/>
            <w:r w:rsidR="00D62789">
              <w:t>në</w:t>
            </w:r>
            <w:proofErr w:type="spellEnd"/>
            <w:r w:rsidR="00D62789">
              <w:t xml:space="preserve"> </w:t>
            </w:r>
            <w:proofErr w:type="spellStart"/>
            <w:r w:rsidR="00D62789">
              <w:t>mënyrë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unifikuar</w:t>
            </w:r>
            <w:proofErr w:type="spellEnd"/>
            <w:r w:rsidR="00D62789">
              <w:t xml:space="preserve"> </w:t>
            </w:r>
            <w:proofErr w:type="spellStart"/>
            <w:r w:rsidR="00D62789">
              <w:t>për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gjitha</w:t>
            </w:r>
            <w:proofErr w:type="spellEnd"/>
            <w:r w:rsidR="00D62789">
              <w:t xml:space="preserve"> </w:t>
            </w:r>
            <w:proofErr w:type="spellStart"/>
            <w:r w:rsidR="00D62789">
              <w:t>flukset</w:t>
            </w:r>
            <w:proofErr w:type="spellEnd"/>
            <w:r w:rsidR="00D62789">
              <w:t xml:space="preserve"> e </w:t>
            </w:r>
            <w:proofErr w:type="spellStart"/>
            <w:r w:rsidR="00D62789">
              <w:t>raportimit</w:t>
            </w:r>
            <w:proofErr w:type="spellEnd"/>
            <w:r w:rsidR="00D62789">
              <w:t xml:space="preserve"> </w:t>
            </w:r>
            <w:proofErr w:type="spellStart"/>
            <w:r w:rsidR="00D62789">
              <w:t>dhe</w:t>
            </w:r>
            <w:proofErr w:type="spellEnd"/>
            <w:r w:rsidR="00D62789">
              <w:t xml:space="preserve"> </w:t>
            </w:r>
            <w:proofErr w:type="spellStart"/>
            <w:r w:rsidR="00D62789">
              <w:t>publikimit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të</w:t>
            </w:r>
            <w:proofErr w:type="spellEnd"/>
            <w:r w:rsidR="00D62789">
              <w:t xml:space="preserve"> </w:t>
            </w:r>
            <w:proofErr w:type="spellStart"/>
            <w:r w:rsidR="00D62789">
              <w:t>dhënave</w:t>
            </w:r>
            <w:proofErr w:type="spellEnd"/>
            <w:r w:rsidR="00D62789">
              <w:t>.</w:t>
            </w:r>
          </w:p>
          <w:p w14:paraId="6B37A649" w14:textId="77777777" w:rsidR="00672D75" w:rsidRDefault="00672D75" w:rsidP="00E4791F">
            <w:pPr>
              <w:spacing w:line="276" w:lineRule="auto"/>
              <w:jc w:val="both"/>
              <w:rPr>
                <w:bCs/>
                <w:szCs w:val="24"/>
              </w:rPr>
            </w:pPr>
          </w:p>
          <w:p w14:paraId="5A92BBE9" w14:textId="731B40A5" w:rsidR="00D62789" w:rsidRDefault="00D62789" w:rsidP="00E4791F">
            <w:pPr>
              <w:spacing w:line="276" w:lineRule="auto"/>
              <w:jc w:val="both"/>
              <w:rPr>
                <w:bCs/>
                <w:szCs w:val="24"/>
              </w:rPr>
            </w:pPr>
            <w:r w:rsidRPr="00B41B6A">
              <w:rPr>
                <w:b/>
                <w:szCs w:val="24"/>
              </w:rPr>
              <w:t xml:space="preserve">Viti 2 </w:t>
            </w:r>
            <w:proofErr w:type="spellStart"/>
            <w:r w:rsidRPr="00B41B6A">
              <w:rPr>
                <w:b/>
                <w:szCs w:val="24"/>
              </w:rPr>
              <w:t>dhe</w:t>
            </w:r>
            <w:proofErr w:type="spellEnd"/>
            <w:r w:rsidRPr="00B41B6A">
              <w:rPr>
                <w:b/>
                <w:szCs w:val="24"/>
              </w:rPr>
              <w:t xml:space="preserve"> 3</w:t>
            </w:r>
            <w:r>
              <w:rPr>
                <w:bCs/>
                <w:szCs w:val="24"/>
              </w:rPr>
              <w:t>:</w:t>
            </w:r>
            <w:r w:rsidR="00B41B6A">
              <w:rPr>
                <w:bCs/>
                <w:szCs w:val="24"/>
              </w:rPr>
              <w:t xml:space="preserve"> </w:t>
            </w:r>
            <w:r w:rsidR="00393F5D">
              <w:t xml:space="preserve"> </w:t>
            </w:r>
            <w:proofErr w:type="spellStart"/>
            <w:r w:rsidR="00393F5D">
              <w:t>Kostot</w:t>
            </w:r>
            <w:proofErr w:type="spellEnd"/>
            <w:r w:rsidR="00393F5D">
              <w:t xml:space="preserve"> </w:t>
            </w:r>
            <w:proofErr w:type="spellStart"/>
            <w:r w:rsidR="00393F5D">
              <w:t>që</w:t>
            </w:r>
            <w:proofErr w:type="spellEnd"/>
            <w:r w:rsidR="00393F5D">
              <w:t xml:space="preserve"> </w:t>
            </w:r>
            <w:proofErr w:type="spellStart"/>
            <w:r w:rsidR="00393F5D">
              <w:t>lidhen</w:t>
            </w:r>
            <w:proofErr w:type="spellEnd"/>
            <w:r w:rsidR="00393F5D">
              <w:t xml:space="preserve"> me </w:t>
            </w:r>
            <w:proofErr w:type="spellStart"/>
            <w:r w:rsidR="00393F5D">
              <w:t>trajnimin</w:t>
            </w:r>
            <w:proofErr w:type="spellEnd"/>
            <w:r w:rsidR="00393F5D">
              <w:t xml:space="preserve">, </w:t>
            </w:r>
            <w:proofErr w:type="spellStart"/>
            <w:r w:rsidR="00393F5D">
              <w:t>mbështetjen</w:t>
            </w:r>
            <w:proofErr w:type="spellEnd"/>
            <w:r w:rsidR="00393F5D">
              <w:t xml:space="preserve"> e </w:t>
            </w:r>
            <w:proofErr w:type="spellStart"/>
            <w:r w:rsidR="00393F5D">
              <w:t>zbatimit</w:t>
            </w:r>
            <w:proofErr w:type="spellEnd"/>
            <w:r w:rsidR="00393F5D">
              <w:t xml:space="preserve"> </w:t>
            </w:r>
            <w:proofErr w:type="spellStart"/>
            <w:r w:rsidR="00393F5D">
              <w:t>te</w:t>
            </w:r>
            <w:proofErr w:type="spellEnd"/>
            <w:r w:rsidR="00393F5D">
              <w:t xml:space="preserve"> </w:t>
            </w:r>
            <w:proofErr w:type="spellStart"/>
            <w:r w:rsidR="00393F5D">
              <w:t>operatorët</w:t>
            </w:r>
            <w:proofErr w:type="spellEnd"/>
            <w:r w:rsidR="00393F5D">
              <w:t xml:space="preserve"> e </w:t>
            </w:r>
            <w:proofErr w:type="spellStart"/>
            <w:r w:rsidR="00393F5D">
              <w:t>tregut</w:t>
            </w:r>
            <w:proofErr w:type="spellEnd"/>
            <w:r w:rsidR="00393F5D">
              <w:t xml:space="preserve">, </w:t>
            </w:r>
            <w:proofErr w:type="spellStart"/>
            <w:r w:rsidR="00393F5D">
              <w:t>trajnimin</w:t>
            </w:r>
            <w:proofErr w:type="spellEnd"/>
            <w:r w:rsidR="00393F5D">
              <w:t xml:space="preserve"> e </w:t>
            </w:r>
            <w:proofErr w:type="spellStart"/>
            <w:r w:rsidR="00393F5D">
              <w:t>vazhduar</w:t>
            </w:r>
            <w:proofErr w:type="spellEnd"/>
            <w:r w:rsidR="00393F5D">
              <w:t xml:space="preserve"> </w:t>
            </w:r>
            <w:proofErr w:type="spellStart"/>
            <w:r w:rsidR="00393F5D">
              <w:t>dhe</w:t>
            </w:r>
            <w:proofErr w:type="spellEnd"/>
            <w:r w:rsidR="00393F5D">
              <w:t xml:space="preserve"> </w:t>
            </w:r>
            <w:proofErr w:type="spellStart"/>
            <w:r w:rsidR="00393F5D">
              <w:t>përditësimet</w:t>
            </w:r>
            <w:proofErr w:type="spellEnd"/>
            <w:r w:rsidR="00393F5D">
              <w:t xml:space="preserve"> </w:t>
            </w:r>
            <w:proofErr w:type="spellStart"/>
            <w:r w:rsidR="00393F5D">
              <w:t>rregullatore</w:t>
            </w:r>
            <w:proofErr w:type="spellEnd"/>
            <w:r w:rsidR="00393F5D">
              <w:t xml:space="preserve"> </w:t>
            </w:r>
            <w:proofErr w:type="spellStart"/>
            <w:r w:rsidR="00393F5D">
              <w:t>nuk</w:t>
            </w:r>
            <w:proofErr w:type="spellEnd"/>
            <w:r w:rsidR="00393F5D">
              <w:t xml:space="preserve"> </w:t>
            </w:r>
            <w:proofErr w:type="spellStart"/>
            <w:r w:rsidR="00393F5D">
              <w:t>përbëjnë</w:t>
            </w:r>
            <w:proofErr w:type="spellEnd"/>
            <w:r w:rsidR="00393F5D">
              <w:t xml:space="preserve"> </w:t>
            </w:r>
            <w:proofErr w:type="spellStart"/>
            <w:r w:rsidR="00393F5D">
              <w:t>kosto</w:t>
            </w:r>
            <w:proofErr w:type="spellEnd"/>
            <w:r w:rsidR="00393F5D">
              <w:t xml:space="preserve"> </w:t>
            </w:r>
            <w:proofErr w:type="spellStart"/>
            <w:r w:rsidR="00393F5D">
              <w:t>shtesë</w:t>
            </w:r>
            <w:proofErr w:type="spellEnd"/>
            <w:r w:rsidR="00393F5D">
              <w:t xml:space="preserve"> </w:t>
            </w:r>
            <w:proofErr w:type="spellStart"/>
            <w:r w:rsidR="00393F5D">
              <w:t>strukturore</w:t>
            </w:r>
            <w:proofErr w:type="spellEnd"/>
            <w:r w:rsidR="00393F5D">
              <w:t xml:space="preserve"> </w:t>
            </w:r>
            <w:proofErr w:type="spellStart"/>
            <w:r w:rsidR="00393F5D">
              <w:t>mbi</w:t>
            </w:r>
            <w:proofErr w:type="spellEnd"/>
            <w:r w:rsidR="00393F5D">
              <w:t xml:space="preserve"> </w:t>
            </w:r>
            <w:proofErr w:type="spellStart"/>
            <w:r w:rsidR="00393F5D">
              <w:t>buxhetin</w:t>
            </w:r>
            <w:proofErr w:type="spellEnd"/>
            <w:r w:rsidR="00393F5D">
              <w:t xml:space="preserve"> </w:t>
            </w:r>
            <w:r w:rsidR="00393F5D">
              <w:t>e AMF</w:t>
            </w:r>
            <w:r w:rsidR="00393F5D">
              <w:t xml:space="preserve">, </w:t>
            </w:r>
            <w:proofErr w:type="spellStart"/>
            <w:r w:rsidR="00393F5D">
              <w:t>por</w:t>
            </w:r>
            <w:proofErr w:type="spellEnd"/>
            <w:r w:rsidR="00393F5D">
              <w:t xml:space="preserve"> </w:t>
            </w:r>
            <w:proofErr w:type="spellStart"/>
            <w:r w:rsidR="00393F5D">
              <w:t>janë</w:t>
            </w:r>
            <w:proofErr w:type="spellEnd"/>
            <w:r w:rsidR="00393F5D">
              <w:t xml:space="preserve"> </w:t>
            </w:r>
            <w:proofErr w:type="spellStart"/>
            <w:r w:rsidR="00393F5D">
              <w:t>pjesë</w:t>
            </w:r>
            <w:proofErr w:type="spellEnd"/>
            <w:r w:rsidR="00393F5D">
              <w:t xml:space="preserve"> </w:t>
            </w:r>
            <w:proofErr w:type="spellStart"/>
            <w:r w:rsidR="00393F5D">
              <w:t>inerente</w:t>
            </w:r>
            <w:proofErr w:type="spellEnd"/>
            <w:r w:rsidR="00393F5D">
              <w:t xml:space="preserve"> e </w:t>
            </w:r>
            <w:bookmarkStart w:id="7" w:name="_Hlk213245657"/>
            <w:proofErr w:type="spellStart"/>
            <w:r w:rsidR="00393F5D">
              <w:t>kostove</w:t>
            </w:r>
            <w:proofErr w:type="spellEnd"/>
            <w:r w:rsidR="00393F5D">
              <w:t xml:space="preserve"> </w:t>
            </w:r>
            <w:proofErr w:type="spellStart"/>
            <w:r w:rsidR="00393F5D">
              <w:t>të</w:t>
            </w:r>
            <w:proofErr w:type="spellEnd"/>
            <w:r w:rsidR="00393F5D">
              <w:t xml:space="preserve"> </w:t>
            </w:r>
            <w:proofErr w:type="spellStart"/>
            <w:r w:rsidR="00393F5D">
              <w:t>pagave</w:t>
            </w:r>
            <w:proofErr w:type="spellEnd"/>
            <w:r w:rsidR="00393F5D">
              <w:t xml:space="preserve"> </w:t>
            </w:r>
            <w:proofErr w:type="spellStart"/>
            <w:r w:rsidR="00393F5D">
              <w:t>dhe</w:t>
            </w:r>
            <w:proofErr w:type="spellEnd"/>
            <w:r w:rsidR="00393F5D">
              <w:t xml:space="preserve"> </w:t>
            </w:r>
            <w:proofErr w:type="spellStart"/>
            <w:r w:rsidR="00393F5D">
              <w:t>funksionimit</w:t>
            </w:r>
            <w:proofErr w:type="spellEnd"/>
            <w:r w:rsidR="00393F5D">
              <w:t xml:space="preserve"> normal </w:t>
            </w:r>
            <w:proofErr w:type="spellStart"/>
            <w:r w:rsidR="00393F5D">
              <w:t>të</w:t>
            </w:r>
            <w:proofErr w:type="spellEnd"/>
            <w:r w:rsidR="00393F5D">
              <w:t xml:space="preserve"> </w:t>
            </w:r>
            <w:proofErr w:type="spellStart"/>
            <w:r w:rsidR="00393F5D">
              <w:t>drejtorive</w:t>
            </w:r>
            <w:proofErr w:type="spellEnd"/>
            <w:r w:rsidR="00393F5D">
              <w:t xml:space="preserve"> </w:t>
            </w:r>
            <w:proofErr w:type="spellStart"/>
            <w:r w:rsidR="00393F5D">
              <w:t>teknike</w:t>
            </w:r>
            <w:proofErr w:type="spellEnd"/>
            <w:r w:rsidR="00393F5D">
              <w:t xml:space="preserve"> </w:t>
            </w:r>
            <w:proofErr w:type="spellStart"/>
            <w:r w:rsidR="00393F5D">
              <w:t>që</w:t>
            </w:r>
            <w:proofErr w:type="spellEnd"/>
            <w:r w:rsidR="00393F5D">
              <w:t xml:space="preserve"> do </w:t>
            </w:r>
            <w:proofErr w:type="spellStart"/>
            <w:r w:rsidR="00393F5D">
              <w:t>të</w:t>
            </w:r>
            <w:proofErr w:type="spellEnd"/>
            <w:r w:rsidR="00393F5D">
              <w:t xml:space="preserve"> </w:t>
            </w:r>
            <w:proofErr w:type="spellStart"/>
            <w:r w:rsidR="00393F5D">
              <w:t>vijojnë</w:t>
            </w:r>
            <w:proofErr w:type="spellEnd"/>
            <w:r w:rsidR="00393F5D">
              <w:t xml:space="preserve"> </w:t>
            </w:r>
            <w:proofErr w:type="spellStart"/>
            <w:r w:rsidR="00393F5D">
              <w:t>këto</w:t>
            </w:r>
            <w:proofErr w:type="spellEnd"/>
            <w:r w:rsidR="00393F5D">
              <w:t xml:space="preserve"> </w:t>
            </w:r>
            <w:proofErr w:type="spellStart"/>
            <w:r w:rsidR="00393F5D">
              <w:t>procese</w:t>
            </w:r>
            <w:proofErr w:type="spellEnd"/>
            <w:r w:rsidR="00393F5D">
              <w:t xml:space="preserve">. </w:t>
            </w:r>
            <w:bookmarkEnd w:id="7"/>
            <w:proofErr w:type="spellStart"/>
            <w:r w:rsidR="00393F5D">
              <w:t>Në</w:t>
            </w:r>
            <w:proofErr w:type="spellEnd"/>
            <w:r w:rsidR="00393F5D">
              <w:t xml:space="preserve"> </w:t>
            </w:r>
            <w:proofErr w:type="spellStart"/>
            <w:r w:rsidR="00393F5D">
              <w:t>praktikë</w:t>
            </w:r>
            <w:proofErr w:type="spellEnd"/>
            <w:r w:rsidR="00393F5D">
              <w:t xml:space="preserve">, </w:t>
            </w:r>
            <w:proofErr w:type="spellStart"/>
            <w:r w:rsidR="00393F5D">
              <w:t>trajnimi</w:t>
            </w:r>
            <w:proofErr w:type="spellEnd"/>
            <w:r w:rsidR="00393F5D">
              <w:t xml:space="preserve"> </w:t>
            </w:r>
            <w:proofErr w:type="spellStart"/>
            <w:r w:rsidR="00393F5D">
              <w:t>dhe</w:t>
            </w:r>
            <w:proofErr w:type="spellEnd"/>
            <w:r w:rsidR="00393F5D">
              <w:t xml:space="preserve"> </w:t>
            </w:r>
            <w:proofErr w:type="spellStart"/>
            <w:r w:rsidR="00393F5D">
              <w:t>asistenca</w:t>
            </w:r>
            <w:proofErr w:type="spellEnd"/>
            <w:r w:rsidR="00393F5D">
              <w:t xml:space="preserve"> </w:t>
            </w:r>
            <w:proofErr w:type="spellStart"/>
            <w:r w:rsidR="00393F5D">
              <w:t>teknike</w:t>
            </w:r>
            <w:proofErr w:type="spellEnd"/>
            <w:r w:rsidR="00393F5D">
              <w:t xml:space="preserve"> </w:t>
            </w:r>
            <w:proofErr w:type="spellStart"/>
            <w:r w:rsidR="00393F5D">
              <w:t>për</w:t>
            </w:r>
            <w:proofErr w:type="spellEnd"/>
            <w:r w:rsidR="00393F5D">
              <w:t xml:space="preserve"> </w:t>
            </w:r>
            <w:proofErr w:type="spellStart"/>
            <w:r w:rsidR="00393F5D">
              <w:t>operatorët</w:t>
            </w:r>
            <w:proofErr w:type="spellEnd"/>
            <w:r w:rsidR="00393F5D">
              <w:t xml:space="preserve"> </w:t>
            </w:r>
            <w:proofErr w:type="spellStart"/>
            <w:r w:rsidR="00393F5D">
              <w:t>është</w:t>
            </w:r>
            <w:proofErr w:type="spellEnd"/>
            <w:r w:rsidR="00393F5D">
              <w:t xml:space="preserve"> </w:t>
            </w:r>
            <w:proofErr w:type="spellStart"/>
            <w:r w:rsidR="00393F5D">
              <w:t>funksion</w:t>
            </w:r>
            <w:proofErr w:type="spellEnd"/>
            <w:r w:rsidR="00393F5D">
              <w:t xml:space="preserve"> </w:t>
            </w:r>
            <w:proofErr w:type="spellStart"/>
            <w:r w:rsidR="00393F5D">
              <w:t>bazë</w:t>
            </w:r>
            <w:proofErr w:type="spellEnd"/>
            <w:r w:rsidR="00393F5D">
              <w:t xml:space="preserve"> </w:t>
            </w:r>
            <w:proofErr w:type="spellStart"/>
            <w:r w:rsidR="00393F5D">
              <w:t>i</w:t>
            </w:r>
            <w:proofErr w:type="spellEnd"/>
            <w:r w:rsidR="00393F5D">
              <w:t xml:space="preserve"> AMF (</w:t>
            </w:r>
            <w:proofErr w:type="spellStart"/>
            <w:r w:rsidR="00393F5D">
              <w:t>si</w:t>
            </w:r>
            <w:proofErr w:type="spellEnd"/>
            <w:r w:rsidR="00393F5D">
              <w:t xml:space="preserve"> </w:t>
            </w:r>
            <w:proofErr w:type="spellStart"/>
            <w:r w:rsidR="00393F5D">
              <w:t>autoritet</w:t>
            </w:r>
            <w:proofErr w:type="spellEnd"/>
            <w:r w:rsidR="00393F5D">
              <w:t xml:space="preserve"> </w:t>
            </w:r>
            <w:proofErr w:type="spellStart"/>
            <w:r w:rsidR="00393F5D">
              <w:t>rregullator</w:t>
            </w:r>
            <w:proofErr w:type="spellEnd"/>
            <w:r w:rsidR="00393F5D">
              <w:t xml:space="preserve">), </w:t>
            </w:r>
            <w:proofErr w:type="spellStart"/>
            <w:r w:rsidR="00393F5D">
              <w:t>dhe</w:t>
            </w:r>
            <w:proofErr w:type="spellEnd"/>
            <w:r w:rsidR="00393F5D">
              <w:t xml:space="preserve"> </w:t>
            </w:r>
            <w:proofErr w:type="spellStart"/>
            <w:r w:rsidR="00393F5D">
              <w:t>kryhet</w:t>
            </w:r>
            <w:proofErr w:type="spellEnd"/>
            <w:r w:rsidR="00393F5D">
              <w:t xml:space="preserve"> me </w:t>
            </w:r>
            <w:proofErr w:type="spellStart"/>
            <w:r w:rsidR="00393F5D">
              <w:t>burimet</w:t>
            </w:r>
            <w:proofErr w:type="spellEnd"/>
            <w:r w:rsidR="00393F5D">
              <w:t xml:space="preserve"> </w:t>
            </w:r>
            <w:proofErr w:type="spellStart"/>
            <w:r w:rsidR="00393F5D">
              <w:t>njerëzore</w:t>
            </w:r>
            <w:proofErr w:type="spellEnd"/>
            <w:r w:rsidR="00393F5D">
              <w:t xml:space="preserve"> </w:t>
            </w:r>
            <w:proofErr w:type="spellStart"/>
            <w:r w:rsidR="00393F5D">
              <w:t>ekzistuese</w:t>
            </w:r>
            <w:proofErr w:type="spellEnd"/>
            <w:r w:rsidR="00393F5D">
              <w:t xml:space="preserve"> </w:t>
            </w:r>
            <w:proofErr w:type="spellStart"/>
            <w:r w:rsidR="00393F5D">
              <w:t>brenda</w:t>
            </w:r>
            <w:proofErr w:type="spellEnd"/>
            <w:r w:rsidR="00393F5D">
              <w:t xml:space="preserve"> </w:t>
            </w:r>
            <w:proofErr w:type="spellStart"/>
            <w:r w:rsidR="00393F5D">
              <w:t>strukturës</w:t>
            </w:r>
            <w:proofErr w:type="spellEnd"/>
            <w:r w:rsidR="00393F5D">
              <w:t xml:space="preserve">. Po </w:t>
            </w:r>
            <w:proofErr w:type="spellStart"/>
            <w:r w:rsidR="00393F5D">
              <w:t>ashtu</w:t>
            </w:r>
            <w:proofErr w:type="spellEnd"/>
            <w:r w:rsidR="00393F5D">
              <w:t xml:space="preserve">, </w:t>
            </w:r>
            <w:proofErr w:type="spellStart"/>
            <w:r w:rsidR="00393F5D">
              <w:t>përditësimet</w:t>
            </w:r>
            <w:proofErr w:type="spellEnd"/>
            <w:r w:rsidR="00393F5D">
              <w:t xml:space="preserve"> e </w:t>
            </w:r>
            <w:proofErr w:type="spellStart"/>
            <w:r w:rsidR="00393F5D">
              <w:t>lehta</w:t>
            </w:r>
            <w:proofErr w:type="spellEnd"/>
            <w:r w:rsidR="00393F5D">
              <w:t xml:space="preserve"> </w:t>
            </w:r>
            <w:proofErr w:type="spellStart"/>
            <w:r w:rsidR="00393F5D">
              <w:t>rregullatore</w:t>
            </w:r>
            <w:proofErr w:type="spellEnd"/>
            <w:r w:rsidR="00393F5D">
              <w:t xml:space="preserve"> </w:t>
            </w:r>
            <w:proofErr w:type="spellStart"/>
            <w:r w:rsidR="00393F5D">
              <w:t>nuk</w:t>
            </w:r>
            <w:proofErr w:type="spellEnd"/>
            <w:r w:rsidR="00393F5D">
              <w:t xml:space="preserve"> </w:t>
            </w:r>
            <w:proofErr w:type="spellStart"/>
            <w:r w:rsidR="00393F5D">
              <w:t>kërkojnë</w:t>
            </w:r>
            <w:proofErr w:type="spellEnd"/>
            <w:r w:rsidR="00393F5D">
              <w:t xml:space="preserve"> </w:t>
            </w:r>
            <w:proofErr w:type="spellStart"/>
            <w:r w:rsidR="00393F5D">
              <w:t>krijim</w:t>
            </w:r>
            <w:proofErr w:type="spellEnd"/>
            <w:r w:rsidR="00393F5D">
              <w:t xml:space="preserve"> </w:t>
            </w:r>
            <w:proofErr w:type="spellStart"/>
            <w:r w:rsidR="00393F5D">
              <w:t>njësish</w:t>
            </w:r>
            <w:proofErr w:type="spellEnd"/>
            <w:r w:rsidR="00393F5D">
              <w:t xml:space="preserve"> </w:t>
            </w:r>
            <w:proofErr w:type="spellStart"/>
            <w:r w:rsidR="00393F5D">
              <w:t>të</w:t>
            </w:r>
            <w:proofErr w:type="spellEnd"/>
            <w:r w:rsidR="00393F5D">
              <w:t xml:space="preserve"> </w:t>
            </w:r>
            <w:proofErr w:type="spellStart"/>
            <w:r w:rsidR="00393F5D">
              <w:t>reja</w:t>
            </w:r>
            <w:proofErr w:type="spellEnd"/>
            <w:r w:rsidR="00393F5D">
              <w:t xml:space="preserve"> </w:t>
            </w:r>
            <w:proofErr w:type="spellStart"/>
            <w:r w:rsidR="00393F5D">
              <w:t>organizative</w:t>
            </w:r>
            <w:proofErr w:type="spellEnd"/>
            <w:r w:rsidR="00393F5D">
              <w:t xml:space="preserve">, </w:t>
            </w:r>
            <w:proofErr w:type="spellStart"/>
            <w:r w:rsidR="00393F5D">
              <w:t>por</w:t>
            </w:r>
            <w:proofErr w:type="spellEnd"/>
            <w:r w:rsidR="00393F5D">
              <w:t xml:space="preserve"> </w:t>
            </w:r>
            <w:proofErr w:type="spellStart"/>
            <w:r w:rsidR="00393F5D">
              <w:t>realizohen</w:t>
            </w:r>
            <w:proofErr w:type="spellEnd"/>
            <w:r w:rsidR="00393F5D">
              <w:t xml:space="preserve"> </w:t>
            </w:r>
            <w:proofErr w:type="spellStart"/>
            <w:r w:rsidR="00393F5D">
              <w:t>nga</w:t>
            </w:r>
            <w:proofErr w:type="spellEnd"/>
            <w:r w:rsidR="00393F5D">
              <w:t xml:space="preserve"> </w:t>
            </w:r>
            <w:proofErr w:type="spellStart"/>
            <w:r w:rsidR="00393F5D">
              <w:t>stafet</w:t>
            </w:r>
            <w:proofErr w:type="spellEnd"/>
            <w:r w:rsidR="00393F5D">
              <w:t xml:space="preserve"> </w:t>
            </w:r>
            <w:proofErr w:type="spellStart"/>
            <w:r w:rsidR="00393F5D">
              <w:t>aktuale</w:t>
            </w:r>
            <w:proofErr w:type="spellEnd"/>
            <w:r w:rsidR="00393F5D">
              <w:t xml:space="preserve"> </w:t>
            </w:r>
            <w:proofErr w:type="spellStart"/>
            <w:r w:rsidR="00393F5D">
              <w:t>ligjore</w:t>
            </w:r>
            <w:proofErr w:type="spellEnd"/>
            <w:r w:rsidR="00393F5D">
              <w:t xml:space="preserve"> / </w:t>
            </w:r>
            <w:proofErr w:type="spellStart"/>
            <w:r w:rsidR="00393F5D">
              <w:t>mbikëqyrëse</w:t>
            </w:r>
            <w:proofErr w:type="spellEnd"/>
            <w:r w:rsidR="00393F5D">
              <w:t xml:space="preserve"> </w:t>
            </w:r>
            <w:proofErr w:type="spellStart"/>
            <w:r w:rsidR="00393F5D">
              <w:t>në</w:t>
            </w:r>
            <w:proofErr w:type="spellEnd"/>
            <w:r w:rsidR="00393F5D">
              <w:t xml:space="preserve"> </w:t>
            </w:r>
            <w:proofErr w:type="spellStart"/>
            <w:r w:rsidR="00393F5D">
              <w:t>kuadër</w:t>
            </w:r>
            <w:proofErr w:type="spellEnd"/>
            <w:r w:rsidR="00393F5D">
              <w:t xml:space="preserve"> </w:t>
            </w:r>
            <w:proofErr w:type="spellStart"/>
            <w:r w:rsidR="00393F5D">
              <w:t>të</w:t>
            </w:r>
            <w:proofErr w:type="spellEnd"/>
            <w:r w:rsidR="00393F5D">
              <w:t xml:space="preserve"> </w:t>
            </w:r>
            <w:proofErr w:type="spellStart"/>
            <w:r w:rsidR="00393F5D">
              <w:t>funksioneve</w:t>
            </w:r>
            <w:proofErr w:type="spellEnd"/>
            <w:r w:rsidR="00393F5D">
              <w:t xml:space="preserve"> </w:t>
            </w:r>
            <w:proofErr w:type="spellStart"/>
            <w:r w:rsidR="00393F5D">
              <w:t>të</w:t>
            </w:r>
            <w:proofErr w:type="spellEnd"/>
            <w:r w:rsidR="00393F5D">
              <w:t xml:space="preserve"> tyre. </w:t>
            </w:r>
            <w:proofErr w:type="spellStart"/>
            <w:r w:rsidR="00393F5D">
              <w:t>Për</w:t>
            </w:r>
            <w:proofErr w:type="spellEnd"/>
            <w:r w:rsidR="00393F5D">
              <w:t xml:space="preserve"> </w:t>
            </w:r>
            <w:proofErr w:type="spellStart"/>
            <w:r w:rsidR="00393F5D">
              <w:t>këtë</w:t>
            </w:r>
            <w:proofErr w:type="spellEnd"/>
            <w:r w:rsidR="00393F5D">
              <w:t xml:space="preserve"> </w:t>
            </w:r>
            <w:proofErr w:type="spellStart"/>
            <w:r w:rsidR="00393F5D">
              <w:t>arsye</w:t>
            </w:r>
            <w:proofErr w:type="spellEnd"/>
            <w:r w:rsidR="00393F5D">
              <w:t xml:space="preserve">, </w:t>
            </w:r>
            <w:proofErr w:type="spellStart"/>
            <w:r w:rsidR="00393F5D">
              <w:t>këto</w:t>
            </w:r>
            <w:proofErr w:type="spellEnd"/>
            <w:r w:rsidR="00393F5D">
              <w:t xml:space="preserve"> </w:t>
            </w:r>
            <w:proofErr w:type="spellStart"/>
            <w:r w:rsidR="00393F5D">
              <w:t>elementë</w:t>
            </w:r>
            <w:proofErr w:type="spellEnd"/>
            <w:r w:rsidR="00393F5D">
              <w:t xml:space="preserve"> </w:t>
            </w:r>
            <w:proofErr w:type="spellStart"/>
            <w:r w:rsidR="00393F5D">
              <w:t>nuk</w:t>
            </w:r>
            <w:proofErr w:type="spellEnd"/>
            <w:r w:rsidR="00393F5D">
              <w:t xml:space="preserve"> </w:t>
            </w:r>
            <w:proofErr w:type="spellStart"/>
            <w:r w:rsidR="00393F5D">
              <w:t>duhen</w:t>
            </w:r>
            <w:proofErr w:type="spellEnd"/>
            <w:r w:rsidR="00393F5D">
              <w:t xml:space="preserve"> </w:t>
            </w:r>
            <w:proofErr w:type="spellStart"/>
            <w:r w:rsidR="00393F5D">
              <w:t>trajtuar</w:t>
            </w:r>
            <w:proofErr w:type="spellEnd"/>
            <w:r w:rsidR="00393F5D">
              <w:t xml:space="preserve"> </w:t>
            </w:r>
            <w:proofErr w:type="spellStart"/>
            <w:r w:rsidR="00393F5D">
              <w:t>si</w:t>
            </w:r>
            <w:proofErr w:type="spellEnd"/>
            <w:r w:rsidR="00393F5D">
              <w:t xml:space="preserve"> “</w:t>
            </w:r>
            <w:proofErr w:type="spellStart"/>
            <w:r w:rsidR="00393F5D">
              <w:t>kosto</w:t>
            </w:r>
            <w:proofErr w:type="spellEnd"/>
            <w:r w:rsidR="00393F5D">
              <w:t xml:space="preserve"> </w:t>
            </w:r>
            <w:proofErr w:type="spellStart"/>
            <w:r w:rsidR="00393F5D">
              <w:t>të</w:t>
            </w:r>
            <w:proofErr w:type="spellEnd"/>
            <w:r w:rsidR="00393F5D">
              <w:t xml:space="preserve"> </w:t>
            </w:r>
            <w:proofErr w:type="spellStart"/>
            <w:r w:rsidR="00393F5D">
              <w:t>reja</w:t>
            </w:r>
            <w:proofErr w:type="spellEnd"/>
            <w:r w:rsidR="00393F5D">
              <w:t xml:space="preserve">” </w:t>
            </w:r>
            <w:proofErr w:type="spellStart"/>
            <w:r w:rsidR="00393F5D">
              <w:t>të</w:t>
            </w:r>
            <w:proofErr w:type="spellEnd"/>
            <w:r w:rsidR="00393F5D">
              <w:t xml:space="preserve"> </w:t>
            </w:r>
            <w:proofErr w:type="spellStart"/>
            <w:r w:rsidR="00393F5D">
              <w:t>ngarkuara</w:t>
            </w:r>
            <w:proofErr w:type="spellEnd"/>
            <w:r w:rsidR="00393F5D">
              <w:t xml:space="preserve"> </w:t>
            </w:r>
            <w:proofErr w:type="spellStart"/>
            <w:r w:rsidR="00393F5D">
              <w:t>nga</w:t>
            </w:r>
            <w:proofErr w:type="spellEnd"/>
            <w:r w:rsidR="00393F5D">
              <w:t xml:space="preserve"> </w:t>
            </w:r>
            <w:proofErr w:type="spellStart"/>
            <w:r w:rsidR="00393F5D">
              <w:t>ky</w:t>
            </w:r>
            <w:proofErr w:type="spellEnd"/>
            <w:r w:rsidR="00393F5D">
              <w:t xml:space="preserve"> </w:t>
            </w:r>
            <w:proofErr w:type="spellStart"/>
            <w:r w:rsidR="00393F5D">
              <w:t>projektligj</w:t>
            </w:r>
            <w:proofErr w:type="spellEnd"/>
            <w:r w:rsidR="00393F5D">
              <w:t xml:space="preserve">, </w:t>
            </w:r>
            <w:proofErr w:type="spellStart"/>
            <w:r w:rsidR="00393F5D">
              <w:t>por</w:t>
            </w:r>
            <w:proofErr w:type="spellEnd"/>
            <w:r w:rsidR="00393F5D">
              <w:t xml:space="preserve"> </w:t>
            </w:r>
            <w:proofErr w:type="spellStart"/>
            <w:r w:rsidR="00393F5D">
              <w:t>si</w:t>
            </w:r>
            <w:proofErr w:type="spellEnd"/>
            <w:r w:rsidR="00393F5D">
              <w:t xml:space="preserve"> </w:t>
            </w:r>
            <w:proofErr w:type="spellStart"/>
            <w:r w:rsidR="00393F5D">
              <w:t>komponentë</w:t>
            </w:r>
            <w:proofErr w:type="spellEnd"/>
            <w:r w:rsidR="00393F5D">
              <w:t xml:space="preserve"> </w:t>
            </w:r>
            <w:proofErr w:type="spellStart"/>
            <w:r w:rsidR="00393F5D">
              <w:t>natyralë</w:t>
            </w:r>
            <w:proofErr w:type="spellEnd"/>
            <w:r w:rsidR="00393F5D">
              <w:t xml:space="preserve"> </w:t>
            </w:r>
            <w:proofErr w:type="spellStart"/>
            <w:r w:rsidR="00393F5D">
              <w:t>të</w:t>
            </w:r>
            <w:proofErr w:type="spellEnd"/>
            <w:r w:rsidR="00393F5D">
              <w:t xml:space="preserve"> </w:t>
            </w:r>
            <w:proofErr w:type="spellStart"/>
            <w:r w:rsidR="00393F5D">
              <w:t>pagave</w:t>
            </w:r>
            <w:proofErr w:type="spellEnd"/>
            <w:r w:rsidR="00393F5D">
              <w:t xml:space="preserve"> </w:t>
            </w:r>
            <w:proofErr w:type="spellStart"/>
            <w:r w:rsidR="00393F5D">
              <w:t>dhe</w:t>
            </w:r>
            <w:proofErr w:type="spellEnd"/>
            <w:r w:rsidR="00393F5D">
              <w:t xml:space="preserve"> </w:t>
            </w:r>
            <w:proofErr w:type="spellStart"/>
            <w:r w:rsidR="00393F5D">
              <w:t>fondeve</w:t>
            </w:r>
            <w:proofErr w:type="spellEnd"/>
            <w:r w:rsidR="00393F5D">
              <w:t xml:space="preserve"> </w:t>
            </w:r>
            <w:proofErr w:type="spellStart"/>
            <w:r w:rsidR="00393F5D">
              <w:t>të</w:t>
            </w:r>
            <w:proofErr w:type="spellEnd"/>
            <w:r w:rsidR="00393F5D">
              <w:t xml:space="preserve"> </w:t>
            </w:r>
            <w:proofErr w:type="spellStart"/>
            <w:r w:rsidR="00393F5D">
              <w:t>funksionimit</w:t>
            </w:r>
            <w:proofErr w:type="spellEnd"/>
            <w:r w:rsidR="00393F5D">
              <w:t xml:space="preserve"> </w:t>
            </w:r>
            <w:proofErr w:type="spellStart"/>
            <w:r w:rsidR="00393F5D">
              <w:t>që</w:t>
            </w:r>
            <w:proofErr w:type="spellEnd"/>
            <w:r w:rsidR="00393F5D">
              <w:t xml:space="preserve"> </w:t>
            </w:r>
            <w:proofErr w:type="spellStart"/>
            <w:r w:rsidR="00393F5D">
              <w:t>tashmë</w:t>
            </w:r>
            <w:proofErr w:type="spellEnd"/>
            <w:r w:rsidR="00393F5D">
              <w:t xml:space="preserve"> </w:t>
            </w:r>
            <w:proofErr w:type="spellStart"/>
            <w:r w:rsidR="00393F5D">
              <w:t>janë</w:t>
            </w:r>
            <w:proofErr w:type="spellEnd"/>
            <w:r w:rsidR="00393F5D">
              <w:t xml:space="preserve"> </w:t>
            </w:r>
            <w:proofErr w:type="spellStart"/>
            <w:r w:rsidR="00393F5D">
              <w:t>të</w:t>
            </w:r>
            <w:proofErr w:type="spellEnd"/>
            <w:r w:rsidR="00393F5D">
              <w:t xml:space="preserve"> </w:t>
            </w:r>
            <w:proofErr w:type="spellStart"/>
            <w:r w:rsidR="00393F5D">
              <w:t>buxhetuara</w:t>
            </w:r>
            <w:proofErr w:type="spellEnd"/>
            <w:r w:rsidR="00393F5D">
              <w:t xml:space="preserve"> </w:t>
            </w:r>
            <w:proofErr w:type="spellStart"/>
            <w:r w:rsidR="00393F5D">
              <w:t>në</w:t>
            </w:r>
            <w:proofErr w:type="spellEnd"/>
            <w:r w:rsidR="00393F5D">
              <w:t xml:space="preserve"> </w:t>
            </w:r>
            <w:proofErr w:type="spellStart"/>
            <w:r w:rsidR="00393F5D">
              <w:t>vijueshmëri</w:t>
            </w:r>
            <w:proofErr w:type="spellEnd"/>
            <w:r w:rsidR="00393F5D">
              <w:t xml:space="preserve"> </w:t>
            </w:r>
            <w:proofErr w:type="spellStart"/>
            <w:r w:rsidR="00393F5D">
              <w:t>brenda</w:t>
            </w:r>
            <w:proofErr w:type="spellEnd"/>
            <w:r w:rsidR="00393F5D">
              <w:t xml:space="preserve"> </w:t>
            </w:r>
            <w:proofErr w:type="spellStart"/>
            <w:r w:rsidR="00393F5D">
              <w:t>organikës</w:t>
            </w:r>
            <w:proofErr w:type="spellEnd"/>
            <w:r w:rsidR="00393F5D">
              <w:t xml:space="preserve"> </w:t>
            </w:r>
            <w:proofErr w:type="spellStart"/>
            <w:r w:rsidR="00393F5D">
              <w:t>së</w:t>
            </w:r>
            <w:proofErr w:type="spellEnd"/>
            <w:r w:rsidR="00393F5D">
              <w:t xml:space="preserve"> </w:t>
            </w:r>
            <w:proofErr w:type="spellStart"/>
            <w:r w:rsidR="00393F5D">
              <w:t>autoritetit</w:t>
            </w:r>
            <w:proofErr w:type="spellEnd"/>
            <w:r w:rsidR="00393F5D">
              <w:t>.</w:t>
            </w:r>
          </w:p>
          <w:p w14:paraId="0AB57820" w14:textId="77777777" w:rsidR="00D62789" w:rsidRDefault="00D62789" w:rsidP="00E4791F">
            <w:pPr>
              <w:spacing w:line="276" w:lineRule="auto"/>
              <w:jc w:val="both"/>
              <w:rPr>
                <w:bCs/>
                <w:szCs w:val="24"/>
              </w:rPr>
            </w:pPr>
          </w:p>
          <w:p w14:paraId="4385113B" w14:textId="4D8CEBD8" w:rsidR="00CA40EE" w:rsidRPr="00E4791F" w:rsidRDefault="00275BC6" w:rsidP="00E4791F">
            <w:pPr>
              <w:spacing w:line="276" w:lineRule="auto"/>
              <w:jc w:val="both"/>
              <w:rPr>
                <w:bCs/>
                <w:szCs w:val="24"/>
                <w:lang w:val="sq-AL"/>
              </w:rPr>
            </w:pPr>
            <w:proofErr w:type="spellStart"/>
            <w:r w:rsidRPr="00C17745">
              <w:rPr>
                <w:bCs/>
                <w:szCs w:val="24"/>
              </w:rPr>
              <w:t>Këto</w:t>
            </w:r>
            <w:proofErr w:type="spellEnd"/>
            <w:r w:rsidRPr="00C17745">
              <w:rPr>
                <w:bCs/>
                <w:szCs w:val="24"/>
              </w:rPr>
              <w:t xml:space="preserve"> </w:t>
            </w:r>
            <w:proofErr w:type="spellStart"/>
            <w:r w:rsidRPr="00C17745">
              <w:rPr>
                <w:bCs/>
                <w:szCs w:val="24"/>
              </w:rPr>
              <w:t>kosto</w:t>
            </w:r>
            <w:proofErr w:type="spellEnd"/>
            <w:r w:rsidRPr="00C17745">
              <w:rPr>
                <w:bCs/>
                <w:szCs w:val="24"/>
              </w:rPr>
              <w:t xml:space="preserve"> </w:t>
            </w:r>
            <w:proofErr w:type="spellStart"/>
            <w:r w:rsidRPr="00C17745">
              <w:rPr>
                <w:bCs/>
                <w:szCs w:val="24"/>
              </w:rPr>
              <w:t>janë</w:t>
            </w:r>
            <w:proofErr w:type="spellEnd"/>
            <w:r w:rsidRPr="00C17745">
              <w:rPr>
                <w:bCs/>
                <w:szCs w:val="24"/>
              </w:rPr>
              <w:t xml:space="preserve"> </w:t>
            </w:r>
            <w:proofErr w:type="spellStart"/>
            <w:r w:rsidRPr="00C17745">
              <w:rPr>
                <w:bCs/>
                <w:szCs w:val="24"/>
              </w:rPr>
              <w:t>të</w:t>
            </w:r>
            <w:proofErr w:type="spellEnd"/>
            <w:r w:rsidRPr="00C17745">
              <w:rPr>
                <w:bCs/>
                <w:szCs w:val="24"/>
              </w:rPr>
              <w:t xml:space="preserve"> </w:t>
            </w:r>
            <w:proofErr w:type="spellStart"/>
            <w:r w:rsidRPr="00C17745">
              <w:rPr>
                <w:bCs/>
                <w:szCs w:val="24"/>
              </w:rPr>
              <w:t>menaxhueshme</w:t>
            </w:r>
            <w:proofErr w:type="spellEnd"/>
            <w:r w:rsidRPr="00C17745">
              <w:rPr>
                <w:bCs/>
                <w:szCs w:val="24"/>
              </w:rPr>
              <w:t xml:space="preserve"> </w:t>
            </w:r>
            <w:proofErr w:type="spellStart"/>
            <w:r w:rsidRPr="00C17745">
              <w:rPr>
                <w:bCs/>
                <w:szCs w:val="24"/>
              </w:rPr>
              <w:t>brenda</w:t>
            </w:r>
            <w:proofErr w:type="spellEnd"/>
            <w:r w:rsidRPr="00C17745">
              <w:rPr>
                <w:bCs/>
                <w:szCs w:val="24"/>
              </w:rPr>
              <w:t xml:space="preserve"> </w:t>
            </w:r>
            <w:proofErr w:type="spellStart"/>
            <w:r w:rsidRPr="00C17745">
              <w:rPr>
                <w:bCs/>
                <w:szCs w:val="24"/>
              </w:rPr>
              <w:t>buxhetit</w:t>
            </w:r>
            <w:proofErr w:type="spellEnd"/>
            <w:r w:rsidRPr="00C17745">
              <w:rPr>
                <w:bCs/>
                <w:szCs w:val="24"/>
              </w:rPr>
              <w:t xml:space="preserve"> normal </w:t>
            </w:r>
            <w:proofErr w:type="spellStart"/>
            <w:r w:rsidRPr="00C17745">
              <w:rPr>
                <w:bCs/>
                <w:szCs w:val="24"/>
              </w:rPr>
              <w:t>rregullator</w:t>
            </w:r>
            <w:proofErr w:type="spellEnd"/>
            <w:r w:rsidRPr="00C17745">
              <w:rPr>
                <w:bCs/>
                <w:szCs w:val="24"/>
              </w:rPr>
              <w:t xml:space="preserve"> </w:t>
            </w:r>
            <w:proofErr w:type="spellStart"/>
            <w:r w:rsidRPr="00C17745">
              <w:rPr>
                <w:bCs/>
                <w:szCs w:val="24"/>
              </w:rPr>
              <w:t>të</w:t>
            </w:r>
            <w:proofErr w:type="spellEnd"/>
            <w:r w:rsidRPr="00C17745">
              <w:rPr>
                <w:bCs/>
                <w:szCs w:val="24"/>
              </w:rPr>
              <w:t xml:space="preserve"> </w:t>
            </w:r>
            <w:proofErr w:type="spellStart"/>
            <w:r w:rsidRPr="00C17745">
              <w:rPr>
                <w:bCs/>
                <w:szCs w:val="24"/>
              </w:rPr>
              <w:t>Autoritetit</w:t>
            </w:r>
            <w:proofErr w:type="spellEnd"/>
            <w:r w:rsidRPr="00C17745">
              <w:rPr>
                <w:bCs/>
                <w:szCs w:val="24"/>
              </w:rPr>
              <w:t xml:space="preserve"> </w:t>
            </w:r>
            <w:proofErr w:type="spellStart"/>
            <w:r w:rsidRPr="00C17745">
              <w:rPr>
                <w:bCs/>
                <w:szCs w:val="24"/>
              </w:rPr>
              <w:t>dhe</w:t>
            </w:r>
            <w:proofErr w:type="spellEnd"/>
            <w:r w:rsidRPr="00C17745">
              <w:rPr>
                <w:bCs/>
                <w:szCs w:val="24"/>
              </w:rPr>
              <w:t xml:space="preserve"> </w:t>
            </w:r>
            <w:proofErr w:type="spellStart"/>
            <w:r w:rsidRPr="00C17745">
              <w:rPr>
                <w:bCs/>
                <w:szCs w:val="24"/>
              </w:rPr>
              <w:t>nuk</w:t>
            </w:r>
            <w:proofErr w:type="spellEnd"/>
            <w:r w:rsidRPr="00C17745">
              <w:rPr>
                <w:bCs/>
                <w:szCs w:val="24"/>
              </w:rPr>
              <w:t xml:space="preserve"> </w:t>
            </w:r>
            <w:proofErr w:type="spellStart"/>
            <w:r w:rsidRPr="00C17745">
              <w:rPr>
                <w:bCs/>
                <w:szCs w:val="24"/>
              </w:rPr>
              <w:t>krijojnë</w:t>
            </w:r>
            <w:proofErr w:type="spellEnd"/>
            <w:r w:rsidRPr="00C17745">
              <w:rPr>
                <w:bCs/>
                <w:szCs w:val="24"/>
              </w:rPr>
              <w:t xml:space="preserve"> </w:t>
            </w:r>
            <w:proofErr w:type="spellStart"/>
            <w:r w:rsidRPr="00C17745">
              <w:rPr>
                <w:bCs/>
                <w:szCs w:val="24"/>
              </w:rPr>
              <w:t>barrë</w:t>
            </w:r>
            <w:proofErr w:type="spellEnd"/>
            <w:r w:rsidRPr="00C17745">
              <w:rPr>
                <w:bCs/>
                <w:szCs w:val="24"/>
              </w:rPr>
              <w:t xml:space="preserve"> </w:t>
            </w:r>
            <w:proofErr w:type="spellStart"/>
            <w:r w:rsidRPr="00C17745">
              <w:rPr>
                <w:bCs/>
                <w:szCs w:val="24"/>
              </w:rPr>
              <w:t>strukturore</w:t>
            </w:r>
            <w:proofErr w:type="spellEnd"/>
            <w:r w:rsidRPr="00C17745">
              <w:rPr>
                <w:bCs/>
                <w:szCs w:val="24"/>
              </w:rPr>
              <w:t xml:space="preserve"> </w:t>
            </w:r>
            <w:proofErr w:type="spellStart"/>
            <w:r w:rsidRPr="00C17745">
              <w:rPr>
                <w:bCs/>
                <w:szCs w:val="24"/>
              </w:rPr>
              <w:t>të</w:t>
            </w:r>
            <w:proofErr w:type="spellEnd"/>
            <w:r w:rsidRPr="00C17745">
              <w:rPr>
                <w:bCs/>
                <w:szCs w:val="24"/>
              </w:rPr>
              <w:t xml:space="preserve"> re </w:t>
            </w:r>
            <w:proofErr w:type="spellStart"/>
            <w:r w:rsidRPr="00C17745">
              <w:rPr>
                <w:bCs/>
                <w:szCs w:val="24"/>
              </w:rPr>
              <w:t>shumëvjeçare</w:t>
            </w:r>
            <w:proofErr w:type="spellEnd"/>
            <w:r w:rsidRPr="00C17745">
              <w:rPr>
                <w:bCs/>
                <w:szCs w:val="24"/>
              </w:rPr>
              <w:t>.</w:t>
            </w:r>
          </w:p>
        </w:tc>
      </w:tr>
      <w:tr w:rsidR="00CA40EE" w:rsidRPr="004045D6" w14:paraId="03094400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5F2A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lastRenderedPageBreak/>
              <w:t>KONSULTIMI</w:t>
            </w:r>
          </w:p>
          <w:p w14:paraId="65D336EE" w14:textId="7401EAD5" w:rsidR="00071110" w:rsidRDefault="001E0D36" w:rsidP="00027038">
            <w:pPr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epni një përmbledhje të çdo konsultimi të kryer (me kë dhe si jeni konsultuar? (jo më shumë se 5 rreshta)"/>
                    <w:maxLength w:val="462"/>
                  </w:textInput>
                </w:ffData>
              </w:fldChar>
            </w:r>
            <w:r w:rsidRPr="000D5974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0D5974">
              <w:rPr>
                <w:i/>
                <w:noProof/>
                <w:szCs w:val="24"/>
                <w:lang w:val="sq-AL"/>
              </w:rPr>
              <w:t xml:space="preserve">Jepni një përmbledhje të çdo konsultimi të kryer (me kë dhe si jeni konsultuar? </w:t>
            </w:r>
            <w:r>
              <w:rPr>
                <w:i/>
                <w:noProof/>
                <w:szCs w:val="24"/>
              </w:rPr>
              <w:t>(jo më shumë se 5 rreshta)</w:t>
            </w:r>
            <w:r>
              <w:rPr>
                <w:i/>
                <w:szCs w:val="24"/>
              </w:rPr>
              <w:fldChar w:fldCharType="end"/>
            </w:r>
          </w:p>
          <w:p w14:paraId="5FA61F3D" w14:textId="2EC37C8A" w:rsidR="001E0D36" w:rsidRPr="00325A1F" w:rsidRDefault="001E0D36" w:rsidP="00027038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0"/>
                  </w:textInput>
                </w:ffData>
              </w:fldChar>
            </w:r>
            <w:r>
              <w:rPr>
                <w:i/>
                <w:szCs w:val="24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noProof/>
                <w:szCs w:val="24"/>
              </w:rPr>
              <w:t> </w:t>
            </w:r>
            <w:r>
              <w:rPr>
                <w:i/>
                <w:szCs w:val="24"/>
              </w:rPr>
              <w:fldChar w:fldCharType="end"/>
            </w:r>
          </w:p>
        </w:tc>
      </w:tr>
      <w:tr w:rsidR="00CA40EE" w:rsidRPr="00325A1F" w14:paraId="351492B2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6980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ZBATIMI DHE MONITORIMI</w:t>
            </w:r>
          </w:p>
          <w:p w14:paraId="3C03BEB8" w14:textId="06F36A07" w:rsidR="008576E4" w:rsidRDefault="00CC4D9E" w:rsidP="00027038">
            <w:pPr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fldChar w:fldCharType="begin">
                <w:ffData>
                  <w:name w:val="ZbatimiMonitorimi"/>
                  <w:enabled w:val="0"/>
                  <w:calcOnExit w:val="0"/>
                  <w:textInput>
                    <w:default w:val="Si do të organizohen zbatimi dhe monitorimi?(jo më shumë se 5 rreshta)"/>
                    <w:maxLength w:val="462"/>
                  </w:textInput>
                </w:ffData>
              </w:fldChar>
            </w:r>
            <w:bookmarkStart w:id="8" w:name="ZbatimiMonitorimi"/>
            <w:r w:rsidRPr="001155AF">
              <w:rPr>
                <w:i/>
                <w:szCs w:val="24"/>
                <w:lang w:val="it-IT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1155AF">
              <w:rPr>
                <w:i/>
                <w:noProof/>
                <w:szCs w:val="24"/>
                <w:lang w:val="it-IT"/>
              </w:rPr>
              <w:t>Si do të organizohen zbatimi dhe monitorimi?(jo më shumë se 5 rreshta)</w:t>
            </w:r>
            <w:r>
              <w:rPr>
                <w:i/>
                <w:szCs w:val="24"/>
              </w:rPr>
              <w:fldChar w:fldCharType="end"/>
            </w:r>
            <w:bookmarkEnd w:id="8"/>
          </w:p>
          <w:p w14:paraId="2CFDB222" w14:textId="77777777" w:rsidR="00CD3612" w:rsidRDefault="00CD3612" w:rsidP="00027038">
            <w:pPr>
              <w:spacing w:line="276" w:lineRule="auto"/>
              <w:jc w:val="both"/>
              <w:rPr>
                <w:i/>
                <w:szCs w:val="24"/>
              </w:rPr>
            </w:pPr>
          </w:p>
          <w:p w14:paraId="64677958" w14:textId="77777777" w:rsidR="00CD3612" w:rsidRPr="00D105F3" w:rsidRDefault="00CD3612" w:rsidP="00CD3612">
            <w:pPr>
              <w:widowControl w:val="0"/>
              <w:tabs>
                <w:tab w:val="left" w:pos="270"/>
              </w:tabs>
              <w:autoSpaceDE w:val="0"/>
              <w:autoSpaceDN w:val="0"/>
              <w:spacing w:line="276" w:lineRule="auto"/>
              <w:ind w:right="20"/>
              <w:contextualSpacing/>
              <w:jc w:val="both"/>
              <w:rPr>
                <w:rFonts w:eastAsia="MS Mincho"/>
                <w:szCs w:val="24"/>
                <w:lang w:val="sq-AL" w:eastAsia="ja-JP"/>
              </w:rPr>
            </w:pP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Zbatimi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sigurohet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nga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Autoriteti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i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Mbikëqyrjes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Financiare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,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i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cili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miraton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aktet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nënligjore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(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rregulloret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)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dhe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udhëzimet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teknike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për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shoqëritë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e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listuara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dhe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ndërmjetësit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.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Autoriteti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mbikëqyr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ofertat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konkrete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në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kohë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reale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,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verifikon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respektimin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e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rregullave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për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çmimin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e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drejtë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,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transparencën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ndaj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aksionarëve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minoritarë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dhe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procedurat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në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rastet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ndërkufitare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.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Monitorimi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kryhet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përmes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raportimit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vjetor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te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Komisioni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Evropian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dhe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depozitimit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të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të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dhënave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në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ESAP,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si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dhe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përmes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kontrollit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të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ankesave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dhe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masave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korrigjuese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.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Rezultatet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rishikohen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periodikisht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dhe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,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nëse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nevojitet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,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propozohen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ndryshime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 xml:space="preserve"> </w:t>
            </w:r>
            <w:proofErr w:type="spellStart"/>
            <w:r w:rsidRPr="00D105F3">
              <w:rPr>
                <w:rFonts w:eastAsia="MS Mincho"/>
                <w:szCs w:val="24"/>
                <w:lang w:eastAsia="ja-JP"/>
              </w:rPr>
              <w:t>rregullatore</w:t>
            </w:r>
            <w:proofErr w:type="spellEnd"/>
            <w:r w:rsidRPr="00D105F3">
              <w:rPr>
                <w:rFonts w:eastAsia="MS Mincho"/>
                <w:szCs w:val="24"/>
                <w:lang w:eastAsia="ja-JP"/>
              </w:rPr>
              <w:t>.</w:t>
            </w:r>
          </w:p>
          <w:p w14:paraId="009D7EC2" w14:textId="1BA77B4D" w:rsidR="00CC4D9E" w:rsidRPr="00325A1F" w:rsidRDefault="00CC4D9E" w:rsidP="00027038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</w:p>
        </w:tc>
      </w:tr>
    </w:tbl>
    <w:p w14:paraId="0C6DF655" w14:textId="77777777" w:rsidR="00C133FC" w:rsidRDefault="00C133FC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bookmarkStart w:id="9" w:name="_Toc50691973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242"/>
      </w:tblGrid>
      <w:tr w:rsidR="00C133FC" w:rsidRPr="00BB40AE" w14:paraId="1AEFD50A" w14:textId="77777777" w:rsidTr="00C133FC">
        <w:trPr>
          <w:trHeight w:val="353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C80836" w14:textId="77777777" w:rsidR="00C133FC" w:rsidRPr="009C75E3" w:rsidRDefault="00C133FC" w:rsidP="00C133FC">
            <w:pPr>
              <w:jc w:val="both"/>
              <w:rPr>
                <w:b/>
                <w:lang w:val="sq-AL"/>
              </w:rPr>
            </w:pPr>
            <w:r w:rsidRPr="009C75E3">
              <w:rPr>
                <w:b/>
                <w:lang w:val="sq-AL"/>
              </w:rPr>
              <w:t xml:space="preserve">PJESA 2: BAZA KRYESORE E ANALIZËS DHE E PROVAVE </w:t>
            </w:r>
          </w:p>
        </w:tc>
      </w:tr>
    </w:tbl>
    <w:p w14:paraId="51D5A819" w14:textId="77777777" w:rsidR="00C133FC" w:rsidRPr="00C133FC" w:rsidRDefault="00C133FC" w:rsidP="00B17990">
      <w:pPr>
        <w:rPr>
          <w:lang w:val="sq-AL"/>
        </w:rPr>
      </w:pPr>
    </w:p>
    <w:p w14:paraId="373E349F" w14:textId="77777777" w:rsidR="002125B7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Historik</w:t>
      </w:r>
      <w:bookmarkEnd w:id="9"/>
    </w:p>
    <w:sdt>
      <w:sdtPr>
        <w:rPr>
          <w:i/>
          <w:szCs w:val="24"/>
          <w:lang w:val="sq-AL"/>
        </w:rPr>
        <w:id w:val="-1879696236"/>
        <w:lock w:val="contentLocked"/>
        <w:placeholder>
          <w:docPart w:val="DefaultPlaceholder_-1854013440"/>
        </w:placeholder>
      </w:sdtPr>
      <w:sdtEndPr/>
      <w:sdtContent>
        <w:p w14:paraId="65B5F973" w14:textId="3ECEF7A3" w:rsidR="002125B7" w:rsidRPr="00BC6D7D" w:rsidRDefault="007F435A" w:rsidP="009D13F4">
          <w:pPr>
            <w:spacing w:line="276" w:lineRule="auto"/>
            <w:rPr>
              <w:i/>
              <w:szCs w:val="24"/>
              <w:lang w:val="sq-AL"/>
            </w:rPr>
          </w:pPr>
          <w:r w:rsidRPr="00BC6D7D">
            <w:rPr>
              <w:i/>
              <w:szCs w:val="24"/>
              <w:lang w:val="sq-AL"/>
            </w:rPr>
            <w:t>Jepni kontekstin e politikës</w:t>
          </w:r>
          <w:r w:rsidR="00FA63FD">
            <w:rPr>
              <w:i/>
              <w:szCs w:val="24"/>
              <w:lang w:val="sq-AL"/>
            </w:rPr>
            <w:t>.</w:t>
          </w:r>
        </w:p>
      </w:sdtContent>
    </w:sdt>
    <w:sdt>
      <w:sdtPr>
        <w:rPr>
          <w:lang w:val="sq-AL"/>
        </w:rPr>
        <w:id w:val="1083723407"/>
        <w:placeholder>
          <w:docPart w:val="DefaultPlaceholder_1081868574"/>
        </w:placeholder>
      </w:sdtPr>
      <w:sdtEndPr/>
      <w:sdtContent>
        <w:p w14:paraId="37737844" w14:textId="1C789BE6" w:rsidR="00563378" w:rsidRDefault="00AD3B0C" w:rsidP="00CF2ADA">
          <w:pPr>
            <w:spacing w:before="240"/>
            <w:jc w:val="both"/>
            <w:rPr>
              <w:lang w:val="sq-AL"/>
            </w:rPr>
          </w:pPr>
          <w:sdt>
            <w:sdtPr>
              <w:rPr>
                <w:rFonts w:eastAsiaTheme="majorEastAsia"/>
                <w:color w:val="808080" w:themeColor="background1" w:themeShade="80"/>
              </w:rPr>
              <w:id w:val="-559169390"/>
              <w:placeholder>
                <w:docPart w:val="7D4BF66875D84F409BE5ED571A99CDF4"/>
              </w:placeholder>
            </w:sdtPr>
            <w:sdtEndPr/>
            <w:sdtContent>
              <w:r w:rsidR="00CC280B" w:rsidRPr="00CC280B">
                <w:rPr>
                  <w:rFonts w:eastAsiaTheme="majorEastAsia"/>
                  <w:color w:val="808080" w:themeColor="background1" w:themeShade="80"/>
                  <w:lang w:val="sq-AL"/>
                </w:rPr>
                <w:t>Kuadri ligjor për ofertat e marrjes në kontroll (</w:t>
              </w:r>
              <w:proofErr w:type="spellStart"/>
              <w:r w:rsidR="00CC280B" w:rsidRPr="00CC280B">
                <w:rPr>
                  <w:rFonts w:eastAsiaTheme="majorEastAsia"/>
                  <w:color w:val="808080" w:themeColor="background1" w:themeShade="80"/>
                  <w:lang w:val="sq-AL"/>
                </w:rPr>
                <w:t>takeover</w:t>
              </w:r>
              <w:proofErr w:type="spellEnd"/>
              <w:r w:rsidR="00CC280B" w:rsidRPr="00CC280B">
                <w:rPr>
                  <w:rFonts w:eastAsiaTheme="majorEastAsia"/>
                  <w:color w:val="808080" w:themeColor="background1" w:themeShade="80"/>
                  <w:lang w:val="sq-AL"/>
                </w:rPr>
                <w:t xml:space="preserve"> </w:t>
              </w:r>
              <w:proofErr w:type="spellStart"/>
              <w:r w:rsidR="00CC280B" w:rsidRPr="00CC280B">
                <w:rPr>
                  <w:rFonts w:eastAsiaTheme="majorEastAsia"/>
                  <w:color w:val="808080" w:themeColor="background1" w:themeShade="80"/>
                  <w:lang w:val="sq-AL"/>
                </w:rPr>
                <w:t>bids</w:t>
              </w:r>
              <w:proofErr w:type="spellEnd"/>
              <w:r w:rsidR="00CC280B" w:rsidRPr="00CC280B">
                <w:rPr>
                  <w:rFonts w:eastAsiaTheme="majorEastAsia"/>
                  <w:color w:val="808080" w:themeColor="background1" w:themeShade="80"/>
                  <w:lang w:val="sq-AL"/>
                </w:rPr>
                <w:t xml:space="preserve">) në Shqipëri bazohet në ligjin nr. 10 236, datë 18.02.2010. Ky ligj ka vendosur rregullat bazë mbi ofertat e detyrueshme dhe vullnetare, trajtimin e aksionarëve minoritarë dhe detyrimet e ofertuesit. Megjithatë, prej miratimit të tij, standardet e Bashkimit </w:t>
              </w:r>
              <w:proofErr w:type="spellStart"/>
              <w:r w:rsidR="00CC280B" w:rsidRPr="00CC280B">
                <w:rPr>
                  <w:rFonts w:eastAsiaTheme="majorEastAsia"/>
                  <w:color w:val="808080" w:themeColor="background1" w:themeShade="80"/>
                  <w:lang w:val="sq-AL"/>
                </w:rPr>
                <w:t>Europian</w:t>
              </w:r>
              <w:proofErr w:type="spellEnd"/>
              <w:r w:rsidR="00CC280B" w:rsidRPr="00CC280B">
                <w:rPr>
                  <w:rFonts w:eastAsiaTheme="majorEastAsia"/>
                  <w:color w:val="808080" w:themeColor="background1" w:themeShade="80"/>
                  <w:lang w:val="sq-AL"/>
                </w:rPr>
                <w:t xml:space="preserve"> janë zhvilluar, sidomos në lidhje me çmimin e drejtë, rolin e administratës së shoqërisë objekt gjatë ofertës, transparencën ndaj punëmarrësve dhe rregullimin e situatave ndërkufitare (kur selia e shoqërisë është në një shtet dhe </w:t>
              </w:r>
              <w:proofErr w:type="spellStart"/>
              <w:r w:rsidR="00CC280B" w:rsidRPr="00CC280B">
                <w:rPr>
                  <w:rFonts w:eastAsiaTheme="majorEastAsia"/>
                  <w:color w:val="808080" w:themeColor="background1" w:themeShade="80"/>
                  <w:lang w:val="sq-AL"/>
                </w:rPr>
                <w:t>listimi</w:t>
              </w:r>
              <w:proofErr w:type="spellEnd"/>
              <w:r w:rsidR="00CC280B" w:rsidRPr="00CC280B">
                <w:rPr>
                  <w:rFonts w:eastAsiaTheme="majorEastAsia"/>
                  <w:color w:val="808080" w:themeColor="background1" w:themeShade="80"/>
                  <w:lang w:val="sq-AL"/>
                </w:rPr>
                <w:t xml:space="preserve">/ tregtimi në një tjetër). Shqipëria ndërkohë ka hyrë në fazën e përafrimit material me </w:t>
              </w:r>
              <w:proofErr w:type="spellStart"/>
              <w:r w:rsidR="00CC280B" w:rsidRPr="00CC280B">
                <w:rPr>
                  <w:rFonts w:eastAsiaTheme="majorEastAsia"/>
                  <w:color w:val="808080" w:themeColor="background1" w:themeShade="80"/>
                  <w:lang w:val="sq-AL"/>
                </w:rPr>
                <w:t>acquis</w:t>
              </w:r>
              <w:proofErr w:type="spellEnd"/>
              <w:r w:rsidR="00CC280B" w:rsidRPr="00CC280B">
                <w:rPr>
                  <w:rFonts w:eastAsiaTheme="majorEastAsia"/>
                  <w:color w:val="808080" w:themeColor="background1" w:themeShade="80"/>
                  <w:lang w:val="sq-AL"/>
                </w:rPr>
                <w:t xml:space="preserve">, me objektiv integrimin e plotë në hapësirën </w:t>
              </w:r>
              <w:proofErr w:type="spellStart"/>
              <w:r w:rsidR="00CC280B" w:rsidRPr="00CC280B">
                <w:rPr>
                  <w:rFonts w:eastAsiaTheme="majorEastAsia"/>
                  <w:color w:val="808080" w:themeColor="background1" w:themeShade="80"/>
                  <w:lang w:val="sq-AL"/>
                </w:rPr>
                <w:t>rregullatore</w:t>
              </w:r>
              <w:proofErr w:type="spellEnd"/>
              <w:r w:rsidR="00CC280B" w:rsidRPr="00CC280B">
                <w:rPr>
                  <w:rFonts w:eastAsiaTheme="majorEastAsia"/>
                  <w:color w:val="808080" w:themeColor="background1" w:themeShade="80"/>
                  <w:lang w:val="sq-AL"/>
                </w:rPr>
                <w:t xml:space="preserve"> të tregut të BE deri në horizontin politik 2030. Ky projektligj është pjesë e këtij procesi.</w:t>
              </w:r>
            </w:sdtContent>
          </w:sdt>
        </w:p>
      </w:sdtContent>
    </w:sdt>
    <w:p w14:paraId="3A394B8F" w14:textId="48550E26" w:rsidR="009E64A4" w:rsidRPr="009D13F4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Problemi në shqyrtim</w:t>
      </w:r>
    </w:p>
    <w:bookmarkStart w:id="10" w:name="_Toc506919734" w:displacedByCustomXml="next"/>
    <w:sdt>
      <w:sdtPr>
        <w:id w:val="5332828"/>
        <w:lock w:val="contentLocked"/>
        <w:placeholder>
          <w:docPart w:val="873E64307E5F40099245506EC819755B"/>
        </w:placeholder>
      </w:sdtPr>
      <w:sdtEndPr/>
      <w:sdtContent>
        <w:p w14:paraId="101CBF4C" w14:textId="54202AE6" w:rsidR="00372979" w:rsidRPr="00372979" w:rsidRDefault="00372979" w:rsidP="00372979">
          <w:pPr>
            <w:pStyle w:val="ListParagraph"/>
            <w:numPr>
              <w:ilvl w:val="0"/>
              <w:numId w:val="2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Përshkruani natyrën e problemit.</w:t>
          </w:r>
        </w:p>
        <w:p w14:paraId="39E386F9" w14:textId="77777777" w:rsidR="00372979" w:rsidRPr="00372979" w:rsidRDefault="00372979" w:rsidP="00372979">
          <w:pPr>
            <w:pStyle w:val="ListParagraph"/>
            <w:numPr>
              <w:ilvl w:val="0"/>
              <w:numId w:val="2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Identifikoni shkaqet e problemit.</w:t>
          </w:r>
        </w:p>
        <w:p w14:paraId="68BDD96B" w14:textId="77777777" w:rsidR="00372979" w:rsidRPr="00372979" w:rsidRDefault="00372979" w:rsidP="00372979">
          <w:pPr>
            <w:pStyle w:val="ListParagraph"/>
            <w:numPr>
              <w:ilvl w:val="0"/>
              <w:numId w:val="2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Përshkruani shtrirjen e problemit.</w:t>
          </w:r>
        </w:p>
        <w:p w14:paraId="564ACB57" w14:textId="77777777" w:rsidR="00372979" w:rsidRPr="00372979" w:rsidRDefault="00372979" w:rsidP="00372979">
          <w:pPr>
            <w:pStyle w:val="ListParagraph"/>
            <w:numPr>
              <w:ilvl w:val="0"/>
              <w:numId w:val="2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Identifikoni grupet e prekura nga ky problem - qeveria / biznesi / shoqëria civile / qytetarët.</w:t>
          </w:r>
        </w:p>
        <w:p w14:paraId="0D251324" w14:textId="48AB228E" w:rsidR="009D13F4" w:rsidRPr="00372979" w:rsidRDefault="00372979" w:rsidP="00372979">
          <w:pPr>
            <w:pStyle w:val="ListParagraph"/>
            <w:numPr>
              <w:ilvl w:val="0"/>
              <w:numId w:val="2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Vlerësoni nëse problemi mund të trajtohet ose jo përmes një ndryshimi të politikave.</w:t>
          </w:r>
        </w:p>
      </w:sdtContent>
    </w:sdt>
    <w:p w14:paraId="2942F32F" w14:textId="77777777" w:rsidR="00126BC5" w:rsidRPr="00126BC5" w:rsidRDefault="00126BC5" w:rsidP="00126BC5">
      <w:pPr>
        <w:pStyle w:val="ListParagraph"/>
        <w:spacing w:after="0" w:line="276" w:lineRule="auto"/>
        <w:ind w:left="720" w:firstLine="0"/>
        <w:jc w:val="both"/>
        <w:rPr>
          <w:rFonts w:ascii="Times New Roman" w:hAnsi="Times New Roman"/>
          <w:i/>
          <w:sz w:val="24"/>
          <w:szCs w:val="24"/>
        </w:rPr>
      </w:pPr>
    </w:p>
    <w:p w14:paraId="057B9EB6" w14:textId="77777777" w:rsidR="00126BC5" w:rsidRPr="00126BC5" w:rsidRDefault="00126BC5" w:rsidP="00126BC5">
      <w:pPr>
        <w:pStyle w:val="ListParagraph"/>
        <w:spacing w:after="0" w:line="276" w:lineRule="auto"/>
        <w:ind w:left="720" w:firstLine="0"/>
        <w:jc w:val="both"/>
        <w:rPr>
          <w:rFonts w:ascii="Times New Roman" w:hAnsi="Times New Roman"/>
          <w:i/>
          <w:sz w:val="24"/>
          <w:szCs w:val="24"/>
        </w:rPr>
      </w:pPr>
    </w:p>
    <w:p w14:paraId="588E1BD5" w14:textId="77777777" w:rsidR="00126BC5" w:rsidRPr="00126BC5" w:rsidRDefault="00126BC5" w:rsidP="00126BC5">
      <w:pPr>
        <w:pStyle w:val="ListParagraph"/>
        <w:spacing w:after="0" w:line="276" w:lineRule="auto"/>
        <w:ind w:left="720" w:firstLine="0"/>
        <w:jc w:val="both"/>
        <w:rPr>
          <w:rFonts w:ascii="Times New Roman" w:hAnsi="Times New Roman"/>
          <w:i/>
          <w:sz w:val="24"/>
          <w:szCs w:val="24"/>
        </w:rPr>
      </w:pPr>
    </w:p>
    <w:p w14:paraId="16B5800C" w14:textId="72844D15" w:rsidR="00126BC5" w:rsidRPr="00372979" w:rsidRDefault="00126BC5" w:rsidP="00126BC5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B115E5">
        <w:rPr>
          <w:rFonts w:ascii="Times New Roman" w:hAnsi="Times New Roman"/>
          <w:b/>
          <w:bCs/>
          <w:i/>
          <w:sz w:val="24"/>
          <w:szCs w:val="24"/>
        </w:rPr>
        <w:t xml:space="preserve">Përshkruani </w:t>
      </w:r>
      <w:proofErr w:type="spellStart"/>
      <w:r w:rsidRPr="00B115E5">
        <w:rPr>
          <w:rFonts w:ascii="Times New Roman" w:hAnsi="Times New Roman"/>
          <w:b/>
          <w:bCs/>
          <w:i/>
          <w:sz w:val="24"/>
          <w:szCs w:val="24"/>
        </w:rPr>
        <w:t>natyrën</w:t>
      </w:r>
      <w:proofErr w:type="spellEnd"/>
      <w:r w:rsidRPr="00B115E5">
        <w:rPr>
          <w:rFonts w:ascii="Times New Roman" w:hAnsi="Times New Roman"/>
          <w:b/>
          <w:bCs/>
          <w:i/>
          <w:sz w:val="24"/>
          <w:szCs w:val="24"/>
        </w:rPr>
        <w:t xml:space="preserve"> e </w:t>
      </w:r>
      <w:proofErr w:type="spellStart"/>
      <w:r w:rsidRPr="00B115E5">
        <w:rPr>
          <w:rFonts w:ascii="Times New Roman" w:hAnsi="Times New Roman"/>
          <w:b/>
          <w:bCs/>
          <w:i/>
          <w:sz w:val="24"/>
          <w:szCs w:val="24"/>
        </w:rPr>
        <w:t>problemit</w:t>
      </w:r>
      <w:proofErr w:type="spellEnd"/>
      <w:r w:rsidRPr="00372979">
        <w:rPr>
          <w:rFonts w:ascii="Times New Roman" w:hAnsi="Times New Roman"/>
          <w:i/>
          <w:sz w:val="24"/>
          <w:szCs w:val="24"/>
        </w:rPr>
        <w:t>.</w:t>
      </w:r>
    </w:p>
    <w:p w14:paraId="4BFDFD10" w14:textId="77777777" w:rsidR="00126BC5" w:rsidRDefault="00126BC5" w:rsidP="00126BC5">
      <w:pPr>
        <w:rPr>
          <w:lang w:val="sq-AL"/>
        </w:rPr>
      </w:pPr>
    </w:p>
    <w:p w14:paraId="69E22B32" w14:textId="77777777" w:rsidR="00126BC5" w:rsidRDefault="00126BC5" w:rsidP="00126BC5">
      <w:pPr>
        <w:spacing w:line="276" w:lineRule="auto"/>
        <w:jc w:val="both"/>
      </w:pPr>
      <w:proofErr w:type="spellStart"/>
      <w:r w:rsidRPr="0015285D">
        <w:t>Ligji</w:t>
      </w:r>
      <w:proofErr w:type="spellEnd"/>
      <w:r w:rsidRPr="0015285D">
        <w:t xml:space="preserve"> </w:t>
      </w:r>
      <w:proofErr w:type="spellStart"/>
      <w:r w:rsidRPr="0015285D">
        <w:t>aktual</w:t>
      </w:r>
      <w:proofErr w:type="spellEnd"/>
      <w:r w:rsidRPr="0015285D">
        <w:t xml:space="preserve"> </w:t>
      </w:r>
      <w:proofErr w:type="spellStart"/>
      <w:r w:rsidRPr="0015285D">
        <w:t>nuk</w:t>
      </w:r>
      <w:proofErr w:type="spellEnd"/>
      <w:r w:rsidRPr="0015285D">
        <w:t xml:space="preserve"> </w:t>
      </w:r>
      <w:proofErr w:type="spellStart"/>
      <w:r w:rsidRPr="0015285D">
        <w:t>garanton</w:t>
      </w:r>
      <w:proofErr w:type="spellEnd"/>
      <w:r w:rsidRPr="0015285D">
        <w:t xml:space="preserve"> </w:t>
      </w:r>
      <w:proofErr w:type="spellStart"/>
      <w:r w:rsidRPr="0015285D">
        <w:t>plotësisht</w:t>
      </w:r>
      <w:proofErr w:type="spellEnd"/>
      <w:r w:rsidRPr="0015285D">
        <w:t xml:space="preserve"> </w:t>
      </w:r>
      <w:proofErr w:type="spellStart"/>
      <w:r w:rsidRPr="0015285D">
        <w:t>nivelin</w:t>
      </w:r>
      <w:proofErr w:type="spellEnd"/>
      <w:r w:rsidRPr="0015285D">
        <w:t xml:space="preserve"> e </w:t>
      </w:r>
      <w:proofErr w:type="spellStart"/>
      <w:r w:rsidRPr="0015285D">
        <w:t>sigurisë</w:t>
      </w:r>
      <w:proofErr w:type="spellEnd"/>
      <w:r w:rsidRPr="0015285D">
        <w:t xml:space="preserve"> </w:t>
      </w:r>
      <w:proofErr w:type="spellStart"/>
      <w:r w:rsidRPr="0015285D">
        <w:t>juridike</w:t>
      </w:r>
      <w:proofErr w:type="spellEnd"/>
      <w:r w:rsidRPr="0015285D">
        <w:t xml:space="preserve"> </w:t>
      </w:r>
      <w:proofErr w:type="spellStart"/>
      <w:r w:rsidRPr="0015285D">
        <w:t>dhe</w:t>
      </w:r>
      <w:proofErr w:type="spellEnd"/>
      <w:r w:rsidRPr="0015285D">
        <w:t xml:space="preserve"> </w:t>
      </w:r>
      <w:proofErr w:type="spellStart"/>
      <w:r w:rsidRPr="0015285D">
        <w:t>transparencës</w:t>
      </w:r>
      <w:proofErr w:type="spellEnd"/>
      <w:r w:rsidRPr="0015285D">
        <w:t xml:space="preserve"> </w:t>
      </w:r>
      <w:proofErr w:type="spellStart"/>
      <w:r w:rsidRPr="0015285D">
        <w:t>që</w:t>
      </w:r>
      <w:proofErr w:type="spellEnd"/>
      <w:r w:rsidRPr="0015285D">
        <w:t xml:space="preserve"> </w:t>
      </w:r>
      <w:proofErr w:type="spellStart"/>
      <w:r w:rsidRPr="0015285D">
        <w:t>kërkohet</w:t>
      </w:r>
      <w:proofErr w:type="spellEnd"/>
      <w:r w:rsidRPr="0015285D">
        <w:t xml:space="preserve"> </w:t>
      </w:r>
      <w:proofErr w:type="spellStart"/>
      <w:r w:rsidRPr="0015285D">
        <w:t>në</w:t>
      </w:r>
      <w:proofErr w:type="spellEnd"/>
      <w:r w:rsidRPr="0015285D">
        <w:t xml:space="preserve"> </w:t>
      </w:r>
      <w:proofErr w:type="spellStart"/>
      <w:r w:rsidRPr="0015285D">
        <w:t>një</w:t>
      </w:r>
      <w:proofErr w:type="spellEnd"/>
      <w:r w:rsidRPr="0015285D">
        <w:t xml:space="preserve"> </w:t>
      </w:r>
      <w:proofErr w:type="spellStart"/>
      <w:r w:rsidRPr="0015285D">
        <w:t>treg</w:t>
      </w:r>
      <w:proofErr w:type="spellEnd"/>
      <w:r w:rsidRPr="0015285D">
        <w:t xml:space="preserve"> </w:t>
      </w:r>
      <w:proofErr w:type="spellStart"/>
      <w:r w:rsidRPr="0015285D">
        <w:t>kapitalesh</w:t>
      </w:r>
      <w:proofErr w:type="spellEnd"/>
      <w:r w:rsidRPr="0015285D">
        <w:t xml:space="preserve"> </w:t>
      </w:r>
      <w:proofErr w:type="spellStart"/>
      <w:r w:rsidRPr="0015285D">
        <w:t>të</w:t>
      </w:r>
      <w:proofErr w:type="spellEnd"/>
      <w:r w:rsidRPr="0015285D">
        <w:t xml:space="preserve"> </w:t>
      </w:r>
      <w:proofErr w:type="spellStart"/>
      <w:r w:rsidRPr="0015285D">
        <w:t>hapur</w:t>
      </w:r>
      <w:proofErr w:type="spellEnd"/>
      <w:r w:rsidRPr="0015285D">
        <w:t xml:space="preserve"> </w:t>
      </w:r>
      <w:proofErr w:type="spellStart"/>
      <w:r w:rsidRPr="0015285D">
        <w:t>dhe</w:t>
      </w:r>
      <w:proofErr w:type="spellEnd"/>
      <w:r w:rsidRPr="0015285D">
        <w:t xml:space="preserve"> </w:t>
      </w:r>
      <w:proofErr w:type="spellStart"/>
      <w:r w:rsidRPr="0015285D">
        <w:t>të</w:t>
      </w:r>
      <w:proofErr w:type="spellEnd"/>
      <w:r w:rsidRPr="0015285D">
        <w:t xml:space="preserve"> </w:t>
      </w:r>
      <w:proofErr w:type="spellStart"/>
      <w:r w:rsidRPr="0015285D">
        <w:t>besueshëm</w:t>
      </w:r>
      <w:proofErr w:type="spellEnd"/>
      <w:r w:rsidRPr="0015285D">
        <w:t xml:space="preserve">. </w:t>
      </w:r>
      <w:proofErr w:type="spellStart"/>
      <w:r w:rsidRPr="0015285D">
        <w:t>Ekzistojnë</w:t>
      </w:r>
      <w:proofErr w:type="spellEnd"/>
      <w:r w:rsidRPr="0015285D">
        <w:t xml:space="preserve"> </w:t>
      </w:r>
      <w:proofErr w:type="spellStart"/>
      <w:r w:rsidRPr="0015285D">
        <w:t>boshllëqe</w:t>
      </w:r>
      <w:proofErr w:type="spellEnd"/>
      <w:r w:rsidRPr="0015285D">
        <w:t xml:space="preserve"> </w:t>
      </w:r>
      <w:proofErr w:type="spellStart"/>
      <w:r w:rsidRPr="0015285D">
        <w:t>në</w:t>
      </w:r>
      <w:proofErr w:type="spellEnd"/>
      <w:r w:rsidRPr="0015285D">
        <w:t>: (</w:t>
      </w:r>
      <w:proofErr w:type="spellStart"/>
      <w:r w:rsidRPr="0015285D">
        <w:t>i</w:t>
      </w:r>
      <w:proofErr w:type="spellEnd"/>
      <w:r w:rsidRPr="0015285D">
        <w:t xml:space="preserve">) </w:t>
      </w:r>
      <w:proofErr w:type="spellStart"/>
      <w:r w:rsidRPr="0015285D">
        <w:t>përcaktimin</w:t>
      </w:r>
      <w:proofErr w:type="spellEnd"/>
      <w:r w:rsidRPr="0015285D">
        <w:t xml:space="preserve"> e </w:t>
      </w:r>
      <w:proofErr w:type="spellStart"/>
      <w:r w:rsidRPr="0015285D">
        <w:t>çmimit</w:t>
      </w:r>
      <w:proofErr w:type="spellEnd"/>
      <w:r w:rsidRPr="0015285D">
        <w:t xml:space="preserve"> </w:t>
      </w:r>
      <w:proofErr w:type="spellStart"/>
      <w:r w:rsidRPr="0015285D">
        <w:t>të</w:t>
      </w:r>
      <w:proofErr w:type="spellEnd"/>
      <w:r w:rsidRPr="0015285D">
        <w:t xml:space="preserve"> </w:t>
      </w:r>
      <w:proofErr w:type="spellStart"/>
      <w:r w:rsidRPr="0015285D">
        <w:t>drejtë</w:t>
      </w:r>
      <w:proofErr w:type="spellEnd"/>
      <w:r w:rsidRPr="0015285D">
        <w:t xml:space="preserve"> </w:t>
      </w:r>
      <w:proofErr w:type="spellStart"/>
      <w:r w:rsidRPr="0015285D">
        <w:t>dhe</w:t>
      </w:r>
      <w:proofErr w:type="spellEnd"/>
      <w:r w:rsidRPr="0015285D">
        <w:t xml:space="preserve"> </w:t>
      </w:r>
      <w:proofErr w:type="spellStart"/>
      <w:r w:rsidRPr="0015285D">
        <w:t>trajtimin</w:t>
      </w:r>
      <w:proofErr w:type="spellEnd"/>
      <w:r w:rsidRPr="0015285D">
        <w:t xml:space="preserve"> e </w:t>
      </w:r>
      <w:proofErr w:type="spellStart"/>
      <w:r w:rsidRPr="0015285D">
        <w:t>rasteve</w:t>
      </w:r>
      <w:proofErr w:type="spellEnd"/>
      <w:r w:rsidRPr="0015285D">
        <w:t xml:space="preserve"> </w:t>
      </w:r>
      <w:proofErr w:type="spellStart"/>
      <w:r w:rsidRPr="0015285D">
        <w:t>kur</w:t>
      </w:r>
      <w:proofErr w:type="spellEnd"/>
      <w:r w:rsidRPr="0015285D">
        <w:t xml:space="preserve"> </w:t>
      </w:r>
      <w:proofErr w:type="spellStart"/>
      <w:r w:rsidRPr="0015285D">
        <w:t>ofertuesi</w:t>
      </w:r>
      <w:proofErr w:type="spellEnd"/>
      <w:r w:rsidRPr="0015285D">
        <w:t xml:space="preserve"> </w:t>
      </w:r>
      <w:proofErr w:type="spellStart"/>
      <w:r w:rsidRPr="0015285D">
        <w:t>blen</w:t>
      </w:r>
      <w:proofErr w:type="spellEnd"/>
      <w:r w:rsidRPr="0015285D">
        <w:t xml:space="preserve"> </w:t>
      </w:r>
      <w:proofErr w:type="spellStart"/>
      <w:r w:rsidRPr="0015285D">
        <w:t>aksione</w:t>
      </w:r>
      <w:proofErr w:type="spellEnd"/>
      <w:r w:rsidRPr="0015285D">
        <w:t xml:space="preserve"> me </w:t>
      </w:r>
      <w:proofErr w:type="spellStart"/>
      <w:r w:rsidRPr="0015285D">
        <w:t>çmim</w:t>
      </w:r>
      <w:proofErr w:type="spellEnd"/>
      <w:r w:rsidRPr="0015285D">
        <w:t xml:space="preserve"> </w:t>
      </w:r>
      <w:proofErr w:type="spellStart"/>
      <w:r w:rsidRPr="0015285D">
        <w:t>më</w:t>
      </w:r>
      <w:proofErr w:type="spellEnd"/>
      <w:r w:rsidRPr="0015285D">
        <w:t xml:space="preserve"> </w:t>
      </w:r>
      <w:proofErr w:type="spellStart"/>
      <w:r w:rsidRPr="0015285D">
        <w:t>të</w:t>
      </w:r>
      <w:proofErr w:type="spellEnd"/>
      <w:r w:rsidRPr="0015285D">
        <w:t xml:space="preserve"> </w:t>
      </w:r>
      <w:proofErr w:type="spellStart"/>
      <w:r w:rsidRPr="0015285D">
        <w:t>lartë</w:t>
      </w:r>
      <w:proofErr w:type="spellEnd"/>
      <w:r w:rsidRPr="0015285D">
        <w:t xml:space="preserve"> </w:t>
      </w:r>
      <w:proofErr w:type="spellStart"/>
      <w:r w:rsidRPr="0015285D">
        <w:t>gjatë</w:t>
      </w:r>
      <w:proofErr w:type="spellEnd"/>
      <w:r w:rsidRPr="0015285D">
        <w:t xml:space="preserve"> </w:t>
      </w:r>
      <w:proofErr w:type="spellStart"/>
      <w:r w:rsidRPr="0015285D">
        <w:t>periudhës</w:t>
      </w:r>
      <w:proofErr w:type="spellEnd"/>
      <w:r w:rsidRPr="0015285D">
        <w:t xml:space="preserve"> </w:t>
      </w:r>
      <w:proofErr w:type="spellStart"/>
      <w:r w:rsidRPr="0015285D">
        <w:t>së</w:t>
      </w:r>
      <w:proofErr w:type="spellEnd"/>
      <w:r w:rsidRPr="0015285D">
        <w:t xml:space="preserve"> </w:t>
      </w:r>
      <w:proofErr w:type="spellStart"/>
      <w:r w:rsidRPr="0015285D">
        <w:t>ofertës</w:t>
      </w:r>
      <w:proofErr w:type="spellEnd"/>
      <w:r w:rsidRPr="0015285D">
        <w:t xml:space="preserve">; (ii) </w:t>
      </w:r>
      <w:proofErr w:type="spellStart"/>
      <w:r w:rsidRPr="0015285D">
        <w:t>kufizimin</w:t>
      </w:r>
      <w:proofErr w:type="spellEnd"/>
      <w:r w:rsidRPr="0015285D">
        <w:t xml:space="preserve"> </w:t>
      </w:r>
      <w:proofErr w:type="spellStart"/>
      <w:r w:rsidRPr="0015285D">
        <w:t>ose</w:t>
      </w:r>
      <w:proofErr w:type="spellEnd"/>
      <w:r w:rsidRPr="0015285D">
        <w:t xml:space="preserve"> jo </w:t>
      </w:r>
      <w:proofErr w:type="spellStart"/>
      <w:r w:rsidRPr="0015285D">
        <w:t>të</w:t>
      </w:r>
      <w:proofErr w:type="spellEnd"/>
      <w:r w:rsidRPr="0015285D">
        <w:t xml:space="preserve"> </w:t>
      </w:r>
      <w:proofErr w:type="spellStart"/>
      <w:r w:rsidRPr="0015285D">
        <w:t>masave</w:t>
      </w:r>
      <w:proofErr w:type="spellEnd"/>
      <w:r w:rsidRPr="0015285D">
        <w:t xml:space="preserve"> </w:t>
      </w:r>
      <w:proofErr w:type="spellStart"/>
      <w:r w:rsidRPr="0015285D">
        <w:t>mbrojtëse</w:t>
      </w:r>
      <w:proofErr w:type="spellEnd"/>
      <w:r w:rsidRPr="0015285D">
        <w:t xml:space="preserve"> </w:t>
      </w:r>
      <w:proofErr w:type="spellStart"/>
      <w:r w:rsidRPr="0015285D">
        <w:t>të</w:t>
      </w:r>
      <w:proofErr w:type="spellEnd"/>
      <w:r w:rsidRPr="0015285D">
        <w:t xml:space="preserve"> </w:t>
      </w:r>
      <w:proofErr w:type="spellStart"/>
      <w:r w:rsidRPr="0015285D">
        <w:t>bordit</w:t>
      </w:r>
      <w:proofErr w:type="spellEnd"/>
      <w:r w:rsidRPr="0015285D">
        <w:t xml:space="preserve"> </w:t>
      </w:r>
      <w:proofErr w:type="spellStart"/>
      <w:r w:rsidRPr="0015285D">
        <w:t>të</w:t>
      </w:r>
      <w:proofErr w:type="spellEnd"/>
      <w:r w:rsidRPr="0015285D">
        <w:t xml:space="preserve"> </w:t>
      </w:r>
      <w:proofErr w:type="spellStart"/>
      <w:r w:rsidRPr="0015285D">
        <w:t>shoqërisë</w:t>
      </w:r>
      <w:proofErr w:type="spellEnd"/>
      <w:r w:rsidRPr="0015285D">
        <w:t xml:space="preserve"> </w:t>
      </w:r>
      <w:proofErr w:type="spellStart"/>
      <w:r w:rsidRPr="0015285D">
        <w:t>objekt</w:t>
      </w:r>
      <w:proofErr w:type="spellEnd"/>
      <w:r w:rsidRPr="0015285D">
        <w:t xml:space="preserve">; (iii) </w:t>
      </w:r>
      <w:proofErr w:type="spellStart"/>
      <w:r w:rsidRPr="0015285D">
        <w:t>harmonizimin</w:t>
      </w:r>
      <w:proofErr w:type="spellEnd"/>
      <w:r w:rsidRPr="0015285D">
        <w:t xml:space="preserve"> e </w:t>
      </w:r>
      <w:proofErr w:type="spellStart"/>
      <w:r w:rsidRPr="0015285D">
        <w:t>të</w:t>
      </w:r>
      <w:proofErr w:type="spellEnd"/>
      <w:r w:rsidRPr="0015285D">
        <w:t xml:space="preserve"> </w:t>
      </w:r>
      <w:proofErr w:type="spellStart"/>
      <w:r w:rsidRPr="0015285D">
        <w:t>drejtave</w:t>
      </w:r>
      <w:proofErr w:type="spellEnd"/>
      <w:r w:rsidRPr="0015285D">
        <w:t xml:space="preserve"> </w:t>
      </w:r>
      <w:proofErr w:type="spellStart"/>
      <w:r w:rsidRPr="0015285D">
        <w:t>të</w:t>
      </w:r>
      <w:proofErr w:type="spellEnd"/>
      <w:r w:rsidRPr="0015285D">
        <w:t xml:space="preserve"> </w:t>
      </w:r>
      <w:proofErr w:type="spellStart"/>
      <w:r w:rsidRPr="0015285D">
        <w:t>aksionarëve</w:t>
      </w:r>
      <w:proofErr w:type="spellEnd"/>
      <w:r w:rsidRPr="0015285D">
        <w:t xml:space="preserve"> pas </w:t>
      </w:r>
      <w:proofErr w:type="spellStart"/>
      <w:r w:rsidRPr="0015285D">
        <w:t>ofertës</w:t>
      </w:r>
      <w:proofErr w:type="spellEnd"/>
      <w:r w:rsidRPr="0015285D">
        <w:t xml:space="preserve"> (squeeze-out / sell-out); (iv) </w:t>
      </w:r>
      <w:proofErr w:type="spellStart"/>
      <w:r w:rsidRPr="0015285D">
        <w:t>trajtimin</w:t>
      </w:r>
      <w:proofErr w:type="spellEnd"/>
      <w:r w:rsidRPr="0015285D">
        <w:t xml:space="preserve"> e </w:t>
      </w:r>
      <w:proofErr w:type="spellStart"/>
      <w:r w:rsidRPr="0015285D">
        <w:t>ofertave</w:t>
      </w:r>
      <w:proofErr w:type="spellEnd"/>
      <w:r w:rsidRPr="0015285D">
        <w:t xml:space="preserve"> </w:t>
      </w:r>
      <w:proofErr w:type="spellStart"/>
      <w:r w:rsidRPr="0015285D">
        <w:t>ndërkufitare</w:t>
      </w:r>
      <w:proofErr w:type="spellEnd"/>
      <w:r w:rsidRPr="0015285D">
        <w:t xml:space="preserve">; (v) </w:t>
      </w:r>
      <w:proofErr w:type="spellStart"/>
      <w:r w:rsidRPr="0015285D">
        <w:t>detyrimet</w:t>
      </w:r>
      <w:proofErr w:type="spellEnd"/>
      <w:r w:rsidRPr="0015285D">
        <w:t xml:space="preserve"> </w:t>
      </w:r>
      <w:proofErr w:type="spellStart"/>
      <w:r w:rsidRPr="0015285D">
        <w:t>për</w:t>
      </w:r>
      <w:proofErr w:type="spellEnd"/>
      <w:r w:rsidRPr="0015285D">
        <w:t xml:space="preserve"> </w:t>
      </w:r>
      <w:proofErr w:type="spellStart"/>
      <w:r w:rsidRPr="0015285D">
        <w:t>raportim</w:t>
      </w:r>
      <w:proofErr w:type="spellEnd"/>
      <w:r w:rsidRPr="0015285D">
        <w:t xml:space="preserve"> </w:t>
      </w:r>
      <w:proofErr w:type="spellStart"/>
      <w:r w:rsidRPr="0015285D">
        <w:t>dhe</w:t>
      </w:r>
      <w:proofErr w:type="spellEnd"/>
      <w:r w:rsidRPr="0015285D">
        <w:t xml:space="preserve"> </w:t>
      </w:r>
      <w:proofErr w:type="spellStart"/>
      <w:r w:rsidRPr="0015285D">
        <w:t>transparencë</w:t>
      </w:r>
      <w:proofErr w:type="spellEnd"/>
      <w:r w:rsidRPr="0015285D">
        <w:t xml:space="preserve"> </w:t>
      </w:r>
      <w:proofErr w:type="spellStart"/>
      <w:r w:rsidRPr="0015285D">
        <w:t>ndërinstitucionale</w:t>
      </w:r>
      <w:proofErr w:type="spellEnd"/>
      <w:r w:rsidRPr="0015285D">
        <w:t xml:space="preserve"> (p.sh. </w:t>
      </w:r>
      <w:proofErr w:type="spellStart"/>
      <w:r w:rsidRPr="0015285D">
        <w:t>ndaj</w:t>
      </w:r>
      <w:proofErr w:type="spellEnd"/>
      <w:r w:rsidRPr="0015285D">
        <w:t xml:space="preserve"> </w:t>
      </w:r>
      <w:proofErr w:type="spellStart"/>
      <w:r w:rsidRPr="0015285D">
        <w:t>Komisionit</w:t>
      </w:r>
      <w:proofErr w:type="spellEnd"/>
      <w:r w:rsidRPr="0015285D">
        <w:t xml:space="preserve"> </w:t>
      </w:r>
      <w:proofErr w:type="spellStart"/>
      <w:r w:rsidRPr="0015285D">
        <w:t>Evropian</w:t>
      </w:r>
      <w:proofErr w:type="spellEnd"/>
      <w:r w:rsidRPr="0015285D">
        <w:t>, ESAP).</w:t>
      </w:r>
    </w:p>
    <w:p w14:paraId="24A01BF2" w14:textId="77777777" w:rsidR="00126BC5" w:rsidRDefault="00126BC5" w:rsidP="00126BC5">
      <w:pPr>
        <w:spacing w:line="276" w:lineRule="auto"/>
        <w:jc w:val="both"/>
      </w:pPr>
    </w:p>
    <w:p w14:paraId="2D5CD347" w14:textId="77777777" w:rsidR="00126BC5" w:rsidRDefault="00126BC5" w:rsidP="00126BC5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B115E5">
        <w:rPr>
          <w:rFonts w:ascii="Times New Roman" w:hAnsi="Times New Roman"/>
          <w:b/>
          <w:bCs/>
          <w:i/>
          <w:sz w:val="24"/>
          <w:szCs w:val="24"/>
        </w:rPr>
        <w:t>Identifikoni</w:t>
      </w:r>
      <w:proofErr w:type="spellEnd"/>
      <w:r w:rsidRPr="00B115E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B115E5">
        <w:rPr>
          <w:rFonts w:ascii="Times New Roman" w:hAnsi="Times New Roman"/>
          <w:b/>
          <w:bCs/>
          <w:i/>
          <w:sz w:val="24"/>
          <w:szCs w:val="24"/>
        </w:rPr>
        <w:t>shkaqet</w:t>
      </w:r>
      <w:proofErr w:type="spellEnd"/>
      <w:r w:rsidRPr="00B115E5">
        <w:rPr>
          <w:rFonts w:ascii="Times New Roman" w:hAnsi="Times New Roman"/>
          <w:b/>
          <w:bCs/>
          <w:i/>
          <w:sz w:val="24"/>
          <w:szCs w:val="24"/>
        </w:rPr>
        <w:t xml:space="preserve"> e </w:t>
      </w:r>
      <w:proofErr w:type="spellStart"/>
      <w:r w:rsidRPr="00B115E5">
        <w:rPr>
          <w:rFonts w:ascii="Times New Roman" w:hAnsi="Times New Roman"/>
          <w:b/>
          <w:bCs/>
          <w:i/>
          <w:sz w:val="24"/>
          <w:szCs w:val="24"/>
        </w:rPr>
        <w:t>problemit</w:t>
      </w:r>
      <w:proofErr w:type="spellEnd"/>
      <w:r w:rsidRPr="00B115E5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5D2225C1" w14:textId="77777777" w:rsidR="00126BC5" w:rsidRPr="00B115E5" w:rsidRDefault="00126BC5" w:rsidP="00126BC5">
      <w:pPr>
        <w:pStyle w:val="ListParagraph"/>
        <w:spacing w:after="0" w:line="276" w:lineRule="auto"/>
        <w:ind w:left="630" w:firstLine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020F4A96" w14:textId="45167925" w:rsidR="00126BC5" w:rsidRPr="00126BC5" w:rsidRDefault="00126BC5" w:rsidP="00126BC5">
      <w:pPr>
        <w:pStyle w:val="ListParagraph"/>
        <w:numPr>
          <w:ilvl w:val="0"/>
          <w:numId w:val="33"/>
        </w:numPr>
        <w:tabs>
          <w:tab w:val="clear" w:pos="567"/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26BC5">
        <w:rPr>
          <w:rFonts w:ascii="Times New Roman" w:hAnsi="Times New Roman"/>
          <w:sz w:val="24"/>
          <w:szCs w:val="24"/>
        </w:rPr>
        <w:t xml:space="preserve">Korniza </w:t>
      </w:r>
      <w:proofErr w:type="spellStart"/>
      <w:r w:rsidRPr="00126BC5">
        <w:rPr>
          <w:rFonts w:ascii="Times New Roman" w:hAnsi="Times New Roman"/>
          <w:sz w:val="24"/>
          <w:szCs w:val="24"/>
        </w:rPr>
        <w:t>ekzistuese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është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konceptuar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për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një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treg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më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të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vogël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6BC5">
        <w:rPr>
          <w:rFonts w:ascii="Times New Roman" w:hAnsi="Times New Roman"/>
          <w:sz w:val="24"/>
          <w:szCs w:val="24"/>
        </w:rPr>
        <w:t>kryesisht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vendas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126BC5">
        <w:rPr>
          <w:rFonts w:ascii="Times New Roman" w:hAnsi="Times New Roman"/>
          <w:sz w:val="24"/>
          <w:szCs w:val="24"/>
        </w:rPr>
        <w:t>pak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listime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dhe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pak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transaksione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të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strukturuara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të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tipit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marrje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kontrolli</w:t>
      </w:r>
      <w:proofErr w:type="spellEnd"/>
      <w:r w:rsidRPr="00126BC5">
        <w:rPr>
          <w:rFonts w:ascii="Times New Roman" w:hAnsi="Times New Roman"/>
          <w:sz w:val="24"/>
          <w:szCs w:val="24"/>
        </w:rPr>
        <w:t>.</w:t>
      </w:r>
    </w:p>
    <w:p w14:paraId="1FAD1E6E" w14:textId="0F6EB361" w:rsidR="00126BC5" w:rsidRPr="00126BC5" w:rsidRDefault="00126BC5" w:rsidP="00126BC5">
      <w:pPr>
        <w:pStyle w:val="ListParagraph"/>
        <w:numPr>
          <w:ilvl w:val="0"/>
          <w:numId w:val="33"/>
        </w:numPr>
        <w:tabs>
          <w:tab w:val="clear" w:pos="567"/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26BC5">
        <w:rPr>
          <w:rFonts w:ascii="Times New Roman" w:hAnsi="Times New Roman"/>
          <w:sz w:val="24"/>
          <w:szCs w:val="24"/>
        </w:rPr>
        <w:t xml:space="preserve">Nuk </w:t>
      </w:r>
      <w:proofErr w:type="spellStart"/>
      <w:r w:rsidRPr="00126BC5">
        <w:rPr>
          <w:rFonts w:ascii="Times New Roman" w:hAnsi="Times New Roman"/>
          <w:sz w:val="24"/>
          <w:szCs w:val="24"/>
        </w:rPr>
        <w:t>janë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reflektuar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zhvillimet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më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të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fundit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të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acquis </w:t>
      </w:r>
      <w:proofErr w:type="spellStart"/>
      <w:r w:rsidRPr="00126BC5">
        <w:rPr>
          <w:rFonts w:ascii="Times New Roman" w:hAnsi="Times New Roman"/>
          <w:sz w:val="24"/>
          <w:szCs w:val="24"/>
        </w:rPr>
        <w:t>të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BE-</w:t>
      </w:r>
      <w:proofErr w:type="spellStart"/>
      <w:r w:rsidRPr="00126BC5">
        <w:rPr>
          <w:rFonts w:ascii="Times New Roman" w:hAnsi="Times New Roman"/>
          <w:sz w:val="24"/>
          <w:szCs w:val="24"/>
        </w:rPr>
        <w:t>së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për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ofertat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26BC5">
        <w:rPr>
          <w:rFonts w:ascii="Times New Roman" w:hAnsi="Times New Roman"/>
          <w:sz w:val="24"/>
          <w:szCs w:val="24"/>
        </w:rPr>
        <w:t>marrjes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në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kontroll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6BC5">
        <w:rPr>
          <w:rFonts w:ascii="Times New Roman" w:hAnsi="Times New Roman"/>
          <w:sz w:val="24"/>
          <w:szCs w:val="24"/>
        </w:rPr>
        <w:t>sidomos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në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lidhje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26BC5">
        <w:rPr>
          <w:rFonts w:ascii="Times New Roman" w:hAnsi="Times New Roman"/>
          <w:sz w:val="24"/>
          <w:szCs w:val="24"/>
        </w:rPr>
        <w:t>rolin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26BC5">
        <w:rPr>
          <w:rFonts w:ascii="Times New Roman" w:hAnsi="Times New Roman"/>
          <w:sz w:val="24"/>
          <w:szCs w:val="24"/>
        </w:rPr>
        <w:t>autoritetit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mbikëqyrës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në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rastet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ndërkufitare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dhe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26BC5">
        <w:rPr>
          <w:rFonts w:ascii="Times New Roman" w:hAnsi="Times New Roman"/>
          <w:sz w:val="24"/>
          <w:szCs w:val="24"/>
        </w:rPr>
        <w:t>kërkesat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26BC5">
        <w:rPr>
          <w:rFonts w:ascii="Times New Roman" w:hAnsi="Times New Roman"/>
          <w:sz w:val="24"/>
          <w:szCs w:val="24"/>
        </w:rPr>
        <w:t>transparencës</w:t>
      </w:r>
      <w:proofErr w:type="spellEnd"/>
      <w:r w:rsidRPr="00126BC5">
        <w:rPr>
          <w:rFonts w:ascii="Times New Roman" w:hAnsi="Times New Roman"/>
          <w:sz w:val="24"/>
          <w:szCs w:val="24"/>
        </w:rPr>
        <w:t>/</w:t>
      </w:r>
      <w:proofErr w:type="spellStart"/>
      <w:r w:rsidRPr="00126BC5">
        <w:rPr>
          <w:rFonts w:ascii="Times New Roman" w:hAnsi="Times New Roman"/>
          <w:sz w:val="24"/>
          <w:szCs w:val="24"/>
        </w:rPr>
        <w:t>dokumentimit</w:t>
      </w:r>
      <w:proofErr w:type="spellEnd"/>
      <w:r w:rsidRPr="00126BC5">
        <w:rPr>
          <w:rFonts w:ascii="Times New Roman" w:hAnsi="Times New Roman"/>
          <w:sz w:val="24"/>
          <w:szCs w:val="24"/>
        </w:rPr>
        <w:t>.</w:t>
      </w:r>
    </w:p>
    <w:p w14:paraId="4F7535CF" w14:textId="562E5BE0" w:rsidR="00126BC5" w:rsidRPr="00126BC5" w:rsidRDefault="00126BC5" w:rsidP="00126BC5">
      <w:pPr>
        <w:pStyle w:val="ListParagraph"/>
        <w:numPr>
          <w:ilvl w:val="0"/>
          <w:numId w:val="33"/>
        </w:numPr>
        <w:tabs>
          <w:tab w:val="clear" w:pos="567"/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6BC5">
        <w:rPr>
          <w:rFonts w:ascii="Times New Roman" w:hAnsi="Times New Roman"/>
          <w:sz w:val="24"/>
          <w:szCs w:val="24"/>
        </w:rPr>
        <w:t>Mungojnë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dispozita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të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posaçme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për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detyrimet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26BC5">
        <w:rPr>
          <w:rFonts w:ascii="Times New Roman" w:hAnsi="Times New Roman"/>
          <w:sz w:val="24"/>
          <w:szCs w:val="24"/>
        </w:rPr>
        <w:t>raportimit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vjetor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dhe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depozitimit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elektronik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të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të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dhënave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në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formate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të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lexueshme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nga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makina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6BC5">
        <w:rPr>
          <w:rFonts w:ascii="Times New Roman" w:hAnsi="Times New Roman"/>
          <w:sz w:val="24"/>
          <w:szCs w:val="24"/>
        </w:rPr>
        <w:t>që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janë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standard </w:t>
      </w:r>
      <w:proofErr w:type="spellStart"/>
      <w:r w:rsidRPr="00126BC5">
        <w:rPr>
          <w:rFonts w:ascii="Times New Roman" w:hAnsi="Times New Roman"/>
          <w:sz w:val="24"/>
          <w:szCs w:val="24"/>
        </w:rPr>
        <w:t>tashmë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C5">
        <w:rPr>
          <w:rFonts w:ascii="Times New Roman" w:hAnsi="Times New Roman"/>
          <w:sz w:val="24"/>
          <w:szCs w:val="24"/>
        </w:rPr>
        <w:t>në</w:t>
      </w:r>
      <w:proofErr w:type="spellEnd"/>
      <w:r w:rsidRPr="00126BC5">
        <w:rPr>
          <w:rFonts w:ascii="Times New Roman" w:hAnsi="Times New Roman"/>
          <w:sz w:val="24"/>
          <w:szCs w:val="24"/>
        </w:rPr>
        <w:t xml:space="preserve"> BE.</w:t>
      </w:r>
    </w:p>
    <w:p w14:paraId="5E9E1A7E" w14:textId="77777777" w:rsidR="00126BC5" w:rsidRDefault="00126BC5" w:rsidP="00126BC5">
      <w:pPr>
        <w:spacing w:line="276" w:lineRule="auto"/>
        <w:jc w:val="both"/>
      </w:pPr>
    </w:p>
    <w:p w14:paraId="726B3ADF" w14:textId="77777777" w:rsidR="00126BC5" w:rsidRDefault="00126BC5" w:rsidP="00126BC5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Përshkruani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shtrirjen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e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problemit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16BE7AD2" w14:textId="77777777" w:rsidR="00126BC5" w:rsidRPr="00AA3C59" w:rsidRDefault="00126BC5" w:rsidP="00126BC5">
      <w:pPr>
        <w:pStyle w:val="ListParagraph"/>
        <w:spacing w:after="0" w:line="276" w:lineRule="auto"/>
        <w:ind w:left="630" w:firstLine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247A7CDE" w14:textId="77777777" w:rsidR="00126BC5" w:rsidRDefault="00126BC5" w:rsidP="00126BC5">
      <w:pPr>
        <w:spacing w:line="276" w:lineRule="auto"/>
        <w:jc w:val="both"/>
      </w:pPr>
      <w:proofErr w:type="spellStart"/>
      <w:r w:rsidRPr="00827FCC">
        <w:lastRenderedPageBreak/>
        <w:t>Problemi</w:t>
      </w:r>
      <w:proofErr w:type="spellEnd"/>
      <w:r w:rsidRPr="00827FCC">
        <w:t xml:space="preserve"> </w:t>
      </w:r>
      <w:proofErr w:type="spellStart"/>
      <w:r w:rsidRPr="00827FCC">
        <w:t>prek</w:t>
      </w:r>
      <w:proofErr w:type="spellEnd"/>
      <w:r w:rsidRPr="00827FCC">
        <w:t xml:space="preserve"> </w:t>
      </w:r>
      <w:proofErr w:type="spellStart"/>
      <w:r w:rsidRPr="00827FCC">
        <w:t>si</w:t>
      </w:r>
      <w:proofErr w:type="spellEnd"/>
      <w:r w:rsidRPr="00827FCC">
        <w:t xml:space="preserve"> </w:t>
      </w:r>
      <w:proofErr w:type="spellStart"/>
      <w:r w:rsidRPr="00827FCC">
        <w:t>transaksionet</w:t>
      </w:r>
      <w:proofErr w:type="spellEnd"/>
      <w:r w:rsidRPr="00827FCC">
        <w:t xml:space="preserve"> e </w:t>
      </w:r>
      <w:proofErr w:type="spellStart"/>
      <w:r w:rsidRPr="00827FCC">
        <w:t>mundshme</w:t>
      </w:r>
      <w:proofErr w:type="spellEnd"/>
      <w:r w:rsidRPr="00827FCC">
        <w:t xml:space="preserve"> </w:t>
      </w:r>
      <w:proofErr w:type="spellStart"/>
      <w:r w:rsidRPr="00827FCC">
        <w:t>të</w:t>
      </w:r>
      <w:proofErr w:type="spellEnd"/>
      <w:r w:rsidRPr="00827FCC">
        <w:t xml:space="preserve"> </w:t>
      </w:r>
      <w:proofErr w:type="spellStart"/>
      <w:r w:rsidRPr="00827FCC">
        <w:t>marrjes</w:t>
      </w:r>
      <w:proofErr w:type="spellEnd"/>
      <w:r w:rsidRPr="00827FCC">
        <w:t xml:space="preserve"> </w:t>
      </w:r>
      <w:proofErr w:type="spellStart"/>
      <w:r w:rsidRPr="00827FCC">
        <w:t>së</w:t>
      </w:r>
      <w:proofErr w:type="spellEnd"/>
      <w:r w:rsidRPr="00827FCC">
        <w:t xml:space="preserve"> </w:t>
      </w:r>
      <w:proofErr w:type="spellStart"/>
      <w:r w:rsidRPr="00827FCC">
        <w:t>kontrollit</w:t>
      </w:r>
      <w:proofErr w:type="spellEnd"/>
      <w:r w:rsidRPr="00827FCC">
        <w:t xml:space="preserve"> </w:t>
      </w:r>
      <w:proofErr w:type="spellStart"/>
      <w:r w:rsidRPr="00827FCC">
        <w:t>ndaj</w:t>
      </w:r>
      <w:proofErr w:type="spellEnd"/>
      <w:r w:rsidRPr="00827FCC">
        <w:t xml:space="preserve"> </w:t>
      </w:r>
      <w:proofErr w:type="spellStart"/>
      <w:r w:rsidRPr="00827FCC">
        <w:t>shoqërive</w:t>
      </w:r>
      <w:proofErr w:type="spellEnd"/>
      <w:r w:rsidRPr="00827FCC">
        <w:t xml:space="preserve"> </w:t>
      </w:r>
      <w:proofErr w:type="spellStart"/>
      <w:r w:rsidRPr="00827FCC">
        <w:t>të</w:t>
      </w:r>
      <w:proofErr w:type="spellEnd"/>
      <w:r w:rsidRPr="00827FCC">
        <w:t xml:space="preserve"> </w:t>
      </w:r>
      <w:proofErr w:type="spellStart"/>
      <w:r w:rsidRPr="00827FCC">
        <w:t>listuara</w:t>
      </w:r>
      <w:proofErr w:type="spellEnd"/>
      <w:r w:rsidRPr="00827FCC">
        <w:t xml:space="preserve"> </w:t>
      </w:r>
      <w:proofErr w:type="spellStart"/>
      <w:r w:rsidRPr="00827FCC">
        <w:t>në</w:t>
      </w:r>
      <w:proofErr w:type="spellEnd"/>
      <w:r w:rsidRPr="00827FCC">
        <w:t xml:space="preserve"> </w:t>
      </w:r>
      <w:proofErr w:type="spellStart"/>
      <w:r w:rsidRPr="00827FCC">
        <w:t>Shqipëri</w:t>
      </w:r>
      <w:proofErr w:type="spellEnd"/>
      <w:r w:rsidRPr="00827FCC">
        <w:t xml:space="preserve">, </w:t>
      </w:r>
      <w:proofErr w:type="spellStart"/>
      <w:r w:rsidRPr="00827FCC">
        <w:t>ashtu</w:t>
      </w:r>
      <w:proofErr w:type="spellEnd"/>
      <w:r w:rsidRPr="00827FCC">
        <w:t xml:space="preserve"> </w:t>
      </w:r>
      <w:proofErr w:type="spellStart"/>
      <w:r w:rsidRPr="00827FCC">
        <w:t>edhe</w:t>
      </w:r>
      <w:proofErr w:type="spellEnd"/>
      <w:r w:rsidRPr="00827FCC">
        <w:t xml:space="preserve"> </w:t>
      </w:r>
      <w:proofErr w:type="spellStart"/>
      <w:r w:rsidRPr="00827FCC">
        <w:t>rastet</w:t>
      </w:r>
      <w:proofErr w:type="spellEnd"/>
      <w:r w:rsidRPr="00827FCC">
        <w:t xml:space="preserve"> </w:t>
      </w:r>
      <w:proofErr w:type="spellStart"/>
      <w:r w:rsidRPr="00827FCC">
        <w:t>në</w:t>
      </w:r>
      <w:proofErr w:type="spellEnd"/>
      <w:r w:rsidRPr="00827FCC">
        <w:t xml:space="preserve"> </w:t>
      </w:r>
      <w:proofErr w:type="spellStart"/>
      <w:r w:rsidRPr="00827FCC">
        <w:t>të</w:t>
      </w:r>
      <w:proofErr w:type="spellEnd"/>
      <w:r w:rsidRPr="00827FCC">
        <w:t xml:space="preserve"> </w:t>
      </w:r>
      <w:proofErr w:type="spellStart"/>
      <w:r w:rsidRPr="00827FCC">
        <w:t>cilat</w:t>
      </w:r>
      <w:proofErr w:type="spellEnd"/>
      <w:r w:rsidRPr="00827FCC">
        <w:t xml:space="preserve"> </w:t>
      </w:r>
      <w:proofErr w:type="spellStart"/>
      <w:r w:rsidRPr="00827FCC">
        <w:t>shoqëritë</w:t>
      </w:r>
      <w:proofErr w:type="spellEnd"/>
      <w:r w:rsidRPr="00827FCC">
        <w:t xml:space="preserve"> </w:t>
      </w:r>
      <w:proofErr w:type="spellStart"/>
      <w:r w:rsidRPr="00827FCC">
        <w:t>shqiptare</w:t>
      </w:r>
      <w:proofErr w:type="spellEnd"/>
      <w:r w:rsidRPr="00827FCC">
        <w:t xml:space="preserve"> </w:t>
      </w:r>
      <w:proofErr w:type="spellStart"/>
      <w:r w:rsidRPr="00827FCC">
        <w:t>kanë</w:t>
      </w:r>
      <w:proofErr w:type="spellEnd"/>
      <w:r w:rsidRPr="00827FCC">
        <w:t xml:space="preserve"> </w:t>
      </w:r>
      <w:proofErr w:type="spellStart"/>
      <w:r w:rsidRPr="00827FCC">
        <w:t>aksionet</w:t>
      </w:r>
      <w:proofErr w:type="spellEnd"/>
      <w:r w:rsidRPr="00827FCC">
        <w:t xml:space="preserve"> e tyre </w:t>
      </w:r>
      <w:proofErr w:type="spellStart"/>
      <w:r w:rsidRPr="00827FCC">
        <w:t>të</w:t>
      </w:r>
      <w:proofErr w:type="spellEnd"/>
      <w:r w:rsidRPr="00827FCC">
        <w:t xml:space="preserve"> </w:t>
      </w:r>
      <w:proofErr w:type="spellStart"/>
      <w:r w:rsidRPr="00827FCC">
        <w:t>listuara</w:t>
      </w:r>
      <w:proofErr w:type="spellEnd"/>
      <w:r w:rsidRPr="00827FCC">
        <w:t xml:space="preserve"> </w:t>
      </w:r>
      <w:proofErr w:type="spellStart"/>
      <w:r w:rsidRPr="00827FCC">
        <w:t>jashtë</w:t>
      </w:r>
      <w:proofErr w:type="spellEnd"/>
      <w:r w:rsidRPr="00827FCC">
        <w:t xml:space="preserve"> </w:t>
      </w:r>
      <w:proofErr w:type="spellStart"/>
      <w:r w:rsidRPr="00827FCC">
        <w:t>ose</w:t>
      </w:r>
      <w:proofErr w:type="spellEnd"/>
      <w:r w:rsidRPr="00827FCC">
        <w:t xml:space="preserve"> </w:t>
      </w:r>
      <w:proofErr w:type="spellStart"/>
      <w:r w:rsidRPr="00827FCC">
        <w:t>shoqëri</w:t>
      </w:r>
      <w:proofErr w:type="spellEnd"/>
      <w:r w:rsidRPr="00827FCC">
        <w:t xml:space="preserve"> </w:t>
      </w:r>
      <w:proofErr w:type="spellStart"/>
      <w:r w:rsidRPr="00827FCC">
        <w:t>të</w:t>
      </w:r>
      <w:proofErr w:type="spellEnd"/>
      <w:r w:rsidRPr="00827FCC">
        <w:t xml:space="preserve"> </w:t>
      </w:r>
      <w:proofErr w:type="spellStart"/>
      <w:r w:rsidRPr="00827FCC">
        <w:t>huaja</w:t>
      </w:r>
      <w:proofErr w:type="spellEnd"/>
      <w:r w:rsidRPr="00827FCC">
        <w:t xml:space="preserve"> </w:t>
      </w:r>
      <w:proofErr w:type="spellStart"/>
      <w:r w:rsidRPr="00827FCC">
        <w:t>kanë</w:t>
      </w:r>
      <w:proofErr w:type="spellEnd"/>
      <w:r w:rsidRPr="00827FCC">
        <w:t xml:space="preserve"> </w:t>
      </w:r>
      <w:proofErr w:type="spellStart"/>
      <w:r w:rsidRPr="00827FCC">
        <w:t>aksionet</w:t>
      </w:r>
      <w:proofErr w:type="spellEnd"/>
      <w:r w:rsidRPr="00827FCC">
        <w:t xml:space="preserve"> e tyre </w:t>
      </w:r>
      <w:proofErr w:type="spellStart"/>
      <w:r w:rsidRPr="00827FCC">
        <w:t>të</w:t>
      </w:r>
      <w:proofErr w:type="spellEnd"/>
      <w:r w:rsidRPr="00827FCC">
        <w:t xml:space="preserve"> </w:t>
      </w:r>
      <w:proofErr w:type="spellStart"/>
      <w:r w:rsidRPr="00827FCC">
        <w:t>listuara</w:t>
      </w:r>
      <w:proofErr w:type="spellEnd"/>
      <w:r w:rsidRPr="00827FCC">
        <w:t xml:space="preserve"> </w:t>
      </w:r>
      <w:proofErr w:type="spellStart"/>
      <w:r w:rsidRPr="00827FCC">
        <w:t>në</w:t>
      </w:r>
      <w:proofErr w:type="spellEnd"/>
      <w:r w:rsidRPr="00827FCC">
        <w:t xml:space="preserve"> </w:t>
      </w:r>
      <w:proofErr w:type="spellStart"/>
      <w:r w:rsidRPr="00827FCC">
        <w:t>tregun</w:t>
      </w:r>
      <w:proofErr w:type="spellEnd"/>
      <w:r w:rsidRPr="00827FCC">
        <w:t xml:space="preserve"> </w:t>
      </w:r>
      <w:proofErr w:type="spellStart"/>
      <w:r w:rsidRPr="00827FCC">
        <w:t>shqiptar</w:t>
      </w:r>
      <w:proofErr w:type="spellEnd"/>
      <w:r w:rsidRPr="00827FCC">
        <w:t xml:space="preserve">. </w:t>
      </w:r>
      <w:proofErr w:type="spellStart"/>
      <w:r w:rsidRPr="00827FCC">
        <w:t>Pra</w:t>
      </w:r>
      <w:proofErr w:type="spellEnd"/>
      <w:r w:rsidRPr="00827FCC">
        <w:t xml:space="preserve"> </w:t>
      </w:r>
      <w:proofErr w:type="spellStart"/>
      <w:r w:rsidRPr="00827FCC">
        <w:t>nuk</w:t>
      </w:r>
      <w:proofErr w:type="spellEnd"/>
      <w:r w:rsidRPr="00827FCC">
        <w:t xml:space="preserve"> </w:t>
      </w:r>
      <w:proofErr w:type="spellStart"/>
      <w:r w:rsidRPr="00827FCC">
        <w:t>është</w:t>
      </w:r>
      <w:proofErr w:type="spellEnd"/>
      <w:r w:rsidRPr="00827FCC">
        <w:t xml:space="preserve"> </w:t>
      </w:r>
      <w:proofErr w:type="spellStart"/>
      <w:r w:rsidRPr="00827FCC">
        <w:t>vetëm</w:t>
      </w:r>
      <w:proofErr w:type="spellEnd"/>
      <w:r w:rsidRPr="00827FCC">
        <w:t xml:space="preserve"> </w:t>
      </w:r>
      <w:proofErr w:type="spellStart"/>
      <w:r w:rsidRPr="00827FCC">
        <w:t>çështje</w:t>
      </w:r>
      <w:proofErr w:type="spellEnd"/>
      <w:r w:rsidRPr="00827FCC">
        <w:t xml:space="preserve"> “</w:t>
      </w:r>
      <w:proofErr w:type="spellStart"/>
      <w:r w:rsidRPr="00827FCC">
        <w:t>brenda</w:t>
      </w:r>
      <w:proofErr w:type="spellEnd"/>
      <w:r w:rsidRPr="00827FCC">
        <w:t xml:space="preserve"> </w:t>
      </w:r>
      <w:proofErr w:type="spellStart"/>
      <w:r w:rsidRPr="00827FCC">
        <w:t>vendit</w:t>
      </w:r>
      <w:proofErr w:type="spellEnd"/>
      <w:r w:rsidRPr="00827FCC">
        <w:t>”</w:t>
      </w:r>
      <w:r>
        <w:t>,</w:t>
      </w:r>
      <w:r w:rsidRPr="00827FCC">
        <w:t xml:space="preserve"> </w:t>
      </w:r>
      <w:proofErr w:type="spellStart"/>
      <w:r w:rsidRPr="00827FCC">
        <w:t>është</w:t>
      </w:r>
      <w:proofErr w:type="spellEnd"/>
      <w:r w:rsidRPr="00827FCC">
        <w:t xml:space="preserve"> </w:t>
      </w:r>
      <w:proofErr w:type="spellStart"/>
      <w:r w:rsidRPr="00827FCC">
        <w:t>çështje</w:t>
      </w:r>
      <w:proofErr w:type="spellEnd"/>
      <w:r w:rsidRPr="00827FCC">
        <w:t xml:space="preserve"> e </w:t>
      </w:r>
      <w:proofErr w:type="spellStart"/>
      <w:r w:rsidRPr="00827FCC">
        <w:t>besueshmërisë</w:t>
      </w:r>
      <w:proofErr w:type="spellEnd"/>
      <w:r w:rsidRPr="00827FCC">
        <w:t xml:space="preserve"> </w:t>
      </w:r>
      <w:proofErr w:type="spellStart"/>
      <w:r w:rsidRPr="00827FCC">
        <w:t>së</w:t>
      </w:r>
      <w:proofErr w:type="spellEnd"/>
      <w:r w:rsidRPr="00827FCC">
        <w:t xml:space="preserve"> </w:t>
      </w:r>
      <w:proofErr w:type="spellStart"/>
      <w:r w:rsidRPr="00827FCC">
        <w:t>Shqipërisë</w:t>
      </w:r>
      <w:proofErr w:type="spellEnd"/>
      <w:r w:rsidRPr="00827FCC">
        <w:t xml:space="preserve"> </w:t>
      </w:r>
      <w:proofErr w:type="spellStart"/>
      <w:r w:rsidRPr="00827FCC">
        <w:t>si</w:t>
      </w:r>
      <w:proofErr w:type="spellEnd"/>
      <w:r w:rsidRPr="00827FCC">
        <w:t xml:space="preserve"> </w:t>
      </w:r>
      <w:proofErr w:type="spellStart"/>
      <w:r w:rsidRPr="00827FCC">
        <w:t>pjesë</w:t>
      </w:r>
      <w:proofErr w:type="spellEnd"/>
      <w:r w:rsidRPr="00827FCC">
        <w:t xml:space="preserve"> e </w:t>
      </w:r>
      <w:proofErr w:type="spellStart"/>
      <w:r w:rsidRPr="00827FCC">
        <w:t>një</w:t>
      </w:r>
      <w:proofErr w:type="spellEnd"/>
      <w:r w:rsidRPr="00827FCC">
        <w:t xml:space="preserve"> </w:t>
      </w:r>
      <w:proofErr w:type="spellStart"/>
      <w:r w:rsidRPr="00827FCC">
        <w:t>tregu</w:t>
      </w:r>
      <w:proofErr w:type="spellEnd"/>
      <w:r w:rsidRPr="00827FCC">
        <w:t xml:space="preserve"> </w:t>
      </w:r>
      <w:proofErr w:type="spellStart"/>
      <w:r w:rsidRPr="00827FCC">
        <w:t>evropian</w:t>
      </w:r>
      <w:proofErr w:type="spellEnd"/>
      <w:r w:rsidRPr="00827FCC">
        <w:t xml:space="preserve"> </w:t>
      </w:r>
      <w:proofErr w:type="spellStart"/>
      <w:r w:rsidRPr="00827FCC">
        <w:t>kapitalesh</w:t>
      </w:r>
      <w:proofErr w:type="spellEnd"/>
      <w:r w:rsidRPr="00827FCC">
        <w:t>.</w:t>
      </w:r>
    </w:p>
    <w:p w14:paraId="0A151B6E" w14:textId="77777777" w:rsidR="00126BC5" w:rsidRPr="00AA3C59" w:rsidRDefault="00126BC5" w:rsidP="00126BC5">
      <w:pPr>
        <w:pStyle w:val="ListParagraph"/>
        <w:spacing w:after="0" w:line="276" w:lineRule="auto"/>
        <w:ind w:left="630" w:firstLine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66CA0913" w14:textId="77777777" w:rsidR="00126BC5" w:rsidRPr="00AA3C59" w:rsidRDefault="00126BC5" w:rsidP="00126BC5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Identifikoni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grupet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e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prekura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nga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ky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problem -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qeveria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/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biznesi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/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shoqëria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civile /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qytetarët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6FCB0DFE" w14:textId="77777777" w:rsidR="00126BC5" w:rsidRPr="00AA3C59" w:rsidRDefault="00126BC5" w:rsidP="00126BC5">
      <w:pPr>
        <w:spacing w:line="276" w:lineRule="auto"/>
        <w:jc w:val="both"/>
        <w:rPr>
          <w:b/>
          <w:bCs/>
          <w:i/>
          <w:szCs w:val="24"/>
        </w:rPr>
      </w:pPr>
    </w:p>
    <w:p w14:paraId="5BE4BF49" w14:textId="5718737F" w:rsidR="00126BC5" w:rsidRPr="00126BC5" w:rsidRDefault="00126BC5" w:rsidP="00126BC5">
      <w:pPr>
        <w:pStyle w:val="ListParagraph"/>
        <w:numPr>
          <w:ilvl w:val="0"/>
          <w:numId w:val="35"/>
        </w:numPr>
        <w:tabs>
          <w:tab w:val="clear" w:pos="567"/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26BC5">
        <w:rPr>
          <w:rFonts w:ascii="Times New Roman" w:hAnsi="Times New Roman"/>
          <w:b/>
          <w:bCs/>
          <w:sz w:val="24"/>
          <w:szCs w:val="24"/>
          <w:lang w:val="sq-AL"/>
        </w:rPr>
        <w:t>Qeveria</w:t>
      </w:r>
      <w:r w:rsidRPr="00126BC5">
        <w:rPr>
          <w:rFonts w:ascii="Times New Roman" w:hAnsi="Times New Roman"/>
          <w:sz w:val="24"/>
          <w:szCs w:val="24"/>
          <w:lang w:val="sq-AL"/>
        </w:rPr>
        <w:t xml:space="preserve"> / Autoriteti i Mbikëqyrjes Financiare: duhet të ketë bazë ligjore të qartë për të ndërhyrë, për të mbrojtur investitorët dhe për të bashkëpunuar me autoritetet e BE/ZEE.</w:t>
      </w:r>
    </w:p>
    <w:p w14:paraId="718B30A7" w14:textId="194FF6C7" w:rsidR="00126BC5" w:rsidRPr="00126BC5" w:rsidRDefault="00126BC5" w:rsidP="00126BC5">
      <w:pPr>
        <w:pStyle w:val="ListParagraph"/>
        <w:numPr>
          <w:ilvl w:val="0"/>
          <w:numId w:val="35"/>
        </w:numPr>
        <w:tabs>
          <w:tab w:val="clear" w:pos="567"/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26BC5">
        <w:rPr>
          <w:rFonts w:ascii="Times New Roman" w:hAnsi="Times New Roman"/>
          <w:b/>
          <w:bCs/>
          <w:sz w:val="24"/>
          <w:szCs w:val="24"/>
          <w:lang w:val="sq-AL"/>
        </w:rPr>
        <w:t>Biznesi</w:t>
      </w:r>
      <w:r w:rsidRPr="00126BC5">
        <w:rPr>
          <w:rFonts w:ascii="Times New Roman" w:hAnsi="Times New Roman"/>
          <w:sz w:val="24"/>
          <w:szCs w:val="24"/>
          <w:lang w:val="sq-AL"/>
        </w:rPr>
        <w:t xml:space="preserve"> / shoqëritë aksionare të </w:t>
      </w:r>
      <w:proofErr w:type="spellStart"/>
      <w:r w:rsidRPr="00126BC5">
        <w:rPr>
          <w:rFonts w:ascii="Times New Roman" w:hAnsi="Times New Roman"/>
          <w:sz w:val="24"/>
          <w:szCs w:val="24"/>
          <w:lang w:val="sq-AL"/>
        </w:rPr>
        <w:t>listuara</w:t>
      </w:r>
      <w:proofErr w:type="spellEnd"/>
      <w:r w:rsidRPr="00126BC5">
        <w:rPr>
          <w:rFonts w:ascii="Times New Roman" w:hAnsi="Times New Roman"/>
          <w:sz w:val="24"/>
          <w:szCs w:val="24"/>
          <w:lang w:val="sq-AL"/>
        </w:rPr>
        <w:t xml:space="preserve"> ose potencialisht të </w:t>
      </w:r>
      <w:proofErr w:type="spellStart"/>
      <w:r w:rsidRPr="00126BC5">
        <w:rPr>
          <w:rFonts w:ascii="Times New Roman" w:hAnsi="Times New Roman"/>
          <w:sz w:val="24"/>
          <w:szCs w:val="24"/>
          <w:lang w:val="sq-AL"/>
        </w:rPr>
        <w:t>listueshme</w:t>
      </w:r>
      <w:proofErr w:type="spellEnd"/>
      <w:r w:rsidRPr="00126BC5">
        <w:rPr>
          <w:rFonts w:ascii="Times New Roman" w:hAnsi="Times New Roman"/>
          <w:sz w:val="24"/>
          <w:szCs w:val="24"/>
          <w:lang w:val="sq-AL"/>
        </w:rPr>
        <w:t>: kanë interes në siguri juridike, procedurë të parashikueshme dhe qasje më të lirë në kapital.</w:t>
      </w:r>
    </w:p>
    <w:p w14:paraId="03D66E68" w14:textId="1D48C16C" w:rsidR="00126BC5" w:rsidRPr="00126BC5" w:rsidRDefault="00126BC5" w:rsidP="00126BC5">
      <w:pPr>
        <w:pStyle w:val="ListParagraph"/>
        <w:numPr>
          <w:ilvl w:val="0"/>
          <w:numId w:val="35"/>
        </w:numPr>
        <w:tabs>
          <w:tab w:val="clear" w:pos="567"/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26BC5">
        <w:rPr>
          <w:rFonts w:ascii="Times New Roman" w:hAnsi="Times New Roman"/>
          <w:b/>
          <w:bCs/>
          <w:sz w:val="24"/>
          <w:szCs w:val="24"/>
          <w:lang w:val="sq-AL"/>
        </w:rPr>
        <w:t>Investitorët</w:t>
      </w:r>
      <w:r w:rsidRPr="00126BC5">
        <w:rPr>
          <w:rFonts w:ascii="Times New Roman" w:hAnsi="Times New Roman"/>
          <w:sz w:val="24"/>
          <w:szCs w:val="24"/>
          <w:lang w:val="sq-AL"/>
        </w:rPr>
        <w:t xml:space="preserve"> (përfshirë aksionarët minoritarë): kërkojnë trajtim të barabartë dhe çmim të drejtë kur ka ndryshim kontrolli.</w:t>
      </w:r>
    </w:p>
    <w:p w14:paraId="54564972" w14:textId="5536A9F1" w:rsidR="00126BC5" w:rsidRPr="00126BC5" w:rsidRDefault="00126BC5" w:rsidP="00126BC5">
      <w:pPr>
        <w:pStyle w:val="ListParagraph"/>
        <w:numPr>
          <w:ilvl w:val="0"/>
          <w:numId w:val="35"/>
        </w:numPr>
        <w:tabs>
          <w:tab w:val="clear" w:pos="567"/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26BC5">
        <w:rPr>
          <w:rFonts w:ascii="Times New Roman" w:hAnsi="Times New Roman"/>
          <w:b/>
          <w:bCs/>
          <w:sz w:val="24"/>
          <w:szCs w:val="24"/>
          <w:lang w:val="sq-AL"/>
        </w:rPr>
        <w:t>Shoqëria civile</w:t>
      </w:r>
      <w:r w:rsidRPr="00126BC5">
        <w:rPr>
          <w:rFonts w:ascii="Times New Roman" w:hAnsi="Times New Roman"/>
          <w:sz w:val="24"/>
          <w:szCs w:val="24"/>
          <w:lang w:val="sq-AL"/>
        </w:rPr>
        <w:t xml:space="preserve"> / publiku investues: ka interes për transparencë, shmangie të abuzimeve dhe një treg kapitalesh funksional që kanalizon kursimet drejt investimeve produktive.</w:t>
      </w:r>
    </w:p>
    <w:p w14:paraId="0D4C8710" w14:textId="77777777" w:rsidR="00126BC5" w:rsidRDefault="00126BC5" w:rsidP="00126BC5">
      <w:pPr>
        <w:spacing w:line="276" w:lineRule="auto"/>
        <w:jc w:val="both"/>
        <w:rPr>
          <w:lang w:val="sq-AL"/>
        </w:rPr>
      </w:pPr>
    </w:p>
    <w:p w14:paraId="4BE632D3" w14:textId="77777777" w:rsidR="00126BC5" w:rsidRPr="00AA3C59" w:rsidRDefault="00126BC5" w:rsidP="00126BC5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Vlerësoni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nëse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problemi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mund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të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trajtohet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ose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jo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përmes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një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ndryshimi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të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AA3C59">
        <w:rPr>
          <w:rFonts w:ascii="Times New Roman" w:hAnsi="Times New Roman"/>
          <w:b/>
          <w:bCs/>
          <w:i/>
          <w:sz w:val="24"/>
          <w:szCs w:val="24"/>
        </w:rPr>
        <w:t>politikave</w:t>
      </w:r>
      <w:proofErr w:type="spellEnd"/>
      <w:r w:rsidRPr="00AA3C59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5938A377" w14:textId="77777777" w:rsidR="00126BC5" w:rsidRPr="00372979" w:rsidRDefault="00126BC5" w:rsidP="00126BC5">
      <w:pPr>
        <w:pStyle w:val="ListParagraph"/>
        <w:spacing w:after="0" w:line="276" w:lineRule="auto"/>
        <w:ind w:left="630" w:firstLine="0"/>
        <w:jc w:val="both"/>
        <w:rPr>
          <w:rFonts w:ascii="Times New Roman" w:hAnsi="Times New Roman"/>
          <w:i/>
          <w:sz w:val="24"/>
          <w:szCs w:val="24"/>
        </w:rPr>
      </w:pPr>
    </w:p>
    <w:p w14:paraId="6CE3EBC3" w14:textId="77777777" w:rsidR="00126BC5" w:rsidRDefault="00126BC5" w:rsidP="00126BC5">
      <w:pPr>
        <w:spacing w:line="276" w:lineRule="auto"/>
        <w:jc w:val="both"/>
      </w:pPr>
      <w:r w:rsidRPr="003A3036">
        <w:t xml:space="preserve">Po. Ky </w:t>
      </w:r>
      <w:proofErr w:type="spellStart"/>
      <w:r w:rsidRPr="003A3036">
        <w:t>është</w:t>
      </w:r>
      <w:proofErr w:type="spellEnd"/>
      <w:r w:rsidRPr="003A3036">
        <w:t xml:space="preserve"> </w:t>
      </w:r>
      <w:proofErr w:type="spellStart"/>
      <w:r w:rsidRPr="003A3036">
        <w:t>pikërisht</w:t>
      </w:r>
      <w:proofErr w:type="spellEnd"/>
      <w:r w:rsidRPr="003A3036">
        <w:t xml:space="preserve"> </w:t>
      </w:r>
      <w:proofErr w:type="spellStart"/>
      <w:r w:rsidRPr="003A3036">
        <w:t>rasti</w:t>
      </w:r>
      <w:proofErr w:type="spellEnd"/>
      <w:r w:rsidRPr="003A3036">
        <w:t xml:space="preserve"> </w:t>
      </w:r>
      <w:proofErr w:type="spellStart"/>
      <w:r w:rsidRPr="003A3036">
        <w:t>kur</w:t>
      </w:r>
      <w:proofErr w:type="spellEnd"/>
      <w:r w:rsidRPr="003A3036">
        <w:t xml:space="preserve"> </w:t>
      </w:r>
      <w:proofErr w:type="spellStart"/>
      <w:r w:rsidRPr="003A3036">
        <w:t>ndërhyrja</w:t>
      </w:r>
      <w:proofErr w:type="spellEnd"/>
      <w:r w:rsidRPr="003A3036">
        <w:t xml:space="preserve"> </w:t>
      </w:r>
      <w:proofErr w:type="spellStart"/>
      <w:r w:rsidRPr="003A3036">
        <w:t>ligjore</w:t>
      </w:r>
      <w:proofErr w:type="spellEnd"/>
      <w:r w:rsidRPr="003A3036">
        <w:t xml:space="preserve"> </w:t>
      </w:r>
      <w:proofErr w:type="spellStart"/>
      <w:r w:rsidRPr="003A3036">
        <w:t>është</w:t>
      </w:r>
      <w:proofErr w:type="spellEnd"/>
      <w:r w:rsidRPr="003A3036">
        <w:t xml:space="preserve"> </w:t>
      </w:r>
      <w:proofErr w:type="spellStart"/>
      <w:r w:rsidRPr="003A3036">
        <w:t>mjeti</w:t>
      </w:r>
      <w:proofErr w:type="spellEnd"/>
      <w:r w:rsidRPr="003A3036">
        <w:t xml:space="preserve"> </w:t>
      </w:r>
      <w:proofErr w:type="spellStart"/>
      <w:r w:rsidRPr="003A3036">
        <w:t>i</w:t>
      </w:r>
      <w:proofErr w:type="spellEnd"/>
      <w:r w:rsidRPr="003A3036">
        <w:t xml:space="preserve"> </w:t>
      </w:r>
      <w:proofErr w:type="spellStart"/>
      <w:r w:rsidRPr="003A3036">
        <w:t>duhur</w:t>
      </w:r>
      <w:proofErr w:type="spellEnd"/>
      <w:r w:rsidRPr="003A3036">
        <w:t xml:space="preserve">. </w:t>
      </w:r>
      <w:proofErr w:type="spellStart"/>
      <w:r w:rsidRPr="003A3036">
        <w:t>Problemet</w:t>
      </w:r>
      <w:proofErr w:type="spellEnd"/>
      <w:r w:rsidRPr="003A3036">
        <w:t xml:space="preserve"> </w:t>
      </w:r>
      <w:proofErr w:type="spellStart"/>
      <w:r w:rsidRPr="003A3036">
        <w:t>nuk</w:t>
      </w:r>
      <w:proofErr w:type="spellEnd"/>
      <w:r w:rsidRPr="003A3036">
        <w:t xml:space="preserve"> </w:t>
      </w:r>
      <w:proofErr w:type="spellStart"/>
      <w:r w:rsidRPr="003A3036">
        <w:t>janë</w:t>
      </w:r>
      <w:proofErr w:type="spellEnd"/>
      <w:r w:rsidRPr="003A3036">
        <w:t xml:space="preserve"> </w:t>
      </w:r>
      <w:proofErr w:type="spellStart"/>
      <w:r w:rsidRPr="003A3036">
        <w:t>thjesht</w:t>
      </w:r>
      <w:proofErr w:type="spellEnd"/>
      <w:r w:rsidRPr="003A3036">
        <w:t xml:space="preserve"> operative </w:t>
      </w:r>
      <w:proofErr w:type="spellStart"/>
      <w:r w:rsidRPr="003A3036">
        <w:t>ose</w:t>
      </w:r>
      <w:proofErr w:type="spellEnd"/>
      <w:r w:rsidRPr="003A3036">
        <w:t xml:space="preserve"> </w:t>
      </w:r>
      <w:proofErr w:type="spellStart"/>
      <w:r w:rsidRPr="003A3036">
        <w:t>të</w:t>
      </w:r>
      <w:proofErr w:type="spellEnd"/>
      <w:r w:rsidRPr="003A3036">
        <w:t xml:space="preserve"> </w:t>
      </w:r>
      <w:proofErr w:type="spellStart"/>
      <w:r w:rsidRPr="003A3036">
        <w:t>zbatimit</w:t>
      </w:r>
      <w:proofErr w:type="spellEnd"/>
      <w:r w:rsidRPr="003A3036">
        <w:t xml:space="preserve">; </w:t>
      </w:r>
      <w:proofErr w:type="spellStart"/>
      <w:r w:rsidRPr="003A3036">
        <w:t>ato</w:t>
      </w:r>
      <w:proofErr w:type="spellEnd"/>
      <w:r w:rsidRPr="003A3036">
        <w:t xml:space="preserve"> </w:t>
      </w:r>
      <w:proofErr w:type="spellStart"/>
      <w:r w:rsidRPr="003A3036">
        <w:t>lidhen</w:t>
      </w:r>
      <w:proofErr w:type="spellEnd"/>
      <w:r w:rsidRPr="003A3036">
        <w:t xml:space="preserve"> me </w:t>
      </w:r>
      <w:proofErr w:type="spellStart"/>
      <w:r w:rsidRPr="003A3036">
        <w:t>boshllëqe</w:t>
      </w:r>
      <w:proofErr w:type="spellEnd"/>
      <w:r w:rsidRPr="003A3036">
        <w:t xml:space="preserve"> normative (p.sh. </w:t>
      </w:r>
      <w:proofErr w:type="spellStart"/>
      <w:r w:rsidRPr="003A3036">
        <w:t>mungesë</w:t>
      </w:r>
      <w:proofErr w:type="spellEnd"/>
      <w:r w:rsidRPr="003A3036">
        <w:t xml:space="preserve"> e </w:t>
      </w:r>
      <w:proofErr w:type="spellStart"/>
      <w:r w:rsidRPr="003A3036">
        <w:t>dispozitave</w:t>
      </w:r>
      <w:proofErr w:type="spellEnd"/>
      <w:r w:rsidRPr="003A3036">
        <w:t xml:space="preserve"> </w:t>
      </w:r>
      <w:proofErr w:type="spellStart"/>
      <w:r w:rsidRPr="003A3036">
        <w:t>për</w:t>
      </w:r>
      <w:proofErr w:type="spellEnd"/>
      <w:r w:rsidRPr="003A3036">
        <w:t xml:space="preserve"> </w:t>
      </w:r>
      <w:proofErr w:type="spellStart"/>
      <w:r w:rsidRPr="003A3036">
        <w:t>raportim</w:t>
      </w:r>
      <w:proofErr w:type="spellEnd"/>
      <w:r w:rsidRPr="003A3036">
        <w:t xml:space="preserve"> </w:t>
      </w:r>
      <w:proofErr w:type="spellStart"/>
      <w:r w:rsidRPr="003A3036">
        <w:t>te</w:t>
      </w:r>
      <w:proofErr w:type="spellEnd"/>
      <w:r w:rsidRPr="003A3036">
        <w:t xml:space="preserve"> </w:t>
      </w:r>
      <w:proofErr w:type="spellStart"/>
      <w:r w:rsidRPr="003A3036">
        <w:t>Komisioni</w:t>
      </w:r>
      <w:proofErr w:type="spellEnd"/>
      <w:r w:rsidRPr="003A3036">
        <w:t xml:space="preserve">, </w:t>
      </w:r>
      <w:proofErr w:type="spellStart"/>
      <w:r w:rsidRPr="003A3036">
        <w:t>mungesë</w:t>
      </w:r>
      <w:proofErr w:type="spellEnd"/>
      <w:r w:rsidRPr="003A3036">
        <w:t xml:space="preserve"> </w:t>
      </w:r>
      <w:proofErr w:type="spellStart"/>
      <w:r w:rsidRPr="003A3036">
        <w:t>rregullash</w:t>
      </w:r>
      <w:proofErr w:type="spellEnd"/>
      <w:r w:rsidRPr="003A3036">
        <w:t xml:space="preserve"> </w:t>
      </w:r>
      <w:proofErr w:type="spellStart"/>
      <w:r w:rsidRPr="003A3036">
        <w:t>të</w:t>
      </w:r>
      <w:proofErr w:type="spellEnd"/>
      <w:r w:rsidRPr="003A3036">
        <w:t xml:space="preserve"> </w:t>
      </w:r>
      <w:proofErr w:type="spellStart"/>
      <w:r w:rsidRPr="003A3036">
        <w:t>plota</w:t>
      </w:r>
      <w:proofErr w:type="spellEnd"/>
      <w:r w:rsidRPr="003A3036">
        <w:t xml:space="preserve"> </w:t>
      </w:r>
      <w:proofErr w:type="spellStart"/>
      <w:r w:rsidRPr="003A3036">
        <w:t>për</w:t>
      </w:r>
      <w:proofErr w:type="spellEnd"/>
      <w:r w:rsidRPr="003A3036">
        <w:t xml:space="preserve"> </w:t>
      </w:r>
      <w:proofErr w:type="spellStart"/>
      <w:r w:rsidRPr="003A3036">
        <w:t>procedurat</w:t>
      </w:r>
      <w:proofErr w:type="spellEnd"/>
      <w:r w:rsidRPr="003A3036">
        <w:t xml:space="preserve"> </w:t>
      </w:r>
      <w:proofErr w:type="spellStart"/>
      <w:r w:rsidRPr="003A3036">
        <w:t>ndërkufitare</w:t>
      </w:r>
      <w:proofErr w:type="spellEnd"/>
      <w:r w:rsidRPr="003A3036">
        <w:t xml:space="preserve">, </w:t>
      </w:r>
      <w:proofErr w:type="spellStart"/>
      <w:r w:rsidRPr="003A3036">
        <w:t>paqartësi</w:t>
      </w:r>
      <w:proofErr w:type="spellEnd"/>
      <w:r w:rsidRPr="003A3036">
        <w:t xml:space="preserve"> </w:t>
      </w:r>
      <w:proofErr w:type="spellStart"/>
      <w:r w:rsidRPr="003A3036">
        <w:t>mbi</w:t>
      </w:r>
      <w:proofErr w:type="spellEnd"/>
      <w:r w:rsidRPr="003A3036">
        <w:t xml:space="preserve"> </w:t>
      </w:r>
      <w:proofErr w:type="spellStart"/>
      <w:r w:rsidRPr="003A3036">
        <w:t>të</w:t>
      </w:r>
      <w:proofErr w:type="spellEnd"/>
      <w:r w:rsidRPr="003A3036">
        <w:t xml:space="preserve"> </w:t>
      </w:r>
      <w:proofErr w:type="spellStart"/>
      <w:r w:rsidRPr="003A3036">
        <w:t>drejtat</w:t>
      </w:r>
      <w:proofErr w:type="spellEnd"/>
      <w:r w:rsidRPr="003A3036">
        <w:t xml:space="preserve"> e </w:t>
      </w:r>
      <w:proofErr w:type="spellStart"/>
      <w:r w:rsidRPr="003A3036">
        <w:t>votës</w:t>
      </w:r>
      <w:proofErr w:type="spellEnd"/>
      <w:r w:rsidRPr="003A3036">
        <w:t xml:space="preserve"> </w:t>
      </w:r>
      <w:proofErr w:type="spellStart"/>
      <w:r w:rsidRPr="003A3036">
        <w:t>në</w:t>
      </w:r>
      <w:proofErr w:type="spellEnd"/>
      <w:r w:rsidRPr="003A3036">
        <w:t xml:space="preserve"> </w:t>
      </w:r>
      <w:proofErr w:type="spellStart"/>
      <w:r w:rsidRPr="003A3036">
        <w:t>A</w:t>
      </w:r>
      <w:r>
        <w:t>samble</w:t>
      </w:r>
      <w:proofErr w:type="spellEnd"/>
      <w:r w:rsidRPr="003A3036">
        <w:t xml:space="preserve"> </w:t>
      </w:r>
      <w:proofErr w:type="spellStart"/>
      <w:r w:rsidRPr="003A3036">
        <w:t>gjatë</w:t>
      </w:r>
      <w:proofErr w:type="spellEnd"/>
      <w:r w:rsidRPr="003A3036">
        <w:t xml:space="preserve"> </w:t>
      </w:r>
      <w:proofErr w:type="spellStart"/>
      <w:r w:rsidRPr="003A3036">
        <w:t>ofertës</w:t>
      </w:r>
      <w:proofErr w:type="spellEnd"/>
      <w:r w:rsidRPr="003A3036">
        <w:t xml:space="preserve">, </w:t>
      </w:r>
      <w:proofErr w:type="spellStart"/>
      <w:r w:rsidRPr="003A3036">
        <w:t>etj</w:t>
      </w:r>
      <w:proofErr w:type="spellEnd"/>
      <w:r w:rsidRPr="003A3036">
        <w:t xml:space="preserve">.). </w:t>
      </w:r>
      <w:proofErr w:type="spellStart"/>
      <w:r w:rsidRPr="003A3036">
        <w:t>Këto</w:t>
      </w:r>
      <w:proofErr w:type="spellEnd"/>
      <w:r w:rsidRPr="003A3036">
        <w:t xml:space="preserve"> </w:t>
      </w:r>
      <w:proofErr w:type="spellStart"/>
      <w:r w:rsidRPr="003A3036">
        <w:t>boshllëqe</w:t>
      </w:r>
      <w:proofErr w:type="spellEnd"/>
      <w:r w:rsidRPr="003A3036">
        <w:t xml:space="preserve"> </w:t>
      </w:r>
      <w:proofErr w:type="spellStart"/>
      <w:r w:rsidRPr="003A3036">
        <w:t>nuk</w:t>
      </w:r>
      <w:proofErr w:type="spellEnd"/>
      <w:r w:rsidRPr="003A3036">
        <w:t xml:space="preserve"> </w:t>
      </w:r>
      <w:proofErr w:type="spellStart"/>
      <w:r w:rsidRPr="003A3036">
        <w:t>mund</w:t>
      </w:r>
      <w:proofErr w:type="spellEnd"/>
      <w:r w:rsidRPr="003A3036">
        <w:t xml:space="preserve"> </w:t>
      </w:r>
      <w:proofErr w:type="spellStart"/>
      <w:r w:rsidRPr="003A3036">
        <w:t>të</w:t>
      </w:r>
      <w:proofErr w:type="spellEnd"/>
      <w:r w:rsidRPr="003A3036">
        <w:t xml:space="preserve"> </w:t>
      </w:r>
      <w:proofErr w:type="spellStart"/>
      <w:r w:rsidRPr="003A3036">
        <w:t>mbulohen</w:t>
      </w:r>
      <w:proofErr w:type="spellEnd"/>
      <w:r w:rsidRPr="003A3036">
        <w:t xml:space="preserve"> </w:t>
      </w:r>
      <w:proofErr w:type="spellStart"/>
      <w:r w:rsidRPr="003A3036">
        <w:t>vetëm</w:t>
      </w:r>
      <w:proofErr w:type="spellEnd"/>
      <w:r w:rsidRPr="003A3036">
        <w:t xml:space="preserve"> me </w:t>
      </w:r>
      <w:proofErr w:type="spellStart"/>
      <w:r w:rsidRPr="003A3036">
        <w:t>udhëzime</w:t>
      </w:r>
      <w:proofErr w:type="spellEnd"/>
      <w:r w:rsidRPr="003A3036">
        <w:t xml:space="preserve"> administrative; </w:t>
      </w:r>
      <w:proofErr w:type="spellStart"/>
      <w:r w:rsidRPr="003A3036">
        <w:t>kërkojnë</w:t>
      </w:r>
      <w:proofErr w:type="spellEnd"/>
      <w:r w:rsidRPr="003A3036">
        <w:t xml:space="preserve"> </w:t>
      </w:r>
      <w:proofErr w:type="spellStart"/>
      <w:r w:rsidRPr="003A3036">
        <w:t>ndryshim</w:t>
      </w:r>
      <w:proofErr w:type="spellEnd"/>
      <w:r w:rsidRPr="003A3036">
        <w:t xml:space="preserve"> </w:t>
      </w:r>
      <w:proofErr w:type="spellStart"/>
      <w:r w:rsidRPr="003A3036">
        <w:t>ligjor</w:t>
      </w:r>
      <w:proofErr w:type="spellEnd"/>
      <w:r w:rsidRPr="003A3036">
        <w:t xml:space="preserve"> </w:t>
      </w:r>
      <w:proofErr w:type="spellStart"/>
      <w:r w:rsidRPr="003A3036">
        <w:t>për</w:t>
      </w:r>
      <w:proofErr w:type="spellEnd"/>
      <w:r w:rsidRPr="003A3036">
        <w:t xml:space="preserve"> </w:t>
      </w:r>
      <w:proofErr w:type="spellStart"/>
      <w:r w:rsidRPr="003A3036">
        <w:t>të</w:t>
      </w:r>
      <w:proofErr w:type="spellEnd"/>
      <w:r w:rsidRPr="003A3036">
        <w:t xml:space="preserve"> (</w:t>
      </w:r>
      <w:proofErr w:type="spellStart"/>
      <w:r w:rsidRPr="003A3036">
        <w:t>i</w:t>
      </w:r>
      <w:proofErr w:type="spellEnd"/>
      <w:r w:rsidRPr="003A3036">
        <w:t xml:space="preserve">) </w:t>
      </w:r>
      <w:proofErr w:type="spellStart"/>
      <w:r w:rsidRPr="003A3036">
        <w:t>harmonizuar</w:t>
      </w:r>
      <w:proofErr w:type="spellEnd"/>
      <w:r w:rsidRPr="003A3036">
        <w:t xml:space="preserve"> </w:t>
      </w:r>
      <w:proofErr w:type="spellStart"/>
      <w:r w:rsidRPr="003A3036">
        <w:t>tekstin</w:t>
      </w:r>
      <w:proofErr w:type="spellEnd"/>
      <w:r w:rsidRPr="003A3036">
        <w:t xml:space="preserve"> me acquis, (ii) </w:t>
      </w:r>
      <w:proofErr w:type="spellStart"/>
      <w:r w:rsidRPr="003A3036">
        <w:t>vendosur</w:t>
      </w:r>
      <w:proofErr w:type="spellEnd"/>
      <w:r w:rsidRPr="003A3036">
        <w:t xml:space="preserve"> </w:t>
      </w:r>
      <w:proofErr w:type="spellStart"/>
      <w:r w:rsidRPr="003A3036">
        <w:t>mekanizmat</w:t>
      </w:r>
      <w:proofErr w:type="spellEnd"/>
      <w:r w:rsidRPr="003A3036">
        <w:t xml:space="preserve"> e </w:t>
      </w:r>
      <w:proofErr w:type="spellStart"/>
      <w:r w:rsidRPr="003A3036">
        <w:t>mbrojtjes</w:t>
      </w:r>
      <w:proofErr w:type="spellEnd"/>
      <w:r w:rsidRPr="003A3036">
        <w:t xml:space="preserve"> </w:t>
      </w:r>
      <w:proofErr w:type="spellStart"/>
      <w:r w:rsidRPr="003A3036">
        <w:t>së</w:t>
      </w:r>
      <w:proofErr w:type="spellEnd"/>
      <w:r w:rsidRPr="003A3036">
        <w:t xml:space="preserve"> </w:t>
      </w:r>
      <w:proofErr w:type="spellStart"/>
      <w:r w:rsidRPr="003A3036">
        <w:t>investitorit</w:t>
      </w:r>
      <w:proofErr w:type="spellEnd"/>
      <w:r w:rsidRPr="003A3036">
        <w:t xml:space="preserve"> </w:t>
      </w:r>
      <w:proofErr w:type="spellStart"/>
      <w:r w:rsidRPr="003A3036">
        <w:t>dhe</w:t>
      </w:r>
      <w:proofErr w:type="spellEnd"/>
      <w:r w:rsidRPr="003A3036">
        <w:t xml:space="preserve"> (iii) </w:t>
      </w:r>
      <w:proofErr w:type="spellStart"/>
      <w:r w:rsidRPr="003A3036">
        <w:t>krijuar</w:t>
      </w:r>
      <w:proofErr w:type="spellEnd"/>
      <w:r w:rsidRPr="003A3036">
        <w:t xml:space="preserve"> </w:t>
      </w:r>
      <w:proofErr w:type="spellStart"/>
      <w:r w:rsidRPr="003A3036">
        <w:t>bazën</w:t>
      </w:r>
      <w:proofErr w:type="spellEnd"/>
      <w:r w:rsidRPr="003A3036">
        <w:t xml:space="preserve"> </w:t>
      </w:r>
      <w:proofErr w:type="spellStart"/>
      <w:r w:rsidRPr="003A3036">
        <w:t>që</w:t>
      </w:r>
      <w:proofErr w:type="spellEnd"/>
      <w:r w:rsidRPr="003A3036">
        <w:t xml:space="preserve"> </w:t>
      </w:r>
      <w:proofErr w:type="spellStart"/>
      <w:r w:rsidRPr="003A3036">
        <w:t>Shqipëria</w:t>
      </w:r>
      <w:proofErr w:type="spellEnd"/>
      <w:r w:rsidRPr="003A3036">
        <w:t xml:space="preserve"> </w:t>
      </w:r>
      <w:proofErr w:type="spellStart"/>
      <w:r w:rsidRPr="003A3036">
        <w:t>të</w:t>
      </w:r>
      <w:proofErr w:type="spellEnd"/>
      <w:r w:rsidRPr="003A3036">
        <w:t xml:space="preserve"> </w:t>
      </w:r>
      <w:proofErr w:type="spellStart"/>
      <w:r w:rsidRPr="003A3036">
        <w:t>jetë</w:t>
      </w:r>
      <w:proofErr w:type="spellEnd"/>
      <w:r w:rsidRPr="003A3036">
        <w:t xml:space="preserve"> e </w:t>
      </w:r>
      <w:proofErr w:type="spellStart"/>
      <w:r w:rsidRPr="003A3036">
        <w:t>lexueshme</w:t>
      </w:r>
      <w:proofErr w:type="spellEnd"/>
      <w:r w:rsidRPr="003A3036">
        <w:t xml:space="preserve"> </w:t>
      </w:r>
      <w:proofErr w:type="spellStart"/>
      <w:r w:rsidRPr="003A3036">
        <w:t>dhe</w:t>
      </w:r>
      <w:proofErr w:type="spellEnd"/>
      <w:r w:rsidRPr="003A3036">
        <w:t xml:space="preserve"> e </w:t>
      </w:r>
      <w:proofErr w:type="spellStart"/>
      <w:r w:rsidRPr="003A3036">
        <w:t>pranueshme</w:t>
      </w:r>
      <w:proofErr w:type="spellEnd"/>
      <w:r w:rsidRPr="003A3036">
        <w:t xml:space="preserve"> </w:t>
      </w:r>
      <w:proofErr w:type="spellStart"/>
      <w:r w:rsidRPr="003A3036">
        <w:t>si</w:t>
      </w:r>
      <w:proofErr w:type="spellEnd"/>
      <w:r w:rsidRPr="003A3036">
        <w:t xml:space="preserve"> </w:t>
      </w:r>
      <w:proofErr w:type="spellStart"/>
      <w:r w:rsidRPr="003A3036">
        <w:t>pjesë</w:t>
      </w:r>
      <w:proofErr w:type="spellEnd"/>
      <w:r w:rsidRPr="003A3036">
        <w:t xml:space="preserve"> e </w:t>
      </w:r>
      <w:proofErr w:type="spellStart"/>
      <w:r w:rsidRPr="003A3036">
        <w:t>tregut</w:t>
      </w:r>
      <w:proofErr w:type="spellEnd"/>
      <w:r w:rsidRPr="003A3036">
        <w:t xml:space="preserve"> </w:t>
      </w:r>
      <w:proofErr w:type="spellStart"/>
      <w:r w:rsidRPr="003A3036">
        <w:t>evropian</w:t>
      </w:r>
      <w:proofErr w:type="spellEnd"/>
      <w:r w:rsidRPr="003A3036">
        <w:t xml:space="preserve"> </w:t>
      </w:r>
      <w:proofErr w:type="spellStart"/>
      <w:r w:rsidRPr="003A3036">
        <w:t>të</w:t>
      </w:r>
      <w:proofErr w:type="spellEnd"/>
      <w:r w:rsidRPr="003A3036">
        <w:t xml:space="preserve"> </w:t>
      </w:r>
      <w:proofErr w:type="spellStart"/>
      <w:r w:rsidRPr="003A3036">
        <w:t>kapitaleve</w:t>
      </w:r>
      <w:proofErr w:type="spellEnd"/>
      <w:r w:rsidRPr="003A3036">
        <w:t>.</w:t>
      </w:r>
    </w:p>
    <w:p w14:paraId="7ED88861" w14:textId="77777777" w:rsidR="00126BC5" w:rsidRPr="00AA3C59" w:rsidRDefault="00126BC5" w:rsidP="00126BC5">
      <w:pPr>
        <w:spacing w:line="276" w:lineRule="auto"/>
        <w:jc w:val="both"/>
        <w:rPr>
          <w:b/>
          <w:bCs/>
        </w:rPr>
      </w:pPr>
    </w:p>
    <w:p w14:paraId="3B35E27A" w14:textId="1D3E2C0D" w:rsidR="00563378" w:rsidRPr="00563378" w:rsidRDefault="002125B7" w:rsidP="00563378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 xml:space="preserve">Arsyeja e ndërhyrjes </w:t>
      </w:r>
      <w:bookmarkEnd w:id="10"/>
    </w:p>
    <w:sdt>
      <w:sdtPr>
        <w:id w:val="-1161541828"/>
        <w:lock w:val="contentLocked"/>
        <w:placeholder>
          <w:docPart w:val="DefaultPlaceholder_1081868574"/>
        </w:placeholder>
        <w15:color w:val="C0C0C0"/>
      </w:sdtPr>
      <w:sdtEndPr>
        <w:rPr>
          <w:sz w:val="24"/>
          <w:szCs w:val="24"/>
        </w:rPr>
      </w:sdtEndPr>
      <w:sdtContent>
        <w:p w14:paraId="34CBFEE4" w14:textId="073C260A" w:rsidR="00372979" w:rsidRPr="00372979" w:rsidRDefault="00372979" w:rsidP="00372979">
          <w:pPr>
            <w:pStyle w:val="ListParagraph"/>
            <w:numPr>
              <w:ilvl w:val="0"/>
              <w:numId w:val="27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Shpjegoni pse qeveria e sheh të nevojshme të ndërhyjë.</w:t>
          </w:r>
        </w:p>
        <w:p w14:paraId="10FE35C4" w14:textId="77777777" w:rsidR="00372979" w:rsidRPr="00372979" w:rsidRDefault="00372979" w:rsidP="00372979">
          <w:pPr>
            <w:pStyle w:val="ListParagraph"/>
            <w:numPr>
              <w:ilvl w:val="0"/>
              <w:numId w:val="27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Shpjegoni se çfarë shpreson të trajtojë qeveria nëpërmjet kësaj ndërhyrjeje.</w:t>
          </w:r>
        </w:p>
        <w:p w14:paraId="036157E1" w14:textId="77777777" w:rsidR="00372979" w:rsidRPr="00372979" w:rsidRDefault="00372979" w:rsidP="00372979">
          <w:pPr>
            <w:pStyle w:val="ListParagraph"/>
            <w:numPr>
              <w:ilvl w:val="0"/>
              <w:numId w:val="27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Shpjegoni se si i mbështet kjo ndërhyrje objektivat e nivelit të lartë të qeverisë.</w:t>
          </w:r>
        </w:p>
        <w:p w14:paraId="796883EF" w14:textId="694F60A4" w:rsidR="009E64A4" w:rsidRPr="00372979" w:rsidRDefault="00372979" w:rsidP="00372979">
          <w:pPr>
            <w:pStyle w:val="ListParagraph"/>
            <w:numPr>
              <w:ilvl w:val="0"/>
              <w:numId w:val="27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Rendisni punën ekzistuese që është realizuar tashmë.</w:t>
          </w:r>
        </w:p>
      </w:sdtContent>
    </w:sdt>
    <w:bookmarkStart w:id="11" w:name="_Toc506919735" w:displacedByCustomXml="next"/>
    <w:sdt>
      <w:sdtPr>
        <w:rPr>
          <w:rFonts w:eastAsiaTheme="majorEastAsia"/>
          <w:color w:val="808080" w:themeColor="background1" w:themeShade="80"/>
        </w:rPr>
        <w:id w:val="-1918160353"/>
        <w:placeholder>
          <w:docPart w:val="CACB70A1168B411595FAC6FC6BEBF98B"/>
        </w:placeholder>
      </w:sdtPr>
      <w:sdtEndPr>
        <w:rPr>
          <w:rFonts w:ascii="Times New Roman" w:hAnsi="Times New Roman"/>
          <w:sz w:val="24"/>
        </w:rPr>
      </w:sdtEndPr>
      <w:sdtContent>
        <w:p w14:paraId="7179601F" w14:textId="77777777" w:rsidR="00126BC5" w:rsidRPr="00126BC5" w:rsidRDefault="00126BC5" w:rsidP="00126BC5">
          <w:pPr>
            <w:pStyle w:val="ListParagraph"/>
            <w:spacing w:after="0" w:line="276" w:lineRule="auto"/>
            <w:ind w:left="630" w:firstLine="0"/>
            <w:jc w:val="both"/>
            <w:rPr>
              <w:rFonts w:ascii="Times New Roman" w:eastAsiaTheme="majorEastAsia" w:hAnsi="Times New Roman"/>
              <w:b/>
              <w:bCs/>
              <w:i/>
              <w:sz w:val="24"/>
              <w:szCs w:val="24"/>
              <w:lang w:val="sq-AL"/>
            </w:rPr>
          </w:pPr>
        </w:p>
        <w:p w14:paraId="5F6F24A9" w14:textId="6013C4FF" w:rsidR="007844BA" w:rsidRPr="00C24D1F" w:rsidRDefault="007844BA" w:rsidP="007844BA">
          <w:pPr>
            <w:pStyle w:val="ListParagraph"/>
            <w:numPr>
              <w:ilvl w:val="0"/>
              <w:numId w:val="31"/>
            </w:numPr>
            <w:spacing w:after="0" w:line="276" w:lineRule="auto"/>
            <w:jc w:val="both"/>
            <w:rPr>
              <w:rFonts w:ascii="Times New Roman" w:eastAsiaTheme="majorEastAsia" w:hAnsi="Times New Roman"/>
              <w:b/>
              <w:bCs/>
              <w:i/>
              <w:sz w:val="24"/>
              <w:szCs w:val="24"/>
              <w:lang w:val="sq-AL"/>
            </w:rPr>
          </w:pPr>
          <w:r w:rsidRPr="00C24D1F">
            <w:rPr>
              <w:rFonts w:ascii="Times New Roman" w:eastAsiaTheme="majorEastAsia" w:hAnsi="Times New Roman"/>
              <w:b/>
              <w:bCs/>
              <w:i/>
              <w:sz w:val="24"/>
              <w:szCs w:val="24"/>
              <w:lang w:val="sq-AL"/>
            </w:rPr>
            <w:t>Shpjegoni pse qeveria e sheh të nevojshme të ndërhyjë.</w:t>
          </w:r>
        </w:p>
      </w:sdtContent>
    </w:sdt>
    <w:p w14:paraId="45DE5204" w14:textId="77777777" w:rsidR="007844BA" w:rsidRDefault="007844BA" w:rsidP="007844BA">
      <w:pPr>
        <w:pStyle w:val="BodyA"/>
        <w:spacing w:line="276" w:lineRule="auto"/>
        <w:ind w:right="20"/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</w:p>
    <w:p w14:paraId="7CFD4F7F" w14:textId="77777777" w:rsidR="007844BA" w:rsidRPr="0015437A" w:rsidRDefault="007844BA" w:rsidP="007844BA">
      <w:pPr>
        <w:pStyle w:val="BodyA"/>
        <w:spacing w:line="276" w:lineRule="auto"/>
        <w:ind w:right="20"/>
        <w:jc w:val="both"/>
        <w:rPr>
          <w:rFonts w:ascii="Times New Roman" w:hAnsi="Times New Roman" w:cs="Times New Roman"/>
          <w:iCs/>
          <w:color w:val="000000" w:themeColor="text1"/>
          <w:lang w:val="sq-AL"/>
        </w:rPr>
      </w:pP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Qeveria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duhet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garantojë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që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tregu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shqiptar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i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kapitaleve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funksionon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mbi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rregulla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qarta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,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parashikueshme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dhe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krahasueshme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me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ato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Bashkimit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Evropian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.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Kuadri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aktual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ligjor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për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ofertat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e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marrjes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në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kontroll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(takeover bids)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është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pjesërisht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i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paplotësuar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kundrejt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Direktivës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2004/25/EC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dhe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standardeve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sotme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mbrojtjes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së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investitorit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,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sidomos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për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çmimin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e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drejtë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,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trajtimin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e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aksionarëve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minoritarë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dhe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menaxhimin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e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situatave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ndërkufitare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.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Kjo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krijon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pasiguri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ligjore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dhe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rrezik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abuzimi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në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transaksione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ku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ndryshon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kontrolli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i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një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shoqërie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listuar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.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Ndërhyrja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bëhet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e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domosdoshme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për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shmangur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boshllëqe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rregullatore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,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për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rritur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besueshmërinë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e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tregut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dhe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për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përgatitur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vendin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për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integrim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në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</w:t>
      </w:r>
      <w:proofErr w:type="spellStart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>tregun</w:t>
      </w:r>
      <w:proofErr w:type="spellEnd"/>
      <w:r w:rsidRPr="0015437A">
        <w:rPr>
          <w:rFonts w:ascii="Times New Roman" w:hAnsi="Times New Roman" w:cs="Times New Roman"/>
          <w:iCs/>
          <w:color w:val="000000" w:themeColor="text1"/>
          <w:lang w:val="en-GB"/>
        </w:rPr>
        <w:t xml:space="preserve"> e BE.</w:t>
      </w:r>
    </w:p>
    <w:p w14:paraId="1CDFB87F" w14:textId="77777777" w:rsidR="007844BA" w:rsidRDefault="007844BA" w:rsidP="007844BA">
      <w:pPr>
        <w:pStyle w:val="BodyA"/>
        <w:spacing w:line="276" w:lineRule="auto"/>
        <w:ind w:right="20"/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</w:p>
    <w:p w14:paraId="4DB58F44" w14:textId="77777777" w:rsidR="007844BA" w:rsidRDefault="007844BA" w:rsidP="007844BA">
      <w:pPr>
        <w:pStyle w:val="BodyA"/>
        <w:spacing w:line="276" w:lineRule="auto"/>
        <w:ind w:right="20"/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</w:p>
    <w:p w14:paraId="49460735" w14:textId="77777777" w:rsidR="007844BA" w:rsidRDefault="007844BA" w:rsidP="007844BA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eastAsiaTheme="majorEastAsia" w:hAnsi="Times New Roman"/>
          <w:b/>
          <w:bCs/>
          <w:i/>
          <w:sz w:val="24"/>
          <w:szCs w:val="24"/>
          <w:lang w:val="sq-AL"/>
        </w:rPr>
      </w:pPr>
      <w:r w:rsidRPr="0023768D">
        <w:rPr>
          <w:rFonts w:ascii="Times New Roman" w:eastAsiaTheme="majorEastAsia" w:hAnsi="Times New Roman"/>
          <w:b/>
          <w:bCs/>
          <w:i/>
          <w:sz w:val="24"/>
          <w:szCs w:val="24"/>
          <w:lang w:val="sq-AL"/>
        </w:rPr>
        <w:t>Shpjegoni se çfarë shpreson të trajtojë qeveria nëpërmjet kësaj ndërhyrjeje.</w:t>
      </w:r>
    </w:p>
    <w:p w14:paraId="1E8F5E7D" w14:textId="77777777" w:rsidR="007844BA" w:rsidRPr="0003760F" w:rsidRDefault="007844BA" w:rsidP="007844BA">
      <w:pPr>
        <w:pStyle w:val="BodyA"/>
        <w:spacing w:line="276" w:lineRule="auto"/>
        <w:ind w:left="720" w:right="20"/>
        <w:jc w:val="both"/>
        <w:rPr>
          <w:rFonts w:ascii="Times New Roman" w:eastAsiaTheme="majorEastAsia" w:hAnsi="Times New Roman"/>
          <w:i/>
          <w:lang w:val="sq-AL"/>
        </w:rPr>
      </w:pPr>
    </w:p>
    <w:p w14:paraId="7D2899E7" w14:textId="77777777" w:rsidR="007844BA" w:rsidRPr="0015437A" w:rsidRDefault="007844BA" w:rsidP="007844BA">
      <w:pPr>
        <w:pStyle w:val="BodyA"/>
        <w:numPr>
          <w:ilvl w:val="0"/>
          <w:numId w:val="32"/>
        </w:numPr>
        <w:spacing w:line="276" w:lineRule="auto"/>
        <w:ind w:right="20"/>
        <w:jc w:val="both"/>
        <w:rPr>
          <w:rFonts w:ascii="Times New Roman" w:eastAsiaTheme="majorEastAsia" w:hAnsi="Times New Roman"/>
          <w:iCs/>
          <w:lang w:val="sq-AL"/>
        </w:rPr>
      </w:pPr>
      <w:r w:rsidRPr="0015437A">
        <w:rPr>
          <w:rFonts w:ascii="Times New Roman" w:eastAsiaTheme="majorEastAsia" w:hAnsi="Times New Roman"/>
          <w:iCs/>
          <w:lang w:val="sq-AL"/>
        </w:rPr>
        <w:t>Të garantojë trajtim të barabartë dhe mbrojtje efektive të aksionarëve minoritarë në rast të një oferte për marrje kontrolli.</w:t>
      </w:r>
    </w:p>
    <w:p w14:paraId="19A53179" w14:textId="77777777" w:rsidR="007844BA" w:rsidRPr="0015437A" w:rsidRDefault="007844BA" w:rsidP="007844BA">
      <w:pPr>
        <w:pStyle w:val="BodyA"/>
        <w:numPr>
          <w:ilvl w:val="0"/>
          <w:numId w:val="32"/>
        </w:numPr>
        <w:spacing w:line="276" w:lineRule="auto"/>
        <w:ind w:right="20"/>
        <w:jc w:val="both"/>
        <w:rPr>
          <w:rFonts w:ascii="Times New Roman" w:eastAsiaTheme="majorEastAsia" w:hAnsi="Times New Roman"/>
          <w:iCs/>
          <w:lang w:val="sq-AL"/>
        </w:rPr>
      </w:pPr>
      <w:r w:rsidRPr="0015437A">
        <w:rPr>
          <w:rFonts w:ascii="Times New Roman" w:eastAsiaTheme="majorEastAsia" w:hAnsi="Times New Roman"/>
          <w:iCs/>
          <w:lang w:val="sq-AL"/>
        </w:rPr>
        <w:t>Të vendosë standard të qartë mbi “çmimin e drejtë”, përfshirë rastet kur ofertuesi blen aksione më shtrenjtë gjatë periudhës së ofertës.</w:t>
      </w:r>
    </w:p>
    <w:p w14:paraId="7167C0DA" w14:textId="77777777" w:rsidR="007844BA" w:rsidRPr="0015437A" w:rsidRDefault="007844BA" w:rsidP="007844BA">
      <w:pPr>
        <w:pStyle w:val="BodyA"/>
        <w:numPr>
          <w:ilvl w:val="0"/>
          <w:numId w:val="32"/>
        </w:numPr>
        <w:spacing w:line="276" w:lineRule="auto"/>
        <w:ind w:right="20"/>
        <w:jc w:val="both"/>
        <w:rPr>
          <w:rFonts w:ascii="Times New Roman" w:eastAsiaTheme="majorEastAsia" w:hAnsi="Times New Roman"/>
          <w:iCs/>
          <w:lang w:val="sq-AL"/>
        </w:rPr>
      </w:pPr>
      <w:r w:rsidRPr="0015437A">
        <w:rPr>
          <w:rFonts w:ascii="Times New Roman" w:eastAsiaTheme="majorEastAsia" w:hAnsi="Times New Roman"/>
          <w:iCs/>
          <w:lang w:val="sq-AL"/>
        </w:rPr>
        <w:t>Të kufizojë hapësirën për manovra mbrojtëse të administratës së shoqërisë objekt që bllokojnë në mënyrë artificiale ofertat (neutraliteti i bordit, “</w:t>
      </w:r>
      <w:proofErr w:type="spellStart"/>
      <w:r w:rsidRPr="0015437A">
        <w:rPr>
          <w:rFonts w:ascii="Times New Roman" w:eastAsiaTheme="majorEastAsia" w:hAnsi="Times New Roman"/>
          <w:iCs/>
          <w:lang w:val="sq-AL"/>
        </w:rPr>
        <w:t>breakthrough</w:t>
      </w:r>
      <w:proofErr w:type="spellEnd"/>
      <w:r w:rsidRPr="0015437A">
        <w:rPr>
          <w:rFonts w:ascii="Times New Roman" w:eastAsiaTheme="majorEastAsia" w:hAnsi="Times New Roman"/>
          <w:iCs/>
          <w:lang w:val="sq-AL"/>
        </w:rPr>
        <w:t>”).</w:t>
      </w:r>
    </w:p>
    <w:p w14:paraId="345E597E" w14:textId="77777777" w:rsidR="007844BA" w:rsidRPr="0015437A" w:rsidRDefault="007844BA" w:rsidP="007844BA">
      <w:pPr>
        <w:pStyle w:val="BodyA"/>
        <w:numPr>
          <w:ilvl w:val="0"/>
          <w:numId w:val="32"/>
        </w:numPr>
        <w:spacing w:line="276" w:lineRule="auto"/>
        <w:ind w:right="20"/>
        <w:jc w:val="both"/>
        <w:rPr>
          <w:rFonts w:ascii="Times New Roman" w:eastAsiaTheme="majorEastAsia" w:hAnsi="Times New Roman"/>
          <w:iCs/>
          <w:lang w:val="sq-AL"/>
        </w:rPr>
      </w:pPr>
      <w:r w:rsidRPr="0015437A">
        <w:rPr>
          <w:rFonts w:ascii="Times New Roman" w:eastAsiaTheme="majorEastAsia" w:hAnsi="Times New Roman"/>
          <w:iCs/>
          <w:lang w:val="sq-AL"/>
        </w:rPr>
        <w:t xml:space="preserve">Të rregullojë qartë kompetencat ndërkufitare të Autoritetit të Mbikëqyrjes Financiare kur shoqëria ka selinë në një shtet dhe </w:t>
      </w:r>
      <w:proofErr w:type="spellStart"/>
      <w:r w:rsidRPr="0015437A">
        <w:rPr>
          <w:rFonts w:ascii="Times New Roman" w:eastAsiaTheme="majorEastAsia" w:hAnsi="Times New Roman"/>
          <w:iCs/>
          <w:lang w:val="sq-AL"/>
        </w:rPr>
        <w:t>listimin</w:t>
      </w:r>
      <w:proofErr w:type="spellEnd"/>
      <w:r w:rsidRPr="0015437A">
        <w:rPr>
          <w:rFonts w:ascii="Times New Roman" w:eastAsiaTheme="majorEastAsia" w:hAnsi="Times New Roman"/>
          <w:iCs/>
          <w:lang w:val="sq-AL"/>
        </w:rPr>
        <w:t xml:space="preserve"> në një tjetër, sipas modelit të Direktivës.</w:t>
      </w:r>
    </w:p>
    <w:p w14:paraId="229BF8A3" w14:textId="77777777" w:rsidR="007844BA" w:rsidRPr="0015437A" w:rsidRDefault="007844BA" w:rsidP="007844BA">
      <w:pPr>
        <w:pStyle w:val="BodyA"/>
        <w:numPr>
          <w:ilvl w:val="0"/>
          <w:numId w:val="32"/>
        </w:numPr>
        <w:spacing w:line="276" w:lineRule="auto"/>
        <w:ind w:right="20"/>
        <w:jc w:val="both"/>
        <w:rPr>
          <w:rFonts w:ascii="Times New Roman" w:eastAsiaTheme="majorEastAsia" w:hAnsi="Times New Roman"/>
          <w:iCs/>
          <w:lang w:val="sq-AL"/>
        </w:rPr>
      </w:pPr>
      <w:r w:rsidRPr="0015437A">
        <w:rPr>
          <w:rFonts w:ascii="Times New Roman" w:eastAsiaTheme="majorEastAsia" w:hAnsi="Times New Roman"/>
          <w:iCs/>
          <w:lang w:val="sq-AL"/>
        </w:rPr>
        <w:t xml:space="preserve">Të vendosë detyrime raportimi vjetor te Komisioni Evropian dhe depozitimin e informacionit në ESAP në formate të lexueshme nga makina, duke rritur transparencën dhe </w:t>
      </w:r>
      <w:proofErr w:type="spellStart"/>
      <w:r w:rsidRPr="0015437A">
        <w:rPr>
          <w:rFonts w:ascii="Times New Roman" w:eastAsiaTheme="majorEastAsia" w:hAnsi="Times New Roman"/>
          <w:iCs/>
          <w:lang w:val="sq-AL"/>
        </w:rPr>
        <w:t>aksesin</w:t>
      </w:r>
      <w:proofErr w:type="spellEnd"/>
      <w:r w:rsidRPr="0015437A">
        <w:rPr>
          <w:rFonts w:ascii="Times New Roman" w:eastAsiaTheme="majorEastAsia" w:hAnsi="Times New Roman"/>
          <w:iCs/>
          <w:lang w:val="sq-AL"/>
        </w:rPr>
        <w:t xml:space="preserve"> publik në të dhëna.</w:t>
      </w:r>
    </w:p>
    <w:p w14:paraId="549E5217" w14:textId="77777777" w:rsidR="007844BA" w:rsidRPr="0015437A" w:rsidRDefault="007844BA" w:rsidP="007844BA">
      <w:pPr>
        <w:pStyle w:val="BodyA"/>
        <w:numPr>
          <w:ilvl w:val="0"/>
          <w:numId w:val="32"/>
        </w:numPr>
        <w:spacing w:line="276" w:lineRule="auto"/>
        <w:ind w:right="20"/>
        <w:jc w:val="both"/>
        <w:rPr>
          <w:rFonts w:ascii="Times New Roman" w:eastAsiaTheme="majorEastAsia" w:hAnsi="Times New Roman"/>
          <w:iCs/>
          <w:lang w:val="sq-AL"/>
        </w:rPr>
      </w:pPr>
      <w:r w:rsidRPr="0015437A">
        <w:rPr>
          <w:rFonts w:ascii="Times New Roman" w:eastAsiaTheme="majorEastAsia" w:hAnsi="Times New Roman"/>
          <w:iCs/>
          <w:lang w:val="sq-AL"/>
        </w:rPr>
        <w:t>Të ulë koston e kapitalit për shoqëritë shqiptare duke rritur besimin e investitorëve institucionalë dhe duke e bërë tregun vendas më “</w:t>
      </w:r>
      <w:proofErr w:type="spellStart"/>
      <w:r w:rsidRPr="0015437A">
        <w:rPr>
          <w:rFonts w:ascii="Times New Roman" w:eastAsiaTheme="majorEastAsia" w:hAnsi="Times New Roman"/>
          <w:iCs/>
          <w:lang w:val="sq-AL"/>
        </w:rPr>
        <w:t>investueshëm</w:t>
      </w:r>
      <w:proofErr w:type="spellEnd"/>
      <w:r w:rsidRPr="0015437A">
        <w:rPr>
          <w:rFonts w:ascii="Times New Roman" w:eastAsiaTheme="majorEastAsia" w:hAnsi="Times New Roman"/>
          <w:iCs/>
          <w:lang w:val="sq-AL"/>
        </w:rPr>
        <w:t>”.</w:t>
      </w:r>
    </w:p>
    <w:p w14:paraId="58C02421" w14:textId="77777777" w:rsidR="007844BA" w:rsidRPr="0015437A" w:rsidRDefault="007844BA" w:rsidP="007844BA">
      <w:pPr>
        <w:pStyle w:val="BodyA"/>
        <w:spacing w:line="276" w:lineRule="auto"/>
        <w:ind w:left="720" w:right="20"/>
        <w:jc w:val="both"/>
        <w:rPr>
          <w:rFonts w:ascii="Times New Roman" w:eastAsiaTheme="majorEastAsia" w:hAnsi="Times New Roman"/>
          <w:iCs/>
          <w:lang w:val="sq-AL"/>
        </w:rPr>
      </w:pPr>
    </w:p>
    <w:p w14:paraId="5E36F5C8" w14:textId="77777777" w:rsidR="007844BA" w:rsidRDefault="007844BA" w:rsidP="007844BA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eastAsiaTheme="majorEastAsia" w:hAnsi="Times New Roman"/>
          <w:b/>
          <w:bCs/>
          <w:i/>
          <w:sz w:val="24"/>
          <w:szCs w:val="24"/>
          <w:lang w:val="sq-AL"/>
        </w:rPr>
      </w:pPr>
      <w:r w:rsidRPr="00DC06E5">
        <w:rPr>
          <w:rFonts w:ascii="Times New Roman" w:eastAsiaTheme="majorEastAsia" w:hAnsi="Times New Roman"/>
          <w:b/>
          <w:bCs/>
          <w:i/>
          <w:sz w:val="24"/>
          <w:szCs w:val="24"/>
          <w:lang w:val="sq-AL"/>
        </w:rPr>
        <w:t>Shpjegoni se si i mbështet kjo ndërhyrje objektivat e nivelit të lartë të qeverisë.</w:t>
      </w:r>
    </w:p>
    <w:p w14:paraId="7D7FD3CB" w14:textId="77777777" w:rsidR="007844BA" w:rsidRDefault="007844BA" w:rsidP="007844BA">
      <w:pPr>
        <w:spacing w:line="276" w:lineRule="auto"/>
        <w:jc w:val="both"/>
        <w:rPr>
          <w:rFonts w:eastAsiaTheme="majorEastAsia"/>
          <w:b/>
          <w:bCs/>
          <w:i/>
          <w:szCs w:val="24"/>
          <w:lang w:val="sq-AL"/>
        </w:rPr>
      </w:pPr>
    </w:p>
    <w:p w14:paraId="2BED004B" w14:textId="77777777" w:rsidR="007844BA" w:rsidRPr="0015437A" w:rsidRDefault="007844BA" w:rsidP="007844BA">
      <w:pPr>
        <w:pStyle w:val="BodyA"/>
        <w:numPr>
          <w:ilvl w:val="0"/>
          <w:numId w:val="32"/>
        </w:numPr>
        <w:spacing w:line="276" w:lineRule="auto"/>
        <w:ind w:right="20"/>
        <w:jc w:val="both"/>
        <w:rPr>
          <w:rFonts w:ascii="Times New Roman" w:eastAsiaTheme="majorEastAsia" w:hAnsi="Times New Roman"/>
          <w:iCs/>
          <w:lang w:val="sq-AL"/>
        </w:rPr>
      </w:pPr>
      <w:r w:rsidRPr="0015437A">
        <w:rPr>
          <w:rFonts w:ascii="Times New Roman" w:eastAsiaTheme="majorEastAsia" w:hAnsi="Times New Roman"/>
          <w:iCs/>
          <w:lang w:val="sq-AL"/>
        </w:rPr>
        <w:t xml:space="preserve">Mbështet prioritetin strategjik të përafrimit të plotë me </w:t>
      </w:r>
      <w:proofErr w:type="spellStart"/>
      <w:r w:rsidRPr="0015437A">
        <w:rPr>
          <w:rFonts w:ascii="Times New Roman" w:eastAsiaTheme="majorEastAsia" w:hAnsi="Times New Roman"/>
          <w:iCs/>
          <w:lang w:val="sq-AL"/>
        </w:rPr>
        <w:t>acquis</w:t>
      </w:r>
      <w:proofErr w:type="spellEnd"/>
      <w:r w:rsidRPr="0015437A">
        <w:rPr>
          <w:rFonts w:ascii="Times New Roman" w:eastAsiaTheme="majorEastAsia" w:hAnsi="Times New Roman"/>
          <w:iCs/>
          <w:lang w:val="sq-AL"/>
        </w:rPr>
        <w:t xml:space="preserve"> të BE dhe përgatitjes për integrim në hapësirën ekonomike evropiane deri në horizontin politik 2030.</w:t>
      </w:r>
    </w:p>
    <w:p w14:paraId="3E31064D" w14:textId="77777777" w:rsidR="007844BA" w:rsidRPr="0015437A" w:rsidRDefault="007844BA" w:rsidP="007844BA">
      <w:pPr>
        <w:pStyle w:val="BodyA"/>
        <w:numPr>
          <w:ilvl w:val="0"/>
          <w:numId w:val="32"/>
        </w:numPr>
        <w:spacing w:line="276" w:lineRule="auto"/>
        <w:ind w:right="20"/>
        <w:jc w:val="both"/>
        <w:rPr>
          <w:rFonts w:ascii="Times New Roman" w:eastAsiaTheme="majorEastAsia" w:hAnsi="Times New Roman"/>
          <w:iCs/>
          <w:lang w:val="sq-AL"/>
        </w:rPr>
      </w:pPr>
      <w:r w:rsidRPr="0015437A">
        <w:rPr>
          <w:rFonts w:ascii="Times New Roman" w:eastAsiaTheme="majorEastAsia" w:hAnsi="Times New Roman"/>
          <w:iCs/>
          <w:lang w:val="sq-AL"/>
        </w:rPr>
        <w:t xml:space="preserve">Forcon stabilitetin dhe integritetin e tregut financiar, që është objektiv i politikave publike për zhvillimin e tregut të kapitaleve dhe </w:t>
      </w:r>
      <w:proofErr w:type="spellStart"/>
      <w:r w:rsidRPr="0015437A">
        <w:rPr>
          <w:rFonts w:ascii="Times New Roman" w:eastAsiaTheme="majorEastAsia" w:hAnsi="Times New Roman"/>
          <w:iCs/>
          <w:lang w:val="sq-AL"/>
        </w:rPr>
        <w:t>formalizimin</w:t>
      </w:r>
      <w:proofErr w:type="spellEnd"/>
      <w:r w:rsidRPr="0015437A">
        <w:rPr>
          <w:rFonts w:ascii="Times New Roman" w:eastAsiaTheme="majorEastAsia" w:hAnsi="Times New Roman"/>
          <w:iCs/>
          <w:lang w:val="sq-AL"/>
        </w:rPr>
        <w:t xml:space="preserve"> e financimit të ekonomisë reale.</w:t>
      </w:r>
    </w:p>
    <w:p w14:paraId="79CB95A1" w14:textId="77777777" w:rsidR="007844BA" w:rsidRPr="0015437A" w:rsidRDefault="007844BA" w:rsidP="007844BA">
      <w:pPr>
        <w:pStyle w:val="BodyA"/>
        <w:numPr>
          <w:ilvl w:val="0"/>
          <w:numId w:val="32"/>
        </w:numPr>
        <w:spacing w:line="276" w:lineRule="auto"/>
        <w:ind w:right="20"/>
        <w:jc w:val="both"/>
        <w:rPr>
          <w:rFonts w:ascii="Times New Roman" w:eastAsiaTheme="majorEastAsia" w:hAnsi="Times New Roman"/>
          <w:iCs/>
          <w:lang w:val="sq-AL"/>
        </w:rPr>
      </w:pPr>
      <w:r w:rsidRPr="0015437A">
        <w:rPr>
          <w:rFonts w:ascii="Times New Roman" w:eastAsiaTheme="majorEastAsia" w:hAnsi="Times New Roman"/>
          <w:iCs/>
          <w:lang w:val="sq-AL"/>
        </w:rPr>
        <w:t xml:space="preserve">Nxit </w:t>
      </w:r>
      <w:proofErr w:type="spellStart"/>
      <w:r w:rsidRPr="0015437A">
        <w:rPr>
          <w:rFonts w:ascii="Times New Roman" w:eastAsiaTheme="majorEastAsia" w:hAnsi="Times New Roman"/>
          <w:iCs/>
          <w:lang w:val="sq-AL"/>
        </w:rPr>
        <w:t>listimet</w:t>
      </w:r>
      <w:proofErr w:type="spellEnd"/>
      <w:r w:rsidRPr="0015437A">
        <w:rPr>
          <w:rFonts w:ascii="Times New Roman" w:eastAsiaTheme="majorEastAsia" w:hAnsi="Times New Roman"/>
          <w:iCs/>
          <w:lang w:val="sq-AL"/>
        </w:rPr>
        <w:t xml:space="preserve"> dhe financimin përmes kapitalit vendas në vend të mbështetjes ekskluzive te kreditimi bankar, duke mbështetur objektivat e rritjes ekonomike dhe </w:t>
      </w:r>
      <w:proofErr w:type="spellStart"/>
      <w:r w:rsidRPr="0015437A">
        <w:rPr>
          <w:rFonts w:ascii="Times New Roman" w:eastAsiaTheme="majorEastAsia" w:hAnsi="Times New Roman"/>
          <w:iCs/>
          <w:lang w:val="sq-AL"/>
        </w:rPr>
        <w:t>konkurrueshmërisë</w:t>
      </w:r>
      <w:proofErr w:type="spellEnd"/>
      <w:r w:rsidRPr="0015437A">
        <w:rPr>
          <w:rFonts w:ascii="Times New Roman" w:eastAsiaTheme="majorEastAsia" w:hAnsi="Times New Roman"/>
          <w:iCs/>
          <w:lang w:val="sq-AL"/>
        </w:rPr>
        <w:t>.</w:t>
      </w:r>
    </w:p>
    <w:p w14:paraId="123843A4" w14:textId="77777777" w:rsidR="007844BA" w:rsidRPr="0015437A" w:rsidRDefault="007844BA" w:rsidP="007844BA">
      <w:pPr>
        <w:pStyle w:val="BodyA"/>
        <w:spacing w:line="276" w:lineRule="auto"/>
        <w:ind w:right="20"/>
        <w:jc w:val="both"/>
        <w:rPr>
          <w:rFonts w:ascii="Times New Roman" w:eastAsiaTheme="majorEastAsia" w:hAnsi="Times New Roman"/>
          <w:b/>
          <w:bCs/>
          <w:iCs/>
          <w:lang w:val="sq-AL"/>
        </w:rPr>
      </w:pPr>
    </w:p>
    <w:p w14:paraId="1387B1B0" w14:textId="5A1BD1A2" w:rsidR="007844BA" w:rsidRDefault="007844BA" w:rsidP="00421868">
      <w:pPr>
        <w:pStyle w:val="BodyA"/>
        <w:numPr>
          <w:ilvl w:val="0"/>
          <w:numId w:val="31"/>
        </w:numPr>
        <w:spacing w:line="276" w:lineRule="auto"/>
        <w:ind w:right="20"/>
        <w:jc w:val="both"/>
        <w:rPr>
          <w:rFonts w:ascii="Times New Roman" w:eastAsiaTheme="majorEastAsia" w:hAnsi="Times New Roman"/>
          <w:b/>
          <w:i/>
          <w:lang w:val="sq-AL"/>
        </w:rPr>
      </w:pPr>
      <w:r w:rsidRPr="008D1B39">
        <w:rPr>
          <w:rFonts w:ascii="Times New Roman" w:eastAsiaTheme="majorEastAsia" w:hAnsi="Times New Roman"/>
          <w:b/>
          <w:i/>
          <w:lang w:val="sq-AL"/>
        </w:rPr>
        <w:t>Rendisni punën ekzistuese që është realizuar tashmë</w:t>
      </w:r>
    </w:p>
    <w:p w14:paraId="57B86EE0" w14:textId="77777777" w:rsidR="007844BA" w:rsidRPr="008D1B39" w:rsidRDefault="007844BA" w:rsidP="007844BA">
      <w:pPr>
        <w:pStyle w:val="BodyA"/>
        <w:spacing w:line="276" w:lineRule="auto"/>
        <w:ind w:right="20"/>
        <w:jc w:val="both"/>
        <w:rPr>
          <w:rFonts w:ascii="Times New Roman" w:eastAsiaTheme="majorEastAsia" w:hAnsi="Times New Roman"/>
          <w:b/>
          <w:i/>
          <w:lang w:val="sq-AL"/>
        </w:rPr>
      </w:pPr>
    </w:p>
    <w:p w14:paraId="59825B38" w14:textId="77777777" w:rsidR="007844BA" w:rsidRPr="0015437A" w:rsidRDefault="007844BA" w:rsidP="007844BA">
      <w:pPr>
        <w:pStyle w:val="BodyA"/>
        <w:numPr>
          <w:ilvl w:val="0"/>
          <w:numId w:val="32"/>
        </w:numPr>
        <w:spacing w:line="276" w:lineRule="auto"/>
        <w:ind w:right="20"/>
        <w:jc w:val="both"/>
        <w:rPr>
          <w:rFonts w:ascii="Times New Roman" w:eastAsiaTheme="majorEastAsia" w:hAnsi="Times New Roman"/>
          <w:iCs/>
          <w:lang w:val="sq-AL"/>
        </w:rPr>
      </w:pPr>
      <w:r w:rsidRPr="0015437A">
        <w:rPr>
          <w:rFonts w:ascii="Times New Roman" w:eastAsiaTheme="majorEastAsia" w:hAnsi="Times New Roman"/>
          <w:iCs/>
          <w:lang w:val="sq-AL"/>
        </w:rPr>
        <w:t>Është hartuar raporti dhe tabela e analizës së boshllëqeve duke identifikuar boshllëqet dhe mënyrën e adresimit të tyre.</w:t>
      </w:r>
    </w:p>
    <w:p w14:paraId="78F256FF" w14:textId="77777777" w:rsidR="007844BA" w:rsidRPr="0015437A" w:rsidRDefault="007844BA" w:rsidP="007844BA">
      <w:pPr>
        <w:pStyle w:val="BodyA"/>
        <w:numPr>
          <w:ilvl w:val="0"/>
          <w:numId w:val="32"/>
        </w:numPr>
        <w:spacing w:line="276" w:lineRule="auto"/>
        <w:ind w:right="20"/>
        <w:jc w:val="both"/>
        <w:rPr>
          <w:rFonts w:ascii="Times New Roman" w:eastAsiaTheme="majorEastAsia" w:hAnsi="Times New Roman"/>
          <w:iCs/>
          <w:lang w:val="sq-AL"/>
        </w:rPr>
      </w:pPr>
      <w:r w:rsidRPr="0015437A">
        <w:rPr>
          <w:rFonts w:ascii="Times New Roman" w:eastAsiaTheme="majorEastAsia" w:hAnsi="Times New Roman"/>
          <w:iCs/>
          <w:lang w:val="sq-AL"/>
        </w:rPr>
        <w:t>Është hartuar projektligji që ndryshon dhe plotëson ligjin nr. 10 236, datë 18.02.2010 (“Për ofertat e marrjes në kontroll”), duke reflektuar nen për nen kërkesat materiale të Direktivës 2004/25/EC.</w:t>
      </w:r>
    </w:p>
    <w:p w14:paraId="040064CF" w14:textId="77777777" w:rsidR="007844BA" w:rsidRPr="0015437A" w:rsidRDefault="007844BA" w:rsidP="007844BA">
      <w:pPr>
        <w:pStyle w:val="BodyA"/>
        <w:numPr>
          <w:ilvl w:val="0"/>
          <w:numId w:val="32"/>
        </w:numPr>
        <w:spacing w:line="276" w:lineRule="auto"/>
        <w:ind w:right="20"/>
        <w:jc w:val="both"/>
        <w:rPr>
          <w:rFonts w:ascii="Times New Roman" w:eastAsiaTheme="majorEastAsia" w:hAnsi="Times New Roman"/>
          <w:iCs/>
          <w:lang w:val="sq-AL"/>
        </w:rPr>
      </w:pPr>
      <w:r w:rsidRPr="0015437A">
        <w:rPr>
          <w:rFonts w:ascii="Times New Roman" w:eastAsiaTheme="majorEastAsia" w:hAnsi="Times New Roman"/>
          <w:iCs/>
          <w:lang w:val="sq-AL"/>
        </w:rPr>
        <w:t>Është përgatitur relacioni shpjegues.</w:t>
      </w:r>
    </w:p>
    <w:p w14:paraId="1E280988" w14:textId="77777777" w:rsidR="007844BA" w:rsidRPr="0015437A" w:rsidRDefault="007844BA" w:rsidP="007844BA">
      <w:pPr>
        <w:pStyle w:val="BodyA"/>
        <w:numPr>
          <w:ilvl w:val="0"/>
          <w:numId w:val="32"/>
        </w:numPr>
        <w:spacing w:after="160" w:line="259" w:lineRule="auto"/>
        <w:ind w:right="20"/>
        <w:jc w:val="both"/>
        <w:rPr>
          <w:rFonts w:eastAsiaTheme="minorHAnsi"/>
          <w:iCs/>
          <w:lang w:val="sq-AL" w:eastAsia="en-US"/>
        </w:rPr>
      </w:pPr>
      <w:r w:rsidRPr="0015437A">
        <w:rPr>
          <w:rFonts w:ascii="Times New Roman" w:eastAsiaTheme="majorEastAsia" w:hAnsi="Times New Roman"/>
          <w:iCs/>
          <w:lang w:val="sq-AL"/>
        </w:rPr>
        <w:t xml:space="preserve">Është hartuar tabela e përputhshmërisë. </w:t>
      </w:r>
    </w:p>
    <w:p w14:paraId="264D3D2E" w14:textId="2CAFECFE" w:rsidR="00AC29B4" w:rsidRPr="001155AF" w:rsidRDefault="00AC29B4" w:rsidP="00CF2ADA">
      <w:pPr>
        <w:spacing w:before="240"/>
        <w:jc w:val="both"/>
        <w:rPr>
          <w:color w:val="808080" w:themeColor="background1" w:themeShade="80"/>
          <w:lang w:val="it-IT"/>
        </w:rPr>
      </w:pPr>
      <w:r w:rsidRPr="00AC29B4">
        <w:rPr>
          <w:color w:val="808080" w:themeColor="background1" w:themeShade="80"/>
          <w:lang w:val="sq-AL"/>
        </w:rPr>
        <w:t>.</w:t>
      </w:r>
      <w:r w:rsidRPr="001155AF">
        <w:rPr>
          <w:lang w:val="it-IT"/>
        </w:rPr>
        <w:t xml:space="preserve"> </w:t>
      </w:r>
    </w:p>
    <w:p w14:paraId="6B360632" w14:textId="7C30DDBB" w:rsidR="002125B7" w:rsidRPr="00325A1F" w:rsidRDefault="00FF616D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Objektivi i pol</w:t>
      </w:r>
      <w:r w:rsidR="009E64A4" w:rsidRPr="00325A1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2125B7" w:rsidRPr="00325A1F">
        <w:rPr>
          <w:rFonts w:ascii="Times New Roman" w:hAnsi="Times New Roman" w:cs="Times New Roman"/>
          <w:sz w:val="24"/>
          <w:szCs w:val="24"/>
          <w:lang w:val="sq-AL"/>
        </w:rPr>
        <w:t>tikës</w:t>
      </w:r>
      <w:bookmarkEnd w:id="11"/>
    </w:p>
    <w:sdt>
      <w:sdtPr>
        <w:rPr>
          <w:rFonts w:ascii="Times New Roman" w:hAnsi="Times New Roman"/>
          <w:sz w:val="24"/>
          <w:szCs w:val="24"/>
          <w:lang w:val="sq-AL"/>
        </w:rPr>
        <w:id w:val="-531503755"/>
        <w:lock w:val="contentLocked"/>
        <w:placeholder>
          <w:docPart w:val="DefaultPlaceholder_1081868574"/>
        </w:placeholder>
      </w:sdtPr>
      <w:sdtEndPr/>
      <w:sdtContent>
        <w:p w14:paraId="741CBAEE" w14:textId="77777777" w:rsidR="009E64A4" w:rsidRPr="0032145B" w:rsidRDefault="009E64A4" w:rsidP="009D13F4">
          <w:pPr>
            <w:pStyle w:val="ListParagraph"/>
            <w:numPr>
              <w:ilvl w:val="0"/>
              <w:numId w:val="30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Vendosni objektiva që korrespondojnë me problemin dhe shkaqet e tij.</w:t>
          </w:r>
        </w:p>
        <w:p w14:paraId="0D3C43DC" w14:textId="77777777" w:rsidR="009E64A4" w:rsidRPr="0032145B" w:rsidRDefault="009E64A4" w:rsidP="009D13F4">
          <w:pPr>
            <w:pStyle w:val="ListParagraph"/>
            <w:numPr>
              <w:ilvl w:val="0"/>
              <w:numId w:val="30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Sigurohuni që objektivat e vendosur të korrespondojnë me ato të dhëna në përmbledhjen ekzekutive, por më të detajuara. </w:t>
          </w:r>
        </w:p>
        <w:p w14:paraId="7A8705C6" w14:textId="3E5C82C2" w:rsidR="009E64A4" w:rsidRPr="00325A1F" w:rsidRDefault="009E64A4" w:rsidP="009D13F4">
          <w:pPr>
            <w:pStyle w:val="ListParagraph"/>
            <w:numPr>
              <w:ilvl w:val="0"/>
              <w:numId w:val="30"/>
            </w:numPr>
            <w:spacing w:after="0" w:line="276" w:lineRule="auto"/>
            <w:rPr>
              <w:rFonts w:ascii="Times New Roman" w:hAnsi="Times New Roman"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Sigurohuni që objektivat janë specifikë, të matshëm, të arritshëm, realë dhe në kohë.</w:t>
          </w:r>
        </w:p>
      </w:sdtContent>
    </w:sdt>
    <w:p w14:paraId="221DFEA1" w14:textId="45ADBE1D" w:rsidR="00563378" w:rsidRDefault="00AD3B0C" w:rsidP="00CF2ADA">
      <w:pPr>
        <w:spacing w:before="240"/>
        <w:jc w:val="both"/>
        <w:rPr>
          <w:rFonts w:eastAsiaTheme="majorEastAsia"/>
          <w:color w:val="808080" w:themeColor="background1" w:themeShade="80"/>
          <w:lang w:val="sq-AL"/>
        </w:rPr>
      </w:pPr>
      <w:sdt>
        <w:sdtPr>
          <w:rPr>
            <w:rFonts w:eastAsiaTheme="majorEastAsia"/>
            <w:color w:val="808080" w:themeColor="background1" w:themeShade="80"/>
          </w:rPr>
          <w:id w:val="-411319569"/>
          <w:placeholder>
            <w:docPart w:val="1B5742A7A4F94DA1B86FBACFB3D31E60"/>
          </w:placeholder>
        </w:sdtPr>
        <w:sdtEndPr/>
        <w:sdtContent>
          <w:r w:rsidR="00563378" w:rsidRPr="001155AF">
            <w:rPr>
              <w:rFonts w:eastAsiaTheme="majorEastAsia"/>
              <w:color w:val="808080" w:themeColor="background1" w:themeShade="80"/>
              <w:lang w:val="sq-AL"/>
            </w:rPr>
            <w:t xml:space="preserve">Shkruani </w:t>
          </w:r>
          <w:proofErr w:type="spellStart"/>
          <w:r w:rsidR="00563378" w:rsidRPr="001155AF">
            <w:rPr>
              <w:rFonts w:eastAsiaTheme="majorEastAsia"/>
              <w:color w:val="808080" w:themeColor="background1" w:themeShade="80"/>
              <w:lang w:val="sq-AL"/>
            </w:rPr>
            <w:t>teksin</w:t>
          </w:r>
          <w:proofErr w:type="spellEnd"/>
          <w:r w:rsidR="00563378" w:rsidRPr="001155AF">
            <w:rPr>
              <w:rFonts w:eastAsiaTheme="majorEastAsia"/>
              <w:color w:val="808080" w:themeColor="background1" w:themeShade="80"/>
              <w:lang w:val="sq-AL"/>
            </w:rPr>
            <w:t xml:space="preserve"> këtu</w:t>
          </w:r>
        </w:sdtContent>
      </w:sdt>
      <w:r w:rsidR="00563378" w:rsidRPr="001155AF">
        <w:rPr>
          <w:rFonts w:eastAsiaTheme="majorEastAsia"/>
          <w:color w:val="808080" w:themeColor="background1" w:themeShade="80"/>
          <w:lang w:val="sq-AL"/>
        </w:rPr>
        <w:t>.</w:t>
      </w:r>
    </w:p>
    <w:p w14:paraId="5DF2C436" w14:textId="77777777" w:rsidR="00AF5EF5" w:rsidRDefault="00AF5EF5" w:rsidP="00AF5EF5">
      <w:pPr>
        <w:jc w:val="both"/>
        <w:rPr>
          <w:rFonts w:eastAsiaTheme="minorHAnsi"/>
          <w:color w:val="000000"/>
          <w:szCs w:val="22"/>
          <w:lang w:val="sq-AL"/>
        </w:rPr>
      </w:pPr>
      <w:r>
        <w:rPr>
          <w:rFonts w:eastAsiaTheme="minorHAnsi"/>
          <w:color w:val="000000"/>
          <w:szCs w:val="22"/>
          <w:lang w:val="sq-AL"/>
        </w:rPr>
        <w:t xml:space="preserve">Objektivat kryesore janë: </w:t>
      </w:r>
    </w:p>
    <w:p w14:paraId="455E442D" w14:textId="77777777" w:rsidR="00AF5EF5" w:rsidRDefault="00AF5EF5" w:rsidP="00AF5EF5">
      <w:pPr>
        <w:jc w:val="both"/>
        <w:rPr>
          <w:rFonts w:eastAsiaTheme="minorHAnsi"/>
          <w:color w:val="000000"/>
          <w:szCs w:val="22"/>
          <w:lang w:val="sq-AL"/>
        </w:rPr>
      </w:pPr>
    </w:p>
    <w:p w14:paraId="4C6A5627" w14:textId="77777777" w:rsidR="00AF5EF5" w:rsidRPr="00EB26E3" w:rsidRDefault="00AF5EF5" w:rsidP="00AF5EF5">
      <w:pPr>
        <w:numPr>
          <w:ilvl w:val="0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proofErr w:type="spellStart"/>
      <w:r w:rsidRPr="00EB26E3">
        <w:rPr>
          <w:rFonts w:eastAsiaTheme="minorHAnsi"/>
          <w:color w:val="000000"/>
          <w:szCs w:val="22"/>
          <w:lang w:val="en-US"/>
        </w:rPr>
        <w:t>Përafrimi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plotë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material me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Direktivën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2004/25/EC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deri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kohën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e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dorëzimit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paketës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Komisionin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Evropian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(Q1/2026)</w:t>
      </w:r>
    </w:p>
    <w:p w14:paraId="2677EDE9" w14:textId="77777777" w:rsidR="00AF5EF5" w:rsidRPr="004E4649" w:rsidRDefault="00AF5EF5" w:rsidP="00AF5EF5">
      <w:pPr>
        <w:numPr>
          <w:ilvl w:val="1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proofErr w:type="spellStart"/>
      <w:r w:rsidRPr="004E4649">
        <w:rPr>
          <w:rFonts w:eastAsiaTheme="minorHAnsi"/>
          <w:color w:val="000000"/>
          <w:szCs w:val="22"/>
          <w:lang w:val="en-US"/>
        </w:rPr>
        <w:t>Qëllimi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: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adresohen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boshllëqet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ligjore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aktuale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(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çmimi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drejtë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,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mbrojtja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e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aksionarëve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minoritarë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,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masat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mbrojtëse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bordit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,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procedurat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ndërkufitare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>).</w:t>
      </w:r>
    </w:p>
    <w:p w14:paraId="61EED205" w14:textId="77777777" w:rsidR="00AF5EF5" w:rsidRDefault="00AF5EF5" w:rsidP="00AF5EF5">
      <w:pPr>
        <w:numPr>
          <w:ilvl w:val="1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proofErr w:type="spellStart"/>
      <w:r w:rsidRPr="004E4649">
        <w:rPr>
          <w:rFonts w:eastAsiaTheme="minorHAnsi"/>
          <w:color w:val="000000"/>
          <w:szCs w:val="22"/>
          <w:lang w:val="en-US"/>
        </w:rPr>
        <w:lastRenderedPageBreak/>
        <w:t>Matëshmëria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: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tabela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e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përputhshmërisë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nen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për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nen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tregojë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“F – fully aligned”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për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dispozitat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thelbësore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direktivës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>.</w:t>
      </w:r>
    </w:p>
    <w:p w14:paraId="010D5232" w14:textId="77777777" w:rsidR="00EB26E3" w:rsidRPr="004E4649" w:rsidRDefault="00EB26E3" w:rsidP="00EB26E3">
      <w:pPr>
        <w:ind w:left="1440"/>
        <w:jc w:val="both"/>
        <w:rPr>
          <w:rFonts w:eastAsiaTheme="minorHAnsi"/>
          <w:color w:val="000000"/>
          <w:szCs w:val="22"/>
          <w:lang w:val="en-US"/>
        </w:rPr>
      </w:pPr>
    </w:p>
    <w:p w14:paraId="21FBE382" w14:textId="77777777" w:rsidR="00AF5EF5" w:rsidRPr="00EB26E3" w:rsidRDefault="00AF5EF5" w:rsidP="00AF5EF5">
      <w:pPr>
        <w:numPr>
          <w:ilvl w:val="0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proofErr w:type="spellStart"/>
      <w:r w:rsidRPr="00EB26E3">
        <w:rPr>
          <w:rFonts w:eastAsiaTheme="minorHAnsi"/>
          <w:color w:val="000000"/>
          <w:szCs w:val="22"/>
          <w:lang w:val="en-US"/>
        </w:rPr>
        <w:t>Rritja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e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sigurisë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juridike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dhe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transparencës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ofertat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e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marrjes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kontroll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,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brenda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vitit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parë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nga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hyrja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fuqi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e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ligjit</w:t>
      </w:r>
      <w:proofErr w:type="spellEnd"/>
    </w:p>
    <w:p w14:paraId="5753B5F6" w14:textId="77777777" w:rsidR="00AF5EF5" w:rsidRPr="004E4649" w:rsidRDefault="00AF5EF5" w:rsidP="00AF5EF5">
      <w:pPr>
        <w:numPr>
          <w:ilvl w:val="1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proofErr w:type="spellStart"/>
      <w:r w:rsidRPr="004E4649">
        <w:rPr>
          <w:rFonts w:eastAsiaTheme="minorHAnsi"/>
          <w:color w:val="000000"/>
          <w:szCs w:val="22"/>
          <w:lang w:val="en-US"/>
        </w:rPr>
        <w:t>Qëllimi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: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çdo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ofertë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zhvillohet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sipas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afateve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,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procedurës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dhe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dokumentimit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standardizuar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;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mos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ketë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pasiguri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mbi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kompetencën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e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autoritetit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mbikëqyrës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rastet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ndërkufitare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>.</w:t>
      </w:r>
    </w:p>
    <w:p w14:paraId="41788000" w14:textId="77777777" w:rsidR="00AF5EF5" w:rsidRDefault="00AF5EF5" w:rsidP="00AF5EF5">
      <w:pPr>
        <w:numPr>
          <w:ilvl w:val="1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proofErr w:type="spellStart"/>
      <w:r w:rsidRPr="004E4649">
        <w:rPr>
          <w:rFonts w:eastAsiaTheme="minorHAnsi"/>
          <w:color w:val="000000"/>
          <w:szCs w:val="22"/>
          <w:lang w:val="en-US"/>
        </w:rPr>
        <w:t>Matëshmëria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: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miratimi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akteve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nënligjore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Autoritetit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dhe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përdorimi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tyre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si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referencë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operative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çdo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ofertë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>.</w:t>
      </w:r>
    </w:p>
    <w:p w14:paraId="2020B30C" w14:textId="77777777" w:rsidR="00EB26E3" w:rsidRPr="004E4649" w:rsidRDefault="00EB26E3" w:rsidP="00EB26E3">
      <w:pPr>
        <w:ind w:left="1440"/>
        <w:jc w:val="both"/>
        <w:rPr>
          <w:rFonts w:eastAsiaTheme="minorHAnsi"/>
          <w:color w:val="000000"/>
          <w:szCs w:val="22"/>
          <w:lang w:val="en-US"/>
        </w:rPr>
      </w:pPr>
    </w:p>
    <w:p w14:paraId="46D34D7A" w14:textId="77777777" w:rsidR="00AF5EF5" w:rsidRPr="00EB26E3" w:rsidRDefault="00AF5EF5" w:rsidP="00AF5EF5">
      <w:pPr>
        <w:numPr>
          <w:ilvl w:val="0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proofErr w:type="spellStart"/>
      <w:r w:rsidRPr="00EB26E3">
        <w:rPr>
          <w:rFonts w:eastAsiaTheme="minorHAnsi"/>
          <w:color w:val="000000"/>
          <w:szCs w:val="22"/>
          <w:lang w:val="en-US"/>
        </w:rPr>
        <w:t>Mbrojtje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efektive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e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aksionarëve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minoritarë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dhe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trajtim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barabartë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investitorëve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rast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ndryshimi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kontrolli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, duke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filluar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menjëherë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pas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hyrjes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fuqi</w:t>
      </w:r>
      <w:proofErr w:type="spellEnd"/>
    </w:p>
    <w:p w14:paraId="3350141E" w14:textId="77777777" w:rsidR="00AF5EF5" w:rsidRPr="004E4649" w:rsidRDefault="00AF5EF5" w:rsidP="00AF5EF5">
      <w:pPr>
        <w:numPr>
          <w:ilvl w:val="1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proofErr w:type="spellStart"/>
      <w:r w:rsidRPr="004E4649">
        <w:rPr>
          <w:rFonts w:eastAsiaTheme="minorHAnsi"/>
          <w:color w:val="000000"/>
          <w:szCs w:val="22"/>
          <w:lang w:val="en-US"/>
        </w:rPr>
        <w:t>Qëllimi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: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garantimi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çmimit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drejtë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(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përfshirë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rritje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automatike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çmimit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kur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ofertuesi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blen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më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shtrenjtë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gjatë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periudhës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së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ofertës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)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dhe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ushtrimi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praktik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drejtave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pas-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ofertës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(squeeze-out / sell-out).</w:t>
      </w:r>
    </w:p>
    <w:p w14:paraId="222091BA" w14:textId="77777777" w:rsidR="00AF5EF5" w:rsidRDefault="00AF5EF5" w:rsidP="00AF5EF5">
      <w:pPr>
        <w:numPr>
          <w:ilvl w:val="1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proofErr w:type="spellStart"/>
      <w:r w:rsidRPr="004E4649">
        <w:rPr>
          <w:rFonts w:eastAsiaTheme="minorHAnsi"/>
          <w:color w:val="000000"/>
          <w:szCs w:val="22"/>
          <w:lang w:val="en-US"/>
        </w:rPr>
        <w:t>Matëshmëria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: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çdo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ofertë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,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çmimi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ofruar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nuk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bie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nën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nivelin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më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lartë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blerjeve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paralele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ofertuesit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>.</w:t>
      </w:r>
    </w:p>
    <w:p w14:paraId="507D0424" w14:textId="77777777" w:rsidR="00EB26E3" w:rsidRPr="004E4649" w:rsidRDefault="00EB26E3" w:rsidP="00EB26E3">
      <w:pPr>
        <w:ind w:left="1440"/>
        <w:jc w:val="both"/>
        <w:rPr>
          <w:rFonts w:eastAsiaTheme="minorHAnsi"/>
          <w:color w:val="000000"/>
          <w:szCs w:val="22"/>
          <w:lang w:val="en-US"/>
        </w:rPr>
      </w:pPr>
    </w:p>
    <w:p w14:paraId="56834358" w14:textId="77777777" w:rsidR="00AF5EF5" w:rsidRPr="00EB26E3" w:rsidRDefault="00AF5EF5" w:rsidP="00AF5EF5">
      <w:pPr>
        <w:numPr>
          <w:ilvl w:val="0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proofErr w:type="spellStart"/>
      <w:r w:rsidRPr="00EB26E3">
        <w:rPr>
          <w:rFonts w:eastAsiaTheme="minorHAnsi"/>
          <w:color w:val="000000"/>
          <w:szCs w:val="22"/>
          <w:lang w:val="en-US"/>
        </w:rPr>
        <w:t>Funksionimi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mekanizmave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raportimit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dhe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transparencës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ndërkombëtare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(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Komisioni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Evropian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dhe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ESAP)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deri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më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2030</w:t>
      </w:r>
    </w:p>
    <w:p w14:paraId="04BB5858" w14:textId="77777777" w:rsidR="00AF5EF5" w:rsidRPr="004E4649" w:rsidRDefault="00AF5EF5" w:rsidP="00AF5EF5">
      <w:pPr>
        <w:numPr>
          <w:ilvl w:val="1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proofErr w:type="spellStart"/>
      <w:r w:rsidRPr="004E4649">
        <w:rPr>
          <w:rFonts w:eastAsiaTheme="minorHAnsi"/>
          <w:color w:val="000000"/>
          <w:szCs w:val="22"/>
          <w:lang w:val="en-US"/>
        </w:rPr>
        <w:t>Qëllimi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: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Autoriteti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jetë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gjendje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raportojë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vjetor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Komisioni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dhe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depozitojë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informacionet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ESAP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formate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lexueshme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nga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makina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>.</w:t>
      </w:r>
    </w:p>
    <w:p w14:paraId="2238E57D" w14:textId="77777777" w:rsidR="00AF5EF5" w:rsidRDefault="00AF5EF5" w:rsidP="00AF5EF5">
      <w:pPr>
        <w:numPr>
          <w:ilvl w:val="1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proofErr w:type="spellStart"/>
      <w:r w:rsidRPr="004E4649">
        <w:rPr>
          <w:rFonts w:eastAsiaTheme="minorHAnsi"/>
          <w:color w:val="000000"/>
          <w:szCs w:val="22"/>
          <w:lang w:val="en-US"/>
        </w:rPr>
        <w:t>Matëshmëria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: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ngritja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e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rrjedhës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institucionale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(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raport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vjetor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,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depozitimi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elektronik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me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metatëdhëna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standarde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>).</w:t>
      </w:r>
    </w:p>
    <w:p w14:paraId="6C5E2844" w14:textId="77777777" w:rsidR="00EB26E3" w:rsidRPr="004E4649" w:rsidRDefault="00EB26E3" w:rsidP="00EB26E3">
      <w:pPr>
        <w:ind w:left="1440"/>
        <w:jc w:val="both"/>
        <w:rPr>
          <w:rFonts w:eastAsiaTheme="minorHAnsi"/>
          <w:color w:val="000000"/>
          <w:szCs w:val="22"/>
          <w:lang w:val="en-US"/>
        </w:rPr>
      </w:pPr>
    </w:p>
    <w:p w14:paraId="7BC8A4C1" w14:textId="77777777" w:rsidR="00AF5EF5" w:rsidRPr="00EB26E3" w:rsidRDefault="00AF5EF5" w:rsidP="00AF5EF5">
      <w:pPr>
        <w:numPr>
          <w:ilvl w:val="0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r w:rsidRPr="00EB26E3">
        <w:rPr>
          <w:rFonts w:eastAsiaTheme="minorHAnsi"/>
          <w:color w:val="000000"/>
          <w:szCs w:val="22"/>
          <w:lang w:val="en-US"/>
        </w:rPr>
        <w:t xml:space="preserve">Krijimi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kushteve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rregullatore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që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nxisin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përdorimin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e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tregut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kapitaleve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si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burim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financimi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për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shoqëritë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shqiptare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,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horizontin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EB26E3">
        <w:rPr>
          <w:rFonts w:eastAsiaTheme="minorHAnsi"/>
          <w:color w:val="000000"/>
          <w:szCs w:val="22"/>
          <w:lang w:val="en-US"/>
        </w:rPr>
        <w:t>politik</w:t>
      </w:r>
      <w:proofErr w:type="spellEnd"/>
      <w:r w:rsidRPr="00EB26E3">
        <w:rPr>
          <w:rFonts w:eastAsiaTheme="minorHAnsi"/>
          <w:color w:val="000000"/>
          <w:szCs w:val="22"/>
          <w:lang w:val="en-US"/>
        </w:rPr>
        <w:t xml:space="preserve"> 2030</w:t>
      </w:r>
    </w:p>
    <w:p w14:paraId="5B6570BB" w14:textId="77777777" w:rsidR="00AF5EF5" w:rsidRPr="004E4649" w:rsidRDefault="00AF5EF5" w:rsidP="00AF5EF5">
      <w:pPr>
        <w:numPr>
          <w:ilvl w:val="1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proofErr w:type="spellStart"/>
      <w:r w:rsidRPr="004E4649">
        <w:rPr>
          <w:rFonts w:eastAsiaTheme="minorHAnsi"/>
          <w:color w:val="000000"/>
          <w:szCs w:val="22"/>
          <w:lang w:val="en-US"/>
        </w:rPr>
        <w:t>Qëllimi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: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rritet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gatishmëria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e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shoqërive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për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listim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dhe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transaksione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transparente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,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vend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marrëveshjeve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private jo-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transparente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>.</w:t>
      </w:r>
    </w:p>
    <w:p w14:paraId="2982A676" w14:textId="6FC00644" w:rsidR="00AF5EF5" w:rsidRPr="003B7F9E" w:rsidRDefault="00AF5EF5" w:rsidP="003B7F9E">
      <w:pPr>
        <w:numPr>
          <w:ilvl w:val="1"/>
          <w:numId w:val="36"/>
        </w:numPr>
        <w:jc w:val="both"/>
        <w:rPr>
          <w:rFonts w:eastAsiaTheme="minorHAnsi"/>
          <w:color w:val="000000"/>
          <w:szCs w:val="22"/>
          <w:lang w:val="en-US"/>
        </w:rPr>
      </w:pPr>
      <w:proofErr w:type="spellStart"/>
      <w:r w:rsidRPr="004E4649">
        <w:rPr>
          <w:rFonts w:eastAsiaTheme="minorHAnsi"/>
          <w:color w:val="000000"/>
          <w:szCs w:val="22"/>
          <w:lang w:val="en-US"/>
        </w:rPr>
        <w:t>Matëshmëria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: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rritje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e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numrit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shoqërive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që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shqyrtojnë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listimin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ose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përdorin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aksionin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si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instrument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transaksioni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(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ofertë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publike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,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marrëveshje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kontrolli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të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4E4649">
        <w:rPr>
          <w:rFonts w:eastAsiaTheme="minorHAnsi"/>
          <w:color w:val="000000"/>
          <w:szCs w:val="22"/>
          <w:lang w:val="en-US"/>
        </w:rPr>
        <w:t>formalizuara</w:t>
      </w:r>
      <w:proofErr w:type="spellEnd"/>
      <w:r w:rsidRPr="004E4649">
        <w:rPr>
          <w:rFonts w:eastAsiaTheme="minorHAnsi"/>
          <w:color w:val="000000"/>
          <w:szCs w:val="22"/>
          <w:lang w:val="en-US"/>
        </w:rPr>
        <w:t>).</w:t>
      </w:r>
    </w:p>
    <w:p w14:paraId="7B42B565" w14:textId="77777777" w:rsidR="002125B7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Përshkrimi i opsioneve të shqyrtuara</w:t>
      </w:r>
    </w:p>
    <w:sdt>
      <w:sdtPr>
        <w:rPr>
          <w:rFonts w:ascii="Times New Roman" w:hAnsi="Times New Roman"/>
          <w:sz w:val="24"/>
          <w:szCs w:val="24"/>
          <w:lang w:val="sq-AL"/>
        </w:rPr>
        <w:id w:val="483215"/>
        <w:lock w:val="contentLocked"/>
        <w:placeholder>
          <w:docPart w:val="DefaultPlaceholder_1081868574"/>
        </w:placeholder>
      </w:sdtPr>
      <w:sdtEndPr>
        <w:rPr>
          <w:i/>
        </w:rPr>
      </w:sdtEndPr>
      <w:sdtContent>
        <w:p w14:paraId="023513BA" w14:textId="77777777" w:rsidR="009E64A4" w:rsidRPr="0032145B" w:rsidRDefault="009E64A4" w:rsidP="009D13F4">
          <w:pPr>
            <w:pStyle w:val="ListParagraph"/>
            <w:numPr>
              <w:ilvl w:val="0"/>
              <w:numId w:val="28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Përshkruani opsionin e status quo-së. </w:t>
          </w:r>
        </w:p>
        <w:p w14:paraId="49427CE5" w14:textId="77777777" w:rsidR="009E64A4" w:rsidRPr="0032145B" w:rsidRDefault="009E64A4" w:rsidP="009D13F4">
          <w:pPr>
            <w:pStyle w:val="ListParagraph"/>
            <w:numPr>
              <w:ilvl w:val="0"/>
              <w:numId w:val="28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Identifikoni dhe përshkruani të gjitha opsionet e politikave që keni marrë parasysh.</w:t>
          </w:r>
        </w:p>
        <w:p w14:paraId="75A3EFFB" w14:textId="7716EBDA" w:rsidR="009E64A4" w:rsidRPr="0032145B" w:rsidRDefault="009E64A4" w:rsidP="009D13F4">
          <w:pPr>
            <w:pStyle w:val="ListParagraph"/>
            <w:numPr>
              <w:ilvl w:val="0"/>
              <w:numId w:val="28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Shpjegoni se si janë identifikuar opsionet e politikës.  </w:t>
          </w:r>
        </w:p>
      </w:sdtContent>
    </w:sdt>
    <w:p w14:paraId="2892DCDD" w14:textId="65FF11BF" w:rsidR="00563378" w:rsidRDefault="00AD3B0C" w:rsidP="00CF2ADA">
      <w:pPr>
        <w:spacing w:before="240"/>
        <w:jc w:val="both"/>
        <w:rPr>
          <w:rFonts w:eastAsiaTheme="majorEastAsia"/>
          <w:color w:val="808080" w:themeColor="background1" w:themeShade="80"/>
          <w:lang w:val="it-IT"/>
        </w:rPr>
      </w:pPr>
      <w:sdt>
        <w:sdtPr>
          <w:rPr>
            <w:rFonts w:eastAsiaTheme="majorEastAsia"/>
            <w:color w:val="808080" w:themeColor="background1" w:themeShade="80"/>
          </w:rPr>
          <w:id w:val="1247768188"/>
          <w:placeholder>
            <w:docPart w:val="094A48B080684960BF3A114CBE910244"/>
          </w:placeholder>
        </w:sdtPr>
        <w:sdtEndPr/>
        <w:sdtContent>
          <w:r w:rsidR="00563378" w:rsidRPr="001155AF">
            <w:rPr>
              <w:rFonts w:eastAsiaTheme="majorEastAsia"/>
              <w:color w:val="808080" w:themeColor="background1" w:themeShade="80"/>
              <w:lang w:val="it-IT"/>
            </w:rPr>
            <w:t>Shkruani teksin këtu</w:t>
          </w:r>
        </w:sdtContent>
      </w:sdt>
      <w:r w:rsidR="00563378" w:rsidRPr="001155AF">
        <w:rPr>
          <w:rFonts w:eastAsiaTheme="majorEastAsia"/>
          <w:color w:val="808080" w:themeColor="background1" w:themeShade="80"/>
          <w:lang w:val="it-IT"/>
        </w:rPr>
        <w:t>.</w:t>
      </w:r>
    </w:p>
    <w:p w14:paraId="0429CC70" w14:textId="77777777" w:rsidR="00D21431" w:rsidRDefault="00D21431" w:rsidP="00D21431">
      <w:pPr>
        <w:pStyle w:val="BodyA"/>
        <w:spacing w:line="276" w:lineRule="auto"/>
        <w:ind w:right="20"/>
        <w:jc w:val="both"/>
        <w:rPr>
          <w:rFonts w:ascii="Times New Roman" w:hAnsi="Times New Roman" w:cs="Times New Roman"/>
          <w:b/>
          <w:lang w:val="sq-AL"/>
        </w:rPr>
      </w:pPr>
      <w:r w:rsidRPr="00296F01">
        <w:rPr>
          <w:rFonts w:ascii="Times New Roman" w:hAnsi="Times New Roman" w:cs="Times New Roman"/>
          <w:b/>
          <w:lang w:val="sq-AL"/>
        </w:rPr>
        <w:t xml:space="preserve">Opsioni 0 (status </w:t>
      </w:r>
      <w:proofErr w:type="spellStart"/>
      <w:r w:rsidRPr="00296F01">
        <w:rPr>
          <w:rFonts w:ascii="Times New Roman" w:hAnsi="Times New Roman" w:cs="Times New Roman"/>
          <w:b/>
          <w:lang w:val="sq-AL"/>
        </w:rPr>
        <w:t>quo</w:t>
      </w:r>
      <w:proofErr w:type="spellEnd"/>
      <w:r w:rsidRPr="00296F01">
        <w:rPr>
          <w:rFonts w:ascii="Times New Roman" w:hAnsi="Times New Roman" w:cs="Times New Roman"/>
          <w:b/>
          <w:lang w:val="sq-AL"/>
        </w:rPr>
        <w:t>):</w:t>
      </w:r>
      <w:r>
        <w:rPr>
          <w:rFonts w:ascii="Times New Roman" w:hAnsi="Times New Roman" w:cs="Times New Roman"/>
          <w:b/>
          <w:lang w:val="sq-AL"/>
        </w:rPr>
        <w:t xml:space="preserve"> </w:t>
      </w:r>
    </w:p>
    <w:p w14:paraId="52949D1C" w14:textId="77777777" w:rsidR="00D21431" w:rsidRDefault="00D21431" w:rsidP="00D21431">
      <w:pPr>
        <w:pStyle w:val="BodyA"/>
        <w:spacing w:line="276" w:lineRule="auto"/>
        <w:ind w:right="20"/>
        <w:jc w:val="both"/>
        <w:rPr>
          <w:rFonts w:ascii="Times New Roman" w:hAnsi="Times New Roman" w:cs="Times New Roman"/>
          <w:b/>
          <w:lang w:val="sq-AL"/>
        </w:rPr>
      </w:pPr>
    </w:p>
    <w:p w14:paraId="2A5C0C65" w14:textId="77777777" w:rsidR="00D21431" w:rsidRDefault="00D21431" w:rsidP="00D21431">
      <w:pPr>
        <w:pStyle w:val="BodyA"/>
        <w:spacing w:line="276" w:lineRule="auto"/>
        <w:ind w:right="20"/>
        <w:jc w:val="both"/>
        <w:rPr>
          <w:rFonts w:ascii="Times New Roman" w:hAnsi="Times New Roman" w:cs="Times New Roman"/>
          <w:b/>
          <w:lang w:val="sq-AL"/>
        </w:rPr>
      </w:pPr>
      <w:r w:rsidRPr="006922B9">
        <w:rPr>
          <w:rFonts w:ascii="Times New Roman" w:hAnsi="Times New Roman" w:cs="Times New Roman"/>
          <w:bCs/>
          <w:lang w:val="sq-AL"/>
        </w:rPr>
        <w:t xml:space="preserve">Mbajtja e kuadrit ekzistues ligjor (ligji nr. 10 236, datë 18.02.2010) pa ndryshime substanciale. Ky opsion do të thotë të lejohet që ofertat e marrjes në kontroll të vazhdojnë të trajtohen sipas rregullave aktuale për çmimin e drejtë, detyrimin për ofertë të detyrueshme dhe masat mbrojtëse të administratës së shoqërisë objekt. Ky opsion nuk adreson boshllëqet ndaj Direktivës 2004/25/EC, nuk krijon mekanizmat e nevojshëm për raportim te Komisioni Evropian dhe për depozitimin e informacionit në ESAP, dhe nuk qartëson kompetencën ndërkufitare të Autoritetit të Mbikëqyrjes Financiare. Rreziku: mbetet pasiguri ligjore dhe kostot për investitorët dhe shoqëritë e </w:t>
      </w:r>
      <w:proofErr w:type="spellStart"/>
      <w:r w:rsidRPr="006922B9">
        <w:rPr>
          <w:rFonts w:ascii="Times New Roman" w:hAnsi="Times New Roman" w:cs="Times New Roman"/>
          <w:bCs/>
          <w:lang w:val="sq-AL"/>
        </w:rPr>
        <w:t>listuara</w:t>
      </w:r>
      <w:proofErr w:type="spellEnd"/>
      <w:r w:rsidRPr="006922B9">
        <w:rPr>
          <w:rFonts w:ascii="Times New Roman" w:hAnsi="Times New Roman" w:cs="Times New Roman"/>
          <w:b/>
          <w:lang w:val="sq-AL"/>
        </w:rPr>
        <w:t>.</w:t>
      </w:r>
    </w:p>
    <w:p w14:paraId="463FB1CE" w14:textId="77777777" w:rsidR="00D21431" w:rsidRPr="000344D5" w:rsidRDefault="00D21431" w:rsidP="00D21431">
      <w:pPr>
        <w:spacing w:line="276" w:lineRule="auto"/>
        <w:jc w:val="both"/>
        <w:rPr>
          <w:lang w:val="sq-AL"/>
        </w:rPr>
      </w:pPr>
    </w:p>
    <w:p w14:paraId="1494F558" w14:textId="1F81BE78" w:rsidR="00D21431" w:rsidRDefault="00D21431" w:rsidP="00D21431">
      <w:pPr>
        <w:spacing w:line="276" w:lineRule="auto"/>
        <w:jc w:val="both"/>
        <w:rPr>
          <w:b/>
          <w:lang w:val="sq-AL"/>
        </w:rPr>
      </w:pPr>
      <w:r w:rsidRPr="00296F01">
        <w:rPr>
          <w:b/>
          <w:lang w:val="sq-AL"/>
        </w:rPr>
        <w:t>Opsioni 1</w:t>
      </w:r>
      <w:r>
        <w:rPr>
          <w:b/>
          <w:lang w:val="sq-AL"/>
        </w:rPr>
        <w:t xml:space="preserve"> </w:t>
      </w:r>
      <w:r w:rsidRPr="00296F01">
        <w:rPr>
          <w:b/>
          <w:lang w:val="sq-AL"/>
        </w:rPr>
        <w:t>(</w:t>
      </w:r>
      <w:proofErr w:type="spellStart"/>
      <w:r w:rsidRPr="00296F01">
        <w:rPr>
          <w:b/>
          <w:lang w:val="sq-AL"/>
        </w:rPr>
        <w:t>jorregullator</w:t>
      </w:r>
      <w:proofErr w:type="spellEnd"/>
      <w:r w:rsidRPr="00296F01">
        <w:rPr>
          <w:b/>
          <w:lang w:val="sq-AL"/>
        </w:rPr>
        <w:t>)</w:t>
      </w:r>
      <w:r>
        <w:rPr>
          <w:b/>
          <w:lang w:val="sq-AL"/>
        </w:rPr>
        <w:t>:</w:t>
      </w:r>
    </w:p>
    <w:p w14:paraId="3194EBB7" w14:textId="77777777" w:rsidR="00D21431" w:rsidRDefault="00D21431" w:rsidP="00D21431">
      <w:pPr>
        <w:spacing w:line="276" w:lineRule="auto"/>
        <w:jc w:val="both"/>
        <w:rPr>
          <w:b/>
          <w:lang w:val="sq-AL"/>
        </w:rPr>
      </w:pPr>
    </w:p>
    <w:p w14:paraId="39238E8B" w14:textId="0302DA6A" w:rsidR="00D21431" w:rsidRPr="000344D5" w:rsidRDefault="00D21431" w:rsidP="00D21431">
      <w:pPr>
        <w:spacing w:line="276" w:lineRule="auto"/>
        <w:jc w:val="both"/>
        <w:rPr>
          <w:lang w:val="sq-AL"/>
        </w:rPr>
      </w:pPr>
      <w:r w:rsidRPr="00B91216">
        <w:rPr>
          <w:lang w:val="sq-AL"/>
        </w:rPr>
        <w:lastRenderedPageBreak/>
        <w:t xml:space="preserve">Adresimi i problemit kryesisht përmes udhëzimeve administrative / akteve jo detyruese të Autoritetit dhe marrëveshjeve vullnetare të transparencës ndërmjet aktorëve të tregut (shoqëri të </w:t>
      </w:r>
      <w:proofErr w:type="spellStart"/>
      <w:r w:rsidRPr="00B91216">
        <w:rPr>
          <w:lang w:val="sq-AL"/>
        </w:rPr>
        <w:t>listuara</w:t>
      </w:r>
      <w:proofErr w:type="spellEnd"/>
      <w:r w:rsidRPr="00B91216">
        <w:rPr>
          <w:lang w:val="sq-AL"/>
        </w:rPr>
        <w:t xml:space="preserve">, ndërmjetës financiarë). Përfitimi i këtij opsioni është fleksibiliteti dhe kosto më e ulët e menjëhershme, pasi shmangen ndryshimet ligjore. Por ky opsion nuk siguron detyrim ligjor për palët, nuk mbulon temat më kritike (si përcaktimi i çmimit të drejtë, kufizimi i manovrave mbrojtëse të bordit gjatë ofertës, të drejtat pas ofertës, raportimi te Komisioni Evropian, ESAP), dhe nuk përbën përafrim formal me </w:t>
      </w:r>
      <w:proofErr w:type="spellStart"/>
      <w:r w:rsidRPr="00B91216">
        <w:rPr>
          <w:lang w:val="sq-AL"/>
        </w:rPr>
        <w:t>acquis</w:t>
      </w:r>
      <w:proofErr w:type="spellEnd"/>
      <w:r w:rsidRPr="00B91216">
        <w:rPr>
          <w:lang w:val="sq-AL"/>
        </w:rPr>
        <w:t>. Praktikisht, nuk mjafton për qëllimet e integrimit në BE deri në 2030.</w:t>
      </w:r>
    </w:p>
    <w:p w14:paraId="242033C7" w14:textId="77777777" w:rsidR="00D21431" w:rsidRPr="000344D5" w:rsidRDefault="00D21431" w:rsidP="00D21431">
      <w:pPr>
        <w:spacing w:line="276" w:lineRule="auto"/>
        <w:jc w:val="both"/>
        <w:rPr>
          <w:lang w:val="sq-AL"/>
        </w:rPr>
      </w:pPr>
    </w:p>
    <w:p w14:paraId="026F2580" w14:textId="363AA619" w:rsidR="00D21431" w:rsidRDefault="00D21431" w:rsidP="00D21431">
      <w:pPr>
        <w:spacing w:line="276" w:lineRule="auto"/>
        <w:jc w:val="both"/>
        <w:rPr>
          <w:lang w:val="sq-AL"/>
        </w:rPr>
      </w:pPr>
      <w:r w:rsidRPr="00296F01">
        <w:rPr>
          <w:b/>
          <w:lang w:val="sq-AL"/>
        </w:rPr>
        <w:t>Opsioni 2 (rregullator):</w:t>
      </w:r>
    </w:p>
    <w:p w14:paraId="7CFE488F" w14:textId="77777777" w:rsidR="00D21431" w:rsidRDefault="00D21431" w:rsidP="00D21431">
      <w:pPr>
        <w:spacing w:line="276" w:lineRule="auto"/>
        <w:jc w:val="both"/>
        <w:rPr>
          <w:lang w:val="sq-AL"/>
        </w:rPr>
      </w:pPr>
    </w:p>
    <w:p w14:paraId="42328479" w14:textId="77777777" w:rsidR="00D21431" w:rsidRDefault="00D21431" w:rsidP="00D21431">
      <w:pPr>
        <w:spacing w:line="276" w:lineRule="auto"/>
        <w:jc w:val="both"/>
        <w:rPr>
          <w:lang w:val="sq-AL"/>
        </w:rPr>
      </w:pPr>
      <w:r w:rsidRPr="00B91216">
        <w:rPr>
          <w:lang w:val="sq-AL"/>
        </w:rPr>
        <w:t>Ndryshime të pjesshme ligjore, të fokusuara vetëm në disa nene kritike (p.sh. çmimi i drejtë dhe detyrimi për ofertë të detyrueshme), pa rishikuar të gjithë arkitekturën e ligjit. Ky opsion do të sillte disa përmirësime të menjëhershme në mbrojtjen e aksionarëve minoritarë dhe në qartësimin e kushteve të ofertës. Megjithatë, ai do të linte pa adresuar:</w:t>
      </w:r>
    </w:p>
    <w:p w14:paraId="1FF91E61" w14:textId="77777777" w:rsidR="00D21431" w:rsidRPr="00B91216" w:rsidRDefault="00D21431" w:rsidP="00D21431">
      <w:pPr>
        <w:spacing w:line="276" w:lineRule="auto"/>
        <w:jc w:val="both"/>
        <w:rPr>
          <w:lang w:val="sq-AL"/>
        </w:rPr>
      </w:pPr>
    </w:p>
    <w:p w14:paraId="2710DD5E" w14:textId="77777777" w:rsidR="00D21431" w:rsidRPr="00B91216" w:rsidRDefault="00D21431" w:rsidP="00D21431">
      <w:pPr>
        <w:spacing w:line="276" w:lineRule="auto"/>
        <w:jc w:val="both"/>
        <w:rPr>
          <w:lang w:val="sq-AL"/>
        </w:rPr>
      </w:pPr>
      <w:r w:rsidRPr="00B91216">
        <w:rPr>
          <w:lang w:val="sq-AL"/>
        </w:rPr>
        <w:t xml:space="preserve">– kompetencat ndërkufitare të Autoritetit (raste seli jashtë / </w:t>
      </w:r>
      <w:proofErr w:type="spellStart"/>
      <w:r w:rsidRPr="00B91216">
        <w:rPr>
          <w:lang w:val="sq-AL"/>
        </w:rPr>
        <w:t>listim</w:t>
      </w:r>
      <w:proofErr w:type="spellEnd"/>
      <w:r w:rsidRPr="00B91216">
        <w:rPr>
          <w:lang w:val="sq-AL"/>
        </w:rPr>
        <w:t xml:space="preserve"> në Shqipëri dhe anasjelltas),</w:t>
      </w:r>
    </w:p>
    <w:p w14:paraId="4D091698" w14:textId="77777777" w:rsidR="00D21431" w:rsidRPr="00B91216" w:rsidRDefault="00D21431" w:rsidP="00D21431">
      <w:pPr>
        <w:spacing w:line="276" w:lineRule="auto"/>
        <w:jc w:val="both"/>
        <w:rPr>
          <w:lang w:val="sq-AL"/>
        </w:rPr>
      </w:pPr>
      <w:r w:rsidRPr="00B91216">
        <w:rPr>
          <w:lang w:val="sq-AL"/>
        </w:rPr>
        <w:t>– procedurat e raportimit te Komisioni Evropian dhe detyrimet për ESAP,</w:t>
      </w:r>
    </w:p>
    <w:p w14:paraId="70B4AEF1" w14:textId="77777777" w:rsidR="00D21431" w:rsidRPr="00B91216" w:rsidRDefault="00D21431" w:rsidP="00D21431">
      <w:pPr>
        <w:spacing w:line="276" w:lineRule="auto"/>
        <w:jc w:val="both"/>
        <w:rPr>
          <w:lang w:val="sq-AL"/>
        </w:rPr>
      </w:pPr>
      <w:r w:rsidRPr="00B91216">
        <w:rPr>
          <w:lang w:val="sq-AL"/>
        </w:rPr>
        <w:t>– balancimin e masave mbrojtëse të bordit me të drejtat e ofertuesit,</w:t>
      </w:r>
    </w:p>
    <w:p w14:paraId="5EA838B4" w14:textId="77777777" w:rsidR="00D21431" w:rsidRDefault="00D21431" w:rsidP="00D21431">
      <w:pPr>
        <w:spacing w:line="276" w:lineRule="auto"/>
        <w:jc w:val="both"/>
        <w:rPr>
          <w:lang w:val="sq-AL"/>
        </w:rPr>
      </w:pPr>
      <w:r w:rsidRPr="00B91216">
        <w:rPr>
          <w:lang w:val="sq-AL"/>
        </w:rPr>
        <w:t>– standardizimin e dokumentit të ofertës dhe të afateve.</w:t>
      </w:r>
    </w:p>
    <w:p w14:paraId="69A1D665" w14:textId="77777777" w:rsidR="00D21431" w:rsidRPr="00B91216" w:rsidRDefault="00D21431" w:rsidP="00D21431">
      <w:pPr>
        <w:spacing w:line="276" w:lineRule="auto"/>
        <w:jc w:val="both"/>
        <w:rPr>
          <w:lang w:val="sq-AL"/>
        </w:rPr>
      </w:pPr>
    </w:p>
    <w:p w14:paraId="7694339E" w14:textId="77777777" w:rsidR="00D21431" w:rsidRDefault="00D21431" w:rsidP="00D21431">
      <w:pPr>
        <w:spacing w:line="276" w:lineRule="auto"/>
        <w:jc w:val="both"/>
        <w:rPr>
          <w:lang w:val="sq-AL"/>
        </w:rPr>
      </w:pPr>
      <w:proofErr w:type="spellStart"/>
      <w:r w:rsidRPr="00B91216">
        <w:rPr>
          <w:lang w:val="sq-AL"/>
        </w:rPr>
        <w:t>Reziku</w:t>
      </w:r>
      <w:proofErr w:type="spellEnd"/>
      <w:r w:rsidRPr="00B91216">
        <w:rPr>
          <w:lang w:val="sq-AL"/>
        </w:rPr>
        <w:t xml:space="preserve"> është që ligji të mbetet i fragmentuar, dhe interpretimi të zhvendoset te gjykata, me pasiguri për investitorët dhe emetuesit.</w:t>
      </w:r>
    </w:p>
    <w:p w14:paraId="2E8D399F" w14:textId="77777777" w:rsidR="00D21431" w:rsidRDefault="00D21431" w:rsidP="00D21431">
      <w:pPr>
        <w:spacing w:line="276" w:lineRule="auto"/>
        <w:jc w:val="both"/>
        <w:rPr>
          <w:lang w:val="sq-AL"/>
        </w:rPr>
      </w:pPr>
    </w:p>
    <w:p w14:paraId="7AE86119" w14:textId="77777777" w:rsidR="00D21431" w:rsidRDefault="00D21431" w:rsidP="00D21431">
      <w:pPr>
        <w:spacing w:line="276" w:lineRule="auto"/>
        <w:jc w:val="both"/>
        <w:rPr>
          <w:lang w:val="sq-AL"/>
        </w:rPr>
      </w:pPr>
      <w:r w:rsidRPr="00296F01">
        <w:rPr>
          <w:b/>
          <w:lang w:val="sq-AL"/>
        </w:rPr>
        <w:t>Opsioni 3 (rregullator)</w:t>
      </w:r>
      <w:r>
        <w:rPr>
          <w:b/>
          <w:lang w:val="sq-AL"/>
        </w:rPr>
        <w:t xml:space="preserve"> i preferuar</w:t>
      </w:r>
      <w:r w:rsidRPr="00296F01">
        <w:rPr>
          <w:b/>
          <w:lang w:val="sq-AL"/>
        </w:rPr>
        <w:t>:</w:t>
      </w:r>
      <w:r w:rsidRPr="000344D5">
        <w:rPr>
          <w:lang w:val="sq-AL"/>
        </w:rPr>
        <w:t xml:space="preserve"> – </w:t>
      </w:r>
    </w:p>
    <w:p w14:paraId="3FE20234" w14:textId="77777777" w:rsidR="00D21431" w:rsidRDefault="00D21431" w:rsidP="00D21431">
      <w:pPr>
        <w:spacing w:line="276" w:lineRule="auto"/>
        <w:jc w:val="both"/>
        <w:rPr>
          <w:lang w:val="sq-AL"/>
        </w:rPr>
      </w:pPr>
    </w:p>
    <w:p w14:paraId="5C7B6420" w14:textId="15583AEB" w:rsidR="00D21431" w:rsidRDefault="00D21431" w:rsidP="00D21431">
      <w:pPr>
        <w:spacing w:line="276" w:lineRule="auto"/>
        <w:jc w:val="both"/>
        <w:rPr>
          <w:lang w:val="sq-AL"/>
        </w:rPr>
      </w:pPr>
      <w:r w:rsidRPr="00754AF0">
        <w:rPr>
          <w:lang w:val="sq-AL"/>
        </w:rPr>
        <w:t>Ndryshim dhe plotësim i plotë i ligjit për ofertat e marrjes në kontroll, duke përfshirë: (i) përcaktimin e çmimit të drejtë dhe detyrimin për rritjen e çmimit kur ofertuesi blen më shtrenjtë gjatë periudhës së ofertës; (</w:t>
      </w:r>
      <w:proofErr w:type="spellStart"/>
      <w:r w:rsidRPr="00754AF0">
        <w:rPr>
          <w:lang w:val="sq-AL"/>
        </w:rPr>
        <w:t>ii</w:t>
      </w:r>
      <w:proofErr w:type="spellEnd"/>
      <w:r w:rsidRPr="00754AF0">
        <w:rPr>
          <w:lang w:val="sq-AL"/>
        </w:rPr>
        <w:t>) rregullat për trajtimin e aksionarëve minoritarë pas ofertës (</w:t>
      </w:r>
      <w:proofErr w:type="spellStart"/>
      <w:r w:rsidRPr="00754AF0">
        <w:rPr>
          <w:lang w:val="sq-AL"/>
        </w:rPr>
        <w:t>squeeze-out</w:t>
      </w:r>
      <w:proofErr w:type="spellEnd"/>
      <w:r w:rsidRPr="00754AF0">
        <w:rPr>
          <w:lang w:val="sq-AL"/>
        </w:rPr>
        <w:t xml:space="preserve"> / </w:t>
      </w:r>
      <w:proofErr w:type="spellStart"/>
      <w:r w:rsidRPr="00754AF0">
        <w:rPr>
          <w:lang w:val="sq-AL"/>
        </w:rPr>
        <w:t>sell-out</w:t>
      </w:r>
      <w:proofErr w:type="spellEnd"/>
      <w:r w:rsidRPr="00754AF0">
        <w:rPr>
          <w:lang w:val="sq-AL"/>
        </w:rPr>
        <w:t>); (</w:t>
      </w:r>
      <w:proofErr w:type="spellStart"/>
      <w:r w:rsidRPr="00754AF0">
        <w:rPr>
          <w:lang w:val="sq-AL"/>
        </w:rPr>
        <w:t>iii</w:t>
      </w:r>
      <w:proofErr w:type="spellEnd"/>
      <w:r w:rsidRPr="00754AF0">
        <w:rPr>
          <w:lang w:val="sq-AL"/>
        </w:rPr>
        <w:t>) kufizimet dhe kushtëzimin e masave mbrojtëse të administratës së shoqërisë objekt (neutraliteti i bordit, “</w:t>
      </w:r>
      <w:proofErr w:type="spellStart"/>
      <w:r w:rsidRPr="00754AF0">
        <w:rPr>
          <w:lang w:val="sq-AL"/>
        </w:rPr>
        <w:t>breakthrough</w:t>
      </w:r>
      <w:proofErr w:type="spellEnd"/>
      <w:r w:rsidRPr="00754AF0">
        <w:rPr>
          <w:lang w:val="sq-AL"/>
        </w:rPr>
        <w:t>”); (</w:t>
      </w:r>
      <w:proofErr w:type="spellStart"/>
      <w:r w:rsidRPr="00754AF0">
        <w:rPr>
          <w:lang w:val="sq-AL"/>
        </w:rPr>
        <w:t>iv</w:t>
      </w:r>
      <w:proofErr w:type="spellEnd"/>
      <w:r w:rsidRPr="00754AF0">
        <w:rPr>
          <w:lang w:val="sq-AL"/>
        </w:rPr>
        <w:t xml:space="preserve">) kompetencat ndërkufitare të Autoritetit të Mbikëqyrjes Financiare në përputhje me modelin e Direktivës 2004/25/EC; (v) detyrimet e raportimit vjetor te Komisioni Evropian dhe depozitimin e informacionit në ESAP në formate të lexueshme. Ky është opsioni i vetmi që siguron përafrim material me </w:t>
      </w:r>
      <w:proofErr w:type="spellStart"/>
      <w:r w:rsidRPr="00754AF0">
        <w:rPr>
          <w:lang w:val="sq-AL"/>
        </w:rPr>
        <w:t>acquis</w:t>
      </w:r>
      <w:proofErr w:type="spellEnd"/>
      <w:r w:rsidRPr="00754AF0">
        <w:rPr>
          <w:lang w:val="sq-AL"/>
        </w:rPr>
        <w:t xml:space="preserve"> dhe përgatit tregun shqiptar të kapitaleve për integrim efektiv në hapësirën e BE deri në 2030.</w:t>
      </w:r>
    </w:p>
    <w:p w14:paraId="5FF4C4D3" w14:textId="77777777" w:rsidR="00D21431" w:rsidRDefault="00D21431" w:rsidP="00D21431">
      <w:pPr>
        <w:spacing w:line="276" w:lineRule="auto"/>
        <w:jc w:val="both"/>
        <w:rPr>
          <w:lang w:val="sq-AL"/>
        </w:rPr>
      </w:pPr>
    </w:p>
    <w:p w14:paraId="4C2FBBDA" w14:textId="77777777" w:rsidR="00D21431" w:rsidRPr="00AA66D3" w:rsidRDefault="00D21431" w:rsidP="00D21431">
      <w:pPr>
        <w:spacing w:line="276" w:lineRule="auto"/>
        <w:jc w:val="both"/>
        <w:rPr>
          <w:b/>
          <w:bCs/>
          <w:lang w:val="sq-AL"/>
        </w:rPr>
      </w:pPr>
      <w:r w:rsidRPr="00AA66D3">
        <w:rPr>
          <w:b/>
          <w:bCs/>
          <w:lang w:val="sq-AL"/>
        </w:rPr>
        <w:t>Si janë identifikuar opsionet e politikës:</w:t>
      </w:r>
    </w:p>
    <w:p w14:paraId="5E4674EF" w14:textId="77777777" w:rsidR="00D21431" w:rsidRPr="00AA66D3" w:rsidRDefault="00D21431" w:rsidP="00D21431">
      <w:pPr>
        <w:spacing w:line="276" w:lineRule="auto"/>
        <w:jc w:val="both"/>
        <w:rPr>
          <w:lang w:val="sq-AL"/>
        </w:rPr>
      </w:pPr>
    </w:p>
    <w:p w14:paraId="5000CD64" w14:textId="77777777" w:rsidR="00D21431" w:rsidRPr="00AA66D3" w:rsidRDefault="00D21431" w:rsidP="00D21431">
      <w:pPr>
        <w:spacing w:line="276" w:lineRule="auto"/>
        <w:jc w:val="both"/>
        <w:rPr>
          <w:lang w:val="sq-AL"/>
        </w:rPr>
      </w:pPr>
      <w:r w:rsidRPr="00AA66D3">
        <w:rPr>
          <w:lang w:val="sq-AL"/>
        </w:rPr>
        <w:t>Opsionet janë ndërtuar duke nisur nga tre burime:</w:t>
      </w:r>
    </w:p>
    <w:p w14:paraId="49D443A1" w14:textId="01D0153F" w:rsidR="00D21431" w:rsidRPr="00AA66D3" w:rsidRDefault="00D21431" w:rsidP="00D21431">
      <w:pPr>
        <w:spacing w:line="276" w:lineRule="auto"/>
        <w:jc w:val="both"/>
        <w:rPr>
          <w:lang w:val="sq-AL"/>
        </w:rPr>
      </w:pPr>
      <w:r w:rsidRPr="00AA66D3">
        <w:rPr>
          <w:lang w:val="sq-AL"/>
        </w:rPr>
        <w:t>– anali</w:t>
      </w:r>
      <w:r w:rsidR="008B5707">
        <w:rPr>
          <w:lang w:val="sq-AL"/>
        </w:rPr>
        <w:t>z</w:t>
      </w:r>
      <w:r w:rsidRPr="00AA66D3">
        <w:rPr>
          <w:lang w:val="sq-AL"/>
        </w:rPr>
        <w:t>a e boshllëqeve ndërmjet ligjit ekzistues dhe Direktivës 2004/25/EC (</w:t>
      </w:r>
      <w:proofErr w:type="spellStart"/>
      <w:r w:rsidRPr="00AA66D3">
        <w:rPr>
          <w:lang w:val="sq-AL"/>
        </w:rPr>
        <w:t>gap</w:t>
      </w:r>
      <w:proofErr w:type="spellEnd"/>
      <w:r w:rsidRPr="00AA66D3">
        <w:rPr>
          <w:lang w:val="sq-AL"/>
        </w:rPr>
        <w:t xml:space="preserve"> </w:t>
      </w:r>
      <w:proofErr w:type="spellStart"/>
      <w:r w:rsidRPr="00AA66D3">
        <w:rPr>
          <w:lang w:val="sq-AL"/>
        </w:rPr>
        <w:t>analysis</w:t>
      </w:r>
      <w:proofErr w:type="spellEnd"/>
      <w:r w:rsidRPr="00AA66D3">
        <w:rPr>
          <w:lang w:val="sq-AL"/>
        </w:rPr>
        <w:t>),</w:t>
      </w:r>
    </w:p>
    <w:p w14:paraId="6F334A35" w14:textId="77777777" w:rsidR="00D21431" w:rsidRPr="00AA66D3" w:rsidRDefault="00D21431" w:rsidP="00D21431">
      <w:pPr>
        <w:spacing w:line="276" w:lineRule="auto"/>
        <w:jc w:val="both"/>
        <w:rPr>
          <w:lang w:val="sq-AL"/>
        </w:rPr>
      </w:pPr>
      <w:r w:rsidRPr="00AA66D3">
        <w:rPr>
          <w:lang w:val="sq-AL"/>
        </w:rPr>
        <w:t>– praktika e shteteve anëtare të BE-së për menaxhimin e ofertave ndërkufitare dhe të drejtave të aksionarëve minoritarë,</w:t>
      </w:r>
    </w:p>
    <w:p w14:paraId="1DB2C17A" w14:textId="721770F9" w:rsidR="00D21431" w:rsidRPr="00AA66D3" w:rsidRDefault="00D21431" w:rsidP="00D21431">
      <w:pPr>
        <w:spacing w:line="276" w:lineRule="auto"/>
        <w:jc w:val="both"/>
        <w:rPr>
          <w:lang w:val="sq-AL"/>
        </w:rPr>
      </w:pPr>
      <w:r w:rsidRPr="00AA66D3">
        <w:rPr>
          <w:lang w:val="sq-AL"/>
        </w:rPr>
        <w:t>– kërkesa politike e përafrimit të plotë deri në afatin 2030</w:t>
      </w:r>
      <w:r w:rsidR="00C03052">
        <w:rPr>
          <w:lang w:val="sq-AL"/>
        </w:rPr>
        <w:t>.</w:t>
      </w:r>
    </w:p>
    <w:p w14:paraId="74CC3686" w14:textId="77777777" w:rsidR="008B5707" w:rsidRDefault="008B5707" w:rsidP="00D21431">
      <w:pPr>
        <w:spacing w:line="276" w:lineRule="auto"/>
        <w:jc w:val="both"/>
        <w:rPr>
          <w:lang w:val="sq-AL"/>
        </w:rPr>
      </w:pPr>
    </w:p>
    <w:p w14:paraId="7C3B25E5" w14:textId="315F8EC3" w:rsidR="00D21431" w:rsidRPr="008B5707" w:rsidRDefault="00D21431" w:rsidP="008B5707">
      <w:pPr>
        <w:spacing w:line="276" w:lineRule="auto"/>
        <w:jc w:val="both"/>
        <w:rPr>
          <w:lang w:val="sq-AL"/>
        </w:rPr>
      </w:pPr>
      <w:r w:rsidRPr="00AA66D3">
        <w:rPr>
          <w:lang w:val="sq-AL"/>
        </w:rPr>
        <w:t>Nga kjo doli qartë se opsioni jo-rregullator nuk është i mjaftueshëm, opsioni i pjesshëm (2) nuk adreson konfliktin ndërkufitar të kompetencës dhe transparencën, dhe vetëm opsioni 3 e sjell kuadrin shqiptar në nivel të krahasueshëm me BE-në.</w:t>
      </w:r>
    </w:p>
    <w:p w14:paraId="38233EFF" w14:textId="45DC09F9" w:rsidR="00D3286E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lastRenderedPageBreak/>
        <w:t>Vlerësimi i opsioneve/analizimi i ndikimeve</w:t>
      </w:r>
      <w:r w:rsidR="00D3286E" w:rsidRPr="00325A1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•   Për ndikimet e drejtpërdrejta:"/>
              <w:maxLength w:val="5000"/>
            </w:textInput>
          </w:ffData>
        </w:fldChar>
      </w:r>
      <w:r w:rsidR="00D3286E" w:rsidRPr="001155AF">
        <w:rPr>
          <w:rFonts w:ascii="Times New Roman" w:hAnsi="Times New Roman" w:cs="Times New Roman"/>
          <w:sz w:val="24"/>
          <w:szCs w:val="24"/>
          <w:lang w:val="it-IT"/>
        </w:rPr>
        <w:instrText xml:space="preserve"> FORMTEXT </w:instrText>
      </w:r>
      <w:r w:rsidR="00D3286E" w:rsidRPr="00325A1F">
        <w:rPr>
          <w:rFonts w:ascii="Times New Roman" w:hAnsi="Times New Roman" w:cs="Times New Roman"/>
          <w:sz w:val="24"/>
          <w:szCs w:val="24"/>
        </w:rPr>
      </w:r>
      <w:r w:rsidR="00D3286E" w:rsidRPr="00325A1F">
        <w:rPr>
          <w:rFonts w:ascii="Times New Roman" w:hAnsi="Times New Roman" w:cs="Times New Roman"/>
          <w:sz w:val="24"/>
          <w:szCs w:val="24"/>
        </w:rPr>
        <w:fldChar w:fldCharType="separate"/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sz w:val="24"/>
          <w:szCs w:val="24"/>
        </w:rPr>
        <w:fldChar w:fldCharType="end"/>
      </w:r>
    </w:p>
    <w:sdt>
      <w:sdtPr>
        <w:rPr>
          <w:rFonts w:cs="Times New Roman"/>
          <w:i/>
          <w:sz w:val="24"/>
          <w:szCs w:val="24"/>
          <w:lang w:val="sq-AL"/>
        </w:rPr>
        <w:id w:val="1457907593"/>
        <w:lock w:val="contentLocked"/>
        <w:placeholder>
          <w:docPart w:val="DefaultPlaceholder_1081868574"/>
        </w:placeholder>
      </w:sdtPr>
      <w:sdtEndPr/>
      <w:sdtContent>
        <w:bookmarkStart w:id="12" w:name="_Hlk506916825" w:displacedByCustomXml="prev"/>
        <w:p w14:paraId="4C2051C8" w14:textId="77777777" w:rsidR="0097570D" w:rsidRPr="0032145B" w:rsidRDefault="0097570D" w:rsidP="009D13F4">
          <w:pPr>
            <w:pStyle w:val="BodyText"/>
            <w:numPr>
              <w:ilvl w:val="0"/>
              <w:numId w:val="2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grupet e prekura.</w:t>
          </w:r>
        </w:p>
        <w:p w14:paraId="0EEE4232" w14:textId="77777777" w:rsidR="0097570D" w:rsidRPr="0032145B" w:rsidRDefault="0097570D" w:rsidP="009D13F4">
          <w:pPr>
            <w:pStyle w:val="BodyText"/>
            <w:numPr>
              <w:ilvl w:val="0"/>
              <w:numId w:val="24"/>
            </w:numPr>
            <w:tabs>
              <w:tab w:val="left" w:pos="567"/>
            </w:tabs>
            <w:spacing w:after="0" w:line="276" w:lineRule="auto"/>
            <w:ind w:left="540" w:hanging="180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llojet e ndikimeve për secilin grup të prekur, bëni dallimin midis ndikimeve të drejtpërdrejta dhe jo të drejtpërdrejta.</w:t>
          </w:r>
        </w:p>
        <w:p w14:paraId="656E3827" w14:textId="77777777" w:rsidR="0097570D" w:rsidRPr="0032145B" w:rsidRDefault="0097570D" w:rsidP="009D13F4">
          <w:pPr>
            <w:pStyle w:val="BodyText"/>
            <w:numPr>
              <w:ilvl w:val="0"/>
              <w:numId w:val="2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 ndikimet e drejtpërdrejta:</w:t>
          </w:r>
        </w:p>
        <w:p w14:paraId="506D0EA7" w14:textId="77777777" w:rsidR="0097570D" w:rsidRPr="0032145B" w:rsidRDefault="0097570D" w:rsidP="009D13F4">
          <w:pPr>
            <w:pStyle w:val="BodyText"/>
            <w:spacing w:after="0" w:line="276" w:lineRule="auto"/>
            <w:ind w:left="720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 </w:t>
          </w:r>
        </w:p>
        <w:p w14:paraId="02D7F862" w14:textId="77777777" w:rsidR="0097570D" w:rsidRPr="0032145B" w:rsidRDefault="0097570D" w:rsidP="009D13F4">
          <w:pPr>
            <w:pStyle w:val="BodyText"/>
            <w:numPr>
              <w:ilvl w:val="1"/>
              <w:numId w:val="24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Përshkruani nga ana cilësore ndikimet e drejtpërdrejta mbi grupet e prekura.</w:t>
          </w:r>
        </w:p>
        <w:p w14:paraId="326087AB" w14:textId="77777777" w:rsidR="0097570D" w:rsidRPr="0032145B" w:rsidRDefault="0097570D" w:rsidP="009D13F4">
          <w:pPr>
            <w:pStyle w:val="BodyText"/>
            <w:numPr>
              <w:ilvl w:val="1"/>
              <w:numId w:val="24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nga ana sasiore ndikimet më të rëndësishme të drejtpërdrejta.</w:t>
          </w:r>
        </w:p>
        <w:p w14:paraId="3C416A37" w14:textId="6ED3752E" w:rsidR="0097570D" w:rsidRPr="0032145B" w:rsidRDefault="0097570D" w:rsidP="009D13F4">
          <w:pPr>
            <w:pStyle w:val="BodyText"/>
            <w:numPr>
              <w:ilvl w:val="1"/>
              <w:numId w:val="24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 xml:space="preserve">Përcaktoni vlerën monetare të ndikimeve më të rëndësishme të drejtpërdrejta aty ku është e mundur (përdor tabelën në </w:t>
          </w:r>
          <w:r w:rsidR="00BD1479">
            <w:rPr>
              <w:rFonts w:eastAsiaTheme="majorEastAsia" w:cs="Times New Roman"/>
              <w:i/>
              <w:sz w:val="24"/>
              <w:szCs w:val="24"/>
              <w:lang w:val="sq-AL"/>
            </w:rPr>
            <w:t>A</w:t>
          </w: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neksin 2/a të këtij dokumenti).</w:t>
          </w:r>
        </w:p>
        <w:p w14:paraId="413A5D5A" w14:textId="3C5CE3FC" w:rsidR="0097570D" w:rsidRPr="0032145B" w:rsidRDefault="0097570D" w:rsidP="009D13F4">
          <w:pPr>
            <w:pStyle w:val="BodyText"/>
            <w:numPr>
              <w:ilvl w:val="1"/>
              <w:numId w:val="24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ndikimin mbi ndërmarrjet e vogla dhe të mesme (nëse ka).</w:t>
          </w:r>
        </w:p>
        <w:p w14:paraId="0E48AD0E" w14:textId="076371C2" w:rsidR="0097570D" w:rsidRPr="0032145B" w:rsidRDefault="0097570D" w:rsidP="009D13F4">
          <w:pPr>
            <w:pStyle w:val="BodyText"/>
            <w:numPr>
              <w:ilvl w:val="0"/>
              <w:numId w:val="2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 ndikimet jo të drejtpërdrejta:</w:t>
          </w:r>
        </w:p>
        <w:p w14:paraId="1523AD82" w14:textId="77777777" w:rsidR="0097570D" w:rsidRPr="0032145B" w:rsidRDefault="0097570D" w:rsidP="009D13F4">
          <w:pPr>
            <w:pStyle w:val="BodyText"/>
            <w:numPr>
              <w:ilvl w:val="1"/>
              <w:numId w:val="2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Përshkruani nga ana cilësore ndikimet jo të drejtpërdrejta mbi grupet e prekura.</w:t>
          </w:r>
        </w:p>
        <w:p w14:paraId="3FA4B359" w14:textId="2BC6772B" w:rsidR="0097570D" w:rsidRPr="0032145B" w:rsidRDefault="0097570D" w:rsidP="009D13F4">
          <w:pPr>
            <w:pStyle w:val="BodyText"/>
            <w:numPr>
              <w:ilvl w:val="1"/>
              <w:numId w:val="24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ndikimin mbi konkurrencën.</w:t>
          </w: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  </w:t>
          </w:r>
        </w:p>
        <w:p w14:paraId="72A4965F" w14:textId="352220CF" w:rsidR="0097570D" w:rsidRPr="0032145B" w:rsidRDefault="0097570D" w:rsidP="009D13F4">
          <w:pPr>
            <w:pStyle w:val="BodyText"/>
            <w:numPr>
              <w:ilvl w:val="0"/>
              <w:numId w:val="2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Diskutoni kufizimin e analizës:</w:t>
          </w:r>
        </w:p>
        <w:p w14:paraId="2F29AF67" w14:textId="77777777" w:rsidR="0097570D" w:rsidRPr="0032145B" w:rsidRDefault="0097570D" w:rsidP="009D13F4">
          <w:pPr>
            <w:pStyle w:val="BodyText"/>
            <w:numPr>
              <w:ilvl w:val="1"/>
              <w:numId w:val="2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bookmarkStart w:id="13" w:name="_Hlk506917230"/>
          <w:bookmarkEnd w:id="12"/>
          <w:r w:rsidRPr="0032145B">
            <w:rPr>
              <w:rFonts w:cs="Times New Roman"/>
              <w:i/>
              <w:sz w:val="24"/>
              <w:szCs w:val="24"/>
              <w:lang w:val="sq-AL"/>
            </w:rPr>
            <w:t>Jepni supozimet në të cilat janë bazuar parashikimet dhe risqet, të cilave ato u nënshtrohen.</w:t>
          </w:r>
        </w:p>
        <w:p w14:paraId="0271CC12" w14:textId="6A4CCF7F" w:rsidR="0097570D" w:rsidRPr="0032145B" w:rsidRDefault="0097570D" w:rsidP="009D13F4">
          <w:pPr>
            <w:pStyle w:val="BodyText"/>
            <w:numPr>
              <w:ilvl w:val="1"/>
              <w:numId w:val="24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Tregoni se çfarë mund të pengojë realizimin e përfitimeve, të rrisë kostot ose të sjellë pasoja të papritura.</w:t>
          </w:r>
        </w:p>
        <w:p w14:paraId="5D0C1620" w14:textId="3C215225" w:rsidR="0097570D" w:rsidRPr="0032145B" w:rsidRDefault="0097570D" w:rsidP="009D13F4">
          <w:pPr>
            <w:pStyle w:val="BodyText"/>
            <w:numPr>
              <w:ilvl w:val="0"/>
              <w:numId w:val="2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Përmblidhni vlerësimin e opsioneve:</w:t>
          </w:r>
        </w:p>
        <w:p w14:paraId="33B9A856" w14:textId="77777777" w:rsidR="0097570D" w:rsidRPr="0032145B" w:rsidRDefault="0097570D" w:rsidP="009D13F4">
          <w:pPr>
            <w:pStyle w:val="BodyText"/>
            <w:numPr>
              <w:ilvl w:val="1"/>
              <w:numId w:val="2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Paraqisni një pasqyrë përmbledhëse të të gjitha ndikimeve të opsioneve të analizuara.</w:t>
          </w:r>
        </w:p>
        <w:p w14:paraId="747BB57E" w14:textId="77777777" w:rsidR="0097570D" w:rsidRPr="0032145B" w:rsidRDefault="0097570D" w:rsidP="009D13F4">
          <w:pPr>
            <w:pStyle w:val="BodyText"/>
            <w:numPr>
              <w:ilvl w:val="1"/>
              <w:numId w:val="2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Shpjegoni se si ndikimet e të gjitha opsioneve të analizuara krahasohen me njëra-tjetrën.</w:t>
          </w:r>
        </w:p>
        <w:p w14:paraId="01586808" w14:textId="2862C8D1" w:rsidR="002125B7" w:rsidRPr="0032145B" w:rsidRDefault="0097570D" w:rsidP="009D13F4">
          <w:pPr>
            <w:pStyle w:val="BodyText"/>
            <w:numPr>
              <w:ilvl w:val="1"/>
              <w:numId w:val="2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Paraqisni përllogaritjet më të mira të përgjithshme neto të ndikimit me vlerë monetare të përcaktuar për çdo opsion </w:t>
          </w:r>
          <w:r w:rsidR="00372979">
            <w:rPr>
              <w:rFonts w:eastAsiaTheme="majorEastAsia" w:cs="Times New Roman"/>
              <w:i/>
              <w:sz w:val="24"/>
              <w:szCs w:val="24"/>
              <w:lang w:val="sq-AL"/>
            </w:rPr>
            <w:t>(përdor tabelën në A</w:t>
          </w: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neksin 2/b të këtij dokumenti).</w:t>
          </w:r>
        </w:p>
        <w:bookmarkEnd w:id="13" w:displacedByCustomXml="next"/>
      </w:sdtContent>
    </w:sdt>
    <w:bookmarkStart w:id="14" w:name="_Toc506919738" w:displacedByCustomXml="prev"/>
    <w:bookmarkEnd w:id="14"/>
    <w:p w14:paraId="0E6E16DC" w14:textId="75726382" w:rsidR="00563378" w:rsidRDefault="00AD3B0C" w:rsidP="00CF2ADA">
      <w:pPr>
        <w:spacing w:before="240"/>
        <w:jc w:val="both"/>
        <w:rPr>
          <w:rFonts w:eastAsiaTheme="majorEastAsia"/>
          <w:color w:val="808080" w:themeColor="background1" w:themeShade="80"/>
          <w:lang w:val="sq-AL"/>
        </w:rPr>
      </w:pPr>
      <w:sdt>
        <w:sdtPr>
          <w:rPr>
            <w:rFonts w:eastAsiaTheme="majorEastAsia"/>
            <w:color w:val="808080" w:themeColor="background1" w:themeShade="80"/>
          </w:rPr>
          <w:id w:val="1625265021"/>
          <w:placeholder>
            <w:docPart w:val="867EF0DB10CB4A10BB29112D1FCD9786"/>
          </w:placeholder>
        </w:sdtPr>
        <w:sdtEndPr/>
        <w:sdtContent>
          <w:r w:rsidR="00563378" w:rsidRPr="001155AF">
            <w:rPr>
              <w:rFonts w:eastAsiaTheme="majorEastAsia"/>
              <w:color w:val="808080" w:themeColor="background1" w:themeShade="80"/>
              <w:lang w:val="sq-AL"/>
            </w:rPr>
            <w:t xml:space="preserve">Shkruani </w:t>
          </w:r>
          <w:proofErr w:type="spellStart"/>
          <w:r w:rsidR="00563378" w:rsidRPr="001155AF">
            <w:rPr>
              <w:rFonts w:eastAsiaTheme="majorEastAsia"/>
              <w:color w:val="808080" w:themeColor="background1" w:themeShade="80"/>
              <w:lang w:val="sq-AL"/>
            </w:rPr>
            <w:t>teksin</w:t>
          </w:r>
          <w:proofErr w:type="spellEnd"/>
          <w:r w:rsidR="00563378" w:rsidRPr="001155AF">
            <w:rPr>
              <w:rFonts w:eastAsiaTheme="majorEastAsia"/>
              <w:color w:val="808080" w:themeColor="background1" w:themeShade="80"/>
              <w:lang w:val="sq-AL"/>
            </w:rPr>
            <w:t xml:space="preserve"> këtu</w:t>
          </w:r>
        </w:sdtContent>
      </w:sdt>
      <w:r w:rsidR="00563378" w:rsidRPr="001155AF">
        <w:rPr>
          <w:rFonts w:eastAsiaTheme="majorEastAsia"/>
          <w:color w:val="808080" w:themeColor="background1" w:themeShade="80"/>
          <w:lang w:val="sq-AL"/>
        </w:rPr>
        <w:t>.</w:t>
      </w:r>
    </w:p>
    <w:p w14:paraId="4E45BE54" w14:textId="77777777" w:rsidR="000B285E" w:rsidRDefault="000B285E" w:rsidP="000B285E">
      <w:pPr>
        <w:pStyle w:val="BodyText"/>
        <w:spacing w:after="0"/>
        <w:jc w:val="both"/>
        <w:rPr>
          <w:iCs/>
          <w:sz w:val="24"/>
          <w:szCs w:val="24"/>
          <w:lang w:val="sq-AL"/>
        </w:rPr>
      </w:pPr>
    </w:p>
    <w:p w14:paraId="64A37B99" w14:textId="77777777" w:rsidR="000B285E" w:rsidRPr="00405895" w:rsidRDefault="000B285E" w:rsidP="000B285E">
      <w:pPr>
        <w:spacing w:line="276" w:lineRule="auto"/>
        <w:ind w:left="450"/>
        <w:rPr>
          <w:sz w:val="2"/>
          <w:szCs w:val="2"/>
          <w:lang w:val="sq-AL"/>
        </w:rPr>
      </w:pPr>
    </w:p>
    <w:p w14:paraId="6EC989AD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1. Grupet e prekura</w:t>
      </w:r>
    </w:p>
    <w:p w14:paraId="44B39DAB" w14:textId="531C8479" w:rsidR="000B285E" w:rsidRPr="0054657F" w:rsidRDefault="000B285E" w:rsidP="00D22418">
      <w:pPr>
        <w:pStyle w:val="BodyText"/>
        <w:numPr>
          <w:ilvl w:val="0"/>
          <w:numId w:val="38"/>
        </w:numPr>
        <w:tabs>
          <w:tab w:val="left" w:pos="720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Autoriteti i Mbikëqyrjes Financiare (AMF).</w:t>
      </w:r>
    </w:p>
    <w:p w14:paraId="39B491A6" w14:textId="486E365A" w:rsidR="000B285E" w:rsidRPr="0054657F" w:rsidRDefault="000B285E" w:rsidP="00D22418">
      <w:pPr>
        <w:pStyle w:val="BodyText"/>
        <w:numPr>
          <w:ilvl w:val="0"/>
          <w:numId w:val="38"/>
        </w:numPr>
        <w:tabs>
          <w:tab w:val="left" w:pos="720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Shoqëritë aksionare të </w:t>
      </w:r>
      <w:proofErr w:type="spellStart"/>
      <w:r w:rsidRPr="0054657F">
        <w:rPr>
          <w:sz w:val="24"/>
          <w:szCs w:val="24"/>
          <w:lang w:val="sq-AL"/>
        </w:rPr>
        <w:t>listuara</w:t>
      </w:r>
      <w:proofErr w:type="spellEnd"/>
      <w:r w:rsidRPr="0054657F">
        <w:rPr>
          <w:sz w:val="24"/>
          <w:szCs w:val="24"/>
          <w:lang w:val="sq-AL"/>
        </w:rPr>
        <w:t xml:space="preserve"> (ose që synojnë </w:t>
      </w:r>
      <w:proofErr w:type="spellStart"/>
      <w:r w:rsidRPr="0054657F">
        <w:rPr>
          <w:sz w:val="24"/>
          <w:szCs w:val="24"/>
          <w:lang w:val="sq-AL"/>
        </w:rPr>
        <w:t>listim</w:t>
      </w:r>
      <w:proofErr w:type="spellEnd"/>
      <w:r w:rsidRPr="0054657F">
        <w:rPr>
          <w:sz w:val="24"/>
          <w:szCs w:val="24"/>
          <w:lang w:val="sq-AL"/>
        </w:rPr>
        <w:t>)</w:t>
      </w:r>
      <w:r w:rsidR="00011A9A">
        <w:rPr>
          <w:sz w:val="24"/>
          <w:szCs w:val="24"/>
          <w:lang w:val="sq-AL"/>
        </w:rPr>
        <w:t>.</w:t>
      </w:r>
    </w:p>
    <w:p w14:paraId="5F444FB1" w14:textId="77777777" w:rsidR="000B285E" w:rsidRPr="0054657F" w:rsidRDefault="000B285E" w:rsidP="00D22418">
      <w:pPr>
        <w:pStyle w:val="BodyText"/>
        <w:numPr>
          <w:ilvl w:val="0"/>
          <w:numId w:val="38"/>
        </w:numPr>
        <w:tabs>
          <w:tab w:val="left" w:pos="720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Investitorët, veçanërisht aksionarët minoritarë.</w:t>
      </w:r>
    </w:p>
    <w:p w14:paraId="5AB21097" w14:textId="77777777" w:rsidR="000B285E" w:rsidRPr="0054657F" w:rsidRDefault="000B285E" w:rsidP="00D22418">
      <w:pPr>
        <w:pStyle w:val="BodyText"/>
        <w:numPr>
          <w:ilvl w:val="0"/>
          <w:numId w:val="38"/>
        </w:numPr>
        <w:tabs>
          <w:tab w:val="left" w:pos="720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Ndërmjetësit financiarë / tregu i rregulluar / depoja e titujve.</w:t>
      </w:r>
    </w:p>
    <w:p w14:paraId="7C336225" w14:textId="77777777" w:rsidR="000B285E" w:rsidRPr="0054657F" w:rsidRDefault="000B285E" w:rsidP="00D22418">
      <w:pPr>
        <w:pStyle w:val="BodyText"/>
        <w:numPr>
          <w:ilvl w:val="0"/>
          <w:numId w:val="38"/>
        </w:numPr>
        <w:tabs>
          <w:tab w:val="left" w:pos="720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Publiku investues / besimi i tregut në kuptimin më të gjerë.</w:t>
      </w:r>
    </w:p>
    <w:p w14:paraId="5A4917DB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</w:p>
    <w:p w14:paraId="4125147C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Më poshtë bëhet dallimi midis ndikimeve të drejtpërdrejta (ato që burojnë menjëherë nga ndryshimi ligjor) dhe ndikimeve jo të drejtpërdrejta (ato që shfaqen përmes sjelljes së tregut pas hyrjes në fuqi).</w:t>
      </w:r>
    </w:p>
    <w:p w14:paraId="468FB06A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</w:p>
    <w:p w14:paraId="116FA468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2. Ndikimet e drejtpërdrejta</w:t>
      </w:r>
    </w:p>
    <w:p w14:paraId="0302F1B7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2.1. Autoriteti i Mbikëqyrjes Financiare</w:t>
      </w:r>
    </w:p>
    <w:p w14:paraId="22FFBB58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Cilësore:</w:t>
      </w:r>
    </w:p>
    <w:p w14:paraId="47C2EBD9" w14:textId="77777777" w:rsidR="000B285E" w:rsidRPr="0054657F" w:rsidRDefault="000B285E" w:rsidP="00D22418">
      <w:pPr>
        <w:pStyle w:val="BodyText"/>
        <w:tabs>
          <w:tab w:val="left" w:pos="360"/>
        </w:tabs>
        <w:ind w:left="360" w:hanging="270"/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Rriten qartë kompetencat në procedurat e ofertave, përfshirë rastet ndërkufitare (kur selia dhe </w:t>
      </w:r>
      <w:proofErr w:type="spellStart"/>
      <w:r w:rsidRPr="0054657F">
        <w:rPr>
          <w:sz w:val="24"/>
          <w:szCs w:val="24"/>
          <w:lang w:val="sq-AL"/>
        </w:rPr>
        <w:t>listimi</w:t>
      </w:r>
      <w:proofErr w:type="spellEnd"/>
      <w:r w:rsidRPr="0054657F">
        <w:rPr>
          <w:sz w:val="24"/>
          <w:szCs w:val="24"/>
          <w:lang w:val="sq-AL"/>
        </w:rPr>
        <w:t xml:space="preserve"> janë në juridiksione të ndryshme).</w:t>
      </w:r>
    </w:p>
    <w:p w14:paraId="1BDEBC40" w14:textId="77777777" w:rsidR="000B285E" w:rsidRPr="0054657F" w:rsidRDefault="000B285E" w:rsidP="00D22418">
      <w:pPr>
        <w:pStyle w:val="BodyText"/>
        <w:tabs>
          <w:tab w:val="left" w:pos="567"/>
        </w:tabs>
        <w:ind w:left="360" w:hanging="270"/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Përcaktohet detyrimi për raportim vjetor te Komisioni Evropian dhe depozitim të </w:t>
      </w:r>
      <w:proofErr w:type="spellStart"/>
      <w:r w:rsidRPr="0054657F">
        <w:rPr>
          <w:sz w:val="24"/>
          <w:szCs w:val="24"/>
          <w:lang w:val="sq-AL"/>
        </w:rPr>
        <w:t>të</w:t>
      </w:r>
      <w:proofErr w:type="spellEnd"/>
      <w:r w:rsidRPr="0054657F">
        <w:rPr>
          <w:sz w:val="24"/>
          <w:szCs w:val="24"/>
          <w:lang w:val="sq-AL"/>
        </w:rPr>
        <w:t xml:space="preserve"> dhënave në ESAP.</w:t>
      </w:r>
    </w:p>
    <w:p w14:paraId="4AE8A39D" w14:textId="77777777" w:rsidR="000B285E" w:rsidRPr="0054657F" w:rsidRDefault="000B285E" w:rsidP="00D22418">
      <w:pPr>
        <w:pStyle w:val="BodyText"/>
        <w:tabs>
          <w:tab w:val="left" w:pos="567"/>
        </w:tabs>
        <w:ind w:left="360" w:hanging="270"/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Krijohet bazë ligjore për të ndërhyrë në çmimin e ofertës kur ka abuzim/çmime artificiale.</w:t>
      </w:r>
    </w:p>
    <w:p w14:paraId="59D998FF" w14:textId="77777777" w:rsidR="000B285E" w:rsidRPr="0054657F" w:rsidRDefault="000B285E" w:rsidP="00D22418">
      <w:pPr>
        <w:pStyle w:val="BodyText"/>
        <w:tabs>
          <w:tab w:val="left" w:pos="567"/>
        </w:tabs>
        <w:ind w:left="360" w:hanging="270"/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lastRenderedPageBreak/>
        <w:t>Sasiore / monetare:</w:t>
      </w:r>
    </w:p>
    <w:p w14:paraId="0BCF5C1C" w14:textId="1BF90DB6" w:rsidR="000B285E" w:rsidRPr="0054657F" w:rsidRDefault="000B285E" w:rsidP="00D22418">
      <w:pPr>
        <w:pStyle w:val="BodyText"/>
        <w:tabs>
          <w:tab w:val="left" w:pos="567"/>
        </w:tabs>
        <w:ind w:left="360" w:hanging="270"/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Kosto administrative/IT për ngritjen e proceseve të raportimit dhe përputhshmërisë teknike (ESAP, formate </w:t>
      </w:r>
      <w:proofErr w:type="spellStart"/>
      <w:r w:rsidRPr="0054657F">
        <w:rPr>
          <w:sz w:val="24"/>
          <w:szCs w:val="24"/>
          <w:lang w:val="sq-AL"/>
        </w:rPr>
        <w:t>machine-readable</w:t>
      </w:r>
      <w:proofErr w:type="spellEnd"/>
      <w:r w:rsidRPr="0054657F">
        <w:rPr>
          <w:sz w:val="24"/>
          <w:szCs w:val="24"/>
          <w:lang w:val="sq-AL"/>
        </w:rPr>
        <w:t xml:space="preserve">), </w:t>
      </w:r>
      <w:r w:rsidR="00C8187B" w:rsidRPr="0054657F">
        <w:rPr>
          <w:sz w:val="24"/>
          <w:szCs w:val="24"/>
          <w:lang w:val="sq-AL"/>
        </w:rPr>
        <w:t xml:space="preserve">dhe </w:t>
      </w:r>
      <w:r w:rsidRPr="0054657F">
        <w:rPr>
          <w:sz w:val="24"/>
          <w:szCs w:val="24"/>
          <w:lang w:val="sq-AL"/>
        </w:rPr>
        <w:t>trajnimin e stafit</w:t>
      </w:r>
      <w:r w:rsidR="00C8187B">
        <w:rPr>
          <w:sz w:val="24"/>
          <w:szCs w:val="24"/>
          <w:lang w:val="sq-AL"/>
        </w:rPr>
        <w:t>.</w:t>
      </w:r>
    </w:p>
    <w:p w14:paraId="1CFD8617" w14:textId="42B1CAF2" w:rsidR="00087AEA" w:rsidRDefault="000B285E" w:rsidP="00087AEA">
      <w:pPr>
        <w:pStyle w:val="BodyText"/>
        <w:tabs>
          <w:tab w:val="left" w:pos="567"/>
        </w:tabs>
        <w:ind w:left="360" w:hanging="270"/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</w:t>
      </w:r>
      <w:r w:rsidRPr="00087AEA">
        <w:rPr>
          <w:sz w:val="24"/>
          <w:szCs w:val="24"/>
          <w:lang w:val="sq-AL"/>
        </w:rPr>
        <w:t xml:space="preserve">Vlerësim orientues i kostos neto shtesë publike: </w:t>
      </w:r>
      <w:r w:rsidR="00087AEA">
        <w:rPr>
          <w:sz w:val="24"/>
          <w:szCs w:val="24"/>
          <w:lang w:val="sq-AL"/>
        </w:rPr>
        <w:t xml:space="preserve"> </w:t>
      </w:r>
      <w:r w:rsidR="00087AEA" w:rsidRPr="00087AEA">
        <w:rPr>
          <w:sz w:val="24"/>
          <w:szCs w:val="24"/>
          <w:lang w:val="sq-AL"/>
        </w:rPr>
        <w:t>Kosto për kapacitet IT, adaptim të sistemeve raportuese</w:t>
      </w:r>
      <w:r w:rsidR="00087AEA">
        <w:rPr>
          <w:sz w:val="24"/>
          <w:szCs w:val="24"/>
          <w:lang w:val="sq-AL"/>
        </w:rPr>
        <w:t xml:space="preserve"> </w:t>
      </w:r>
      <w:r w:rsidR="00087AEA" w:rsidRPr="00087AEA">
        <w:rPr>
          <w:sz w:val="24"/>
          <w:szCs w:val="24"/>
          <w:lang w:val="sq-AL"/>
        </w:rPr>
        <w:t>Kosto për trajnime, mbështetje e zbatimit te operatorët e tregut.</w:t>
      </w:r>
      <w:r w:rsidR="00087AEA" w:rsidRPr="00087AEA">
        <w:rPr>
          <w:sz w:val="24"/>
          <w:szCs w:val="24"/>
          <w:lang w:val="sq-AL"/>
        </w:rPr>
        <w:tab/>
        <w:t xml:space="preserve">Kosto lekë për trajnime të vazhduara,  përditësime të lehta </w:t>
      </w:r>
      <w:r w:rsidR="00087AEA">
        <w:rPr>
          <w:sz w:val="24"/>
          <w:szCs w:val="24"/>
          <w:lang w:val="sq-AL"/>
        </w:rPr>
        <w:t>rregullatorë</w:t>
      </w:r>
    </w:p>
    <w:p w14:paraId="56810B1B" w14:textId="0233EC51" w:rsidR="000B285E" w:rsidRPr="0054657F" w:rsidRDefault="000B285E" w:rsidP="00087AEA">
      <w:pPr>
        <w:pStyle w:val="BodyText"/>
        <w:tabs>
          <w:tab w:val="left" w:pos="567"/>
        </w:tabs>
        <w:ind w:left="360" w:hanging="270"/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2.2. Shoqëritë aksionare të </w:t>
      </w:r>
      <w:proofErr w:type="spellStart"/>
      <w:r w:rsidRPr="0054657F">
        <w:rPr>
          <w:sz w:val="24"/>
          <w:szCs w:val="24"/>
          <w:lang w:val="sq-AL"/>
        </w:rPr>
        <w:t>listuara</w:t>
      </w:r>
      <w:proofErr w:type="spellEnd"/>
      <w:r w:rsidRPr="0054657F">
        <w:rPr>
          <w:sz w:val="24"/>
          <w:szCs w:val="24"/>
          <w:lang w:val="sq-AL"/>
        </w:rPr>
        <w:t xml:space="preserve"> / potencialisht të </w:t>
      </w:r>
      <w:proofErr w:type="spellStart"/>
      <w:r w:rsidRPr="0054657F">
        <w:rPr>
          <w:sz w:val="24"/>
          <w:szCs w:val="24"/>
          <w:lang w:val="sq-AL"/>
        </w:rPr>
        <w:t>listueshme</w:t>
      </w:r>
      <w:proofErr w:type="spellEnd"/>
    </w:p>
    <w:p w14:paraId="2F93FB21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Cilësore:</w:t>
      </w:r>
    </w:p>
    <w:p w14:paraId="5B15DF2D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Procedura e ofertës bëhet më e parashikueshme: afatet, përmbajtja e dokumentit të ofertës, mënyra e trajtimit të masave mbrojtëse të bordit, detyrimi për ofertë të detyrueshme kur merret kontrolli.</w:t>
      </w:r>
    </w:p>
    <w:p w14:paraId="711FB868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Rregullat e çmimit të drejtë parandalojnë blerje nënvleftësuese të pakicës.</w:t>
      </w:r>
    </w:p>
    <w:p w14:paraId="68F25FAC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Qartësimi i kompetencave ndërkufitare ul rrezikun që një transaksion të ngecë mes dy juridiksioneve.</w:t>
      </w:r>
    </w:p>
    <w:p w14:paraId="354D26EC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Sasiore / monetare:</w:t>
      </w:r>
    </w:p>
    <w:p w14:paraId="6BDAF29D" w14:textId="492272D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Ka një kosto fillestare për përgatitjen e dokumentacionit sipas formatit të ri (shpesh përfshin edhe përkthim dhe përgatitje të </w:t>
      </w:r>
      <w:proofErr w:type="spellStart"/>
      <w:r w:rsidRPr="0054657F">
        <w:rPr>
          <w:sz w:val="24"/>
          <w:szCs w:val="24"/>
          <w:lang w:val="sq-AL"/>
        </w:rPr>
        <w:t>të</w:t>
      </w:r>
      <w:proofErr w:type="spellEnd"/>
      <w:r w:rsidRPr="0054657F">
        <w:rPr>
          <w:sz w:val="24"/>
          <w:szCs w:val="24"/>
          <w:lang w:val="sq-AL"/>
        </w:rPr>
        <w:t xml:space="preserve"> dhënave strukturuar për depozitim), </w:t>
      </w:r>
      <w:proofErr w:type="spellStart"/>
      <w:r w:rsidRPr="0054657F">
        <w:rPr>
          <w:sz w:val="24"/>
          <w:szCs w:val="24"/>
          <w:lang w:val="sq-AL"/>
        </w:rPr>
        <w:t>rrethorisht</w:t>
      </w:r>
      <w:proofErr w:type="spellEnd"/>
      <w:r w:rsidRPr="0054657F">
        <w:rPr>
          <w:sz w:val="24"/>
          <w:szCs w:val="24"/>
          <w:lang w:val="sq-AL"/>
        </w:rPr>
        <w:t xml:space="preserve"> kosto këshillimi ligjor/</w:t>
      </w:r>
      <w:proofErr w:type="spellStart"/>
      <w:r w:rsidRPr="0054657F">
        <w:rPr>
          <w:sz w:val="24"/>
          <w:szCs w:val="24"/>
          <w:lang w:val="sq-AL"/>
        </w:rPr>
        <w:t>korporativ</w:t>
      </w:r>
      <w:proofErr w:type="spellEnd"/>
      <w:r w:rsidRPr="0054657F">
        <w:rPr>
          <w:sz w:val="24"/>
          <w:szCs w:val="24"/>
          <w:lang w:val="sq-AL"/>
        </w:rPr>
        <w:t xml:space="preserve"> + raportim financiar më të standardizuar. </w:t>
      </w:r>
    </w:p>
    <w:p w14:paraId="499A6ACB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Në afatin mesatar, ulje e kostos së kapitalit (pra rritje e vlerësimit/tregut) pasi rritet besueshmëria </w:t>
      </w:r>
      <w:proofErr w:type="spellStart"/>
      <w:r w:rsidRPr="0054657F">
        <w:rPr>
          <w:sz w:val="24"/>
          <w:szCs w:val="24"/>
          <w:lang w:val="sq-AL"/>
        </w:rPr>
        <w:t>rregullatore</w:t>
      </w:r>
      <w:proofErr w:type="spellEnd"/>
      <w:r w:rsidRPr="0054657F">
        <w:rPr>
          <w:sz w:val="24"/>
          <w:szCs w:val="24"/>
          <w:lang w:val="sq-AL"/>
        </w:rPr>
        <w:t xml:space="preserve"> dhe ul ndjeshëm rreziku ligjor në një ofertë publike për kontroll.</w:t>
      </w:r>
    </w:p>
    <w:p w14:paraId="225E42F8" w14:textId="74D90336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2.3. Investitorët / aksionarët </w:t>
      </w:r>
    </w:p>
    <w:p w14:paraId="153BF40C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Cilësore:</w:t>
      </w:r>
    </w:p>
    <w:p w14:paraId="380E1C91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Garantohet “trajtim i barabartë”: nëse ofertuesi blen aksione me çmim më të lartë gjatë periudhës së ofertës, ky çmim i rritur reflektohet për të gjithë aksionarët.</w:t>
      </w:r>
    </w:p>
    <w:p w14:paraId="106AC6F6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Sanksionohet qartë </w:t>
      </w:r>
      <w:proofErr w:type="spellStart"/>
      <w:r w:rsidRPr="0054657F">
        <w:rPr>
          <w:sz w:val="24"/>
          <w:szCs w:val="24"/>
          <w:lang w:val="sq-AL"/>
        </w:rPr>
        <w:t>squeeze-out</w:t>
      </w:r>
      <w:proofErr w:type="spellEnd"/>
      <w:r w:rsidRPr="0054657F">
        <w:rPr>
          <w:sz w:val="24"/>
          <w:szCs w:val="24"/>
          <w:lang w:val="sq-AL"/>
        </w:rPr>
        <w:t xml:space="preserve"> / </w:t>
      </w:r>
      <w:proofErr w:type="spellStart"/>
      <w:r w:rsidRPr="0054657F">
        <w:rPr>
          <w:sz w:val="24"/>
          <w:szCs w:val="24"/>
          <w:lang w:val="sq-AL"/>
        </w:rPr>
        <w:t>sell-out</w:t>
      </w:r>
      <w:proofErr w:type="spellEnd"/>
      <w:r w:rsidRPr="0054657F">
        <w:rPr>
          <w:sz w:val="24"/>
          <w:szCs w:val="24"/>
          <w:lang w:val="sq-AL"/>
        </w:rPr>
        <w:t>, për të mos lënë pakicën të bllokuar pa dalje ose të shfrytëzuar me çmime të padrejta.</w:t>
      </w:r>
    </w:p>
    <w:p w14:paraId="6B5F8E80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Ulet hapësira për manovra të bordit të shoqërisë objekt (p.sh. barriera artificiale kundër ofertës) pa miratim të asamblesë.</w:t>
      </w:r>
    </w:p>
    <w:p w14:paraId="4BEABB1C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Sasiore / monetare:</w:t>
      </w:r>
    </w:p>
    <w:p w14:paraId="07190FB2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Minoritarët kanë probabilitet më të lartë të marrin çmim më të lartë për aksionet e tyre gjatë një ndryshimi kontrolli. Ky është përfitim monetar i drejtpërdrejtë për publikun investues.</w:t>
      </w:r>
    </w:p>
    <w:p w14:paraId="677BD011" w14:textId="445D3783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</w:t>
      </w:r>
      <w:r w:rsidRPr="00063D6C">
        <w:rPr>
          <w:sz w:val="24"/>
          <w:szCs w:val="24"/>
          <w:lang w:val="sq-AL"/>
        </w:rPr>
        <w:t>Ulet rreziku i mbetjes peng pa dalje (“</w:t>
      </w:r>
      <w:proofErr w:type="spellStart"/>
      <w:r w:rsidRPr="00063D6C">
        <w:rPr>
          <w:sz w:val="24"/>
          <w:szCs w:val="24"/>
          <w:lang w:val="sq-AL"/>
        </w:rPr>
        <w:t>locked</w:t>
      </w:r>
      <w:proofErr w:type="spellEnd"/>
      <w:r w:rsidRPr="00063D6C">
        <w:rPr>
          <w:sz w:val="24"/>
          <w:szCs w:val="24"/>
          <w:lang w:val="sq-AL"/>
        </w:rPr>
        <w:t xml:space="preserve"> in”) pas ndryshimit të kontrollit.</w:t>
      </w:r>
    </w:p>
    <w:p w14:paraId="13EA030E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2.4. Operatorët e tregut, depoja qendrore, infrastruktura e tregut</w:t>
      </w:r>
    </w:p>
    <w:p w14:paraId="1383F2A0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Cilësore:</w:t>
      </w:r>
    </w:p>
    <w:p w14:paraId="47FFA2FD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Duhet të përshtatin proceset e njoftimit, depozitimit të informacionit dhe komunikimit publik sipas standardeve që do të lidhen edhe me ESAP-in.</w:t>
      </w:r>
    </w:p>
    <w:p w14:paraId="351CACF6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Forcohet transparenca e raportimit dhe menaxhimit të informacionit rreth ofertave.</w:t>
      </w:r>
    </w:p>
    <w:p w14:paraId="2824262C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Sasiore / monetare:</w:t>
      </w:r>
    </w:p>
    <w:p w14:paraId="0DD9206F" w14:textId="7C09208C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Kosto teknike për përshtatjen e sistemeve të raportimit elektronik dhe gjenerimin e të dhënave në format të lexueshëm nga makina. </w:t>
      </w:r>
    </w:p>
    <w:p w14:paraId="5DBDE983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</w:p>
    <w:p w14:paraId="59B4205A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3. Ndikimet jo të drejtpërdrejta</w:t>
      </w:r>
    </w:p>
    <w:p w14:paraId="6E4A0DC2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Për tregun / konkurrencën:</w:t>
      </w:r>
    </w:p>
    <w:p w14:paraId="29FECF5A" w14:textId="75457968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lastRenderedPageBreak/>
        <w:t xml:space="preserve">– Kuadri i qartë ligjor i bën më të realizueshme transaksionet e blerjes së kontrollit dhe u heq mundësinë aktorëve dominues të bllokojnë ofertat vetëm për të ruajtur kontrollin personal. Kjo rrit konkurrencën </w:t>
      </w:r>
      <w:proofErr w:type="spellStart"/>
      <w:r w:rsidRPr="0054657F">
        <w:rPr>
          <w:sz w:val="24"/>
          <w:szCs w:val="24"/>
          <w:lang w:val="sq-AL"/>
        </w:rPr>
        <w:t>korporative</w:t>
      </w:r>
      <w:proofErr w:type="spellEnd"/>
      <w:r w:rsidRPr="0054657F">
        <w:rPr>
          <w:sz w:val="24"/>
          <w:szCs w:val="24"/>
          <w:lang w:val="sq-AL"/>
        </w:rPr>
        <w:t xml:space="preserve"> dhe mund të sjellë investitorë më </w:t>
      </w:r>
      <w:proofErr w:type="spellStart"/>
      <w:r w:rsidRPr="0054657F">
        <w:rPr>
          <w:sz w:val="24"/>
          <w:szCs w:val="24"/>
          <w:lang w:val="sq-AL"/>
        </w:rPr>
        <w:t>efikasë</w:t>
      </w:r>
      <w:proofErr w:type="spellEnd"/>
      <w:r w:rsidRPr="0054657F">
        <w:rPr>
          <w:sz w:val="24"/>
          <w:szCs w:val="24"/>
          <w:lang w:val="sq-AL"/>
        </w:rPr>
        <w:t xml:space="preserve"> në menaxhim.</w:t>
      </w:r>
    </w:p>
    <w:p w14:paraId="2F657D8C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Transparenca përmes ESAP dhe raportimi i rregullt te Komisioni Evropian rrit dukshmërinë e shoqërive shqiptare për investitorët ndërkombëtarë, duke e bërë më të lehtë krahasimin e tyre me shoqëri të ngjashme në BE. Kjo është një formë “marketingu strukturor” e tregut shqiptar.</w:t>
      </w:r>
    </w:p>
    <w:p w14:paraId="638E3322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Për klimën investuese / reputacionin:</w:t>
      </w:r>
    </w:p>
    <w:p w14:paraId="614C7FEF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Tregu perceptohet si më i mbrojtur, më i rregulluar dhe më pak </w:t>
      </w:r>
      <w:proofErr w:type="spellStart"/>
      <w:r w:rsidRPr="0054657F">
        <w:rPr>
          <w:sz w:val="24"/>
          <w:szCs w:val="24"/>
          <w:lang w:val="sq-AL"/>
        </w:rPr>
        <w:t>informal</w:t>
      </w:r>
      <w:proofErr w:type="spellEnd"/>
      <w:r w:rsidRPr="0054657F">
        <w:rPr>
          <w:sz w:val="24"/>
          <w:szCs w:val="24"/>
          <w:lang w:val="sq-AL"/>
        </w:rPr>
        <w:t>. Kjo rrit besimin e publikut investues (përfshirë investitorë të vegjël vendas) që deri tani shpesh kanë hezituar të hyjnë në instrumente aksionare për shkak të frikës se “nuk kanë mbrojtje”.</w:t>
      </w:r>
    </w:p>
    <w:p w14:paraId="4ED4D2D5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</w:p>
    <w:p w14:paraId="55A91B81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4. Kufizimet e analizës</w:t>
      </w:r>
    </w:p>
    <w:p w14:paraId="539113CE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Supozimet kryesore:</w:t>
      </w:r>
    </w:p>
    <w:p w14:paraId="7FB1ADE8" w14:textId="4712E563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Supozohet që Autoriteti del me aktet nënligjore dhe udhëzimet teknike brenda afateve (6–9 muaj pas hyrjes në fuqi).</w:t>
      </w:r>
    </w:p>
    <w:p w14:paraId="5E69A8F2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Supozohet që aktorët e tregut pranojnë standardizimin e dokumentacionit dhe nuk e shmangin </w:t>
      </w:r>
      <w:proofErr w:type="spellStart"/>
      <w:r w:rsidRPr="0054657F">
        <w:rPr>
          <w:sz w:val="24"/>
          <w:szCs w:val="24"/>
          <w:lang w:val="sq-AL"/>
        </w:rPr>
        <w:t>listimin</w:t>
      </w:r>
      <w:proofErr w:type="spellEnd"/>
      <w:r w:rsidRPr="0054657F">
        <w:rPr>
          <w:sz w:val="24"/>
          <w:szCs w:val="24"/>
          <w:lang w:val="sq-AL"/>
        </w:rPr>
        <w:t xml:space="preserve"> duke ikur në juridiksione të tjera.</w:t>
      </w:r>
    </w:p>
    <w:p w14:paraId="16833BEF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Rreziqet / çfarë mund të rrisë kostot ose të ulë përfitimin:</w:t>
      </w:r>
    </w:p>
    <w:p w14:paraId="47161E0C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Nëse gjykatat japin interpretime kontradiktore për çmimin e drejtë ose për kufijtë e masave mbrojtëse të bordit, mund të rritet pasiguria ligjore afatshkurtër, derisa praktika të unifikohet.</w:t>
      </w:r>
    </w:p>
    <w:p w14:paraId="368B7C64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Nëse kostot për përgatitje dokumentacioni perceptohen si shumë të larta nga NVM-të, disa prej tyre mund të shtyjnë vendimin për </w:t>
      </w:r>
      <w:proofErr w:type="spellStart"/>
      <w:r w:rsidRPr="0054657F">
        <w:rPr>
          <w:sz w:val="24"/>
          <w:szCs w:val="24"/>
          <w:lang w:val="sq-AL"/>
        </w:rPr>
        <w:t>listim</w:t>
      </w:r>
      <w:proofErr w:type="spellEnd"/>
      <w:r w:rsidRPr="0054657F">
        <w:rPr>
          <w:sz w:val="24"/>
          <w:szCs w:val="24"/>
          <w:lang w:val="sq-AL"/>
        </w:rPr>
        <w:t>.</w:t>
      </w:r>
    </w:p>
    <w:p w14:paraId="202FCD7D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</w:p>
    <w:p w14:paraId="64EB00FC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5. Përmbledhje e vlerësimit të opsioneve</w:t>
      </w:r>
    </w:p>
    <w:p w14:paraId="2691B5D0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Opsioni 0 (status </w:t>
      </w:r>
      <w:proofErr w:type="spellStart"/>
      <w:r w:rsidRPr="0054657F">
        <w:rPr>
          <w:sz w:val="24"/>
          <w:szCs w:val="24"/>
          <w:lang w:val="sq-AL"/>
        </w:rPr>
        <w:t>quo</w:t>
      </w:r>
      <w:proofErr w:type="spellEnd"/>
      <w:r w:rsidRPr="0054657F">
        <w:rPr>
          <w:sz w:val="24"/>
          <w:szCs w:val="24"/>
          <w:lang w:val="sq-AL"/>
        </w:rPr>
        <w:t>)</w:t>
      </w:r>
    </w:p>
    <w:p w14:paraId="3EF8C67A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Kosto fiskale: zero shtesë.</w:t>
      </w:r>
    </w:p>
    <w:p w14:paraId="68E30EF5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Por: mbetet pasiguria ligjore, rrezik për abuzim me aksionarët minoritarë, asnjë përafrim i plotë me BE, rrezik </w:t>
      </w:r>
      <w:proofErr w:type="spellStart"/>
      <w:r w:rsidRPr="0054657F">
        <w:rPr>
          <w:sz w:val="24"/>
          <w:szCs w:val="24"/>
          <w:lang w:val="sq-AL"/>
        </w:rPr>
        <w:t>reputacional</w:t>
      </w:r>
      <w:proofErr w:type="spellEnd"/>
      <w:r w:rsidRPr="0054657F">
        <w:rPr>
          <w:sz w:val="24"/>
          <w:szCs w:val="24"/>
          <w:lang w:val="sq-AL"/>
        </w:rPr>
        <w:t xml:space="preserve"> dhe pengesë për integrim në tregun e BE.</w:t>
      </w:r>
    </w:p>
    <w:p w14:paraId="69C1C8A2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Efekt neto: negativ për tregun në afat mesatar, sepse ruan pengesat ekzistuese.</w:t>
      </w:r>
    </w:p>
    <w:p w14:paraId="4A3AE3D0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Opsioni 1 (</w:t>
      </w:r>
      <w:proofErr w:type="spellStart"/>
      <w:r w:rsidRPr="0054657F">
        <w:rPr>
          <w:sz w:val="24"/>
          <w:szCs w:val="24"/>
          <w:lang w:val="sq-AL"/>
        </w:rPr>
        <w:t>jorregullator</w:t>
      </w:r>
      <w:proofErr w:type="spellEnd"/>
      <w:r w:rsidRPr="0054657F">
        <w:rPr>
          <w:sz w:val="24"/>
          <w:szCs w:val="24"/>
          <w:lang w:val="sq-AL"/>
        </w:rPr>
        <w:t>)</w:t>
      </w:r>
    </w:p>
    <w:p w14:paraId="50429128" w14:textId="0BD7101B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Nuk ka kosto buxhetore, sepse kufizohet në udhëzime.</w:t>
      </w:r>
    </w:p>
    <w:p w14:paraId="24C78945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Por: nuk krijon detyrim ligjor, nuk mbulon çështjet kyçe (çmimi i drejtë, </w:t>
      </w:r>
      <w:proofErr w:type="spellStart"/>
      <w:r w:rsidRPr="0054657F">
        <w:rPr>
          <w:sz w:val="24"/>
          <w:szCs w:val="24"/>
          <w:lang w:val="sq-AL"/>
        </w:rPr>
        <w:t>reportimi</w:t>
      </w:r>
      <w:proofErr w:type="spellEnd"/>
      <w:r w:rsidRPr="0054657F">
        <w:rPr>
          <w:sz w:val="24"/>
          <w:szCs w:val="24"/>
          <w:lang w:val="sq-AL"/>
        </w:rPr>
        <w:t xml:space="preserve"> te KE, ESAP, kompetencat ndërkufitare).</w:t>
      </w:r>
    </w:p>
    <w:p w14:paraId="15E9D876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Efekt neto: pothuaj neutral nga ana fiskale, por i pamjaftueshëm për objektivat strategjikë (përafrimi 2030).</w:t>
      </w:r>
    </w:p>
    <w:p w14:paraId="4721E9C7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Opsioni 2 (rregullator i pjesshëm)</w:t>
      </w:r>
    </w:p>
    <w:p w14:paraId="7B1258FF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Kosto buxhetore dhe e tregut: mesatare, sepse ndryshon vetëm disa nene.</w:t>
      </w:r>
    </w:p>
    <w:p w14:paraId="09ED2973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Përfitim: përmirëson disa pika (p.sh. çmimi i drejtë, detyrimi për ofertë të detyrueshme).</w:t>
      </w:r>
    </w:p>
    <w:p w14:paraId="6A5BC929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Humbje: lë boshllëqe serioze në kompetencën ndërkufitare, në raportimin ndërkombëtar, në ESAP dhe në neutralitetin e bordit.</w:t>
      </w:r>
    </w:p>
    <w:p w14:paraId="5E41266C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– Efekt neto: i ndërmjetëm, por nuk e bën tregun shqiptar “të lexueshëm” për BE.</w:t>
      </w:r>
    </w:p>
    <w:p w14:paraId="046BF918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Opsioni 3 (rregullator i plotë / i preferuar)</w:t>
      </w:r>
    </w:p>
    <w:p w14:paraId="3D3FCADC" w14:textId="6874B7B8" w:rsidR="000B285E" w:rsidRPr="00FA0F86" w:rsidRDefault="000B285E" w:rsidP="00FA0F86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FA0F86">
        <w:rPr>
          <w:sz w:val="24"/>
          <w:szCs w:val="24"/>
          <w:lang w:val="sq-AL"/>
        </w:rPr>
        <w:lastRenderedPageBreak/>
        <w:t xml:space="preserve">– Kosto buxhetore fillestare e identifikuar (për AMF dhe infrastrukturën teknike): </w:t>
      </w:r>
      <w:r w:rsidR="00FA0F86" w:rsidRPr="00FA0F86">
        <w:rPr>
          <w:sz w:val="24"/>
          <w:szCs w:val="24"/>
        </w:rPr>
        <w:t>K</w:t>
      </w:r>
      <w:r w:rsidR="00FA0F86" w:rsidRPr="00FA0F86">
        <w:rPr>
          <w:sz w:val="24"/>
          <w:szCs w:val="24"/>
        </w:rPr>
        <w:t xml:space="preserve">osto </w:t>
      </w:r>
      <w:r w:rsidR="00FA0F86" w:rsidRPr="00FA0F86">
        <w:rPr>
          <w:sz w:val="24"/>
          <w:szCs w:val="24"/>
        </w:rPr>
        <w:t>e</w:t>
      </w:r>
      <w:r w:rsidR="00FA0F86" w:rsidRPr="00FA0F86">
        <w:rPr>
          <w:sz w:val="24"/>
          <w:szCs w:val="24"/>
        </w:rPr>
        <w:t xml:space="preserve"> </w:t>
      </w:r>
      <w:proofErr w:type="spellStart"/>
      <w:r w:rsidR="00FA0F86" w:rsidRPr="00FA0F86">
        <w:rPr>
          <w:sz w:val="24"/>
          <w:szCs w:val="24"/>
        </w:rPr>
        <w:t>pagave</w:t>
      </w:r>
      <w:proofErr w:type="spellEnd"/>
      <w:r w:rsidR="00FA0F86" w:rsidRPr="00FA0F86">
        <w:rPr>
          <w:sz w:val="24"/>
          <w:szCs w:val="24"/>
        </w:rPr>
        <w:t xml:space="preserve"> </w:t>
      </w:r>
      <w:proofErr w:type="spellStart"/>
      <w:r w:rsidR="00FA0F86" w:rsidRPr="00FA0F86">
        <w:rPr>
          <w:sz w:val="24"/>
          <w:szCs w:val="24"/>
        </w:rPr>
        <w:t>dhe</w:t>
      </w:r>
      <w:proofErr w:type="spellEnd"/>
      <w:r w:rsidR="00FA0F86" w:rsidRPr="00FA0F86">
        <w:rPr>
          <w:sz w:val="24"/>
          <w:szCs w:val="24"/>
        </w:rPr>
        <w:t xml:space="preserve"> </w:t>
      </w:r>
      <w:proofErr w:type="spellStart"/>
      <w:r w:rsidR="00FA0F86" w:rsidRPr="00FA0F86">
        <w:rPr>
          <w:sz w:val="24"/>
          <w:szCs w:val="24"/>
        </w:rPr>
        <w:t>funksionimit</w:t>
      </w:r>
      <w:proofErr w:type="spellEnd"/>
      <w:r w:rsidR="00FA0F86" w:rsidRPr="00FA0F86">
        <w:rPr>
          <w:sz w:val="24"/>
          <w:szCs w:val="24"/>
        </w:rPr>
        <w:t xml:space="preserve"> normal </w:t>
      </w:r>
      <w:proofErr w:type="spellStart"/>
      <w:r w:rsidR="00FA0F86" w:rsidRPr="00FA0F86">
        <w:rPr>
          <w:sz w:val="24"/>
          <w:szCs w:val="24"/>
        </w:rPr>
        <w:t>të</w:t>
      </w:r>
      <w:proofErr w:type="spellEnd"/>
      <w:r w:rsidR="00FA0F86" w:rsidRPr="00FA0F86">
        <w:rPr>
          <w:sz w:val="24"/>
          <w:szCs w:val="24"/>
        </w:rPr>
        <w:t xml:space="preserve"> </w:t>
      </w:r>
      <w:proofErr w:type="spellStart"/>
      <w:r w:rsidR="00FA0F86" w:rsidRPr="00FA0F86">
        <w:rPr>
          <w:sz w:val="24"/>
          <w:szCs w:val="24"/>
        </w:rPr>
        <w:t>drejtorive</w:t>
      </w:r>
      <w:proofErr w:type="spellEnd"/>
      <w:r w:rsidR="00FA0F86" w:rsidRPr="00FA0F86">
        <w:rPr>
          <w:sz w:val="24"/>
          <w:szCs w:val="24"/>
        </w:rPr>
        <w:t xml:space="preserve"> </w:t>
      </w:r>
      <w:proofErr w:type="spellStart"/>
      <w:r w:rsidR="00FA0F86" w:rsidRPr="00FA0F86">
        <w:rPr>
          <w:sz w:val="24"/>
          <w:szCs w:val="24"/>
        </w:rPr>
        <w:t>teknike</w:t>
      </w:r>
      <w:proofErr w:type="spellEnd"/>
      <w:r w:rsidR="00FA0F86" w:rsidRPr="00FA0F86">
        <w:rPr>
          <w:sz w:val="24"/>
          <w:szCs w:val="24"/>
        </w:rPr>
        <w:t xml:space="preserve"> </w:t>
      </w:r>
      <w:proofErr w:type="spellStart"/>
      <w:r w:rsidR="00FA0F86" w:rsidRPr="00FA0F86">
        <w:rPr>
          <w:sz w:val="24"/>
          <w:szCs w:val="24"/>
        </w:rPr>
        <w:t>që</w:t>
      </w:r>
      <w:proofErr w:type="spellEnd"/>
      <w:r w:rsidR="00FA0F86" w:rsidRPr="00FA0F86">
        <w:rPr>
          <w:sz w:val="24"/>
          <w:szCs w:val="24"/>
        </w:rPr>
        <w:t xml:space="preserve"> do </w:t>
      </w:r>
      <w:proofErr w:type="spellStart"/>
      <w:r w:rsidR="00FA0F86" w:rsidRPr="00FA0F86">
        <w:rPr>
          <w:sz w:val="24"/>
          <w:szCs w:val="24"/>
        </w:rPr>
        <w:t>të</w:t>
      </w:r>
      <w:proofErr w:type="spellEnd"/>
      <w:r w:rsidR="00FA0F86" w:rsidRPr="00FA0F86">
        <w:rPr>
          <w:sz w:val="24"/>
          <w:szCs w:val="24"/>
        </w:rPr>
        <w:t xml:space="preserve"> </w:t>
      </w:r>
      <w:proofErr w:type="spellStart"/>
      <w:r w:rsidR="00FA0F86" w:rsidRPr="00FA0F86">
        <w:rPr>
          <w:sz w:val="24"/>
          <w:szCs w:val="24"/>
        </w:rPr>
        <w:t>vijojnë</w:t>
      </w:r>
      <w:proofErr w:type="spellEnd"/>
      <w:r w:rsidR="00FA0F86" w:rsidRPr="00FA0F86">
        <w:rPr>
          <w:sz w:val="24"/>
          <w:szCs w:val="24"/>
        </w:rPr>
        <w:t xml:space="preserve"> </w:t>
      </w:r>
      <w:proofErr w:type="spellStart"/>
      <w:r w:rsidR="00FA0F86" w:rsidRPr="00FA0F86">
        <w:rPr>
          <w:sz w:val="24"/>
          <w:szCs w:val="24"/>
        </w:rPr>
        <w:t>këto</w:t>
      </w:r>
      <w:proofErr w:type="spellEnd"/>
      <w:r w:rsidR="00FA0F86" w:rsidRPr="00FA0F86">
        <w:rPr>
          <w:sz w:val="24"/>
          <w:szCs w:val="24"/>
        </w:rPr>
        <w:t xml:space="preserve"> </w:t>
      </w:r>
      <w:proofErr w:type="spellStart"/>
      <w:r w:rsidR="00FA0F86" w:rsidRPr="00FA0F86">
        <w:rPr>
          <w:sz w:val="24"/>
          <w:szCs w:val="24"/>
        </w:rPr>
        <w:t>procese</w:t>
      </w:r>
      <w:proofErr w:type="spellEnd"/>
      <w:r w:rsidR="00FA0F86" w:rsidRPr="00FA0F86">
        <w:rPr>
          <w:sz w:val="24"/>
          <w:szCs w:val="24"/>
        </w:rPr>
        <w:t>.</w:t>
      </w:r>
    </w:p>
    <w:p w14:paraId="53563C27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Përfitim ekonomik: rrit sigurinë ligjore, ul rrezikun </w:t>
      </w:r>
      <w:proofErr w:type="spellStart"/>
      <w:r w:rsidRPr="0054657F">
        <w:rPr>
          <w:sz w:val="24"/>
          <w:szCs w:val="24"/>
          <w:lang w:val="sq-AL"/>
        </w:rPr>
        <w:t>transaksional</w:t>
      </w:r>
      <w:proofErr w:type="spellEnd"/>
      <w:r w:rsidRPr="0054657F">
        <w:rPr>
          <w:sz w:val="24"/>
          <w:szCs w:val="24"/>
          <w:lang w:val="sq-AL"/>
        </w:rPr>
        <w:t>, rrit besimin e investitorëve (sidomos minoritarëve), forcon mbrojtjen dhe e bën tregun shqiptar të krahasueshëm me tregun e BE.</w:t>
      </w:r>
    </w:p>
    <w:p w14:paraId="2E4E8307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Përfitim strategjik: vendos themelet që Shqipëria të trajtohet si pjesë funksionale e tregut </w:t>
      </w:r>
      <w:proofErr w:type="spellStart"/>
      <w:r w:rsidRPr="0054657F">
        <w:rPr>
          <w:sz w:val="24"/>
          <w:szCs w:val="24"/>
          <w:lang w:val="sq-AL"/>
        </w:rPr>
        <w:t>europian</w:t>
      </w:r>
      <w:proofErr w:type="spellEnd"/>
      <w:r w:rsidRPr="0054657F">
        <w:rPr>
          <w:sz w:val="24"/>
          <w:szCs w:val="24"/>
          <w:lang w:val="sq-AL"/>
        </w:rPr>
        <w:t xml:space="preserve"> të kapitaleve në horizontin 2030, përfshirë transparencën përmes ESAP dhe raportimin vjetor te Komisioni Evropian.</w:t>
      </w:r>
    </w:p>
    <w:p w14:paraId="15057BBD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 xml:space="preserve">– Efekt neto: pozitiv ekonomikisht dhe </w:t>
      </w:r>
      <w:proofErr w:type="spellStart"/>
      <w:r w:rsidRPr="0054657F">
        <w:rPr>
          <w:sz w:val="24"/>
          <w:szCs w:val="24"/>
          <w:lang w:val="sq-AL"/>
        </w:rPr>
        <w:t>institucionalisht</w:t>
      </w:r>
      <w:proofErr w:type="spellEnd"/>
      <w:r w:rsidRPr="0054657F">
        <w:rPr>
          <w:sz w:val="24"/>
          <w:szCs w:val="24"/>
          <w:lang w:val="sq-AL"/>
        </w:rPr>
        <w:t xml:space="preserve">, me kosto të </w:t>
      </w:r>
      <w:proofErr w:type="spellStart"/>
      <w:r w:rsidRPr="0054657F">
        <w:rPr>
          <w:sz w:val="24"/>
          <w:szCs w:val="24"/>
          <w:lang w:val="sq-AL"/>
        </w:rPr>
        <w:t>menaxhueshme</w:t>
      </w:r>
      <w:proofErr w:type="spellEnd"/>
      <w:r w:rsidRPr="0054657F">
        <w:rPr>
          <w:sz w:val="24"/>
          <w:szCs w:val="24"/>
          <w:lang w:val="sq-AL"/>
        </w:rPr>
        <w:t xml:space="preserve"> dhe të përkohshme për shtetin dhe aktorët e tregut.</w:t>
      </w:r>
    </w:p>
    <w:p w14:paraId="0E68AD1F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Krahasimi total:</w:t>
      </w:r>
    </w:p>
    <w:p w14:paraId="60C63F39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</w:p>
    <w:p w14:paraId="30745A0E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</w:p>
    <w:p w14:paraId="7AAF9796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Opsioni 0 ruan problemin.</w:t>
      </w:r>
    </w:p>
    <w:p w14:paraId="3D5740CA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Opsioni 1 nuk është i detyrueshëm juridikisht.</w:t>
      </w:r>
    </w:p>
    <w:p w14:paraId="575D636B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Opsioni 2 përmirëson pjesërisht, por nuk garanton përafrim të plotë dhe nuk mbulon ndërkufitaren/transparencën ndërkombëtare.</w:t>
      </w:r>
    </w:p>
    <w:p w14:paraId="34BBD823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Opsioni 3 është i vetmi që (i) siguron mbrojtje të investitorit, (</w:t>
      </w:r>
      <w:proofErr w:type="spellStart"/>
      <w:r w:rsidRPr="0054657F">
        <w:rPr>
          <w:sz w:val="24"/>
          <w:szCs w:val="24"/>
          <w:lang w:val="sq-AL"/>
        </w:rPr>
        <w:t>ii</w:t>
      </w:r>
      <w:proofErr w:type="spellEnd"/>
      <w:r w:rsidRPr="0054657F">
        <w:rPr>
          <w:sz w:val="24"/>
          <w:szCs w:val="24"/>
          <w:lang w:val="sq-AL"/>
        </w:rPr>
        <w:t>) qartëson kompetencën ndërkufitare, (</w:t>
      </w:r>
      <w:proofErr w:type="spellStart"/>
      <w:r w:rsidRPr="0054657F">
        <w:rPr>
          <w:sz w:val="24"/>
          <w:szCs w:val="24"/>
          <w:lang w:val="sq-AL"/>
        </w:rPr>
        <w:t>iii</w:t>
      </w:r>
      <w:proofErr w:type="spellEnd"/>
      <w:r w:rsidRPr="0054657F">
        <w:rPr>
          <w:sz w:val="24"/>
          <w:szCs w:val="24"/>
          <w:lang w:val="sq-AL"/>
        </w:rPr>
        <w:t>) vendos raportimin dhe ESAP, dhe (</w:t>
      </w:r>
      <w:proofErr w:type="spellStart"/>
      <w:r w:rsidRPr="0054657F">
        <w:rPr>
          <w:sz w:val="24"/>
          <w:szCs w:val="24"/>
          <w:lang w:val="sq-AL"/>
        </w:rPr>
        <w:t>iv</w:t>
      </w:r>
      <w:proofErr w:type="spellEnd"/>
      <w:r w:rsidRPr="0054657F">
        <w:rPr>
          <w:sz w:val="24"/>
          <w:szCs w:val="24"/>
          <w:lang w:val="sq-AL"/>
        </w:rPr>
        <w:t>) përputh qartësisht ligjin tonë me modelin e BE-së.</w:t>
      </w:r>
    </w:p>
    <w:p w14:paraId="255F8F82" w14:textId="77777777" w:rsidR="000B285E" w:rsidRPr="0054657F" w:rsidRDefault="000B285E" w:rsidP="000B285E">
      <w:pPr>
        <w:pStyle w:val="BodyText"/>
        <w:tabs>
          <w:tab w:val="left" w:pos="567"/>
        </w:tabs>
        <w:jc w:val="both"/>
        <w:rPr>
          <w:sz w:val="24"/>
          <w:szCs w:val="24"/>
          <w:lang w:val="sq-AL"/>
        </w:rPr>
      </w:pPr>
    </w:p>
    <w:p w14:paraId="11E30BBB" w14:textId="164983EA" w:rsidR="000B285E" w:rsidRPr="009A2F80" w:rsidRDefault="000B285E" w:rsidP="009A2F80">
      <w:pPr>
        <w:pStyle w:val="BodyText"/>
        <w:tabs>
          <w:tab w:val="left" w:pos="567"/>
        </w:tabs>
        <w:spacing w:after="0"/>
        <w:jc w:val="both"/>
        <w:rPr>
          <w:sz w:val="24"/>
          <w:szCs w:val="24"/>
          <w:lang w:val="sq-AL"/>
        </w:rPr>
      </w:pPr>
      <w:r w:rsidRPr="0054657F">
        <w:rPr>
          <w:sz w:val="24"/>
          <w:szCs w:val="24"/>
          <w:lang w:val="sq-AL"/>
        </w:rPr>
        <w:t>Kjo është arsyeja pse opsioni 3 rekomandohet si opsioni final i politikës.</w:t>
      </w:r>
    </w:p>
    <w:p w14:paraId="379BB2CE" w14:textId="77777777" w:rsidR="002125B7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Arsyetimi i opsionit të preferuar</w:t>
      </w:r>
    </w:p>
    <w:sdt>
      <w:sdtPr>
        <w:rPr>
          <w:rFonts w:ascii="Times New Roman" w:hAnsi="Times New Roman"/>
          <w:i/>
          <w:sz w:val="24"/>
          <w:szCs w:val="24"/>
          <w:lang w:val="sq-AL"/>
        </w:rPr>
        <w:id w:val="-1317640879"/>
        <w:lock w:val="contentLocked"/>
        <w:placeholder>
          <w:docPart w:val="DefaultPlaceholder_1081868574"/>
        </w:placeholder>
      </w:sdtPr>
      <w:sdtEndPr/>
      <w:sdtContent>
        <w:p w14:paraId="0F57971F" w14:textId="6FD2F48E" w:rsidR="0097570D" w:rsidRPr="0032145B" w:rsidRDefault="0097570D" w:rsidP="009D13F4">
          <w:pPr>
            <w:pStyle w:val="ListParagraph"/>
            <w:numPr>
              <w:ilvl w:val="0"/>
              <w:numId w:val="29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Zgjidhni opsionin e preferuar</w:t>
          </w:r>
          <w:r w:rsidR="00372979">
            <w:rPr>
              <w:rFonts w:ascii="Times New Roman" w:hAnsi="Times New Roman"/>
              <w:i/>
              <w:sz w:val="24"/>
              <w:szCs w:val="24"/>
              <w:lang w:val="sq-AL"/>
            </w:rPr>
            <w:t>,</w:t>
          </w: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 bazuar në analizë. </w:t>
          </w:r>
        </w:p>
        <w:p w14:paraId="1FD60097" w14:textId="2731FE80" w:rsidR="002125B7" w:rsidRPr="0032145B" w:rsidRDefault="0097570D" w:rsidP="009D13F4">
          <w:pPr>
            <w:pStyle w:val="ListParagraph"/>
            <w:numPr>
              <w:ilvl w:val="0"/>
              <w:numId w:val="29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Shpjegoni arsyetimin tuaj.</w:t>
          </w:r>
        </w:p>
      </w:sdtContent>
    </w:sdt>
    <w:bookmarkStart w:id="15" w:name="_Toc506919739" w:displacedByCustomXml="prev"/>
    <w:p w14:paraId="75D80E0A" w14:textId="5BE6EAA5" w:rsidR="00563378" w:rsidRPr="00563378" w:rsidRDefault="00AD3B0C" w:rsidP="00CF2ADA">
      <w:pPr>
        <w:spacing w:before="240"/>
        <w:jc w:val="both"/>
        <w:rPr>
          <w:color w:val="808080" w:themeColor="background1" w:themeShade="80"/>
          <w:lang w:val="sq-AL"/>
        </w:rPr>
      </w:pPr>
      <w:sdt>
        <w:sdtPr>
          <w:rPr>
            <w:rFonts w:eastAsiaTheme="majorEastAsia"/>
            <w:color w:val="808080" w:themeColor="background1" w:themeShade="80"/>
          </w:rPr>
          <w:id w:val="-113368952"/>
          <w:placeholder>
            <w:docPart w:val="2C6B1E60C1A14643A06F2DDC18E211CF"/>
          </w:placeholder>
        </w:sdtPr>
        <w:sdtEndPr/>
        <w:sdtContent>
          <w:r w:rsidR="00631C19" w:rsidRPr="00631C19">
            <w:rPr>
              <w:rFonts w:eastAsiaTheme="majorEastAsia"/>
              <w:color w:val="808080" w:themeColor="background1" w:themeShade="80"/>
              <w:lang w:val="sq-AL"/>
            </w:rPr>
            <w:t xml:space="preserve">Opsioni 3 është zgjedhur pasi është i vetmi që siguron përafrim material me Direktivën 2004/25/EC dhe eliminon boshllëqet normative mbi çmimin e drejtë, kompetencën ndërkufitare dhe transparencën ndërinstitucionale. Përfitimi ekonomik neto pritet të jetë pozitiv në afatin mesatar, pasi rritet besueshmëria </w:t>
          </w:r>
          <w:proofErr w:type="spellStart"/>
          <w:r w:rsidR="00631C19" w:rsidRPr="00631C19">
            <w:rPr>
              <w:rFonts w:eastAsiaTheme="majorEastAsia"/>
              <w:color w:val="808080" w:themeColor="background1" w:themeShade="80"/>
              <w:lang w:val="sq-AL"/>
            </w:rPr>
            <w:t>rregullatore</w:t>
          </w:r>
          <w:proofErr w:type="spellEnd"/>
          <w:r w:rsidR="00631C19" w:rsidRPr="00631C19">
            <w:rPr>
              <w:rFonts w:eastAsiaTheme="majorEastAsia"/>
              <w:color w:val="808080" w:themeColor="background1" w:themeShade="80"/>
              <w:lang w:val="sq-AL"/>
            </w:rPr>
            <w:t xml:space="preserve"> dhe ul kostoja e kapitalit për shoqëritë e </w:t>
          </w:r>
          <w:proofErr w:type="spellStart"/>
          <w:r w:rsidR="00631C19" w:rsidRPr="00631C19">
            <w:rPr>
              <w:rFonts w:eastAsiaTheme="majorEastAsia"/>
              <w:color w:val="808080" w:themeColor="background1" w:themeShade="80"/>
              <w:lang w:val="sq-AL"/>
            </w:rPr>
            <w:t>listuara</w:t>
          </w:r>
          <w:proofErr w:type="spellEnd"/>
          <w:r w:rsidR="00631C19" w:rsidRPr="00631C19">
            <w:rPr>
              <w:rFonts w:eastAsiaTheme="majorEastAsia"/>
              <w:color w:val="808080" w:themeColor="background1" w:themeShade="80"/>
              <w:lang w:val="sq-AL"/>
            </w:rPr>
            <w:t xml:space="preserve">. Kostot publike mbeten të kufizuara dhe të </w:t>
          </w:r>
          <w:proofErr w:type="spellStart"/>
          <w:r w:rsidR="00631C19" w:rsidRPr="00631C19">
            <w:rPr>
              <w:rFonts w:eastAsiaTheme="majorEastAsia"/>
              <w:color w:val="808080" w:themeColor="background1" w:themeShade="80"/>
              <w:lang w:val="sq-AL"/>
            </w:rPr>
            <w:t>menaxhueshme</w:t>
          </w:r>
          <w:proofErr w:type="spellEnd"/>
          <w:r w:rsidR="00631C19" w:rsidRPr="00631C19">
            <w:rPr>
              <w:rFonts w:eastAsiaTheme="majorEastAsia"/>
              <w:color w:val="808080" w:themeColor="background1" w:themeShade="80"/>
              <w:lang w:val="sq-AL"/>
            </w:rPr>
            <w:t xml:space="preserve"> brenda buxhetit rregullator.</w:t>
          </w:r>
          <w:r w:rsidR="00631C19">
            <w:rPr>
              <w:rFonts w:eastAsiaTheme="majorEastAsia"/>
              <w:color w:val="808080" w:themeColor="background1" w:themeShade="80"/>
              <w:lang w:val="sq-AL"/>
            </w:rPr>
            <w:t xml:space="preserve"> </w:t>
          </w:r>
        </w:sdtContent>
      </w:sdt>
      <w:r w:rsidR="00563378" w:rsidRPr="00CF2ADA">
        <w:rPr>
          <w:rFonts w:eastAsiaTheme="majorEastAsia"/>
          <w:color w:val="808080" w:themeColor="background1" w:themeShade="80"/>
          <w:lang w:val="sq-AL"/>
        </w:rPr>
        <w:t>.</w:t>
      </w:r>
    </w:p>
    <w:p w14:paraId="6FE167F6" w14:textId="77777777" w:rsidR="002125B7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Çështje të zbatimit</w:t>
      </w:r>
      <w:bookmarkEnd w:id="15"/>
    </w:p>
    <w:sdt>
      <w:sdtPr>
        <w:rPr>
          <w:rFonts w:cs="Times New Roman"/>
          <w:i/>
          <w:sz w:val="24"/>
          <w:szCs w:val="24"/>
          <w:lang w:val="sq-AL"/>
        </w:rPr>
        <w:id w:val="686721506"/>
        <w:lock w:val="contentLocked"/>
        <w:placeholder>
          <w:docPart w:val="DefaultPlaceholder_1081868574"/>
        </w:placeholder>
      </w:sdtPr>
      <w:sdtEndPr>
        <w:rPr>
          <w:i w:val="0"/>
        </w:rPr>
      </w:sdtEndPr>
      <w:sdtContent>
        <w:p w14:paraId="60CA5B27" w14:textId="77777777" w:rsidR="0097570D" w:rsidRPr="0032145B" w:rsidRDefault="0097570D" w:rsidP="009D13F4">
          <w:pPr>
            <w:pStyle w:val="Style1-BodyText"/>
            <w:numPr>
              <w:ilvl w:val="0"/>
              <w:numId w:val="25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Shpjegoni se cila strukturë do të jetë përgjegjëse për zbatimin e opsionit të zgjedhur.</w:t>
          </w:r>
        </w:p>
        <w:p w14:paraId="4E17D0BE" w14:textId="77777777" w:rsidR="0097570D" w:rsidRPr="0032145B" w:rsidRDefault="0097570D" w:rsidP="009D13F4">
          <w:pPr>
            <w:pStyle w:val="Style1-BodyText"/>
            <w:numPr>
              <w:ilvl w:val="0"/>
              <w:numId w:val="25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Shpjegoni pengesat e mundshme për zbatimin e opsionit të zgjedhur.</w:t>
          </w:r>
        </w:p>
        <w:p w14:paraId="71CF11AC" w14:textId="1D405EA9" w:rsidR="0097570D" w:rsidRPr="00325A1F" w:rsidRDefault="0097570D" w:rsidP="009D13F4">
          <w:pPr>
            <w:pStyle w:val="Style1-BodyText"/>
            <w:numPr>
              <w:ilvl w:val="0"/>
              <w:numId w:val="25"/>
            </w:numPr>
            <w:spacing w:after="0" w:line="276" w:lineRule="auto"/>
            <w:rPr>
              <w:rFonts w:cs="Times New Roman"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Përshkruani masat që do të ndërmerren gjatë zbatimit për të arritur qëllimet e politikës.</w:t>
          </w:r>
        </w:p>
      </w:sdtContent>
    </w:sdt>
    <w:bookmarkStart w:id="16" w:name="_Toc465267003"/>
    <w:p w14:paraId="7630E29C" w14:textId="065CBA8E" w:rsidR="00563378" w:rsidRDefault="00AD3B0C" w:rsidP="00CF2ADA">
      <w:pPr>
        <w:spacing w:before="240"/>
        <w:rPr>
          <w:b/>
          <w:szCs w:val="24"/>
          <w:lang w:val="sq-AL"/>
        </w:rPr>
      </w:pPr>
      <w:sdt>
        <w:sdtPr>
          <w:rPr>
            <w:rFonts w:eastAsiaTheme="majorEastAsia"/>
          </w:rPr>
          <w:id w:val="-1991320087"/>
          <w:placeholder>
            <w:docPart w:val="C8F0C73A25AD4069881E7BB32D9AC3FF"/>
          </w:placeholder>
        </w:sdtPr>
        <w:sdtEndPr/>
        <w:sdtContent>
          <w:r w:rsidR="00821723" w:rsidRPr="00821723">
            <w:rPr>
              <w:rFonts w:eastAsiaTheme="majorEastAsia"/>
              <w:color w:val="808080" w:themeColor="background1" w:themeShade="80"/>
              <w:lang w:val="it-IT"/>
            </w:rPr>
            <w:t>Struktura përgjegjëse për zbatim do të jetë Autoriteti i Mbikëqyrjes Financiare. Pengesat mund të lidhen me: (i) kapacitetet teknike fillestare, (ii) standardizimin e dokumentimit nga emetuesit dhe (iii) rrezikun e interpretimit të ndryshëm gjyqësor në fazat e para. Masat: miratimi i akteve nënligjore brenda 6–9 muajve, udhëzime teknike për formatet e të dhënave, trajnime periodike dhe asistencë për operatorët e tregut.</w:t>
          </w:r>
          <w:r w:rsidR="00563378" w:rsidRPr="001155AF">
            <w:rPr>
              <w:rFonts w:eastAsiaTheme="majorEastAsia"/>
              <w:color w:val="808080" w:themeColor="background1" w:themeShade="80"/>
              <w:lang w:val="it-IT"/>
            </w:rPr>
            <w:t>.</w:t>
          </w:r>
        </w:sdtContent>
      </w:sdt>
    </w:p>
    <w:p w14:paraId="0616B3DB" w14:textId="77777777" w:rsidR="002125B7" w:rsidRPr="00325A1F" w:rsidRDefault="002125B7" w:rsidP="009D13F4">
      <w:pPr>
        <w:pStyle w:val="Style1-BodyText"/>
        <w:spacing w:before="240" w:after="0" w:line="276" w:lineRule="auto"/>
        <w:rPr>
          <w:rFonts w:cs="Times New Roman"/>
          <w:b/>
          <w:sz w:val="24"/>
          <w:szCs w:val="24"/>
          <w:lang w:val="sq-AL"/>
        </w:rPr>
      </w:pPr>
      <w:r w:rsidRPr="00325A1F">
        <w:rPr>
          <w:rFonts w:cs="Times New Roman"/>
          <w:b/>
          <w:sz w:val="24"/>
          <w:szCs w:val="24"/>
          <w:lang w:val="sq-AL"/>
        </w:rPr>
        <w:t>Faza e monitorimit dhe vlerësimit</w:t>
      </w:r>
    </w:p>
    <w:sdt>
      <w:sdtPr>
        <w:rPr>
          <w:rFonts w:cs="Times New Roman"/>
          <w:b/>
          <w:i/>
          <w:sz w:val="24"/>
          <w:szCs w:val="24"/>
          <w:lang w:val="sq-AL"/>
        </w:rPr>
        <w:id w:val="1311365965"/>
        <w:lock w:val="contentLocked"/>
        <w:placeholder>
          <w:docPart w:val="DefaultPlaceholder_1081868574"/>
        </w:placeholder>
      </w:sdtPr>
      <w:sdtEndPr/>
      <w:sdtContent>
        <w:p w14:paraId="2A98D13E" w14:textId="77777777" w:rsidR="009E64A4" w:rsidRPr="0032145B" w:rsidRDefault="009E64A4" w:rsidP="009D13F4">
          <w:pPr>
            <w:pStyle w:val="Style1-BodyText"/>
            <w:numPr>
              <w:ilvl w:val="0"/>
              <w:numId w:val="25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Jepni një përshkrim të përmbledhur të masave të monitorimit dhe të vlerësimit.</w:t>
          </w:r>
        </w:p>
        <w:p w14:paraId="2FFE9BEC" w14:textId="48E747C8" w:rsidR="002125B7" w:rsidRPr="0032145B" w:rsidRDefault="009E64A4" w:rsidP="009D13F4">
          <w:pPr>
            <w:pStyle w:val="Style1-BodyText"/>
            <w:numPr>
              <w:ilvl w:val="0"/>
              <w:numId w:val="25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kriteret/treguesit për të matur arritjen e objektivave ose progresin drejt tyre.</w:t>
          </w:r>
        </w:p>
      </w:sdtContent>
    </w:sdt>
    <w:bookmarkEnd w:id="16"/>
    <w:p w14:paraId="26A79D81" w14:textId="2B270D43" w:rsidR="002125B7" w:rsidRPr="00325A1F" w:rsidRDefault="00AD3B0C" w:rsidP="00CF2ADA">
      <w:pPr>
        <w:spacing w:before="240" w:line="276" w:lineRule="auto"/>
        <w:jc w:val="both"/>
        <w:rPr>
          <w:b/>
          <w:szCs w:val="24"/>
          <w:lang w:val="sq-AL"/>
        </w:rPr>
      </w:pPr>
      <w:sdt>
        <w:sdtPr>
          <w:rPr>
            <w:rFonts w:eastAsiaTheme="majorEastAsia"/>
            <w:color w:val="808080" w:themeColor="background1" w:themeShade="80"/>
          </w:rPr>
          <w:id w:val="-521482689"/>
          <w:placeholder>
            <w:docPart w:val="346DADE0E4B948EEB018BC06B86F97D7"/>
          </w:placeholder>
        </w:sdtPr>
        <w:sdtEndPr/>
        <w:sdtContent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Monitorimi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do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kryhet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me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raportim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vjetor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te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Komisioni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Evropian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,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depozitimin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e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dhënave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në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ESAP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dhe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mbledhjen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>/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analizimin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e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ankesave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publikut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.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Treguesit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kryesorë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>: (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i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)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realizimi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i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afateve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ofertave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sipas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rregullores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, (ii)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çmimi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i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ofertave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jetë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≥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çmimit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më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lartë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blerjeve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paralele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ofertuesit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, (iii)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depozitimi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elektronik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vjetor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në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ESAP, (iv)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rritje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e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numrit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shoqërive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që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shqyrtojnë</w:t>
          </w:r>
          <w:proofErr w:type="spellEnd"/>
          <w:r w:rsidR="00551F73" w:rsidRPr="00551F73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551F73" w:rsidRPr="00551F73">
            <w:rPr>
              <w:rFonts w:eastAsiaTheme="majorEastAsia"/>
              <w:color w:val="808080" w:themeColor="background1" w:themeShade="80"/>
            </w:rPr>
            <w:t>listimin</w:t>
          </w:r>
          <w:proofErr w:type="spellEnd"/>
          <w:r w:rsidR="00563378" w:rsidRPr="001155AF">
            <w:rPr>
              <w:rFonts w:eastAsiaTheme="majorEastAsia"/>
              <w:color w:val="808080" w:themeColor="background1" w:themeShade="80"/>
              <w:lang w:val="sq-AL"/>
            </w:rPr>
            <w:t>.</w:t>
          </w:r>
        </w:sdtContent>
      </w:sdt>
    </w:p>
    <w:p w14:paraId="009A219A" w14:textId="77777777" w:rsidR="00225F7F" w:rsidRDefault="00225F7F" w:rsidP="009D13F4">
      <w:pPr>
        <w:spacing w:line="276" w:lineRule="auto"/>
        <w:jc w:val="both"/>
        <w:rPr>
          <w:b/>
          <w:szCs w:val="24"/>
          <w:lang w:val="sq-AL"/>
        </w:rPr>
        <w:sectPr w:rsidR="00225F7F" w:rsidSect="00F219AD">
          <w:headerReference w:type="even" r:id="rId8"/>
          <w:footerReference w:type="default" r:id="rId9"/>
          <w:footnotePr>
            <w:numRestart w:val="eachSect"/>
          </w:footnotePr>
          <w:type w:val="continuous"/>
          <w:pgSz w:w="11907" w:h="16840" w:code="9"/>
          <w:pgMar w:top="680" w:right="851" w:bottom="680" w:left="851" w:header="284" w:footer="284" w:gutter="0"/>
          <w:cols w:space="708"/>
          <w:docGrid w:linePitch="360"/>
        </w:sectPr>
      </w:pPr>
    </w:p>
    <w:p w14:paraId="075225E0" w14:textId="77777777" w:rsidR="002125B7" w:rsidRPr="00325A1F" w:rsidRDefault="002125B7" w:rsidP="009D13F4">
      <w:pPr>
        <w:spacing w:line="276" w:lineRule="auto"/>
        <w:jc w:val="both"/>
        <w:rPr>
          <w:szCs w:val="24"/>
          <w:lang w:val="sq-AL"/>
        </w:rPr>
      </w:pPr>
      <w:r w:rsidRPr="00325A1F">
        <w:rPr>
          <w:b/>
          <w:szCs w:val="24"/>
          <w:lang w:val="sq-AL"/>
        </w:rPr>
        <w:lastRenderedPageBreak/>
        <w:t>Raporti i vlerësimit të ndikimit - Shtojca 2/a</w:t>
      </w:r>
    </w:p>
    <w:p w14:paraId="7583A4D7" w14:textId="77777777" w:rsidR="002125B7" w:rsidRPr="00325A1F" w:rsidRDefault="002125B7" w:rsidP="009D13F4">
      <w:pPr>
        <w:spacing w:line="276" w:lineRule="auto"/>
        <w:rPr>
          <w:rStyle w:val="Strong"/>
          <w:b w:val="0"/>
          <w:szCs w:val="24"/>
          <w:lang w:val="sq-AL"/>
        </w:rPr>
      </w:pPr>
    </w:p>
    <w:p w14:paraId="2B547A66" w14:textId="7627162A" w:rsidR="00225F7F" w:rsidRPr="001155AF" w:rsidRDefault="002125B7" w:rsidP="009F625C">
      <w:pPr>
        <w:spacing w:line="276" w:lineRule="auto"/>
        <w:rPr>
          <w:lang w:val="sq-AL"/>
        </w:rPr>
      </w:pPr>
      <w:r w:rsidRPr="00325A1F">
        <w:rPr>
          <w:rStyle w:val="Strong"/>
          <w:i/>
          <w:szCs w:val="24"/>
          <w:lang w:val="sq-AL"/>
        </w:rPr>
        <w:t>Tabela: Vlera aktuale neto në total (VAN) - kostot dhe përfitimet me vlerë monetare të përcaktuar në milionë lekë e zbritur për 10 vjet (Vlera aktuale e kostos dhe vlera aktuale e përfitimit); krahasuar me status quo-në</w:t>
      </w:r>
      <w:r w:rsidRPr="00325A1F">
        <w:rPr>
          <w:rStyle w:val="Strong"/>
          <w:szCs w:val="24"/>
          <w:lang w:val="sq-AL"/>
        </w:rPr>
        <w:t xml:space="preserve">.    </w:t>
      </w:r>
      <w:r w:rsidR="00225F7F" w:rsidRPr="00225F7F">
        <w:rPr>
          <w:rStyle w:val="Strong"/>
          <w:szCs w:val="24"/>
          <w:lang w:val="sq-AL"/>
        </w:rPr>
        <w:fldChar w:fldCharType="begin"/>
      </w:r>
      <w:r w:rsidR="00225F7F" w:rsidRPr="00225F7F">
        <w:rPr>
          <w:rStyle w:val="Strong"/>
          <w:szCs w:val="24"/>
          <w:lang w:val="sq-AL"/>
        </w:rPr>
        <w:instrText xml:space="preserve"> LINK Excel.SheetBinaryMacroEnabled.12 "C:\\Users\\nako\\Downloads\\Shembull i llogaritjes se Costo  perfitimeve  te RIAs - CBA calculation alb.xlsb" "Tabela Perfundimtare !R2C1:R21C11" \a \f 5 \h  \* MERGEFORMAT </w:instrText>
      </w:r>
      <w:r w:rsidR="00225F7F" w:rsidRPr="00225F7F">
        <w:rPr>
          <w:rStyle w:val="Strong"/>
          <w:szCs w:val="24"/>
          <w:lang w:val="sq-AL"/>
        </w:rPr>
        <w:fldChar w:fldCharType="end"/>
      </w:r>
    </w:p>
    <w:p w14:paraId="0AAA9D52" w14:textId="77777777" w:rsidR="00E139C5" w:rsidRPr="001155AF" w:rsidRDefault="009F625C" w:rsidP="009D13F4">
      <w:pPr>
        <w:spacing w:line="276" w:lineRule="auto"/>
        <w:rPr>
          <w:lang w:val="sq-AL"/>
        </w:rPr>
      </w:pPr>
      <w:r>
        <w:rPr>
          <w:b/>
          <w:szCs w:val="24"/>
          <w:lang w:val="sq-AL"/>
        </w:rPr>
        <w:fldChar w:fldCharType="begin"/>
      </w:r>
      <w:r>
        <w:rPr>
          <w:b/>
          <w:szCs w:val="24"/>
          <w:lang w:val="sq-AL"/>
        </w:rPr>
        <w:instrText xml:space="preserve"> LINK Excel.SheetBinaryMacroEnabled.12 "C:\\Users\\nako\\Downloads\\Shembull i llogaritjes se Costo  perfitimeve  te RIAs - CBA calculation alb.xlsb" "Tabela Perfundimtare !R2C1:R22C11" \a \f 5 \h  \* MERGEFORMAT </w:instrText>
      </w:r>
      <w:r>
        <w:rPr>
          <w:b/>
          <w:szCs w:val="24"/>
          <w:lang w:val="sq-AL"/>
        </w:rPr>
        <w:fldChar w:fldCharType="separate"/>
      </w:r>
    </w:p>
    <w:tbl>
      <w:tblPr>
        <w:tblStyle w:val="TableGrid"/>
        <w:tblW w:w="15115" w:type="dxa"/>
        <w:tblLook w:val="04A0" w:firstRow="1" w:lastRow="0" w:firstColumn="1" w:lastColumn="0" w:noHBand="0" w:noVBand="1"/>
      </w:tblPr>
      <w:tblGrid>
        <w:gridCol w:w="3145"/>
        <w:gridCol w:w="1350"/>
        <w:gridCol w:w="1170"/>
        <w:gridCol w:w="1080"/>
        <w:gridCol w:w="1170"/>
        <w:gridCol w:w="1080"/>
        <w:gridCol w:w="1260"/>
        <w:gridCol w:w="1080"/>
        <w:gridCol w:w="1260"/>
        <w:gridCol w:w="1260"/>
        <w:gridCol w:w="1260"/>
      </w:tblGrid>
      <w:tr w:rsidR="00E139C5" w:rsidRPr="00E139C5" w14:paraId="4DE84FC9" w14:textId="77777777" w:rsidTr="00E139C5">
        <w:trPr>
          <w:divId w:val="1261141582"/>
          <w:trHeight w:val="25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2D91DE60" w14:textId="77777777" w:rsidR="00E139C5" w:rsidRPr="001155AF" w:rsidRDefault="00E139C5" w:rsidP="00E139C5">
            <w:pPr>
              <w:spacing w:line="276" w:lineRule="auto"/>
              <w:rPr>
                <w:szCs w:val="24"/>
                <w:lang w:val="sq-AL"/>
              </w:rPr>
            </w:pPr>
            <w:r w:rsidRPr="001155AF">
              <w:rPr>
                <w:szCs w:val="24"/>
                <w:lang w:val="sq-AL"/>
              </w:rPr>
              <w:t> 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500CC8A3" w14:textId="77777777" w:rsidR="00E139C5" w:rsidRPr="00E139C5" w:rsidRDefault="00E139C5" w:rsidP="00E139C5">
            <w:pPr>
              <w:spacing w:line="276" w:lineRule="auto"/>
              <w:ind w:left="-108" w:firstLine="108"/>
              <w:rPr>
                <w:b/>
                <w:bCs/>
                <w:szCs w:val="24"/>
              </w:rPr>
            </w:pPr>
            <w:r w:rsidRPr="001155AF">
              <w:rPr>
                <w:b/>
                <w:bCs/>
                <w:szCs w:val="24"/>
                <w:lang w:val="sq-AL"/>
              </w:rPr>
              <w:t xml:space="preserve"> </w:t>
            </w:r>
            <w:proofErr w:type="gramStart"/>
            <w:r w:rsidRPr="00E139C5">
              <w:rPr>
                <w:b/>
                <w:bCs/>
                <w:szCs w:val="24"/>
              </w:rPr>
              <w:t>Viti  1</w:t>
            </w:r>
            <w:proofErr w:type="gramEnd"/>
            <w:r w:rsidRPr="00E139C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14:paraId="157A0529" w14:textId="77777777" w:rsidR="00E139C5" w:rsidRPr="00E139C5" w:rsidRDefault="00E139C5" w:rsidP="00E139C5">
            <w:pPr>
              <w:spacing w:line="276" w:lineRule="auto"/>
              <w:ind w:left="-108" w:firstLine="108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2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0524B79C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3 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14:paraId="6CA49A9C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4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01CC42B2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5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1427490F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6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422A863D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7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746CAF12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8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08852860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9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776A8E76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10 </w:t>
            </w:r>
          </w:p>
        </w:tc>
      </w:tr>
      <w:tr w:rsidR="00E139C5" w:rsidRPr="00E139C5" w14:paraId="1FDEB49D" w14:textId="77777777" w:rsidTr="00E139C5">
        <w:trPr>
          <w:divId w:val="1261141582"/>
          <w:trHeight w:val="25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6449A2DE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proofErr w:type="spellStart"/>
            <w:r w:rsidRPr="00E139C5">
              <w:rPr>
                <w:b/>
                <w:bCs/>
                <w:szCs w:val="24"/>
              </w:rPr>
              <w:t>Faktori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zbritës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77F9F81C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  1.00 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14:paraId="4BB045BA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0.95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446FDEA4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0.91 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14:paraId="12BD0CE7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0.87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79A4ACC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0.82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3D85CE66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0.79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514BF333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0.75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69BDC4B1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 0.71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302F99FC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0.68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2D3330AA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  0.65 </w:t>
            </w:r>
          </w:p>
        </w:tc>
      </w:tr>
      <w:tr w:rsidR="00E139C5" w:rsidRPr="00E139C5" w14:paraId="3CA37EA0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3DC3B01F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r w:rsidRPr="00E139C5">
              <w:rPr>
                <w:szCs w:val="24"/>
              </w:rPr>
              <w:t xml:space="preserve">Kosto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buxhetin</w:t>
            </w:r>
            <w:proofErr w:type="spellEnd"/>
            <w:r w:rsidRPr="00E139C5">
              <w:rPr>
                <w:szCs w:val="24"/>
              </w:rPr>
              <w:t xml:space="preserve"> -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  <w:hideMark/>
          </w:tcPr>
          <w:p w14:paraId="17485ADF" w14:textId="7F1DD161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  <w:tc>
          <w:tcPr>
            <w:tcW w:w="1170" w:type="dxa"/>
            <w:hideMark/>
          </w:tcPr>
          <w:p w14:paraId="4DD2ED09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2FDC4BCF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3155205D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29C7534C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5ED35756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6CCA5814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29A1EF4D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44663683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20461BC1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23C3F2BC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673D8CD9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r w:rsidRPr="00E139C5">
              <w:rPr>
                <w:szCs w:val="24"/>
              </w:rPr>
              <w:t xml:space="preserve">Kosto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buxhetin</w:t>
            </w:r>
            <w:proofErr w:type="spellEnd"/>
            <w:r w:rsidRPr="00E139C5">
              <w:rPr>
                <w:szCs w:val="24"/>
              </w:rPr>
              <w:t xml:space="preserve"> -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hideMark/>
          </w:tcPr>
          <w:p w14:paraId="3F516109" w14:textId="4B94F9F0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</w:t>
            </w:r>
          </w:p>
        </w:tc>
        <w:tc>
          <w:tcPr>
            <w:tcW w:w="1170" w:type="dxa"/>
            <w:hideMark/>
          </w:tcPr>
          <w:p w14:paraId="300467F1" w14:textId="2D45468D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080" w:type="dxa"/>
            <w:hideMark/>
          </w:tcPr>
          <w:p w14:paraId="341461F1" w14:textId="6C11989A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170" w:type="dxa"/>
            <w:hideMark/>
          </w:tcPr>
          <w:p w14:paraId="0CFE28C8" w14:textId="7A18432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080" w:type="dxa"/>
            <w:hideMark/>
          </w:tcPr>
          <w:p w14:paraId="0D6F260D" w14:textId="0FD52F13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hideMark/>
          </w:tcPr>
          <w:p w14:paraId="7C136655" w14:textId="007BA1C8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080" w:type="dxa"/>
            <w:hideMark/>
          </w:tcPr>
          <w:p w14:paraId="0F49D221" w14:textId="21FA19C6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hideMark/>
          </w:tcPr>
          <w:p w14:paraId="1E0EEA39" w14:textId="12BB898A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260" w:type="dxa"/>
            <w:hideMark/>
          </w:tcPr>
          <w:p w14:paraId="3D3C42F5" w14:textId="3F98327C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260" w:type="dxa"/>
            <w:hideMark/>
          </w:tcPr>
          <w:p w14:paraId="4BE177F6" w14:textId="39C89911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</w:t>
            </w:r>
          </w:p>
        </w:tc>
      </w:tr>
      <w:tr w:rsidR="00E139C5" w:rsidRPr="00E139C5" w14:paraId="3147567D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2F43CC06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r w:rsidRPr="00E139C5">
              <w:rPr>
                <w:szCs w:val="24"/>
              </w:rPr>
              <w:t xml:space="preserve">Kosto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bizneset</w:t>
            </w:r>
            <w:proofErr w:type="spellEnd"/>
            <w:r w:rsidRPr="00E139C5">
              <w:rPr>
                <w:szCs w:val="24"/>
              </w:rPr>
              <w:t xml:space="preserve"> -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  <w:r w:rsidRPr="00E139C5">
              <w:rPr>
                <w:szCs w:val="24"/>
              </w:rPr>
              <w:t xml:space="preserve"> </w:t>
            </w:r>
          </w:p>
        </w:tc>
        <w:tc>
          <w:tcPr>
            <w:tcW w:w="1350" w:type="dxa"/>
            <w:hideMark/>
          </w:tcPr>
          <w:p w14:paraId="56F6BEB8" w14:textId="5FA4F4B8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  <w:tc>
          <w:tcPr>
            <w:tcW w:w="1170" w:type="dxa"/>
            <w:hideMark/>
          </w:tcPr>
          <w:p w14:paraId="52FF900E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3146428D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6F73F06A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4DDB0081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65AF2137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0A9A1858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54A4A7E2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4BC9609E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078C6D3C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6CE6233F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18CDBC06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r w:rsidRPr="00E139C5">
              <w:rPr>
                <w:szCs w:val="24"/>
              </w:rPr>
              <w:t xml:space="preserve">Kosto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bizneset</w:t>
            </w:r>
            <w:proofErr w:type="spellEnd"/>
            <w:r w:rsidRPr="00E139C5">
              <w:rPr>
                <w:szCs w:val="24"/>
              </w:rPr>
              <w:t xml:space="preserve"> -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hideMark/>
          </w:tcPr>
          <w:p w14:paraId="27B2F804" w14:textId="564D24FD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170" w:type="dxa"/>
            <w:hideMark/>
          </w:tcPr>
          <w:p w14:paraId="17E17005" w14:textId="6890D832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hideMark/>
          </w:tcPr>
          <w:p w14:paraId="3E933CFE" w14:textId="17C2F1A6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170" w:type="dxa"/>
            <w:hideMark/>
          </w:tcPr>
          <w:p w14:paraId="3197B98F" w14:textId="2CBD2DF8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24B68243" w14:textId="70995390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08AFF99E" w14:textId="4527BEA9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6207DB7E" w14:textId="20CA4345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627C5A58" w14:textId="0A837ACC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57A2DF8C" w14:textId="710A9795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hideMark/>
          </w:tcPr>
          <w:p w14:paraId="1E66E82F" w14:textId="3E66272A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</w:tr>
      <w:tr w:rsidR="00E139C5" w:rsidRPr="00BB40AE" w14:paraId="445EC9DA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53E30F5D" w14:textId="77777777" w:rsidR="00E139C5" w:rsidRPr="001155AF" w:rsidRDefault="00E139C5" w:rsidP="00E139C5">
            <w:pPr>
              <w:spacing w:line="276" w:lineRule="auto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Kosto për grupet e tjera - një herë</w:t>
            </w:r>
          </w:p>
        </w:tc>
        <w:tc>
          <w:tcPr>
            <w:tcW w:w="1350" w:type="dxa"/>
            <w:hideMark/>
          </w:tcPr>
          <w:p w14:paraId="48D136C8" w14:textId="77777777" w:rsidR="00E139C5" w:rsidRPr="001155AF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170" w:type="dxa"/>
            <w:hideMark/>
          </w:tcPr>
          <w:p w14:paraId="1D2F61E3" w14:textId="77777777" w:rsidR="00E139C5" w:rsidRPr="001155AF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080" w:type="dxa"/>
            <w:hideMark/>
          </w:tcPr>
          <w:p w14:paraId="3DCB0307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170" w:type="dxa"/>
            <w:hideMark/>
          </w:tcPr>
          <w:p w14:paraId="303FFAE9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080" w:type="dxa"/>
            <w:hideMark/>
          </w:tcPr>
          <w:p w14:paraId="21898E8B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352E326E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080" w:type="dxa"/>
            <w:hideMark/>
          </w:tcPr>
          <w:p w14:paraId="485167D3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7608D687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4C1AE0D1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3E2FA1CB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</w:tr>
      <w:tr w:rsidR="00E139C5" w:rsidRPr="00BB40AE" w14:paraId="49355DAF" w14:textId="77777777" w:rsidTr="00E139C5">
        <w:trPr>
          <w:divId w:val="1261141582"/>
          <w:trHeight w:val="270"/>
        </w:trPr>
        <w:tc>
          <w:tcPr>
            <w:tcW w:w="3145" w:type="dxa"/>
            <w:hideMark/>
          </w:tcPr>
          <w:p w14:paraId="037299A0" w14:textId="77777777" w:rsidR="00E139C5" w:rsidRPr="001155AF" w:rsidRDefault="00E139C5" w:rsidP="00E139C5">
            <w:pPr>
              <w:spacing w:line="276" w:lineRule="auto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Kosto për grupet e tjera - në vazhdimësi</w:t>
            </w:r>
          </w:p>
        </w:tc>
        <w:tc>
          <w:tcPr>
            <w:tcW w:w="1350" w:type="dxa"/>
            <w:hideMark/>
          </w:tcPr>
          <w:p w14:paraId="5E7C320A" w14:textId="77777777" w:rsidR="00E139C5" w:rsidRPr="001155AF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 xml:space="preserve">    </w:t>
            </w:r>
          </w:p>
        </w:tc>
        <w:tc>
          <w:tcPr>
            <w:tcW w:w="1170" w:type="dxa"/>
            <w:hideMark/>
          </w:tcPr>
          <w:p w14:paraId="5D989C32" w14:textId="77777777" w:rsidR="00E139C5" w:rsidRPr="001155AF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080" w:type="dxa"/>
            <w:hideMark/>
          </w:tcPr>
          <w:p w14:paraId="42AD1FF4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170" w:type="dxa"/>
            <w:hideMark/>
          </w:tcPr>
          <w:p w14:paraId="06AF9BCD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080" w:type="dxa"/>
            <w:hideMark/>
          </w:tcPr>
          <w:p w14:paraId="19F8B7E1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75B2F340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080" w:type="dxa"/>
            <w:hideMark/>
          </w:tcPr>
          <w:p w14:paraId="6D2AC726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1D26E209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77BA3607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3DB7A4AD" w14:textId="77777777" w:rsidR="00E139C5" w:rsidRPr="001155AF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1155AF">
              <w:rPr>
                <w:szCs w:val="24"/>
                <w:lang w:val="it-IT"/>
              </w:rPr>
              <w:t> </w:t>
            </w:r>
          </w:p>
        </w:tc>
      </w:tr>
      <w:tr w:rsidR="00E139C5" w:rsidRPr="00E139C5" w14:paraId="72226F67" w14:textId="77777777" w:rsidTr="00E139C5">
        <w:trPr>
          <w:divId w:val="1261141582"/>
          <w:trHeight w:val="285"/>
        </w:trPr>
        <w:tc>
          <w:tcPr>
            <w:tcW w:w="3145" w:type="dxa"/>
            <w:hideMark/>
          </w:tcPr>
          <w:p w14:paraId="1F57DE70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Kosto </w:t>
            </w:r>
            <w:proofErr w:type="spellStart"/>
            <w:r w:rsidRPr="00E139C5">
              <w:rPr>
                <w:b/>
                <w:bCs/>
                <w:szCs w:val="24"/>
              </w:rPr>
              <w:t>në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total </w:t>
            </w:r>
          </w:p>
        </w:tc>
        <w:tc>
          <w:tcPr>
            <w:tcW w:w="1350" w:type="dxa"/>
            <w:hideMark/>
          </w:tcPr>
          <w:p w14:paraId="08FD3CB1" w14:textId="6FF94FCB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170" w:type="dxa"/>
            <w:hideMark/>
          </w:tcPr>
          <w:p w14:paraId="760E0925" w14:textId="4A772145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hideMark/>
          </w:tcPr>
          <w:p w14:paraId="1381CF26" w14:textId="700ED304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170" w:type="dxa"/>
            <w:hideMark/>
          </w:tcPr>
          <w:p w14:paraId="75F49E46" w14:textId="03C2386B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4468C97B" w14:textId="4CFB0D01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03065CD0" w14:textId="562EB8AD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262344F9" w14:textId="2D1E7578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hideMark/>
          </w:tcPr>
          <w:p w14:paraId="3219BAC9" w14:textId="048D4833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201F6F96" w14:textId="3B178A92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hideMark/>
          </w:tcPr>
          <w:p w14:paraId="71089AAA" w14:textId="112BC5CE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</w:tr>
      <w:tr w:rsidR="00E139C5" w:rsidRPr="00E139C5" w14:paraId="6A33D8BC" w14:textId="77777777" w:rsidTr="00E139C5">
        <w:trPr>
          <w:divId w:val="1261141582"/>
          <w:trHeight w:val="375"/>
        </w:trPr>
        <w:tc>
          <w:tcPr>
            <w:tcW w:w="3145" w:type="dxa"/>
            <w:hideMark/>
          </w:tcPr>
          <w:p w14:paraId="2E18C82B" w14:textId="77777777" w:rsidR="00E139C5" w:rsidRPr="001155AF" w:rsidRDefault="00E139C5" w:rsidP="00E139C5">
            <w:pPr>
              <w:spacing w:line="276" w:lineRule="auto"/>
              <w:rPr>
                <w:bCs/>
                <w:szCs w:val="24"/>
                <w:lang w:val="it-IT"/>
              </w:rPr>
            </w:pPr>
            <w:r w:rsidRPr="001155AF">
              <w:rPr>
                <w:b/>
                <w:bCs/>
                <w:szCs w:val="24"/>
                <w:lang w:val="it-IT"/>
              </w:rPr>
              <w:t>Kosto e zbritur</w:t>
            </w:r>
            <w:r w:rsidRPr="001155AF">
              <w:rPr>
                <w:szCs w:val="24"/>
                <w:lang w:val="it-IT"/>
              </w:rPr>
              <w:t>= Kosto në total x Faktori zbritës</w:t>
            </w:r>
          </w:p>
        </w:tc>
        <w:tc>
          <w:tcPr>
            <w:tcW w:w="1350" w:type="dxa"/>
            <w:hideMark/>
          </w:tcPr>
          <w:p w14:paraId="07C3D5F1" w14:textId="57501D3E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1155AF">
              <w:rPr>
                <w:szCs w:val="24"/>
                <w:lang w:val="it-IT"/>
              </w:rPr>
              <w:t xml:space="preserve">            </w:t>
            </w:r>
          </w:p>
        </w:tc>
        <w:tc>
          <w:tcPr>
            <w:tcW w:w="1170" w:type="dxa"/>
            <w:hideMark/>
          </w:tcPr>
          <w:p w14:paraId="7EF33A7D" w14:textId="377EB036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5417D99A" w14:textId="123AD58C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</w:t>
            </w:r>
          </w:p>
        </w:tc>
        <w:tc>
          <w:tcPr>
            <w:tcW w:w="1170" w:type="dxa"/>
            <w:hideMark/>
          </w:tcPr>
          <w:p w14:paraId="3203BD17" w14:textId="761F0BBC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5479F485" w14:textId="74803ACB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65A671FF" w14:textId="765C6E49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hideMark/>
          </w:tcPr>
          <w:p w14:paraId="3D70421E" w14:textId="52FFE021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16A543C1" w14:textId="3D462456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5D250832" w14:textId="46ECC29F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  <w:tc>
          <w:tcPr>
            <w:tcW w:w="1260" w:type="dxa"/>
            <w:hideMark/>
          </w:tcPr>
          <w:p w14:paraId="70B85222" w14:textId="03F31D44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</w:tr>
      <w:tr w:rsidR="00E139C5" w:rsidRPr="00E139C5" w14:paraId="33563E79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620EA433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buxhetin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  <w:hideMark/>
          </w:tcPr>
          <w:p w14:paraId="66BE14B0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252C8DD0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3949314A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47F4BDB9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131F33E2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2F161821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7DA87836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4318A1BC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2301755A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09FFBF30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1BECE69A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0EA77DFA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buxhetin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hideMark/>
          </w:tcPr>
          <w:p w14:paraId="4A98A760" w14:textId="20B662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170" w:type="dxa"/>
            <w:hideMark/>
          </w:tcPr>
          <w:p w14:paraId="5D59F99F" w14:textId="0FEC41E1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hideMark/>
          </w:tcPr>
          <w:p w14:paraId="5FCA2A3E" w14:textId="75A815A0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170" w:type="dxa"/>
            <w:hideMark/>
          </w:tcPr>
          <w:p w14:paraId="69C3726C" w14:textId="4C528081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0A099AA4" w14:textId="1418A590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2D7E2D4B" w14:textId="24EE258B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hideMark/>
          </w:tcPr>
          <w:p w14:paraId="5C9C540F" w14:textId="5F230C60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7451BE07" w14:textId="5E9EB8A2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7EF41909" w14:textId="0A1DFF10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hideMark/>
          </w:tcPr>
          <w:p w14:paraId="75717044" w14:textId="3BCEC4FB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</w:tr>
      <w:tr w:rsidR="00E139C5" w:rsidRPr="00E139C5" w14:paraId="291B8639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6A576C32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grupet</w:t>
            </w:r>
            <w:proofErr w:type="spellEnd"/>
            <w:r w:rsidRPr="00E139C5">
              <w:rPr>
                <w:szCs w:val="24"/>
              </w:rPr>
              <w:t xml:space="preserve"> e </w:t>
            </w:r>
            <w:proofErr w:type="spellStart"/>
            <w:r w:rsidRPr="00E139C5">
              <w:rPr>
                <w:szCs w:val="24"/>
              </w:rPr>
              <w:t>tjera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  <w:hideMark/>
          </w:tcPr>
          <w:p w14:paraId="36DEBA98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19A9196F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0741845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777F400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67C8CD8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1D824EE6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2B199BA2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107453AC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59BA9B57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66E638BD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3616C53F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1FF91133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grupet</w:t>
            </w:r>
            <w:proofErr w:type="spellEnd"/>
            <w:r w:rsidRPr="00E139C5">
              <w:rPr>
                <w:szCs w:val="24"/>
              </w:rPr>
              <w:t xml:space="preserve"> e </w:t>
            </w:r>
            <w:proofErr w:type="spellStart"/>
            <w:r w:rsidRPr="00E139C5">
              <w:rPr>
                <w:szCs w:val="24"/>
              </w:rPr>
              <w:t>tjera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hideMark/>
          </w:tcPr>
          <w:p w14:paraId="311598DC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249606C4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2A8E54B0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3153A25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70883C4C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357E1523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40FDBE59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617C45F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77958C5E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3F36D85A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6E53C29F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2299BF7B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biznesin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  <w:hideMark/>
          </w:tcPr>
          <w:p w14:paraId="7F5390FF" w14:textId="0667A58F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</w:t>
            </w:r>
          </w:p>
        </w:tc>
        <w:tc>
          <w:tcPr>
            <w:tcW w:w="1170" w:type="dxa"/>
            <w:hideMark/>
          </w:tcPr>
          <w:p w14:paraId="43EE7322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2DC3B9C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48BB5D70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56FC7079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2D73A32E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4847F1A7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0B0E7A9F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4582EF44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4B21E4CF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4E25EAAF" w14:textId="77777777" w:rsidTr="00E139C5">
        <w:trPr>
          <w:divId w:val="1261141582"/>
          <w:trHeight w:val="270"/>
        </w:trPr>
        <w:tc>
          <w:tcPr>
            <w:tcW w:w="3145" w:type="dxa"/>
            <w:hideMark/>
          </w:tcPr>
          <w:p w14:paraId="1E5E3D68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lastRenderedPageBreak/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biznesin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hideMark/>
          </w:tcPr>
          <w:p w14:paraId="20668B23" w14:textId="5147004B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</w:t>
            </w:r>
          </w:p>
        </w:tc>
        <w:tc>
          <w:tcPr>
            <w:tcW w:w="1170" w:type="dxa"/>
            <w:hideMark/>
          </w:tcPr>
          <w:p w14:paraId="18F474B7" w14:textId="2BE31091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  <w:tc>
          <w:tcPr>
            <w:tcW w:w="1080" w:type="dxa"/>
            <w:hideMark/>
          </w:tcPr>
          <w:p w14:paraId="752E5064" w14:textId="20A8EEA9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  <w:tc>
          <w:tcPr>
            <w:tcW w:w="1170" w:type="dxa"/>
            <w:hideMark/>
          </w:tcPr>
          <w:p w14:paraId="0CCF0A36" w14:textId="0BD89D65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080" w:type="dxa"/>
            <w:hideMark/>
          </w:tcPr>
          <w:p w14:paraId="7DC77315" w14:textId="101AD08F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  <w:tc>
          <w:tcPr>
            <w:tcW w:w="1260" w:type="dxa"/>
            <w:hideMark/>
          </w:tcPr>
          <w:p w14:paraId="6796F90B" w14:textId="6FBFBF82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</w:t>
            </w:r>
          </w:p>
        </w:tc>
        <w:tc>
          <w:tcPr>
            <w:tcW w:w="1080" w:type="dxa"/>
            <w:hideMark/>
          </w:tcPr>
          <w:p w14:paraId="25DD041F" w14:textId="2A22DBF5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260" w:type="dxa"/>
            <w:hideMark/>
          </w:tcPr>
          <w:p w14:paraId="2AF3ED08" w14:textId="165D180E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  <w:tc>
          <w:tcPr>
            <w:tcW w:w="1260" w:type="dxa"/>
            <w:hideMark/>
          </w:tcPr>
          <w:p w14:paraId="6AD92897" w14:textId="0C708098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</w:t>
            </w:r>
          </w:p>
        </w:tc>
        <w:tc>
          <w:tcPr>
            <w:tcW w:w="1260" w:type="dxa"/>
            <w:hideMark/>
          </w:tcPr>
          <w:p w14:paraId="27F71D25" w14:textId="530200D6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</w:t>
            </w:r>
          </w:p>
        </w:tc>
      </w:tr>
      <w:tr w:rsidR="00E139C5" w:rsidRPr="00E139C5" w14:paraId="602A07C6" w14:textId="77777777" w:rsidTr="00E139C5">
        <w:trPr>
          <w:divId w:val="1261141582"/>
          <w:trHeight w:val="285"/>
        </w:trPr>
        <w:tc>
          <w:tcPr>
            <w:tcW w:w="3145" w:type="dxa"/>
            <w:hideMark/>
          </w:tcPr>
          <w:p w14:paraId="1FA9180A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proofErr w:type="spellStart"/>
            <w:r w:rsidRPr="00E139C5">
              <w:rPr>
                <w:b/>
                <w:bCs/>
                <w:szCs w:val="24"/>
              </w:rPr>
              <w:t>Përfitimet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totale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350BF0A7" w14:textId="0EE705BC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hideMark/>
          </w:tcPr>
          <w:p w14:paraId="261C1947" w14:textId="0839E1B5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1F026DC5" w14:textId="7209321E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hideMark/>
          </w:tcPr>
          <w:p w14:paraId="3B39E227" w14:textId="517619A9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36A5C5DD" w14:textId="061188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10A48502" w14:textId="2C898B2F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128F496A" w14:textId="1B103A04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1E001704" w14:textId="67F6AC7A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047FAE14" w14:textId="296FF60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3145DC87" w14:textId="0205A123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</w:tr>
      <w:tr w:rsidR="00E139C5" w:rsidRPr="00E139C5" w14:paraId="66DD2E98" w14:textId="77777777" w:rsidTr="00E139C5">
        <w:trPr>
          <w:divId w:val="1261141582"/>
          <w:trHeight w:val="390"/>
        </w:trPr>
        <w:tc>
          <w:tcPr>
            <w:tcW w:w="3145" w:type="dxa"/>
            <w:hideMark/>
          </w:tcPr>
          <w:p w14:paraId="477923E0" w14:textId="77777777" w:rsidR="00E139C5" w:rsidRPr="00E139C5" w:rsidRDefault="00E139C5" w:rsidP="00E139C5">
            <w:pPr>
              <w:spacing w:line="276" w:lineRule="auto"/>
              <w:rPr>
                <w:bCs/>
                <w:szCs w:val="24"/>
              </w:rPr>
            </w:pPr>
            <w:proofErr w:type="spellStart"/>
            <w:r w:rsidRPr="00E139C5">
              <w:rPr>
                <w:b/>
                <w:bCs/>
                <w:szCs w:val="24"/>
              </w:rPr>
              <w:t>Përfitimi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zbritur</w:t>
            </w:r>
            <w:proofErr w:type="spellEnd"/>
            <w:r w:rsidRPr="00E139C5">
              <w:rPr>
                <w:szCs w:val="24"/>
              </w:rPr>
              <w:t xml:space="preserve">= </w:t>
            </w:r>
            <w:proofErr w:type="spellStart"/>
            <w:r w:rsidRPr="00E139C5">
              <w:rPr>
                <w:szCs w:val="24"/>
              </w:rPr>
              <w:t>Përfitimi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total x </w:t>
            </w:r>
            <w:proofErr w:type="spellStart"/>
            <w:r w:rsidRPr="00E139C5">
              <w:rPr>
                <w:szCs w:val="24"/>
              </w:rPr>
              <w:t>faktori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zbritës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0D622643" w14:textId="4FD3B7AA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hideMark/>
          </w:tcPr>
          <w:p w14:paraId="0962A2AC" w14:textId="2F94944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28075B28" w14:textId="2B7C0FC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hideMark/>
          </w:tcPr>
          <w:p w14:paraId="3D40C9A0" w14:textId="72D8E68C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7983CC86" w14:textId="69ACFD9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504A22DF" w14:textId="33AD512F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472897F5" w14:textId="588E58EF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7B5A6EC3" w14:textId="7D43B47C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57582A19" w14:textId="473E437C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6C53D347" w14:textId="2D035F15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</w:tr>
      <w:tr w:rsidR="00E139C5" w:rsidRPr="00E139C5" w14:paraId="1B6C4909" w14:textId="77777777" w:rsidTr="00E139C5">
        <w:trPr>
          <w:divId w:val="1261141582"/>
          <w:trHeight w:val="37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4E517B53" w14:textId="77777777" w:rsidR="00E139C5" w:rsidRPr="001155AF" w:rsidRDefault="00E139C5" w:rsidP="00E139C5">
            <w:pPr>
              <w:spacing w:line="276" w:lineRule="auto"/>
              <w:rPr>
                <w:b/>
                <w:bCs/>
                <w:szCs w:val="24"/>
                <w:lang w:val="it-IT"/>
              </w:rPr>
            </w:pPr>
            <w:r w:rsidRPr="001155AF">
              <w:rPr>
                <w:b/>
                <w:bCs/>
                <w:szCs w:val="24"/>
                <w:lang w:val="it-IT"/>
              </w:rPr>
              <w:t>Vlera prezente aktuale e përfitimit në total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F4ED87" w14:textId="7563784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bCs/>
                <w:szCs w:val="24"/>
              </w:rPr>
            </w:pPr>
            <w:r w:rsidRPr="001155AF">
              <w:rPr>
                <w:bCs/>
                <w:szCs w:val="24"/>
                <w:lang w:val="it-IT"/>
              </w:rPr>
              <w:t xml:space="preserve"> </w:t>
            </w:r>
          </w:p>
        </w:tc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D492DBC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389CE17E" w14:textId="77777777" w:rsidTr="00E139C5">
        <w:trPr>
          <w:divId w:val="1261141582"/>
          <w:trHeight w:val="270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243A998A" w14:textId="77777777" w:rsidR="00E139C5" w:rsidRPr="001155AF" w:rsidRDefault="00E139C5" w:rsidP="00E139C5">
            <w:pPr>
              <w:spacing w:line="276" w:lineRule="auto"/>
              <w:rPr>
                <w:b/>
                <w:bCs/>
                <w:szCs w:val="24"/>
                <w:lang w:val="it-IT"/>
              </w:rPr>
            </w:pPr>
            <w:r w:rsidRPr="001155AF">
              <w:rPr>
                <w:b/>
                <w:bCs/>
                <w:szCs w:val="24"/>
                <w:lang w:val="it-IT"/>
              </w:rPr>
              <w:t>Vlera prezente aktuale e kostos në total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21109B" w14:textId="040A2FDC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bCs/>
                <w:szCs w:val="24"/>
              </w:rPr>
            </w:pPr>
            <w:r w:rsidRPr="001155AF">
              <w:rPr>
                <w:bCs/>
                <w:szCs w:val="24"/>
                <w:lang w:val="it-IT"/>
              </w:rPr>
              <w:t xml:space="preserve">  </w:t>
            </w:r>
          </w:p>
        </w:tc>
        <w:tc>
          <w:tcPr>
            <w:tcW w:w="106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870378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613A0A51" w14:textId="77777777" w:rsidTr="00E139C5">
        <w:trPr>
          <w:divId w:val="1261141582"/>
          <w:trHeight w:val="55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758382E0" w14:textId="77777777" w:rsidR="00E139C5" w:rsidRPr="001155AF" w:rsidRDefault="00E139C5" w:rsidP="00E139C5">
            <w:pPr>
              <w:spacing w:line="276" w:lineRule="auto"/>
              <w:rPr>
                <w:bCs/>
                <w:szCs w:val="24"/>
                <w:lang w:val="it-IT"/>
              </w:rPr>
            </w:pPr>
            <w:r w:rsidRPr="001155AF">
              <w:rPr>
                <w:b/>
                <w:bCs/>
                <w:szCs w:val="24"/>
                <w:lang w:val="it-IT"/>
              </w:rPr>
              <w:t>Vlera Prezente Neto Aktuale (VAN)</w:t>
            </w:r>
            <w:r w:rsidRPr="001155AF">
              <w:rPr>
                <w:bCs/>
                <w:szCs w:val="24"/>
                <w:lang w:val="it-IT"/>
              </w:rPr>
              <w:t xml:space="preserve"> =</w:t>
            </w:r>
            <w:r w:rsidRPr="001155AF">
              <w:rPr>
                <w:szCs w:val="24"/>
                <w:lang w:val="it-IT"/>
              </w:rPr>
              <w:t xml:space="preserve"> Vlera aktuale e përfitimit në total – Vlera aktuale e kostos në total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40BEFD" w14:textId="15DACC56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bCs/>
                <w:szCs w:val="24"/>
              </w:rPr>
            </w:pPr>
          </w:p>
        </w:tc>
        <w:tc>
          <w:tcPr>
            <w:tcW w:w="106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EBD43D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</w:tbl>
    <w:p w14:paraId="06A1E76E" w14:textId="479552E3" w:rsidR="00225F7F" w:rsidRDefault="009F625C" w:rsidP="009D13F4">
      <w:pPr>
        <w:spacing w:line="276" w:lineRule="auto"/>
        <w:rPr>
          <w:b/>
          <w:szCs w:val="24"/>
          <w:lang w:val="sq-AL"/>
        </w:rPr>
        <w:sectPr w:rsidR="00225F7F" w:rsidSect="00225F7F">
          <w:footnotePr>
            <w:numRestart w:val="eachSect"/>
          </w:footnotePr>
          <w:type w:val="continuous"/>
          <w:pgSz w:w="16840" w:h="11907" w:orient="landscape" w:code="9"/>
          <w:pgMar w:top="850" w:right="677" w:bottom="850" w:left="677" w:header="288" w:footer="288" w:gutter="0"/>
          <w:cols w:space="708"/>
          <w:docGrid w:linePitch="360"/>
        </w:sectPr>
      </w:pPr>
      <w:r>
        <w:rPr>
          <w:b/>
          <w:szCs w:val="24"/>
          <w:lang w:val="sq-AL"/>
        </w:rPr>
        <w:fldChar w:fldCharType="end"/>
      </w:r>
    </w:p>
    <w:p w14:paraId="0547D548" w14:textId="62E858C2" w:rsidR="002125B7" w:rsidRPr="00325A1F" w:rsidRDefault="002125B7" w:rsidP="009D13F4">
      <w:pPr>
        <w:spacing w:line="276" w:lineRule="auto"/>
        <w:rPr>
          <w:rStyle w:val="Strong"/>
          <w:szCs w:val="24"/>
          <w:lang w:val="sq-AL"/>
        </w:rPr>
      </w:pPr>
      <w:r w:rsidRPr="00325A1F">
        <w:rPr>
          <w:b/>
          <w:szCs w:val="24"/>
          <w:lang w:val="sq-AL"/>
        </w:rPr>
        <w:lastRenderedPageBreak/>
        <w:t xml:space="preserve">Raporti i vlerësimit të ndikimit - Shtojca 2/b </w:t>
      </w:r>
    </w:p>
    <w:p w14:paraId="2FCDCCBA" w14:textId="77777777" w:rsidR="002125B7" w:rsidRPr="00325A1F" w:rsidRDefault="002125B7" w:rsidP="009D13F4">
      <w:pPr>
        <w:spacing w:line="276" w:lineRule="auto"/>
        <w:rPr>
          <w:rStyle w:val="Strong"/>
          <w:b w:val="0"/>
          <w:szCs w:val="24"/>
          <w:lang w:val="sq-AL"/>
        </w:rPr>
      </w:pPr>
    </w:p>
    <w:p w14:paraId="0533BD70" w14:textId="77777777" w:rsidR="002125B7" w:rsidRPr="00325A1F" w:rsidRDefault="002125B7" w:rsidP="009D13F4">
      <w:pPr>
        <w:spacing w:line="276" w:lineRule="auto"/>
        <w:rPr>
          <w:rStyle w:val="Strong"/>
          <w:b w:val="0"/>
          <w:bCs w:val="0"/>
          <w:i/>
          <w:szCs w:val="24"/>
          <w:lang w:val="sq-AL"/>
        </w:rPr>
      </w:pPr>
      <w:r w:rsidRPr="00325A1F">
        <w:rPr>
          <w:rStyle w:val="Strong"/>
          <w:i/>
          <w:szCs w:val="24"/>
          <w:lang w:val="sq-AL"/>
        </w:rPr>
        <w:t xml:space="preserve">Tabelë: Vlera aktuale neto në total e çdo opsioni   </w:t>
      </w:r>
    </w:p>
    <w:p w14:paraId="2CF71834" w14:textId="77777777" w:rsidR="002125B7" w:rsidRPr="00325A1F" w:rsidRDefault="002125B7" w:rsidP="009D13F4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sq-AL"/>
        </w:rPr>
      </w:pPr>
    </w:p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1698"/>
        <w:gridCol w:w="2258"/>
        <w:gridCol w:w="2410"/>
        <w:gridCol w:w="3444"/>
      </w:tblGrid>
      <w:tr w:rsidR="002125B7" w:rsidRPr="00BB40AE" w14:paraId="759C0126" w14:textId="77777777" w:rsidTr="001E3B6F">
        <w:tc>
          <w:tcPr>
            <w:tcW w:w="1698" w:type="dxa"/>
            <w:vMerge w:val="restart"/>
          </w:tcPr>
          <w:p w14:paraId="1E68444E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Opsioni</w:t>
            </w:r>
          </w:p>
        </w:tc>
        <w:tc>
          <w:tcPr>
            <w:tcW w:w="4668" w:type="dxa"/>
            <w:gridSpan w:val="2"/>
          </w:tcPr>
          <w:p w14:paraId="21112DC5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Vlera aktuale në milionë lekë</w:t>
            </w:r>
          </w:p>
        </w:tc>
        <w:tc>
          <w:tcPr>
            <w:tcW w:w="3444" w:type="dxa"/>
            <w:vMerge w:val="restart"/>
          </w:tcPr>
          <w:p w14:paraId="2B159258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Vlera aktuale neto në milionë lekë</w:t>
            </w:r>
          </w:p>
        </w:tc>
      </w:tr>
      <w:tr w:rsidR="002125B7" w:rsidRPr="00325A1F" w14:paraId="6936D5E6" w14:textId="77777777" w:rsidTr="001E3B6F">
        <w:tc>
          <w:tcPr>
            <w:tcW w:w="1698" w:type="dxa"/>
            <w:vMerge/>
          </w:tcPr>
          <w:p w14:paraId="7CE4FE12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  <w:lang w:val="sq-AL"/>
              </w:rPr>
            </w:pPr>
          </w:p>
        </w:tc>
        <w:tc>
          <w:tcPr>
            <w:tcW w:w="2258" w:type="dxa"/>
          </w:tcPr>
          <w:p w14:paraId="77F3EEB3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Kosto</w:t>
            </w:r>
          </w:p>
        </w:tc>
        <w:tc>
          <w:tcPr>
            <w:tcW w:w="2410" w:type="dxa"/>
          </w:tcPr>
          <w:p w14:paraId="64193419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Përfitimi</w:t>
            </w:r>
          </w:p>
        </w:tc>
        <w:tc>
          <w:tcPr>
            <w:tcW w:w="3444" w:type="dxa"/>
            <w:vMerge/>
          </w:tcPr>
          <w:p w14:paraId="35F092A7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</w:p>
        </w:tc>
      </w:tr>
      <w:tr w:rsidR="002125B7" w:rsidRPr="00325A1F" w14:paraId="16797BDF" w14:textId="77777777" w:rsidTr="001E3B6F">
        <w:tc>
          <w:tcPr>
            <w:tcW w:w="1698" w:type="dxa"/>
          </w:tcPr>
          <w:p w14:paraId="77B8D276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Cs w:val="24"/>
                <w:lang w:val="sq-AL"/>
              </w:rPr>
            </w:pPr>
            <w:r w:rsidRPr="00325A1F">
              <w:rPr>
                <w:szCs w:val="24"/>
                <w:lang w:val="sq-AL"/>
              </w:rPr>
              <w:t>Opsioni 1</w:t>
            </w:r>
          </w:p>
        </w:tc>
        <w:tc>
          <w:tcPr>
            <w:tcW w:w="2258" w:type="dxa"/>
          </w:tcPr>
          <w:p w14:paraId="086EE704" w14:textId="44AF1CD2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21A13888" w14:textId="6E0B6F6C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3444" w:type="dxa"/>
          </w:tcPr>
          <w:p w14:paraId="41027619" w14:textId="26A0988A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</w:tr>
      <w:tr w:rsidR="002125B7" w:rsidRPr="00325A1F" w14:paraId="49EF5D0E" w14:textId="77777777" w:rsidTr="001E3B6F">
        <w:tc>
          <w:tcPr>
            <w:tcW w:w="1698" w:type="dxa"/>
          </w:tcPr>
          <w:p w14:paraId="4D91C4DF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Cs w:val="24"/>
                <w:lang w:val="sq-AL"/>
              </w:rPr>
            </w:pPr>
            <w:r w:rsidRPr="00325A1F">
              <w:rPr>
                <w:szCs w:val="24"/>
                <w:lang w:val="sq-AL"/>
              </w:rPr>
              <w:t>Opsioni 2</w:t>
            </w:r>
          </w:p>
        </w:tc>
        <w:tc>
          <w:tcPr>
            <w:tcW w:w="2258" w:type="dxa"/>
          </w:tcPr>
          <w:p w14:paraId="6C3A74F4" w14:textId="406BD911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>
              <w:rPr>
                <w:color w:val="808080" w:themeColor="background1" w:themeShade="80"/>
                <w:szCs w:val="24"/>
              </w:rPr>
              <w:instrText xml:space="preserve"> FORMTEXT </w:instrText>
            </w:r>
            <w:r>
              <w:rPr>
                <w:color w:val="808080" w:themeColor="background1" w:themeShade="80"/>
                <w:szCs w:val="24"/>
              </w:rPr>
            </w:r>
            <w:r>
              <w:rPr>
                <w:color w:val="808080" w:themeColor="background1" w:themeShade="80"/>
                <w:szCs w:val="24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4"/>
              </w:rPr>
              <w:t>0</w:t>
            </w:r>
            <w:r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19A59B98" w14:textId="5E25B398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3444" w:type="dxa"/>
          </w:tcPr>
          <w:p w14:paraId="014EDFE1" w14:textId="22388D5D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</w:tr>
    </w:tbl>
    <w:p w14:paraId="121F672F" w14:textId="75C7C7B1" w:rsidR="00B6156C" w:rsidRPr="00325A1F" w:rsidRDefault="00B6156C" w:rsidP="009D13F4">
      <w:pPr>
        <w:spacing w:line="276" w:lineRule="auto"/>
        <w:rPr>
          <w:b/>
          <w:szCs w:val="24"/>
          <w:lang w:val="sq-AL"/>
        </w:rPr>
      </w:pPr>
    </w:p>
    <w:p w14:paraId="64319FE7" w14:textId="77777777" w:rsidR="002125B7" w:rsidRPr="00325A1F" w:rsidRDefault="002125B7" w:rsidP="009D13F4">
      <w:pPr>
        <w:spacing w:line="276" w:lineRule="auto"/>
        <w:rPr>
          <w:b/>
          <w:szCs w:val="24"/>
          <w:lang w:val="sq-AL"/>
        </w:rPr>
      </w:pPr>
    </w:p>
    <w:p w14:paraId="5ED05594" w14:textId="77777777" w:rsidR="002125B7" w:rsidRDefault="002125B7" w:rsidP="009D13F4">
      <w:pPr>
        <w:spacing w:line="276" w:lineRule="auto"/>
        <w:jc w:val="center"/>
        <w:rPr>
          <w:b/>
          <w:szCs w:val="24"/>
          <w:lang w:val="sq-AL"/>
        </w:rPr>
      </w:pPr>
      <w:r w:rsidRPr="00325A1F">
        <w:rPr>
          <w:b/>
          <w:szCs w:val="24"/>
          <w:lang w:val="sq-AL"/>
        </w:rPr>
        <w:t>MINISTËR</w:t>
      </w:r>
    </w:p>
    <w:p w14:paraId="2943A66C" w14:textId="77777777" w:rsidR="00E5473A" w:rsidRDefault="00E5473A" w:rsidP="009D13F4">
      <w:pPr>
        <w:spacing w:line="276" w:lineRule="auto"/>
        <w:jc w:val="center"/>
        <w:rPr>
          <w:b/>
          <w:szCs w:val="24"/>
          <w:lang w:val="sq-AL"/>
        </w:rPr>
      </w:pPr>
    </w:p>
    <w:p w14:paraId="70844049" w14:textId="23E95D67" w:rsidR="00E5473A" w:rsidRPr="00325A1F" w:rsidRDefault="00E5473A" w:rsidP="009D13F4">
      <w:pPr>
        <w:spacing w:line="276" w:lineRule="auto"/>
        <w:jc w:val="center"/>
        <w:rPr>
          <w:b/>
          <w:szCs w:val="24"/>
          <w:lang w:val="sq-AL"/>
        </w:rPr>
      </w:pPr>
      <w:r>
        <w:rPr>
          <w:b/>
          <w:szCs w:val="24"/>
          <w:lang w:val="sq-AL"/>
        </w:rPr>
        <w:t>DELINA IBRA</w:t>
      </w:r>
      <w:r w:rsidR="008F1EF7">
        <w:rPr>
          <w:b/>
          <w:szCs w:val="24"/>
          <w:lang w:val="sq-AL"/>
        </w:rPr>
        <w:t>H</w:t>
      </w:r>
      <w:r>
        <w:rPr>
          <w:b/>
          <w:szCs w:val="24"/>
          <w:lang w:val="sq-AL"/>
        </w:rPr>
        <w:t>IMAJ</w:t>
      </w:r>
    </w:p>
    <w:p w14:paraId="797007D9" w14:textId="77777777" w:rsidR="002125B7" w:rsidRPr="00325A1F" w:rsidRDefault="002125B7" w:rsidP="009D13F4">
      <w:pPr>
        <w:spacing w:line="276" w:lineRule="auto"/>
        <w:jc w:val="center"/>
        <w:rPr>
          <w:b/>
          <w:szCs w:val="24"/>
          <w:lang w:val="sq-AL"/>
        </w:rPr>
      </w:pPr>
    </w:p>
    <w:p w14:paraId="69F4B01F" w14:textId="77777777" w:rsidR="002125B7" w:rsidRPr="00325A1F" w:rsidRDefault="002125B7" w:rsidP="009D13F4">
      <w:pPr>
        <w:spacing w:line="276" w:lineRule="auto"/>
        <w:rPr>
          <w:rFonts w:eastAsia="SimSun"/>
          <w:szCs w:val="24"/>
          <w:lang w:eastAsia="zh-CN"/>
        </w:rPr>
      </w:pPr>
    </w:p>
    <w:p w14:paraId="103E0151" w14:textId="41FFAFE3" w:rsidR="002125B7" w:rsidRPr="00325A1F" w:rsidRDefault="002125B7" w:rsidP="009D13F4">
      <w:pPr>
        <w:pStyle w:val="IASpacer"/>
        <w:spacing w:line="276" w:lineRule="auto"/>
        <w:rPr>
          <w:sz w:val="24"/>
          <w:szCs w:val="24"/>
        </w:rPr>
      </w:pPr>
    </w:p>
    <w:p w14:paraId="348B1F51" w14:textId="7488D7EE" w:rsidR="001F5DD9" w:rsidRPr="00325A1F" w:rsidRDefault="001F5DD9" w:rsidP="009D13F4">
      <w:pPr>
        <w:spacing w:line="276" w:lineRule="auto"/>
        <w:rPr>
          <w:szCs w:val="24"/>
        </w:rPr>
      </w:pPr>
    </w:p>
    <w:sectPr w:rsidR="001F5DD9" w:rsidRPr="00325A1F" w:rsidSect="00225F7F">
      <w:footnotePr>
        <w:numRestart w:val="eachSect"/>
      </w:footnotePr>
      <w:type w:val="continuous"/>
      <w:pgSz w:w="11907" w:h="16840" w:code="9"/>
      <w:pgMar w:top="677" w:right="850" w:bottom="677" w:left="85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029C" w14:textId="77777777" w:rsidR="00AD3B0C" w:rsidRDefault="00AD3B0C">
      <w:r>
        <w:separator/>
      </w:r>
    </w:p>
  </w:endnote>
  <w:endnote w:type="continuationSeparator" w:id="0">
    <w:p w14:paraId="6345D70F" w14:textId="77777777" w:rsidR="00AD3B0C" w:rsidRDefault="00AD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A0DF" w14:textId="4DF22A92" w:rsidR="000D5974" w:rsidRPr="00EB43FD" w:rsidRDefault="000D5974" w:rsidP="000407D8">
    <w:pPr>
      <w:pStyle w:val="Footer"/>
    </w:pPr>
    <w:r w:rsidRPr="00EB43FD">
      <w:rPr>
        <w:rStyle w:val="PageNumber"/>
        <w:b w:val="0"/>
        <w:szCs w:val="18"/>
      </w:rPr>
      <w:fldChar w:fldCharType="begin"/>
    </w:r>
    <w:r w:rsidRPr="00EB43FD">
      <w:rPr>
        <w:rStyle w:val="PageNumber"/>
        <w:b w:val="0"/>
        <w:szCs w:val="18"/>
      </w:rPr>
      <w:instrText xml:space="preserve"> PAGE </w:instrText>
    </w:r>
    <w:r w:rsidRPr="00EB43FD">
      <w:rPr>
        <w:rStyle w:val="PageNumber"/>
        <w:b w:val="0"/>
        <w:szCs w:val="18"/>
      </w:rPr>
      <w:fldChar w:fldCharType="separate"/>
    </w:r>
    <w:r w:rsidR="00406B23">
      <w:rPr>
        <w:rStyle w:val="PageNumber"/>
        <w:b w:val="0"/>
        <w:noProof/>
        <w:szCs w:val="18"/>
      </w:rPr>
      <w:t>7</w:t>
    </w:r>
    <w:r w:rsidRPr="00EB43FD">
      <w:rPr>
        <w:rStyle w:val="PageNumber"/>
        <w:b w:val="0"/>
        <w:szCs w:val="18"/>
      </w:rPr>
      <w:fldChar w:fldCharType="end"/>
    </w:r>
  </w:p>
  <w:p w14:paraId="7FCE54BD" w14:textId="77777777" w:rsidR="000D5974" w:rsidRDefault="000D5974"/>
  <w:p w14:paraId="2995CCAD" w14:textId="77777777" w:rsidR="000D5974" w:rsidRDefault="000D59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168D" w14:textId="77777777" w:rsidR="00AD3B0C" w:rsidRDefault="00AD3B0C">
      <w:r>
        <w:separator/>
      </w:r>
    </w:p>
  </w:footnote>
  <w:footnote w:type="continuationSeparator" w:id="0">
    <w:p w14:paraId="3C103473" w14:textId="77777777" w:rsidR="00AD3B0C" w:rsidRDefault="00AD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7460" w14:textId="77777777" w:rsidR="000D5974" w:rsidRDefault="000D5974"/>
  <w:p w14:paraId="13C35FD1" w14:textId="77777777" w:rsidR="000D5974" w:rsidRDefault="000D59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02EA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438C8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742A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3A4D5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CBC2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7E6D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9C0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E075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87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6443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31D5"/>
    <w:multiLevelType w:val="multilevel"/>
    <w:tmpl w:val="7E8654E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27E389F"/>
    <w:multiLevelType w:val="hybridMultilevel"/>
    <w:tmpl w:val="4AC85026"/>
    <w:lvl w:ilvl="0" w:tplc="BA94742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D46A88"/>
    <w:multiLevelType w:val="hybridMultilevel"/>
    <w:tmpl w:val="26FC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163C"/>
    <w:multiLevelType w:val="hybridMultilevel"/>
    <w:tmpl w:val="1868A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41217"/>
    <w:multiLevelType w:val="hybridMultilevel"/>
    <w:tmpl w:val="50B81DBA"/>
    <w:lvl w:ilvl="0" w:tplc="A78E927E">
      <w:numFmt w:val="bullet"/>
      <w:lvlText w:val="–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10CC5"/>
    <w:multiLevelType w:val="hybridMultilevel"/>
    <w:tmpl w:val="1828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943E7"/>
    <w:multiLevelType w:val="multilevel"/>
    <w:tmpl w:val="3604C19E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A3E7117"/>
    <w:multiLevelType w:val="multilevel"/>
    <w:tmpl w:val="88CC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103515"/>
    <w:multiLevelType w:val="hybridMultilevel"/>
    <w:tmpl w:val="DBEC96CA"/>
    <w:lvl w:ilvl="0" w:tplc="C562D402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26B944F1"/>
    <w:multiLevelType w:val="hybridMultilevel"/>
    <w:tmpl w:val="36E44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F39F8"/>
    <w:multiLevelType w:val="multilevel"/>
    <w:tmpl w:val="130ADDBA"/>
    <w:lvl w:ilvl="0">
      <w:start w:val="1"/>
      <w:numFmt w:val="bullet"/>
      <w:pStyle w:val="EB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3A56E6F"/>
    <w:multiLevelType w:val="hybridMultilevel"/>
    <w:tmpl w:val="C69E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C2AFF"/>
    <w:multiLevelType w:val="hybridMultilevel"/>
    <w:tmpl w:val="6FE2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7104D"/>
    <w:multiLevelType w:val="multilevel"/>
    <w:tmpl w:val="02B2DD8E"/>
    <w:lvl w:ilvl="0">
      <w:start w:val="1"/>
      <w:numFmt w:val="decimal"/>
      <w:suff w:val="nothing"/>
      <w:lvlText w:val="%1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3A1B4C9B"/>
    <w:multiLevelType w:val="multilevel"/>
    <w:tmpl w:val="334415A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3EEF0541"/>
    <w:multiLevelType w:val="hybridMultilevel"/>
    <w:tmpl w:val="61FECFB6"/>
    <w:lvl w:ilvl="0" w:tplc="A78E927E">
      <w:numFmt w:val="bullet"/>
      <w:lvlText w:val="–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E3F4D"/>
    <w:multiLevelType w:val="hybridMultilevel"/>
    <w:tmpl w:val="6BB0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F32C3"/>
    <w:multiLevelType w:val="multilevel"/>
    <w:tmpl w:val="27A6572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1CA7B8E"/>
    <w:multiLevelType w:val="hybridMultilevel"/>
    <w:tmpl w:val="723C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851C2"/>
    <w:multiLevelType w:val="multilevel"/>
    <w:tmpl w:val="3626DD9A"/>
    <w:lvl w:ilvl="0">
      <w:start w:val="1"/>
      <w:numFmt w:val="decimal"/>
      <w:pStyle w:val="IARefNumber"/>
      <w:suff w:val="nothing"/>
      <w:lvlText w:val="%1"/>
      <w:lvlJc w:val="left"/>
      <w:pPr>
        <w:ind w:firstLine="11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9ED4B17"/>
    <w:multiLevelType w:val="hybridMultilevel"/>
    <w:tmpl w:val="D416D44A"/>
    <w:lvl w:ilvl="0" w:tplc="209EB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E0708A"/>
    <w:multiLevelType w:val="hybridMultilevel"/>
    <w:tmpl w:val="656684C0"/>
    <w:lvl w:ilvl="0" w:tplc="A78E927E">
      <w:numFmt w:val="bullet"/>
      <w:lvlText w:val="–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75C1D"/>
    <w:multiLevelType w:val="multilevel"/>
    <w:tmpl w:val="E2CC615A"/>
    <w:lvl w:ilvl="0">
      <w:start w:val="1"/>
      <w:numFmt w:val="none"/>
      <w:pStyle w:val="EBNumberRestart"/>
      <w:suff w:val="nothing"/>
      <w:lvlText w:val="%1"/>
      <w:lvlJc w:val="left"/>
      <w:rPr>
        <w:rFonts w:cs="Times New Roman" w:hint="default"/>
      </w:rPr>
    </w:lvl>
    <w:lvl w:ilvl="1">
      <w:start w:val="1"/>
      <w:numFmt w:val="decimal"/>
      <w:pStyle w:val="EBNumber"/>
      <w:lvlText w:val="%1%2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lowerLetter"/>
      <w:lvlText w:val="%1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num w:numId="1" w16cid:durableId="1295716600">
    <w:abstractNumId w:val="9"/>
  </w:num>
  <w:num w:numId="2" w16cid:durableId="33626772">
    <w:abstractNumId w:val="7"/>
  </w:num>
  <w:num w:numId="3" w16cid:durableId="1559704215">
    <w:abstractNumId w:val="6"/>
  </w:num>
  <w:num w:numId="4" w16cid:durableId="642931492">
    <w:abstractNumId w:val="5"/>
  </w:num>
  <w:num w:numId="5" w16cid:durableId="1089161821">
    <w:abstractNumId w:val="4"/>
  </w:num>
  <w:num w:numId="6" w16cid:durableId="1566839179">
    <w:abstractNumId w:val="8"/>
  </w:num>
  <w:num w:numId="7" w16cid:durableId="1672175103">
    <w:abstractNumId w:val="3"/>
  </w:num>
  <w:num w:numId="8" w16cid:durableId="1680504338">
    <w:abstractNumId w:val="2"/>
  </w:num>
  <w:num w:numId="9" w16cid:durableId="1307975233">
    <w:abstractNumId w:val="1"/>
  </w:num>
  <w:num w:numId="10" w16cid:durableId="1791164630">
    <w:abstractNumId w:val="0"/>
  </w:num>
  <w:num w:numId="11" w16cid:durableId="1771855300">
    <w:abstractNumId w:val="32"/>
  </w:num>
  <w:num w:numId="12" w16cid:durableId="1951164576">
    <w:abstractNumId w:val="29"/>
  </w:num>
  <w:num w:numId="13" w16cid:durableId="174001715">
    <w:abstractNumId w:val="10"/>
  </w:num>
  <w:num w:numId="14" w16cid:durableId="1364867603">
    <w:abstractNumId w:val="23"/>
  </w:num>
  <w:num w:numId="15" w16cid:durableId="232130866">
    <w:abstractNumId w:val="20"/>
  </w:num>
  <w:num w:numId="16" w16cid:durableId="736317049">
    <w:abstractNumId w:val="16"/>
  </w:num>
  <w:num w:numId="17" w16cid:durableId="1047218789">
    <w:abstractNumId w:val="20"/>
  </w:num>
  <w:num w:numId="18" w16cid:durableId="2015300841">
    <w:abstractNumId w:val="32"/>
  </w:num>
  <w:num w:numId="19" w16cid:durableId="382558483">
    <w:abstractNumId w:val="32"/>
  </w:num>
  <w:num w:numId="20" w16cid:durableId="455415730">
    <w:abstractNumId w:val="32"/>
  </w:num>
  <w:num w:numId="21" w16cid:durableId="1804690779">
    <w:abstractNumId w:val="20"/>
  </w:num>
  <w:num w:numId="22" w16cid:durableId="694306678">
    <w:abstractNumId w:val="24"/>
  </w:num>
  <w:num w:numId="23" w16cid:durableId="1400982227">
    <w:abstractNumId w:val="27"/>
  </w:num>
  <w:num w:numId="24" w16cid:durableId="1967465241">
    <w:abstractNumId w:val="26"/>
  </w:num>
  <w:num w:numId="25" w16cid:durableId="621159170">
    <w:abstractNumId w:val="30"/>
  </w:num>
  <w:num w:numId="26" w16cid:durableId="1204949443">
    <w:abstractNumId w:val="12"/>
  </w:num>
  <w:num w:numId="27" w16cid:durableId="1532692989">
    <w:abstractNumId w:val="19"/>
  </w:num>
  <w:num w:numId="28" w16cid:durableId="734357313">
    <w:abstractNumId w:val="21"/>
  </w:num>
  <w:num w:numId="29" w16cid:durableId="593244039">
    <w:abstractNumId w:val="28"/>
  </w:num>
  <w:num w:numId="30" w16cid:durableId="914586940">
    <w:abstractNumId w:val="15"/>
  </w:num>
  <w:num w:numId="31" w16cid:durableId="1186554975">
    <w:abstractNumId w:val="18"/>
  </w:num>
  <w:num w:numId="32" w16cid:durableId="1508060987">
    <w:abstractNumId w:val="22"/>
  </w:num>
  <w:num w:numId="33" w16cid:durableId="1666663021">
    <w:abstractNumId w:val="14"/>
  </w:num>
  <w:num w:numId="34" w16cid:durableId="1060322493">
    <w:abstractNumId w:val="11"/>
  </w:num>
  <w:num w:numId="35" w16cid:durableId="1728264188">
    <w:abstractNumId w:val="31"/>
  </w:num>
  <w:num w:numId="36" w16cid:durableId="2125270223">
    <w:abstractNumId w:val="17"/>
  </w:num>
  <w:num w:numId="37" w16cid:durableId="801384481">
    <w:abstractNumId w:val="25"/>
  </w:num>
  <w:num w:numId="38" w16cid:durableId="501507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ewDoc" w:val="Created"/>
    <w:docVar w:name="VerNumber" w:val="3.9.0"/>
  </w:docVars>
  <w:rsids>
    <w:rsidRoot w:val="00044FE7"/>
    <w:rsid w:val="00000766"/>
    <w:rsid w:val="000019B2"/>
    <w:rsid w:val="00001E72"/>
    <w:rsid w:val="00003A70"/>
    <w:rsid w:val="000045C0"/>
    <w:rsid w:val="0000505F"/>
    <w:rsid w:val="000071A5"/>
    <w:rsid w:val="000079C0"/>
    <w:rsid w:val="00010950"/>
    <w:rsid w:val="00010EE1"/>
    <w:rsid w:val="00011A9A"/>
    <w:rsid w:val="00012458"/>
    <w:rsid w:val="000142F1"/>
    <w:rsid w:val="0001460F"/>
    <w:rsid w:val="00015E45"/>
    <w:rsid w:val="000166B7"/>
    <w:rsid w:val="00021306"/>
    <w:rsid w:val="000222F1"/>
    <w:rsid w:val="00022BE0"/>
    <w:rsid w:val="00022F52"/>
    <w:rsid w:val="00023080"/>
    <w:rsid w:val="0002370C"/>
    <w:rsid w:val="000239A7"/>
    <w:rsid w:val="00023E62"/>
    <w:rsid w:val="000251D0"/>
    <w:rsid w:val="00025CC4"/>
    <w:rsid w:val="00026555"/>
    <w:rsid w:val="00026AC0"/>
    <w:rsid w:val="00027038"/>
    <w:rsid w:val="0003786D"/>
    <w:rsid w:val="0004016B"/>
    <w:rsid w:val="000407D8"/>
    <w:rsid w:val="00044F4A"/>
    <w:rsid w:val="00044FE7"/>
    <w:rsid w:val="00045828"/>
    <w:rsid w:val="00045BAD"/>
    <w:rsid w:val="00051403"/>
    <w:rsid w:val="00052F44"/>
    <w:rsid w:val="0005543F"/>
    <w:rsid w:val="00056EE6"/>
    <w:rsid w:val="0006047F"/>
    <w:rsid w:val="0006053F"/>
    <w:rsid w:val="00061D9C"/>
    <w:rsid w:val="00063D6C"/>
    <w:rsid w:val="00063FFC"/>
    <w:rsid w:val="000671A2"/>
    <w:rsid w:val="000703E1"/>
    <w:rsid w:val="000705A0"/>
    <w:rsid w:val="00070EEB"/>
    <w:rsid w:val="00071110"/>
    <w:rsid w:val="00071299"/>
    <w:rsid w:val="00072272"/>
    <w:rsid w:val="0007524C"/>
    <w:rsid w:val="0007532E"/>
    <w:rsid w:val="0007637D"/>
    <w:rsid w:val="000767AC"/>
    <w:rsid w:val="0007695E"/>
    <w:rsid w:val="00076A78"/>
    <w:rsid w:val="00076C08"/>
    <w:rsid w:val="00082659"/>
    <w:rsid w:val="00082B2E"/>
    <w:rsid w:val="00082BAC"/>
    <w:rsid w:val="000860CC"/>
    <w:rsid w:val="00086128"/>
    <w:rsid w:val="0008731F"/>
    <w:rsid w:val="00087AEA"/>
    <w:rsid w:val="00093598"/>
    <w:rsid w:val="0009381F"/>
    <w:rsid w:val="00094680"/>
    <w:rsid w:val="000956FD"/>
    <w:rsid w:val="000A36EE"/>
    <w:rsid w:val="000A5C5D"/>
    <w:rsid w:val="000A6E4B"/>
    <w:rsid w:val="000A79FC"/>
    <w:rsid w:val="000B07A1"/>
    <w:rsid w:val="000B0B01"/>
    <w:rsid w:val="000B1176"/>
    <w:rsid w:val="000B1A2E"/>
    <w:rsid w:val="000B285E"/>
    <w:rsid w:val="000B3E49"/>
    <w:rsid w:val="000C031E"/>
    <w:rsid w:val="000C165A"/>
    <w:rsid w:val="000C1D45"/>
    <w:rsid w:val="000C2589"/>
    <w:rsid w:val="000C30D8"/>
    <w:rsid w:val="000C3CF6"/>
    <w:rsid w:val="000C4589"/>
    <w:rsid w:val="000C57D5"/>
    <w:rsid w:val="000C6A87"/>
    <w:rsid w:val="000D1CB0"/>
    <w:rsid w:val="000D31B0"/>
    <w:rsid w:val="000D55B5"/>
    <w:rsid w:val="000D58BD"/>
    <w:rsid w:val="000D5974"/>
    <w:rsid w:val="000D5ED5"/>
    <w:rsid w:val="000D7F7C"/>
    <w:rsid w:val="000E02BE"/>
    <w:rsid w:val="000E3308"/>
    <w:rsid w:val="000E3FD7"/>
    <w:rsid w:val="000E452D"/>
    <w:rsid w:val="000F004E"/>
    <w:rsid w:val="000F0840"/>
    <w:rsid w:val="000F37BB"/>
    <w:rsid w:val="000F4481"/>
    <w:rsid w:val="000F5100"/>
    <w:rsid w:val="000F57BB"/>
    <w:rsid w:val="00101961"/>
    <w:rsid w:val="00102870"/>
    <w:rsid w:val="00110396"/>
    <w:rsid w:val="001110DB"/>
    <w:rsid w:val="001155AF"/>
    <w:rsid w:val="00115D70"/>
    <w:rsid w:val="00120113"/>
    <w:rsid w:val="001235DD"/>
    <w:rsid w:val="0012369A"/>
    <w:rsid w:val="001243CD"/>
    <w:rsid w:val="0012460B"/>
    <w:rsid w:val="00126BC5"/>
    <w:rsid w:val="00127373"/>
    <w:rsid w:val="0013023A"/>
    <w:rsid w:val="00131CE4"/>
    <w:rsid w:val="00133A17"/>
    <w:rsid w:val="00133C58"/>
    <w:rsid w:val="00134EA8"/>
    <w:rsid w:val="00135F03"/>
    <w:rsid w:val="001365F4"/>
    <w:rsid w:val="0014140D"/>
    <w:rsid w:val="00141B6F"/>
    <w:rsid w:val="0014336D"/>
    <w:rsid w:val="001477D1"/>
    <w:rsid w:val="0015023A"/>
    <w:rsid w:val="00150DAE"/>
    <w:rsid w:val="0015254E"/>
    <w:rsid w:val="00152C60"/>
    <w:rsid w:val="001535F3"/>
    <w:rsid w:val="0015437A"/>
    <w:rsid w:val="00156E0C"/>
    <w:rsid w:val="00160691"/>
    <w:rsid w:val="00165113"/>
    <w:rsid w:val="001709E2"/>
    <w:rsid w:val="00174C10"/>
    <w:rsid w:val="00175447"/>
    <w:rsid w:val="00182B85"/>
    <w:rsid w:val="00183038"/>
    <w:rsid w:val="00183882"/>
    <w:rsid w:val="001844B6"/>
    <w:rsid w:val="001851A3"/>
    <w:rsid w:val="001851B9"/>
    <w:rsid w:val="001855B1"/>
    <w:rsid w:val="00186D01"/>
    <w:rsid w:val="0019021E"/>
    <w:rsid w:val="00190A8C"/>
    <w:rsid w:val="00190F9A"/>
    <w:rsid w:val="00194050"/>
    <w:rsid w:val="00194745"/>
    <w:rsid w:val="00194E96"/>
    <w:rsid w:val="001A060C"/>
    <w:rsid w:val="001A07F1"/>
    <w:rsid w:val="001A3B0B"/>
    <w:rsid w:val="001A4332"/>
    <w:rsid w:val="001A4432"/>
    <w:rsid w:val="001A478E"/>
    <w:rsid w:val="001A509E"/>
    <w:rsid w:val="001A6FE6"/>
    <w:rsid w:val="001A7B61"/>
    <w:rsid w:val="001A7D6D"/>
    <w:rsid w:val="001B1210"/>
    <w:rsid w:val="001B2F84"/>
    <w:rsid w:val="001B305C"/>
    <w:rsid w:val="001B34EB"/>
    <w:rsid w:val="001C0644"/>
    <w:rsid w:val="001C0B58"/>
    <w:rsid w:val="001C3363"/>
    <w:rsid w:val="001C4862"/>
    <w:rsid w:val="001C7C39"/>
    <w:rsid w:val="001D09CC"/>
    <w:rsid w:val="001D0AF4"/>
    <w:rsid w:val="001D12D6"/>
    <w:rsid w:val="001D1FC0"/>
    <w:rsid w:val="001D2096"/>
    <w:rsid w:val="001D3A43"/>
    <w:rsid w:val="001D3C11"/>
    <w:rsid w:val="001D4AA8"/>
    <w:rsid w:val="001D4D42"/>
    <w:rsid w:val="001D5EC9"/>
    <w:rsid w:val="001D6B90"/>
    <w:rsid w:val="001E0D36"/>
    <w:rsid w:val="001E152A"/>
    <w:rsid w:val="001E1DA0"/>
    <w:rsid w:val="001E3B6F"/>
    <w:rsid w:val="001E429F"/>
    <w:rsid w:val="001E69A2"/>
    <w:rsid w:val="001F02C1"/>
    <w:rsid w:val="001F4352"/>
    <w:rsid w:val="001F5423"/>
    <w:rsid w:val="001F5DD9"/>
    <w:rsid w:val="001F69E9"/>
    <w:rsid w:val="001F6D51"/>
    <w:rsid w:val="001F71C9"/>
    <w:rsid w:val="001F7CF8"/>
    <w:rsid w:val="00200315"/>
    <w:rsid w:val="0020104C"/>
    <w:rsid w:val="0020151D"/>
    <w:rsid w:val="00201B79"/>
    <w:rsid w:val="00202E56"/>
    <w:rsid w:val="002033D6"/>
    <w:rsid w:val="00203758"/>
    <w:rsid w:val="00204AB1"/>
    <w:rsid w:val="00205E05"/>
    <w:rsid w:val="0020708B"/>
    <w:rsid w:val="00207B21"/>
    <w:rsid w:val="00207D2A"/>
    <w:rsid w:val="00211257"/>
    <w:rsid w:val="002125B7"/>
    <w:rsid w:val="002144F0"/>
    <w:rsid w:val="00216F02"/>
    <w:rsid w:val="0021731F"/>
    <w:rsid w:val="00217CA1"/>
    <w:rsid w:val="00220F29"/>
    <w:rsid w:val="00221FAD"/>
    <w:rsid w:val="0022350E"/>
    <w:rsid w:val="0022490F"/>
    <w:rsid w:val="00225F7F"/>
    <w:rsid w:val="00225F9C"/>
    <w:rsid w:val="002274E5"/>
    <w:rsid w:val="0022767B"/>
    <w:rsid w:val="00227EBE"/>
    <w:rsid w:val="002306B7"/>
    <w:rsid w:val="0023355B"/>
    <w:rsid w:val="00233F75"/>
    <w:rsid w:val="002347A2"/>
    <w:rsid w:val="00235DD9"/>
    <w:rsid w:val="00241738"/>
    <w:rsid w:val="002425C2"/>
    <w:rsid w:val="00242C41"/>
    <w:rsid w:val="002437A8"/>
    <w:rsid w:val="00246360"/>
    <w:rsid w:val="00246AF8"/>
    <w:rsid w:val="00250259"/>
    <w:rsid w:val="00251ED1"/>
    <w:rsid w:val="002530A8"/>
    <w:rsid w:val="00253F4D"/>
    <w:rsid w:val="0026191F"/>
    <w:rsid w:val="00262437"/>
    <w:rsid w:val="00265153"/>
    <w:rsid w:val="0026604F"/>
    <w:rsid w:val="002718D6"/>
    <w:rsid w:val="00272539"/>
    <w:rsid w:val="00272F62"/>
    <w:rsid w:val="00272FA0"/>
    <w:rsid w:val="00273A3C"/>
    <w:rsid w:val="00275BC6"/>
    <w:rsid w:val="00281E7E"/>
    <w:rsid w:val="00282EFA"/>
    <w:rsid w:val="002837FC"/>
    <w:rsid w:val="00284C30"/>
    <w:rsid w:val="00286282"/>
    <w:rsid w:val="0028755A"/>
    <w:rsid w:val="00287BA8"/>
    <w:rsid w:val="00287DF9"/>
    <w:rsid w:val="00290335"/>
    <w:rsid w:val="0029158C"/>
    <w:rsid w:val="002A06DA"/>
    <w:rsid w:val="002A33A0"/>
    <w:rsid w:val="002A456F"/>
    <w:rsid w:val="002A66D3"/>
    <w:rsid w:val="002A6E2B"/>
    <w:rsid w:val="002B2572"/>
    <w:rsid w:val="002B4D79"/>
    <w:rsid w:val="002B7335"/>
    <w:rsid w:val="002B77F5"/>
    <w:rsid w:val="002C181F"/>
    <w:rsid w:val="002C1D0C"/>
    <w:rsid w:val="002C1EC2"/>
    <w:rsid w:val="002C331D"/>
    <w:rsid w:val="002C76CF"/>
    <w:rsid w:val="002D1AE9"/>
    <w:rsid w:val="002D2D7E"/>
    <w:rsid w:val="002D3103"/>
    <w:rsid w:val="002D4104"/>
    <w:rsid w:val="002D4177"/>
    <w:rsid w:val="002D548B"/>
    <w:rsid w:val="002D66B1"/>
    <w:rsid w:val="002D7616"/>
    <w:rsid w:val="002D7ECF"/>
    <w:rsid w:val="002E1C94"/>
    <w:rsid w:val="002E46DE"/>
    <w:rsid w:val="002E5406"/>
    <w:rsid w:val="002E753B"/>
    <w:rsid w:val="002E78D7"/>
    <w:rsid w:val="002F1CB1"/>
    <w:rsid w:val="002F3633"/>
    <w:rsid w:val="002F5B67"/>
    <w:rsid w:val="002F653C"/>
    <w:rsid w:val="002F7D4C"/>
    <w:rsid w:val="00300CED"/>
    <w:rsid w:val="00300D77"/>
    <w:rsid w:val="003030E1"/>
    <w:rsid w:val="00304677"/>
    <w:rsid w:val="00304BF7"/>
    <w:rsid w:val="00304C1D"/>
    <w:rsid w:val="003069E8"/>
    <w:rsid w:val="00307737"/>
    <w:rsid w:val="00307E85"/>
    <w:rsid w:val="00310269"/>
    <w:rsid w:val="0031087D"/>
    <w:rsid w:val="00310BBC"/>
    <w:rsid w:val="00310E67"/>
    <w:rsid w:val="003111DB"/>
    <w:rsid w:val="00311373"/>
    <w:rsid w:val="00311CCB"/>
    <w:rsid w:val="00313937"/>
    <w:rsid w:val="00314466"/>
    <w:rsid w:val="003149E9"/>
    <w:rsid w:val="00315292"/>
    <w:rsid w:val="00316B83"/>
    <w:rsid w:val="00317004"/>
    <w:rsid w:val="00317DAD"/>
    <w:rsid w:val="00317FF8"/>
    <w:rsid w:val="003203C7"/>
    <w:rsid w:val="00320415"/>
    <w:rsid w:val="0032145B"/>
    <w:rsid w:val="003228BF"/>
    <w:rsid w:val="00322E0B"/>
    <w:rsid w:val="00323107"/>
    <w:rsid w:val="00323C5A"/>
    <w:rsid w:val="00324485"/>
    <w:rsid w:val="00325A1F"/>
    <w:rsid w:val="00331DCE"/>
    <w:rsid w:val="00332055"/>
    <w:rsid w:val="00332280"/>
    <w:rsid w:val="003323DB"/>
    <w:rsid w:val="00332B05"/>
    <w:rsid w:val="003330C7"/>
    <w:rsid w:val="00335C9A"/>
    <w:rsid w:val="003409BF"/>
    <w:rsid w:val="00341944"/>
    <w:rsid w:val="00345525"/>
    <w:rsid w:val="00347039"/>
    <w:rsid w:val="003510AD"/>
    <w:rsid w:val="00351302"/>
    <w:rsid w:val="00355E73"/>
    <w:rsid w:val="00356841"/>
    <w:rsid w:val="00357DAD"/>
    <w:rsid w:val="003640B6"/>
    <w:rsid w:val="00364715"/>
    <w:rsid w:val="00365687"/>
    <w:rsid w:val="003657AB"/>
    <w:rsid w:val="003709CB"/>
    <w:rsid w:val="00370A03"/>
    <w:rsid w:val="00372979"/>
    <w:rsid w:val="00372A69"/>
    <w:rsid w:val="00376491"/>
    <w:rsid w:val="00380189"/>
    <w:rsid w:val="00380A15"/>
    <w:rsid w:val="00381107"/>
    <w:rsid w:val="00381308"/>
    <w:rsid w:val="003818E8"/>
    <w:rsid w:val="00383295"/>
    <w:rsid w:val="003848EF"/>
    <w:rsid w:val="00384905"/>
    <w:rsid w:val="00385BF8"/>
    <w:rsid w:val="00386560"/>
    <w:rsid w:val="00393F5D"/>
    <w:rsid w:val="003946A1"/>
    <w:rsid w:val="00395DFD"/>
    <w:rsid w:val="00395F95"/>
    <w:rsid w:val="00396C1A"/>
    <w:rsid w:val="003972F5"/>
    <w:rsid w:val="003A12B1"/>
    <w:rsid w:val="003A12EA"/>
    <w:rsid w:val="003A151C"/>
    <w:rsid w:val="003A53C5"/>
    <w:rsid w:val="003A5EEC"/>
    <w:rsid w:val="003A6079"/>
    <w:rsid w:val="003A68AB"/>
    <w:rsid w:val="003A7572"/>
    <w:rsid w:val="003B00FB"/>
    <w:rsid w:val="003B04F0"/>
    <w:rsid w:val="003B1336"/>
    <w:rsid w:val="003B20FC"/>
    <w:rsid w:val="003B30DD"/>
    <w:rsid w:val="003B3E18"/>
    <w:rsid w:val="003B5CBC"/>
    <w:rsid w:val="003B72CF"/>
    <w:rsid w:val="003B78AB"/>
    <w:rsid w:val="003B7F9E"/>
    <w:rsid w:val="003C2DEE"/>
    <w:rsid w:val="003C4286"/>
    <w:rsid w:val="003C6C81"/>
    <w:rsid w:val="003D11C0"/>
    <w:rsid w:val="003D2341"/>
    <w:rsid w:val="003D2D82"/>
    <w:rsid w:val="003D33A3"/>
    <w:rsid w:val="003D572E"/>
    <w:rsid w:val="003D57B2"/>
    <w:rsid w:val="003D6960"/>
    <w:rsid w:val="003D77EE"/>
    <w:rsid w:val="003E0510"/>
    <w:rsid w:val="003E1BBB"/>
    <w:rsid w:val="003E2295"/>
    <w:rsid w:val="003E54B6"/>
    <w:rsid w:val="003E58BD"/>
    <w:rsid w:val="003E5E49"/>
    <w:rsid w:val="003E66BB"/>
    <w:rsid w:val="003E7A4D"/>
    <w:rsid w:val="003F1D29"/>
    <w:rsid w:val="003F1F49"/>
    <w:rsid w:val="003F2B75"/>
    <w:rsid w:val="003F2FA0"/>
    <w:rsid w:val="003F42A7"/>
    <w:rsid w:val="003F6045"/>
    <w:rsid w:val="003F6081"/>
    <w:rsid w:val="003F71C5"/>
    <w:rsid w:val="004016DE"/>
    <w:rsid w:val="004025DC"/>
    <w:rsid w:val="00402E80"/>
    <w:rsid w:val="004041B8"/>
    <w:rsid w:val="004045D6"/>
    <w:rsid w:val="00405ACA"/>
    <w:rsid w:val="00406B23"/>
    <w:rsid w:val="00415552"/>
    <w:rsid w:val="00416050"/>
    <w:rsid w:val="00417259"/>
    <w:rsid w:val="004175D4"/>
    <w:rsid w:val="004213F0"/>
    <w:rsid w:val="00421868"/>
    <w:rsid w:val="00422963"/>
    <w:rsid w:val="00422D58"/>
    <w:rsid w:val="004240A9"/>
    <w:rsid w:val="0042494E"/>
    <w:rsid w:val="00426AB3"/>
    <w:rsid w:val="00430D68"/>
    <w:rsid w:val="00432445"/>
    <w:rsid w:val="00433533"/>
    <w:rsid w:val="0043446F"/>
    <w:rsid w:val="00435DA5"/>
    <w:rsid w:val="0043683F"/>
    <w:rsid w:val="004369F0"/>
    <w:rsid w:val="0044034F"/>
    <w:rsid w:val="004406D1"/>
    <w:rsid w:val="00440A77"/>
    <w:rsid w:val="004422A6"/>
    <w:rsid w:val="004442E2"/>
    <w:rsid w:val="00444DC8"/>
    <w:rsid w:val="00445634"/>
    <w:rsid w:val="0045253C"/>
    <w:rsid w:val="00452B35"/>
    <w:rsid w:val="004547EA"/>
    <w:rsid w:val="00455895"/>
    <w:rsid w:val="00455EAA"/>
    <w:rsid w:val="00456494"/>
    <w:rsid w:val="00457408"/>
    <w:rsid w:val="004577E1"/>
    <w:rsid w:val="0045799A"/>
    <w:rsid w:val="00462598"/>
    <w:rsid w:val="00463490"/>
    <w:rsid w:val="00466326"/>
    <w:rsid w:val="00467D48"/>
    <w:rsid w:val="00470048"/>
    <w:rsid w:val="00470BEA"/>
    <w:rsid w:val="00471060"/>
    <w:rsid w:val="004716AC"/>
    <w:rsid w:val="00471E07"/>
    <w:rsid w:val="004763AF"/>
    <w:rsid w:val="00481238"/>
    <w:rsid w:val="0048196D"/>
    <w:rsid w:val="00481DBF"/>
    <w:rsid w:val="004832D1"/>
    <w:rsid w:val="00483E1A"/>
    <w:rsid w:val="00483FB7"/>
    <w:rsid w:val="00485114"/>
    <w:rsid w:val="004860C0"/>
    <w:rsid w:val="00487074"/>
    <w:rsid w:val="0049072A"/>
    <w:rsid w:val="00490FCE"/>
    <w:rsid w:val="00490FF7"/>
    <w:rsid w:val="004930F6"/>
    <w:rsid w:val="00493B5E"/>
    <w:rsid w:val="0049416F"/>
    <w:rsid w:val="004948C9"/>
    <w:rsid w:val="00495404"/>
    <w:rsid w:val="00497931"/>
    <w:rsid w:val="004A14BC"/>
    <w:rsid w:val="004A3D93"/>
    <w:rsid w:val="004A3EFD"/>
    <w:rsid w:val="004A3F27"/>
    <w:rsid w:val="004A7E39"/>
    <w:rsid w:val="004B1880"/>
    <w:rsid w:val="004B3B7B"/>
    <w:rsid w:val="004B4937"/>
    <w:rsid w:val="004B5251"/>
    <w:rsid w:val="004C0DDA"/>
    <w:rsid w:val="004C1BBB"/>
    <w:rsid w:val="004C3CF1"/>
    <w:rsid w:val="004C4C8F"/>
    <w:rsid w:val="004C5754"/>
    <w:rsid w:val="004D0574"/>
    <w:rsid w:val="004D0C7C"/>
    <w:rsid w:val="004D118B"/>
    <w:rsid w:val="004D6A72"/>
    <w:rsid w:val="004E1174"/>
    <w:rsid w:val="004E242F"/>
    <w:rsid w:val="004E29C6"/>
    <w:rsid w:val="004E3E8F"/>
    <w:rsid w:val="004E4095"/>
    <w:rsid w:val="004E5E6C"/>
    <w:rsid w:val="004E6683"/>
    <w:rsid w:val="004F5E43"/>
    <w:rsid w:val="004F7BA3"/>
    <w:rsid w:val="00500698"/>
    <w:rsid w:val="00500C9D"/>
    <w:rsid w:val="00503C39"/>
    <w:rsid w:val="00506528"/>
    <w:rsid w:val="00507986"/>
    <w:rsid w:val="00510AC6"/>
    <w:rsid w:val="005116B1"/>
    <w:rsid w:val="00517351"/>
    <w:rsid w:val="00520444"/>
    <w:rsid w:val="005216AE"/>
    <w:rsid w:val="005238F6"/>
    <w:rsid w:val="0052463E"/>
    <w:rsid w:val="005250E6"/>
    <w:rsid w:val="00525511"/>
    <w:rsid w:val="00526B28"/>
    <w:rsid w:val="00527387"/>
    <w:rsid w:val="00527A7D"/>
    <w:rsid w:val="00531A01"/>
    <w:rsid w:val="00533D7B"/>
    <w:rsid w:val="00535433"/>
    <w:rsid w:val="005409C5"/>
    <w:rsid w:val="00540A7C"/>
    <w:rsid w:val="00544292"/>
    <w:rsid w:val="005448AD"/>
    <w:rsid w:val="005456EC"/>
    <w:rsid w:val="00547154"/>
    <w:rsid w:val="00551F73"/>
    <w:rsid w:val="00554795"/>
    <w:rsid w:val="00556DEA"/>
    <w:rsid w:val="00560465"/>
    <w:rsid w:val="0056070C"/>
    <w:rsid w:val="00560972"/>
    <w:rsid w:val="00562485"/>
    <w:rsid w:val="00563378"/>
    <w:rsid w:val="00563F7B"/>
    <w:rsid w:val="005640A6"/>
    <w:rsid w:val="00564A9A"/>
    <w:rsid w:val="0056664A"/>
    <w:rsid w:val="00570267"/>
    <w:rsid w:val="00570F8E"/>
    <w:rsid w:val="005719FD"/>
    <w:rsid w:val="00571B06"/>
    <w:rsid w:val="00572118"/>
    <w:rsid w:val="00573359"/>
    <w:rsid w:val="00574A89"/>
    <w:rsid w:val="00575FFA"/>
    <w:rsid w:val="00576F30"/>
    <w:rsid w:val="00582997"/>
    <w:rsid w:val="00584C71"/>
    <w:rsid w:val="00586CE4"/>
    <w:rsid w:val="00586D82"/>
    <w:rsid w:val="005875FD"/>
    <w:rsid w:val="005879B8"/>
    <w:rsid w:val="00591130"/>
    <w:rsid w:val="005920A2"/>
    <w:rsid w:val="00593648"/>
    <w:rsid w:val="00594141"/>
    <w:rsid w:val="00594AC6"/>
    <w:rsid w:val="00594F99"/>
    <w:rsid w:val="0059679F"/>
    <w:rsid w:val="00596F19"/>
    <w:rsid w:val="005970B5"/>
    <w:rsid w:val="005978D0"/>
    <w:rsid w:val="005A0026"/>
    <w:rsid w:val="005A04EA"/>
    <w:rsid w:val="005A0B86"/>
    <w:rsid w:val="005A2FC0"/>
    <w:rsid w:val="005A3880"/>
    <w:rsid w:val="005A540A"/>
    <w:rsid w:val="005A66F6"/>
    <w:rsid w:val="005A7A14"/>
    <w:rsid w:val="005B341F"/>
    <w:rsid w:val="005B44D6"/>
    <w:rsid w:val="005B47AA"/>
    <w:rsid w:val="005B5651"/>
    <w:rsid w:val="005B613F"/>
    <w:rsid w:val="005C0E7F"/>
    <w:rsid w:val="005C54A9"/>
    <w:rsid w:val="005D0BD1"/>
    <w:rsid w:val="005D16E1"/>
    <w:rsid w:val="005D27B8"/>
    <w:rsid w:val="005D2E03"/>
    <w:rsid w:val="005D3E03"/>
    <w:rsid w:val="005D4544"/>
    <w:rsid w:val="005D4F09"/>
    <w:rsid w:val="005D5178"/>
    <w:rsid w:val="005D6EA8"/>
    <w:rsid w:val="005D6F05"/>
    <w:rsid w:val="005E10E3"/>
    <w:rsid w:val="005E3FC7"/>
    <w:rsid w:val="005E6020"/>
    <w:rsid w:val="005E6525"/>
    <w:rsid w:val="005E6579"/>
    <w:rsid w:val="005F32E7"/>
    <w:rsid w:val="005F54D7"/>
    <w:rsid w:val="005F698B"/>
    <w:rsid w:val="00600956"/>
    <w:rsid w:val="006011E1"/>
    <w:rsid w:val="00602401"/>
    <w:rsid w:val="00604143"/>
    <w:rsid w:val="00604158"/>
    <w:rsid w:val="0060499A"/>
    <w:rsid w:val="0060559A"/>
    <w:rsid w:val="0060666C"/>
    <w:rsid w:val="00606C5F"/>
    <w:rsid w:val="0061103F"/>
    <w:rsid w:val="00614CE6"/>
    <w:rsid w:val="006158F9"/>
    <w:rsid w:val="00615CA5"/>
    <w:rsid w:val="00615D43"/>
    <w:rsid w:val="00616BCC"/>
    <w:rsid w:val="0061761A"/>
    <w:rsid w:val="00622448"/>
    <w:rsid w:val="00623DFF"/>
    <w:rsid w:val="00624299"/>
    <w:rsid w:val="006243EB"/>
    <w:rsid w:val="00625536"/>
    <w:rsid w:val="00625AC1"/>
    <w:rsid w:val="00626698"/>
    <w:rsid w:val="006267F8"/>
    <w:rsid w:val="00630966"/>
    <w:rsid w:val="00630EC4"/>
    <w:rsid w:val="00630EC9"/>
    <w:rsid w:val="00631B4C"/>
    <w:rsid w:val="00631C19"/>
    <w:rsid w:val="00632522"/>
    <w:rsid w:val="006328B1"/>
    <w:rsid w:val="00632CB9"/>
    <w:rsid w:val="00635BAE"/>
    <w:rsid w:val="00637714"/>
    <w:rsid w:val="00641D5A"/>
    <w:rsid w:val="00642777"/>
    <w:rsid w:val="00643B89"/>
    <w:rsid w:val="00644C50"/>
    <w:rsid w:val="00645936"/>
    <w:rsid w:val="00646433"/>
    <w:rsid w:val="00646B92"/>
    <w:rsid w:val="00647402"/>
    <w:rsid w:val="00650282"/>
    <w:rsid w:val="00650A11"/>
    <w:rsid w:val="00650A1C"/>
    <w:rsid w:val="006511BB"/>
    <w:rsid w:val="006531EF"/>
    <w:rsid w:val="00655DA6"/>
    <w:rsid w:val="00656305"/>
    <w:rsid w:val="0066034A"/>
    <w:rsid w:val="006631B8"/>
    <w:rsid w:val="006656EC"/>
    <w:rsid w:val="006662EE"/>
    <w:rsid w:val="00667977"/>
    <w:rsid w:val="00667D10"/>
    <w:rsid w:val="006725A4"/>
    <w:rsid w:val="00672D75"/>
    <w:rsid w:val="00674043"/>
    <w:rsid w:val="0067720E"/>
    <w:rsid w:val="00677C65"/>
    <w:rsid w:val="0068051F"/>
    <w:rsid w:val="006812CF"/>
    <w:rsid w:val="00681B40"/>
    <w:rsid w:val="006820E6"/>
    <w:rsid w:val="006824EE"/>
    <w:rsid w:val="00682BBC"/>
    <w:rsid w:val="00684490"/>
    <w:rsid w:val="00685CB3"/>
    <w:rsid w:val="006867B7"/>
    <w:rsid w:val="00686F5E"/>
    <w:rsid w:val="006914EF"/>
    <w:rsid w:val="00692DE8"/>
    <w:rsid w:val="0069403E"/>
    <w:rsid w:val="006945C8"/>
    <w:rsid w:val="006A0557"/>
    <w:rsid w:val="006A0782"/>
    <w:rsid w:val="006A1B09"/>
    <w:rsid w:val="006A2A2C"/>
    <w:rsid w:val="006A2D92"/>
    <w:rsid w:val="006A56C1"/>
    <w:rsid w:val="006A5A2E"/>
    <w:rsid w:val="006B04D1"/>
    <w:rsid w:val="006B131C"/>
    <w:rsid w:val="006B3C41"/>
    <w:rsid w:val="006B4257"/>
    <w:rsid w:val="006B4B0D"/>
    <w:rsid w:val="006B4E05"/>
    <w:rsid w:val="006B70AF"/>
    <w:rsid w:val="006C0521"/>
    <w:rsid w:val="006C17EA"/>
    <w:rsid w:val="006C5CE3"/>
    <w:rsid w:val="006C6483"/>
    <w:rsid w:val="006C7426"/>
    <w:rsid w:val="006D1474"/>
    <w:rsid w:val="006D1F7D"/>
    <w:rsid w:val="006D29CD"/>
    <w:rsid w:val="006D2BE3"/>
    <w:rsid w:val="006D2BEB"/>
    <w:rsid w:val="006D2BF3"/>
    <w:rsid w:val="006D37CF"/>
    <w:rsid w:val="006D3DCE"/>
    <w:rsid w:val="006E11EC"/>
    <w:rsid w:val="006E17B6"/>
    <w:rsid w:val="006E1919"/>
    <w:rsid w:val="006E58A2"/>
    <w:rsid w:val="006E7242"/>
    <w:rsid w:val="006E7CFB"/>
    <w:rsid w:val="006F0945"/>
    <w:rsid w:val="006F3BB8"/>
    <w:rsid w:val="006F6CFD"/>
    <w:rsid w:val="0070149F"/>
    <w:rsid w:val="00703D2D"/>
    <w:rsid w:val="00706FE9"/>
    <w:rsid w:val="00710BF9"/>
    <w:rsid w:val="0071191B"/>
    <w:rsid w:val="00712914"/>
    <w:rsid w:val="0071360C"/>
    <w:rsid w:val="0071367B"/>
    <w:rsid w:val="007139B6"/>
    <w:rsid w:val="0071468E"/>
    <w:rsid w:val="007148AA"/>
    <w:rsid w:val="0071686F"/>
    <w:rsid w:val="00716A12"/>
    <w:rsid w:val="00716D5C"/>
    <w:rsid w:val="00716E66"/>
    <w:rsid w:val="00717760"/>
    <w:rsid w:val="00717800"/>
    <w:rsid w:val="007208D9"/>
    <w:rsid w:val="00720AF5"/>
    <w:rsid w:val="00720C9D"/>
    <w:rsid w:val="00720FFE"/>
    <w:rsid w:val="00724C0F"/>
    <w:rsid w:val="00732185"/>
    <w:rsid w:val="0073258B"/>
    <w:rsid w:val="00732BA8"/>
    <w:rsid w:val="0073350E"/>
    <w:rsid w:val="00733F8C"/>
    <w:rsid w:val="00734E99"/>
    <w:rsid w:val="007359A7"/>
    <w:rsid w:val="00736976"/>
    <w:rsid w:val="00736A54"/>
    <w:rsid w:val="0074128D"/>
    <w:rsid w:val="00744ECC"/>
    <w:rsid w:val="00745317"/>
    <w:rsid w:val="0074677C"/>
    <w:rsid w:val="00746E21"/>
    <w:rsid w:val="0074740B"/>
    <w:rsid w:val="00747E73"/>
    <w:rsid w:val="0075393B"/>
    <w:rsid w:val="0075471A"/>
    <w:rsid w:val="0075771C"/>
    <w:rsid w:val="007608D7"/>
    <w:rsid w:val="00760C0D"/>
    <w:rsid w:val="00761231"/>
    <w:rsid w:val="00763184"/>
    <w:rsid w:val="00763D76"/>
    <w:rsid w:val="00764FAA"/>
    <w:rsid w:val="00767A04"/>
    <w:rsid w:val="00773719"/>
    <w:rsid w:val="00773B58"/>
    <w:rsid w:val="00774343"/>
    <w:rsid w:val="007754E1"/>
    <w:rsid w:val="00777487"/>
    <w:rsid w:val="007777A1"/>
    <w:rsid w:val="0078003D"/>
    <w:rsid w:val="0078273E"/>
    <w:rsid w:val="00782DCD"/>
    <w:rsid w:val="00782F88"/>
    <w:rsid w:val="007844BA"/>
    <w:rsid w:val="0078471D"/>
    <w:rsid w:val="00784EC0"/>
    <w:rsid w:val="00786D45"/>
    <w:rsid w:val="0078730F"/>
    <w:rsid w:val="0078760F"/>
    <w:rsid w:val="007913FD"/>
    <w:rsid w:val="0079221B"/>
    <w:rsid w:val="007925C2"/>
    <w:rsid w:val="00796A50"/>
    <w:rsid w:val="007A01E1"/>
    <w:rsid w:val="007A49C2"/>
    <w:rsid w:val="007A4BDD"/>
    <w:rsid w:val="007B05B3"/>
    <w:rsid w:val="007B14CE"/>
    <w:rsid w:val="007B33D7"/>
    <w:rsid w:val="007B5AC7"/>
    <w:rsid w:val="007B6556"/>
    <w:rsid w:val="007B732A"/>
    <w:rsid w:val="007C08F8"/>
    <w:rsid w:val="007C10F1"/>
    <w:rsid w:val="007C1837"/>
    <w:rsid w:val="007C2377"/>
    <w:rsid w:val="007C293A"/>
    <w:rsid w:val="007D0844"/>
    <w:rsid w:val="007D0CC0"/>
    <w:rsid w:val="007D2908"/>
    <w:rsid w:val="007D537B"/>
    <w:rsid w:val="007D6F3F"/>
    <w:rsid w:val="007E1522"/>
    <w:rsid w:val="007E190E"/>
    <w:rsid w:val="007E1D58"/>
    <w:rsid w:val="007E5728"/>
    <w:rsid w:val="007E6CF8"/>
    <w:rsid w:val="007E6ECC"/>
    <w:rsid w:val="007E7285"/>
    <w:rsid w:val="007F0ABE"/>
    <w:rsid w:val="007F0ED9"/>
    <w:rsid w:val="007F25A7"/>
    <w:rsid w:val="007F2645"/>
    <w:rsid w:val="007F435A"/>
    <w:rsid w:val="007F4668"/>
    <w:rsid w:val="007F571B"/>
    <w:rsid w:val="007F64C7"/>
    <w:rsid w:val="008031EC"/>
    <w:rsid w:val="008034D8"/>
    <w:rsid w:val="008054F0"/>
    <w:rsid w:val="00805BD3"/>
    <w:rsid w:val="00807DB6"/>
    <w:rsid w:val="00815425"/>
    <w:rsid w:val="008155E3"/>
    <w:rsid w:val="00817638"/>
    <w:rsid w:val="00821723"/>
    <w:rsid w:val="008228A5"/>
    <w:rsid w:val="00822B3C"/>
    <w:rsid w:val="00826F71"/>
    <w:rsid w:val="00830ED9"/>
    <w:rsid w:val="008326DB"/>
    <w:rsid w:val="00834367"/>
    <w:rsid w:val="00834AB9"/>
    <w:rsid w:val="008369A3"/>
    <w:rsid w:val="00837300"/>
    <w:rsid w:val="00837F65"/>
    <w:rsid w:val="008410B6"/>
    <w:rsid w:val="00845B33"/>
    <w:rsid w:val="008478CE"/>
    <w:rsid w:val="00847C2B"/>
    <w:rsid w:val="00847E7D"/>
    <w:rsid w:val="00847F14"/>
    <w:rsid w:val="00850B48"/>
    <w:rsid w:val="00850CF7"/>
    <w:rsid w:val="00854B58"/>
    <w:rsid w:val="0085583B"/>
    <w:rsid w:val="008576E4"/>
    <w:rsid w:val="00857E85"/>
    <w:rsid w:val="00860E75"/>
    <w:rsid w:val="0086103A"/>
    <w:rsid w:val="008617EA"/>
    <w:rsid w:val="0086208D"/>
    <w:rsid w:val="008629E3"/>
    <w:rsid w:val="00864321"/>
    <w:rsid w:val="00865220"/>
    <w:rsid w:val="00865DC8"/>
    <w:rsid w:val="00870D58"/>
    <w:rsid w:val="008712A0"/>
    <w:rsid w:val="008717D4"/>
    <w:rsid w:val="00872621"/>
    <w:rsid w:val="008727AA"/>
    <w:rsid w:val="008729DD"/>
    <w:rsid w:val="00873250"/>
    <w:rsid w:val="00873825"/>
    <w:rsid w:val="008739EF"/>
    <w:rsid w:val="00873ADE"/>
    <w:rsid w:val="00876F9A"/>
    <w:rsid w:val="00877C17"/>
    <w:rsid w:val="00881A77"/>
    <w:rsid w:val="008839E5"/>
    <w:rsid w:val="00883C2B"/>
    <w:rsid w:val="00883C78"/>
    <w:rsid w:val="0088761A"/>
    <w:rsid w:val="00890A9E"/>
    <w:rsid w:val="00892576"/>
    <w:rsid w:val="00894601"/>
    <w:rsid w:val="00894CD3"/>
    <w:rsid w:val="00895D49"/>
    <w:rsid w:val="0089699B"/>
    <w:rsid w:val="008A4654"/>
    <w:rsid w:val="008A6491"/>
    <w:rsid w:val="008A6708"/>
    <w:rsid w:val="008A70C3"/>
    <w:rsid w:val="008A7CF1"/>
    <w:rsid w:val="008B0674"/>
    <w:rsid w:val="008B0B60"/>
    <w:rsid w:val="008B0CFF"/>
    <w:rsid w:val="008B20C2"/>
    <w:rsid w:val="008B333C"/>
    <w:rsid w:val="008B3CD2"/>
    <w:rsid w:val="008B519F"/>
    <w:rsid w:val="008B5707"/>
    <w:rsid w:val="008B5C6E"/>
    <w:rsid w:val="008B6E9E"/>
    <w:rsid w:val="008B75E1"/>
    <w:rsid w:val="008C011F"/>
    <w:rsid w:val="008C0805"/>
    <w:rsid w:val="008C096C"/>
    <w:rsid w:val="008C0B6E"/>
    <w:rsid w:val="008C1CAA"/>
    <w:rsid w:val="008C26F4"/>
    <w:rsid w:val="008C3539"/>
    <w:rsid w:val="008C4888"/>
    <w:rsid w:val="008C624A"/>
    <w:rsid w:val="008D1DB1"/>
    <w:rsid w:val="008D1DF0"/>
    <w:rsid w:val="008D3892"/>
    <w:rsid w:val="008D39AA"/>
    <w:rsid w:val="008D5118"/>
    <w:rsid w:val="008D55F9"/>
    <w:rsid w:val="008D6A9C"/>
    <w:rsid w:val="008E0D56"/>
    <w:rsid w:val="008E2B2F"/>
    <w:rsid w:val="008E348C"/>
    <w:rsid w:val="008E4DFF"/>
    <w:rsid w:val="008E549E"/>
    <w:rsid w:val="008E54D0"/>
    <w:rsid w:val="008E5E23"/>
    <w:rsid w:val="008E67C0"/>
    <w:rsid w:val="008E7F9F"/>
    <w:rsid w:val="008F09FE"/>
    <w:rsid w:val="008F1046"/>
    <w:rsid w:val="008F18B3"/>
    <w:rsid w:val="008F1E40"/>
    <w:rsid w:val="008F1EF7"/>
    <w:rsid w:val="008F281A"/>
    <w:rsid w:val="008F2DC7"/>
    <w:rsid w:val="008F5890"/>
    <w:rsid w:val="008F5B59"/>
    <w:rsid w:val="008F6E9D"/>
    <w:rsid w:val="00900C12"/>
    <w:rsid w:val="00901EDF"/>
    <w:rsid w:val="00903CAE"/>
    <w:rsid w:val="00904B02"/>
    <w:rsid w:val="00904BBF"/>
    <w:rsid w:val="009050B9"/>
    <w:rsid w:val="00905752"/>
    <w:rsid w:val="00906288"/>
    <w:rsid w:val="00906E14"/>
    <w:rsid w:val="009076FD"/>
    <w:rsid w:val="0091113E"/>
    <w:rsid w:val="009128E8"/>
    <w:rsid w:val="00914581"/>
    <w:rsid w:val="00920962"/>
    <w:rsid w:val="00920A27"/>
    <w:rsid w:val="00924E21"/>
    <w:rsid w:val="0092726F"/>
    <w:rsid w:val="009308F0"/>
    <w:rsid w:val="0093251D"/>
    <w:rsid w:val="00932CDB"/>
    <w:rsid w:val="00935F44"/>
    <w:rsid w:val="00936C94"/>
    <w:rsid w:val="00937CD8"/>
    <w:rsid w:val="00937DFB"/>
    <w:rsid w:val="00940A80"/>
    <w:rsid w:val="00941D69"/>
    <w:rsid w:val="00944597"/>
    <w:rsid w:val="00944936"/>
    <w:rsid w:val="00944AA7"/>
    <w:rsid w:val="00946AD7"/>
    <w:rsid w:val="00947C30"/>
    <w:rsid w:val="00947F91"/>
    <w:rsid w:val="0095045E"/>
    <w:rsid w:val="00950571"/>
    <w:rsid w:val="00952D7C"/>
    <w:rsid w:val="009540D9"/>
    <w:rsid w:val="009546F6"/>
    <w:rsid w:val="0095626F"/>
    <w:rsid w:val="009569C9"/>
    <w:rsid w:val="00956BA1"/>
    <w:rsid w:val="00961356"/>
    <w:rsid w:val="00962C9F"/>
    <w:rsid w:val="00963DA9"/>
    <w:rsid w:val="0096455D"/>
    <w:rsid w:val="00964F55"/>
    <w:rsid w:val="00965CBF"/>
    <w:rsid w:val="00966271"/>
    <w:rsid w:val="009709DA"/>
    <w:rsid w:val="00970B2C"/>
    <w:rsid w:val="0097372C"/>
    <w:rsid w:val="0097570D"/>
    <w:rsid w:val="009769C6"/>
    <w:rsid w:val="00977F47"/>
    <w:rsid w:val="00980FD2"/>
    <w:rsid w:val="009837EF"/>
    <w:rsid w:val="00984BDC"/>
    <w:rsid w:val="009857E0"/>
    <w:rsid w:val="00987A1D"/>
    <w:rsid w:val="009918FB"/>
    <w:rsid w:val="00991CE2"/>
    <w:rsid w:val="009A0497"/>
    <w:rsid w:val="009A1142"/>
    <w:rsid w:val="009A1A9A"/>
    <w:rsid w:val="009A2D21"/>
    <w:rsid w:val="009A2F80"/>
    <w:rsid w:val="009B157C"/>
    <w:rsid w:val="009B2293"/>
    <w:rsid w:val="009B25BD"/>
    <w:rsid w:val="009B36BF"/>
    <w:rsid w:val="009B3FF0"/>
    <w:rsid w:val="009B5872"/>
    <w:rsid w:val="009B5A80"/>
    <w:rsid w:val="009B671B"/>
    <w:rsid w:val="009B6ACF"/>
    <w:rsid w:val="009B6B48"/>
    <w:rsid w:val="009B7123"/>
    <w:rsid w:val="009B7B65"/>
    <w:rsid w:val="009C0CEB"/>
    <w:rsid w:val="009C2B62"/>
    <w:rsid w:val="009C3E19"/>
    <w:rsid w:val="009C74B5"/>
    <w:rsid w:val="009C7BD2"/>
    <w:rsid w:val="009D0E47"/>
    <w:rsid w:val="009D13F4"/>
    <w:rsid w:val="009D1F1C"/>
    <w:rsid w:val="009D2902"/>
    <w:rsid w:val="009D3AEC"/>
    <w:rsid w:val="009D7957"/>
    <w:rsid w:val="009D7CE6"/>
    <w:rsid w:val="009E008F"/>
    <w:rsid w:val="009E0870"/>
    <w:rsid w:val="009E0D56"/>
    <w:rsid w:val="009E262C"/>
    <w:rsid w:val="009E3B03"/>
    <w:rsid w:val="009E5D8C"/>
    <w:rsid w:val="009E6430"/>
    <w:rsid w:val="009E64A4"/>
    <w:rsid w:val="009E720C"/>
    <w:rsid w:val="009E771F"/>
    <w:rsid w:val="009F471D"/>
    <w:rsid w:val="009F48BD"/>
    <w:rsid w:val="009F56A0"/>
    <w:rsid w:val="009F625C"/>
    <w:rsid w:val="009F6692"/>
    <w:rsid w:val="00A00F82"/>
    <w:rsid w:val="00A02AB8"/>
    <w:rsid w:val="00A0444F"/>
    <w:rsid w:val="00A05393"/>
    <w:rsid w:val="00A05924"/>
    <w:rsid w:val="00A12337"/>
    <w:rsid w:val="00A127AE"/>
    <w:rsid w:val="00A13C00"/>
    <w:rsid w:val="00A143E0"/>
    <w:rsid w:val="00A14D21"/>
    <w:rsid w:val="00A212FC"/>
    <w:rsid w:val="00A21C3A"/>
    <w:rsid w:val="00A22274"/>
    <w:rsid w:val="00A223AF"/>
    <w:rsid w:val="00A2267C"/>
    <w:rsid w:val="00A23419"/>
    <w:rsid w:val="00A32793"/>
    <w:rsid w:val="00A376D1"/>
    <w:rsid w:val="00A412A4"/>
    <w:rsid w:val="00A44E29"/>
    <w:rsid w:val="00A45752"/>
    <w:rsid w:val="00A46BA8"/>
    <w:rsid w:val="00A50C8B"/>
    <w:rsid w:val="00A54607"/>
    <w:rsid w:val="00A5615B"/>
    <w:rsid w:val="00A566F7"/>
    <w:rsid w:val="00A60788"/>
    <w:rsid w:val="00A624D4"/>
    <w:rsid w:val="00A63795"/>
    <w:rsid w:val="00A63817"/>
    <w:rsid w:val="00A64DFC"/>
    <w:rsid w:val="00A64E67"/>
    <w:rsid w:val="00A65708"/>
    <w:rsid w:val="00A7096F"/>
    <w:rsid w:val="00A74FE2"/>
    <w:rsid w:val="00A75DAF"/>
    <w:rsid w:val="00A76ACC"/>
    <w:rsid w:val="00A80316"/>
    <w:rsid w:val="00A80DCD"/>
    <w:rsid w:val="00A827A8"/>
    <w:rsid w:val="00A8360B"/>
    <w:rsid w:val="00A857D9"/>
    <w:rsid w:val="00A90857"/>
    <w:rsid w:val="00A90A64"/>
    <w:rsid w:val="00A91448"/>
    <w:rsid w:val="00A92245"/>
    <w:rsid w:val="00A93A78"/>
    <w:rsid w:val="00A94548"/>
    <w:rsid w:val="00AA0CF2"/>
    <w:rsid w:val="00AA25A1"/>
    <w:rsid w:val="00AA2B6A"/>
    <w:rsid w:val="00AA3306"/>
    <w:rsid w:val="00AA4B70"/>
    <w:rsid w:val="00AA7756"/>
    <w:rsid w:val="00AB2055"/>
    <w:rsid w:val="00AB2960"/>
    <w:rsid w:val="00AB4A42"/>
    <w:rsid w:val="00AB574B"/>
    <w:rsid w:val="00AB6DF3"/>
    <w:rsid w:val="00AB79EC"/>
    <w:rsid w:val="00AC06AD"/>
    <w:rsid w:val="00AC1849"/>
    <w:rsid w:val="00AC1DB2"/>
    <w:rsid w:val="00AC23DD"/>
    <w:rsid w:val="00AC29B4"/>
    <w:rsid w:val="00AC4436"/>
    <w:rsid w:val="00AC6D7C"/>
    <w:rsid w:val="00AC758F"/>
    <w:rsid w:val="00AD01BB"/>
    <w:rsid w:val="00AD02B4"/>
    <w:rsid w:val="00AD3B0C"/>
    <w:rsid w:val="00AD4CDC"/>
    <w:rsid w:val="00AD5620"/>
    <w:rsid w:val="00AD5C7A"/>
    <w:rsid w:val="00AD5FA3"/>
    <w:rsid w:val="00AD640D"/>
    <w:rsid w:val="00AD6B21"/>
    <w:rsid w:val="00AD6D7F"/>
    <w:rsid w:val="00AE0DAF"/>
    <w:rsid w:val="00AE1E77"/>
    <w:rsid w:val="00AE2076"/>
    <w:rsid w:val="00AE311C"/>
    <w:rsid w:val="00AE32FC"/>
    <w:rsid w:val="00AE3926"/>
    <w:rsid w:val="00AE46AA"/>
    <w:rsid w:val="00AE6061"/>
    <w:rsid w:val="00AF0388"/>
    <w:rsid w:val="00AF05EF"/>
    <w:rsid w:val="00AF0863"/>
    <w:rsid w:val="00AF29BB"/>
    <w:rsid w:val="00AF2B88"/>
    <w:rsid w:val="00AF5EF5"/>
    <w:rsid w:val="00AF5F2E"/>
    <w:rsid w:val="00AF63A9"/>
    <w:rsid w:val="00AF739D"/>
    <w:rsid w:val="00B00194"/>
    <w:rsid w:val="00B00510"/>
    <w:rsid w:val="00B006A9"/>
    <w:rsid w:val="00B00A80"/>
    <w:rsid w:val="00B01ECE"/>
    <w:rsid w:val="00B06148"/>
    <w:rsid w:val="00B068F2"/>
    <w:rsid w:val="00B10278"/>
    <w:rsid w:val="00B12922"/>
    <w:rsid w:val="00B13310"/>
    <w:rsid w:val="00B154EA"/>
    <w:rsid w:val="00B16720"/>
    <w:rsid w:val="00B17990"/>
    <w:rsid w:val="00B20969"/>
    <w:rsid w:val="00B2109F"/>
    <w:rsid w:val="00B21702"/>
    <w:rsid w:val="00B22390"/>
    <w:rsid w:val="00B2258D"/>
    <w:rsid w:val="00B225B0"/>
    <w:rsid w:val="00B24CD4"/>
    <w:rsid w:val="00B318B0"/>
    <w:rsid w:val="00B31E83"/>
    <w:rsid w:val="00B3230A"/>
    <w:rsid w:val="00B325B0"/>
    <w:rsid w:val="00B328FC"/>
    <w:rsid w:val="00B3411C"/>
    <w:rsid w:val="00B4136C"/>
    <w:rsid w:val="00B41B6A"/>
    <w:rsid w:val="00B4271C"/>
    <w:rsid w:val="00B42A04"/>
    <w:rsid w:val="00B43453"/>
    <w:rsid w:val="00B450F8"/>
    <w:rsid w:val="00B47A0F"/>
    <w:rsid w:val="00B47CFD"/>
    <w:rsid w:val="00B50649"/>
    <w:rsid w:val="00B51927"/>
    <w:rsid w:val="00B51DCA"/>
    <w:rsid w:val="00B51EDA"/>
    <w:rsid w:val="00B5400D"/>
    <w:rsid w:val="00B549E8"/>
    <w:rsid w:val="00B55516"/>
    <w:rsid w:val="00B557B6"/>
    <w:rsid w:val="00B55E3F"/>
    <w:rsid w:val="00B60A1E"/>
    <w:rsid w:val="00B6156C"/>
    <w:rsid w:val="00B61595"/>
    <w:rsid w:val="00B6327A"/>
    <w:rsid w:val="00B657A0"/>
    <w:rsid w:val="00B65FA8"/>
    <w:rsid w:val="00B66384"/>
    <w:rsid w:val="00B664D8"/>
    <w:rsid w:val="00B67EB0"/>
    <w:rsid w:val="00B7014D"/>
    <w:rsid w:val="00B7017B"/>
    <w:rsid w:val="00B722B5"/>
    <w:rsid w:val="00B73F2E"/>
    <w:rsid w:val="00B74113"/>
    <w:rsid w:val="00B77B55"/>
    <w:rsid w:val="00B827C5"/>
    <w:rsid w:val="00B83B44"/>
    <w:rsid w:val="00B83D1F"/>
    <w:rsid w:val="00B84190"/>
    <w:rsid w:val="00B9057D"/>
    <w:rsid w:val="00B91546"/>
    <w:rsid w:val="00B919DC"/>
    <w:rsid w:val="00B91D3B"/>
    <w:rsid w:val="00B93466"/>
    <w:rsid w:val="00B93D1A"/>
    <w:rsid w:val="00B94293"/>
    <w:rsid w:val="00B94B1E"/>
    <w:rsid w:val="00B9718C"/>
    <w:rsid w:val="00BA1691"/>
    <w:rsid w:val="00BA2000"/>
    <w:rsid w:val="00BA2B44"/>
    <w:rsid w:val="00BA326C"/>
    <w:rsid w:val="00BA4224"/>
    <w:rsid w:val="00BB1709"/>
    <w:rsid w:val="00BB249D"/>
    <w:rsid w:val="00BB40AE"/>
    <w:rsid w:val="00BB6B40"/>
    <w:rsid w:val="00BB76DF"/>
    <w:rsid w:val="00BC1511"/>
    <w:rsid w:val="00BC17BE"/>
    <w:rsid w:val="00BC2FCC"/>
    <w:rsid w:val="00BC468A"/>
    <w:rsid w:val="00BC6D7D"/>
    <w:rsid w:val="00BC7D24"/>
    <w:rsid w:val="00BD0413"/>
    <w:rsid w:val="00BD0C96"/>
    <w:rsid w:val="00BD1479"/>
    <w:rsid w:val="00BD2E17"/>
    <w:rsid w:val="00BD483E"/>
    <w:rsid w:val="00BD4A55"/>
    <w:rsid w:val="00BD6E3E"/>
    <w:rsid w:val="00BD7B1A"/>
    <w:rsid w:val="00BD7B51"/>
    <w:rsid w:val="00BE2CBC"/>
    <w:rsid w:val="00BE2ED0"/>
    <w:rsid w:val="00BE3370"/>
    <w:rsid w:val="00BE4286"/>
    <w:rsid w:val="00BE4622"/>
    <w:rsid w:val="00BE5FB9"/>
    <w:rsid w:val="00BE647C"/>
    <w:rsid w:val="00BE650A"/>
    <w:rsid w:val="00BE655B"/>
    <w:rsid w:val="00BE7CC4"/>
    <w:rsid w:val="00BF268F"/>
    <w:rsid w:val="00BF385C"/>
    <w:rsid w:val="00BF6B96"/>
    <w:rsid w:val="00C03042"/>
    <w:rsid w:val="00C03052"/>
    <w:rsid w:val="00C0349A"/>
    <w:rsid w:val="00C04A7D"/>
    <w:rsid w:val="00C05B46"/>
    <w:rsid w:val="00C06197"/>
    <w:rsid w:val="00C06A01"/>
    <w:rsid w:val="00C079DC"/>
    <w:rsid w:val="00C120C0"/>
    <w:rsid w:val="00C13270"/>
    <w:rsid w:val="00C133FC"/>
    <w:rsid w:val="00C13EF0"/>
    <w:rsid w:val="00C14AF4"/>
    <w:rsid w:val="00C15A21"/>
    <w:rsid w:val="00C173DC"/>
    <w:rsid w:val="00C17AAA"/>
    <w:rsid w:val="00C202C8"/>
    <w:rsid w:val="00C22EBB"/>
    <w:rsid w:val="00C24EA3"/>
    <w:rsid w:val="00C2545A"/>
    <w:rsid w:val="00C26BA5"/>
    <w:rsid w:val="00C278DB"/>
    <w:rsid w:val="00C30AB4"/>
    <w:rsid w:val="00C31CC0"/>
    <w:rsid w:val="00C3203A"/>
    <w:rsid w:val="00C33045"/>
    <w:rsid w:val="00C364F8"/>
    <w:rsid w:val="00C3732E"/>
    <w:rsid w:val="00C41A41"/>
    <w:rsid w:val="00C4306B"/>
    <w:rsid w:val="00C45162"/>
    <w:rsid w:val="00C46EA7"/>
    <w:rsid w:val="00C509D3"/>
    <w:rsid w:val="00C522A9"/>
    <w:rsid w:val="00C60191"/>
    <w:rsid w:val="00C60BBD"/>
    <w:rsid w:val="00C63CA5"/>
    <w:rsid w:val="00C67CDD"/>
    <w:rsid w:val="00C734E1"/>
    <w:rsid w:val="00C74661"/>
    <w:rsid w:val="00C746AE"/>
    <w:rsid w:val="00C75C12"/>
    <w:rsid w:val="00C8187B"/>
    <w:rsid w:val="00C84937"/>
    <w:rsid w:val="00C84F64"/>
    <w:rsid w:val="00C850F4"/>
    <w:rsid w:val="00C85510"/>
    <w:rsid w:val="00C86547"/>
    <w:rsid w:val="00C87506"/>
    <w:rsid w:val="00C8797D"/>
    <w:rsid w:val="00C902D7"/>
    <w:rsid w:val="00C94463"/>
    <w:rsid w:val="00C94CD6"/>
    <w:rsid w:val="00C96388"/>
    <w:rsid w:val="00C9661C"/>
    <w:rsid w:val="00C971CD"/>
    <w:rsid w:val="00CA10EB"/>
    <w:rsid w:val="00CA31D5"/>
    <w:rsid w:val="00CA40EE"/>
    <w:rsid w:val="00CA5B78"/>
    <w:rsid w:val="00CA6695"/>
    <w:rsid w:val="00CA70B9"/>
    <w:rsid w:val="00CB511B"/>
    <w:rsid w:val="00CB5722"/>
    <w:rsid w:val="00CC280B"/>
    <w:rsid w:val="00CC3809"/>
    <w:rsid w:val="00CC4D9E"/>
    <w:rsid w:val="00CC6227"/>
    <w:rsid w:val="00CC7744"/>
    <w:rsid w:val="00CD058E"/>
    <w:rsid w:val="00CD2C94"/>
    <w:rsid w:val="00CD3612"/>
    <w:rsid w:val="00CD3F58"/>
    <w:rsid w:val="00CD44C8"/>
    <w:rsid w:val="00CD5A0E"/>
    <w:rsid w:val="00CD74B8"/>
    <w:rsid w:val="00CD7AAF"/>
    <w:rsid w:val="00CD7C25"/>
    <w:rsid w:val="00CE015A"/>
    <w:rsid w:val="00CE0571"/>
    <w:rsid w:val="00CE0D35"/>
    <w:rsid w:val="00CE30A6"/>
    <w:rsid w:val="00CE42A1"/>
    <w:rsid w:val="00CE6738"/>
    <w:rsid w:val="00CE6BDB"/>
    <w:rsid w:val="00CE7C01"/>
    <w:rsid w:val="00CF2024"/>
    <w:rsid w:val="00CF2ADA"/>
    <w:rsid w:val="00CF3FBF"/>
    <w:rsid w:val="00CF4AD8"/>
    <w:rsid w:val="00CF61B6"/>
    <w:rsid w:val="00CF671F"/>
    <w:rsid w:val="00D00503"/>
    <w:rsid w:val="00D00846"/>
    <w:rsid w:val="00D01950"/>
    <w:rsid w:val="00D02C89"/>
    <w:rsid w:val="00D04919"/>
    <w:rsid w:val="00D052B4"/>
    <w:rsid w:val="00D07E33"/>
    <w:rsid w:val="00D10076"/>
    <w:rsid w:val="00D10137"/>
    <w:rsid w:val="00D105F3"/>
    <w:rsid w:val="00D12778"/>
    <w:rsid w:val="00D13B5A"/>
    <w:rsid w:val="00D1488F"/>
    <w:rsid w:val="00D16690"/>
    <w:rsid w:val="00D20645"/>
    <w:rsid w:val="00D20D4C"/>
    <w:rsid w:val="00D21431"/>
    <w:rsid w:val="00D22418"/>
    <w:rsid w:val="00D22AD5"/>
    <w:rsid w:val="00D23A87"/>
    <w:rsid w:val="00D2449C"/>
    <w:rsid w:val="00D24AAD"/>
    <w:rsid w:val="00D24D27"/>
    <w:rsid w:val="00D252D1"/>
    <w:rsid w:val="00D2758D"/>
    <w:rsid w:val="00D3177D"/>
    <w:rsid w:val="00D3286E"/>
    <w:rsid w:val="00D337D1"/>
    <w:rsid w:val="00D33EFF"/>
    <w:rsid w:val="00D357D2"/>
    <w:rsid w:val="00D35822"/>
    <w:rsid w:val="00D35E5E"/>
    <w:rsid w:val="00D36E4F"/>
    <w:rsid w:val="00D3772B"/>
    <w:rsid w:val="00D406B9"/>
    <w:rsid w:val="00D41FA2"/>
    <w:rsid w:val="00D420DA"/>
    <w:rsid w:val="00D43E31"/>
    <w:rsid w:val="00D478C9"/>
    <w:rsid w:val="00D50283"/>
    <w:rsid w:val="00D5127D"/>
    <w:rsid w:val="00D60604"/>
    <w:rsid w:val="00D62789"/>
    <w:rsid w:val="00D64154"/>
    <w:rsid w:val="00D65A18"/>
    <w:rsid w:val="00D675F9"/>
    <w:rsid w:val="00D6772B"/>
    <w:rsid w:val="00D71F7D"/>
    <w:rsid w:val="00D71F97"/>
    <w:rsid w:val="00D7239D"/>
    <w:rsid w:val="00D73421"/>
    <w:rsid w:val="00D7450E"/>
    <w:rsid w:val="00D7478D"/>
    <w:rsid w:val="00D74A41"/>
    <w:rsid w:val="00D768BD"/>
    <w:rsid w:val="00D76907"/>
    <w:rsid w:val="00D81644"/>
    <w:rsid w:val="00D85D6C"/>
    <w:rsid w:val="00D8754E"/>
    <w:rsid w:val="00D93449"/>
    <w:rsid w:val="00D9441D"/>
    <w:rsid w:val="00D95AEB"/>
    <w:rsid w:val="00D95F22"/>
    <w:rsid w:val="00DA04ED"/>
    <w:rsid w:val="00DA166D"/>
    <w:rsid w:val="00DA35CD"/>
    <w:rsid w:val="00DA664C"/>
    <w:rsid w:val="00DA791C"/>
    <w:rsid w:val="00DB17A2"/>
    <w:rsid w:val="00DB1D74"/>
    <w:rsid w:val="00DB25E4"/>
    <w:rsid w:val="00DB3066"/>
    <w:rsid w:val="00DB3596"/>
    <w:rsid w:val="00DB36C2"/>
    <w:rsid w:val="00DB45EC"/>
    <w:rsid w:val="00DB4917"/>
    <w:rsid w:val="00DB5F07"/>
    <w:rsid w:val="00DB6524"/>
    <w:rsid w:val="00DB6D0F"/>
    <w:rsid w:val="00DC14F0"/>
    <w:rsid w:val="00DC1945"/>
    <w:rsid w:val="00DC3DE0"/>
    <w:rsid w:val="00DC4D19"/>
    <w:rsid w:val="00DC5D87"/>
    <w:rsid w:val="00DC68C9"/>
    <w:rsid w:val="00DD1B1B"/>
    <w:rsid w:val="00DD32DC"/>
    <w:rsid w:val="00DD617D"/>
    <w:rsid w:val="00DE04E0"/>
    <w:rsid w:val="00DE06E0"/>
    <w:rsid w:val="00DE39C4"/>
    <w:rsid w:val="00DE55FF"/>
    <w:rsid w:val="00DE5F6F"/>
    <w:rsid w:val="00DE79D3"/>
    <w:rsid w:val="00DE7F03"/>
    <w:rsid w:val="00DF281F"/>
    <w:rsid w:val="00DF2F4B"/>
    <w:rsid w:val="00DF71A3"/>
    <w:rsid w:val="00E00448"/>
    <w:rsid w:val="00E00B23"/>
    <w:rsid w:val="00E0117D"/>
    <w:rsid w:val="00E0310F"/>
    <w:rsid w:val="00E03125"/>
    <w:rsid w:val="00E04357"/>
    <w:rsid w:val="00E04D95"/>
    <w:rsid w:val="00E0769B"/>
    <w:rsid w:val="00E10B5C"/>
    <w:rsid w:val="00E11760"/>
    <w:rsid w:val="00E119E8"/>
    <w:rsid w:val="00E12973"/>
    <w:rsid w:val="00E139C5"/>
    <w:rsid w:val="00E141EC"/>
    <w:rsid w:val="00E14792"/>
    <w:rsid w:val="00E14DAE"/>
    <w:rsid w:val="00E155FA"/>
    <w:rsid w:val="00E16600"/>
    <w:rsid w:val="00E169CD"/>
    <w:rsid w:val="00E205A2"/>
    <w:rsid w:val="00E217A2"/>
    <w:rsid w:val="00E2280E"/>
    <w:rsid w:val="00E228DE"/>
    <w:rsid w:val="00E23208"/>
    <w:rsid w:val="00E24758"/>
    <w:rsid w:val="00E2763D"/>
    <w:rsid w:val="00E3374A"/>
    <w:rsid w:val="00E345DB"/>
    <w:rsid w:val="00E3545D"/>
    <w:rsid w:val="00E3574A"/>
    <w:rsid w:val="00E35A46"/>
    <w:rsid w:val="00E36123"/>
    <w:rsid w:val="00E40533"/>
    <w:rsid w:val="00E405B8"/>
    <w:rsid w:val="00E435D8"/>
    <w:rsid w:val="00E4448D"/>
    <w:rsid w:val="00E46F96"/>
    <w:rsid w:val="00E475AC"/>
    <w:rsid w:val="00E4791F"/>
    <w:rsid w:val="00E50D28"/>
    <w:rsid w:val="00E51807"/>
    <w:rsid w:val="00E53642"/>
    <w:rsid w:val="00E53896"/>
    <w:rsid w:val="00E5473A"/>
    <w:rsid w:val="00E5597A"/>
    <w:rsid w:val="00E55ABB"/>
    <w:rsid w:val="00E5686D"/>
    <w:rsid w:val="00E6038C"/>
    <w:rsid w:val="00E60876"/>
    <w:rsid w:val="00E60BCA"/>
    <w:rsid w:val="00E62FEA"/>
    <w:rsid w:val="00E64602"/>
    <w:rsid w:val="00E659E5"/>
    <w:rsid w:val="00E675B6"/>
    <w:rsid w:val="00E67B60"/>
    <w:rsid w:val="00E67D90"/>
    <w:rsid w:val="00E72931"/>
    <w:rsid w:val="00E74DC5"/>
    <w:rsid w:val="00E75380"/>
    <w:rsid w:val="00E7665D"/>
    <w:rsid w:val="00E766DF"/>
    <w:rsid w:val="00E8172C"/>
    <w:rsid w:val="00E81F35"/>
    <w:rsid w:val="00E82A56"/>
    <w:rsid w:val="00E82B1A"/>
    <w:rsid w:val="00E83D8A"/>
    <w:rsid w:val="00E90731"/>
    <w:rsid w:val="00E950F1"/>
    <w:rsid w:val="00E95A84"/>
    <w:rsid w:val="00E9629B"/>
    <w:rsid w:val="00E96CB5"/>
    <w:rsid w:val="00E9789E"/>
    <w:rsid w:val="00E97BF4"/>
    <w:rsid w:val="00EA0B74"/>
    <w:rsid w:val="00EA2A88"/>
    <w:rsid w:val="00EA3E93"/>
    <w:rsid w:val="00EA78FF"/>
    <w:rsid w:val="00EB002B"/>
    <w:rsid w:val="00EB094A"/>
    <w:rsid w:val="00EB26E3"/>
    <w:rsid w:val="00EB279B"/>
    <w:rsid w:val="00EB2CA5"/>
    <w:rsid w:val="00EB43FD"/>
    <w:rsid w:val="00EB44BE"/>
    <w:rsid w:val="00EB4682"/>
    <w:rsid w:val="00EB477D"/>
    <w:rsid w:val="00EB7FCF"/>
    <w:rsid w:val="00EC17A1"/>
    <w:rsid w:val="00EC28E5"/>
    <w:rsid w:val="00EC5183"/>
    <w:rsid w:val="00EC543F"/>
    <w:rsid w:val="00EC6350"/>
    <w:rsid w:val="00EC6B93"/>
    <w:rsid w:val="00EC741D"/>
    <w:rsid w:val="00EE0868"/>
    <w:rsid w:val="00EE1372"/>
    <w:rsid w:val="00EE1BFF"/>
    <w:rsid w:val="00EE1F4E"/>
    <w:rsid w:val="00EE585D"/>
    <w:rsid w:val="00EE58CB"/>
    <w:rsid w:val="00EF0B62"/>
    <w:rsid w:val="00EF1989"/>
    <w:rsid w:val="00EF3A40"/>
    <w:rsid w:val="00EF468B"/>
    <w:rsid w:val="00EF5429"/>
    <w:rsid w:val="00F01F37"/>
    <w:rsid w:val="00F02857"/>
    <w:rsid w:val="00F03424"/>
    <w:rsid w:val="00F04CDD"/>
    <w:rsid w:val="00F0606D"/>
    <w:rsid w:val="00F06858"/>
    <w:rsid w:val="00F071A7"/>
    <w:rsid w:val="00F0778D"/>
    <w:rsid w:val="00F077D3"/>
    <w:rsid w:val="00F07E0C"/>
    <w:rsid w:val="00F1328C"/>
    <w:rsid w:val="00F13817"/>
    <w:rsid w:val="00F13939"/>
    <w:rsid w:val="00F1396A"/>
    <w:rsid w:val="00F13B21"/>
    <w:rsid w:val="00F14463"/>
    <w:rsid w:val="00F1653E"/>
    <w:rsid w:val="00F16C75"/>
    <w:rsid w:val="00F17FE9"/>
    <w:rsid w:val="00F2128C"/>
    <w:rsid w:val="00F219AD"/>
    <w:rsid w:val="00F23291"/>
    <w:rsid w:val="00F25284"/>
    <w:rsid w:val="00F26CA1"/>
    <w:rsid w:val="00F270C1"/>
    <w:rsid w:val="00F31416"/>
    <w:rsid w:val="00F33190"/>
    <w:rsid w:val="00F332A2"/>
    <w:rsid w:val="00F337B2"/>
    <w:rsid w:val="00F33D36"/>
    <w:rsid w:val="00F4080E"/>
    <w:rsid w:val="00F45799"/>
    <w:rsid w:val="00F46C39"/>
    <w:rsid w:val="00F4755A"/>
    <w:rsid w:val="00F547A2"/>
    <w:rsid w:val="00F555C6"/>
    <w:rsid w:val="00F60CC6"/>
    <w:rsid w:val="00F622E8"/>
    <w:rsid w:val="00F63895"/>
    <w:rsid w:val="00F63F4E"/>
    <w:rsid w:val="00F64822"/>
    <w:rsid w:val="00F65CB3"/>
    <w:rsid w:val="00F66B4C"/>
    <w:rsid w:val="00F6759D"/>
    <w:rsid w:val="00F707E3"/>
    <w:rsid w:val="00F70A77"/>
    <w:rsid w:val="00F71CD0"/>
    <w:rsid w:val="00F71FC5"/>
    <w:rsid w:val="00F73049"/>
    <w:rsid w:val="00F7378F"/>
    <w:rsid w:val="00F77609"/>
    <w:rsid w:val="00F80AE5"/>
    <w:rsid w:val="00F846D6"/>
    <w:rsid w:val="00F84E50"/>
    <w:rsid w:val="00F85083"/>
    <w:rsid w:val="00F9065F"/>
    <w:rsid w:val="00F9142F"/>
    <w:rsid w:val="00F91F5A"/>
    <w:rsid w:val="00F92F01"/>
    <w:rsid w:val="00F941C2"/>
    <w:rsid w:val="00F95B2C"/>
    <w:rsid w:val="00F971E5"/>
    <w:rsid w:val="00FA0AA2"/>
    <w:rsid w:val="00FA0F86"/>
    <w:rsid w:val="00FA509B"/>
    <w:rsid w:val="00FA63FD"/>
    <w:rsid w:val="00FB0F81"/>
    <w:rsid w:val="00FB17F6"/>
    <w:rsid w:val="00FB3263"/>
    <w:rsid w:val="00FB5BC7"/>
    <w:rsid w:val="00FB5CFE"/>
    <w:rsid w:val="00FB6ED3"/>
    <w:rsid w:val="00FB79D5"/>
    <w:rsid w:val="00FC059D"/>
    <w:rsid w:val="00FC07D5"/>
    <w:rsid w:val="00FC0D50"/>
    <w:rsid w:val="00FC3832"/>
    <w:rsid w:val="00FC4514"/>
    <w:rsid w:val="00FC4754"/>
    <w:rsid w:val="00FC6BFA"/>
    <w:rsid w:val="00FD1F2A"/>
    <w:rsid w:val="00FD3E93"/>
    <w:rsid w:val="00FD4195"/>
    <w:rsid w:val="00FD5FBF"/>
    <w:rsid w:val="00FE41CB"/>
    <w:rsid w:val="00FE574F"/>
    <w:rsid w:val="00FE610F"/>
    <w:rsid w:val="00FF029E"/>
    <w:rsid w:val="00FF0918"/>
    <w:rsid w:val="00FF0A78"/>
    <w:rsid w:val="00FF0F21"/>
    <w:rsid w:val="00FF160F"/>
    <w:rsid w:val="00FF2332"/>
    <w:rsid w:val="00FF48F9"/>
    <w:rsid w:val="00FF616D"/>
    <w:rsid w:val="00FF6F4D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B49E2"/>
  <w14:defaultImageDpi w14:val="96"/>
  <w15:docId w15:val="{13645F6E-7655-4309-9882-79F6D5BA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8D9"/>
  </w:style>
  <w:style w:type="paragraph" w:styleId="Heading1">
    <w:name w:val="heading 1"/>
    <w:basedOn w:val="Normal"/>
    <w:next w:val="Normal"/>
    <w:link w:val="Heading1Char"/>
    <w:uiPriority w:val="9"/>
    <w:qFormat/>
    <w:rsid w:val="00E3545D"/>
    <w:pPr>
      <w:keepNext/>
      <w:tabs>
        <w:tab w:val="right" w:pos="10206"/>
      </w:tabs>
      <w:spacing w:before="240" w:after="60"/>
      <w:outlineLvl w:val="0"/>
    </w:pPr>
    <w:rPr>
      <w:rFonts w:ascii="Arial Bold" w:hAnsi="Arial Bold" w:cs="Arial"/>
      <w:b/>
      <w:bCs/>
      <w:spacing w:val="-4"/>
      <w:kern w:val="32"/>
      <w:sz w:val="32"/>
      <w:szCs w:val="32"/>
    </w:rPr>
  </w:style>
  <w:style w:type="paragraph" w:styleId="Heading2">
    <w:name w:val="heading 2"/>
    <w:aliases w:val="EBHeading1"/>
    <w:basedOn w:val="Normal"/>
    <w:next w:val="EBBodyPara"/>
    <w:link w:val="Heading2Char"/>
    <w:uiPriority w:val="9"/>
    <w:qFormat/>
    <w:rsid w:val="002B7335"/>
    <w:pPr>
      <w:keepNext/>
      <w:keepLines/>
      <w:spacing w:before="480" w:after="240"/>
      <w:outlineLvl w:val="1"/>
    </w:pPr>
    <w:rPr>
      <w:rFonts w:cs="Arial"/>
      <w:bCs/>
      <w:color w:val="000000"/>
      <w:sz w:val="32"/>
      <w:szCs w:val="22"/>
    </w:rPr>
  </w:style>
  <w:style w:type="paragraph" w:styleId="Heading3">
    <w:name w:val="heading 3"/>
    <w:aliases w:val="EBHeading2"/>
    <w:basedOn w:val="Normal"/>
    <w:next w:val="EBBodyPara"/>
    <w:link w:val="Heading3Char"/>
    <w:uiPriority w:val="9"/>
    <w:qFormat/>
    <w:rsid w:val="002B7335"/>
    <w:pPr>
      <w:keepNext/>
      <w:keepLines/>
      <w:spacing w:before="360" w:after="240"/>
      <w:outlineLvl w:val="2"/>
    </w:pPr>
    <w:rPr>
      <w:rFonts w:cs="Arial"/>
      <w:b/>
      <w:bCs/>
      <w:color w:val="000000"/>
      <w:szCs w:val="22"/>
    </w:rPr>
  </w:style>
  <w:style w:type="paragraph" w:styleId="Heading4">
    <w:name w:val="heading 4"/>
    <w:aliases w:val="EBHeading3"/>
    <w:basedOn w:val="EBBodyPara"/>
    <w:next w:val="Normal"/>
    <w:link w:val="Heading4Char"/>
    <w:uiPriority w:val="9"/>
    <w:qFormat/>
    <w:rsid w:val="002B7335"/>
    <w:pPr>
      <w:spacing w:before="240"/>
      <w:outlineLvl w:val="3"/>
    </w:pPr>
    <w:rPr>
      <w:b/>
    </w:rPr>
  </w:style>
  <w:style w:type="paragraph" w:styleId="Heading5">
    <w:name w:val="heading 5"/>
    <w:aliases w:val="EBHeading4"/>
    <w:basedOn w:val="Normal"/>
    <w:next w:val="Normal"/>
    <w:link w:val="Heading5Char"/>
    <w:uiPriority w:val="9"/>
    <w:qFormat/>
    <w:rsid w:val="002B7335"/>
    <w:pPr>
      <w:spacing w:before="240" w:after="120"/>
      <w:outlineLvl w:val="4"/>
    </w:pPr>
    <w:rPr>
      <w:bCs/>
      <w:i/>
      <w:iCs/>
      <w:sz w:val="2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aliases w:val="EBHeading1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aliases w:val="EBHeading2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aliases w:val="EBHeading3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aliases w:val="EBHeading4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customStyle="1" w:styleId="IATableLabel">
    <w:name w:val="IATableLabel"/>
    <w:basedOn w:val="Normal"/>
    <w:link w:val="IATableLabelCharChar"/>
    <w:rsid w:val="00402E80"/>
    <w:pPr>
      <w:spacing w:before="50" w:after="50"/>
      <w:ind w:left="113" w:right="113"/>
    </w:pPr>
    <w:rPr>
      <w:rFonts w:eastAsia="SimSun"/>
      <w:b/>
      <w:color w:val="000000"/>
      <w:spacing w:val="-5"/>
      <w:sz w:val="20"/>
      <w:lang w:eastAsia="zh-CN"/>
    </w:rPr>
  </w:style>
  <w:style w:type="character" w:customStyle="1" w:styleId="IATableLabelCharChar">
    <w:name w:val="IATableLabel Char Char"/>
    <w:link w:val="IATableLabel"/>
    <w:locked/>
    <w:rsid w:val="00402E80"/>
    <w:rPr>
      <w:rFonts w:ascii="Arial" w:eastAsia="SimSun" w:hAnsi="Arial"/>
      <w:b/>
      <w:color w:val="000000"/>
      <w:spacing w:val="-5"/>
      <w:lang w:val="en-GB" w:eastAsia="zh-CN"/>
    </w:rPr>
  </w:style>
  <w:style w:type="paragraph" w:customStyle="1" w:styleId="IASpacer">
    <w:name w:val="IASpacer"/>
    <w:basedOn w:val="Normal"/>
    <w:rsid w:val="007208D9"/>
    <w:pPr>
      <w:spacing w:line="80" w:lineRule="exact"/>
    </w:pPr>
    <w:rPr>
      <w:rFonts w:eastAsia="SimSun"/>
      <w:sz w:val="22"/>
      <w:lang w:eastAsia="zh-CN"/>
    </w:rPr>
  </w:style>
  <w:style w:type="paragraph" w:customStyle="1" w:styleId="IATableText">
    <w:name w:val="IATableText"/>
    <w:basedOn w:val="IATableLabel"/>
    <w:link w:val="IATableTextChar"/>
    <w:rsid w:val="00220F29"/>
    <w:rPr>
      <w:b w:val="0"/>
      <w:color w:val="auto"/>
      <w:sz w:val="22"/>
    </w:rPr>
  </w:style>
  <w:style w:type="character" w:customStyle="1" w:styleId="IATableTextChar">
    <w:name w:val="IATableText Char"/>
    <w:link w:val="IATableText"/>
    <w:locked/>
    <w:rsid w:val="00220F2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3E54B6"/>
    <w:pPr>
      <w:spacing w:after="120"/>
    </w:pPr>
    <w:rPr>
      <w:rFonts w:cs="Arial"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416F"/>
    <w:rPr>
      <w:rFonts w:ascii="Arial" w:hAnsi="Arial" w:cs="Times New Roman"/>
      <w:color w:val="000000"/>
      <w:sz w:val="22"/>
      <w:lang w:val="en-GB" w:eastAsia="en-GB"/>
    </w:rPr>
  </w:style>
  <w:style w:type="table" w:styleId="TableGrid">
    <w:name w:val="Table Grid"/>
    <w:basedOn w:val="TableNormal"/>
    <w:uiPriority w:val="59"/>
    <w:rsid w:val="0002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7F64C7"/>
    <w:pPr>
      <w:ind w:left="113"/>
      <w:outlineLvl w:val="0"/>
    </w:pPr>
    <w:rPr>
      <w:rFonts w:cs="Arial"/>
      <w:bCs/>
      <w:color w:val="FFFFFF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74C10"/>
    <w:rPr>
      <w:rFonts w:ascii="Arial" w:hAnsi="Arial" w:cs="Times New Roman"/>
      <w:color w:val="FFFFFF"/>
      <w:kern w:val="28"/>
      <w:sz w:val="32"/>
      <w:lang w:val="en-GB" w:eastAsia="en-US"/>
    </w:rPr>
  </w:style>
  <w:style w:type="paragraph" w:customStyle="1" w:styleId="IAHeadDept">
    <w:name w:val="IAHeadDept"/>
    <w:basedOn w:val="IATableText"/>
    <w:link w:val="IAHeadDeptChar"/>
    <w:rsid w:val="00C120C0"/>
    <w:pPr>
      <w:spacing w:after="120"/>
      <w:ind w:left="0" w:right="57"/>
    </w:pPr>
    <w:rPr>
      <w:spacing w:val="-6"/>
      <w:szCs w:val="22"/>
    </w:rPr>
  </w:style>
  <w:style w:type="paragraph" w:customStyle="1" w:styleId="IAHeadLabel">
    <w:name w:val="IAHeadLabel"/>
    <w:basedOn w:val="IATableLabel"/>
    <w:link w:val="IAHeadLabelChar"/>
    <w:rsid w:val="00570F8E"/>
    <w:pPr>
      <w:spacing w:before="110"/>
      <w:ind w:left="0" w:right="0"/>
    </w:pPr>
  </w:style>
  <w:style w:type="character" w:customStyle="1" w:styleId="IAHeadLabelChar">
    <w:name w:val="IAHeadLabel Char"/>
    <w:basedOn w:val="IATableLabelCharChar"/>
    <w:link w:val="IAHeadLabel"/>
    <w:locked/>
    <w:rsid w:val="00570F8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table" w:customStyle="1" w:styleId="TableIAHeading">
    <w:name w:val="Table_IAHeading"/>
    <w:basedOn w:val="TableNormal"/>
    <w:semiHidden/>
    <w:rsid w:val="006A5A2E"/>
    <w:rPr>
      <w:rFonts w:eastAsia="SimSu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12" w:space="0" w:color="008080"/>
      </w:tblBorders>
      <w:tblCellMar>
        <w:left w:w="0" w:type="dxa"/>
        <w:right w:w="0" w:type="dxa"/>
      </w:tblCellMar>
    </w:tblPr>
    <w:tcPr>
      <w:shd w:val="clear" w:color="auto" w:fill="008080"/>
    </w:tcPr>
  </w:style>
  <w:style w:type="paragraph" w:customStyle="1" w:styleId="IATableNotes">
    <w:name w:val="IATableNotes"/>
    <w:basedOn w:val="Normal"/>
    <w:link w:val="IATableNotesChar"/>
    <w:rsid w:val="006A5A2E"/>
    <w:pPr>
      <w:spacing w:before="60" w:after="60"/>
      <w:ind w:left="113" w:right="113"/>
    </w:pPr>
    <w:rPr>
      <w:rFonts w:eastAsia="SimSun"/>
      <w:sz w:val="18"/>
      <w:lang w:eastAsia="zh-CN"/>
    </w:rPr>
  </w:style>
  <w:style w:type="character" w:customStyle="1" w:styleId="IATableNotesChar">
    <w:name w:val="IATableNotes Char"/>
    <w:link w:val="IATableNotes"/>
    <w:locked/>
    <w:rsid w:val="006A5A2E"/>
    <w:rPr>
      <w:rFonts w:ascii="Arial" w:eastAsia="SimSun" w:hAnsi="Arial"/>
      <w:sz w:val="18"/>
      <w:lang w:val="en-GB" w:eastAsia="zh-CN"/>
    </w:rPr>
  </w:style>
  <w:style w:type="paragraph" w:customStyle="1" w:styleId="IASignOff">
    <w:name w:val="IASignOff"/>
    <w:basedOn w:val="IATableNotes"/>
    <w:next w:val="IATableNotes"/>
    <w:link w:val="IASignOffChar"/>
    <w:semiHidden/>
    <w:rsid w:val="006A5A2E"/>
    <w:pPr>
      <w:spacing w:before="120" w:after="120"/>
      <w:ind w:left="567" w:right="567"/>
    </w:pPr>
    <w:rPr>
      <w:b/>
      <w:bCs/>
      <w:i/>
      <w:iCs/>
    </w:rPr>
  </w:style>
  <w:style w:type="character" w:customStyle="1" w:styleId="IASignOffChar">
    <w:name w:val="IASignOff Char"/>
    <w:link w:val="IASignOff"/>
    <w:locked/>
    <w:rsid w:val="006A5A2E"/>
    <w:rPr>
      <w:rFonts w:ascii="Arial" w:eastAsia="SimSun" w:hAnsi="Arial"/>
      <w:b/>
      <w:i/>
      <w:sz w:val="18"/>
      <w:lang w:val="en-GB" w:eastAsia="zh-CN"/>
    </w:rPr>
  </w:style>
  <w:style w:type="paragraph" w:customStyle="1" w:styleId="IAHeadTitle">
    <w:name w:val="IAHeadTitle"/>
    <w:basedOn w:val="IAHeadDept"/>
    <w:link w:val="IAHeadTitleChar"/>
    <w:rsid w:val="008228A5"/>
    <w:pPr>
      <w:spacing w:before="0" w:after="0"/>
    </w:pPr>
    <w:rPr>
      <w:b/>
      <w:sz w:val="28"/>
      <w:szCs w:val="28"/>
    </w:rPr>
  </w:style>
  <w:style w:type="paragraph" w:customStyle="1" w:styleId="IASignature">
    <w:name w:val="IA Signature"/>
    <w:basedOn w:val="IATableText"/>
    <w:rsid w:val="00C67CDD"/>
    <w:pPr>
      <w:tabs>
        <w:tab w:val="left" w:leader="dot" w:pos="6804"/>
        <w:tab w:val="right" w:leader="dot" w:pos="10206"/>
      </w:tabs>
      <w:spacing w:before="0" w:after="0"/>
      <w:ind w:left="0"/>
    </w:pPr>
  </w:style>
  <w:style w:type="paragraph" w:customStyle="1" w:styleId="IASign-offlabel">
    <w:name w:val="IA Sign-off label"/>
    <w:basedOn w:val="IAHeadLabel"/>
    <w:link w:val="IASign-offlabelChar"/>
    <w:rsid w:val="00FB5CFE"/>
    <w:pPr>
      <w:spacing w:after="120"/>
    </w:pPr>
    <w:rPr>
      <w:szCs w:val="22"/>
      <w:u w:val="single"/>
    </w:rPr>
  </w:style>
  <w:style w:type="character" w:customStyle="1" w:styleId="IASign-offlabelChar">
    <w:name w:val="IA Sign-off label Char"/>
    <w:link w:val="IASign-offlabel"/>
    <w:locked/>
    <w:rsid w:val="009050B9"/>
    <w:rPr>
      <w:rFonts w:ascii="Arial" w:eastAsia="SimSun" w:hAnsi="Arial"/>
      <w:b/>
      <w:color w:val="000000"/>
      <w:spacing w:val="-5"/>
      <w:sz w:val="22"/>
      <w:u w:val="single"/>
      <w:lang w:val="en-GB" w:eastAsia="zh-CN"/>
    </w:rPr>
  </w:style>
  <w:style w:type="paragraph" w:customStyle="1" w:styleId="IASign-off">
    <w:name w:val="IA Sign-off"/>
    <w:basedOn w:val="IATableText"/>
    <w:rsid w:val="00C67CDD"/>
    <w:pPr>
      <w:spacing w:before="0" w:after="0"/>
      <w:ind w:left="0" w:right="284"/>
    </w:pPr>
    <w:rPr>
      <w:b/>
      <w:i/>
    </w:rPr>
  </w:style>
  <w:style w:type="paragraph" w:customStyle="1" w:styleId="IAHeading2">
    <w:name w:val="IAHeading2"/>
    <w:basedOn w:val="Normal"/>
    <w:semiHidden/>
    <w:rsid w:val="000A79FC"/>
    <w:pPr>
      <w:keepNext/>
      <w:keepLines/>
      <w:spacing w:before="60" w:after="60"/>
      <w:ind w:left="113" w:right="113"/>
    </w:pPr>
    <w:rPr>
      <w:rFonts w:eastAsia="SimSun"/>
      <w:b/>
      <w:sz w:val="20"/>
      <w:lang w:eastAsia="zh-CN"/>
    </w:rPr>
  </w:style>
  <w:style w:type="table" w:customStyle="1" w:styleId="TableIABox">
    <w:name w:val="Table_IABox"/>
    <w:basedOn w:val="TableNormal"/>
    <w:rsid w:val="007777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E96CB5"/>
    <w:pPr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407D8"/>
    <w:pPr>
      <w:tabs>
        <w:tab w:val="center" w:pos="5132"/>
        <w:tab w:val="right" w:pos="10260"/>
      </w:tabs>
      <w:jc w:val="center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EB43FD"/>
    <w:rPr>
      <w:rFonts w:cs="Times New Roman"/>
    </w:rPr>
  </w:style>
  <w:style w:type="paragraph" w:customStyle="1" w:styleId="IANotes">
    <w:name w:val="IANotes"/>
    <w:basedOn w:val="Normal"/>
    <w:semiHidden/>
    <w:rsid w:val="00650282"/>
    <w:rPr>
      <w:rFonts w:eastAsia="SimSun"/>
      <w:color w:val="008080"/>
      <w:sz w:val="22"/>
      <w:lang w:eastAsia="zh-CN"/>
    </w:rPr>
  </w:style>
  <w:style w:type="paragraph" w:customStyle="1" w:styleId="IATableHeading">
    <w:name w:val="IATableHeading"/>
    <w:basedOn w:val="IATableLabel"/>
    <w:rsid w:val="00716D5C"/>
    <w:rPr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90FF7"/>
    <w:rPr>
      <w:rFonts w:eastAsia="SimSun"/>
      <w:sz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B84190"/>
    <w:rPr>
      <w:rFonts w:cs="Times New Roman"/>
      <w:sz w:val="22"/>
      <w:vertAlign w:val="superscript"/>
    </w:rPr>
  </w:style>
  <w:style w:type="paragraph" w:customStyle="1" w:styleId="EBBodyPara">
    <w:name w:val="EBBodyPara"/>
    <w:basedOn w:val="BodyText"/>
    <w:rsid w:val="005A2FC0"/>
  </w:style>
  <w:style w:type="paragraph" w:styleId="BalloonText">
    <w:name w:val="Balloon Text"/>
    <w:basedOn w:val="Normal"/>
    <w:link w:val="BalloonTextChar"/>
    <w:uiPriority w:val="99"/>
    <w:semiHidden/>
    <w:rsid w:val="00300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customStyle="1" w:styleId="EBNumber">
    <w:name w:val="EBNumber"/>
    <w:basedOn w:val="BodyText"/>
    <w:rsid w:val="002B7335"/>
    <w:pPr>
      <w:numPr>
        <w:ilvl w:val="1"/>
        <w:numId w:val="20"/>
      </w:numPr>
    </w:pPr>
  </w:style>
  <w:style w:type="paragraph" w:customStyle="1" w:styleId="EBNumberRestart">
    <w:name w:val="EBNumberRestart"/>
    <w:basedOn w:val="BodyText"/>
    <w:next w:val="EBNumber"/>
    <w:rsid w:val="002B7335"/>
    <w:pPr>
      <w:numPr>
        <w:numId w:val="20"/>
      </w:numPr>
    </w:pPr>
  </w:style>
  <w:style w:type="paragraph" w:customStyle="1" w:styleId="StyleIATableText10ptRight">
    <w:name w:val="Style IATableText + 10 pt Right"/>
    <w:basedOn w:val="IATableText"/>
    <w:rsid w:val="008D39AA"/>
    <w:pPr>
      <w:ind w:left="0" w:right="57"/>
      <w:jc w:val="right"/>
    </w:pPr>
    <w:rPr>
      <w:rFonts w:eastAsia="Times New Roman"/>
      <w:sz w:val="20"/>
    </w:rPr>
  </w:style>
  <w:style w:type="paragraph" w:customStyle="1" w:styleId="SecurityClass">
    <w:name w:val="SecurityClass"/>
    <w:basedOn w:val="Header"/>
    <w:rsid w:val="00AE46AA"/>
  </w:style>
  <w:style w:type="paragraph" w:customStyle="1" w:styleId="IARefNumber">
    <w:name w:val="IARefNumber"/>
    <w:basedOn w:val="IATableText"/>
    <w:rsid w:val="001E152A"/>
    <w:pPr>
      <w:numPr>
        <w:numId w:val="12"/>
      </w:numPr>
      <w:ind w:left="0"/>
    </w:pPr>
  </w:style>
  <w:style w:type="character" w:styleId="Hyperlink">
    <w:name w:val="Hyperlink"/>
    <w:basedOn w:val="DefaultParagraphFont"/>
    <w:uiPriority w:val="99"/>
    <w:rsid w:val="00B4136C"/>
    <w:rPr>
      <w:rFonts w:cs="Times New Roman"/>
      <w:color w:val="auto"/>
      <w:u w:val="single"/>
    </w:rPr>
  </w:style>
  <w:style w:type="paragraph" w:customStyle="1" w:styleId="POPBY">
    <w:name w:val="POPBY"/>
    <w:basedOn w:val="IATableLabel"/>
    <w:rsid w:val="00AB574B"/>
  </w:style>
  <w:style w:type="paragraph" w:customStyle="1" w:styleId="EBBullet">
    <w:name w:val="EBBullet"/>
    <w:basedOn w:val="BodyText"/>
    <w:rsid w:val="002B7335"/>
    <w:pPr>
      <w:numPr>
        <w:numId w:val="17"/>
      </w:numPr>
    </w:pPr>
  </w:style>
  <w:style w:type="paragraph" w:customStyle="1" w:styleId="IAHeadText">
    <w:name w:val="IAHeadText"/>
    <w:basedOn w:val="IATableText"/>
    <w:rsid w:val="00632CB9"/>
    <w:pPr>
      <w:spacing w:before="0" w:after="0"/>
      <w:ind w:left="0" w:right="57"/>
    </w:pPr>
    <w:rPr>
      <w:spacing w:val="-6"/>
    </w:rPr>
  </w:style>
  <w:style w:type="paragraph" w:customStyle="1" w:styleId="IAHeadLabel0">
    <w:name w:val="IAHeadLabel0"/>
    <w:basedOn w:val="IAHeadLabel"/>
    <w:next w:val="IAHeadTitle"/>
    <w:rsid w:val="00632CB9"/>
    <w:pPr>
      <w:spacing w:before="0"/>
    </w:pPr>
  </w:style>
  <w:style w:type="paragraph" w:customStyle="1" w:styleId="IATableLines">
    <w:name w:val="IATableLines"/>
    <w:basedOn w:val="IATableText"/>
    <w:link w:val="IATableLinesChar"/>
    <w:rsid w:val="00E82A56"/>
    <w:pPr>
      <w:spacing w:before="0" w:after="0"/>
    </w:pPr>
  </w:style>
  <w:style w:type="paragraph" w:customStyle="1" w:styleId="EvidenceHeadPIR">
    <w:name w:val="EvidenceHeadPIR"/>
    <w:rsid w:val="00BE650A"/>
    <w:pPr>
      <w:spacing w:after="120"/>
    </w:pPr>
    <w:rPr>
      <w:rFonts w:ascii="Arial" w:hAnsi="Arial" w:cs="Arial"/>
      <w:bCs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rsid w:val="006D37CF"/>
    <w:rPr>
      <w:rFonts w:cs="Times New Roman"/>
      <w:color w:val="auto"/>
      <w:u w:val="single"/>
    </w:rPr>
  </w:style>
  <w:style w:type="paragraph" w:customStyle="1" w:styleId="IASpacer2">
    <w:name w:val="IASpacer2"/>
    <w:basedOn w:val="IASpacer"/>
    <w:rsid w:val="00311373"/>
    <w:pPr>
      <w:spacing w:line="40" w:lineRule="exact"/>
    </w:pPr>
  </w:style>
  <w:style w:type="paragraph" w:customStyle="1" w:styleId="POPVBY">
    <w:name w:val="POPVBY"/>
    <w:basedOn w:val="IATableLabel"/>
    <w:rsid w:val="00AB574B"/>
  </w:style>
  <w:style w:type="paragraph" w:customStyle="1" w:styleId="POTPY">
    <w:name w:val="POTPY"/>
    <w:basedOn w:val="IATableLabel"/>
    <w:rsid w:val="00F622E8"/>
  </w:style>
  <w:style w:type="paragraph" w:customStyle="1" w:styleId="PONBLow">
    <w:name w:val="PONBLow"/>
    <w:basedOn w:val="IATableLabel"/>
    <w:link w:val="PONBLowCharChar"/>
    <w:rsid w:val="00F622E8"/>
    <w:rPr>
      <w:b w:val="0"/>
      <w:szCs w:val="22"/>
    </w:rPr>
  </w:style>
  <w:style w:type="character" w:customStyle="1" w:styleId="PONBLowCharChar">
    <w:name w:val="PONBLow Char Char"/>
    <w:link w:val="PONBLow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High">
    <w:name w:val="PONBHigh"/>
    <w:basedOn w:val="IATableLabel"/>
    <w:link w:val="PONBHighChar"/>
    <w:rsid w:val="00F622E8"/>
    <w:rPr>
      <w:b w:val="0"/>
      <w:szCs w:val="22"/>
    </w:rPr>
  </w:style>
  <w:style w:type="character" w:customStyle="1" w:styleId="PONBHighChar">
    <w:name w:val="PONBHigh Char"/>
    <w:link w:val="PONBHigh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BestEst">
    <w:name w:val="PONBBestEst"/>
    <w:basedOn w:val="IATableLabel"/>
    <w:link w:val="PONBBestEstChar"/>
    <w:rsid w:val="00F622E8"/>
    <w:rPr>
      <w:b w:val="0"/>
      <w:szCs w:val="22"/>
    </w:rPr>
  </w:style>
  <w:style w:type="character" w:customStyle="1" w:styleId="PONBBestEstChar">
    <w:name w:val="PONBBestEst Char"/>
    <w:link w:val="PONBBestEst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TTCostsHigh">
    <w:name w:val="POTTCostsHigh"/>
    <w:basedOn w:val="IATableText"/>
    <w:rsid w:val="00B318B0"/>
    <w:pPr>
      <w:jc w:val="right"/>
    </w:pPr>
  </w:style>
  <w:style w:type="paragraph" w:customStyle="1" w:styleId="POTTCostsLow">
    <w:name w:val="POTTCostsLow"/>
    <w:basedOn w:val="POTTCostsHigh"/>
    <w:rsid w:val="00B318B0"/>
  </w:style>
  <w:style w:type="paragraph" w:customStyle="1" w:styleId="POTTCostsBest">
    <w:name w:val="POTTCostsBest"/>
    <w:basedOn w:val="IATableText"/>
    <w:rsid w:val="00B318B0"/>
    <w:pPr>
      <w:jc w:val="right"/>
    </w:pPr>
  </w:style>
  <w:style w:type="paragraph" w:customStyle="1" w:styleId="POTTCostsYear">
    <w:name w:val="POTTCostsYear"/>
    <w:basedOn w:val="IATableText"/>
    <w:rsid w:val="00B318B0"/>
    <w:pPr>
      <w:jc w:val="center"/>
    </w:pPr>
    <w:rPr>
      <w:szCs w:val="18"/>
    </w:rPr>
  </w:style>
  <w:style w:type="paragraph" w:customStyle="1" w:styleId="POAACostsLow">
    <w:name w:val="POAACostsLow"/>
    <w:basedOn w:val="IATableText"/>
    <w:rsid w:val="00B318B0"/>
    <w:pPr>
      <w:jc w:val="right"/>
    </w:pPr>
  </w:style>
  <w:style w:type="paragraph" w:customStyle="1" w:styleId="POAACostsHigh">
    <w:name w:val="POAACostsHigh"/>
    <w:basedOn w:val="POAACostsLow"/>
    <w:rsid w:val="00B318B0"/>
  </w:style>
  <w:style w:type="paragraph" w:customStyle="1" w:styleId="POAACostsBest">
    <w:name w:val="POAACostsBest"/>
    <w:basedOn w:val="IATableText"/>
    <w:rsid w:val="00B318B0"/>
    <w:pPr>
      <w:jc w:val="right"/>
    </w:pPr>
  </w:style>
  <w:style w:type="paragraph" w:customStyle="1" w:styleId="POTCCostsLow">
    <w:name w:val="POTCCostsLow"/>
    <w:basedOn w:val="IATableText"/>
    <w:rsid w:val="00B318B0"/>
    <w:pPr>
      <w:jc w:val="right"/>
    </w:pPr>
    <w:rPr>
      <w:b/>
    </w:rPr>
  </w:style>
  <w:style w:type="paragraph" w:customStyle="1" w:styleId="POTCCostsHigh">
    <w:name w:val="POTCCostsHigh"/>
    <w:basedOn w:val="IATableText"/>
    <w:rsid w:val="00B318B0"/>
    <w:pPr>
      <w:jc w:val="right"/>
    </w:pPr>
    <w:rPr>
      <w:b/>
    </w:rPr>
  </w:style>
  <w:style w:type="paragraph" w:customStyle="1" w:styleId="POTCCostsBest">
    <w:name w:val="POTCCostsBest"/>
    <w:basedOn w:val="IATableText"/>
    <w:rsid w:val="00B318B0"/>
    <w:pPr>
      <w:jc w:val="right"/>
    </w:pPr>
    <w:rPr>
      <w:b/>
    </w:rPr>
  </w:style>
  <w:style w:type="paragraph" w:customStyle="1" w:styleId="IAPOQ1">
    <w:name w:val="IAPOQ1"/>
    <w:basedOn w:val="IATableLabel"/>
    <w:rsid w:val="00B006A9"/>
  </w:style>
  <w:style w:type="paragraph" w:customStyle="1" w:styleId="IAPOA1">
    <w:name w:val="IAPOA1"/>
    <w:basedOn w:val="IATableLines"/>
    <w:rsid w:val="00B006A9"/>
  </w:style>
  <w:style w:type="paragraph" w:customStyle="1" w:styleId="IAPOQ2">
    <w:name w:val="IAPOQ2"/>
    <w:basedOn w:val="IATableLabel"/>
    <w:link w:val="IAPOQ2Char"/>
    <w:rsid w:val="00B006A9"/>
  </w:style>
  <w:style w:type="paragraph" w:customStyle="1" w:styleId="IAPOA2">
    <w:name w:val="IAPOA2"/>
    <w:basedOn w:val="IATableLines"/>
    <w:rsid w:val="00B006A9"/>
  </w:style>
  <w:style w:type="paragraph" w:customStyle="1" w:styleId="POTTBenLow">
    <w:name w:val="POTTBenLow"/>
    <w:basedOn w:val="POTTCostsLow"/>
    <w:rsid w:val="00B006A9"/>
  </w:style>
  <w:style w:type="paragraph" w:customStyle="1" w:styleId="POTTBenHigh">
    <w:name w:val="POTTBenHigh"/>
    <w:basedOn w:val="POTTCostsHigh"/>
    <w:rsid w:val="00B006A9"/>
  </w:style>
  <w:style w:type="paragraph" w:customStyle="1" w:styleId="POTTBenBest">
    <w:name w:val="POTTBenBest"/>
    <w:basedOn w:val="POTTCostsBest"/>
    <w:rsid w:val="00B006A9"/>
  </w:style>
  <w:style w:type="paragraph" w:customStyle="1" w:styleId="POAABenLow">
    <w:name w:val="POAABenLow"/>
    <w:basedOn w:val="POAACostsLow"/>
    <w:rsid w:val="00B006A9"/>
  </w:style>
  <w:style w:type="paragraph" w:customStyle="1" w:styleId="POAABenHigh">
    <w:name w:val="POAABenHigh"/>
    <w:basedOn w:val="POAABenLow"/>
    <w:rsid w:val="00B006A9"/>
  </w:style>
  <w:style w:type="paragraph" w:customStyle="1" w:styleId="POAABenBest">
    <w:name w:val="POAABenBest"/>
    <w:basedOn w:val="POAABenHigh"/>
    <w:rsid w:val="00B006A9"/>
  </w:style>
  <w:style w:type="paragraph" w:customStyle="1" w:styleId="POTBBenLow">
    <w:name w:val="POTBBenLow"/>
    <w:basedOn w:val="POTCCostsLow"/>
    <w:rsid w:val="00B006A9"/>
  </w:style>
  <w:style w:type="paragraph" w:customStyle="1" w:styleId="POTBBenHigh">
    <w:name w:val="POTBBenHigh"/>
    <w:basedOn w:val="POTBBenLow"/>
    <w:rsid w:val="00B006A9"/>
  </w:style>
  <w:style w:type="paragraph" w:customStyle="1" w:styleId="POTBBenBest">
    <w:name w:val="POTBBenBest"/>
    <w:basedOn w:val="POTBBenHigh"/>
    <w:rsid w:val="00B006A9"/>
  </w:style>
  <w:style w:type="paragraph" w:customStyle="1" w:styleId="IPPOQ3">
    <w:name w:val="IPPOQ3"/>
    <w:basedOn w:val="IAPOQ2"/>
    <w:link w:val="IPPOQ3Char"/>
    <w:rsid w:val="00F1653E"/>
  </w:style>
  <w:style w:type="paragraph" w:customStyle="1" w:styleId="IAPOQ4">
    <w:name w:val="IAPOQ4"/>
    <w:basedOn w:val="IPPOQ3"/>
    <w:link w:val="IAPOQ4Char"/>
    <w:rsid w:val="00F1653E"/>
  </w:style>
  <w:style w:type="paragraph" w:customStyle="1" w:styleId="IAPOA3">
    <w:name w:val="IAPOA3"/>
    <w:basedOn w:val="IAPOA2"/>
    <w:rsid w:val="00F1653E"/>
  </w:style>
  <w:style w:type="paragraph" w:customStyle="1" w:styleId="IAPOA4">
    <w:name w:val="IAPOA4"/>
    <w:basedOn w:val="IAPOA3"/>
    <w:rsid w:val="00F1653E"/>
  </w:style>
  <w:style w:type="paragraph" w:customStyle="1" w:styleId="IAPOA5">
    <w:name w:val="IAPOA5"/>
    <w:basedOn w:val="IAPOA4"/>
    <w:rsid w:val="00F1653E"/>
  </w:style>
  <w:style w:type="paragraph" w:customStyle="1" w:styleId="IAPOQ5">
    <w:name w:val="IAPOQ5"/>
    <w:basedOn w:val="IAPOQ4"/>
    <w:link w:val="IAPOQ5Char"/>
    <w:rsid w:val="00F1653E"/>
  </w:style>
  <w:style w:type="character" w:customStyle="1" w:styleId="IAPOQ2Char">
    <w:name w:val="IAPOQ2 Char"/>
    <w:basedOn w:val="IATableLabelCharChar"/>
    <w:link w:val="IAPOQ2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PPOQ3Char">
    <w:name w:val="IPPOQ3 Char"/>
    <w:basedOn w:val="IAPOQ2Char"/>
    <w:link w:val="IPPOQ3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4Char">
    <w:name w:val="IAPOQ4 Char"/>
    <w:basedOn w:val="IPPOQ3Char"/>
    <w:link w:val="IAPOQ4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5Char">
    <w:name w:val="IAPOQ5 Char"/>
    <w:basedOn w:val="IAPOQ4Char"/>
    <w:link w:val="IAPOQ5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paragraph" w:customStyle="1" w:styleId="IAPODisRate">
    <w:name w:val="IAPODisRate"/>
    <w:basedOn w:val="IATableLabel"/>
    <w:rsid w:val="00F1653E"/>
    <w:pPr>
      <w:ind w:left="0"/>
      <w:jc w:val="center"/>
    </w:pPr>
    <w:rPr>
      <w:b w:val="0"/>
    </w:rPr>
  </w:style>
  <w:style w:type="paragraph" w:customStyle="1" w:styleId="IAPODICost">
    <w:name w:val="IAPODICost"/>
    <w:basedOn w:val="IATableLabel"/>
    <w:link w:val="IAPODICostChar"/>
    <w:rsid w:val="000E3FD7"/>
    <w:rPr>
      <w:b w:val="0"/>
      <w:sz w:val="22"/>
      <w:szCs w:val="22"/>
    </w:rPr>
  </w:style>
  <w:style w:type="character" w:customStyle="1" w:styleId="IAPODICostChar">
    <w:name w:val="IAPODICost Char"/>
    <w:link w:val="IAPODICos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Ben">
    <w:name w:val="IAPODIBen"/>
    <w:basedOn w:val="IATableLabel"/>
    <w:link w:val="IAPODIBenChar"/>
    <w:rsid w:val="000E3FD7"/>
    <w:rPr>
      <w:b w:val="0"/>
      <w:sz w:val="22"/>
      <w:szCs w:val="22"/>
    </w:rPr>
  </w:style>
  <w:style w:type="paragraph" w:customStyle="1" w:styleId="IAPODINet">
    <w:name w:val="IAPODINet"/>
    <w:basedOn w:val="IATableLabel"/>
    <w:link w:val="IAPODINetChar"/>
    <w:rsid w:val="000E3FD7"/>
    <w:rPr>
      <w:b w:val="0"/>
      <w:sz w:val="22"/>
      <w:szCs w:val="22"/>
    </w:rPr>
  </w:style>
  <w:style w:type="paragraph" w:customStyle="1" w:styleId="IAPODIOIOO">
    <w:name w:val="IAPODIOIOO"/>
    <w:basedOn w:val="IATableLabel"/>
    <w:rsid w:val="000E3FD7"/>
    <w:rPr>
      <w:b w:val="0"/>
      <w:sz w:val="22"/>
      <w:szCs w:val="22"/>
    </w:rPr>
  </w:style>
  <w:style w:type="character" w:customStyle="1" w:styleId="IAPODINetChar">
    <w:name w:val="IAPODINet Char"/>
    <w:link w:val="IAPODINe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PODIBenChar">
    <w:name w:val="IAPODIBen Char"/>
    <w:link w:val="IAPODIBen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MQ">
    <w:name w:val="IAPODIMQ"/>
    <w:basedOn w:val="IATableText"/>
    <w:rsid w:val="000E3FD7"/>
    <w:rPr>
      <w:color w:val="000000"/>
      <w:sz w:val="20"/>
    </w:rPr>
  </w:style>
  <w:style w:type="paragraph" w:customStyle="1" w:styleId="ebbullet0">
    <w:name w:val="ebbullet"/>
    <w:basedOn w:val="Normal"/>
    <w:rsid w:val="001F5423"/>
    <w:pPr>
      <w:spacing w:before="100" w:beforeAutospacing="1" w:after="100" w:afterAutospacing="1"/>
    </w:pPr>
  </w:style>
  <w:style w:type="paragraph" w:customStyle="1" w:styleId="IATitle">
    <w:name w:val="IATitle"/>
    <w:basedOn w:val="Normal"/>
    <w:rsid w:val="005F32E7"/>
    <w:pPr>
      <w:ind w:left="113"/>
    </w:pPr>
    <w:rPr>
      <w:rFonts w:eastAsia="SimSun" w:cs="Arial"/>
      <w:sz w:val="20"/>
    </w:rPr>
  </w:style>
  <w:style w:type="paragraph" w:customStyle="1" w:styleId="IANo">
    <w:name w:val="IANo"/>
    <w:basedOn w:val="Normal"/>
    <w:link w:val="IANoChar"/>
    <w:rsid w:val="005F32E7"/>
    <w:pPr>
      <w:ind w:left="113"/>
    </w:pPr>
    <w:rPr>
      <w:sz w:val="20"/>
      <w:szCs w:val="22"/>
    </w:rPr>
  </w:style>
  <w:style w:type="character" w:customStyle="1" w:styleId="IAHeadDeptChar">
    <w:name w:val="IAHeadDept Char"/>
    <w:link w:val="IAHeadDept"/>
    <w:locked/>
    <w:rsid w:val="008031EC"/>
    <w:rPr>
      <w:rFonts w:ascii="Arial" w:eastAsia="SimSun" w:hAnsi="Arial"/>
      <w:b/>
      <w:color w:val="000000"/>
      <w:spacing w:val="-6"/>
      <w:sz w:val="22"/>
      <w:lang w:val="en-GB" w:eastAsia="zh-CN"/>
    </w:rPr>
  </w:style>
  <w:style w:type="character" w:customStyle="1" w:styleId="IAHeadTitleChar">
    <w:name w:val="IAHeadTitle Char"/>
    <w:link w:val="IAHeadTitle"/>
    <w:locked/>
    <w:rsid w:val="008031EC"/>
    <w:rPr>
      <w:rFonts w:ascii="Arial" w:eastAsia="SimSun" w:hAnsi="Arial"/>
      <w:b/>
      <w:color w:val="000000"/>
      <w:spacing w:val="-6"/>
      <w:sz w:val="28"/>
      <w:lang w:val="en-GB" w:eastAsia="zh-CN"/>
    </w:rPr>
  </w:style>
  <w:style w:type="character" w:customStyle="1" w:styleId="IANoChar">
    <w:name w:val="IANo Char"/>
    <w:link w:val="IANo"/>
    <w:locked/>
    <w:rsid w:val="005F32E7"/>
    <w:rPr>
      <w:rFonts w:ascii="Arial" w:eastAsia="SimSun" w:hAnsi="Arial"/>
      <w:b/>
      <w:color w:val="000000"/>
      <w:spacing w:val="-6"/>
      <w:sz w:val="22"/>
      <w:lang w:val="en-GB" w:eastAsia="en-US"/>
    </w:rPr>
  </w:style>
  <w:style w:type="paragraph" w:customStyle="1" w:styleId="IALeadDept">
    <w:name w:val="IALeadDept"/>
    <w:basedOn w:val="Normal"/>
    <w:rsid w:val="005F32E7"/>
    <w:pPr>
      <w:ind w:left="113"/>
    </w:pPr>
    <w:rPr>
      <w:rFonts w:cs="Arial"/>
      <w:noProof/>
      <w:sz w:val="20"/>
    </w:rPr>
  </w:style>
  <w:style w:type="paragraph" w:customStyle="1" w:styleId="IAOtherDepts">
    <w:name w:val="IAOtherDepts"/>
    <w:basedOn w:val="IATableLabel"/>
    <w:rsid w:val="008031EC"/>
    <w:pPr>
      <w:spacing w:after="0"/>
    </w:pPr>
    <w:rPr>
      <w:b w:val="0"/>
    </w:rPr>
  </w:style>
  <w:style w:type="paragraph" w:customStyle="1" w:styleId="IADate">
    <w:name w:val="IADate"/>
    <w:basedOn w:val="IATableLabel"/>
    <w:link w:val="IADateChar"/>
    <w:rsid w:val="008031EC"/>
    <w:rPr>
      <w:b w:val="0"/>
      <w:sz w:val="22"/>
      <w:szCs w:val="22"/>
    </w:rPr>
  </w:style>
  <w:style w:type="paragraph" w:customStyle="1" w:styleId="IAStage">
    <w:name w:val="IAStage"/>
    <w:basedOn w:val="IATableLabel"/>
    <w:link w:val="IAStageChar"/>
    <w:rsid w:val="008031EC"/>
    <w:rPr>
      <w:b w:val="0"/>
      <w:sz w:val="22"/>
    </w:rPr>
  </w:style>
  <w:style w:type="paragraph" w:customStyle="1" w:styleId="IASOI">
    <w:name w:val="IASOI"/>
    <w:basedOn w:val="IATableLabel"/>
    <w:link w:val="IASOIChar"/>
    <w:rsid w:val="008031EC"/>
    <w:rPr>
      <w:b w:val="0"/>
      <w:sz w:val="22"/>
    </w:rPr>
  </w:style>
  <w:style w:type="paragraph" w:customStyle="1" w:styleId="IATOM">
    <w:name w:val="IATOM"/>
    <w:basedOn w:val="IATableLabel"/>
    <w:link w:val="IATOMChar"/>
    <w:rsid w:val="008031EC"/>
    <w:rPr>
      <w:b w:val="0"/>
      <w:sz w:val="22"/>
    </w:rPr>
  </w:style>
  <w:style w:type="paragraph" w:customStyle="1" w:styleId="IACOE">
    <w:name w:val="IACOE"/>
    <w:basedOn w:val="Normal"/>
    <w:link w:val="IACOEChar"/>
    <w:autoRedefine/>
    <w:rsid w:val="00B225B0"/>
    <w:rPr>
      <w:rFonts w:eastAsia="SimSun"/>
      <w:spacing w:val="-5"/>
      <w:sz w:val="20"/>
      <w:lang w:eastAsia="zh-CN"/>
    </w:rPr>
  </w:style>
  <w:style w:type="paragraph" w:customStyle="1" w:styleId="IARPC">
    <w:name w:val="IARPC"/>
    <w:basedOn w:val="Title"/>
    <w:link w:val="IARPCChar"/>
    <w:rsid w:val="00174C10"/>
    <w:rPr>
      <w:rFonts w:eastAsia="SimSun"/>
      <w:color w:val="000000"/>
      <w:sz w:val="24"/>
      <w:szCs w:val="24"/>
    </w:rPr>
  </w:style>
  <w:style w:type="paragraph" w:customStyle="1" w:styleId="IAIIOTNPV">
    <w:name w:val="IAIIOTNPV"/>
    <w:basedOn w:val="IATableLabel"/>
    <w:rsid w:val="008031EC"/>
    <w:pPr>
      <w:spacing w:before="0" w:after="0"/>
      <w:jc w:val="both"/>
    </w:pPr>
    <w:rPr>
      <w:b w:val="0"/>
      <w:sz w:val="22"/>
      <w:szCs w:val="22"/>
    </w:rPr>
  </w:style>
  <w:style w:type="paragraph" w:customStyle="1" w:styleId="IAIOBNPV">
    <w:name w:val="IAIOBNPV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NCTBPY">
    <w:name w:val="IAIONCTBPY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InScopeInOut">
    <w:name w:val="IAIOInScopeInOut"/>
    <w:basedOn w:val="IATableLabel"/>
    <w:rsid w:val="008369A3"/>
    <w:pPr>
      <w:spacing w:before="0" w:after="0"/>
    </w:pPr>
    <w:rPr>
      <w:b w:val="0"/>
      <w:sz w:val="22"/>
      <w:szCs w:val="22"/>
    </w:rPr>
  </w:style>
  <w:style w:type="paragraph" w:customStyle="1" w:styleId="IAIOPrefMQ">
    <w:name w:val="IAIOPrefMQ"/>
    <w:basedOn w:val="IATableText"/>
    <w:rsid w:val="008369A3"/>
    <w:pPr>
      <w:spacing w:before="0" w:after="0"/>
    </w:pPr>
    <w:rPr>
      <w:color w:val="000000"/>
      <w:szCs w:val="22"/>
    </w:rPr>
  </w:style>
  <w:style w:type="paragraph" w:customStyle="1" w:styleId="IAIOQ1">
    <w:name w:val="IAIOQ1"/>
    <w:basedOn w:val="IATableLabel"/>
    <w:rsid w:val="008369A3"/>
  </w:style>
  <w:style w:type="paragraph" w:customStyle="1" w:styleId="IAIOA1">
    <w:name w:val="IAIOA1"/>
    <w:basedOn w:val="IATableLines"/>
    <w:rsid w:val="008369A3"/>
  </w:style>
  <w:style w:type="paragraph" w:customStyle="1" w:styleId="IAIOQ2">
    <w:name w:val="IAIOQ2"/>
    <w:basedOn w:val="IATableLabel"/>
    <w:rsid w:val="008369A3"/>
  </w:style>
  <w:style w:type="paragraph" w:customStyle="1" w:styleId="IAIOA2">
    <w:name w:val="IAIOA2"/>
    <w:basedOn w:val="IATableLines"/>
    <w:rsid w:val="008369A3"/>
  </w:style>
  <w:style w:type="paragraph" w:customStyle="1" w:styleId="IAIOQ3">
    <w:name w:val="IAIOQ3"/>
    <w:basedOn w:val="IATableLabel"/>
    <w:rsid w:val="008369A3"/>
  </w:style>
  <w:style w:type="paragraph" w:customStyle="1" w:styleId="IAIOA3">
    <w:name w:val="IAIOA3"/>
    <w:basedOn w:val="IATableLines"/>
    <w:rsid w:val="008369A3"/>
  </w:style>
  <w:style w:type="paragraph" w:customStyle="1" w:styleId="IAIOPolicyReview">
    <w:name w:val="IAIOPolicyReview"/>
    <w:basedOn w:val="IATableLabel"/>
    <w:link w:val="IAIOPolicyReviewChar"/>
    <w:rsid w:val="00F91F5A"/>
    <w:rPr>
      <w:b w:val="0"/>
      <w:sz w:val="22"/>
      <w:szCs w:val="22"/>
    </w:rPr>
  </w:style>
  <w:style w:type="character" w:customStyle="1" w:styleId="IAIOPolicyReviewChar">
    <w:name w:val="IAIOPolicyReview Char"/>
    <w:link w:val="IAIOPolicyReview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ReviewMonth">
    <w:name w:val="IAIOReviewMonth"/>
    <w:basedOn w:val="IATableLabel"/>
    <w:link w:val="IAIOReviewMonthChar"/>
    <w:rsid w:val="00F91F5A"/>
    <w:rPr>
      <w:b w:val="0"/>
      <w:sz w:val="22"/>
      <w:szCs w:val="22"/>
    </w:rPr>
  </w:style>
  <w:style w:type="paragraph" w:customStyle="1" w:styleId="IAIOReviewYear">
    <w:name w:val="IAIOReviewYear"/>
    <w:basedOn w:val="IATableLabel"/>
    <w:link w:val="IAIOReviewYearChar"/>
    <w:rsid w:val="00F91F5A"/>
    <w:rPr>
      <w:b w:val="0"/>
      <w:sz w:val="22"/>
      <w:szCs w:val="22"/>
    </w:rPr>
  </w:style>
  <w:style w:type="paragraph" w:customStyle="1" w:styleId="IAIOCheckEU">
    <w:name w:val="IAIOCheckEU"/>
    <w:basedOn w:val="IATableText"/>
    <w:rsid w:val="00F91F5A"/>
    <w:pPr>
      <w:spacing w:before="0" w:after="0"/>
    </w:pPr>
    <w:rPr>
      <w:sz w:val="20"/>
    </w:rPr>
  </w:style>
  <w:style w:type="character" w:customStyle="1" w:styleId="IAIOReviewYearChar">
    <w:name w:val="IAIOReviewYear Char"/>
    <w:link w:val="IAIOReviewYear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IOReviewMonthChar">
    <w:name w:val="IAIOReviewMonth Char"/>
    <w:link w:val="IAIOReviewMonth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CheckMicro">
    <w:name w:val="IAIOCheckMicro"/>
    <w:basedOn w:val="IATableLines"/>
    <w:link w:val="IAIOCheckMicroChar"/>
    <w:rsid w:val="00F91F5A"/>
    <w:rPr>
      <w:sz w:val="20"/>
    </w:rPr>
  </w:style>
  <w:style w:type="paragraph" w:customStyle="1" w:styleId="IAIOCheck20">
    <w:name w:val="IAIOCheck20"/>
    <w:basedOn w:val="IATableLines"/>
    <w:rsid w:val="00F91F5A"/>
    <w:rPr>
      <w:sz w:val="20"/>
    </w:rPr>
  </w:style>
  <w:style w:type="paragraph" w:customStyle="1" w:styleId="IAIOCheckSmall">
    <w:name w:val="IAIOCheckSmall"/>
    <w:basedOn w:val="IATableLines"/>
    <w:link w:val="IAIOCheckSmallChar"/>
    <w:rsid w:val="00F91F5A"/>
    <w:rPr>
      <w:sz w:val="20"/>
    </w:rPr>
  </w:style>
  <w:style w:type="paragraph" w:customStyle="1" w:styleId="IAIOCheckMedium">
    <w:name w:val="IAIOCheckMedium"/>
    <w:basedOn w:val="IATableLines"/>
    <w:link w:val="IAIOCheckMediumChar"/>
    <w:rsid w:val="00F91F5A"/>
    <w:rPr>
      <w:sz w:val="20"/>
    </w:rPr>
  </w:style>
  <w:style w:type="paragraph" w:customStyle="1" w:styleId="IAIOCheckLarge">
    <w:name w:val="IAIOCheckLarge"/>
    <w:basedOn w:val="IATableLines"/>
    <w:link w:val="IAIOCheckLargeChar"/>
    <w:rsid w:val="00F91F5A"/>
    <w:rPr>
      <w:sz w:val="20"/>
    </w:rPr>
  </w:style>
  <w:style w:type="paragraph" w:customStyle="1" w:styleId="IAIOCO2Traded">
    <w:name w:val="IAIOCO2Traded"/>
    <w:basedOn w:val="IATableLabel"/>
    <w:link w:val="IAIOCO2TradedChar"/>
    <w:rsid w:val="00F91F5A"/>
    <w:rPr>
      <w:b w:val="0"/>
      <w:sz w:val="22"/>
    </w:rPr>
  </w:style>
  <w:style w:type="paragraph" w:customStyle="1" w:styleId="IAIOCO2NonTraded">
    <w:name w:val="IAIOCO2NonTraded"/>
    <w:basedOn w:val="IAIOCO2Traded"/>
    <w:rsid w:val="008155E3"/>
    <w:rPr>
      <w:sz w:val="20"/>
    </w:rPr>
  </w:style>
  <w:style w:type="paragraph" w:customStyle="1" w:styleId="IAIOtextSign">
    <w:name w:val="IAIOtextSign"/>
    <w:basedOn w:val="Normal"/>
    <w:rsid w:val="00F91F5A"/>
    <w:pPr>
      <w:jc w:val="center"/>
    </w:pPr>
  </w:style>
  <w:style w:type="paragraph" w:customStyle="1" w:styleId="IAIOSigDate">
    <w:name w:val="IAIOSigDate"/>
    <w:basedOn w:val="Normal"/>
    <w:rsid w:val="00F91F5A"/>
    <w:pPr>
      <w:jc w:val="center"/>
    </w:pPr>
    <w:rPr>
      <w:sz w:val="22"/>
      <w:szCs w:val="22"/>
    </w:rPr>
  </w:style>
  <w:style w:type="paragraph" w:customStyle="1" w:styleId="IAPODescription">
    <w:name w:val="IAPODescription"/>
    <w:basedOn w:val="IAHeadLabel"/>
    <w:link w:val="IAPODescriptionCharChar"/>
    <w:rsid w:val="00D00846"/>
    <w:pPr>
      <w:spacing w:before="50"/>
    </w:pPr>
    <w:rPr>
      <w:b w:val="0"/>
    </w:rPr>
  </w:style>
  <w:style w:type="character" w:customStyle="1" w:styleId="IAPODescriptionCharChar">
    <w:name w:val="IAPODescription Char Char"/>
    <w:basedOn w:val="IAHeadLabelChar"/>
    <w:link w:val="IAPODescription"/>
    <w:locked/>
    <w:rsid w:val="00D00846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DateChar">
    <w:name w:val="IADate Char"/>
    <w:link w:val="IADat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ableLinesChar">
    <w:name w:val="IATableLines Char"/>
    <w:basedOn w:val="IATableTextChar"/>
    <w:link w:val="IATableLines"/>
    <w:locked/>
    <w:rsid w:val="00174C10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COEChar">
    <w:name w:val="IACOE Char"/>
    <w:link w:val="IACOE"/>
    <w:locked/>
    <w:rsid w:val="00B225B0"/>
    <w:rPr>
      <w:rFonts w:ascii="Arial" w:eastAsia="SimSun" w:hAnsi="Arial"/>
      <w:b/>
      <w:color w:val="000000"/>
      <w:spacing w:val="-5"/>
      <w:sz w:val="24"/>
      <w:lang w:val="en-GB" w:eastAsia="zh-CN"/>
    </w:rPr>
  </w:style>
  <w:style w:type="character" w:customStyle="1" w:styleId="IAStageChar">
    <w:name w:val="IAStage Char"/>
    <w:link w:val="IAStag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SOIChar">
    <w:name w:val="IASOI Char"/>
    <w:link w:val="IASOI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OMChar">
    <w:name w:val="IATOM Char"/>
    <w:link w:val="IATOM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RPCChar">
    <w:name w:val="IARPC Char"/>
    <w:link w:val="IARPC"/>
    <w:locked/>
    <w:rsid w:val="00174C10"/>
    <w:rPr>
      <w:rFonts w:ascii="Arial" w:eastAsia="SimSun" w:hAnsi="Arial"/>
      <w:color w:val="000000"/>
      <w:kern w:val="28"/>
      <w:sz w:val="24"/>
      <w:lang w:val="en-GB" w:eastAsia="en-US"/>
    </w:rPr>
  </w:style>
  <w:style w:type="character" w:customStyle="1" w:styleId="IAIOCheckMicroChar">
    <w:name w:val="IAIOCheckMicro Char"/>
    <w:basedOn w:val="IATableLinesChar"/>
    <w:link w:val="IAIOCheckMicro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SmallChar">
    <w:name w:val="IAIOCheckSmall Char"/>
    <w:basedOn w:val="IATableLinesChar"/>
    <w:link w:val="IAIOCheckSmall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MediumChar">
    <w:name w:val="IAIOCheckMedium Char"/>
    <w:basedOn w:val="IATableLinesChar"/>
    <w:link w:val="IAIOCheckMedium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LargeChar">
    <w:name w:val="IAIOCheckLarge Char"/>
    <w:basedOn w:val="IATableLinesChar"/>
    <w:link w:val="IAIOCheckLarge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O2TradedChar">
    <w:name w:val="IAIOCO2Traded Char"/>
    <w:link w:val="IAIOCO2Traded"/>
    <w:locked/>
    <w:rsid w:val="00D478C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Label">
    <w:name w:val="IALabel"/>
    <w:rsid w:val="009F6692"/>
    <w:rPr>
      <w:color w:val="000000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CA4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0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0EE"/>
    <w:rPr>
      <w:rFonts w:ascii="Arial" w:hAnsi="Aria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A40EE"/>
    <w:rPr>
      <w:color w:val="808080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OBC Bullet"/>
    <w:basedOn w:val="Normal"/>
    <w:link w:val="ListParagraphChar"/>
    <w:uiPriority w:val="34"/>
    <w:qFormat/>
    <w:rsid w:val="002125B7"/>
    <w:pPr>
      <w:tabs>
        <w:tab w:val="left" w:pos="567"/>
      </w:tabs>
      <w:spacing w:after="120"/>
      <w:ind w:left="567" w:hanging="567"/>
    </w:pPr>
    <w:rPr>
      <w:rFonts w:ascii="Calibri" w:hAnsi="Calibri"/>
      <w:sz w:val="22"/>
    </w:rPr>
  </w:style>
  <w:style w:type="paragraph" w:styleId="NoSpacing">
    <w:name w:val="No Spacing"/>
    <w:uiPriority w:val="1"/>
    <w:qFormat/>
    <w:rsid w:val="002125B7"/>
    <w:rPr>
      <w:rFonts w:ascii="Arial" w:hAnsi="Arial"/>
      <w:sz w:val="22"/>
      <w:lang w:eastAsia="en-US"/>
    </w:rPr>
  </w:style>
  <w:style w:type="paragraph" w:customStyle="1" w:styleId="Style1-BodyText">
    <w:name w:val="Style1- Body Text"/>
    <w:basedOn w:val="Normal"/>
    <w:link w:val="Style1-BodyTextChar"/>
    <w:qFormat/>
    <w:rsid w:val="002125B7"/>
    <w:pPr>
      <w:spacing w:after="120"/>
      <w:jc w:val="both"/>
    </w:pPr>
    <w:rPr>
      <w:rFonts w:cs="Arial"/>
      <w:sz w:val="22"/>
    </w:rPr>
  </w:style>
  <w:style w:type="character" w:customStyle="1" w:styleId="Style1-BodyTextChar">
    <w:name w:val="Style1- Body Text Char"/>
    <w:basedOn w:val="DefaultParagraphFont"/>
    <w:link w:val="Style1-BodyText"/>
    <w:rsid w:val="002125B7"/>
    <w:rPr>
      <w:rFonts w:ascii="Arial" w:hAnsi="Arial" w:cs="Arial"/>
      <w:sz w:val="22"/>
      <w:szCs w:val="24"/>
      <w:lang w:eastAsia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2125B7"/>
    <w:rPr>
      <w:rFonts w:ascii="Calibri" w:hAnsi="Calibri"/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2125B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C13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3FC"/>
    <w:rPr>
      <w:rFonts w:ascii="Arial" w:hAnsi="Arial"/>
      <w:b/>
      <w:bCs/>
      <w:sz w:val="20"/>
      <w:lang w:eastAsia="en-US"/>
    </w:rPr>
  </w:style>
  <w:style w:type="paragraph" w:customStyle="1" w:styleId="BodyA">
    <w:name w:val="Body A"/>
    <w:rsid w:val="00A709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szCs w:val="24"/>
      <w:u w:color="000000"/>
      <w:bdr w:val="nil"/>
      <w:lang w:val="en-US"/>
    </w:rPr>
  </w:style>
  <w:style w:type="character" w:customStyle="1" w:styleId="rynqvb">
    <w:name w:val="rynqvb"/>
    <w:basedOn w:val="DefaultParagraphFont"/>
    <w:rsid w:val="00150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908C8-27EE-4D99-9FDE-9F039F4AB235}"/>
      </w:docPartPr>
      <w:docPartBody>
        <w:p w:rsidR="008C2583" w:rsidRDefault="00862925"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467F15D558F0444BB35BCB17F1E0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4C6-51C2-49AA-A8DA-0324D5D69360}"/>
      </w:docPartPr>
      <w:docPartBody>
        <w:p w:rsidR="008C2583" w:rsidRDefault="00862925" w:rsidP="00862925">
          <w:pPr>
            <w:pStyle w:val="467F15D558F0444BB35BCB17F1E0E252"/>
          </w:pPr>
          <w:r w:rsidRPr="00CC595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63B8F-2FB8-4C54-90B2-0C6A1D28955D}"/>
      </w:docPartPr>
      <w:docPartBody>
        <w:p w:rsidR="00B91967" w:rsidRDefault="00265E85">
          <w:r w:rsidRPr="00C053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E64307E5F40099245506EC8197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C2FFD-248E-4EFC-AD37-AFC976E2B435}"/>
      </w:docPartPr>
      <w:docPartBody>
        <w:p w:rsidR="00861778" w:rsidRDefault="00D71EBA" w:rsidP="00D71EBA">
          <w:pPr>
            <w:pStyle w:val="873E64307E5F40099245506EC819755B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CACB70A1168B411595FAC6FC6BEBF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F2C57-5C8D-4A4A-A92E-DAB31D8EF39A}"/>
      </w:docPartPr>
      <w:docPartBody>
        <w:p w:rsidR="006F1ED4" w:rsidRDefault="006F1ED4" w:rsidP="006F1ED4">
          <w:pPr>
            <w:pStyle w:val="CACB70A1168B411595FAC6FC6BEBF98B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7D4BF66875D84F409BE5ED571A99C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DB6EF-2306-4976-8D97-30C8319DB676}"/>
      </w:docPartPr>
      <w:docPartBody>
        <w:p w:rsidR="006F1ED4" w:rsidRDefault="006F1ED4" w:rsidP="006F1ED4">
          <w:pPr>
            <w:pStyle w:val="7D4BF66875D84F409BE5ED571A99CDF4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1B5742A7A4F94DA1B86FBACFB3D3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E7FB1-A2C6-4074-BD0C-FE9DACF4123D}"/>
      </w:docPartPr>
      <w:docPartBody>
        <w:p w:rsidR="006F1ED4" w:rsidRDefault="006F1ED4" w:rsidP="006F1ED4">
          <w:pPr>
            <w:pStyle w:val="1B5742A7A4F94DA1B86FBACFB3D31E60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094A48B080684960BF3A114CBE910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BBB7A-E7C0-45CC-A6B8-941692E7A7C2}"/>
      </w:docPartPr>
      <w:docPartBody>
        <w:p w:rsidR="006F1ED4" w:rsidRDefault="006F1ED4" w:rsidP="006F1ED4">
          <w:pPr>
            <w:pStyle w:val="094A48B080684960BF3A114CBE910244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867EF0DB10CB4A10BB29112D1FCD9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42FE1-2935-4C00-8D06-E409A82D67C7}"/>
      </w:docPartPr>
      <w:docPartBody>
        <w:p w:rsidR="006F1ED4" w:rsidRDefault="006F1ED4" w:rsidP="006F1ED4">
          <w:pPr>
            <w:pStyle w:val="867EF0DB10CB4A10BB29112D1FCD9786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2C6B1E60C1A14643A06F2DDC18E21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8C20D-8E5A-4CC4-8E97-5AC7E3679D52}"/>
      </w:docPartPr>
      <w:docPartBody>
        <w:p w:rsidR="006F1ED4" w:rsidRDefault="006F1ED4" w:rsidP="006F1ED4">
          <w:pPr>
            <w:pStyle w:val="2C6B1E60C1A14643A06F2DDC18E211CF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C8F0C73A25AD4069881E7BB32D9A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5B6C4-B8FF-43F0-9D00-423B432C5B3B}"/>
      </w:docPartPr>
      <w:docPartBody>
        <w:p w:rsidR="006F1ED4" w:rsidRDefault="006F1ED4" w:rsidP="006F1ED4">
          <w:pPr>
            <w:pStyle w:val="C8F0C73A25AD4069881E7BB32D9AC3FF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346DADE0E4B948EEB018BC06B86F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B73F9-8E74-489E-9465-27416A304196}"/>
      </w:docPartPr>
      <w:docPartBody>
        <w:p w:rsidR="006F1ED4" w:rsidRDefault="006F1ED4" w:rsidP="006F1ED4">
          <w:pPr>
            <w:pStyle w:val="346DADE0E4B948EEB018BC06B86F97D7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902FE64B29424F659DBB099D6CE8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93AB9-C6F0-423C-BE69-18C2918E2302}"/>
      </w:docPartPr>
      <w:docPartBody>
        <w:p w:rsidR="006F1ED4" w:rsidRDefault="00616558" w:rsidP="00616558">
          <w:pPr>
            <w:pStyle w:val="902FE64B29424F659DBB099D6CE88D809"/>
          </w:pPr>
          <w:r w:rsidRPr="003B5CBC">
            <w:rPr>
              <w:rStyle w:val="PlaceholderText"/>
              <w:rFonts w:eastAsiaTheme="majorEastAsia"/>
            </w:rPr>
            <w:t xml:space="preserve">Data e </w:t>
          </w:r>
          <w:r w:rsidRPr="003B5CBC">
            <w:rPr>
              <w:rStyle w:val="PlaceholderText"/>
            </w:rPr>
            <w:t>vlerës</w:t>
          </w:r>
          <w:r w:rsidRPr="003B5CBC">
            <w:rPr>
              <w:rStyle w:val="PlaceholderText"/>
              <w:rFonts w:eastAsiaTheme="majorEastAsia"/>
            </w:rPr>
            <w:t>imit të ndikimit</w:t>
          </w:r>
        </w:p>
      </w:docPartBody>
    </w:docPart>
    <w:docPart>
      <w:docPartPr>
        <w:name w:val="FD861CBE38474042B6487F314DCD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1C99-623D-4A53-89E3-64EC92116808}"/>
      </w:docPartPr>
      <w:docPartBody>
        <w:p w:rsidR="00B520DD" w:rsidRDefault="006F1ED4" w:rsidP="006F1ED4">
          <w:pPr>
            <w:pStyle w:val="FD861CBE38474042B6487F314DCD33313"/>
          </w:pPr>
          <w:r w:rsidRPr="00932CDB">
            <w:rPr>
              <w:rStyle w:val="PlaceholderText"/>
              <w:rFonts w:eastAsiaTheme="majorEastAsia"/>
            </w:rPr>
            <w:t xml:space="preserve">Data/Asnjë konsultim </w:t>
          </w:r>
          <w:r>
            <w:rPr>
              <w:rStyle w:val="PlaceholderText"/>
              <w:rFonts w:eastAsiaTheme="majorEastAsia"/>
            </w:rPr>
            <w:t>publik.</w:t>
          </w:r>
        </w:p>
      </w:docPartBody>
    </w:docPart>
    <w:docPart>
      <w:docPartPr>
        <w:name w:val="1AD1A34C84384DA5B2C88EB652FCD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2D83-A87F-4C2D-81F0-372E988CF470}"/>
      </w:docPartPr>
      <w:docPartBody>
        <w:p w:rsidR="00B520DD" w:rsidRDefault="00616558" w:rsidP="00616558">
          <w:pPr>
            <w:pStyle w:val="1AD1A34C84384DA5B2C88EB652FCD1155"/>
          </w:pPr>
          <w:r w:rsidRPr="003B5CBC">
            <w:rPr>
              <w:rStyle w:val="PlaceholderText"/>
              <w:rFonts w:eastAsiaTheme="majorEastAsia"/>
            </w:rPr>
            <w:t>Data e shqyrtimit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25"/>
    <w:rsid w:val="0003006C"/>
    <w:rsid w:val="000B5350"/>
    <w:rsid w:val="000F5B7B"/>
    <w:rsid w:val="00265E85"/>
    <w:rsid w:val="0036461E"/>
    <w:rsid w:val="00395E5F"/>
    <w:rsid w:val="003F2B75"/>
    <w:rsid w:val="004857D8"/>
    <w:rsid w:val="00613314"/>
    <w:rsid w:val="00616558"/>
    <w:rsid w:val="00680BE8"/>
    <w:rsid w:val="006F1ED4"/>
    <w:rsid w:val="00745317"/>
    <w:rsid w:val="007B4F71"/>
    <w:rsid w:val="007B5113"/>
    <w:rsid w:val="00861778"/>
    <w:rsid w:val="00862925"/>
    <w:rsid w:val="008C2583"/>
    <w:rsid w:val="008E7E8D"/>
    <w:rsid w:val="00970B2C"/>
    <w:rsid w:val="00B520DD"/>
    <w:rsid w:val="00B91967"/>
    <w:rsid w:val="00BB6B40"/>
    <w:rsid w:val="00D71EBA"/>
    <w:rsid w:val="00DA1BDD"/>
    <w:rsid w:val="00DC3C88"/>
    <w:rsid w:val="00F8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61E"/>
    <w:rPr>
      <w:color w:val="808080"/>
    </w:rPr>
  </w:style>
  <w:style w:type="paragraph" w:customStyle="1" w:styleId="467F15D558F0444BB35BCB17F1E0E252">
    <w:name w:val="467F15D558F0444BB35BCB17F1E0E252"/>
    <w:rsid w:val="00862925"/>
  </w:style>
  <w:style w:type="paragraph" w:customStyle="1" w:styleId="873E64307E5F40099245506EC819755B">
    <w:name w:val="873E64307E5F40099245506EC819755B"/>
    <w:rsid w:val="00D71EBA"/>
  </w:style>
  <w:style w:type="paragraph" w:customStyle="1" w:styleId="CACB70A1168B411595FAC6FC6BEBF98B">
    <w:name w:val="CACB70A1168B411595FAC6FC6BEBF98B"/>
    <w:rsid w:val="006F1ED4"/>
  </w:style>
  <w:style w:type="paragraph" w:customStyle="1" w:styleId="7D4BF66875D84F409BE5ED571A99CDF4">
    <w:name w:val="7D4BF66875D84F409BE5ED571A99CDF4"/>
    <w:rsid w:val="006F1ED4"/>
  </w:style>
  <w:style w:type="paragraph" w:customStyle="1" w:styleId="1B5742A7A4F94DA1B86FBACFB3D31E60">
    <w:name w:val="1B5742A7A4F94DA1B86FBACFB3D31E60"/>
    <w:rsid w:val="006F1ED4"/>
  </w:style>
  <w:style w:type="paragraph" w:customStyle="1" w:styleId="094A48B080684960BF3A114CBE910244">
    <w:name w:val="094A48B080684960BF3A114CBE910244"/>
    <w:rsid w:val="006F1ED4"/>
  </w:style>
  <w:style w:type="paragraph" w:customStyle="1" w:styleId="867EF0DB10CB4A10BB29112D1FCD9786">
    <w:name w:val="867EF0DB10CB4A10BB29112D1FCD9786"/>
    <w:rsid w:val="006F1ED4"/>
  </w:style>
  <w:style w:type="paragraph" w:customStyle="1" w:styleId="2C6B1E60C1A14643A06F2DDC18E211CF">
    <w:name w:val="2C6B1E60C1A14643A06F2DDC18E211CF"/>
    <w:rsid w:val="006F1ED4"/>
  </w:style>
  <w:style w:type="paragraph" w:customStyle="1" w:styleId="C8F0C73A25AD4069881E7BB32D9AC3FF">
    <w:name w:val="C8F0C73A25AD4069881E7BB32D9AC3FF"/>
    <w:rsid w:val="006F1ED4"/>
  </w:style>
  <w:style w:type="paragraph" w:customStyle="1" w:styleId="346DADE0E4B948EEB018BC06B86F97D7">
    <w:name w:val="346DADE0E4B948EEB018BC06B86F97D7"/>
    <w:rsid w:val="006F1ED4"/>
  </w:style>
  <w:style w:type="paragraph" w:customStyle="1" w:styleId="FD861CBE38474042B6487F314DCD33313">
    <w:name w:val="FD861CBE38474042B6487F314DCD33313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9">
    <w:name w:val="902FE64B29424F659DBB099D6CE88D809"/>
    <w:rsid w:val="00616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5">
    <w:name w:val="1AD1A34C84384DA5B2C88EB652FCD1155"/>
    <w:rsid w:val="00616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C8E6C-70BA-4944-9EA1-BF86F188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17</Pages>
  <Words>5923</Words>
  <Characters>33764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Assessment</vt:lpstr>
    </vt:vector>
  </TitlesOfParts>
  <Company>BIS</Company>
  <LinksUpToDate>false</LinksUpToDate>
  <CharactersWithSpaces>39608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Assessment</dc:title>
  <dc:subject/>
  <dc:creator>Ricketts Simon (GO-Science)</dc:creator>
  <cp:keywords/>
  <dc:description/>
  <cp:lastModifiedBy>Saimir Mucmataj</cp:lastModifiedBy>
  <cp:revision>71</cp:revision>
  <cp:lastPrinted>2019-12-29T15:36:00Z</cp:lastPrinted>
  <dcterms:created xsi:type="dcterms:W3CDTF">2024-11-27T12:23:00Z</dcterms:created>
  <dcterms:modified xsi:type="dcterms:W3CDTF">2025-11-05T13:34:00Z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Stage">
    <vt:lpwstr>Development/Options</vt:lpwstr>
  </property>
</Properties>
</file>