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A43" w14:textId="69A8E18A" w:rsidR="00470947" w:rsidRPr="00D57BAD" w:rsidRDefault="00EA4D9D" w:rsidP="00D57BAD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Njoftim p</w:t>
      </w:r>
      <w:r w:rsidR="007C30A8"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r konsultimin publik me grupet e interesit p</w:t>
      </w:r>
      <w:r w:rsidR="007C30A8"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r</w:t>
      </w:r>
    </w:p>
    <w:p w14:paraId="16DEE2F8" w14:textId="7814E418" w:rsidR="009F4261" w:rsidRPr="00D57BAD" w:rsidRDefault="00EA4D9D" w:rsidP="00D57BAD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projektligjin </w:t>
      </w:r>
      <w:bookmarkStart w:id="0" w:name="_Hlk202172078"/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“</w:t>
      </w:r>
      <w:r w:rsidR="00240BB2"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Për </w:t>
      </w:r>
      <w:r w:rsidR="00BA4AE1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D</w:t>
      </w:r>
      <w:r w:rsidR="00AD7926"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onacionet dhe </w:t>
      </w:r>
      <w:r w:rsidR="00BA4AE1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S</w:t>
      </w:r>
      <w:r w:rsidR="00AD7926"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ponsorizimet</w:t>
      </w:r>
      <w:r w:rsidRPr="00D57BA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”</w:t>
      </w:r>
    </w:p>
    <w:p w14:paraId="6C6A3CE0" w14:textId="77777777" w:rsidR="00AD7926" w:rsidRPr="00D57BAD" w:rsidRDefault="00AD7926" w:rsidP="00D57BAD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</w:p>
    <w:bookmarkEnd w:id="0"/>
    <w:p w14:paraId="3CEED7C7" w14:textId="701CB000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kuadër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përpjekjeve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vazhdueshme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Qeverisë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Shqiptare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forcimin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integritetit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institucional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rritjen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transparencës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financiare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garantimin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llogaridhënies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shtylla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themelore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parandalimit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korrupsionit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qeverisjes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mirë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hapur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procesi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konsultimit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projektligjin</w:t>
      </w:r>
      <w:proofErr w:type="spellEnd"/>
      <w:r w:rsidRPr="00C03F33">
        <w:rPr>
          <w:color w:val="000000"/>
        </w:rPr>
        <w:t xml:space="preserve"> “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Sponsorizimet</w:t>
      </w:r>
      <w:proofErr w:type="spellEnd"/>
      <w:r w:rsidRPr="00C03F33">
        <w:rPr>
          <w:color w:val="000000"/>
        </w:rPr>
        <w:t xml:space="preserve">”. </w:t>
      </w:r>
      <w:proofErr w:type="spellStart"/>
      <w:r w:rsidRPr="00C03F33">
        <w:rPr>
          <w:color w:val="000000"/>
        </w:rPr>
        <w:t>Kjo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nismë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ligjore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përfaqëson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hap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rëndësishëm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drejt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konsolidimit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marrëdhënieve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privat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vendosur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rregulla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qarta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unifikuara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zbatueshme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përdorimin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fondeve</w:t>
      </w:r>
      <w:proofErr w:type="spellEnd"/>
      <w:r w:rsidRPr="00C03F33">
        <w:rPr>
          <w:color w:val="000000"/>
        </w:rPr>
        <w:t xml:space="preserve"> private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funksion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interesit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Projektligji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synon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adresojë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boshllëqet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fragmentimin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kuadrit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ekzistues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krijuar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sistem</w:t>
      </w:r>
      <w:proofErr w:type="spellEnd"/>
      <w:r w:rsidRPr="00C03F33">
        <w:rPr>
          <w:color w:val="000000"/>
        </w:rPr>
        <w:t xml:space="preserve"> transparent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kontrollueshëm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parandalon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konfliktin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interesit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ndikimin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papërshtatshëm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çdo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formë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favorizimi</w:t>
      </w:r>
      <w:proofErr w:type="spellEnd"/>
      <w:r w:rsidRPr="00C03F33">
        <w:rPr>
          <w:color w:val="000000"/>
        </w:rPr>
        <w:t>.</w:t>
      </w:r>
    </w:p>
    <w:p w14:paraId="31D8D1B3" w14:textId="77777777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t>Projektligji</w:t>
      </w:r>
      <w:proofErr w:type="spellEnd"/>
      <w:r w:rsidRPr="00C03F33">
        <w:rPr>
          <w:color w:val="000000"/>
        </w:rPr>
        <w:t xml:space="preserve"> ka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objekt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krijimin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kuadri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unifikuar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ligjor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rregullimin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marrëdhënieve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lidhen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dhënien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pranimin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administrimin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përdorimin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raportimin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donacioneve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veprimtari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interes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Qëllimi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miratimit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tij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forcimi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integritetit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institucional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transparencës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llogaridhënies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ndërveprimit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privat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përputhje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standardet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evropiane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ndërkombëtare</w:t>
      </w:r>
      <w:proofErr w:type="spellEnd"/>
      <w:r w:rsidRPr="00C03F33">
        <w:rPr>
          <w:color w:val="000000"/>
        </w:rPr>
        <w:t>.</w:t>
      </w:r>
    </w:p>
    <w:p w14:paraId="65F182C9" w14:textId="77777777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r w:rsidRPr="00C03F33">
        <w:rPr>
          <w:color w:val="000000"/>
        </w:rPr>
        <w:t xml:space="preserve">Ky </w:t>
      </w:r>
      <w:proofErr w:type="spellStart"/>
      <w:r w:rsidRPr="00C03F33">
        <w:rPr>
          <w:color w:val="000000"/>
        </w:rPr>
        <w:t>kuadër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ligjor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rregullon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marrëdhëniet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donacioneve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gamë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gjerë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subjektesh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përfshirë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organet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organizatat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jofitimprurëse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organizatat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shoqëritë</w:t>
      </w:r>
      <w:proofErr w:type="spellEnd"/>
      <w:r w:rsidRPr="00C03F33">
        <w:rPr>
          <w:color w:val="000000"/>
        </w:rPr>
        <w:t xml:space="preserve"> sportive, </w:t>
      </w:r>
      <w:proofErr w:type="spellStart"/>
      <w:r w:rsidRPr="00C03F33">
        <w:rPr>
          <w:color w:val="000000"/>
        </w:rPr>
        <w:t>subjektet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tregtare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fushën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filmit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industrisë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audiovizive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individët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përfaqësojnë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Republikën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Shqipërisë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aktivitete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ndërkombëtare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Synimi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garantimi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integritetit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transparencës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llogaridhënies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përdorimin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fondeve</w:t>
      </w:r>
      <w:proofErr w:type="spellEnd"/>
      <w:r w:rsidRPr="00C03F33">
        <w:rPr>
          <w:color w:val="000000"/>
        </w:rPr>
        <w:t xml:space="preserve"> private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veprimtari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interes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nxitur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njëkohësisht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bashkëpunimin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ligjshëm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kontrolluar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privat</w:t>
      </w:r>
      <w:proofErr w:type="spellEnd"/>
      <w:r w:rsidRPr="00C03F33">
        <w:rPr>
          <w:color w:val="000000"/>
        </w:rPr>
        <w:t>.</w:t>
      </w:r>
    </w:p>
    <w:p w14:paraId="7D335326" w14:textId="77777777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t>Projektligji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përfshin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elemente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thelbësore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lidhen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përkufizimin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dallimin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qartë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sponsorizimeve</w:t>
      </w:r>
      <w:proofErr w:type="spellEnd"/>
      <w:r w:rsidRPr="00C03F33">
        <w:rPr>
          <w:color w:val="000000"/>
        </w:rPr>
        <w:t xml:space="preserve">; </w:t>
      </w:r>
      <w:proofErr w:type="spellStart"/>
      <w:r w:rsidRPr="00C03F33">
        <w:rPr>
          <w:color w:val="000000"/>
        </w:rPr>
        <w:t>kushtet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kufizimet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pranimin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tyre</w:t>
      </w:r>
      <w:proofErr w:type="spellEnd"/>
      <w:r w:rsidRPr="00C03F33">
        <w:rPr>
          <w:color w:val="000000"/>
        </w:rPr>
        <w:t xml:space="preserve">; </w:t>
      </w:r>
      <w:proofErr w:type="spellStart"/>
      <w:r w:rsidRPr="00C03F33">
        <w:rPr>
          <w:color w:val="000000"/>
        </w:rPr>
        <w:t>mekanizmat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regjistrimit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raportimit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kontrollit</w:t>
      </w:r>
      <w:proofErr w:type="spellEnd"/>
      <w:r w:rsidRPr="00C03F33">
        <w:rPr>
          <w:color w:val="000000"/>
        </w:rPr>
        <w:t xml:space="preserve">; </w:t>
      </w:r>
      <w:proofErr w:type="spellStart"/>
      <w:r w:rsidRPr="00C03F33">
        <w:rPr>
          <w:color w:val="000000"/>
        </w:rPr>
        <w:t>krijimin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Regjistrit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Kombëtar</w:t>
      </w:r>
      <w:proofErr w:type="spellEnd"/>
      <w:r w:rsidRPr="00C03F33">
        <w:rPr>
          <w:color w:val="000000"/>
        </w:rPr>
        <w:t xml:space="preserve"> Elektronik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Sponsorizimeve;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regjimin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lehtësive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tatimore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subjektet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japin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përputhje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ligjin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vëmendje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veçantë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kushtohet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parashikimit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skeme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stimuluese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artin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kulturën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sportin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reflektuar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rolin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tyre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veçantë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zhvillimin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shoqëror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kulturor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vendit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Projektligji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parashikon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gjithashtu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kompetencat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autoriteteve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mbikëqyrëse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regjim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masash</w:t>
      </w:r>
      <w:proofErr w:type="spellEnd"/>
      <w:r w:rsidRPr="00C03F33">
        <w:rPr>
          <w:color w:val="000000"/>
        </w:rPr>
        <w:t xml:space="preserve"> administrative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disiplinore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shkeljet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dispozitave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tij</w:t>
      </w:r>
      <w:proofErr w:type="spellEnd"/>
      <w:r w:rsidRPr="00C03F33">
        <w:rPr>
          <w:color w:val="000000"/>
        </w:rPr>
        <w:t>.</w:t>
      </w:r>
    </w:p>
    <w:p w14:paraId="3509DBDB" w14:textId="77777777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t>Projektligji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hartuar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bashkëpropozim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ndërinstitucional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bashkëpunim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Ministrit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të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Shtetit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për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Administratën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Publike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dhe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Antikorrupsionin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Ministrit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të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Turizmit</w:t>
      </w:r>
      <w:proofErr w:type="spellEnd"/>
      <w:r w:rsidRPr="00C03F33">
        <w:rPr>
          <w:b/>
          <w:bCs/>
          <w:color w:val="000000"/>
        </w:rPr>
        <w:t xml:space="preserve">, </w:t>
      </w:r>
      <w:proofErr w:type="spellStart"/>
      <w:r w:rsidRPr="00C03F33">
        <w:rPr>
          <w:b/>
          <w:bCs/>
          <w:color w:val="000000"/>
        </w:rPr>
        <w:t>Kulturës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dhe</w:t>
      </w:r>
      <w:proofErr w:type="spellEnd"/>
      <w:r w:rsidRPr="00C03F33">
        <w:rPr>
          <w:b/>
          <w:bCs/>
          <w:color w:val="000000"/>
        </w:rPr>
        <w:t xml:space="preserve"> </w:t>
      </w:r>
      <w:proofErr w:type="spellStart"/>
      <w:r w:rsidRPr="00C03F33">
        <w:rPr>
          <w:b/>
          <w:bCs/>
          <w:color w:val="000000"/>
        </w:rPr>
        <w:t>Sportit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reflektuar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qasjen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integruar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Qeverisë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ndaj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rregullimit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sponsorizimeve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veçanërisht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sektorë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ndjeshmëri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lartë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ndaj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riskut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ndikimeve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papërshtatshme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Ministri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Shtetit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Administratën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Antikorrupsionin</w:t>
      </w:r>
      <w:proofErr w:type="spellEnd"/>
      <w:r w:rsidRPr="00C03F33">
        <w:rPr>
          <w:color w:val="000000"/>
        </w:rPr>
        <w:t xml:space="preserve"> ka </w:t>
      </w:r>
      <w:proofErr w:type="spellStart"/>
      <w:r w:rsidRPr="00C03F33">
        <w:rPr>
          <w:color w:val="000000"/>
        </w:rPr>
        <w:t>ushtruar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rolin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kryesuesit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grupit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ndërinstitucional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punës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ngritur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urdhër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Kryeministrit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ndërsa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Drejtoria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Përgjithshme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Antikorrupsionit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përveç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rolit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saj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anëtare</w:t>
      </w:r>
      <w:proofErr w:type="spellEnd"/>
      <w:r w:rsidRPr="00C03F33">
        <w:rPr>
          <w:color w:val="000000"/>
        </w:rPr>
        <w:t xml:space="preserve">, ka </w:t>
      </w:r>
      <w:proofErr w:type="spellStart"/>
      <w:r w:rsidRPr="00C03F33">
        <w:rPr>
          <w:color w:val="000000"/>
        </w:rPr>
        <w:t>shërbyer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Sekretariat</w:t>
      </w:r>
      <w:proofErr w:type="spellEnd"/>
      <w:r w:rsidRPr="00C03F33">
        <w:rPr>
          <w:color w:val="000000"/>
        </w:rPr>
        <w:t xml:space="preserve"> Teknik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grupit</w:t>
      </w:r>
      <w:proofErr w:type="spellEnd"/>
      <w:r w:rsidRPr="00C03F33">
        <w:rPr>
          <w:color w:val="000000"/>
        </w:rPr>
        <w:t xml:space="preserve">, duke </w:t>
      </w:r>
      <w:proofErr w:type="spellStart"/>
      <w:r w:rsidRPr="00C03F33">
        <w:rPr>
          <w:color w:val="000000"/>
        </w:rPr>
        <w:t>përgatitur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analizën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paraprake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duke </w:t>
      </w:r>
      <w:proofErr w:type="spellStart"/>
      <w:r w:rsidRPr="00C03F33">
        <w:rPr>
          <w:color w:val="000000"/>
        </w:rPr>
        <w:t>konsoliduar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tekstin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projektligjit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bashkëpunim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ekspertët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projektit</w:t>
      </w:r>
      <w:proofErr w:type="spellEnd"/>
      <w:r w:rsidRPr="00C03F33">
        <w:rPr>
          <w:color w:val="000000"/>
        </w:rPr>
        <w:t xml:space="preserve"> EU4GG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Delegacionit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Bashkimit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Evropian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Tiranë.</w:t>
      </w:r>
    </w:p>
    <w:p w14:paraId="56442E8F" w14:textId="77777777" w:rsidR="00C03F33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lastRenderedPageBreak/>
        <w:t>Hartimi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projektligjit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mbështetur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standardet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ndërkombëtare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praktikat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mira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evropiane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referencë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kryesore</w:t>
      </w:r>
      <w:proofErr w:type="spellEnd"/>
      <w:r w:rsidRPr="00C03F33">
        <w:rPr>
          <w:color w:val="000000"/>
        </w:rPr>
        <w:t xml:space="preserve"> ka </w:t>
      </w:r>
      <w:proofErr w:type="spellStart"/>
      <w:r w:rsidRPr="00C03F33">
        <w:rPr>
          <w:color w:val="000000"/>
        </w:rPr>
        <w:t>qenë</w:t>
      </w:r>
      <w:proofErr w:type="spellEnd"/>
      <w:r w:rsidRPr="00C03F33">
        <w:rPr>
          <w:color w:val="000000"/>
        </w:rPr>
        <w:t xml:space="preserve"> Konventa e </w:t>
      </w:r>
      <w:proofErr w:type="spellStart"/>
      <w:r w:rsidRPr="00C03F33">
        <w:rPr>
          <w:color w:val="000000"/>
        </w:rPr>
        <w:t>Kombeve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Bashkuara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kundër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Korrupsionit</w:t>
      </w:r>
      <w:proofErr w:type="spellEnd"/>
      <w:r w:rsidRPr="00C03F33">
        <w:rPr>
          <w:color w:val="000000"/>
        </w:rPr>
        <w:t xml:space="preserve"> (UNCAC), e </w:t>
      </w:r>
      <w:proofErr w:type="spellStart"/>
      <w:r w:rsidRPr="00C03F33">
        <w:rPr>
          <w:color w:val="000000"/>
        </w:rPr>
        <w:t>cila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nenet</w:t>
      </w:r>
      <w:proofErr w:type="spellEnd"/>
      <w:r w:rsidRPr="00C03F33">
        <w:rPr>
          <w:color w:val="000000"/>
        </w:rPr>
        <w:t xml:space="preserve"> 7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8 </w:t>
      </w:r>
      <w:proofErr w:type="spellStart"/>
      <w:r w:rsidRPr="00C03F33">
        <w:rPr>
          <w:color w:val="000000"/>
        </w:rPr>
        <w:t>adreson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integritetin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administratës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konfliktin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interesit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ndalimin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dhuratave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lidhura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ushtrimin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funksioneve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. Po </w:t>
      </w:r>
      <w:proofErr w:type="spellStart"/>
      <w:r w:rsidRPr="00C03F33">
        <w:rPr>
          <w:color w:val="000000"/>
        </w:rPr>
        <w:t>ashtu</w:t>
      </w:r>
      <w:proofErr w:type="spellEnd"/>
      <w:r w:rsidRPr="00C03F33">
        <w:rPr>
          <w:color w:val="000000"/>
        </w:rPr>
        <w:t xml:space="preserve">, Konventa Penale e </w:t>
      </w:r>
      <w:proofErr w:type="spellStart"/>
      <w:r w:rsidRPr="00C03F33">
        <w:rPr>
          <w:color w:val="000000"/>
        </w:rPr>
        <w:t>Këshillit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Evropës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kundër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Korrupsionit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rekomandimet</w:t>
      </w:r>
      <w:proofErr w:type="spellEnd"/>
      <w:r w:rsidRPr="00C03F33">
        <w:rPr>
          <w:color w:val="000000"/>
        </w:rPr>
        <w:t xml:space="preserve"> e GRECO-s </w:t>
      </w:r>
      <w:proofErr w:type="spellStart"/>
      <w:r w:rsidRPr="00C03F33">
        <w:rPr>
          <w:color w:val="000000"/>
        </w:rPr>
        <w:t>kanë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theksuar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vazhdimisht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nevojën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rregulla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qarta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mbi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marrëdhëniet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ndërmjet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administratës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sektorit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privat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përfshirë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sponsorizimet</w:t>
      </w:r>
      <w:proofErr w:type="spellEnd"/>
      <w:r w:rsidRPr="00C03F33">
        <w:rPr>
          <w:color w:val="000000"/>
        </w:rPr>
        <w:t>. “</w:t>
      </w:r>
      <w:proofErr w:type="spellStart"/>
      <w:r w:rsidRPr="00C03F33">
        <w:rPr>
          <w:color w:val="000000"/>
        </w:rPr>
        <w:t>Rekomandimi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Integritetin</w:t>
      </w:r>
      <w:proofErr w:type="spellEnd"/>
      <w:r w:rsidRPr="00C03F33">
        <w:rPr>
          <w:color w:val="000000"/>
        </w:rPr>
        <w:t xml:space="preserve"> Publik”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OECD </w:t>
      </w:r>
      <w:proofErr w:type="spellStart"/>
      <w:r w:rsidRPr="00C03F33">
        <w:rPr>
          <w:color w:val="000000"/>
        </w:rPr>
        <w:t>nxit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shtetet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vendosin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mekanizma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qartë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menaxhimin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këtyre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marrëdhënieve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ndërsa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Direktiva</w:t>
      </w:r>
      <w:proofErr w:type="spellEnd"/>
      <w:r w:rsidRPr="00C03F33">
        <w:rPr>
          <w:color w:val="000000"/>
        </w:rPr>
        <w:t xml:space="preserve"> 2014/24/BE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prokurimet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publike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rekomandimet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Komisionit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Evropian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nënvizojnë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rëndësinë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parandalimit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konfliktit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interesit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ndikimeve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paligjshme</w:t>
      </w:r>
      <w:proofErr w:type="spellEnd"/>
      <w:r w:rsidRPr="00C03F33">
        <w:rPr>
          <w:color w:val="000000"/>
        </w:rPr>
        <w:t>.</w:t>
      </w:r>
    </w:p>
    <w:p w14:paraId="6B84042D" w14:textId="41A8499C" w:rsidR="00BA4AE1" w:rsidRPr="00C03F33" w:rsidRDefault="00C03F33" w:rsidP="00C03F33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C03F33">
        <w:rPr>
          <w:color w:val="000000"/>
        </w:rPr>
        <w:t>Miratimi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i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ligjit</w:t>
      </w:r>
      <w:proofErr w:type="spellEnd"/>
      <w:r w:rsidRPr="00C03F33">
        <w:rPr>
          <w:color w:val="000000"/>
        </w:rPr>
        <w:t xml:space="preserve"> “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Donacionet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Sponsorizimet</w:t>
      </w:r>
      <w:proofErr w:type="spellEnd"/>
      <w:r w:rsidRPr="00C03F33">
        <w:rPr>
          <w:color w:val="000000"/>
        </w:rPr>
        <w:t xml:space="preserve">” </w:t>
      </w:r>
      <w:proofErr w:type="spellStart"/>
      <w:r w:rsidRPr="00C03F33">
        <w:rPr>
          <w:color w:val="000000"/>
        </w:rPr>
        <w:t>përbën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instrument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rëndësishëm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forcimin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qasjes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parandaluese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kundër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korrupsionit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një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nga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prioritetet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Strategjisë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Ndërsektoriale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Kundër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Korrupsionit</w:t>
      </w:r>
      <w:proofErr w:type="spellEnd"/>
      <w:r w:rsidRPr="00C03F33">
        <w:rPr>
          <w:color w:val="000000"/>
        </w:rPr>
        <w:t xml:space="preserve"> 2024–2030 </w:t>
      </w:r>
      <w:proofErr w:type="spellStart"/>
      <w:r w:rsidRPr="00C03F33">
        <w:rPr>
          <w:color w:val="000000"/>
        </w:rPr>
        <w:t>dhe</w:t>
      </w:r>
      <w:proofErr w:type="spellEnd"/>
      <w:r w:rsidRPr="00C03F33">
        <w:rPr>
          <w:color w:val="000000"/>
        </w:rPr>
        <w:t xml:space="preserve"> Planit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saj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Veprimit</w:t>
      </w:r>
      <w:proofErr w:type="spellEnd"/>
      <w:r w:rsidRPr="00C03F33">
        <w:rPr>
          <w:color w:val="000000"/>
        </w:rPr>
        <w:t xml:space="preserve"> 2024–2026,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miratuar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vendimin</w:t>
      </w:r>
      <w:proofErr w:type="spellEnd"/>
      <w:r w:rsidRPr="00C03F33">
        <w:rPr>
          <w:color w:val="000000"/>
        </w:rPr>
        <w:t xml:space="preserve"> nr. 859, </w:t>
      </w:r>
      <w:proofErr w:type="spellStart"/>
      <w:r w:rsidRPr="00C03F33">
        <w:rPr>
          <w:color w:val="000000"/>
        </w:rPr>
        <w:t>datë</w:t>
      </w:r>
      <w:proofErr w:type="spellEnd"/>
      <w:r w:rsidRPr="00C03F33">
        <w:rPr>
          <w:color w:val="000000"/>
        </w:rPr>
        <w:t xml:space="preserve"> 26.12.2024,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Këshillit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Ministrave</w:t>
      </w:r>
      <w:proofErr w:type="spellEnd"/>
      <w:r w:rsidRPr="00C03F33">
        <w:rPr>
          <w:color w:val="000000"/>
        </w:rPr>
        <w:t xml:space="preserve">. </w:t>
      </w:r>
      <w:proofErr w:type="spellStart"/>
      <w:r w:rsidRPr="00C03F33">
        <w:rPr>
          <w:color w:val="000000"/>
        </w:rPr>
        <w:t>Kjo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nismë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është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gjithashtu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pjesë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përbërëse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paketës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ligjore</w:t>
      </w:r>
      <w:proofErr w:type="spellEnd"/>
      <w:r w:rsidRPr="00C03F33">
        <w:rPr>
          <w:color w:val="000000"/>
        </w:rPr>
        <w:t xml:space="preserve"> “</w:t>
      </w:r>
      <w:proofErr w:type="spellStart"/>
      <w:r w:rsidRPr="00C03F33">
        <w:rPr>
          <w:color w:val="000000"/>
        </w:rPr>
        <w:t>Antikorrupsion</w:t>
      </w:r>
      <w:proofErr w:type="spellEnd"/>
      <w:r w:rsidRPr="00C03F33">
        <w:rPr>
          <w:color w:val="000000"/>
        </w:rPr>
        <w:t xml:space="preserve">”,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parashikuar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në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Udhërrëfyesin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për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Shtetin</w:t>
      </w:r>
      <w:proofErr w:type="spellEnd"/>
      <w:r w:rsidRPr="00C03F33">
        <w:rPr>
          <w:color w:val="000000"/>
        </w:rPr>
        <w:t xml:space="preserve"> e </w:t>
      </w:r>
      <w:proofErr w:type="spellStart"/>
      <w:r w:rsidRPr="00C03F33">
        <w:rPr>
          <w:color w:val="000000"/>
        </w:rPr>
        <w:t>së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Drejtës</w:t>
      </w:r>
      <w:proofErr w:type="spellEnd"/>
      <w:r w:rsidRPr="00C03F33">
        <w:rPr>
          <w:color w:val="000000"/>
        </w:rPr>
        <w:t xml:space="preserve">, </w:t>
      </w:r>
      <w:proofErr w:type="spellStart"/>
      <w:r w:rsidRPr="00C03F33">
        <w:rPr>
          <w:color w:val="000000"/>
        </w:rPr>
        <w:t>miratuar</w:t>
      </w:r>
      <w:proofErr w:type="spellEnd"/>
      <w:r w:rsidRPr="00C03F33">
        <w:rPr>
          <w:color w:val="000000"/>
        </w:rPr>
        <w:t xml:space="preserve"> me </w:t>
      </w:r>
      <w:proofErr w:type="spellStart"/>
      <w:r w:rsidRPr="00C03F33">
        <w:rPr>
          <w:color w:val="000000"/>
        </w:rPr>
        <w:t>vendimin</w:t>
      </w:r>
      <w:proofErr w:type="spellEnd"/>
      <w:r w:rsidRPr="00C03F33">
        <w:rPr>
          <w:color w:val="000000"/>
        </w:rPr>
        <w:t xml:space="preserve"> nr. 736, </w:t>
      </w:r>
      <w:proofErr w:type="spellStart"/>
      <w:r w:rsidRPr="00C03F33">
        <w:rPr>
          <w:color w:val="000000"/>
        </w:rPr>
        <w:t>datë</w:t>
      </w:r>
      <w:proofErr w:type="spellEnd"/>
      <w:r w:rsidRPr="00C03F33">
        <w:rPr>
          <w:color w:val="000000"/>
        </w:rPr>
        <w:t xml:space="preserve"> 13.12.2023,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Këshillit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të</w:t>
      </w:r>
      <w:proofErr w:type="spellEnd"/>
      <w:r w:rsidRPr="00C03F33">
        <w:rPr>
          <w:color w:val="000000"/>
        </w:rPr>
        <w:t xml:space="preserve"> </w:t>
      </w:r>
      <w:proofErr w:type="spellStart"/>
      <w:r w:rsidRPr="00C03F33">
        <w:rPr>
          <w:color w:val="000000"/>
        </w:rPr>
        <w:t>Ministrave</w:t>
      </w:r>
      <w:proofErr w:type="spellEnd"/>
      <w:r w:rsidR="00BA4AE1" w:rsidRPr="00590F6A">
        <w:t>.</w:t>
      </w:r>
    </w:p>
    <w:p w14:paraId="6B336AFE" w14:textId="77777777" w:rsidR="00BA4AE1" w:rsidRDefault="00BA4AE1" w:rsidP="00D57BA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4BDB4" w14:textId="1EE8FCB5" w:rsidR="00AD7926" w:rsidRPr="00D57BAD" w:rsidRDefault="00AD7926" w:rsidP="00D57BA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ftuara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projektligj</w:t>
      </w:r>
      <w:proofErr w:type="spellEnd"/>
      <w:r w:rsidRPr="00D57BA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brenda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20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ditëve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pune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nga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data e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shpalljes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së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këtij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njoftimi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>.</w:t>
      </w:r>
    </w:p>
    <w:p w14:paraId="70FE8C30" w14:textId="5CE2F9E3" w:rsidR="00AD7926" w:rsidRPr="00D57BAD" w:rsidRDefault="00AD7926" w:rsidP="00D57BA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BA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Teksti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57BA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Portalin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</w:t>
      </w:r>
      <w:proofErr w:type="spellStart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Konsultimit</w:t>
      </w:r>
      <w:proofErr w:type="spellEnd"/>
      <w:r w:rsidRPr="00D57BA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Publik</w:t>
      </w:r>
      <w:r w:rsidRPr="00D57BA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konsultohen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AD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D57BA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81C2D" w:rsidRPr="00A81C2D">
          <w:rPr>
            <w:rStyle w:val="Hyperlink"/>
            <w:sz w:val="24"/>
            <w:szCs w:val="24"/>
          </w:rPr>
          <w:t>https://www.konsultimipublik.gov.al/Konsultime/Detaje/919</w:t>
        </w:r>
      </w:hyperlink>
      <w:r w:rsidRPr="00A81C2D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="00A81C2D" w:rsidRPr="00A81C2D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A81C2D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7054F98E" w14:textId="77777777" w:rsidR="00AD7926" w:rsidRPr="00D57BAD" w:rsidRDefault="00AD7926" w:rsidP="00D57BAD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F6C0FD" w14:textId="77777777" w:rsidR="00AD7926" w:rsidRPr="00D57BAD" w:rsidRDefault="00AD7926" w:rsidP="00D57BAD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7BAD">
        <w:rPr>
          <w:rFonts w:ascii="Times New Roman" w:hAnsi="Times New Roman" w:cs="Times New Roman"/>
          <w:b/>
          <w:bCs/>
          <w:noProof/>
          <w:sz w:val="24"/>
          <w:szCs w:val="24"/>
        </w:rPr>
        <w:t>Dokumentet e publikuara për konsultim janë:</w:t>
      </w:r>
    </w:p>
    <w:p w14:paraId="43565BE3" w14:textId="0FC8AEA3" w:rsidR="00AD7926" w:rsidRPr="00D57BAD" w:rsidRDefault="00AD7926" w:rsidP="00D57BA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7BA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Projektligj “Për </w:t>
      </w:r>
      <w:r w:rsidR="00BA4AE1">
        <w:rPr>
          <w:rFonts w:ascii="Times New Roman" w:hAnsi="Times New Roman" w:cs="Times New Roman"/>
          <w:noProof/>
          <w:sz w:val="24"/>
          <w:szCs w:val="24"/>
          <w:lang w:val="sq-AL"/>
        </w:rPr>
        <w:t>D</w:t>
      </w:r>
      <w:r w:rsidRPr="00D57BA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onacionet dhe </w:t>
      </w:r>
      <w:r w:rsidR="00BA4AE1">
        <w:rPr>
          <w:rFonts w:ascii="Times New Roman" w:hAnsi="Times New Roman" w:cs="Times New Roman"/>
          <w:noProof/>
          <w:sz w:val="24"/>
          <w:szCs w:val="24"/>
          <w:lang w:val="sq-AL"/>
        </w:rPr>
        <w:t>S</w:t>
      </w:r>
      <w:r w:rsidRPr="00D57BAD">
        <w:rPr>
          <w:rFonts w:ascii="Times New Roman" w:hAnsi="Times New Roman" w:cs="Times New Roman"/>
          <w:noProof/>
          <w:sz w:val="24"/>
          <w:szCs w:val="24"/>
          <w:lang w:val="sq-AL"/>
        </w:rPr>
        <w:t>ponsorizimet”;</w:t>
      </w:r>
    </w:p>
    <w:p w14:paraId="630FF339" w14:textId="77777777" w:rsidR="00AD7926" w:rsidRPr="00D57BAD" w:rsidRDefault="00AD7926" w:rsidP="00D57BA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7BAD">
        <w:rPr>
          <w:rFonts w:ascii="Times New Roman" w:hAnsi="Times New Roman" w:cs="Times New Roman"/>
          <w:noProof/>
          <w:sz w:val="24"/>
          <w:szCs w:val="24"/>
          <w:lang w:val="sq-AL"/>
        </w:rPr>
        <w:t>Relacioni i projektligjit;</w:t>
      </w:r>
    </w:p>
    <w:p w14:paraId="75F2B0CA" w14:textId="77777777" w:rsidR="00AD7926" w:rsidRPr="00D57BAD" w:rsidRDefault="00AD7926" w:rsidP="00D57BA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7BAD">
        <w:rPr>
          <w:rFonts w:ascii="Times New Roman" w:hAnsi="Times New Roman" w:cs="Times New Roman"/>
          <w:noProof/>
          <w:sz w:val="24"/>
          <w:szCs w:val="24"/>
          <w:lang w:val="sq-AL"/>
        </w:rPr>
        <w:t>Dokumenti konsultativ.</w:t>
      </w:r>
    </w:p>
    <w:p w14:paraId="7A75227A" w14:textId="77777777" w:rsidR="00AD7926" w:rsidRPr="00D57BAD" w:rsidRDefault="00AD7926" w:rsidP="00D57BAD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8BA094" w14:textId="759C32B1" w:rsidR="002C629E" w:rsidRPr="00D57BAD" w:rsidRDefault="002C629E" w:rsidP="00D57BAD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C629E" w:rsidRPr="00D57BAD" w:rsidSect="00B668DD">
      <w:pgSz w:w="12240" w:h="15840"/>
      <w:pgMar w:top="90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69C8"/>
      </v:shape>
    </w:pict>
  </w:numPicBullet>
  <w:abstractNum w:abstractNumId="0" w15:restartNumberingAfterBreak="0">
    <w:nsid w:val="0D854B68"/>
    <w:multiLevelType w:val="hybridMultilevel"/>
    <w:tmpl w:val="13DAD5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C7653"/>
    <w:multiLevelType w:val="multilevel"/>
    <w:tmpl w:val="3E0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60C4D"/>
    <w:multiLevelType w:val="multilevel"/>
    <w:tmpl w:val="479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54C4F"/>
    <w:multiLevelType w:val="multilevel"/>
    <w:tmpl w:val="923C9B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C04E1"/>
    <w:multiLevelType w:val="hybridMultilevel"/>
    <w:tmpl w:val="AD868C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206E"/>
    <w:multiLevelType w:val="hybridMultilevel"/>
    <w:tmpl w:val="CD26A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F7328"/>
    <w:multiLevelType w:val="multilevel"/>
    <w:tmpl w:val="282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338946">
    <w:abstractNumId w:val="0"/>
  </w:num>
  <w:num w:numId="2" w16cid:durableId="1417088522">
    <w:abstractNumId w:val="3"/>
  </w:num>
  <w:num w:numId="3" w16cid:durableId="526986284">
    <w:abstractNumId w:val="6"/>
  </w:num>
  <w:num w:numId="4" w16cid:durableId="1280651400">
    <w:abstractNumId w:val="2"/>
  </w:num>
  <w:num w:numId="5" w16cid:durableId="1387023005">
    <w:abstractNumId w:val="5"/>
  </w:num>
  <w:num w:numId="6" w16cid:durableId="1715497870">
    <w:abstractNumId w:val="7"/>
  </w:num>
  <w:num w:numId="7" w16cid:durableId="283123032">
    <w:abstractNumId w:val="4"/>
  </w:num>
  <w:num w:numId="8" w16cid:durableId="56545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24"/>
    <w:rsid w:val="000264D3"/>
    <w:rsid w:val="00084418"/>
    <w:rsid w:val="000F7D95"/>
    <w:rsid w:val="00106DBF"/>
    <w:rsid w:val="00177A75"/>
    <w:rsid w:val="001A5B8C"/>
    <w:rsid w:val="00215D98"/>
    <w:rsid w:val="00240BB2"/>
    <w:rsid w:val="00251ED7"/>
    <w:rsid w:val="002C629E"/>
    <w:rsid w:val="002D1BC3"/>
    <w:rsid w:val="002F5948"/>
    <w:rsid w:val="00337770"/>
    <w:rsid w:val="00350B86"/>
    <w:rsid w:val="003640E8"/>
    <w:rsid w:val="003754BD"/>
    <w:rsid w:val="003C67B2"/>
    <w:rsid w:val="00404BFB"/>
    <w:rsid w:val="004124D7"/>
    <w:rsid w:val="00470947"/>
    <w:rsid w:val="004B5A32"/>
    <w:rsid w:val="004F4B75"/>
    <w:rsid w:val="0051764E"/>
    <w:rsid w:val="00520A42"/>
    <w:rsid w:val="00526B7D"/>
    <w:rsid w:val="00553963"/>
    <w:rsid w:val="00590F6A"/>
    <w:rsid w:val="00591778"/>
    <w:rsid w:val="005D5A4C"/>
    <w:rsid w:val="005D6F7A"/>
    <w:rsid w:val="006176AF"/>
    <w:rsid w:val="00656ADC"/>
    <w:rsid w:val="006639A3"/>
    <w:rsid w:val="00674A14"/>
    <w:rsid w:val="00687ADB"/>
    <w:rsid w:val="00690724"/>
    <w:rsid w:val="00696701"/>
    <w:rsid w:val="00724989"/>
    <w:rsid w:val="0073349E"/>
    <w:rsid w:val="00774CF1"/>
    <w:rsid w:val="007A2973"/>
    <w:rsid w:val="007C30A8"/>
    <w:rsid w:val="00801997"/>
    <w:rsid w:val="00821EAB"/>
    <w:rsid w:val="00832BFD"/>
    <w:rsid w:val="0085011F"/>
    <w:rsid w:val="0085368A"/>
    <w:rsid w:val="008717BC"/>
    <w:rsid w:val="00880716"/>
    <w:rsid w:val="00884130"/>
    <w:rsid w:val="008D0993"/>
    <w:rsid w:val="008D26B2"/>
    <w:rsid w:val="009029A8"/>
    <w:rsid w:val="0091337A"/>
    <w:rsid w:val="00925196"/>
    <w:rsid w:val="009350C7"/>
    <w:rsid w:val="009470D9"/>
    <w:rsid w:val="00953BA4"/>
    <w:rsid w:val="00963073"/>
    <w:rsid w:val="00984D4A"/>
    <w:rsid w:val="009B6F71"/>
    <w:rsid w:val="009F3F9A"/>
    <w:rsid w:val="009F4261"/>
    <w:rsid w:val="00A356CE"/>
    <w:rsid w:val="00A569D2"/>
    <w:rsid w:val="00A641E6"/>
    <w:rsid w:val="00A65983"/>
    <w:rsid w:val="00A81C2D"/>
    <w:rsid w:val="00AA4E7D"/>
    <w:rsid w:val="00AB770D"/>
    <w:rsid w:val="00AD7926"/>
    <w:rsid w:val="00B46985"/>
    <w:rsid w:val="00B6024C"/>
    <w:rsid w:val="00B668DD"/>
    <w:rsid w:val="00BA4AE1"/>
    <w:rsid w:val="00BC4D74"/>
    <w:rsid w:val="00C03F33"/>
    <w:rsid w:val="00C06511"/>
    <w:rsid w:val="00C202D0"/>
    <w:rsid w:val="00C359E9"/>
    <w:rsid w:val="00C578C7"/>
    <w:rsid w:val="00C57CD0"/>
    <w:rsid w:val="00C70577"/>
    <w:rsid w:val="00C824A1"/>
    <w:rsid w:val="00CA3F9D"/>
    <w:rsid w:val="00CD6A51"/>
    <w:rsid w:val="00D05009"/>
    <w:rsid w:val="00D055B4"/>
    <w:rsid w:val="00D46493"/>
    <w:rsid w:val="00D57BAD"/>
    <w:rsid w:val="00D767D8"/>
    <w:rsid w:val="00DD32AE"/>
    <w:rsid w:val="00E356B5"/>
    <w:rsid w:val="00E61B77"/>
    <w:rsid w:val="00E85999"/>
    <w:rsid w:val="00E93572"/>
    <w:rsid w:val="00EA4D9D"/>
    <w:rsid w:val="00F06045"/>
    <w:rsid w:val="00F12AC1"/>
    <w:rsid w:val="00F17B56"/>
    <w:rsid w:val="00F21BE1"/>
    <w:rsid w:val="00F21F7C"/>
    <w:rsid w:val="00F87DAA"/>
    <w:rsid w:val="00F90500"/>
    <w:rsid w:val="00FA5A4C"/>
    <w:rsid w:val="00FB227E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F1F"/>
  <w15:chartTrackingRefBased/>
  <w15:docId w15:val="{F5C1AE7C-CE62-483D-B1F0-526EE14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9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CD6A51"/>
    <w:pPr>
      <w:tabs>
        <w:tab w:val="left" w:pos="567"/>
      </w:tabs>
      <w:spacing w:after="12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6A51"/>
    <w:rPr>
      <w:rFonts w:ascii="Calibri" w:eastAsia="Times New Roman" w:hAnsi="Calibri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D32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9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0F6A"/>
  </w:style>
  <w:style w:type="character" w:styleId="Strong">
    <w:name w:val="Strong"/>
    <w:basedOn w:val="DefaultParagraphFont"/>
    <w:uiPriority w:val="22"/>
    <w:qFormat/>
    <w:rsid w:val="00590F6A"/>
    <w:rPr>
      <w:b/>
      <w:bCs/>
    </w:rPr>
  </w:style>
  <w:style w:type="paragraph" w:styleId="NoSpacing">
    <w:name w:val="No Spacing"/>
    <w:uiPriority w:val="1"/>
    <w:qFormat/>
    <w:rsid w:val="00590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ultimipublik.gov.al/Konsultime/Detaje/9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9B4F975F4B469A237EE3D5F88D96" ma:contentTypeVersion="12" ma:contentTypeDescription="Create a new document." ma:contentTypeScope="" ma:versionID="29fa4dac569846edbfc2bb0df66cd0e4">
  <xsd:schema xmlns:xsd="http://www.w3.org/2001/XMLSchema" xmlns:xs="http://www.w3.org/2001/XMLSchema" xmlns:p="http://schemas.microsoft.com/office/2006/metadata/properties" xmlns:ns3="5c6493b2-16e3-4ded-b3c2-04ffd2a382c1" targetNamespace="http://schemas.microsoft.com/office/2006/metadata/properties" ma:root="true" ma:fieldsID="06ade13bb5408d24fef8f5640269addb" ns3:_="">
    <xsd:import namespace="5c6493b2-16e3-4ded-b3c2-04ffd2a382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93b2-16e3-4ded-b3c2-04ffd2a382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493b2-16e3-4ded-b3c2-04ffd2a382c1" xsi:nil="true"/>
  </documentManagement>
</p:properties>
</file>

<file path=customXml/itemProps1.xml><?xml version="1.0" encoding="utf-8"?>
<ds:datastoreItem xmlns:ds="http://schemas.openxmlformats.org/officeDocument/2006/customXml" ds:itemID="{BC67E75E-532E-4A31-B738-B95563900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A43A-B249-495F-BEDF-360CCA5C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93b2-16e3-4ded-b3c2-04ffd2a3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1D817-721D-4815-9354-09FE51E6C2BF}">
  <ds:schemaRefs>
    <ds:schemaRef ds:uri="http://schemas.microsoft.com/office/2006/metadata/properties"/>
    <ds:schemaRef ds:uri="http://schemas.microsoft.com/office/infopath/2007/PartnerControls"/>
    <ds:schemaRef ds:uri="5c6493b2-16e3-4ded-b3c2-04ffd2a382c1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786</Words>
  <Characters>4988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5</cp:revision>
  <dcterms:created xsi:type="dcterms:W3CDTF">2026-01-14T13:33:00Z</dcterms:created>
  <dcterms:modified xsi:type="dcterms:W3CDTF">2026-01-16T12:47:00Z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0x010100C9B79B4F975F4B469A237EE3D5F88D96</vt:lpwstr>
  </property>
</Properties>
</file>