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2E0E8" w14:textId="77777777" w:rsidR="00C253A8" w:rsidRDefault="00C253A8">
      <w:pPr>
        <w:pStyle w:val="BodyText"/>
        <w:spacing w:before="28"/>
        <w:ind w:left="0"/>
        <w:jc w:val="left"/>
      </w:pPr>
    </w:p>
    <w:p w14:paraId="6BAB181E" w14:textId="77777777" w:rsidR="00C253A8" w:rsidRDefault="00D407E4">
      <w:pPr>
        <w:spacing w:line="554" w:lineRule="auto"/>
        <w:ind w:left="3537" w:right="3537"/>
        <w:jc w:val="center"/>
        <w:rPr>
          <w:b/>
          <w:sz w:val="28"/>
        </w:rPr>
      </w:pPr>
      <w:r>
        <w:rPr>
          <w:b/>
          <w:spacing w:val="-2"/>
          <w:sz w:val="28"/>
        </w:rPr>
        <w:t xml:space="preserve">RELACION </w:t>
      </w:r>
      <w:r>
        <w:rPr>
          <w:b/>
          <w:spacing w:val="-4"/>
          <w:sz w:val="28"/>
        </w:rPr>
        <w:t>PËR</w:t>
      </w:r>
    </w:p>
    <w:p w14:paraId="1DC9300F" w14:textId="77777777" w:rsidR="00C253A8" w:rsidRDefault="00D407E4">
      <w:pPr>
        <w:spacing w:line="552" w:lineRule="auto"/>
        <w:ind w:left="2903" w:right="2894"/>
        <w:jc w:val="center"/>
        <w:rPr>
          <w:b/>
          <w:sz w:val="28"/>
        </w:rPr>
      </w:pPr>
      <w:r>
        <w:rPr>
          <w:b/>
          <w:spacing w:val="-2"/>
          <w:sz w:val="28"/>
        </w:rPr>
        <w:t xml:space="preserve">PROJEKTVENDIMIN </w:t>
      </w:r>
      <w:r>
        <w:rPr>
          <w:b/>
          <w:spacing w:val="-4"/>
          <w:sz w:val="28"/>
        </w:rPr>
        <w:t>PËR</w:t>
      </w:r>
    </w:p>
    <w:p w14:paraId="4A457E59" w14:textId="77777777" w:rsidR="00C253A8" w:rsidRDefault="00D407E4">
      <w:pPr>
        <w:spacing w:line="276" w:lineRule="auto"/>
        <w:ind w:left="81" w:right="85" w:firstLine="1"/>
        <w:jc w:val="center"/>
        <w:rPr>
          <w:b/>
          <w:sz w:val="28"/>
        </w:rPr>
      </w:pPr>
      <w:r>
        <w:rPr>
          <w:b/>
          <w:sz w:val="28"/>
        </w:rPr>
        <w:t>"PËR MËNYRËN E ORGANIZIMIT DHE FUNKSIONIMIT TË TREGUT</w:t>
      </w:r>
      <w:r>
        <w:rPr>
          <w:b/>
          <w:spacing w:val="-8"/>
          <w:sz w:val="28"/>
        </w:rPr>
        <w:t xml:space="preserve"> </w:t>
      </w:r>
      <w:r>
        <w:rPr>
          <w:b/>
          <w:sz w:val="28"/>
        </w:rPr>
        <w:t>TË</w:t>
      </w:r>
      <w:r>
        <w:rPr>
          <w:b/>
          <w:spacing w:val="-8"/>
          <w:sz w:val="28"/>
        </w:rPr>
        <w:t xml:space="preserve"> </w:t>
      </w:r>
      <w:r>
        <w:rPr>
          <w:b/>
          <w:sz w:val="28"/>
        </w:rPr>
        <w:t>PRODUKTEVE</w:t>
      </w:r>
      <w:r>
        <w:rPr>
          <w:b/>
          <w:spacing w:val="-7"/>
          <w:sz w:val="28"/>
        </w:rPr>
        <w:t xml:space="preserve"> </w:t>
      </w:r>
      <w:r>
        <w:rPr>
          <w:b/>
          <w:sz w:val="28"/>
        </w:rPr>
        <w:t>TË</w:t>
      </w:r>
      <w:r>
        <w:rPr>
          <w:b/>
          <w:spacing w:val="-11"/>
          <w:sz w:val="28"/>
        </w:rPr>
        <w:t xml:space="preserve"> </w:t>
      </w:r>
      <w:r>
        <w:rPr>
          <w:b/>
          <w:sz w:val="28"/>
        </w:rPr>
        <w:t>PESHKIMIT</w:t>
      </w:r>
      <w:r>
        <w:rPr>
          <w:b/>
          <w:spacing w:val="-8"/>
          <w:sz w:val="28"/>
        </w:rPr>
        <w:t xml:space="preserve"> </w:t>
      </w:r>
      <w:r>
        <w:rPr>
          <w:b/>
          <w:sz w:val="28"/>
        </w:rPr>
        <w:t>DHE</w:t>
      </w:r>
      <w:r>
        <w:rPr>
          <w:b/>
          <w:spacing w:val="-8"/>
          <w:sz w:val="28"/>
        </w:rPr>
        <w:t xml:space="preserve"> </w:t>
      </w:r>
      <w:r>
        <w:rPr>
          <w:b/>
          <w:sz w:val="28"/>
        </w:rPr>
        <w:t>AKUAKULTURËS DHE PËR MIRATIMIN E FORMËS DHE PËRMBAJTJES SË PLANEVE TË PRODHIMIT DHE MARKETINGUT”</w:t>
      </w:r>
    </w:p>
    <w:p w14:paraId="670D006F" w14:textId="77777777" w:rsidR="00C253A8" w:rsidRDefault="00C253A8">
      <w:pPr>
        <w:pStyle w:val="BodyText"/>
        <w:spacing w:before="43"/>
        <w:ind w:left="0"/>
        <w:jc w:val="left"/>
        <w:rPr>
          <w:b/>
        </w:rPr>
      </w:pPr>
    </w:p>
    <w:p w14:paraId="78D695EF" w14:textId="77777777" w:rsidR="00C253A8" w:rsidRDefault="00D407E4">
      <w:pPr>
        <w:pStyle w:val="ListParagraph"/>
        <w:numPr>
          <w:ilvl w:val="0"/>
          <w:numId w:val="1"/>
        </w:numPr>
        <w:tabs>
          <w:tab w:val="left" w:pos="290"/>
          <w:tab w:val="left" w:pos="292"/>
        </w:tabs>
        <w:spacing w:line="276" w:lineRule="auto"/>
        <w:ind w:right="95"/>
        <w:rPr>
          <w:b/>
          <w:sz w:val="28"/>
        </w:rPr>
      </w:pPr>
      <w:r>
        <w:rPr>
          <w:b/>
          <w:sz w:val="28"/>
        </w:rPr>
        <w:t>QËLLIMI</w:t>
      </w:r>
      <w:r>
        <w:rPr>
          <w:b/>
          <w:spacing w:val="-8"/>
          <w:sz w:val="28"/>
        </w:rPr>
        <w:t xml:space="preserve"> </w:t>
      </w:r>
      <w:r>
        <w:rPr>
          <w:b/>
          <w:sz w:val="28"/>
        </w:rPr>
        <w:t>I</w:t>
      </w:r>
      <w:r>
        <w:rPr>
          <w:b/>
          <w:spacing w:val="-8"/>
          <w:sz w:val="28"/>
        </w:rPr>
        <w:t xml:space="preserve"> </w:t>
      </w:r>
      <w:r>
        <w:rPr>
          <w:b/>
          <w:sz w:val="28"/>
        </w:rPr>
        <w:t>PROJEKTAKTIT</w:t>
      </w:r>
      <w:r>
        <w:rPr>
          <w:b/>
          <w:spacing w:val="-5"/>
          <w:sz w:val="28"/>
        </w:rPr>
        <w:t xml:space="preserve"> </w:t>
      </w:r>
      <w:r>
        <w:rPr>
          <w:b/>
          <w:sz w:val="28"/>
        </w:rPr>
        <w:t>DHE</w:t>
      </w:r>
      <w:r>
        <w:rPr>
          <w:b/>
          <w:spacing w:val="-5"/>
          <w:sz w:val="28"/>
        </w:rPr>
        <w:t xml:space="preserve"> </w:t>
      </w:r>
      <w:r>
        <w:rPr>
          <w:b/>
          <w:sz w:val="28"/>
        </w:rPr>
        <w:t>OBJEKTIVAT</w:t>
      </w:r>
      <w:r>
        <w:rPr>
          <w:b/>
          <w:spacing w:val="-5"/>
          <w:sz w:val="28"/>
        </w:rPr>
        <w:t xml:space="preserve"> </w:t>
      </w:r>
      <w:r>
        <w:rPr>
          <w:b/>
          <w:sz w:val="28"/>
        </w:rPr>
        <w:t>QË</w:t>
      </w:r>
      <w:r>
        <w:rPr>
          <w:b/>
          <w:spacing w:val="-5"/>
          <w:sz w:val="28"/>
        </w:rPr>
        <w:t xml:space="preserve"> </w:t>
      </w:r>
      <w:r>
        <w:rPr>
          <w:b/>
          <w:sz w:val="28"/>
        </w:rPr>
        <w:t>SYNOHEN</w:t>
      </w:r>
      <w:r>
        <w:rPr>
          <w:b/>
          <w:spacing w:val="-5"/>
          <w:sz w:val="28"/>
        </w:rPr>
        <w:t xml:space="preserve"> </w:t>
      </w:r>
      <w:r>
        <w:rPr>
          <w:b/>
          <w:sz w:val="28"/>
        </w:rPr>
        <w:t xml:space="preserve">TË </w:t>
      </w:r>
      <w:r>
        <w:rPr>
          <w:b/>
          <w:spacing w:val="-2"/>
          <w:sz w:val="28"/>
        </w:rPr>
        <w:t>ARRIHEN</w:t>
      </w:r>
    </w:p>
    <w:p w14:paraId="5B42FC71" w14:textId="77777777" w:rsidR="00C253A8" w:rsidRDefault="00C253A8">
      <w:pPr>
        <w:pStyle w:val="BodyText"/>
        <w:spacing w:before="47"/>
        <w:ind w:left="0"/>
        <w:jc w:val="left"/>
        <w:rPr>
          <w:b/>
        </w:rPr>
      </w:pPr>
    </w:p>
    <w:p w14:paraId="33DB5664" w14:textId="77777777" w:rsidR="00C253A8" w:rsidRDefault="00D407E4">
      <w:pPr>
        <w:pStyle w:val="BodyText"/>
        <w:spacing w:line="276" w:lineRule="auto"/>
        <w:ind w:right="23"/>
      </w:pPr>
      <w:r>
        <w:t>Ky projektvendim ka për qëllim transpozimin në legjislacionin kombëtar të dispozitave të Rregullores (BE) Nr. 1379/2013 mbi organizimin e përbashkët të tregjeve të produkteve të peshkimit dhe akuakulturës, duke krijuar një kuadër të qartë dhe të qëndrueshëm për funksionimin e tregut në këtë sektor.</w:t>
      </w:r>
    </w:p>
    <w:p w14:paraId="008DFDEB" w14:textId="77777777" w:rsidR="00C253A8" w:rsidRDefault="00C253A8">
      <w:pPr>
        <w:pStyle w:val="BodyText"/>
        <w:spacing w:before="45"/>
        <w:ind w:left="0"/>
        <w:jc w:val="left"/>
      </w:pPr>
    </w:p>
    <w:p w14:paraId="6252CDB3" w14:textId="77777777" w:rsidR="00C253A8" w:rsidRDefault="00D407E4">
      <w:pPr>
        <w:pStyle w:val="BodyText"/>
        <w:spacing w:before="1" w:line="276" w:lineRule="auto"/>
        <w:ind w:right="21"/>
      </w:pPr>
      <w:r>
        <w:t>Përmes miratimit të këtij vendimi synohet garantimi i konkurrencës së</w:t>
      </w:r>
      <w:r>
        <w:rPr>
          <w:spacing w:val="40"/>
        </w:rPr>
        <w:t xml:space="preserve"> </w:t>
      </w:r>
      <w:r>
        <w:t>ndershme dhe i transparencës në tregje, përmes vendosjes së standardeve të përbashkëta të tregtimit dhe rregullave të detajuara mbi informimin e konsumatorëve për origjinën, mënyrën e prodhimit dhe kategorinë cilësore të produkteve. Një tjetër objektiv është forcimi i rolit të organizatave të</w:t>
      </w:r>
      <w:r>
        <w:rPr>
          <w:spacing w:val="40"/>
        </w:rPr>
        <w:t xml:space="preserve"> </w:t>
      </w:r>
      <w:r>
        <w:t>prodhuesve dhe shoqatave të tyre, si instrumenta kryesorë për menaxhimin e ofertës, stabilizimin e çmimeve, rritjen e të ardhurave të peshkatarëve dhe operatorëve të akuakulturës, si dhe përmirësimin e kapaciteteve të</w:t>
      </w:r>
      <w:r>
        <w:t xml:space="preserve"> tyre negociuese në treg. Nëpërmjet rritjes së transparencës dhe etiketimit të detajuar të produkteve, konsumatoret do të kenë mundësi të bëjnë zgjedhje të ndërgjegjshme dhe të sigurt. Gjithashtu, miratimi i këtij akti siguron harmonizimin e politikave kombëtare të acquis së BE-së duke përmbushur angazhimet e Shqipërisë në procesin e integrimit europian dhe duke ndërtuar themelet për pjesëmarrjen në tregun e përbashkët të Bashkimit Evropian.</w:t>
      </w:r>
    </w:p>
    <w:p w14:paraId="1DAA481D" w14:textId="77777777" w:rsidR="00C253A8" w:rsidRDefault="00C253A8">
      <w:pPr>
        <w:pStyle w:val="BodyText"/>
        <w:spacing w:line="276" w:lineRule="auto"/>
        <w:sectPr w:rsidR="00C253A8">
          <w:footerReference w:type="default" r:id="rId7"/>
          <w:type w:val="continuous"/>
          <w:pgSz w:w="11910" w:h="16840"/>
          <w:pgMar w:top="1920" w:right="1417" w:bottom="1320" w:left="1417" w:header="0" w:footer="1122" w:gutter="0"/>
          <w:pgNumType w:start="1"/>
          <w:cols w:space="720"/>
        </w:sectPr>
      </w:pPr>
    </w:p>
    <w:p w14:paraId="289D37AF" w14:textId="77777777" w:rsidR="00C253A8" w:rsidRDefault="00D407E4">
      <w:pPr>
        <w:pStyle w:val="Heading1"/>
        <w:numPr>
          <w:ilvl w:val="0"/>
          <w:numId w:val="1"/>
        </w:numPr>
        <w:tabs>
          <w:tab w:val="left" w:pos="453"/>
        </w:tabs>
        <w:spacing w:before="60" w:line="276" w:lineRule="auto"/>
        <w:ind w:left="23" w:right="27" w:firstLine="0"/>
        <w:jc w:val="both"/>
      </w:pPr>
      <w:r>
        <w:lastRenderedPageBreak/>
        <w:t>VLERËSIMI I PROJEKTAKTIT NË RAPORT ME PROGRAMIN POLITIK TË KËSHILLIT TË MINISTRAVE, ME PROGRAMIN ANALITIK TË AKTEVE DHE DOKUMENTE TË TJERA POLITIKE</w:t>
      </w:r>
    </w:p>
    <w:p w14:paraId="326E026D" w14:textId="77777777" w:rsidR="00C253A8" w:rsidRDefault="00C253A8">
      <w:pPr>
        <w:pStyle w:val="BodyText"/>
        <w:spacing w:before="42"/>
        <w:ind w:left="0"/>
        <w:jc w:val="left"/>
        <w:rPr>
          <w:b/>
        </w:rPr>
      </w:pPr>
    </w:p>
    <w:p w14:paraId="415FDEDF" w14:textId="77777777" w:rsidR="00C253A8" w:rsidRDefault="00D407E4">
      <w:pPr>
        <w:pStyle w:val="BodyText"/>
        <w:spacing w:line="276" w:lineRule="auto"/>
        <w:ind w:right="22"/>
      </w:pPr>
      <w:r>
        <w:t>Projektvendimi është parashikuar në katërmujorin e tretë të programit të përgjithshëm</w:t>
      </w:r>
      <w:r>
        <w:rPr>
          <w:spacing w:val="-4"/>
        </w:rPr>
        <w:t xml:space="preserve"> </w:t>
      </w:r>
      <w:r>
        <w:t>analitik të projektakteve për Ministrinë e Bujqësisë dhe Zhvillimit Rural dhe lidhet ngushtë me programin politik të Këshillit të Ministrave, i cili</w:t>
      </w:r>
      <w:r>
        <w:rPr>
          <w:spacing w:val="40"/>
        </w:rPr>
        <w:t xml:space="preserve"> </w:t>
      </w:r>
      <w:r>
        <w:t>ka vendosur si prioritet zhvillimin e qëndrueshëm të sektorit të bujqësisë, peshkimit dhe akuakulturës.</w:t>
      </w:r>
    </w:p>
    <w:p w14:paraId="15F5F199" w14:textId="77777777" w:rsidR="00C253A8" w:rsidRDefault="00D407E4">
      <w:pPr>
        <w:pStyle w:val="BodyText"/>
        <w:spacing w:before="2" w:line="276" w:lineRule="auto"/>
        <w:ind w:right="25"/>
      </w:pPr>
      <w:r>
        <w:t>Ky projektvendim është në harmoni me Strategjinë Ndërsektoriale për Bujqësinë, Zhvillimin Rural dhe Peshkimin 2021–2027, si dhe me Strategjinë Kombëtare për Zhvillim</w:t>
      </w:r>
      <w:r>
        <w:rPr>
          <w:spacing w:val="-4"/>
        </w:rPr>
        <w:t xml:space="preserve"> </w:t>
      </w:r>
      <w:r>
        <w:t>dhe Integrim</w:t>
      </w:r>
      <w:r>
        <w:rPr>
          <w:spacing w:val="-4"/>
        </w:rPr>
        <w:t xml:space="preserve"> </w:t>
      </w:r>
      <w:r>
        <w:t>2022–2030, të cilat theksojnë nevojën</w:t>
      </w:r>
      <w:r>
        <w:rPr>
          <w:spacing w:val="-4"/>
        </w:rPr>
        <w:t xml:space="preserve"> </w:t>
      </w:r>
      <w:r>
        <w:t xml:space="preserve">për formalizimin e tregut, mbrojtjen e konsumatorit dhe përafrimin me standardet </w:t>
      </w:r>
      <w:r>
        <w:rPr>
          <w:spacing w:val="-2"/>
        </w:rPr>
        <w:t>europiane.</w:t>
      </w:r>
    </w:p>
    <w:p w14:paraId="1742333B" w14:textId="77777777" w:rsidR="00C253A8" w:rsidRDefault="00C253A8">
      <w:pPr>
        <w:pStyle w:val="BodyText"/>
        <w:spacing w:before="54"/>
        <w:ind w:left="0"/>
        <w:jc w:val="left"/>
      </w:pPr>
    </w:p>
    <w:p w14:paraId="61B41E32" w14:textId="77777777" w:rsidR="00C253A8" w:rsidRDefault="00D407E4">
      <w:pPr>
        <w:pStyle w:val="Heading1"/>
        <w:numPr>
          <w:ilvl w:val="0"/>
          <w:numId w:val="1"/>
        </w:numPr>
        <w:tabs>
          <w:tab w:val="left" w:pos="514"/>
        </w:tabs>
        <w:spacing w:line="276" w:lineRule="auto"/>
        <w:ind w:left="23" w:right="30" w:firstLine="0"/>
        <w:jc w:val="both"/>
      </w:pPr>
      <w:r>
        <w:t>ARGUMENTIMI I PROJEKTAKTIT LIDHUR ME PËRPARËSITË, PROBLEMATIKAT, EFEKTET E PRITSHME</w:t>
      </w:r>
    </w:p>
    <w:p w14:paraId="55F7541B" w14:textId="77777777" w:rsidR="00C253A8" w:rsidRDefault="00C253A8">
      <w:pPr>
        <w:pStyle w:val="BodyText"/>
        <w:spacing w:before="42"/>
        <w:ind w:left="0"/>
        <w:jc w:val="left"/>
        <w:rPr>
          <w:b/>
        </w:rPr>
      </w:pPr>
    </w:p>
    <w:p w14:paraId="0C6277E3" w14:textId="77777777" w:rsidR="00C253A8" w:rsidRDefault="00D407E4">
      <w:pPr>
        <w:pStyle w:val="BodyText"/>
        <w:spacing w:line="278" w:lineRule="auto"/>
        <w:ind w:right="28"/>
      </w:pPr>
      <w:r>
        <w:t>Miratimi i këtij projektakti sjell një sërë përparësish të prekshme për sektorin e peshkimit dhe akuakulturës në Shqipëri.</w:t>
      </w:r>
    </w:p>
    <w:p w14:paraId="389DFE68" w14:textId="77777777" w:rsidR="00C253A8" w:rsidRDefault="00D407E4">
      <w:pPr>
        <w:pStyle w:val="BodyText"/>
        <w:spacing w:line="276" w:lineRule="auto"/>
        <w:ind w:right="26"/>
      </w:pPr>
      <w:r>
        <w:t>Së pari, ai krijon një mekanizëm të qartë për funksionimin e tregut, duke vendosur rregulla të harmonizuara me standardet e Bashkimit Europian dhe duke rritur besueshmërinë e produkteve shqiptare të peshkimit dhe akuakulturës në tregjet ndërkombëtare. Zbatimi i standardeve të tregtimit dhe vendosja e detyrimit për transparencë në etiketim</w:t>
      </w:r>
      <w:r>
        <w:rPr>
          <w:spacing w:val="-1"/>
        </w:rPr>
        <w:t xml:space="preserve"> </w:t>
      </w:r>
      <w:r>
        <w:t>forcon besimin e konsumatorëve dhe hap mundësi më të gjera. Gjithashtu, projektakti forcon pozicionin e organizatave të prodhuesve, të cilat do të kenë rol më aktiv në menaxhimin e ofertës, mbrojtjen e interesave të anëtarëve dhe stabilizimin e çmimeve në treg.</w:t>
      </w:r>
    </w:p>
    <w:p w14:paraId="2035A570" w14:textId="77777777" w:rsidR="00C253A8" w:rsidRDefault="00D407E4">
      <w:pPr>
        <w:pStyle w:val="BodyText"/>
        <w:spacing w:line="276" w:lineRule="auto"/>
        <w:ind w:right="28"/>
      </w:pPr>
      <w:r>
        <w:t>Nga</w:t>
      </w:r>
      <w:r>
        <w:rPr>
          <w:spacing w:val="-3"/>
        </w:rPr>
        <w:t xml:space="preserve"> </w:t>
      </w:r>
      <w:r>
        <w:t>ana</w:t>
      </w:r>
      <w:r>
        <w:rPr>
          <w:spacing w:val="-3"/>
        </w:rPr>
        <w:t xml:space="preserve"> </w:t>
      </w:r>
      <w:r>
        <w:t>tjetër,</w:t>
      </w:r>
      <w:r>
        <w:rPr>
          <w:spacing w:val="-1"/>
        </w:rPr>
        <w:t xml:space="preserve"> </w:t>
      </w:r>
      <w:r>
        <w:t>problematikat</w:t>
      </w:r>
      <w:r>
        <w:rPr>
          <w:spacing w:val="-4"/>
        </w:rPr>
        <w:t xml:space="preserve"> </w:t>
      </w:r>
      <w:r>
        <w:t>e</w:t>
      </w:r>
      <w:r>
        <w:rPr>
          <w:spacing w:val="-3"/>
        </w:rPr>
        <w:t xml:space="preserve"> </w:t>
      </w:r>
      <w:r>
        <w:t>evidentuara lidhen me nivelin</w:t>
      </w:r>
      <w:r>
        <w:rPr>
          <w:spacing w:val="-8"/>
        </w:rPr>
        <w:t xml:space="preserve"> </w:t>
      </w:r>
      <w:r>
        <w:t>ende</w:t>
      </w:r>
      <w:r>
        <w:rPr>
          <w:spacing w:val="-3"/>
        </w:rPr>
        <w:t xml:space="preserve"> </w:t>
      </w:r>
      <w:r>
        <w:t>të</w:t>
      </w:r>
      <w:r>
        <w:rPr>
          <w:spacing w:val="-3"/>
        </w:rPr>
        <w:t xml:space="preserve"> </w:t>
      </w:r>
      <w:r>
        <w:t>kufizuar</w:t>
      </w:r>
      <w:r>
        <w:rPr>
          <w:spacing w:val="-5"/>
        </w:rPr>
        <w:t xml:space="preserve"> </w:t>
      </w:r>
      <w:r>
        <w:t>të organizimit të prodhuesve, mungesën e strukturave të konsoliduara për mbledhjen dhe shpërndarjen e të dhënave mbi tregun, si dhe nevojën për kapacitete të shtuara administrative për monitorimin e zbatimit të rregullave. Zbatimi i plotë i kërkesave të Rregullores kërkon gjithashtu investime në infrastrukturë, sisteme të gjurmueshmërisë dhe fushata sensibilizuese për</w:t>
      </w:r>
      <w:r>
        <w:rPr>
          <w:spacing w:val="40"/>
        </w:rPr>
        <w:t xml:space="preserve"> </w:t>
      </w:r>
      <w:r>
        <w:t>aktorët e zinxhirit të vlerës.</w:t>
      </w:r>
    </w:p>
    <w:p w14:paraId="4518825E" w14:textId="77777777" w:rsidR="00C253A8" w:rsidRDefault="00D407E4">
      <w:pPr>
        <w:pStyle w:val="BodyText"/>
        <w:spacing w:line="276" w:lineRule="auto"/>
        <w:ind w:right="29"/>
      </w:pPr>
      <w:r>
        <w:t>Efektet e pritshme të këtij projektakti janë pozitive dhe afatgjata. Në planin ekonomik, pritet rritja e të ardhurave për prodhuesit dhe përpunuesit përmes fuqizimit të rolit të tyre në treg dhe rritjes së konkurrueshmërisë së produkteve</w:t>
      </w:r>
    </w:p>
    <w:p w14:paraId="584E3154" w14:textId="77777777" w:rsidR="00C253A8" w:rsidRDefault="00C253A8">
      <w:pPr>
        <w:pStyle w:val="BodyText"/>
        <w:spacing w:line="276" w:lineRule="auto"/>
        <w:sectPr w:rsidR="00C253A8">
          <w:pgSz w:w="11910" w:h="16840"/>
          <w:pgMar w:top="1100" w:right="1417" w:bottom="1320" w:left="1417" w:header="0" w:footer="1122" w:gutter="0"/>
          <w:cols w:space="720"/>
        </w:sectPr>
      </w:pPr>
    </w:p>
    <w:p w14:paraId="4AC753E8" w14:textId="77777777" w:rsidR="00C253A8" w:rsidRDefault="00D407E4">
      <w:pPr>
        <w:pStyle w:val="BodyText"/>
        <w:spacing w:before="66" w:line="276" w:lineRule="auto"/>
        <w:ind w:right="24"/>
      </w:pPr>
      <w:r>
        <w:lastRenderedPageBreak/>
        <w:t>shqiptare. Në planin mjedisor, orientimi drejt prodhimit të qëndrueshëm dhe përdorimit të praktikave miqësore me burimet natyrore garanton mbrojtjen e ekosistemeve dhe siguron</w:t>
      </w:r>
      <w:r>
        <w:rPr>
          <w:spacing w:val="-4"/>
        </w:rPr>
        <w:t xml:space="preserve"> </w:t>
      </w:r>
      <w:r>
        <w:t>bazën</w:t>
      </w:r>
      <w:r>
        <w:rPr>
          <w:spacing w:val="-4"/>
        </w:rPr>
        <w:t xml:space="preserve"> </w:t>
      </w:r>
      <w:r>
        <w:t>për zhvillim</w:t>
      </w:r>
      <w:r>
        <w:rPr>
          <w:spacing w:val="-4"/>
        </w:rPr>
        <w:t xml:space="preserve"> </w:t>
      </w:r>
      <w:r>
        <w:t>të qëndrueshëm</w:t>
      </w:r>
      <w:r>
        <w:rPr>
          <w:spacing w:val="-4"/>
        </w:rPr>
        <w:t xml:space="preserve"> </w:t>
      </w:r>
      <w:r>
        <w:t>të sektorit. Për më tepër, miratimi i këtij akti do të shërbejë si një hap i rëndësishëm në përmbushjen e detyrimeve të Shqipërisë ndaj Bashkimit Europian, duke afruar vendin me standardet e tregut të brendshëm dhe duke krijuar kushte më të favorshme për integrimin europian të sektorit të peshkimit dhe akuakulturës.</w:t>
      </w:r>
    </w:p>
    <w:p w14:paraId="5BEAD6CD" w14:textId="77777777" w:rsidR="00C253A8" w:rsidRDefault="00C253A8">
      <w:pPr>
        <w:pStyle w:val="BodyText"/>
        <w:spacing w:before="53"/>
        <w:ind w:left="0"/>
        <w:jc w:val="left"/>
      </w:pPr>
    </w:p>
    <w:p w14:paraId="5B3F6969" w14:textId="77777777" w:rsidR="00C253A8" w:rsidRDefault="00D407E4">
      <w:pPr>
        <w:pStyle w:val="Heading1"/>
        <w:numPr>
          <w:ilvl w:val="0"/>
          <w:numId w:val="1"/>
        </w:numPr>
        <w:tabs>
          <w:tab w:val="left" w:pos="588"/>
        </w:tabs>
        <w:spacing w:line="276" w:lineRule="auto"/>
        <w:ind w:left="23" w:right="28" w:firstLine="0"/>
        <w:jc w:val="both"/>
      </w:pPr>
      <w:r>
        <w:t xml:space="preserve">VLERËSIMI I LIGJSHMËRISË, KUSHTETUTSHMËRISË DHE HARMONIZIMI ME LEGJISLACIONIN NË FUQI VENDAS E </w:t>
      </w:r>
      <w:r>
        <w:rPr>
          <w:spacing w:val="-2"/>
        </w:rPr>
        <w:t>NDËRKOMBËTAR</w:t>
      </w:r>
    </w:p>
    <w:p w14:paraId="2ABBD369" w14:textId="77777777" w:rsidR="00C253A8" w:rsidRDefault="00C253A8">
      <w:pPr>
        <w:pStyle w:val="BodyText"/>
        <w:spacing w:before="41"/>
        <w:ind w:left="0"/>
        <w:jc w:val="left"/>
        <w:rPr>
          <w:b/>
        </w:rPr>
      </w:pPr>
    </w:p>
    <w:p w14:paraId="02AA3D10" w14:textId="77777777" w:rsidR="00C253A8" w:rsidRDefault="00D407E4">
      <w:pPr>
        <w:pStyle w:val="BodyText"/>
        <w:spacing w:line="278" w:lineRule="auto"/>
        <w:ind w:right="22"/>
      </w:pPr>
      <w:r>
        <w:t>Projektvendimi është hartuar në përputhje me nenin 100 të Kushtetutës së Republikës së Shqipërisë, si</w:t>
      </w:r>
      <w:r>
        <w:rPr>
          <w:spacing w:val="-4"/>
        </w:rPr>
        <w:t xml:space="preserve"> </w:t>
      </w:r>
      <w:r>
        <w:t>dhe në zbatim</w:t>
      </w:r>
      <w:r>
        <w:rPr>
          <w:spacing w:val="-5"/>
        </w:rPr>
        <w:t xml:space="preserve"> </w:t>
      </w:r>
      <w:r>
        <w:t>të pikës 2/1 të nenit</w:t>
      </w:r>
      <w:r>
        <w:rPr>
          <w:spacing w:val="-1"/>
        </w:rPr>
        <w:t xml:space="preserve"> </w:t>
      </w:r>
      <w:r>
        <w:t>61/1 dhe pikës 4 të nenit 109, të ligjit nr. 64/2012 “Për peshkimin”, të ndryshuar.</w:t>
      </w:r>
    </w:p>
    <w:p w14:paraId="57F54117" w14:textId="77777777" w:rsidR="00C253A8" w:rsidRDefault="00C253A8">
      <w:pPr>
        <w:pStyle w:val="BodyText"/>
        <w:spacing w:before="46"/>
        <w:ind w:left="0"/>
        <w:jc w:val="left"/>
      </w:pPr>
    </w:p>
    <w:p w14:paraId="76CEE4A0" w14:textId="77777777" w:rsidR="00C253A8" w:rsidRDefault="00D407E4">
      <w:pPr>
        <w:pStyle w:val="Heading1"/>
        <w:numPr>
          <w:ilvl w:val="0"/>
          <w:numId w:val="1"/>
        </w:numPr>
        <w:tabs>
          <w:tab w:val="left" w:pos="391"/>
        </w:tabs>
        <w:spacing w:line="276" w:lineRule="auto"/>
        <w:ind w:left="23" w:right="22" w:firstLine="0"/>
        <w:jc w:val="both"/>
      </w:pPr>
      <w:r>
        <w:t>VLERËSIMI I SHKALLËS SË PËRAFRIMIT ME ACQUIS E BE-SË (PËR PROJEKTAKTET NORMATIVE)</w:t>
      </w:r>
    </w:p>
    <w:p w14:paraId="7A25B3B9" w14:textId="77777777" w:rsidR="00C253A8" w:rsidRDefault="00C253A8">
      <w:pPr>
        <w:pStyle w:val="BodyText"/>
        <w:spacing w:before="42"/>
        <w:ind w:left="0"/>
        <w:jc w:val="left"/>
        <w:rPr>
          <w:b/>
        </w:rPr>
      </w:pPr>
    </w:p>
    <w:p w14:paraId="136CCC1A" w14:textId="77777777" w:rsidR="00C253A8" w:rsidRDefault="00D407E4">
      <w:pPr>
        <w:pStyle w:val="BodyText"/>
        <w:spacing w:line="278" w:lineRule="auto"/>
        <w:ind w:right="34"/>
      </w:pPr>
      <w:r>
        <w:t>Ky projektvendim siguron përafrimin e pjesshëm të legjislacionit kombëtar me acquis të Bashkimit Europian, në veçanti me:</w:t>
      </w:r>
    </w:p>
    <w:p w14:paraId="4FDEB9B7" w14:textId="77777777" w:rsidR="00C253A8" w:rsidRDefault="00D407E4">
      <w:pPr>
        <w:pStyle w:val="ListParagraph"/>
        <w:numPr>
          <w:ilvl w:val="1"/>
          <w:numId w:val="1"/>
        </w:numPr>
        <w:tabs>
          <w:tab w:val="left" w:pos="190"/>
        </w:tabs>
        <w:spacing w:before="117"/>
        <w:ind w:left="190" w:right="0" w:hanging="167"/>
        <w:rPr>
          <w:sz w:val="28"/>
        </w:rPr>
      </w:pPr>
      <w:r>
        <w:rPr>
          <w:sz w:val="28"/>
        </w:rPr>
        <w:t>Rregulloren</w:t>
      </w:r>
      <w:r>
        <w:rPr>
          <w:spacing w:val="-5"/>
          <w:sz w:val="28"/>
        </w:rPr>
        <w:t xml:space="preserve"> </w:t>
      </w:r>
      <w:r>
        <w:rPr>
          <w:sz w:val="28"/>
        </w:rPr>
        <w:t>(BE)</w:t>
      </w:r>
      <w:r>
        <w:rPr>
          <w:spacing w:val="4"/>
          <w:sz w:val="28"/>
        </w:rPr>
        <w:t xml:space="preserve"> </w:t>
      </w:r>
      <w:r>
        <w:rPr>
          <w:sz w:val="28"/>
        </w:rPr>
        <w:t>nr.</w:t>
      </w:r>
      <w:r>
        <w:rPr>
          <w:spacing w:val="2"/>
          <w:sz w:val="28"/>
        </w:rPr>
        <w:t xml:space="preserve"> </w:t>
      </w:r>
      <w:r>
        <w:rPr>
          <w:sz w:val="28"/>
        </w:rPr>
        <w:t>1379/2013</w:t>
      </w:r>
      <w:r>
        <w:rPr>
          <w:spacing w:val="5"/>
          <w:sz w:val="28"/>
        </w:rPr>
        <w:t xml:space="preserve"> </w:t>
      </w:r>
      <w:r>
        <w:rPr>
          <w:sz w:val="28"/>
        </w:rPr>
        <w:t>e</w:t>
      </w:r>
      <w:r>
        <w:rPr>
          <w:spacing w:val="1"/>
          <w:sz w:val="28"/>
        </w:rPr>
        <w:t xml:space="preserve"> </w:t>
      </w:r>
      <w:r>
        <w:rPr>
          <w:sz w:val="28"/>
        </w:rPr>
        <w:t>Parlamentit Evropian</w:t>
      </w:r>
      <w:r>
        <w:rPr>
          <w:spacing w:val="-4"/>
          <w:sz w:val="28"/>
        </w:rPr>
        <w:t xml:space="preserve"> </w:t>
      </w:r>
      <w:r>
        <w:rPr>
          <w:sz w:val="28"/>
        </w:rPr>
        <w:t>dhe</w:t>
      </w:r>
      <w:r>
        <w:rPr>
          <w:spacing w:val="1"/>
          <w:sz w:val="28"/>
        </w:rPr>
        <w:t xml:space="preserve"> </w:t>
      </w:r>
      <w:r>
        <w:rPr>
          <w:sz w:val="28"/>
        </w:rPr>
        <w:t>e</w:t>
      </w:r>
      <w:r>
        <w:rPr>
          <w:spacing w:val="1"/>
          <w:sz w:val="28"/>
        </w:rPr>
        <w:t xml:space="preserve"> </w:t>
      </w:r>
      <w:r>
        <w:rPr>
          <w:sz w:val="28"/>
        </w:rPr>
        <w:t>Këshillit</w:t>
      </w:r>
      <w:r>
        <w:rPr>
          <w:spacing w:val="1"/>
          <w:sz w:val="28"/>
        </w:rPr>
        <w:t xml:space="preserve"> </w:t>
      </w:r>
      <w:r>
        <w:rPr>
          <w:sz w:val="28"/>
        </w:rPr>
        <w:t>e</w:t>
      </w:r>
      <w:r>
        <w:rPr>
          <w:spacing w:val="1"/>
          <w:sz w:val="28"/>
        </w:rPr>
        <w:t xml:space="preserve"> </w:t>
      </w:r>
      <w:r>
        <w:rPr>
          <w:spacing w:val="-2"/>
          <w:sz w:val="28"/>
        </w:rPr>
        <w:t>datës</w:t>
      </w:r>
    </w:p>
    <w:p w14:paraId="2E878B21" w14:textId="77777777" w:rsidR="00C253A8" w:rsidRDefault="00D407E4">
      <w:pPr>
        <w:pStyle w:val="BodyText"/>
        <w:spacing w:before="48" w:line="276" w:lineRule="auto"/>
        <w:ind w:right="29"/>
      </w:pPr>
      <w:r>
        <w:t>11 dhjetor 2013 Mbi organizimin e përbashkët të tregjeve në produktet e peshkimit dhe të akuakulturës, për ndryshimin e Rregulloreve të Këshillit (KE) nr. 1184/2006 dhe (KE) nr. 1224/2009 dhe për shfuqizimin e Rregullores së Këshillit (KE) nr. 104/2000, dhe me</w:t>
      </w:r>
    </w:p>
    <w:p w14:paraId="20F14F2D" w14:textId="77777777" w:rsidR="00C253A8" w:rsidRDefault="00D407E4">
      <w:pPr>
        <w:pStyle w:val="ListParagraph"/>
        <w:numPr>
          <w:ilvl w:val="1"/>
          <w:numId w:val="1"/>
        </w:numPr>
        <w:tabs>
          <w:tab w:val="left" w:pos="243"/>
        </w:tabs>
        <w:spacing w:before="118" w:line="276" w:lineRule="auto"/>
        <w:ind w:firstLine="0"/>
        <w:rPr>
          <w:sz w:val="28"/>
        </w:rPr>
      </w:pPr>
      <w:r>
        <w:rPr>
          <w:sz w:val="28"/>
        </w:rPr>
        <w:t>Rregulloren Nr. 1418/2013 e Komisionit, datë 17 dhjetor 2013, lidhur me planet e prodhimit dhe të marketingut, në përputhje me Rregulloren (BE) Nr. 1379/2013 të Parlamentit Evropian dhe të Këshillit, mbi organizimin e përbashkët të tregjeve në produktet e peshkimit dhe të akuakulturës.</w:t>
      </w:r>
    </w:p>
    <w:p w14:paraId="6477312F" w14:textId="77777777" w:rsidR="00C253A8" w:rsidRDefault="00D407E4">
      <w:pPr>
        <w:pStyle w:val="BodyText"/>
        <w:spacing w:before="122" w:line="276" w:lineRule="auto"/>
        <w:ind w:right="24"/>
      </w:pPr>
      <w:r>
        <w:t>Nëpërmjet këtij transpozimi, Shqipëria përmbush detyrimin për përafrim</w:t>
      </w:r>
      <w:r>
        <w:rPr>
          <w:spacing w:val="40"/>
        </w:rPr>
        <w:t xml:space="preserve"> </w:t>
      </w:r>
      <w:r>
        <w:t>gradual me legjislacionin e Bashkimit Europian dhe krijon bazën për funksionimin e një tregu konkurrues, transparent dhe të integruar.</w:t>
      </w:r>
    </w:p>
    <w:p w14:paraId="4BA6CEFC" w14:textId="77777777" w:rsidR="00C253A8" w:rsidRDefault="00C253A8">
      <w:pPr>
        <w:pStyle w:val="BodyText"/>
        <w:ind w:left="0"/>
        <w:jc w:val="left"/>
      </w:pPr>
    </w:p>
    <w:p w14:paraId="595F7D80" w14:textId="77777777" w:rsidR="00C253A8" w:rsidRDefault="00C253A8">
      <w:pPr>
        <w:pStyle w:val="BodyText"/>
        <w:ind w:left="0"/>
        <w:jc w:val="left"/>
      </w:pPr>
    </w:p>
    <w:p w14:paraId="3F5E7D2E" w14:textId="77777777" w:rsidR="00C253A8" w:rsidRDefault="00C253A8">
      <w:pPr>
        <w:pStyle w:val="BodyText"/>
        <w:spacing w:before="22"/>
        <w:ind w:left="0"/>
        <w:jc w:val="left"/>
      </w:pPr>
    </w:p>
    <w:p w14:paraId="26F513D8" w14:textId="77777777" w:rsidR="00C253A8" w:rsidRDefault="00D407E4">
      <w:pPr>
        <w:pStyle w:val="Heading1"/>
        <w:numPr>
          <w:ilvl w:val="0"/>
          <w:numId w:val="1"/>
        </w:numPr>
        <w:tabs>
          <w:tab w:val="left" w:pos="833"/>
        </w:tabs>
        <w:spacing w:line="276" w:lineRule="auto"/>
        <w:ind w:left="23" w:right="24" w:firstLine="0"/>
        <w:jc w:val="both"/>
      </w:pPr>
      <w:r>
        <w:t xml:space="preserve">PËRMBLEDHJE SHPJEGUESE E PËRMBAJTJES SË </w:t>
      </w:r>
      <w:r>
        <w:rPr>
          <w:spacing w:val="-2"/>
        </w:rPr>
        <w:t>PROJEKTAKTIT</w:t>
      </w:r>
    </w:p>
    <w:p w14:paraId="23071FE9" w14:textId="77777777" w:rsidR="00C253A8" w:rsidRDefault="00C253A8">
      <w:pPr>
        <w:pStyle w:val="Heading1"/>
        <w:spacing w:line="276" w:lineRule="auto"/>
        <w:sectPr w:rsidR="00C253A8">
          <w:pgSz w:w="11910" w:h="16840"/>
          <w:pgMar w:top="720" w:right="1417" w:bottom="1320" w:left="1417" w:header="0" w:footer="1122" w:gutter="0"/>
          <w:cols w:space="720"/>
        </w:sectPr>
      </w:pPr>
    </w:p>
    <w:p w14:paraId="635FEA56" w14:textId="77777777" w:rsidR="00C253A8" w:rsidRDefault="00D407E4">
      <w:pPr>
        <w:pStyle w:val="BodyText"/>
        <w:spacing w:before="75"/>
      </w:pPr>
      <w:r>
        <w:lastRenderedPageBreak/>
        <w:t>Projektvendimi</w:t>
      </w:r>
      <w:r>
        <w:rPr>
          <w:spacing w:val="-11"/>
        </w:rPr>
        <w:t xml:space="preserve"> </w:t>
      </w:r>
      <w:r>
        <w:t>përbëhet</w:t>
      </w:r>
      <w:r>
        <w:rPr>
          <w:spacing w:val="-1"/>
        </w:rPr>
        <w:t xml:space="preserve"> </w:t>
      </w:r>
      <w:r>
        <w:t>nga</w:t>
      </w:r>
      <w:r>
        <w:rPr>
          <w:spacing w:val="-3"/>
        </w:rPr>
        <w:t xml:space="preserve"> </w:t>
      </w:r>
      <w:r>
        <w:t>7</w:t>
      </w:r>
      <w:r>
        <w:rPr>
          <w:spacing w:val="-6"/>
        </w:rPr>
        <w:t xml:space="preserve"> </w:t>
      </w:r>
      <w:r>
        <w:t>(shtatë)</w:t>
      </w:r>
      <w:r>
        <w:rPr>
          <w:spacing w:val="-6"/>
        </w:rPr>
        <w:t xml:space="preserve"> </w:t>
      </w:r>
      <w:r>
        <w:t>krerë</w:t>
      </w:r>
      <w:r>
        <w:rPr>
          <w:spacing w:val="-4"/>
        </w:rPr>
        <w:t xml:space="preserve"> </w:t>
      </w:r>
      <w:r>
        <w:t>dhe</w:t>
      </w:r>
      <w:r>
        <w:rPr>
          <w:spacing w:val="-5"/>
        </w:rPr>
        <w:t xml:space="preserve"> </w:t>
      </w:r>
      <w:r>
        <w:t>35</w:t>
      </w:r>
      <w:r>
        <w:rPr>
          <w:spacing w:val="-6"/>
        </w:rPr>
        <w:t xml:space="preserve"> </w:t>
      </w:r>
      <w:r>
        <w:rPr>
          <w:spacing w:val="-2"/>
        </w:rPr>
        <w:t>nene.</w:t>
      </w:r>
    </w:p>
    <w:p w14:paraId="71ADC406" w14:textId="77777777" w:rsidR="00C253A8" w:rsidRDefault="00C253A8">
      <w:pPr>
        <w:pStyle w:val="BodyText"/>
        <w:spacing w:before="100"/>
        <w:ind w:left="0"/>
        <w:jc w:val="left"/>
      </w:pPr>
    </w:p>
    <w:p w14:paraId="324611C4" w14:textId="77777777" w:rsidR="00C253A8" w:rsidRDefault="00D407E4">
      <w:pPr>
        <w:pStyle w:val="Heading2"/>
        <w:spacing w:before="1"/>
      </w:pPr>
      <w:r>
        <w:t>KREU</w:t>
      </w:r>
      <w:r>
        <w:rPr>
          <w:spacing w:val="-5"/>
        </w:rPr>
        <w:t xml:space="preserve"> </w:t>
      </w:r>
      <w:r>
        <w:t>I</w:t>
      </w:r>
      <w:r>
        <w:rPr>
          <w:spacing w:val="-2"/>
        </w:rPr>
        <w:t xml:space="preserve"> </w:t>
      </w:r>
      <w:r>
        <w:t>–</w:t>
      </w:r>
      <w:r>
        <w:rPr>
          <w:spacing w:val="-4"/>
        </w:rPr>
        <w:t xml:space="preserve"> </w:t>
      </w:r>
      <w:r>
        <w:t>Dispozita</w:t>
      </w:r>
      <w:r>
        <w:rPr>
          <w:spacing w:val="-6"/>
        </w:rPr>
        <w:t xml:space="preserve"> </w:t>
      </w:r>
      <w:r>
        <w:t>të</w:t>
      </w:r>
      <w:r>
        <w:rPr>
          <w:spacing w:val="-4"/>
        </w:rPr>
        <w:t xml:space="preserve"> </w:t>
      </w:r>
      <w:r>
        <w:rPr>
          <w:spacing w:val="-2"/>
        </w:rPr>
        <w:t>përgjithshme</w:t>
      </w:r>
    </w:p>
    <w:p w14:paraId="45246225" w14:textId="77777777" w:rsidR="00C253A8" w:rsidRDefault="00D407E4">
      <w:pPr>
        <w:pStyle w:val="BodyText"/>
        <w:spacing w:before="43" w:line="276" w:lineRule="auto"/>
        <w:ind w:right="23"/>
      </w:pPr>
      <w:r>
        <w:t xml:space="preserve">Ky kre i parë përcakton qëllimin e projektvendimit, i cili është organizimi dhe funksionimi i tregut të produkteve të peshkimit dhe akuakulturës, si dhe përcaktimi i formës dhe përmbajtjes së planeve të prodhimit dhe marketingut. Përfshihen objektivat kryesore, si konkurrueshmëria, transparenca, informimi i konsumatorit, shpërndarja e drejtë e vlerës në zinxhirin e furnizimit dhe garantimi i një furnizimi të larmishëm e të qëndrueshëm me produkte. Gjithashtu vendosen parimet themelore të qeverisjes së mirë </w:t>
      </w:r>
      <w:r>
        <w:t>dhe përkufizimet e termave kryesorë.</w:t>
      </w:r>
    </w:p>
    <w:p w14:paraId="1FD60C65" w14:textId="77777777" w:rsidR="00C253A8" w:rsidRDefault="00C253A8">
      <w:pPr>
        <w:pStyle w:val="BodyText"/>
        <w:spacing w:before="57"/>
        <w:ind w:left="0"/>
        <w:jc w:val="left"/>
      </w:pPr>
    </w:p>
    <w:p w14:paraId="71A64831" w14:textId="77777777" w:rsidR="00C253A8" w:rsidRDefault="00D407E4">
      <w:pPr>
        <w:pStyle w:val="Heading2"/>
        <w:spacing w:before="1"/>
      </w:pPr>
      <w:r>
        <w:t>KREU</w:t>
      </w:r>
      <w:r>
        <w:rPr>
          <w:spacing w:val="-6"/>
        </w:rPr>
        <w:t xml:space="preserve"> </w:t>
      </w:r>
      <w:r>
        <w:t>II</w:t>
      </w:r>
      <w:r>
        <w:rPr>
          <w:spacing w:val="-3"/>
        </w:rPr>
        <w:t xml:space="preserve"> </w:t>
      </w:r>
      <w:r>
        <w:t>–</w:t>
      </w:r>
      <w:r>
        <w:rPr>
          <w:spacing w:val="-6"/>
        </w:rPr>
        <w:t xml:space="preserve"> </w:t>
      </w:r>
      <w:r>
        <w:t>Organizimi</w:t>
      </w:r>
      <w:r>
        <w:rPr>
          <w:spacing w:val="-6"/>
        </w:rPr>
        <w:t xml:space="preserve"> </w:t>
      </w:r>
      <w:r>
        <w:t>dhe</w:t>
      </w:r>
      <w:r>
        <w:rPr>
          <w:spacing w:val="-6"/>
        </w:rPr>
        <w:t xml:space="preserve"> </w:t>
      </w:r>
      <w:r>
        <w:t>funksionimi</w:t>
      </w:r>
      <w:r>
        <w:rPr>
          <w:spacing w:val="-6"/>
        </w:rPr>
        <w:t xml:space="preserve"> </w:t>
      </w:r>
      <w:r>
        <w:t>i</w:t>
      </w:r>
      <w:r>
        <w:rPr>
          <w:spacing w:val="-3"/>
        </w:rPr>
        <w:t xml:space="preserve"> </w:t>
      </w:r>
      <w:r>
        <w:rPr>
          <w:spacing w:val="-2"/>
        </w:rPr>
        <w:t>organizatave</w:t>
      </w:r>
    </w:p>
    <w:p w14:paraId="132C8746" w14:textId="77777777" w:rsidR="00C253A8" w:rsidRDefault="00D407E4">
      <w:pPr>
        <w:pStyle w:val="BodyText"/>
        <w:spacing w:before="42" w:line="276" w:lineRule="auto"/>
        <w:ind w:right="21"/>
      </w:pPr>
      <w:r>
        <w:t>Ky kre trajton krijimin dhe funksionimin e organizatave prodhuese dhe ndërsektoriale, si dhe shoqatave të tyre. Kreu parashikon masat që këto organizata duhet të ndërmarrin</w:t>
      </w:r>
      <w:r>
        <w:rPr>
          <w:spacing w:val="-4"/>
        </w:rPr>
        <w:t xml:space="preserve"> </w:t>
      </w:r>
      <w:r>
        <w:t>për të përshtatur prodhimin me kërkesat e tregut, për të promovuar produktet, për të mbrojtur mjedisin dhe për të inkurajuar trajnimet profesionale, si dhe për të përdorur teknologjitë e informacionit dhe komunikimit. Ky kreu përcakton rregullat e funksionimit të brendshëm të organizatave, duke siguruar përfshirjen demokratike të anëtarëve, kontributin financiar dhe respektimin</w:t>
      </w:r>
      <w:r>
        <w:rPr>
          <w:spacing w:val="-4"/>
        </w:rPr>
        <w:t xml:space="preserve"> </w:t>
      </w:r>
      <w:r>
        <w:t>e rregullave të qëndrueshmërisë dhe konkurrencës. Ai parashikon gjithashtu mundësinë që rregullat e miratuara të zbatohen edhe nda</w:t>
      </w:r>
      <w:r>
        <w:t>j subjekteve jo-anëtare, me kushtet e përcaktuara dhe në përputhje me ligjin. Procedurat për miratimin, zgjatjen apo revokimin e këtyre rregullave nga Ministria janë gjithashtu të përcaktuara, duke garantuar kontrollin dhe përgjegjësinë e organizatave dhe operatorëve për një menaxhim efikas dhe të qëndrueshëm të burimeve peshkore dhe produkteve të akuakulturës.</w:t>
      </w:r>
    </w:p>
    <w:p w14:paraId="2E4E4B7E" w14:textId="77777777" w:rsidR="00C253A8" w:rsidRDefault="00C253A8">
      <w:pPr>
        <w:pStyle w:val="BodyText"/>
        <w:spacing w:before="54"/>
        <w:ind w:left="0"/>
        <w:jc w:val="left"/>
      </w:pPr>
    </w:p>
    <w:p w14:paraId="0CB2EA0F" w14:textId="77777777" w:rsidR="00C253A8" w:rsidRDefault="00D407E4">
      <w:pPr>
        <w:pStyle w:val="BodyText"/>
        <w:spacing w:before="1" w:line="276" w:lineRule="auto"/>
        <w:ind w:right="30"/>
        <w:jc w:val="left"/>
      </w:pPr>
      <w:r>
        <w:rPr>
          <w:b/>
        </w:rPr>
        <w:t xml:space="preserve">KREU III – Plani i prodhimit dhe marketingut i organizatave prodhuese </w:t>
      </w:r>
      <w:r>
        <w:t>Ky</w:t>
      </w:r>
      <w:r>
        <w:rPr>
          <w:spacing w:val="39"/>
        </w:rPr>
        <w:t xml:space="preserve"> </w:t>
      </w:r>
      <w:r>
        <w:t>kre</w:t>
      </w:r>
      <w:r>
        <w:rPr>
          <w:spacing w:val="40"/>
        </w:rPr>
        <w:t xml:space="preserve"> </w:t>
      </w:r>
      <w:r>
        <w:t>parashikon</w:t>
      </w:r>
      <w:r>
        <w:rPr>
          <w:spacing w:val="38"/>
        </w:rPr>
        <w:t xml:space="preserve"> </w:t>
      </w:r>
      <w:r>
        <w:t>procesin</w:t>
      </w:r>
      <w:r>
        <w:rPr>
          <w:spacing w:val="38"/>
        </w:rPr>
        <w:t xml:space="preserve"> </w:t>
      </w:r>
      <w:r>
        <w:t>që</w:t>
      </w:r>
      <w:r>
        <w:rPr>
          <w:spacing w:val="40"/>
        </w:rPr>
        <w:t xml:space="preserve"> </w:t>
      </w:r>
      <w:r>
        <w:t>ndjek</w:t>
      </w:r>
      <w:r>
        <w:rPr>
          <w:spacing w:val="40"/>
        </w:rPr>
        <w:t xml:space="preserve"> </w:t>
      </w:r>
      <w:r>
        <w:t>çdo</w:t>
      </w:r>
      <w:r>
        <w:rPr>
          <w:spacing w:val="40"/>
        </w:rPr>
        <w:t xml:space="preserve"> </w:t>
      </w:r>
      <w:r>
        <w:t>organizatë</w:t>
      </w:r>
      <w:r>
        <w:rPr>
          <w:spacing w:val="40"/>
        </w:rPr>
        <w:t xml:space="preserve"> </w:t>
      </w:r>
      <w:r>
        <w:t>prodhuese</w:t>
      </w:r>
      <w:r>
        <w:rPr>
          <w:spacing w:val="40"/>
        </w:rPr>
        <w:t xml:space="preserve"> </w:t>
      </w:r>
      <w:r>
        <w:t>për</w:t>
      </w:r>
      <w:r>
        <w:rPr>
          <w:spacing w:val="40"/>
        </w:rPr>
        <w:t xml:space="preserve"> </w:t>
      </w:r>
      <w:r>
        <w:t>hartimin, miratimin dhe zbatimin e një plani të prodhimit dhe marketingut në sektorin e</w:t>
      </w:r>
      <w:r>
        <w:rPr>
          <w:spacing w:val="80"/>
        </w:rPr>
        <w:t xml:space="preserve"> </w:t>
      </w:r>
      <w:r>
        <w:t>peshkimit.</w:t>
      </w:r>
      <w:r>
        <w:rPr>
          <w:spacing w:val="34"/>
        </w:rPr>
        <w:t xml:space="preserve"> </w:t>
      </w:r>
      <w:r>
        <w:t>Organizata</w:t>
      </w:r>
      <w:r>
        <w:rPr>
          <w:spacing w:val="32"/>
        </w:rPr>
        <w:t xml:space="preserve"> </w:t>
      </w:r>
      <w:r>
        <w:t>prodhuese</w:t>
      </w:r>
      <w:r>
        <w:rPr>
          <w:spacing w:val="33"/>
        </w:rPr>
        <w:t xml:space="preserve"> </w:t>
      </w:r>
      <w:r>
        <w:t>ka</w:t>
      </w:r>
      <w:r>
        <w:rPr>
          <w:spacing w:val="33"/>
        </w:rPr>
        <w:t xml:space="preserve"> </w:t>
      </w:r>
      <w:r>
        <w:t>për</w:t>
      </w:r>
      <w:r>
        <w:rPr>
          <w:spacing w:val="32"/>
        </w:rPr>
        <w:t xml:space="preserve"> </w:t>
      </w:r>
      <w:r>
        <w:t>detyrë</w:t>
      </w:r>
      <w:r>
        <w:rPr>
          <w:spacing w:val="33"/>
        </w:rPr>
        <w:t xml:space="preserve"> </w:t>
      </w:r>
      <w:r>
        <w:t>të</w:t>
      </w:r>
      <w:r>
        <w:rPr>
          <w:spacing w:val="32"/>
        </w:rPr>
        <w:t xml:space="preserve"> </w:t>
      </w:r>
      <w:r>
        <w:t>hartojë</w:t>
      </w:r>
      <w:r>
        <w:rPr>
          <w:spacing w:val="33"/>
        </w:rPr>
        <w:t xml:space="preserve"> </w:t>
      </w:r>
      <w:r>
        <w:t>një</w:t>
      </w:r>
      <w:r>
        <w:rPr>
          <w:spacing w:val="32"/>
        </w:rPr>
        <w:t xml:space="preserve"> </w:t>
      </w:r>
      <w:r>
        <w:t>plan që</w:t>
      </w:r>
      <w:r>
        <w:rPr>
          <w:spacing w:val="33"/>
        </w:rPr>
        <w:t xml:space="preserve"> </w:t>
      </w:r>
      <w:r>
        <w:t>përfshin një</w:t>
      </w:r>
      <w:r>
        <w:rPr>
          <w:spacing w:val="-1"/>
        </w:rPr>
        <w:t xml:space="preserve"> </w:t>
      </w:r>
      <w:r>
        <w:t>program</w:t>
      </w:r>
      <w:r>
        <w:rPr>
          <w:spacing w:val="-7"/>
        </w:rPr>
        <w:t xml:space="preserve"> </w:t>
      </w:r>
      <w:r>
        <w:t>prodhimi</w:t>
      </w:r>
      <w:r>
        <w:rPr>
          <w:spacing w:val="-2"/>
        </w:rPr>
        <w:t xml:space="preserve"> </w:t>
      </w:r>
      <w:r>
        <w:t>për</w:t>
      </w:r>
      <w:r>
        <w:rPr>
          <w:spacing w:val="-3"/>
        </w:rPr>
        <w:t xml:space="preserve"> </w:t>
      </w:r>
      <w:r>
        <w:t>speciet</w:t>
      </w:r>
      <w:r>
        <w:rPr>
          <w:spacing w:val="-2"/>
        </w:rPr>
        <w:t xml:space="preserve"> </w:t>
      </w:r>
      <w:r>
        <w:t>që</w:t>
      </w:r>
      <w:r>
        <w:rPr>
          <w:spacing w:val="-1"/>
        </w:rPr>
        <w:t xml:space="preserve"> </w:t>
      </w:r>
      <w:r>
        <w:t>zë</w:t>
      </w:r>
      <w:r>
        <w:rPr>
          <w:spacing w:val="-1"/>
        </w:rPr>
        <w:t xml:space="preserve"> </w:t>
      </w:r>
      <w:r>
        <w:t>apo kultivon, si</w:t>
      </w:r>
      <w:r>
        <w:rPr>
          <w:spacing w:val="-7"/>
        </w:rPr>
        <w:t xml:space="preserve"> </w:t>
      </w:r>
      <w:r>
        <w:t>dhe një</w:t>
      </w:r>
      <w:r>
        <w:rPr>
          <w:spacing w:val="-1"/>
        </w:rPr>
        <w:t xml:space="preserve"> </w:t>
      </w:r>
      <w:r>
        <w:t>strategji</w:t>
      </w:r>
      <w:r>
        <w:rPr>
          <w:spacing w:val="-7"/>
        </w:rPr>
        <w:t xml:space="preserve"> </w:t>
      </w:r>
      <w:r>
        <w:t>tregtimi që</w:t>
      </w:r>
      <w:r>
        <w:rPr>
          <w:spacing w:val="40"/>
        </w:rPr>
        <w:t xml:space="preserve"> </w:t>
      </w:r>
      <w:r>
        <w:t>i</w:t>
      </w:r>
      <w:r>
        <w:rPr>
          <w:spacing w:val="34"/>
        </w:rPr>
        <w:t xml:space="preserve"> </w:t>
      </w:r>
      <w:r>
        <w:t>përgjigjet</w:t>
      </w:r>
      <w:r>
        <w:rPr>
          <w:spacing w:val="39"/>
        </w:rPr>
        <w:t xml:space="preserve"> </w:t>
      </w:r>
      <w:r>
        <w:t>kërkesave</w:t>
      </w:r>
      <w:r>
        <w:rPr>
          <w:spacing w:val="40"/>
        </w:rPr>
        <w:t xml:space="preserve"> </w:t>
      </w:r>
      <w:r>
        <w:t>të</w:t>
      </w:r>
      <w:r>
        <w:rPr>
          <w:spacing w:val="40"/>
        </w:rPr>
        <w:t xml:space="preserve"> </w:t>
      </w:r>
      <w:r>
        <w:t>tregut.</w:t>
      </w:r>
      <w:r>
        <w:rPr>
          <w:spacing w:val="40"/>
        </w:rPr>
        <w:t xml:space="preserve"> </w:t>
      </w:r>
      <w:r>
        <w:t>Në</w:t>
      </w:r>
      <w:r>
        <w:rPr>
          <w:spacing w:val="40"/>
        </w:rPr>
        <w:t xml:space="preserve"> </w:t>
      </w:r>
      <w:r>
        <w:t>plan</w:t>
      </w:r>
      <w:r>
        <w:rPr>
          <w:spacing w:val="35"/>
        </w:rPr>
        <w:t xml:space="preserve"> </w:t>
      </w:r>
      <w:r>
        <w:t>përcaktohen</w:t>
      </w:r>
      <w:r>
        <w:rPr>
          <w:spacing w:val="35"/>
        </w:rPr>
        <w:t xml:space="preserve"> </w:t>
      </w:r>
      <w:r>
        <w:t>edhe</w:t>
      </w:r>
      <w:r>
        <w:rPr>
          <w:spacing w:val="40"/>
        </w:rPr>
        <w:t xml:space="preserve"> </w:t>
      </w:r>
      <w:r>
        <w:t>masat</w:t>
      </w:r>
      <w:r>
        <w:rPr>
          <w:spacing w:val="39"/>
        </w:rPr>
        <w:t xml:space="preserve"> </w:t>
      </w:r>
      <w:r>
        <w:t>që</w:t>
      </w:r>
      <w:r>
        <w:rPr>
          <w:spacing w:val="40"/>
        </w:rPr>
        <w:t xml:space="preserve"> </w:t>
      </w:r>
      <w:r>
        <w:t>do</w:t>
      </w:r>
      <w:r>
        <w:rPr>
          <w:spacing w:val="39"/>
        </w:rPr>
        <w:t xml:space="preserve"> </w:t>
      </w:r>
      <w:r>
        <w:t>të ndërmerren për të përmbushur objektivat, si dhe penalitetet për anëtarët që nuk respektojnë zbatimin e tij.</w:t>
      </w:r>
    </w:p>
    <w:p w14:paraId="46C9E74A" w14:textId="77777777" w:rsidR="00C253A8" w:rsidRDefault="00D407E4">
      <w:pPr>
        <w:pStyle w:val="BodyText"/>
        <w:spacing w:line="276" w:lineRule="auto"/>
        <w:jc w:val="left"/>
      </w:pPr>
      <w:r>
        <w:t>Plani</w:t>
      </w:r>
      <w:r>
        <w:rPr>
          <w:spacing w:val="-4"/>
        </w:rPr>
        <w:t xml:space="preserve"> </w:t>
      </w:r>
      <w:r>
        <w:t>i</w:t>
      </w:r>
      <w:r>
        <w:rPr>
          <w:spacing w:val="-4"/>
        </w:rPr>
        <w:t xml:space="preserve"> </w:t>
      </w:r>
      <w:r>
        <w:t>hartuar</w:t>
      </w:r>
      <w:r>
        <w:rPr>
          <w:spacing w:val="-5"/>
        </w:rPr>
        <w:t xml:space="preserve"> </w:t>
      </w:r>
      <w:r>
        <w:t>dorëzohet</w:t>
      </w:r>
      <w:r>
        <w:rPr>
          <w:spacing w:val="-4"/>
        </w:rPr>
        <w:t xml:space="preserve"> </w:t>
      </w:r>
      <w:r>
        <w:t>për miratim</w:t>
      </w:r>
      <w:r>
        <w:rPr>
          <w:spacing w:val="-9"/>
        </w:rPr>
        <w:t xml:space="preserve"> </w:t>
      </w:r>
      <w:r>
        <w:t>pranë ministrisë</w:t>
      </w:r>
      <w:r>
        <w:rPr>
          <w:spacing w:val="-3"/>
        </w:rPr>
        <w:t xml:space="preserve"> </w:t>
      </w:r>
      <w:r>
        <w:t>brenda</w:t>
      </w:r>
      <w:r>
        <w:rPr>
          <w:spacing w:val="-3"/>
        </w:rPr>
        <w:t xml:space="preserve"> </w:t>
      </w:r>
      <w:r>
        <w:t>afateve</w:t>
      </w:r>
      <w:r>
        <w:rPr>
          <w:spacing w:val="-3"/>
        </w:rPr>
        <w:t xml:space="preserve"> </w:t>
      </w:r>
      <w:r>
        <w:t>të</w:t>
      </w:r>
      <w:r>
        <w:rPr>
          <w:spacing w:val="-3"/>
        </w:rPr>
        <w:t xml:space="preserve"> </w:t>
      </w:r>
      <w:r>
        <w:t>caktuara fillimisht</w:t>
      </w:r>
      <w:r>
        <w:rPr>
          <w:spacing w:val="62"/>
          <w:w w:val="150"/>
        </w:rPr>
        <w:t xml:space="preserve"> </w:t>
      </w:r>
      <w:r>
        <w:t>brenda</w:t>
      </w:r>
      <w:r>
        <w:rPr>
          <w:spacing w:val="64"/>
          <w:w w:val="150"/>
        </w:rPr>
        <w:t xml:space="preserve"> </w:t>
      </w:r>
      <w:r>
        <w:t>tetë</w:t>
      </w:r>
      <w:r>
        <w:rPr>
          <w:spacing w:val="65"/>
          <w:w w:val="150"/>
        </w:rPr>
        <w:t xml:space="preserve"> </w:t>
      </w:r>
      <w:r>
        <w:t>javëve</w:t>
      </w:r>
      <w:r>
        <w:rPr>
          <w:spacing w:val="64"/>
          <w:w w:val="150"/>
        </w:rPr>
        <w:t xml:space="preserve"> </w:t>
      </w:r>
      <w:r>
        <w:t>nga</w:t>
      </w:r>
      <w:r>
        <w:rPr>
          <w:spacing w:val="68"/>
          <w:w w:val="150"/>
        </w:rPr>
        <w:t xml:space="preserve"> </w:t>
      </w:r>
      <w:r>
        <w:t>njohja</w:t>
      </w:r>
      <w:r>
        <w:rPr>
          <w:spacing w:val="69"/>
          <w:w w:val="150"/>
        </w:rPr>
        <w:t xml:space="preserve"> </w:t>
      </w:r>
      <w:r>
        <w:t>e</w:t>
      </w:r>
      <w:r>
        <w:rPr>
          <w:spacing w:val="64"/>
          <w:w w:val="150"/>
        </w:rPr>
        <w:t xml:space="preserve"> </w:t>
      </w:r>
      <w:r>
        <w:t>organizatës</w:t>
      </w:r>
      <w:r>
        <w:rPr>
          <w:spacing w:val="65"/>
          <w:w w:val="150"/>
        </w:rPr>
        <w:t xml:space="preserve"> </w:t>
      </w:r>
      <w:r>
        <w:t>dhe</w:t>
      </w:r>
      <w:r>
        <w:rPr>
          <w:spacing w:val="69"/>
          <w:w w:val="150"/>
        </w:rPr>
        <w:t xml:space="preserve"> </w:t>
      </w:r>
      <w:r>
        <w:t>më</w:t>
      </w:r>
      <w:r>
        <w:rPr>
          <w:spacing w:val="64"/>
          <w:w w:val="150"/>
        </w:rPr>
        <w:t xml:space="preserve"> </w:t>
      </w:r>
      <w:r>
        <w:t>pas,</w:t>
      </w:r>
      <w:r>
        <w:rPr>
          <w:spacing w:val="65"/>
          <w:w w:val="150"/>
        </w:rPr>
        <w:t xml:space="preserve"> </w:t>
      </w:r>
      <w:r>
        <w:rPr>
          <w:spacing w:val="-4"/>
        </w:rPr>
        <w:t>para</w:t>
      </w:r>
    </w:p>
    <w:p w14:paraId="4ABAD14E" w14:textId="77777777" w:rsidR="00C253A8" w:rsidRDefault="00C253A8">
      <w:pPr>
        <w:pStyle w:val="BodyText"/>
        <w:spacing w:line="276" w:lineRule="auto"/>
        <w:jc w:val="left"/>
        <w:sectPr w:rsidR="00C253A8">
          <w:pgSz w:w="11910" w:h="16840"/>
          <w:pgMar w:top="1080" w:right="1417" w:bottom="1320" w:left="1417" w:header="0" w:footer="1122" w:gutter="0"/>
          <w:cols w:space="720"/>
        </w:sectPr>
      </w:pPr>
    </w:p>
    <w:p w14:paraId="7BFC8BDA" w14:textId="77777777" w:rsidR="00C253A8" w:rsidRDefault="00D407E4">
      <w:pPr>
        <w:pStyle w:val="BodyText"/>
        <w:spacing w:before="66" w:line="276" w:lineRule="auto"/>
        <w:ind w:right="28"/>
      </w:pPr>
      <w:r>
        <w:lastRenderedPageBreak/>
        <w:t>përfundimit të vlefshmërisë së planit ekzistues. Ministria ka deri në gjashtë javë për të vlerësuar planin dhe për të dhënë miratimin, ndërsa nëse nuk reagon brenda këtij afati, plani konsiderohet i miratuar në heshtje.</w:t>
      </w:r>
    </w:p>
    <w:p w14:paraId="228E2754" w14:textId="77777777" w:rsidR="00C253A8" w:rsidRDefault="00D407E4">
      <w:pPr>
        <w:pStyle w:val="BodyText"/>
        <w:spacing w:line="276" w:lineRule="auto"/>
        <w:ind w:right="35"/>
      </w:pPr>
      <w:r>
        <w:t>Në rast se plani nuk përmbush objektivat ligjore, ministria kërkon ndryshime dhe organizata duhet të dorëzojë versionin e rishikuar brenda dy javëve. Edhe</w:t>
      </w:r>
      <w:r>
        <w:rPr>
          <w:spacing w:val="40"/>
        </w:rPr>
        <w:t xml:space="preserve"> </w:t>
      </w:r>
      <w:r>
        <w:t>ky version i ndryshuar i nënshtrohet një afati katërjavor për miratim, dhe në mungesë të përgjigjes, miratohet në heshtje.</w:t>
      </w:r>
    </w:p>
    <w:p w14:paraId="4287822E" w14:textId="77777777" w:rsidR="00C253A8" w:rsidRDefault="00D407E4">
      <w:pPr>
        <w:pStyle w:val="BodyText"/>
        <w:spacing w:before="1" w:line="276" w:lineRule="auto"/>
        <w:ind w:right="17"/>
      </w:pPr>
      <w:r>
        <w:t>Përveç kësaj, organizata është e detyruar të përgatisë një raport vjetor mbi aktivitetet e saj në kuadër të planit dhe ta paraqesë për miratim. Ministria nga ana e saj, kryen kontrolle për të siguruar përputhjen me detyrimet, dhe nëse konstaton shkelje, mund të tërheqë njohjen e organizatës.</w:t>
      </w:r>
    </w:p>
    <w:p w14:paraId="6399EF2F" w14:textId="77777777" w:rsidR="00C253A8" w:rsidRDefault="00D407E4">
      <w:pPr>
        <w:pStyle w:val="BodyText"/>
        <w:spacing w:line="276" w:lineRule="auto"/>
        <w:ind w:right="26"/>
      </w:pPr>
      <w:r>
        <w:t>Forma</w:t>
      </w:r>
      <w:r>
        <w:rPr>
          <w:spacing w:val="-1"/>
        </w:rPr>
        <w:t xml:space="preserve"> </w:t>
      </w:r>
      <w:r>
        <w:t>dhe</w:t>
      </w:r>
      <w:r>
        <w:rPr>
          <w:spacing w:val="-1"/>
        </w:rPr>
        <w:t xml:space="preserve"> </w:t>
      </w:r>
      <w:r>
        <w:t>struktura</w:t>
      </w:r>
      <w:r>
        <w:rPr>
          <w:spacing w:val="-1"/>
        </w:rPr>
        <w:t xml:space="preserve"> </w:t>
      </w:r>
      <w:r>
        <w:t>e</w:t>
      </w:r>
      <w:r>
        <w:rPr>
          <w:spacing w:val="-1"/>
        </w:rPr>
        <w:t xml:space="preserve"> </w:t>
      </w:r>
      <w:r>
        <w:t>planit përcaktohet në një</w:t>
      </w:r>
      <w:r>
        <w:rPr>
          <w:spacing w:val="-1"/>
        </w:rPr>
        <w:t xml:space="preserve"> </w:t>
      </w:r>
      <w:r>
        <w:t>shtojcë</w:t>
      </w:r>
      <w:r>
        <w:rPr>
          <w:spacing w:val="-1"/>
        </w:rPr>
        <w:t xml:space="preserve"> </w:t>
      </w:r>
      <w:r>
        <w:t>të</w:t>
      </w:r>
      <w:r>
        <w:rPr>
          <w:spacing w:val="-1"/>
        </w:rPr>
        <w:t xml:space="preserve"> </w:t>
      </w:r>
      <w:r>
        <w:t>veçantë</w:t>
      </w:r>
      <w:r>
        <w:rPr>
          <w:spacing w:val="-1"/>
        </w:rPr>
        <w:t xml:space="preserve"> </w:t>
      </w:r>
      <w:r>
        <w:t>që</w:t>
      </w:r>
      <w:r>
        <w:rPr>
          <w:spacing w:val="-1"/>
        </w:rPr>
        <w:t xml:space="preserve"> </w:t>
      </w:r>
      <w:r>
        <w:t>është</w:t>
      </w:r>
      <w:r>
        <w:rPr>
          <w:spacing w:val="-1"/>
        </w:rPr>
        <w:t xml:space="preserve"> </w:t>
      </w:r>
      <w:r>
        <w:t xml:space="preserve">pjesë përbërëse e këtij vendimi. Në këtë mënyrë, kreu vendos një kuadër të qartë dhe të standardizuar për mënyrën se si organizatat e prodhuesve duhet të planifikojnë, koordinojnë dhe raportojnë aktivitetet e tyre prodhuese dhe </w:t>
      </w:r>
      <w:r>
        <w:rPr>
          <w:spacing w:val="-2"/>
        </w:rPr>
        <w:t>tregtare.</w:t>
      </w:r>
    </w:p>
    <w:p w14:paraId="2379BB10" w14:textId="77777777" w:rsidR="00C253A8" w:rsidRDefault="00C253A8">
      <w:pPr>
        <w:pStyle w:val="BodyText"/>
        <w:spacing w:before="52"/>
        <w:ind w:left="0"/>
        <w:jc w:val="left"/>
      </w:pPr>
    </w:p>
    <w:p w14:paraId="100A1840" w14:textId="77777777" w:rsidR="00C253A8" w:rsidRDefault="00D407E4">
      <w:pPr>
        <w:pStyle w:val="Heading2"/>
      </w:pPr>
      <w:r>
        <w:t>KREU</w:t>
      </w:r>
      <w:r>
        <w:rPr>
          <w:spacing w:val="-5"/>
        </w:rPr>
        <w:t xml:space="preserve"> </w:t>
      </w:r>
      <w:r>
        <w:t>IV</w:t>
      </w:r>
      <w:r>
        <w:rPr>
          <w:spacing w:val="-3"/>
        </w:rPr>
        <w:t xml:space="preserve"> </w:t>
      </w:r>
      <w:r>
        <w:t>–</w:t>
      </w:r>
      <w:r>
        <w:rPr>
          <w:spacing w:val="-4"/>
        </w:rPr>
        <w:t xml:space="preserve"> </w:t>
      </w:r>
      <w:r>
        <w:t>Standardet</w:t>
      </w:r>
      <w:r>
        <w:rPr>
          <w:spacing w:val="-6"/>
        </w:rPr>
        <w:t xml:space="preserve"> </w:t>
      </w:r>
      <w:r>
        <w:t>e</w:t>
      </w:r>
      <w:r>
        <w:rPr>
          <w:spacing w:val="-5"/>
        </w:rPr>
        <w:t xml:space="preserve"> </w:t>
      </w:r>
      <w:r>
        <w:rPr>
          <w:spacing w:val="-2"/>
        </w:rPr>
        <w:t>marketingut</w:t>
      </w:r>
    </w:p>
    <w:p w14:paraId="6E511501" w14:textId="77777777" w:rsidR="00C253A8" w:rsidRDefault="00D407E4">
      <w:pPr>
        <w:pStyle w:val="BodyText"/>
        <w:spacing w:before="43" w:line="278" w:lineRule="auto"/>
        <w:ind w:right="32"/>
      </w:pPr>
      <w:r>
        <w:t>Ky kre parashikon</w:t>
      </w:r>
      <w:r>
        <w:rPr>
          <w:spacing w:val="40"/>
        </w:rPr>
        <w:t xml:space="preserve"> </w:t>
      </w:r>
      <w:r>
        <w:t>standardet e marketingut për produktet e peshkimit të destinuara për konsum njerëzor dhe përcakton rregullat për përputhshmërinë e tyre me tregun.</w:t>
      </w:r>
    </w:p>
    <w:p w14:paraId="379FCBB0" w14:textId="77777777" w:rsidR="00C253A8" w:rsidRDefault="00D407E4">
      <w:pPr>
        <w:pStyle w:val="BodyText"/>
        <w:spacing w:line="276" w:lineRule="auto"/>
        <w:ind w:right="21"/>
      </w:pPr>
      <w:r>
        <w:t>Në këtë kre përcaktohet se, pavarësisht origjinës së produkteve të peshkimit – vendase apo të importuara – ato duhet të përmbushin standardet e marketingut</w:t>
      </w:r>
      <w:r>
        <w:rPr>
          <w:spacing w:val="40"/>
        </w:rPr>
        <w:t xml:space="preserve"> </w:t>
      </w:r>
      <w:r>
        <w:t>të listuara në Shtojcën I. Këto standarde kanë të bëjnë me aspekte të tilla si: cilësia, madhësia, pesha, paketimi, prezantimi dhe etiketimi i produkteve.</w:t>
      </w:r>
    </w:p>
    <w:p w14:paraId="0855F063" w14:textId="77777777" w:rsidR="00C253A8" w:rsidRDefault="00D407E4">
      <w:pPr>
        <w:pStyle w:val="BodyText"/>
        <w:spacing w:line="276" w:lineRule="auto"/>
        <w:ind w:right="20"/>
      </w:pPr>
      <w:r>
        <w:t>Në veçanti, theksohet rëndësia e madhësive minimale të marketingut, të cilat përcaktohen bazuar në këshillat më të mira shkencore dhe shpesh përputhen me madhësitë minimale të referencës për ruajtje, sipas vendimit ekzistues për shfrytëzimin e qëndrueshëm të burimeve detare. Gjithashtu, produktet duhet të respektojnë edhe specifikime teknike për ruajtje, sipas standardeve ndërkombëtare. Këto rregulla zbatohen pa cenuar kuadrin më të gjerë ligjor në fuqi për sigurinë ushqimore dhe peshkimin. Ky kre gjithasht</w:t>
      </w:r>
      <w:r>
        <w:t>u përcakton se vetëm produktet që përputhen me standardet e marketingut lejohen të tregtohen për konsum njerëzor në tregun e brendshëm. Megjithatë, produktet që nuk i plotësojnë këto standarde, nuk hidhen poshtë, por mund të shfrytëzohen për qëllime alternative, si: ushqim për kafshë, përpunim industrial për vaj peshku, suplemente ushqimore, produkte farmaceutike apo kozmetike.</w:t>
      </w:r>
    </w:p>
    <w:p w14:paraId="63F3CA73" w14:textId="77777777" w:rsidR="00C253A8" w:rsidRDefault="00C253A8">
      <w:pPr>
        <w:pStyle w:val="BodyText"/>
        <w:spacing w:before="46"/>
        <w:ind w:left="0"/>
        <w:jc w:val="left"/>
      </w:pPr>
    </w:p>
    <w:p w14:paraId="1AAA785E" w14:textId="77777777" w:rsidR="00C253A8" w:rsidRDefault="00D407E4">
      <w:pPr>
        <w:pStyle w:val="Heading2"/>
      </w:pPr>
      <w:r>
        <w:t>KREU</w:t>
      </w:r>
      <w:r>
        <w:rPr>
          <w:spacing w:val="-7"/>
        </w:rPr>
        <w:t xml:space="preserve"> </w:t>
      </w:r>
      <w:r>
        <w:t>V</w:t>
      </w:r>
      <w:r>
        <w:rPr>
          <w:spacing w:val="-6"/>
        </w:rPr>
        <w:t xml:space="preserve"> </w:t>
      </w:r>
      <w:r>
        <w:t>–</w:t>
      </w:r>
      <w:r>
        <w:rPr>
          <w:spacing w:val="-7"/>
        </w:rPr>
        <w:t xml:space="preserve"> </w:t>
      </w:r>
      <w:r>
        <w:t>Informacionet</w:t>
      </w:r>
      <w:r>
        <w:rPr>
          <w:spacing w:val="-9"/>
        </w:rPr>
        <w:t xml:space="preserve"> </w:t>
      </w:r>
      <w:r>
        <w:t>për</w:t>
      </w:r>
      <w:r>
        <w:rPr>
          <w:spacing w:val="-2"/>
        </w:rPr>
        <w:t xml:space="preserve"> </w:t>
      </w:r>
      <w:r>
        <w:t>konsumatorin</w:t>
      </w:r>
      <w:r>
        <w:rPr>
          <w:spacing w:val="-9"/>
        </w:rPr>
        <w:t xml:space="preserve"> </w:t>
      </w:r>
      <w:r>
        <w:t>dhe</w:t>
      </w:r>
      <w:r>
        <w:rPr>
          <w:spacing w:val="-7"/>
        </w:rPr>
        <w:t xml:space="preserve"> </w:t>
      </w:r>
      <w:r>
        <w:t>për</w:t>
      </w:r>
      <w:r>
        <w:rPr>
          <w:spacing w:val="-6"/>
        </w:rPr>
        <w:t xml:space="preserve"> </w:t>
      </w:r>
      <w:r>
        <w:rPr>
          <w:spacing w:val="-2"/>
        </w:rPr>
        <w:t>tregjet</w:t>
      </w:r>
    </w:p>
    <w:p w14:paraId="18D878C8" w14:textId="77777777" w:rsidR="00C253A8" w:rsidRDefault="00C253A8">
      <w:pPr>
        <w:pStyle w:val="Heading2"/>
        <w:sectPr w:rsidR="00C253A8">
          <w:pgSz w:w="11910" w:h="16840"/>
          <w:pgMar w:top="720" w:right="1417" w:bottom="1320" w:left="1417" w:header="0" w:footer="1122" w:gutter="0"/>
          <w:cols w:space="720"/>
        </w:sectPr>
      </w:pPr>
    </w:p>
    <w:p w14:paraId="439E40D6" w14:textId="77777777" w:rsidR="00C253A8" w:rsidRDefault="00D407E4">
      <w:pPr>
        <w:pStyle w:val="BodyText"/>
        <w:spacing w:before="66" w:line="276" w:lineRule="auto"/>
        <w:ind w:right="16"/>
      </w:pPr>
      <w:r>
        <w:lastRenderedPageBreak/>
        <w:t>Ky kre përmban rregulla që garantojnë informimin e saktë dhe të detajuar të konsumatorit për produktet e peshkimit dhe akuakulturës, si dhe rregullon mënyrën e mbledhjes dhe shpërndarjes së informacionit për tregjet. Produktet e destinuara për konsum njerëzor duhet të shoqërohen me etiketë që përfshin emrin tregtar dhe shkencor, metodën e prodhimit, zonën e zënies ose kultivimit, mjetet e përdorura për peshkim, nëse janë shkrirë dhe, kur është e nevojshme, datën e jetëgjatësisë. Ky informacion është i detyr</w:t>
      </w:r>
      <w:r>
        <w:t>ueshëm dhe zbatueshëm edhe për institucionet që përdorin</w:t>
      </w:r>
      <w:r>
        <w:rPr>
          <w:spacing w:val="-4"/>
        </w:rPr>
        <w:t xml:space="preserve"> </w:t>
      </w:r>
      <w:r>
        <w:t>këto produkte si</w:t>
      </w:r>
      <w:r>
        <w:rPr>
          <w:spacing w:val="-4"/>
        </w:rPr>
        <w:t xml:space="preserve"> </w:t>
      </w:r>
      <w:r>
        <w:t>shkolla, spitale, mensa apo burgje. Për</w:t>
      </w:r>
      <w:r>
        <w:rPr>
          <w:spacing w:val="-1"/>
        </w:rPr>
        <w:t xml:space="preserve"> </w:t>
      </w:r>
      <w:r>
        <w:t>produkte të përziera specifikohet metoda dhe zona përkatëse sipas sasisë më të përfaqësuar. Ministria mund të përjashtojë nga ky detyrim sasi të vogla të shitura direkt nga anijet e peshkimit.</w:t>
      </w:r>
    </w:p>
    <w:p w14:paraId="292A23B7" w14:textId="77777777" w:rsidR="00C253A8" w:rsidRDefault="00D407E4">
      <w:pPr>
        <w:pStyle w:val="BodyText"/>
        <w:spacing w:line="276" w:lineRule="auto"/>
        <w:ind w:right="29"/>
      </w:pPr>
      <w:r>
        <w:t>Organizatat janë të detyruara të hartojnë një listë me emrat tregtarë dhe shkencorë të specieve që tregtohen dhe ta përditësojnë atë pranë ministrisë. Zona e origjinës së produktit përcaktohet në varësi</w:t>
      </w:r>
      <w:r>
        <w:rPr>
          <w:spacing w:val="-4"/>
        </w:rPr>
        <w:t xml:space="preserve"> </w:t>
      </w:r>
      <w:r>
        <w:t>të llojit të ujërave apo vendit të kultivimit dhe mund të paraqitet edhe përmes hartave ose piktogramëve. Operatorët kanë të drejtë të ofrojnë informacion shtesë për produktet, përfshirë data, portin e zbarkimit, mjetet e përdorura, detaje mjedisore apo sociale, me kusht që ky informacion të jetë i verifikueshëm dhe të mos zëvendësojë informacionin e detyrueshëm.</w:t>
      </w:r>
    </w:p>
    <w:p w14:paraId="50A8F261" w14:textId="77777777" w:rsidR="00C253A8" w:rsidRDefault="00D407E4">
      <w:pPr>
        <w:pStyle w:val="BodyText"/>
        <w:spacing w:line="276" w:lineRule="auto"/>
        <w:ind w:right="28"/>
      </w:pPr>
      <w:r>
        <w:t>Institucioni përgjegjës për</w:t>
      </w:r>
      <w:r>
        <w:rPr>
          <w:spacing w:val="-1"/>
        </w:rPr>
        <w:t xml:space="preserve"> </w:t>
      </w:r>
      <w:r>
        <w:t>shërbimet e peshkimit</w:t>
      </w:r>
      <w:r>
        <w:rPr>
          <w:spacing w:val="-1"/>
        </w:rPr>
        <w:t xml:space="preserve"> </w:t>
      </w:r>
      <w:r>
        <w:t>dhe akuakulturës ka për</w:t>
      </w:r>
      <w:r>
        <w:rPr>
          <w:spacing w:val="-1"/>
        </w:rPr>
        <w:t xml:space="preserve"> </w:t>
      </w:r>
      <w:r>
        <w:t>detyrë të mbledhë dhe analizojë të dhënat për</w:t>
      </w:r>
      <w:r>
        <w:rPr>
          <w:spacing w:val="-1"/>
        </w:rPr>
        <w:t xml:space="preserve"> </w:t>
      </w:r>
      <w:r>
        <w:t>tregun</w:t>
      </w:r>
      <w:r>
        <w:rPr>
          <w:spacing w:val="-5"/>
        </w:rPr>
        <w:t xml:space="preserve"> </w:t>
      </w:r>
      <w:r>
        <w:t>e brendshëm, të kryejë anketa dhe studime mbi çmimet dhe të sigurojë që informacioni të jetë i aksesueshëm për palët e interesuara. Organizatat kontribuojnë në këtë proces duke bashkëpunuar për përmirësimin e qarkullimit të informacionit në zinxhirin e furnizimit.</w:t>
      </w:r>
    </w:p>
    <w:p w14:paraId="7C675757" w14:textId="77777777" w:rsidR="00C253A8" w:rsidRDefault="00C253A8">
      <w:pPr>
        <w:pStyle w:val="BodyText"/>
        <w:spacing w:before="53"/>
        <w:ind w:left="0"/>
        <w:jc w:val="left"/>
      </w:pPr>
    </w:p>
    <w:p w14:paraId="238E9839" w14:textId="77777777" w:rsidR="00C253A8" w:rsidRDefault="00D407E4">
      <w:pPr>
        <w:pStyle w:val="Heading2"/>
      </w:pPr>
      <w:r>
        <w:t>KREU</w:t>
      </w:r>
      <w:r>
        <w:rPr>
          <w:spacing w:val="-5"/>
        </w:rPr>
        <w:t xml:space="preserve"> </w:t>
      </w:r>
      <w:r>
        <w:t>VI</w:t>
      </w:r>
      <w:r>
        <w:rPr>
          <w:spacing w:val="-2"/>
        </w:rPr>
        <w:t xml:space="preserve"> </w:t>
      </w:r>
      <w:r>
        <w:t>–</w:t>
      </w:r>
      <w:r>
        <w:rPr>
          <w:spacing w:val="-5"/>
        </w:rPr>
        <w:t xml:space="preserve"> </w:t>
      </w:r>
      <w:r>
        <w:t>Stabilizimi</w:t>
      </w:r>
      <w:r>
        <w:rPr>
          <w:spacing w:val="-5"/>
        </w:rPr>
        <w:t xml:space="preserve"> </w:t>
      </w:r>
      <w:r>
        <w:t>i</w:t>
      </w:r>
      <w:r>
        <w:rPr>
          <w:spacing w:val="-6"/>
        </w:rPr>
        <w:t xml:space="preserve"> </w:t>
      </w:r>
      <w:r>
        <w:rPr>
          <w:spacing w:val="-2"/>
        </w:rPr>
        <w:t>tregjeve</w:t>
      </w:r>
    </w:p>
    <w:p w14:paraId="307280AD" w14:textId="77777777" w:rsidR="00C253A8" w:rsidRDefault="00D407E4">
      <w:pPr>
        <w:pStyle w:val="BodyText"/>
        <w:spacing w:before="43" w:line="276" w:lineRule="auto"/>
        <w:ind w:right="25"/>
      </w:pPr>
      <w:r>
        <w:t>Ky kre përcakton mekanizmin e ruajtjes së produkteve, që synon stabilizimin e tregut në rastet kur nuk sigurohet shitja në çmimet e përcaktuara. Përshkruhen kushtet për ruajtje, trajtimet e lejueshme, periudhat minimale dhe mënyra e rikthimit të produkteve në treg. Vendosen kriteret dhe procedurat për përcaktimin e çmimeve kufi, të cilat shërbejnë për aktivizimin e mekanizmit</w:t>
      </w:r>
    </w:p>
    <w:p w14:paraId="33BF28A4" w14:textId="77777777" w:rsidR="00C253A8" w:rsidRDefault="00C253A8">
      <w:pPr>
        <w:pStyle w:val="BodyText"/>
        <w:spacing w:before="55"/>
        <w:ind w:left="0"/>
        <w:jc w:val="left"/>
      </w:pPr>
    </w:p>
    <w:p w14:paraId="4786F378" w14:textId="77777777" w:rsidR="00C253A8" w:rsidRDefault="00D407E4">
      <w:pPr>
        <w:pStyle w:val="Heading2"/>
      </w:pPr>
      <w:r>
        <w:t>KREU</w:t>
      </w:r>
      <w:r>
        <w:rPr>
          <w:spacing w:val="-6"/>
        </w:rPr>
        <w:t xml:space="preserve"> </w:t>
      </w:r>
      <w:r>
        <w:t>VII</w:t>
      </w:r>
      <w:r>
        <w:rPr>
          <w:spacing w:val="-3"/>
        </w:rPr>
        <w:t xml:space="preserve"> </w:t>
      </w:r>
      <w:r>
        <w:t>–</w:t>
      </w:r>
      <w:r>
        <w:rPr>
          <w:spacing w:val="-5"/>
        </w:rPr>
        <w:t xml:space="preserve"> </w:t>
      </w:r>
      <w:r>
        <w:t>Dispozita</w:t>
      </w:r>
      <w:r>
        <w:rPr>
          <w:spacing w:val="-6"/>
        </w:rPr>
        <w:t xml:space="preserve"> </w:t>
      </w:r>
      <w:r>
        <w:rPr>
          <w:spacing w:val="-2"/>
        </w:rPr>
        <w:t>përfundimtare</w:t>
      </w:r>
    </w:p>
    <w:p w14:paraId="1F371EE8" w14:textId="77777777" w:rsidR="00C253A8" w:rsidRDefault="00D407E4">
      <w:pPr>
        <w:pStyle w:val="BodyText"/>
        <w:spacing w:before="43" w:line="278" w:lineRule="auto"/>
        <w:ind w:right="28"/>
      </w:pPr>
      <w:r>
        <w:t>Ky kre përcakton institucionet përgjegjëse për zbatimin e vendimit, afatin e hyrjes në fuqi dhe shfuqizimin e dispozitave në momentin e anëtarësimit të shqipërisë në BE, duke garantuar përafrim të plotë me legjislacionin European.</w:t>
      </w:r>
    </w:p>
    <w:p w14:paraId="20A97BBB" w14:textId="77777777" w:rsidR="00C253A8" w:rsidRDefault="00C253A8">
      <w:pPr>
        <w:pStyle w:val="BodyText"/>
        <w:spacing w:before="41"/>
        <w:ind w:left="0"/>
        <w:jc w:val="left"/>
      </w:pPr>
    </w:p>
    <w:p w14:paraId="20FC796C" w14:textId="77777777" w:rsidR="00C253A8" w:rsidRDefault="00D407E4">
      <w:pPr>
        <w:pStyle w:val="BodyText"/>
        <w:spacing w:line="276" w:lineRule="auto"/>
        <w:ind w:right="22"/>
      </w:pPr>
      <w:r>
        <w:t>Projektvendimi shoqërohet me 3 shtojca që përkatësisht përcaktojnë</w:t>
      </w:r>
      <w:r>
        <w:rPr>
          <w:spacing w:val="80"/>
        </w:rPr>
        <w:t xml:space="preserve"> </w:t>
      </w:r>
      <w:r>
        <w:t>produktet</w:t>
      </w:r>
      <w:r>
        <w:rPr>
          <w:spacing w:val="40"/>
        </w:rPr>
        <w:t xml:space="preserve"> </w:t>
      </w:r>
      <w:r>
        <w:t>e</w:t>
      </w:r>
      <w:r>
        <w:rPr>
          <w:spacing w:val="68"/>
          <w:w w:val="150"/>
        </w:rPr>
        <w:t xml:space="preserve"> </w:t>
      </w:r>
      <w:r>
        <w:t>peshkimit</w:t>
      </w:r>
      <w:r>
        <w:rPr>
          <w:spacing w:val="67"/>
          <w:w w:val="150"/>
        </w:rPr>
        <w:t xml:space="preserve"> </w:t>
      </w:r>
      <w:r>
        <w:t>dhe</w:t>
      </w:r>
      <w:r>
        <w:rPr>
          <w:spacing w:val="69"/>
          <w:w w:val="150"/>
        </w:rPr>
        <w:t xml:space="preserve"> </w:t>
      </w:r>
      <w:r>
        <w:t>akuakulturës</w:t>
      </w:r>
      <w:r>
        <w:rPr>
          <w:spacing w:val="71"/>
          <w:w w:val="150"/>
        </w:rPr>
        <w:t xml:space="preserve"> </w:t>
      </w:r>
      <w:r>
        <w:t>që</w:t>
      </w:r>
      <w:r>
        <w:rPr>
          <w:spacing w:val="73"/>
          <w:w w:val="150"/>
        </w:rPr>
        <w:t xml:space="preserve"> </w:t>
      </w:r>
      <w:r>
        <w:t>mbulohen</w:t>
      </w:r>
      <w:r>
        <w:rPr>
          <w:spacing w:val="69"/>
          <w:w w:val="150"/>
        </w:rPr>
        <w:t xml:space="preserve"> </w:t>
      </w:r>
      <w:r>
        <w:t>nga</w:t>
      </w:r>
      <w:r>
        <w:rPr>
          <w:spacing w:val="69"/>
          <w:w w:val="150"/>
        </w:rPr>
        <w:t xml:space="preserve"> </w:t>
      </w:r>
      <w:r>
        <w:t>organizatat</w:t>
      </w:r>
      <w:r>
        <w:rPr>
          <w:spacing w:val="22"/>
        </w:rPr>
        <w:t xml:space="preserve">  </w:t>
      </w:r>
      <w:r>
        <w:t>e</w:t>
      </w:r>
      <w:r>
        <w:rPr>
          <w:spacing w:val="70"/>
          <w:w w:val="150"/>
        </w:rPr>
        <w:t xml:space="preserve"> </w:t>
      </w:r>
      <w:r>
        <w:rPr>
          <w:spacing w:val="-2"/>
        </w:rPr>
        <w:t>peshkimit,</w:t>
      </w:r>
    </w:p>
    <w:p w14:paraId="10CAD876" w14:textId="77777777" w:rsidR="00C253A8" w:rsidRDefault="00C253A8">
      <w:pPr>
        <w:pStyle w:val="BodyText"/>
        <w:spacing w:line="276" w:lineRule="auto"/>
        <w:sectPr w:rsidR="00C253A8">
          <w:pgSz w:w="11910" w:h="16840"/>
          <w:pgMar w:top="720" w:right="1417" w:bottom="1320" w:left="1417" w:header="0" w:footer="1122" w:gutter="0"/>
          <w:cols w:space="720"/>
        </w:sectPr>
      </w:pPr>
    </w:p>
    <w:p w14:paraId="50DEF17F" w14:textId="77777777" w:rsidR="00C253A8" w:rsidRDefault="00D407E4">
      <w:pPr>
        <w:pStyle w:val="BodyText"/>
        <w:spacing w:before="66" w:line="276" w:lineRule="auto"/>
        <w:ind w:right="24"/>
      </w:pPr>
      <w:r>
        <w:lastRenderedPageBreak/>
        <w:t>produktet e peshkimit që i nënshtrohen mekanizmit të ruajtjes dhe forma dhe struktura e planeve të prodhimit dhe marketingut.</w:t>
      </w:r>
    </w:p>
    <w:p w14:paraId="13E36BAF" w14:textId="77777777" w:rsidR="00C253A8" w:rsidRDefault="00C253A8">
      <w:pPr>
        <w:pStyle w:val="BodyText"/>
        <w:spacing w:before="51"/>
        <w:ind w:left="0"/>
        <w:jc w:val="left"/>
      </w:pPr>
    </w:p>
    <w:p w14:paraId="16A6C42F" w14:textId="77777777" w:rsidR="00C253A8" w:rsidRDefault="00D407E4">
      <w:pPr>
        <w:pStyle w:val="Heading1"/>
        <w:numPr>
          <w:ilvl w:val="0"/>
          <w:numId w:val="1"/>
        </w:numPr>
        <w:tabs>
          <w:tab w:val="left" w:pos="752"/>
          <w:tab w:val="left" w:pos="3246"/>
          <w:tab w:val="left" w:pos="4090"/>
          <w:tab w:val="left" w:pos="5740"/>
          <w:tab w:val="left" w:pos="6383"/>
          <w:tab w:val="left" w:pos="8479"/>
        </w:tabs>
        <w:spacing w:line="276" w:lineRule="auto"/>
        <w:ind w:left="23" w:right="32" w:firstLine="0"/>
      </w:pPr>
      <w:r>
        <w:rPr>
          <w:spacing w:val="-2"/>
        </w:rPr>
        <w:t>INSTITUCIONET</w:t>
      </w:r>
      <w:r>
        <w:tab/>
      </w:r>
      <w:r>
        <w:rPr>
          <w:spacing w:val="-4"/>
        </w:rPr>
        <w:t>DHE</w:t>
      </w:r>
      <w:r>
        <w:tab/>
      </w:r>
      <w:r>
        <w:rPr>
          <w:spacing w:val="-2"/>
        </w:rPr>
        <w:t>ORGANET</w:t>
      </w:r>
      <w:r>
        <w:tab/>
      </w:r>
      <w:r>
        <w:rPr>
          <w:spacing w:val="-6"/>
        </w:rPr>
        <w:t>QË</w:t>
      </w:r>
      <w:r>
        <w:tab/>
      </w:r>
      <w:r>
        <w:rPr>
          <w:spacing w:val="-2"/>
        </w:rPr>
        <w:t>NGARKOHEN</w:t>
      </w:r>
      <w:r>
        <w:tab/>
      </w:r>
      <w:r>
        <w:rPr>
          <w:spacing w:val="-4"/>
        </w:rPr>
        <w:t xml:space="preserve">PËR </w:t>
      </w:r>
      <w:r>
        <w:t>ZBATIMIN E AKTIT</w:t>
      </w:r>
    </w:p>
    <w:p w14:paraId="16C10DFA" w14:textId="77777777" w:rsidR="00C253A8" w:rsidRDefault="00C253A8">
      <w:pPr>
        <w:pStyle w:val="BodyText"/>
        <w:spacing w:before="47"/>
        <w:ind w:left="0"/>
        <w:jc w:val="left"/>
        <w:rPr>
          <w:b/>
        </w:rPr>
      </w:pPr>
    </w:p>
    <w:p w14:paraId="0741ED91" w14:textId="77777777" w:rsidR="00C253A8" w:rsidRDefault="00D407E4">
      <w:pPr>
        <w:pStyle w:val="BodyText"/>
        <w:spacing w:line="276" w:lineRule="auto"/>
        <w:ind w:right="23"/>
      </w:pPr>
      <w:r>
        <w:t>Për zbatimin e këtij projektvendimi ngarkohet Ministria e Bujqësisë dhe Zhvillimit Rural, Drejtoria e Shërbimeve te Peshkimit dhe Akuakulturës dhe Inspektorati që mbulon fushën e peshkimit.</w:t>
      </w:r>
    </w:p>
    <w:p w14:paraId="07437A91" w14:textId="77777777" w:rsidR="00C253A8" w:rsidRDefault="00C253A8">
      <w:pPr>
        <w:pStyle w:val="BodyText"/>
        <w:spacing w:before="51"/>
        <w:ind w:left="0"/>
        <w:jc w:val="left"/>
      </w:pPr>
    </w:p>
    <w:p w14:paraId="42C1CA91" w14:textId="77777777" w:rsidR="00C253A8" w:rsidRDefault="00D407E4">
      <w:pPr>
        <w:pStyle w:val="Heading1"/>
        <w:numPr>
          <w:ilvl w:val="0"/>
          <w:numId w:val="1"/>
        </w:numPr>
        <w:tabs>
          <w:tab w:val="left" w:pos="696"/>
        </w:tabs>
        <w:spacing w:line="276" w:lineRule="auto"/>
        <w:ind w:left="23" w:right="29" w:firstLine="0"/>
      </w:pPr>
      <w:r>
        <w:t>PERSONAT</w:t>
      </w:r>
      <w:r>
        <w:rPr>
          <w:spacing w:val="-5"/>
        </w:rPr>
        <w:t xml:space="preserve"> </w:t>
      </w:r>
      <w:r>
        <w:t>DHE</w:t>
      </w:r>
      <w:r>
        <w:rPr>
          <w:spacing w:val="-5"/>
        </w:rPr>
        <w:t xml:space="preserve"> </w:t>
      </w:r>
      <w:r>
        <w:t>INSTITUCIONET</w:t>
      </w:r>
      <w:r>
        <w:rPr>
          <w:spacing w:val="-5"/>
        </w:rPr>
        <w:t xml:space="preserve"> </w:t>
      </w:r>
      <w:r>
        <w:t>QË</w:t>
      </w:r>
      <w:r>
        <w:rPr>
          <w:spacing w:val="-9"/>
        </w:rPr>
        <w:t xml:space="preserve"> </w:t>
      </w:r>
      <w:r>
        <w:t>KANË</w:t>
      </w:r>
      <w:r>
        <w:rPr>
          <w:spacing w:val="-4"/>
        </w:rPr>
        <w:t xml:space="preserve"> </w:t>
      </w:r>
      <w:r>
        <w:t>KONTRIBUAR</w:t>
      </w:r>
      <w:r>
        <w:rPr>
          <w:spacing w:val="-5"/>
        </w:rPr>
        <w:t xml:space="preserve"> </w:t>
      </w:r>
      <w:r>
        <w:t>NË HARTIMIN E PROJEKTAKTIT</w:t>
      </w:r>
    </w:p>
    <w:p w14:paraId="1F84F7DE" w14:textId="77777777" w:rsidR="00C253A8" w:rsidRDefault="00C253A8">
      <w:pPr>
        <w:pStyle w:val="BodyText"/>
        <w:spacing w:before="46"/>
        <w:ind w:left="0"/>
        <w:jc w:val="left"/>
        <w:rPr>
          <w:b/>
        </w:rPr>
      </w:pPr>
    </w:p>
    <w:p w14:paraId="4B25B54C" w14:textId="77777777" w:rsidR="00C253A8" w:rsidRDefault="00D407E4">
      <w:pPr>
        <w:pStyle w:val="BodyText"/>
        <w:spacing w:before="1"/>
      </w:pPr>
      <w:r>
        <w:t>Projektvendimi</w:t>
      </w:r>
      <w:r>
        <w:rPr>
          <w:spacing w:val="-13"/>
        </w:rPr>
        <w:t xml:space="preserve"> </w:t>
      </w:r>
      <w:r>
        <w:t>është</w:t>
      </w:r>
      <w:r>
        <w:rPr>
          <w:spacing w:val="-4"/>
        </w:rPr>
        <w:t xml:space="preserve"> </w:t>
      </w:r>
      <w:r>
        <w:t>hartuar</w:t>
      </w:r>
      <w:r>
        <w:rPr>
          <w:spacing w:val="-5"/>
        </w:rPr>
        <w:t xml:space="preserve"> </w:t>
      </w:r>
      <w:r>
        <w:t>nga</w:t>
      </w:r>
      <w:r>
        <w:rPr>
          <w:spacing w:val="-8"/>
        </w:rPr>
        <w:t xml:space="preserve"> </w:t>
      </w:r>
      <w:r>
        <w:t>Ministria</w:t>
      </w:r>
      <w:r>
        <w:rPr>
          <w:spacing w:val="2"/>
        </w:rPr>
        <w:t xml:space="preserve"> </w:t>
      </w:r>
      <w:r>
        <w:t>e</w:t>
      </w:r>
      <w:r>
        <w:rPr>
          <w:spacing w:val="-8"/>
        </w:rPr>
        <w:t xml:space="preserve"> </w:t>
      </w:r>
      <w:r>
        <w:t>Bujqësisë</w:t>
      </w:r>
      <w:r>
        <w:rPr>
          <w:spacing w:val="-8"/>
        </w:rPr>
        <w:t xml:space="preserve"> </w:t>
      </w:r>
      <w:r>
        <w:t>dhe</w:t>
      </w:r>
      <w:r>
        <w:rPr>
          <w:spacing w:val="-8"/>
        </w:rPr>
        <w:t xml:space="preserve"> </w:t>
      </w:r>
      <w:r>
        <w:t>Zhvillimit</w:t>
      </w:r>
      <w:r>
        <w:rPr>
          <w:spacing w:val="-8"/>
        </w:rPr>
        <w:t xml:space="preserve"> </w:t>
      </w:r>
      <w:r>
        <w:rPr>
          <w:spacing w:val="-2"/>
        </w:rPr>
        <w:t>Rural.</w:t>
      </w:r>
    </w:p>
    <w:p w14:paraId="00A9008D" w14:textId="77777777" w:rsidR="00C253A8" w:rsidRDefault="00C253A8">
      <w:pPr>
        <w:pStyle w:val="BodyText"/>
        <w:spacing w:before="99"/>
        <w:ind w:left="0"/>
        <w:jc w:val="left"/>
      </w:pPr>
    </w:p>
    <w:p w14:paraId="6E86CFD3" w14:textId="77777777" w:rsidR="00C253A8" w:rsidRDefault="00D407E4">
      <w:pPr>
        <w:pStyle w:val="Heading1"/>
        <w:numPr>
          <w:ilvl w:val="0"/>
          <w:numId w:val="1"/>
        </w:numPr>
        <w:tabs>
          <w:tab w:val="left" w:pos="733"/>
          <w:tab w:val="left" w:pos="2349"/>
          <w:tab w:val="left" w:pos="2785"/>
          <w:tab w:val="left" w:pos="4891"/>
          <w:tab w:val="left" w:pos="5591"/>
          <w:tab w:val="left" w:pos="6290"/>
          <w:tab w:val="left" w:pos="8430"/>
        </w:tabs>
        <w:spacing w:before="1" w:line="276" w:lineRule="auto"/>
        <w:ind w:left="23" w:right="34" w:firstLine="0"/>
      </w:pPr>
      <w:r>
        <w:rPr>
          <w:spacing w:val="-2"/>
        </w:rPr>
        <w:t>RAPORTI</w:t>
      </w:r>
      <w:r>
        <w:tab/>
      </w:r>
      <w:r>
        <w:rPr>
          <w:spacing w:val="-10"/>
        </w:rPr>
        <w:t>I</w:t>
      </w:r>
      <w:r>
        <w:tab/>
      </w:r>
      <w:r>
        <w:rPr>
          <w:spacing w:val="-2"/>
        </w:rPr>
        <w:t>VLERËSIMIT</w:t>
      </w:r>
      <w:r>
        <w:tab/>
      </w:r>
      <w:r>
        <w:rPr>
          <w:spacing w:val="-6"/>
        </w:rPr>
        <w:t>TË</w:t>
      </w:r>
      <w:r>
        <w:tab/>
      </w:r>
      <w:r>
        <w:rPr>
          <w:spacing w:val="-6"/>
        </w:rPr>
        <w:t>TË</w:t>
      </w:r>
      <w:r>
        <w:tab/>
      </w:r>
      <w:r>
        <w:rPr>
          <w:spacing w:val="-2"/>
        </w:rPr>
        <w:t>ARDHURAVE</w:t>
      </w:r>
      <w:r>
        <w:tab/>
      </w:r>
      <w:r>
        <w:rPr>
          <w:spacing w:val="-4"/>
        </w:rPr>
        <w:t xml:space="preserve">DHE </w:t>
      </w:r>
      <w:r>
        <w:t>SHPENZIMEVE BUXHETORE</w:t>
      </w:r>
    </w:p>
    <w:p w14:paraId="44DFD11B" w14:textId="77777777" w:rsidR="00C253A8" w:rsidRDefault="00C253A8">
      <w:pPr>
        <w:pStyle w:val="BodyText"/>
        <w:spacing w:before="41"/>
        <w:ind w:left="0"/>
        <w:jc w:val="left"/>
        <w:rPr>
          <w:b/>
        </w:rPr>
      </w:pPr>
    </w:p>
    <w:p w14:paraId="5965DD23" w14:textId="77777777" w:rsidR="00C253A8" w:rsidRDefault="00D407E4">
      <w:pPr>
        <w:pStyle w:val="BodyText"/>
        <w:spacing w:before="1" w:line="276" w:lineRule="auto"/>
        <w:ind w:right="35"/>
      </w:pPr>
      <w:r>
        <w:t xml:space="preserve">Zbatimi i këtij vendimi nuk do të sjellë kosto financiare shtesë për buxhetin e </w:t>
      </w:r>
      <w:r>
        <w:rPr>
          <w:spacing w:val="-2"/>
        </w:rPr>
        <w:t>shtetit.</w:t>
      </w:r>
    </w:p>
    <w:p w14:paraId="33E169DF" w14:textId="77777777" w:rsidR="00C253A8" w:rsidRDefault="00D407E4">
      <w:pPr>
        <w:pStyle w:val="BodyText"/>
        <w:spacing w:before="3" w:line="276" w:lineRule="auto"/>
        <w:ind w:right="23"/>
      </w:pPr>
      <w:r>
        <w:t xml:space="preserve">Mbështetja financiare për organizatat prodhuese dhe ndërsektoriale do të realizohet nëpërmjet skemës kombëtare vjetore që miratohet me vendim te vecante te Keshillit te Ministrave, brenda kufijve buxhetorë dhe PBA-se të </w:t>
      </w:r>
      <w:r>
        <w:rPr>
          <w:spacing w:val="-2"/>
        </w:rPr>
        <w:t>miratuar.</w:t>
      </w:r>
    </w:p>
    <w:p w14:paraId="69A767E6" w14:textId="77777777" w:rsidR="00C253A8" w:rsidRDefault="00C253A8">
      <w:pPr>
        <w:pStyle w:val="BodyText"/>
        <w:spacing w:before="50"/>
        <w:ind w:left="0"/>
        <w:jc w:val="left"/>
      </w:pPr>
    </w:p>
    <w:p w14:paraId="2982903B" w14:textId="5F837272" w:rsidR="00C253A8" w:rsidRDefault="00D407E4">
      <w:pPr>
        <w:pStyle w:val="BodyText"/>
        <w:spacing w:before="8"/>
        <w:ind w:left="0"/>
        <w:jc w:val="left"/>
        <w:rPr>
          <w:b/>
          <w:sz w:val="3"/>
        </w:rPr>
      </w:pPr>
      <w:r>
        <w:rPr>
          <w:b/>
          <w:noProof/>
          <w:sz w:val="3"/>
        </w:rPr>
        <mc:AlternateContent>
          <mc:Choice Requires="wps">
            <w:drawing>
              <wp:anchor distT="0" distB="0" distL="114300" distR="114300" simplePos="0" relativeHeight="487587840" behindDoc="0" locked="0" layoutInCell="1" allowOverlap="1" wp14:anchorId="50CA5D60" wp14:editId="1454D817">
                <wp:simplePos x="0" y="0"/>
                <wp:positionH relativeFrom="column">
                  <wp:posOffset>2272030</wp:posOffset>
                </wp:positionH>
                <wp:positionV relativeFrom="paragraph">
                  <wp:posOffset>866988</wp:posOffset>
                </wp:positionV>
                <wp:extent cx="1214755" cy="420791"/>
                <wp:effectExtent l="0" t="0" r="0" b="0"/>
                <wp:wrapTopAndBottom/>
                <wp:docPr id="600573828" name="Textbox 5"/>
                <wp:cNvGraphicFramePr/>
                <a:graphic xmlns:a="http://schemas.openxmlformats.org/drawingml/2006/main">
                  <a:graphicData uri="http://schemas.microsoft.com/office/word/2010/wordprocessingShape">
                    <wps:wsp>
                      <wps:cNvSpPr txBox="1"/>
                      <wps:spPr>
                        <a:xfrm>
                          <a:off x="0" y="0"/>
                          <a:ext cx="1214755" cy="420791"/>
                        </a:xfrm>
                        <a:prstGeom prst="rect">
                          <a:avLst/>
                        </a:prstGeom>
                      </wps:spPr>
                      <wps:txbx>
                        <w:txbxContent>
                          <w:p w14:paraId="6562BEEF" w14:textId="77777777" w:rsidR="00D407E4" w:rsidRDefault="00D407E4"/>
                        </w:txbxContent>
                      </wps:txbx>
                      <wps:bodyPr wrap="square" lIns="0" tIns="0" rIns="0" bIns="0" rtlCol="0">
                        <a:noAutofit/>
                      </wps:bodyPr>
                    </wps:wsp>
                  </a:graphicData>
                </a:graphic>
              </wp:anchor>
            </w:drawing>
          </mc:Choice>
          <mc:Fallback>
            <w:pict>
              <v:shapetype w14:anchorId="50CA5D60" id="_x0000_t202" coordsize="21600,21600" o:spt="202" path="m,l,21600r21600,l21600,xe">
                <v:stroke joinstyle="miter"/>
                <v:path gradientshapeok="t" o:connecttype="rect"/>
              </v:shapetype>
              <v:shape id="Textbox 5" o:spid="_x0000_s1026" type="#_x0000_t202" style="position:absolute;margin-left:178.9pt;margin-top:68.25pt;width:95.65pt;height:33.15pt;z-index:48758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" filled="f" stroked="f">
                <v:textbox inset="0,0,0,0">
                  <w:txbxContent>
                    <w:p w14:paraId="6562BEEF" w14:textId="77777777" w:rsidR="00D407E4" w:rsidRDefault="00D407E4"/>
                  </w:txbxContent>
                </v:textbox>
                <w10:wrap type="topAndBottom"/>
              </v:shape>
            </w:pict>
          </mc:Fallback>
        </mc:AlternateContent>
      </w:r>
    </w:p>
    <w:sectPr w:rsidR="00C253A8">
      <w:pgSz w:w="11910" w:h="16840"/>
      <w:pgMar w:top="720" w:right="1417" w:bottom="1320" w:left="1417" w:header="0" w:footer="11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AB6A8" w14:textId="77777777" w:rsidR="00D407E4" w:rsidRDefault="00D407E4">
      <w:r>
        <w:separator/>
      </w:r>
    </w:p>
  </w:endnote>
  <w:endnote w:type="continuationSeparator" w:id="0">
    <w:p w14:paraId="4D8432C1" w14:textId="77777777" w:rsidR="00D407E4" w:rsidRDefault="00D4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44E3" w14:textId="77777777" w:rsidR="00C253A8" w:rsidRDefault="00D407E4">
    <w:pPr>
      <w:pStyle w:val="BodyText"/>
      <w:spacing w:line="14" w:lineRule="auto"/>
      <w:ind w:left="0"/>
      <w:jc w:val="left"/>
      <w:rPr>
        <w:sz w:val="20"/>
      </w:rPr>
    </w:pPr>
    <w:r>
      <w:rPr>
        <w:noProof/>
        <w:sz w:val="20"/>
      </w:rPr>
      <mc:AlternateContent>
        <mc:Choice Requires="wps">
          <w:drawing>
            <wp:anchor distT="0" distB="0" distL="0" distR="0" simplePos="0" relativeHeight="487512064" behindDoc="1" locked="0" layoutInCell="1" allowOverlap="1" wp14:anchorId="527938C3" wp14:editId="0F837B2B">
              <wp:simplePos x="0" y="0"/>
              <wp:positionH relativeFrom="page">
                <wp:posOffset>896416</wp:posOffset>
              </wp:positionH>
              <wp:positionV relativeFrom="page">
                <wp:posOffset>9802062</wp:posOffset>
              </wp:positionV>
              <wp:extent cx="5772785" cy="55244"/>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55244"/>
                      </a:xfrm>
                      <a:custGeom>
                        <a:avLst/>
                        <a:gdLst/>
                        <a:ahLst/>
                        <a:cxnLst/>
                        <a:rect l="l" t="t" r="r" b="b"/>
                        <a:pathLst>
                          <a:path w="5772785" h="55244">
                            <a:moveTo>
                              <a:pt x="5772277" y="45732"/>
                            </a:moveTo>
                            <a:lnTo>
                              <a:pt x="0" y="45732"/>
                            </a:lnTo>
                            <a:lnTo>
                              <a:pt x="0" y="54864"/>
                            </a:lnTo>
                            <a:lnTo>
                              <a:pt x="5772277" y="54864"/>
                            </a:lnTo>
                            <a:lnTo>
                              <a:pt x="5772277" y="45732"/>
                            </a:lnTo>
                            <a:close/>
                          </a:path>
                          <a:path w="5772785" h="55244">
                            <a:moveTo>
                              <a:pt x="5772277" y="0"/>
                            </a:moveTo>
                            <a:lnTo>
                              <a:pt x="0" y="0"/>
                            </a:lnTo>
                            <a:lnTo>
                              <a:pt x="0" y="36576"/>
                            </a:lnTo>
                            <a:lnTo>
                              <a:pt x="5772277" y="36576"/>
                            </a:lnTo>
                            <a:lnTo>
                              <a:pt x="5772277"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34BD78F7" id="Graphic 1" o:spid="_x0000_s1026" style="position:absolute;margin-left:70.6pt;margin-top:771.8pt;width:454.55pt;height:4.35pt;z-index:-15804416;visibility:visible;mso-wrap-style:square;mso-wrap-distance-left:0;mso-wrap-distance-top:0;mso-wrap-distance-right:0;mso-wrap-distance-bottom:0;mso-position-horizontal:absolute;mso-position-horizontal-relative:page;mso-position-vertical:absolute;mso-position-vertical-relative:page;v-text-anchor:top" coordsize="577278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" path="m5772277,45732l,45732r,9132l5772277,54864r,-9132xem5772277,l,,,36576r5772277,l5772277,xe" fillcolor="#612322" stroked="f">
              <v:path arrowok="t"/>
              <w10:wrap anchorx="page" anchory="page"/>
            </v:shape>
          </w:pict>
        </mc:Fallback>
      </mc:AlternateContent>
    </w:r>
    <w:r>
      <w:rPr>
        <w:noProof/>
        <w:sz w:val="20"/>
      </w:rPr>
      <mc:AlternateContent>
        <mc:Choice Requires="wps">
          <w:drawing>
            <wp:anchor distT="0" distB="0" distL="0" distR="0" simplePos="0" relativeHeight="487512576" behindDoc="1" locked="0" layoutInCell="1" allowOverlap="1" wp14:anchorId="4218CA6E" wp14:editId="4C1AC570">
              <wp:simplePos x="0" y="0"/>
              <wp:positionH relativeFrom="page">
                <wp:posOffset>902004</wp:posOffset>
              </wp:positionH>
              <wp:positionV relativeFrom="page">
                <wp:posOffset>9858166</wp:posOffset>
              </wp:positionV>
              <wp:extent cx="5759450" cy="4603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460375"/>
                      </a:xfrm>
                      <a:prstGeom prst="rect">
                        <a:avLst/>
                      </a:prstGeom>
                    </wps:spPr>
                    <wps:txbx>
                      <w:txbxContent>
                        <w:p w14:paraId="6F7E7439" w14:textId="77777777" w:rsidR="00C253A8" w:rsidRDefault="00D407E4">
                          <w:pPr>
                            <w:spacing w:before="13"/>
                            <w:ind w:left="20" w:right="18"/>
                            <w:jc w:val="both"/>
                            <w:rPr>
                              <w:i/>
                              <w:sz w:val="20"/>
                            </w:rPr>
                          </w:pPr>
                          <w:r>
                            <w:rPr>
                              <w:i/>
                              <w:sz w:val="20"/>
                            </w:rPr>
                            <w:t xml:space="preserve">Relacion shpjegues për projektvendimin "Për mënyrën e organizimit dhe funksionimit të tregut të produkteve të peshkimit dhe akuakulturës dhe për miratimin e formës dhe përmbajtjes së planeve të prodhimit dhe </w:t>
                          </w:r>
                          <w:r>
                            <w:rPr>
                              <w:i/>
                              <w:spacing w:val="-2"/>
                              <w:sz w:val="20"/>
                            </w:rPr>
                            <w:t>marketingut”</w:t>
                          </w:r>
                        </w:p>
                      </w:txbxContent>
                    </wps:txbx>
                    <wps:bodyPr wrap="square" lIns="0" tIns="0" rIns="0" bIns="0" rtlCol="0">
                      <a:noAutofit/>
                    </wps:bodyPr>
                  </wps:wsp>
                </a:graphicData>
              </a:graphic>
            </wp:anchor>
          </w:drawing>
        </mc:Choice>
        <mc:Fallback>
          <w:pict>
            <v:shapetype w14:anchorId="4218CA6E" id="_x0000_t202" coordsize="21600,21600" o:spt="202" path="m,l,21600r21600,l21600,xe">
              <v:stroke joinstyle="miter"/>
              <v:path gradientshapeok="t" o:connecttype="rect"/>
            </v:shapetype>
            <v:shape id="Textbox 2" o:spid="_x0000_s1027" type="#_x0000_t202" style="position:absolute;margin-left:71pt;margin-top:776.25pt;width:453.5pt;height:36.25pt;z-index:-1580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" filled="f" stroked="f">
              <v:textbox inset="0,0,0,0">
                <w:txbxContent>
                  <w:p w14:paraId="6F7E7439" w14:textId="77777777" w:rsidR="00C253A8" w:rsidRDefault="00D407E4">
                    <w:pPr>
                      <w:spacing w:before="13"/>
                      <w:ind w:left="20" w:right="18"/>
                      <w:jc w:val="both"/>
                      <w:rPr>
                        <w:i/>
                        <w:sz w:val="20"/>
                      </w:rPr>
                    </w:pPr>
                    <w:r>
                      <w:rPr>
                        <w:i/>
                        <w:sz w:val="20"/>
                      </w:rPr>
                      <w:t xml:space="preserve">Relacion shpjegues për projektvendimin "Për mënyrën e organizimit dhe funksionimit të tregut të produkteve të peshkimit dhe akuakulturës dhe për miratimin e formës dhe përmbajtjes së planeve të prodhimit dhe </w:t>
                    </w:r>
                    <w:r>
                      <w:rPr>
                        <w:i/>
                        <w:spacing w:val="-2"/>
                        <w:sz w:val="20"/>
                      </w:rPr>
                      <w:t>marketingut”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9E85" w14:textId="77777777" w:rsidR="00D407E4" w:rsidRDefault="00D407E4">
      <w:r>
        <w:separator/>
      </w:r>
    </w:p>
  </w:footnote>
  <w:footnote w:type="continuationSeparator" w:id="0">
    <w:p w14:paraId="462CF945" w14:textId="77777777" w:rsidR="00D407E4" w:rsidRDefault="00D40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793"/>
    <w:multiLevelType w:val="hybridMultilevel"/>
    <w:tmpl w:val="477479A8"/>
    <w:lvl w:ilvl="0" w:tplc="A8A40EC2">
      <w:start w:val="1"/>
      <w:numFmt w:val="upperRoman"/>
      <w:lvlText w:val="%1."/>
      <w:lvlJc w:val="left"/>
      <w:pPr>
        <w:ind w:left="292" w:hanging="269"/>
        <w:jc w:val="left"/>
      </w:pPr>
      <w:rPr>
        <w:rFonts w:ascii="Times New Roman" w:eastAsia="Times New Roman" w:hAnsi="Times New Roman" w:cs="Times New Roman" w:hint="default"/>
        <w:b/>
        <w:bCs/>
        <w:i w:val="0"/>
        <w:iCs w:val="0"/>
        <w:spacing w:val="0"/>
        <w:w w:val="99"/>
        <w:sz w:val="28"/>
        <w:szCs w:val="28"/>
        <w:lang w:val="sq-AL" w:eastAsia="en-US" w:bidi="ar-SA"/>
      </w:rPr>
    </w:lvl>
    <w:lvl w:ilvl="1" w:tplc="A05433C2">
      <w:numFmt w:val="bullet"/>
      <w:lvlText w:val="-"/>
      <w:lvlJc w:val="left"/>
      <w:pPr>
        <w:ind w:left="23" w:hanging="168"/>
      </w:pPr>
      <w:rPr>
        <w:rFonts w:ascii="Times New Roman" w:eastAsia="Times New Roman" w:hAnsi="Times New Roman" w:cs="Times New Roman" w:hint="default"/>
        <w:b w:val="0"/>
        <w:bCs w:val="0"/>
        <w:i w:val="0"/>
        <w:iCs w:val="0"/>
        <w:spacing w:val="0"/>
        <w:w w:val="99"/>
        <w:sz w:val="28"/>
        <w:szCs w:val="28"/>
        <w:lang w:val="sq-AL" w:eastAsia="en-US" w:bidi="ar-SA"/>
      </w:rPr>
    </w:lvl>
    <w:lvl w:ilvl="2" w:tplc="0BDEB0D8">
      <w:numFmt w:val="bullet"/>
      <w:lvlText w:val="•"/>
      <w:lvlJc w:val="left"/>
      <w:pPr>
        <w:ind w:left="1274" w:hanging="168"/>
      </w:pPr>
      <w:rPr>
        <w:rFonts w:hint="default"/>
        <w:lang w:val="sq-AL" w:eastAsia="en-US" w:bidi="ar-SA"/>
      </w:rPr>
    </w:lvl>
    <w:lvl w:ilvl="3" w:tplc="ED7A16B0">
      <w:numFmt w:val="bullet"/>
      <w:lvlText w:val="•"/>
      <w:lvlJc w:val="left"/>
      <w:pPr>
        <w:ind w:left="2249" w:hanging="168"/>
      </w:pPr>
      <w:rPr>
        <w:rFonts w:hint="default"/>
        <w:lang w:val="sq-AL" w:eastAsia="en-US" w:bidi="ar-SA"/>
      </w:rPr>
    </w:lvl>
    <w:lvl w:ilvl="4" w:tplc="ADB810E8">
      <w:numFmt w:val="bullet"/>
      <w:lvlText w:val="•"/>
      <w:lvlJc w:val="left"/>
      <w:pPr>
        <w:ind w:left="3224" w:hanging="168"/>
      </w:pPr>
      <w:rPr>
        <w:rFonts w:hint="default"/>
        <w:lang w:val="sq-AL" w:eastAsia="en-US" w:bidi="ar-SA"/>
      </w:rPr>
    </w:lvl>
    <w:lvl w:ilvl="5" w:tplc="0576E3CA">
      <w:numFmt w:val="bullet"/>
      <w:lvlText w:val="•"/>
      <w:lvlJc w:val="left"/>
      <w:pPr>
        <w:ind w:left="4199" w:hanging="168"/>
      </w:pPr>
      <w:rPr>
        <w:rFonts w:hint="default"/>
        <w:lang w:val="sq-AL" w:eastAsia="en-US" w:bidi="ar-SA"/>
      </w:rPr>
    </w:lvl>
    <w:lvl w:ilvl="6" w:tplc="5A781854">
      <w:numFmt w:val="bullet"/>
      <w:lvlText w:val="•"/>
      <w:lvlJc w:val="left"/>
      <w:pPr>
        <w:ind w:left="5174" w:hanging="168"/>
      </w:pPr>
      <w:rPr>
        <w:rFonts w:hint="default"/>
        <w:lang w:val="sq-AL" w:eastAsia="en-US" w:bidi="ar-SA"/>
      </w:rPr>
    </w:lvl>
    <w:lvl w:ilvl="7" w:tplc="D2F0EFC4">
      <w:numFmt w:val="bullet"/>
      <w:lvlText w:val="•"/>
      <w:lvlJc w:val="left"/>
      <w:pPr>
        <w:ind w:left="6149" w:hanging="168"/>
      </w:pPr>
      <w:rPr>
        <w:rFonts w:hint="default"/>
        <w:lang w:val="sq-AL" w:eastAsia="en-US" w:bidi="ar-SA"/>
      </w:rPr>
    </w:lvl>
    <w:lvl w:ilvl="8" w:tplc="C268B9E2">
      <w:numFmt w:val="bullet"/>
      <w:lvlText w:val="•"/>
      <w:lvlJc w:val="left"/>
      <w:pPr>
        <w:ind w:left="7124" w:hanging="168"/>
      </w:pPr>
      <w:rPr>
        <w:rFonts w:hint="default"/>
        <w:lang w:val="sq-AL" w:eastAsia="en-US" w:bidi="ar-SA"/>
      </w:rPr>
    </w:lvl>
  </w:abstractNum>
  <w:num w:numId="1" w16cid:durableId="147182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A8"/>
    <w:rsid w:val="00172F13"/>
    <w:rsid w:val="00C253A8"/>
    <w:rsid w:val="00D4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849D"/>
  <w15:docId w15:val="{ABB445DC-27EF-49DD-88DD-32548B97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q-AL"/>
    </w:rPr>
  </w:style>
  <w:style w:type="paragraph" w:styleId="Heading1">
    <w:name w:val="heading 1"/>
    <w:basedOn w:val="Normal"/>
    <w:uiPriority w:val="9"/>
    <w:qFormat/>
    <w:pPr>
      <w:ind w:left="23" w:right="3537"/>
      <w:jc w:val="both"/>
      <w:outlineLvl w:val="0"/>
    </w:pPr>
    <w:rPr>
      <w:b/>
      <w:bCs/>
      <w:sz w:val="28"/>
      <w:szCs w:val="28"/>
    </w:rPr>
  </w:style>
  <w:style w:type="paragraph" w:styleId="Heading2">
    <w:name w:val="heading 2"/>
    <w:basedOn w:val="Normal"/>
    <w:uiPriority w:val="9"/>
    <w:unhideWhenUsed/>
    <w:qFormat/>
    <w:pPr>
      <w:ind w:left="23"/>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8"/>
      <w:szCs w:val="28"/>
    </w:rPr>
  </w:style>
  <w:style w:type="paragraph" w:styleId="ListParagraph">
    <w:name w:val="List Paragraph"/>
    <w:basedOn w:val="Normal"/>
    <w:uiPriority w:val="1"/>
    <w:qFormat/>
    <w:pPr>
      <w:ind w:left="23" w:right="3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2157</Words>
  <Characters>12298</Characters>
  <Application>Microsoft Office Word</Application>
  <DocSecurity>0</DocSecurity>
  <Lines>102</Lines>
  <Paragraphs>28</Paragraphs>
  <ScaleCrop>false</ScaleCrop>
  <Company>AKSHI</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dc:title>
  <dc:creator>Ilirjana Nano</dc:creator>
  <cp:lastModifiedBy>Kjara Vogli</cp:lastModifiedBy>
  <cp:revision>2</cp:revision>
  <dcterms:created xsi:type="dcterms:W3CDTF">2026-01-15T10:35:00Z</dcterms:created>
  <dcterms:modified xsi:type="dcterms:W3CDTF">2026-01-15T10:35:00Z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2016</vt:lpwstr>
  </property>
  <property fmtid="{D5CDD505-2E9C-101B-9397-08002B2CF9AE}" pid="4" name="LastSaved">
    <vt:filetime>2026-01-15T00:00:00Z</vt:filetime>
  </property>
  <property fmtid="{D5CDD505-2E9C-101B-9397-08002B2CF9AE}" pid="5" name="Producer">
    <vt:lpwstr>www.ilovepdf.com</vt:lpwstr>
  </property>
</Properties>
</file>